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spacing w:after="240" w:line="600" w:lineRule="auto"/>
        <w:rPr>
          <w:rFonts w:ascii="宋体" w:hAnsi="宋体"/>
          <w:b/>
          <w:color w:val="000000" w:themeColor="text1"/>
          <w:sz w:val="60"/>
          <w:szCs w:val="60"/>
          <w14:textFill>
            <w14:solidFill>
              <w14:schemeClr w14:val="tx1"/>
            </w14:solidFill>
          </w14:textFill>
        </w:rPr>
      </w:pPr>
      <w:r>
        <w:rPr>
          <w:rFonts w:ascii="宋体" w:hAnsi="宋体"/>
          <w:b/>
          <w:color w:val="000000" w:themeColor="text1"/>
          <w:spacing w:val="114"/>
          <w:sz w:val="60"/>
          <w:szCs w:val="60"/>
          <w14:textFill>
            <w14:solidFill>
              <w14:schemeClr w14:val="tx1"/>
            </w14:solidFill>
          </w14:textFill>
        </w:rPr>
        <w:t xml:space="preserve">常州市政府采购项</w:t>
      </w:r>
      <w:r>
        <w:rPr>
          <w:rFonts w:ascii="宋体" w:hAnsi="宋体"/>
          <w:b/>
          <w:color w:val="000000" w:themeColor="text1"/>
          <w:sz w:val="60"/>
          <w:szCs w:val="60"/>
          <w14:textFill>
            <w14:solidFill>
              <w14:schemeClr w14:val="tx1"/>
            </w14:solidFill>
          </w14:textFill>
        </w:rPr>
        <w:t xml:space="preserve">目</w:t>
      </w:r>
      <w:r/>
    </w:p>
    <w:p>
      <w:pPr>
        <w:jc w:val="center"/>
        <w:spacing w:after="240" w:line="600" w:lineRule="auto"/>
        <w:rPr>
          <w:rFonts w:ascii="宋体" w:hAnsi="宋体"/>
          <w:b/>
          <w:color w:val="000000" w:themeColor="text1"/>
          <w:sz w:val="60"/>
          <w:szCs w:val="60"/>
          <w14:textFill>
            <w14:solidFill>
              <w14:schemeClr w14:val="tx1"/>
            </w14:solidFill>
          </w14:textFill>
        </w:rPr>
      </w:pPr>
      <w:r>
        <w:rPr>
          <w:rFonts w:hint="eastAsia" w:ascii="宋体" w:hAnsi="宋体"/>
          <w:b/>
          <w:color w:val="000000" w:themeColor="text1"/>
          <w:spacing w:val="151"/>
          <w:sz w:val="60"/>
          <w:szCs w:val="60"/>
          <w14:textFill>
            <w14:solidFill>
              <w14:schemeClr w14:val="tx1"/>
            </w14:solidFill>
          </w14:textFill>
        </w:rPr>
        <w:t xml:space="preserve">公开招标文</w:t>
      </w:r>
      <w:r>
        <w:rPr>
          <w:rFonts w:hint="eastAsia" w:ascii="宋体" w:hAnsi="宋体"/>
          <w:b/>
          <w:color w:val="000000" w:themeColor="text1"/>
          <w:spacing w:val="4"/>
          <w:sz w:val="60"/>
          <w:szCs w:val="60"/>
          <w14:textFill>
            <w14:solidFill>
              <w14:schemeClr w14:val="tx1"/>
            </w14:solidFill>
          </w14:textFill>
        </w:rPr>
        <w:t xml:space="preserve">件</w:t>
      </w:r>
      <w:r/>
    </w:p>
    <w:p>
      <w:pPr>
        <w:jc w:val="left"/>
        <w:spacing w:line="600" w:lineRule="auto"/>
        <w:tabs>
          <w:tab w:val="left" w:pos="5609" w:leader="none"/>
        </w:tabs>
        <w:rPr>
          <w:rFonts w:ascii="宋体" w:hAnsi="宋体"/>
          <w:bCs/>
          <w:color w:val="000000" w:themeColor="text1"/>
          <w:sz w:val="36"/>
          <w:szCs w:val="36"/>
          <w14:textFill>
            <w14:solidFill>
              <w14:schemeClr w14:val="tx1"/>
            </w14:solidFill>
          </w14:textFill>
        </w:rPr>
      </w:pPr>
      <w:r>
        <w:rPr>
          <w:rFonts w:ascii="宋体" w:hAnsi="宋体"/>
          <w:bCs/>
          <w:color w:val="000000" w:themeColor="text1"/>
          <w:sz w:val="36"/>
          <w:szCs w:val="36"/>
          <w14:textFill>
            <w14:solidFill>
              <w14:schemeClr w14:val="tx1"/>
            </w14:solidFill>
          </w14:textFill>
        </w:rPr>
      </w:r>
      <w:r/>
    </w:p>
    <w:p>
      <w:pPr>
        <w:ind w:left="1500" w:right="-932" w:hanging="1500"/>
        <w:jc w:val="left"/>
        <w:spacing w:line="600" w:lineRule="auto"/>
        <w:tabs>
          <w:tab w:val="left" w:pos="5609" w:leader="none"/>
        </w:tabs>
        <w:rPr>
          <w:rFonts w:ascii="宋体" w:hAnsi="宋体"/>
          <w:bCs/>
          <w:color w:val="000000" w:themeColor="text1"/>
          <w:sz w:val="36"/>
          <w:szCs w:val="36"/>
          <w14:textFill>
            <w14:solidFill>
              <w14:schemeClr w14:val="tx1"/>
            </w14:solidFill>
          </w14:textFill>
        </w:rPr>
      </w:pPr>
      <w:r>
        <w:rPr>
          <w:rFonts w:ascii="宋体" w:hAnsi="宋体"/>
          <w:bCs/>
          <w:color w:val="000000" w:themeColor="text1"/>
          <w:sz w:val="36"/>
          <w:szCs w:val="36"/>
          <w14:textFill>
            <w14:solidFill>
              <w14:schemeClr w14:val="tx1"/>
            </w14:solidFill>
          </w14:textFill>
        </w:rPr>
        <w:t xml:space="preserve">项目名称：</w:t>
      </w:r>
      <w:r>
        <w:rPr>
          <w:rFonts w:hint="eastAsia" w:ascii="宋体" w:hAnsi="宋体"/>
          <w:bCs/>
          <w:color w:val="000000" w:themeColor="text1"/>
          <w:sz w:val="36"/>
          <w:szCs w:val="36"/>
          <w14:textFill>
            <w14:solidFill>
              <w14:schemeClr w14:val="tx1"/>
            </w14:solidFill>
          </w14:textFill>
        </w:rPr>
        <w:t xml:space="preserve">2026年金坛区自然灾害救助民生惠民保险项目</w:t>
      </w:r>
      <w:r/>
    </w:p>
    <w:p>
      <w:pPr>
        <w:jc w:val="left"/>
        <w:spacing w:line="600" w:lineRule="auto"/>
        <w:tabs>
          <w:tab w:val="left" w:pos="3240" w:leader="none"/>
          <w:tab w:val="left" w:pos="3420" w:leader="none"/>
        </w:tabs>
        <w:rPr>
          <w:rFonts w:hint="default" w:eastAsia="宋体"/>
          <w:bCs/>
          <w:color w:val="0000ff"/>
          <w:sz w:val="36"/>
          <w:szCs w:val="36"/>
          <w:u w:val="single"/>
          <w:lang w:val="en-US" w:eastAsia="zh-CN"/>
        </w:rPr>
      </w:pPr>
      <w:r>
        <w:rPr>
          <w:bCs/>
          <w:sz w:val="36"/>
          <w:szCs w:val="36"/>
        </w:rPr>
        <w:t xml:space="preserve">项目编号</w:t>
      </w:r>
      <w:r>
        <w:rPr>
          <w:rFonts w:hint="eastAsia"/>
          <w:bCs/>
          <w:sz w:val="36"/>
          <w:szCs w:val="36"/>
        </w:rPr>
        <w:t xml:space="preserve">/包号</w:t>
      </w:r>
      <w:r>
        <w:rPr>
          <w:bCs/>
          <w:sz w:val="36"/>
          <w:szCs w:val="36"/>
        </w:rPr>
        <w:t xml:space="preserve">：</w:t>
      </w:r>
      <w:r>
        <w:rPr>
          <w:rFonts w:hint="eastAsia"/>
          <w:bCs/>
          <w:sz w:val="36"/>
          <w:szCs w:val="36"/>
        </w:rPr>
        <w:t xml:space="preserve">JSZC-320413-HSGS-G2026-0016</w:t>
      </w:r>
      <w:r/>
    </w:p>
    <w:p>
      <w:pPr>
        <w:jc w:val="left"/>
        <w:spacing w:line="600" w:lineRule="auto"/>
        <w:tabs>
          <w:tab w:val="left" w:pos="3240" w:leader="none"/>
          <w:tab w:val="left" w:pos="3420" w:leader="none"/>
        </w:tabs>
        <w:rPr>
          <w:rFonts w:ascii="宋体" w:hAnsi="宋体"/>
          <w:bCs/>
          <w:color w:val="000000" w:themeColor="text1"/>
          <w:sz w:val="36"/>
          <w:szCs w:val="36"/>
          <w14:textFill>
            <w14:solidFill>
              <w14:schemeClr w14:val="tx1"/>
            </w14:solidFill>
          </w14:textFill>
        </w:rPr>
      </w:pPr>
      <w:r>
        <w:rPr>
          <w:rFonts w:ascii="宋体" w:hAnsi="宋体"/>
          <w:bCs/>
          <w:color w:val="000000" w:themeColor="text1"/>
          <w:sz w:val="36"/>
          <w:szCs w:val="36"/>
          <w14:textFill>
            <w14:solidFill>
              <w14:schemeClr w14:val="tx1"/>
            </w14:solidFill>
          </w14:textFill>
        </w:rPr>
        <w:t xml:space="preserve">采 购 人：</w:t>
      </w:r>
      <w:r>
        <w:rPr>
          <w:rFonts w:hint="eastAsia" w:ascii="宋体" w:hAnsi="宋体"/>
          <w:bCs/>
          <w:color w:val="000000" w:themeColor="text1"/>
          <w:sz w:val="36"/>
          <w:szCs w:val="36"/>
          <w14:textFill>
            <w14:solidFill>
              <w14:schemeClr w14:val="tx1"/>
            </w14:solidFill>
          </w14:textFill>
        </w:rPr>
        <w:t xml:space="preserve">常州市金坛区应急管理局</w:t>
      </w:r>
      <w:r/>
    </w:p>
    <w:p>
      <w:pPr>
        <w:jc w:val="left"/>
        <w:spacing w:line="600" w:lineRule="auto"/>
        <w:tabs>
          <w:tab w:val="left" w:pos="3240" w:leader="none"/>
          <w:tab w:val="left" w:pos="3420" w:leader="none"/>
        </w:tabs>
        <w:rPr>
          <w:rFonts w:ascii="宋体" w:hAnsi="宋体"/>
          <w:bCs/>
          <w:color w:val="000000" w:themeColor="text1"/>
          <w:sz w:val="36"/>
          <w:szCs w:val="36"/>
          <w14:textFill>
            <w14:solidFill>
              <w14:schemeClr w14:val="tx1"/>
            </w14:solidFill>
          </w14:textFill>
        </w:rPr>
        <w:sectPr>
          <w:headerReference w:type="default" r:id="rId9"/>
          <w:headerReference w:type="even" r:id="rId10"/>
          <w:headerReference w:type="first" r:id="rId11"/>
          <w:footerReference w:type="default" r:id="rId20"/>
          <w:footerReference w:type="even" r:id="rId21"/>
          <w:footerReference w:type="first" r:id="rId22"/>
          <w:footnotePr/>
          <w:endnotePr/>
          <w:type w:val="nextColumn"/>
          <w:pgSz w:w="11906" w:h="16838" w:orient="portrait"/>
          <w:pgMar w:top="1440" w:right="1800" w:bottom="1440" w:left="1800" w:header="851" w:footer="992" w:gutter="0"/>
          <w:cols w:num="1" w:sep="0" w:space="1701" w:equalWidth="1"/>
          <w:docGrid w:linePitch="360"/>
          <w:titlePg/>
        </w:sectPr>
      </w:pPr>
      <w:r>
        <w:rPr>
          <w:rFonts w:hint="eastAsia" w:ascii="宋体" w:hAnsi="宋体"/>
          <w:bCs/>
          <w:color w:val="000000" w:themeColor="text1"/>
          <w:sz w:val="36"/>
          <w:szCs w:val="36"/>
          <w14:textFill>
            <w14:solidFill>
              <w14:schemeClr w14:val="tx1"/>
            </w14:solidFill>
          </w14:textFill>
        </w:rPr>
        <w:t xml:space="preserve">采购</w:t>
      </w:r>
      <w:r>
        <w:rPr>
          <w:rFonts w:ascii="宋体" w:hAnsi="宋体"/>
          <w:bCs/>
          <w:color w:val="000000" w:themeColor="text1"/>
          <w:sz w:val="36"/>
          <w:szCs w:val="36"/>
          <w14:textFill>
            <w14:solidFill>
              <w14:schemeClr w14:val="tx1"/>
            </w14:solidFill>
          </w14:textFill>
        </w:rPr>
        <w:t xml:space="preserve">代理机构：</w:t>
      </w:r>
      <w:r>
        <w:rPr>
          <w:rFonts w:hint="eastAsia" w:ascii="宋体" w:hAnsi="宋体"/>
          <w:bCs/>
          <w:color w:val="000000" w:themeColor="text1"/>
          <w:sz w:val="36"/>
          <w:szCs w:val="36"/>
          <w14:textFill>
            <w14:solidFill>
              <w14:schemeClr w14:val="tx1"/>
            </w14:solidFill>
          </w14:textFill>
        </w:rPr>
        <w:t xml:space="preserve">江苏华溯工程项目管理有限公司</w:t>
      </w:r>
      <w:r/>
    </w:p>
    <w:p>
      <w:pPr>
        <w:jc w:val="left"/>
        <w:widowControl/>
        <w:rPr>
          <w:b/>
          <w:bCs/>
          <w:sz w:val="44"/>
        </w:rPr>
      </w:pPr>
      <w:r>
        <w:rPr>
          <w:b/>
          <w:bCs/>
          <w:sz w:val="44"/>
        </w:rPr>
      </w:r>
      <w:r/>
    </w:p>
    <w:p>
      <w:pPr>
        <w:jc w:val="center"/>
        <w:spacing w:line="360" w:lineRule="auto"/>
        <w:rPr>
          <w:b/>
          <w:sz w:val="36"/>
          <w:szCs w:val="36"/>
        </w:rPr>
        <w:outlineLvl w:val="0"/>
      </w:pPr>
      <w:r/>
      <w:bookmarkStart w:id="0" w:name="_Toc99301418"/>
      <w:r>
        <w:rPr>
          <w:b/>
          <w:sz w:val="36"/>
          <w:szCs w:val="36"/>
        </w:rPr>
        <w:t xml:space="preserve">目      录</w:t>
      </w:r>
      <w:bookmarkEnd w:id="0"/>
      <w:r/>
      <w:r/>
    </w:p>
    <w:p>
      <w:pPr>
        <w:pStyle w:val="1192"/>
        <w:rPr>
          <w:rFonts w:ascii="Times New Roman" w:hAnsi="Times New Roman"/>
          <w:b w:val="0"/>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end"/>
      </w:r>
      <w:r/>
    </w:p>
    <w:p>
      <w:pPr>
        <w:pStyle w:val="977"/>
        <w:spacing w:after="0" w:line="480" w:lineRule="auto"/>
        <w:tabs>
          <w:tab w:val="right" w:pos="8296" w:leader="dot"/>
        </w:tabs>
        <w:rPr>
          <w:rStyle w:val="990"/>
          <w:b/>
          <w:color w:val="000000" w:themeColor="text1"/>
          <w:sz w:val="32"/>
          <w:szCs w:val="22"/>
          <w14:textFill>
            <w14:solidFill>
              <w14:schemeClr w14:val="tx1"/>
            </w14:solidFill>
          </w14:textFill>
        </w:rPr>
      </w:pPr>
      <w:r>
        <w:rPr>
          <w:rStyle w:val="990"/>
          <w:rFonts w:hint="eastAsia"/>
          <w:b/>
          <w:color w:val="000000" w:themeColor="text1"/>
          <w:sz w:val="32"/>
          <w:szCs w:val="22"/>
          <w14:textFill>
            <w14:solidFill>
              <w14:schemeClr w14:val="tx1"/>
            </w14:solidFill>
          </w14:textFill>
        </w:rPr>
        <w:fldChar w:fldCharType="begin"/>
      </w:r>
      <w:r>
        <w:rPr>
          <w:rStyle w:val="990"/>
          <w:rFonts w:hint="eastAsia"/>
          <w:b/>
          <w:color w:val="000000" w:themeColor="text1"/>
          <w:sz w:val="32"/>
          <w:szCs w:val="22"/>
          <w14:textFill>
            <w14:solidFill>
              <w14:schemeClr w14:val="tx1"/>
            </w14:solidFill>
          </w14:textFill>
        </w:rPr>
        <w:instrText xml:space="preserve"> TOC \o "1-1" \h \z \u </w:instrText>
      </w:r>
      <w:r>
        <w:rPr>
          <w:rStyle w:val="990"/>
          <w:rFonts w:hint="eastAsia"/>
          <w:b/>
          <w:color w:val="000000" w:themeColor="text1"/>
          <w:sz w:val="32"/>
          <w:szCs w:val="22"/>
          <w14:textFill>
            <w14:solidFill>
              <w14:schemeClr w14:val="tx1"/>
            </w14:solidFill>
          </w14:textFill>
        </w:rPr>
        <w:fldChar w:fldCharType="separate"/>
      </w:r>
      <w:r>
        <w:fldChar w:fldCharType="begin"/>
      </w:r>
      <w:r>
        <w:instrText xml:space="preserve"> HYPERLINK \l "_Toc123719645" </w:instrText>
      </w:r>
      <w:r>
        <w:fldChar w:fldCharType="separate"/>
      </w:r>
      <w:r>
        <w:rPr>
          <w:rStyle w:val="990"/>
          <w:rFonts w:hint="eastAsia"/>
          <w:b/>
          <w:color w:val="000000" w:themeColor="text1"/>
          <w:sz w:val="32"/>
          <w:szCs w:val="22"/>
          <w14:textFill>
            <w14:solidFill>
              <w14:schemeClr w14:val="tx1"/>
            </w14:solidFill>
          </w14:textFill>
        </w:rPr>
        <w:t xml:space="preserve">第一章 投标邀请</w:t>
      </w:r>
      <w:r>
        <w:rPr>
          <w:rStyle w:val="990"/>
          <w:rFonts w:hint="eastAsia"/>
          <w:b/>
          <w:color w:val="000000" w:themeColor="text1"/>
          <w:sz w:val="32"/>
          <w:szCs w:val="22"/>
          <w14:textFill>
            <w14:solidFill>
              <w14:schemeClr w14:val="tx1"/>
            </w14:solidFill>
          </w14:textFill>
        </w:rPr>
        <w:fldChar w:fldCharType="end"/>
      </w:r>
      <w:r/>
    </w:p>
    <w:p>
      <w:pPr>
        <w:pStyle w:val="977"/>
        <w:spacing w:after="0" w:line="480" w:lineRule="auto"/>
        <w:tabs>
          <w:tab w:val="right" w:pos="8296" w:leader="dot"/>
        </w:tabs>
      </w:pPr>
      <w:r>
        <w:fldChar w:fldCharType="begin"/>
      </w:r>
      <w:r>
        <w:instrText xml:space="preserve"> HYPERLINK \l "_Toc123719646" </w:instrText>
      </w:r>
      <w:r>
        <w:fldChar w:fldCharType="separate"/>
      </w:r>
      <w:r>
        <w:rPr>
          <w:rStyle w:val="990"/>
          <w:rFonts w:hint="eastAsia"/>
          <w:b/>
          <w:color w:val="000000" w:themeColor="text1"/>
          <w:sz w:val="32"/>
          <w:szCs w:val="22"/>
          <w14:textFill>
            <w14:solidFill>
              <w14:schemeClr w14:val="tx1"/>
            </w14:solidFill>
          </w14:textFill>
        </w:rPr>
        <w:t xml:space="preserve">第二章 投标人须知</w:t>
      </w:r>
      <w:r>
        <w:rPr>
          <w:rStyle w:val="990"/>
          <w:rFonts w:hint="eastAsia"/>
          <w:b/>
          <w:color w:val="000000" w:themeColor="text1"/>
          <w:sz w:val="32"/>
          <w:szCs w:val="22"/>
          <w14:textFill>
            <w14:solidFill>
              <w14:schemeClr w14:val="tx1"/>
            </w14:solidFill>
          </w14:textFill>
        </w:rPr>
        <w:fldChar w:fldCharType="end"/>
      </w:r>
      <w:r/>
    </w:p>
    <w:p>
      <w:pPr>
        <w:pStyle w:val="977"/>
        <w:spacing w:after="0" w:line="480" w:lineRule="auto"/>
        <w:tabs>
          <w:tab w:val="right" w:pos="8296" w:leader="dot"/>
        </w:tabs>
        <w:rPr>
          <w:rStyle w:val="990"/>
          <w:b/>
          <w:color w:val="000000" w:themeColor="text1"/>
          <w:sz w:val="32"/>
          <w:szCs w:val="22"/>
          <w14:textFill>
            <w14:solidFill>
              <w14:schemeClr w14:val="tx1"/>
            </w14:solidFill>
          </w14:textFill>
        </w:rPr>
      </w:pPr>
      <w:r>
        <w:fldChar w:fldCharType="begin"/>
      </w:r>
      <w:r>
        <w:instrText xml:space="preserve"> HYPERLINK \l "_Toc123719647" </w:instrText>
      </w:r>
      <w:r>
        <w:fldChar w:fldCharType="separate"/>
      </w:r>
      <w:r>
        <w:rPr>
          <w:rStyle w:val="990"/>
          <w:rFonts w:hint="eastAsia"/>
          <w:b/>
          <w:color w:val="000000" w:themeColor="text1"/>
          <w:sz w:val="32"/>
          <w:szCs w:val="22"/>
          <w14:textFill>
            <w14:solidFill>
              <w14:schemeClr w14:val="tx1"/>
            </w14:solidFill>
          </w14:textFill>
        </w:rPr>
        <w:t xml:space="preserve">第三章 资格</w:t>
      </w:r>
      <w:r>
        <w:rPr>
          <w:rStyle w:val="990"/>
          <w:rFonts w:hint="eastAsia"/>
          <w:b/>
          <w:color w:val="000000" w:themeColor="text1"/>
          <w:sz w:val="32"/>
          <w:szCs w:val="22"/>
          <w14:textFill>
            <w14:solidFill>
              <w14:schemeClr w14:val="tx1"/>
            </w14:solidFill>
          </w14:textFill>
        </w:rPr>
        <w:fldChar w:fldCharType="end"/>
      </w:r>
      <w:r>
        <w:rPr>
          <w:rStyle w:val="990"/>
          <w:rFonts w:hint="eastAsia"/>
          <w:b/>
          <w:color w:val="000000" w:themeColor="text1"/>
          <w:sz w:val="32"/>
          <w:szCs w:val="22"/>
          <w14:textFill>
            <w14:solidFill>
              <w14:schemeClr w14:val="tx1"/>
            </w14:solidFill>
          </w14:textFill>
        </w:rPr>
        <w:t xml:space="preserve">审查</w:t>
      </w:r>
      <w:r/>
    </w:p>
    <w:p>
      <w:pPr>
        <w:pStyle w:val="977"/>
        <w:spacing w:after="0" w:line="480" w:lineRule="auto"/>
        <w:tabs>
          <w:tab w:val="right" w:pos="8296" w:leader="dot"/>
        </w:tabs>
        <w:rPr>
          <w:rStyle w:val="990"/>
          <w:b/>
          <w:color w:val="000000" w:themeColor="text1"/>
          <w:sz w:val="32"/>
          <w:szCs w:val="22"/>
          <w14:textFill>
            <w14:solidFill>
              <w14:schemeClr w14:val="tx1"/>
            </w14:solidFill>
          </w14:textFill>
        </w:rPr>
      </w:pPr>
      <w:r>
        <w:fldChar w:fldCharType="begin"/>
      </w:r>
      <w:r>
        <w:instrText xml:space="preserve"> HYPERLINK \l "_Toc123719647" </w:instrText>
      </w:r>
      <w:r>
        <w:fldChar w:fldCharType="separate"/>
      </w:r>
      <w:r>
        <w:rPr>
          <w:rStyle w:val="990"/>
          <w:rFonts w:hint="eastAsia"/>
          <w:b/>
          <w:color w:val="000000" w:themeColor="text1"/>
          <w:sz w:val="32"/>
          <w:szCs w:val="22"/>
          <w14:textFill>
            <w14:solidFill>
              <w14:schemeClr w14:val="tx1"/>
            </w14:solidFill>
          </w14:textFill>
        </w:rPr>
        <w:t xml:space="preserve">第四章 评标程序、评标方法和评标标准</w:t>
      </w:r>
      <w:r>
        <w:rPr>
          <w:rStyle w:val="990"/>
          <w:rFonts w:hint="eastAsia"/>
          <w:b/>
          <w:color w:val="000000" w:themeColor="text1"/>
          <w:sz w:val="32"/>
          <w:szCs w:val="22"/>
          <w14:textFill>
            <w14:solidFill>
              <w14:schemeClr w14:val="tx1"/>
            </w14:solidFill>
          </w14:textFill>
        </w:rPr>
        <w:fldChar w:fldCharType="end"/>
      </w:r>
      <w:r/>
    </w:p>
    <w:p>
      <w:pPr>
        <w:pStyle w:val="977"/>
        <w:spacing w:after="0" w:line="480" w:lineRule="auto"/>
        <w:tabs>
          <w:tab w:val="right" w:pos="8296" w:leader="dot"/>
        </w:tabs>
        <w:rPr>
          <w:rStyle w:val="990"/>
          <w:b/>
          <w:color w:val="000000" w:themeColor="text1"/>
          <w:sz w:val="32"/>
          <w:szCs w:val="22"/>
          <w14:textFill>
            <w14:solidFill>
              <w14:schemeClr w14:val="tx1"/>
            </w14:solidFill>
          </w14:textFill>
        </w:rPr>
      </w:pPr>
      <w:r>
        <w:fldChar w:fldCharType="begin"/>
      </w:r>
      <w:r>
        <w:instrText xml:space="preserve"> HYPERLINK \l "_Toc123719648" </w:instrText>
      </w:r>
      <w:r>
        <w:fldChar w:fldCharType="separate"/>
      </w:r>
      <w:r>
        <w:rPr>
          <w:rStyle w:val="990"/>
          <w:rFonts w:hint="eastAsia"/>
          <w:b/>
          <w:color w:val="000000" w:themeColor="text1"/>
          <w:sz w:val="32"/>
          <w:szCs w:val="22"/>
          <w14:textFill>
            <w14:solidFill>
              <w14:schemeClr w14:val="tx1"/>
            </w14:solidFill>
          </w14:textFill>
        </w:rPr>
        <w:t xml:space="preserve">第五章采购需求</w:t>
      </w:r>
      <w:r>
        <w:rPr>
          <w:rStyle w:val="990"/>
          <w:rFonts w:hint="eastAsia"/>
          <w:b/>
          <w:color w:val="000000" w:themeColor="text1"/>
          <w:sz w:val="32"/>
          <w:szCs w:val="22"/>
          <w14:textFill>
            <w14:solidFill>
              <w14:schemeClr w14:val="tx1"/>
            </w14:solidFill>
          </w14:textFill>
        </w:rPr>
        <w:fldChar w:fldCharType="end"/>
      </w:r>
      <w:r/>
    </w:p>
    <w:p>
      <w:pPr>
        <w:pStyle w:val="977"/>
        <w:spacing w:after="0" w:line="480" w:lineRule="auto"/>
        <w:tabs>
          <w:tab w:val="right" w:pos="8296" w:leader="dot"/>
        </w:tabs>
        <w:rPr>
          <w:rStyle w:val="990"/>
          <w:b/>
          <w:color w:val="000000" w:themeColor="text1"/>
          <w:sz w:val="32"/>
          <w:szCs w:val="22"/>
          <w14:textFill>
            <w14:solidFill>
              <w14:schemeClr w14:val="tx1"/>
            </w14:solidFill>
          </w14:textFill>
        </w:rPr>
      </w:pPr>
      <w:r>
        <w:fldChar w:fldCharType="begin"/>
      </w:r>
      <w:r>
        <w:instrText xml:space="preserve"> HYPERLINK \l "_Toc123719649" </w:instrText>
      </w:r>
      <w:r>
        <w:fldChar w:fldCharType="separate"/>
      </w:r>
      <w:r>
        <w:rPr>
          <w:rStyle w:val="990"/>
          <w:rFonts w:hint="eastAsia"/>
          <w:b/>
          <w:color w:val="000000" w:themeColor="text1"/>
          <w:sz w:val="32"/>
          <w:szCs w:val="22"/>
          <w14:textFill>
            <w14:solidFill>
              <w14:schemeClr w14:val="tx1"/>
            </w14:solidFill>
          </w14:textFill>
        </w:rPr>
        <w:t xml:space="preserve">第六章 拟签订的合同文本</w:t>
      </w:r>
      <w:r>
        <w:rPr>
          <w:rStyle w:val="990"/>
          <w:rFonts w:hint="eastAsia"/>
          <w:b/>
          <w:color w:val="000000" w:themeColor="text1"/>
          <w:sz w:val="32"/>
          <w:szCs w:val="22"/>
          <w14:textFill>
            <w14:solidFill>
              <w14:schemeClr w14:val="tx1"/>
            </w14:solidFill>
          </w14:textFill>
        </w:rPr>
        <w:fldChar w:fldCharType="end"/>
      </w:r>
      <w:r/>
    </w:p>
    <w:p>
      <w:pPr>
        <w:pStyle w:val="977"/>
        <w:spacing w:after="0" w:line="480" w:lineRule="auto"/>
        <w:tabs>
          <w:tab w:val="right" w:pos="8296" w:leader="dot"/>
        </w:tabs>
        <w:rPr>
          <w:rStyle w:val="990"/>
          <w:b/>
          <w:color w:val="000000" w:themeColor="text1"/>
          <w:sz w:val="32"/>
          <w:szCs w:val="22"/>
          <w14:textFill>
            <w14:solidFill>
              <w14:schemeClr w14:val="tx1"/>
            </w14:solidFill>
          </w14:textFill>
        </w:rPr>
      </w:pPr>
      <w:r>
        <w:fldChar w:fldCharType="begin"/>
      </w:r>
      <w:r>
        <w:instrText xml:space="preserve"> HYPERLINK \l "_Toc123719650" </w:instrText>
      </w:r>
      <w:r>
        <w:fldChar w:fldCharType="separate"/>
      </w:r>
      <w:r>
        <w:rPr>
          <w:rStyle w:val="990"/>
          <w:rFonts w:hint="eastAsia"/>
          <w:b/>
          <w:color w:val="000000" w:themeColor="text1"/>
          <w:sz w:val="32"/>
          <w:szCs w:val="22"/>
          <w14:textFill>
            <w14:solidFill>
              <w14:schemeClr w14:val="tx1"/>
            </w14:solidFill>
          </w14:textFill>
        </w:rPr>
        <w:t xml:space="preserve">第七章响应文件格式</w:t>
      </w:r>
      <w:r>
        <w:rPr>
          <w:rStyle w:val="990"/>
          <w:rFonts w:hint="eastAsia"/>
          <w:b/>
          <w:color w:val="000000" w:themeColor="text1"/>
          <w:sz w:val="32"/>
          <w:szCs w:val="22"/>
          <w14:textFill>
            <w14:solidFill>
              <w14:schemeClr w14:val="tx1"/>
            </w14:solidFill>
          </w14:textFill>
        </w:rPr>
        <w:fldChar w:fldCharType="end"/>
      </w:r>
      <w:r/>
    </w:p>
    <w:p>
      <w:pPr>
        <w:jc w:val="center"/>
        <w:spacing w:line="360" w:lineRule="auto"/>
        <w:rPr>
          <w:sz w:val="32"/>
          <w:szCs w:val="32"/>
        </w:rPr>
        <w:outlineLvl w:val="0"/>
      </w:pPr>
      <w:r>
        <w:rPr>
          <w:rStyle w:val="990"/>
          <w:rFonts w:hint="eastAsia"/>
          <w:b/>
          <w:color w:val="000000" w:themeColor="text1"/>
          <w:sz w:val="32"/>
          <w:szCs w:val="22"/>
          <w14:textFill>
            <w14:solidFill>
              <w14:schemeClr w14:val="tx1"/>
            </w14:solidFill>
          </w14:textFill>
        </w:rPr>
        <w:fldChar w:fldCharType="end"/>
      </w:r>
      <w:r>
        <w:rPr>
          <w:sz w:val="24"/>
        </w:rPr>
        <w:br w:type="page" w:clear="all"/>
      </w:r>
      <w:bookmarkStart w:id="1" w:name="_Toc99301419"/>
      <w:r>
        <w:rPr>
          <w:b/>
          <w:sz w:val="36"/>
          <w:szCs w:val="36"/>
        </w:rPr>
        <w:t xml:space="preserve">第一章   投标邀请</w:t>
      </w:r>
      <w:bookmarkEnd w:id="1"/>
      <w:r/>
      <w:r/>
    </w:p>
    <w:p>
      <w:pPr>
        <w:pStyle w:val="1142"/>
        <w:jc w:val="left"/>
        <w:spacing w:before="0" w:line="360" w:lineRule="auto"/>
        <w:rPr>
          <w:rFonts w:ascii="Times New Roman" w:hAnsi="Times New Roman" w:eastAsia="宋体"/>
          <w:sz w:val="24"/>
          <w:szCs w:val="24"/>
        </w:rPr>
      </w:pPr>
      <w:r/>
      <w:bookmarkStart w:id="2" w:name="_Toc28359002"/>
      <w:r/>
      <w:bookmarkStart w:id="3" w:name="_Toc28359079"/>
      <w:r/>
      <w:bookmarkStart w:id="4" w:name="_Toc35393790"/>
      <w:r/>
      <w:bookmarkStart w:id="5" w:name="_Toc35393621"/>
      <w:r/>
      <w:bookmarkStart w:id="6" w:name="_Hlk24379207"/>
      <w:r>
        <w:rPr>
          <w:rFonts w:ascii="Times New Roman" w:hAnsi="Times New Roman" w:eastAsia="宋体"/>
          <w:sz w:val="24"/>
          <w:szCs w:val="24"/>
        </w:rPr>
        <w:t xml:space="preserve">一、项目基本情况</w:t>
      </w:r>
      <w:bookmarkEnd w:id="2"/>
      <w:r/>
      <w:bookmarkEnd w:id="3"/>
      <w:r/>
      <w:bookmarkEnd w:id="4"/>
      <w:r/>
      <w:bookmarkEnd w:id="5"/>
      <w:r/>
      <w:r/>
    </w:p>
    <w:p>
      <w:pPr>
        <w:ind w:firstLine="480"/>
        <w:spacing w:line="360" w:lineRule="auto"/>
        <w:rPr>
          <w:rFonts w:hint="default" w:eastAsia="宋体"/>
          <w:color w:val="000000"/>
          <w:sz w:val="24"/>
          <w:highlight w:val="yellow"/>
          <w:lang w:val="en-US" w:eastAsia="zh-CN"/>
        </w:rPr>
      </w:pPr>
      <w:r>
        <w:rPr>
          <w:color w:val="000000"/>
          <w:sz w:val="24"/>
        </w:rPr>
        <w:t xml:space="preserve">1.项目编号/包号：</w:t>
      </w:r>
      <w:r>
        <w:rPr>
          <w:rFonts w:hint="eastAsia"/>
          <w:color w:val="000000"/>
          <w:sz w:val="24"/>
        </w:rPr>
        <w:t xml:space="preserve">JSZC-320413-HSGS-G2026-0016</w:t>
      </w:r>
      <w:r/>
    </w:p>
    <w:p>
      <w:pPr>
        <w:ind w:firstLine="480"/>
        <w:spacing w:line="360" w:lineRule="auto"/>
        <w:rPr>
          <w:sz w:val="24"/>
        </w:rPr>
      </w:pPr>
      <w:r>
        <w:rPr>
          <w:sz w:val="24"/>
        </w:rPr>
        <w:t xml:space="preserve">2.项目名称：</w:t>
      </w:r>
      <w:r>
        <w:rPr>
          <w:rFonts w:hint="eastAsia"/>
          <w:sz w:val="24"/>
        </w:rPr>
        <w:t xml:space="preserve">2026年金坛区自然灾害救助民生惠民保险项目</w:t>
      </w:r>
      <w:bookmarkEnd w:id="6"/>
      <w:r/>
    </w:p>
    <w:p>
      <w:pPr>
        <w:ind w:firstLine="480"/>
        <w:spacing w:line="360" w:lineRule="auto"/>
        <w:rPr>
          <w:rFonts w:hint="default" w:eastAsia="宋体"/>
          <w:sz w:val="24"/>
          <w:highlight w:val="none"/>
          <w:u w:val="single"/>
          <w:lang w:val="en-US" w:eastAsia="zh-CN"/>
        </w:rPr>
      </w:pPr>
      <w:r>
        <w:rPr>
          <w:sz w:val="24"/>
        </w:rPr>
        <w:t xml:space="preserve">3.项目预算金额：</w:t>
      </w:r>
      <w:r>
        <w:rPr>
          <w:rFonts w:hint="eastAsia"/>
          <w:sz w:val="24"/>
          <w:highlight w:val="none"/>
        </w:rPr>
        <w:t xml:space="preserve">85万元/年</w:t>
      </w:r>
      <w:r>
        <w:rPr>
          <w:rFonts w:hint="eastAsia"/>
          <w:sz w:val="24"/>
          <w:highlight w:val="none"/>
          <w:lang w:eastAsia="zh-CN"/>
        </w:rPr>
        <w:t xml:space="preserve">，</w:t>
      </w:r>
      <w:r>
        <w:rPr>
          <w:rFonts w:hint="eastAsia"/>
          <w:sz w:val="24"/>
          <w:highlight w:val="none"/>
          <w:lang w:val="en-US" w:eastAsia="zh-CN"/>
        </w:rPr>
        <w:t xml:space="preserve">三年共255万元</w:t>
      </w:r>
      <w:r/>
    </w:p>
    <w:p>
      <w:pPr>
        <w:ind w:firstLine="480"/>
        <w:spacing w:line="360" w:lineRule="auto"/>
        <w:rPr>
          <w:sz w:val="24"/>
          <w:highlight w:val="none"/>
        </w:rPr>
      </w:pPr>
      <w:r>
        <w:rPr>
          <w:sz w:val="24"/>
          <w:highlight w:val="none"/>
        </w:rPr>
        <w:t xml:space="preserve">项目最高限价（如有）：</w:t>
      </w:r>
      <w:r>
        <w:rPr>
          <w:rFonts w:hint="eastAsia"/>
          <w:sz w:val="24"/>
          <w:highlight w:val="none"/>
          <w:u w:val="single"/>
        </w:rPr>
        <w:t xml:space="preserve">85万元/年，投标报价超过最高限价的作无效投标文件处理</w:t>
      </w:r>
      <w:r>
        <w:rPr>
          <w:rFonts w:hint="eastAsia"/>
          <w:sz w:val="24"/>
          <w:highlight w:val="none"/>
        </w:rPr>
        <w:t xml:space="preserve">。</w:t>
      </w:r>
      <w:r/>
    </w:p>
    <w:p>
      <w:pPr>
        <w:ind w:firstLine="480"/>
        <w:spacing w:line="360" w:lineRule="auto"/>
        <w:rPr>
          <w:sz w:val="24"/>
          <w:highlight w:val="none"/>
        </w:rPr>
      </w:pPr>
      <w:r>
        <w:rPr>
          <w:sz w:val="24"/>
          <w:highlight w:val="none"/>
        </w:rPr>
        <w:t xml:space="preserve">4.采购需求：</w:t>
      </w:r>
      <w:r/>
    </w:p>
    <w:tbl>
      <w:tblPr>
        <w:tblStyle w:val="965"/>
        <w:tblW w:w="483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865"/>
        <w:gridCol w:w="2010"/>
        <w:gridCol w:w="1109"/>
        <w:gridCol w:w="2819"/>
      </w:tblGrid>
      <w:tr>
        <w:trPr>
          <w:jc w:val="center"/>
          <w:trHeight w:val="684"/>
        </w:trPr>
        <w:tc>
          <w:tcPr>
            <w:tcW w:w="434" w:type="dxa"/>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包号</w:t>
            </w:r>
            <w:r/>
          </w:p>
        </w:tc>
        <w:tc>
          <w:tcPr>
            <w:tcW w:w="1485" w:type="dxa"/>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标的名称</w:t>
            </w:r>
            <w:r/>
          </w:p>
        </w:tc>
        <w:tc>
          <w:tcPr>
            <w:tcW w:w="1042" w:type="dxa"/>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采购包最高限价</w:t>
            </w:r>
            <w:r/>
          </w:p>
          <w:p>
            <w:pPr>
              <w:jc w:val="center"/>
              <w:rPr>
                <w:rFonts w:ascii="宋体" w:hAnsi="宋体" w:cs="宋体"/>
                <w:b/>
                <w:szCs w:val="21"/>
                <w:highlight w:val="none"/>
              </w:rPr>
            </w:pPr>
            <w:r>
              <w:rPr>
                <w:rFonts w:hint="eastAsia" w:ascii="宋体" w:hAnsi="宋体" w:cs="宋体"/>
                <w:b/>
                <w:szCs w:val="21"/>
                <w:highlight w:val="none"/>
              </w:rPr>
              <w:t xml:space="preserve">（元/年）</w:t>
            </w:r>
            <w:r/>
          </w:p>
        </w:tc>
        <w:tc>
          <w:tcPr>
            <w:tcW w:w="575" w:type="dxa"/>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数量</w:t>
            </w:r>
            <w:r/>
          </w:p>
        </w:tc>
        <w:tc>
          <w:tcPr>
            <w:tcW w:w="1461" w:type="dxa"/>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简要技术需求或服务要求</w:t>
            </w:r>
            <w:r/>
          </w:p>
        </w:tc>
      </w:tr>
      <w:tr>
        <w:trPr>
          <w:jc w:val="center"/>
          <w:trHeight w:val="874"/>
        </w:trPr>
        <w:tc>
          <w:tcPr>
            <w:tcW w:w="434" w:type="dxa"/>
            <w:vAlign w:val="center"/>
            <w:textDirection w:val="lrTb"/>
            <w:noWrap/>
          </w:tcPr>
          <w:p>
            <w:pPr>
              <w:jc w:val="center"/>
              <w:rPr>
                <w:rFonts w:ascii="宋体" w:hAnsi="宋体" w:cs="宋体"/>
                <w:bCs/>
                <w:szCs w:val="21"/>
                <w:highlight w:val="none"/>
              </w:rPr>
            </w:pPr>
            <w:r>
              <w:rPr>
                <w:rFonts w:hint="eastAsia" w:ascii="宋体" w:hAnsi="宋体" w:cs="宋体"/>
                <w:bCs/>
                <w:szCs w:val="21"/>
                <w:highlight w:val="none"/>
              </w:rPr>
              <w:t xml:space="preserve">01</w:t>
            </w:r>
            <w:r/>
          </w:p>
        </w:tc>
        <w:tc>
          <w:tcPr>
            <w:tcW w:w="1485"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2026年金坛区自然灾害救助民生惠民保险项目</w:t>
            </w:r>
            <w:r/>
          </w:p>
        </w:tc>
        <w:tc>
          <w:tcPr>
            <w:tcW w:w="1042"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850000</w:t>
            </w:r>
            <w:r/>
          </w:p>
        </w:tc>
        <w:tc>
          <w:tcPr>
            <w:tcW w:w="575"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w:t>
            </w:r>
            <w:r/>
          </w:p>
        </w:tc>
        <w:tc>
          <w:tcPr>
            <w:tcW w:w="1461"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详见采购需求</w:t>
            </w:r>
            <w:r/>
          </w:p>
        </w:tc>
      </w:tr>
    </w:tbl>
    <w:p>
      <w:pPr>
        <w:ind w:firstLine="480"/>
        <w:spacing w:line="360" w:lineRule="auto"/>
        <w:rPr>
          <w:sz w:val="24"/>
          <w:highlight w:val="none"/>
        </w:rPr>
      </w:pPr>
      <w:r>
        <w:rPr>
          <w:sz w:val="24"/>
          <w:highlight w:val="none"/>
        </w:rPr>
      </w:r>
      <w:r/>
    </w:p>
    <w:p>
      <w:pPr>
        <w:ind w:firstLine="480"/>
        <w:spacing w:line="360" w:lineRule="auto"/>
        <w:rPr>
          <w:sz w:val="24"/>
          <w:highlight w:val="none"/>
          <w:u w:val="single"/>
        </w:rPr>
      </w:pPr>
      <w:r>
        <w:rPr>
          <w:rFonts w:hint="eastAsia"/>
          <w:sz w:val="24"/>
          <w:highlight w:val="none"/>
        </w:rPr>
        <w:t xml:space="preserve">5.</w:t>
      </w:r>
      <w:r>
        <w:rPr>
          <w:sz w:val="24"/>
          <w:highlight w:val="none"/>
        </w:rPr>
        <w:t xml:space="preserve">合同履行期限：</w:t>
      </w:r>
      <w:r>
        <w:rPr>
          <w:rFonts w:hint="eastAsia"/>
          <w:sz w:val="24"/>
          <w:highlight w:val="none"/>
        </w:rPr>
        <w:t xml:space="preserve">三年，采取1年+1年+1年的模式，常州市金坛区应急管理局与中标人先签订壹年服务期的合同。合同服务期满后，如采购人和保险公司均无异议，且保险公司年度考核符合各项要求，则续签下一年保险合同，如采购人和保险公司在合同期满后不续签合同，须在期满之日的2个月前通知对方。（自通知中标供应商正式进场起，具体时间以合同签订时间为准）。</w:t>
      </w:r>
      <w:r/>
    </w:p>
    <w:p>
      <w:pPr>
        <w:ind w:firstLine="480"/>
        <w:spacing w:line="360" w:lineRule="auto"/>
        <w:rPr>
          <w:sz w:val="24"/>
          <w:highlight w:val="none"/>
        </w:rPr>
      </w:pPr>
      <w:r>
        <w:rPr>
          <w:sz w:val="24"/>
          <w:highlight w:val="none"/>
        </w:rPr>
        <w:t xml:space="preserve">6.本项目是否接受联合体投标：</w:t>
      </w:r>
      <w:r>
        <w:rPr>
          <w:rFonts w:hint="eastAsia"/>
          <w:sz w:val="24"/>
          <w:highlight w:val="none"/>
        </w:rPr>
        <w:t xml:space="preserve">□</w:t>
      </w:r>
      <w:r>
        <w:rPr>
          <w:sz w:val="24"/>
          <w:highlight w:val="none"/>
        </w:rPr>
        <w:t xml:space="preserve">是  </w:t>
      </w:r>
      <w:r>
        <w:rPr>
          <w:rFonts w:hint="eastAsia"/>
          <w:sz w:val="24"/>
          <w:highlight w:val="none"/>
        </w:rPr>
        <w:t xml:space="preserve">☑</w:t>
      </w:r>
      <w:r>
        <w:rPr>
          <w:sz w:val="24"/>
          <w:highlight w:val="none"/>
        </w:rPr>
        <w:t xml:space="preserve">否。</w:t>
      </w:r>
      <w:r/>
    </w:p>
    <w:p>
      <w:pPr>
        <w:pStyle w:val="1142"/>
        <w:jc w:val="left"/>
        <w:spacing w:before="0" w:line="360" w:lineRule="auto"/>
        <w:rPr>
          <w:rFonts w:ascii="Times New Roman" w:hAnsi="Times New Roman" w:eastAsia="宋体"/>
          <w:sz w:val="24"/>
          <w:szCs w:val="24"/>
          <w:highlight w:val="none"/>
        </w:rPr>
      </w:pPr>
      <w:r/>
      <w:bookmarkStart w:id="7" w:name="_Toc35393791"/>
      <w:r/>
      <w:bookmarkStart w:id="8" w:name="_Toc35393622"/>
      <w:r/>
      <w:bookmarkStart w:id="9" w:name="_Toc28359003"/>
      <w:r/>
      <w:bookmarkStart w:id="10" w:name="_Toc28359080"/>
      <w:r>
        <w:rPr>
          <w:rFonts w:ascii="Times New Roman" w:hAnsi="Times New Roman" w:eastAsia="宋体"/>
          <w:sz w:val="24"/>
          <w:szCs w:val="24"/>
          <w:highlight w:val="none"/>
        </w:rPr>
        <w:t xml:space="preserve">二、申请人的资格要求（须同时满足）</w:t>
      </w:r>
      <w:bookmarkEnd w:id="7"/>
      <w:r/>
      <w:bookmarkEnd w:id="8"/>
      <w:r/>
      <w:bookmarkEnd w:id="9"/>
      <w:r/>
      <w:bookmarkEnd w:id="10"/>
      <w:r/>
      <w:r/>
    </w:p>
    <w:p>
      <w:pPr>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bookmarkStart w:id="11" w:name="_Toc28359081"/>
      <w:r/>
      <w:bookmarkStart w:id="12" w:name="_Toc28359004"/>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rPr>
          <w:rFonts w:hint="eastAsia"/>
          <w:sz w:val="24"/>
          <w:highlight w:val="none"/>
        </w:rPr>
        <w:t xml:space="preserve">：本项目不专门面向中小企业预留采购份额</w:t>
      </w:r>
      <w:r>
        <w:rPr>
          <w:color w:val="000000" w:themeColor="text1"/>
          <w:sz w:val="24"/>
          <w:highlight w:val="none"/>
          <w14:textFill>
            <w14:solidFill>
              <w14:schemeClr w14:val="tx1"/>
            </w14:solidFill>
          </w14:textFill>
        </w:rPr>
        <w:t xml:space="preserve">。</w:t>
      </w:r>
      <w:r/>
    </w:p>
    <w:p>
      <w:pPr>
        <w:ind w:firstLine="480"/>
        <w:spacing w:line="360" w:lineRule="auto"/>
        <w:rPr>
          <w:sz w:val="24"/>
          <w:highlight w:val="none"/>
        </w:rPr>
      </w:pPr>
      <w:r>
        <w:rPr>
          <w:sz w:val="24"/>
          <w:highlight w:val="none"/>
        </w:rPr>
        <w:t xml:space="preserve">2.2 其它落实政府采购政策的资格要求（如有）：__</w:t>
      </w:r>
      <w:r>
        <w:rPr>
          <w:rFonts w:hint="eastAsia"/>
          <w:sz w:val="24"/>
          <w:highlight w:val="none"/>
        </w:rPr>
        <w:t xml:space="preserve">/</w:t>
      </w:r>
      <w:r>
        <w:rPr>
          <w:sz w:val="24"/>
          <w:highlight w:val="none"/>
        </w:rPr>
        <w:t xml:space="preserve">___</w:t>
      </w:r>
      <w:r>
        <w:rPr>
          <w:rFonts w:hint="eastAsia"/>
          <w:sz w:val="24"/>
          <w:highlight w:val="none"/>
        </w:rPr>
        <w:t xml:space="preserve">。</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3.1本项目是否接受分支机构参与投标：</w:t>
      </w:r>
      <w:r>
        <w:rPr>
          <w:rFonts w:hint="eastAsia"/>
          <w:sz w:val="24"/>
          <w:highlight w:val="none"/>
        </w:rPr>
        <w:t xml:space="preserve">☑</w:t>
      </w:r>
      <w:r>
        <w:rPr>
          <w:sz w:val="24"/>
          <w:highlight w:val="none"/>
        </w:rPr>
        <w:t xml:space="preserve">是</w:t>
      </w:r>
      <w:r>
        <w:rPr>
          <w:rFonts w:hint="eastAsia"/>
          <w:sz w:val="24"/>
          <w:highlight w:val="none"/>
        </w:rPr>
        <w:t xml:space="preserve">□</w:t>
      </w:r>
      <w:r>
        <w:rPr>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color w:val="0000ff"/>
          <w:sz w:val="24"/>
          <w:highlight w:val="none"/>
        </w:rPr>
      </w:pPr>
      <w:r>
        <w:rPr>
          <w:rFonts w:hint="eastAsia" w:ascii="宋体" w:hAnsi="宋体"/>
          <w:b/>
          <w:bCs/>
          <w:color w:val="0000ff"/>
          <w:sz w:val="24"/>
          <w:highlight w:val="none"/>
        </w:rPr>
        <w:t xml:space="preserve">本项目接受分支机构投标，分支机构投标须提供总公司授权。同一家总公司只能有一家分支机构参与投标，且总公司不能与下属分支机构同时参与投标</w:t>
      </w:r>
      <w:r>
        <w:rPr>
          <w:b/>
          <w:bCs/>
          <w:color w:val="0000ff"/>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rFonts w:hint="eastAsia"/>
          <w:sz w:val="24"/>
          <w:highlight w:val="none"/>
        </w:rPr>
        <w:t xml:space="preserve">□</w:t>
      </w:r>
      <w:r>
        <w:rPr>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rFonts w:hint="eastAsia"/>
          <w:sz w:val="24"/>
          <w:highlight w:val="none"/>
        </w:rPr>
        <w:t xml:space="preserve">☑</w:t>
      </w:r>
      <w:r>
        <w:rPr>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sz w:val="24"/>
          <w:highlight w:val="none"/>
        </w:rPr>
      </w:pPr>
      <w:r>
        <w:rPr>
          <w:sz w:val="24"/>
          <w:highlight w:val="none"/>
        </w:rPr>
        <w:t xml:space="preserve">3.3其他特定资格要求</w:t>
      </w:r>
      <w:r>
        <w:rPr>
          <w:rFonts w:hint="eastAsia"/>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i/>
          <w:iCs/>
          <w:color w:val="0000ff"/>
          <w:sz w:val="24"/>
          <w:highlight w:val="none"/>
          <w:u w:val="single"/>
        </w:rPr>
      </w:pPr>
      <w:r>
        <w:rPr>
          <w:rFonts w:hint="eastAsia"/>
          <w:color w:val="0000ff"/>
          <w:sz w:val="24"/>
          <w:highlight w:val="none"/>
          <w:u w:val="single"/>
        </w:rPr>
        <w:t xml:space="preserve">当总公司作为投标人投标：应具备《保险机构法人许可证》；当分支机构作为投标人投标：应具备《经营保险业务许可证》及总公司授权书。</w:t>
      </w:r>
      <w:bookmarkEnd w:id="11"/>
      <w:bookmarkEnd w:id="12"/>
      <w:r/>
    </w:p>
    <w:p>
      <w:pPr>
        <w:pStyle w:val="1142"/>
        <w:jc w:val="left"/>
        <w:spacing w:before="0" w:line="360" w:lineRule="auto"/>
        <w:widowControl/>
        <w:rPr>
          <w:rFonts w:ascii="Times New Roman" w:hAnsi="Times New Roman" w:eastAsia="宋体"/>
          <w:sz w:val="24"/>
          <w:szCs w:val="24"/>
          <w:highlight w:val="none"/>
        </w:rPr>
      </w:pPr>
      <w:r/>
      <w:bookmarkStart w:id="13" w:name="_Toc35393792"/>
      <w:r/>
      <w:bookmarkStart w:id="14" w:name="_Toc35393623"/>
      <w:r>
        <w:rPr>
          <w:rFonts w:ascii="Times New Roman" w:hAnsi="Times New Roman" w:eastAsia="宋体"/>
          <w:sz w:val="24"/>
          <w:szCs w:val="24"/>
          <w:highlight w:val="none"/>
        </w:rPr>
        <w:t xml:space="preserve">三、获取招标文件</w:t>
      </w:r>
      <w:bookmarkEnd w:id="13"/>
      <w:r/>
      <w:bookmarkEnd w:id="14"/>
      <w:r/>
      <w:r/>
    </w:p>
    <w:p>
      <w:pPr>
        <w:ind w:firstLine="480"/>
        <w:spacing w:line="360" w:lineRule="auto"/>
        <w:rPr>
          <w:color w:val="000000"/>
          <w:sz w:val="24"/>
          <w:highlight w:val="none"/>
          <w:u w:val="single"/>
        </w:rPr>
      </w:pPr>
      <w:r>
        <w:rPr>
          <w:color w:val="000000"/>
          <w:sz w:val="24"/>
          <w:highlight w:val="none"/>
        </w:rPr>
        <w:t xml:space="preserve">1.时间：</w:t>
      </w:r>
      <w:r>
        <w:rPr>
          <w:rFonts w:hint="eastAsia"/>
          <w:color w:val="000000" w:themeColor="text1"/>
          <w:sz w:val="24"/>
          <w:highlight w:val="none"/>
          <w14:textFill>
            <w14:solidFill>
              <w14:schemeClr w14:val="tx1"/>
            </w14:solidFill>
          </w14:textFill>
        </w:rPr>
        <w:t xml:space="preserve">自本公告发布之日起5个工作日</w:t>
      </w:r>
      <w:r/>
    </w:p>
    <w:p>
      <w:pPr>
        <w:ind w:firstLine="480"/>
        <w:spacing w:line="360" w:lineRule="auto"/>
        <w:rPr>
          <w:color w:val="000000"/>
          <w:sz w:val="24"/>
          <w:highlight w:val="none"/>
        </w:rPr>
      </w:pPr>
      <w:r>
        <w:rPr>
          <w:rFonts w:hint="eastAsia"/>
          <w:color w:val="000000"/>
          <w:sz w:val="24"/>
          <w:highlight w:val="none"/>
        </w:rPr>
        <w:t xml:space="preserve">2.地点：“苏采云”政府采购一体化平台</w:t>
      </w:r>
      <w:r>
        <w:rPr>
          <w:rFonts w:hint="eastAsia"/>
          <w:sz w:val="24"/>
          <w:highlight w:val="none"/>
        </w:rPr>
        <w:t xml:space="preserve">（网址：</w:t>
      </w:r>
      <w:r>
        <w:rPr>
          <w:highlight w:val="none"/>
        </w:rPr>
        <w:fldChar w:fldCharType="begin"/>
      </w:r>
      <w:r>
        <w:rPr>
          <w:highlight w:val="none"/>
        </w:rPr>
        <w:instrText xml:space="preserve"> HYPERLINK "http://jszfcg.jsczt.cn/jszc/login）" </w:instrText>
      </w:r>
      <w:r>
        <w:rPr>
          <w:highlight w:val="none"/>
        </w:rPr>
        <w:fldChar w:fldCharType="separate"/>
      </w:r>
      <w:r>
        <w:rPr>
          <w:rStyle w:val="990"/>
          <w:rFonts w:hint="eastAsia"/>
          <w:sz w:val="24"/>
          <w:highlight w:val="none"/>
        </w:rPr>
        <w:t xml:space="preserve">http://jszfcg.jsczt.cn/jszc/login）</w:t>
      </w:r>
      <w:r>
        <w:rPr>
          <w:rStyle w:val="990"/>
          <w:rFonts w:hint="eastAsia"/>
          <w:sz w:val="24"/>
          <w:highlight w:val="none"/>
        </w:rPr>
        <w:fldChar w:fldCharType="end"/>
      </w:r>
      <w:r/>
    </w:p>
    <w:p>
      <w:pPr>
        <w:ind w:firstLine="480"/>
        <w:jc w:val="left"/>
        <w:spacing w:line="360" w:lineRule="auto"/>
        <w:widowControl/>
        <w:rPr>
          <w:color w:val="000000"/>
          <w:sz w:val="24"/>
        </w:rPr>
      </w:pPr>
      <w:r>
        <w:rPr>
          <w:rFonts w:hint="eastAsia"/>
          <w:color w:val="000000"/>
          <w:sz w:val="24"/>
        </w:rPr>
        <w:t xml:space="preserve">3.方式：投标人完成注册并办理CA证书后登录“苏采云”政府采购一体化平台，下载本项目电子版采购文件。</w:t>
      </w:r>
      <w:r/>
    </w:p>
    <w:p>
      <w:pPr>
        <w:ind w:firstLine="480"/>
        <w:jc w:val="left"/>
        <w:spacing w:line="360" w:lineRule="auto"/>
        <w:widowControl/>
        <w:rPr>
          <w:color w:val="000000"/>
          <w:sz w:val="24"/>
        </w:rPr>
      </w:pPr>
      <w:r>
        <w:rPr>
          <w:rFonts w:hint="eastAsia"/>
          <w:color w:val="000000"/>
          <w:sz w:val="24"/>
        </w:rPr>
        <w:t xml:space="preserve">4.售价：0元。</w:t>
      </w:r>
      <w:r/>
    </w:p>
    <w:p>
      <w:pPr>
        <w:pStyle w:val="1142"/>
        <w:jc w:val="left"/>
        <w:spacing w:before="0" w:line="360" w:lineRule="auto"/>
        <w:widowControl/>
        <w:rPr>
          <w:rFonts w:ascii="Times New Roman" w:hAnsi="Times New Roman" w:eastAsia="宋体"/>
          <w:color w:val="000000"/>
          <w:sz w:val="24"/>
          <w:szCs w:val="24"/>
        </w:rPr>
      </w:pPr>
      <w:r/>
      <w:bookmarkStart w:id="15" w:name="_Toc28359005"/>
      <w:r/>
      <w:bookmarkStart w:id="16" w:name="_Toc28359082"/>
      <w:r/>
      <w:bookmarkStart w:id="17" w:name="_Toc35393624"/>
      <w:r/>
      <w:bookmarkStart w:id="18" w:name="_Toc35393793"/>
      <w:r>
        <w:rPr>
          <w:rFonts w:ascii="Times New Roman" w:hAnsi="Times New Roman" w:eastAsia="宋体"/>
          <w:color w:val="000000"/>
          <w:sz w:val="24"/>
          <w:szCs w:val="24"/>
        </w:rPr>
        <w:t xml:space="preserve">四、提交投标文件</w:t>
      </w:r>
      <w:bookmarkEnd w:id="15"/>
      <w:r/>
      <w:bookmarkEnd w:id="16"/>
      <w:r>
        <w:rPr>
          <w:rFonts w:ascii="Times New Roman" w:hAnsi="Times New Roman" w:eastAsia="宋体"/>
          <w:color w:val="000000"/>
          <w:sz w:val="24"/>
          <w:szCs w:val="24"/>
        </w:rPr>
        <w:t xml:space="preserve">截止时间、开标时间和地点</w:t>
      </w:r>
      <w:bookmarkEnd w:id="17"/>
      <w:r/>
      <w:bookmarkEnd w:id="18"/>
      <w:r/>
      <w:r/>
    </w:p>
    <w:p>
      <w:pPr>
        <w:ind w:firstLine="480"/>
        <w:spacing w:line="360" w:lineRule="auto"/>
        <w:rPr>
          <w:bCs/>
          <w:color w:val="000000"/>
          <w:sz w:val="24"/>
        </w:rPr>
      </w:pPr>
      <w:r>
        <w:rPr>
          <w:rFonts w:hint="eastAsia"/>
          <w:bCs/>
          <w:color w:val="000000"/>
          <w:sz w:val="24"/>
        </w:rPr>
        <w:t xml:space="preserve">1.截止时间：</w:t>
      </w:r>
      <w:r>
        <w:rPr>
          <w:rFonts w:hint="eastAsia"/>
          <w:color w:val="000000"/>
          <w:sz w:val="24"/>
          <w:u w:val="single"/>
        </w:rPr>
        <w:t xml:space="preserve">2026年</w:t>
      </w:r>
      <w:r>
        <w:rPr>
          <w:rFonts w:hint="eastAsia"/>
          <w:color w:val="000000"/>
          <w:sz w:val="24"/>
          <w:u w:val="single"/>
          <w:lang w:val="en-US" w:eastAsia="zh-CN"/>
        </w:rPr>
        <w:t xml:space="preserve">07</w:t>
      </w:r>
      <w:r>
        <w:rPr>
          <w:rFonts w:hint="eastAsia"/>
          <w:color w:val="000000"/>
          <w:sz w:val="24"/>
          <w:u w:val="single"/>
        </w:rPr>
        <w:t xml:space="preserve">月</w:t>
      </w:r>
      <w:r>
        <w:rPr>
          <w:rFonts w:hint="eastAsia"/>
          <w:color w:val="000000"/>
          <w:sz w:val="24"/>
          <w:u w:val="single"/>
          <w:lang w:val="en-US" w:eastAsia="zh-CN"/>
        </w:rPr>
        <w:t xml:space="preserve">30</w:t>
      </w:r>
      <w:r>
        <w:rPr>
          <w:rFonts w:hint="eastAsia"/>
          <w:color w:val="000000"/>
          <w:sz w:val="24"/>
          <w:u w:val="single"/>
        </w:rPr>
        <w:t xml:space="preserve">日09:00</w:t>
      </w:r>
      <w:r>
        <w:rPr>
          <w:rFonts w:hint="eastAsia"/>
          <w:bCs/>
          <w:color w:val="000000"/>
          <w:sz w:val="24"/>
        </w:rPr>
        <w:t xml:space="preserve">（北京时间）。</w:t>
      </w:r>
      <w:r/>
    </w:p>
    <w:p>
      <w:pPr>
        <w:ind w:firstLine="480"/>
        <w:jc w:val="left"/>
        <w:spacing w:line="360" w:lineRule="auto"/>
        <w:rPr>
          <w:bCs/>
          <w:sz w:val="24"/>
        </w:rPr>
      </w:pPr>
      <w:r>
        <w:rPr>
          <w:rFonts w:hint="eastAsia"/>
          <w:bCs/>
          <w:color w:val="000000"/>
          <w:sz w:val="24"/>
        </w:rPr>
        <w:t xml:space="preserve">2.</w:t>
      </w:r>
      <w:r>
        <w:rPr>
          <w:bCs/>
          <w:color w:val="000000"/>
          <w:sz w:val="24"/>
        </w:rPr>
        <w:t xml:space="preserve">地点：</w:t>
      </w:r>
      <w:r>
        <w:rPr>
          <w:rFonts w:hint="eastAsia" w:ascii="宋体" w:hAnsi="宋体"/>
          <w:color w:val="000000"/>
          <w:sz w:val="24"/>
        </w:rPr>
        <w:t xml:space="preserve">本项目采用不见面交易方式，无需到现场提交，投标人登录</w:t>
      </w:r>
      <w:r>
        <w:rPr>
          <w:rFonts w:ascii="宋体" w:hAnsi="宋体"/>
          <w:color w:val="000000"/>
          <w:sz w:val="24"/>
        </w:rPr>
        <w:t xml:space="preserve">“苏采云”政府采购</w:t>
      </w:r>
      <w:r>
        <w:rPr>
          <w:rFonts w:ascii="宋体" w:hAnsi="宋体"/>
          <w:sz w:val="24"/>
        </w:rPr>
        <w:t xml:space="preserve">一体化平台供应商端</w:t>
      </w:r>
      <w:r>
        <w:rPr>
          <w:rFonts w:hint="eastAsia" w:ascii="宋体" w:hAnsi="宋体"/>
          <w:sz w:val="24"/>
        </w:rPr>
        <w:t xml:space="preserve">，通过系统在线提交电子投标文件</w:t>
      </w:r>
      <w:r>
        <w:rPr>
          <w:sz w:val="24"/>
          <w:lang w:val="zh-TW"/>
        </w:rPr>
        <w:t xml:space="preserve">。</w:t>
      </w:r>
      <w:r/>
    </w:p>
    <w:p>
      <w:pPr>
        <w:pStyle w:val="1142"/>
        <w:jc w:val="left"/>
        <w:spacing w:before="0" w:line="360" w:lineRule="auto"/>
        <w:rPr>
          <w:rFonts w:ascii="Times New Roman" w:hAnsi="Times New Roman" w:eastAsia="宋体"/>
          <w:sz w:val="24"/>
          <w:szCs w:val="24"/>
        </w:rPr>
      </w:pPr>
      <w:r/>
      <w:bookmarkStart w:id="19" w:name="_Toc35393625"/>
      <w:r/>
      <w:bookmarkStart w:id="20" w:name="_Toc28359007"/>
      <w:r/>
      <w:bookmarkStart w:id="21" w:name="_Toc28359084"/>
      <w:r/>
      <w:bookmarkStart w:id="22" w:name="_Toc35393794"/>
      <w:r>
        <w:rPr>
          <w:rFonts w:ascii="Times New Roman" w:hAnsi="Times New Roman" w:eastAsia="宋体"/>
          <w:sz w:val="24"/>
          <w:szCs w:val="24"/>
        </w:rPr>
        <w:t xml:space="preserve">五、公告期限</w:t>
      </w:r>
      <w:bookmarkEnd w:id="19"/>
      <w:r/>
      <w:bookmarkEnd w:id="20"/>
      <w:r/>
      <w:bookmarkEnd w:id="21"/>
      <w:r/>
      <w:bookmarkEnd w:id="22"/>
      <w:r/>
      <w:r/>
    </w:p>
    <w:p>
      <w:pPr>
        <w:ind w:firstLine="480"/>
        <w:spacing w:line="360" w:lineRule="auto"/>
        <w:rPr>
          <w:sz w:val="24"/>
        </w:rPr>
      </w:pPr>
      <w:r>
        <w:rPr>
          <w:sz w:val="24"/>
        </w:rPr>
        <w:t xml:space="preserve">自本公告发布之日起5个工作日。</w:t>
      </w:r>
      <w:r/>
    </w:p>
    <w:p>
      <w:pPr>
        <w:pStyle w:val="1142"/>
        <w:jc w:val="left"/>
        <w:spacing w:before="0" w:line="360" w:lineRule="auto"/>
        <w:rPr>
          <w:rFonts w:ascii="Times New Roman" w:hAnsi="Times New Roman" w:eastAsia="宋体"/>
          <w:sz w:val="24"/>
          <w:szCs w:val="24"/>
        </w:rPr>
      </w:pPr>
      <w:r/>
      <w:bookmarkStart w:id="23" w:name="_Toc35393626"/>
      <w:r/>
      <w:bookmarkStart w:id="24" w:name="_Toc35393795"/>
      <w:r>
        <w:rPr>
          <w:rFonts w:ascii="Times New Roman" w:hAnsi="Times New Roman" w:eastAsia="宋体"/>
          <w:sz w:val="24"/>
          <w:szCs w:val="24"/>
        </w:rPr>
        <w:t xml:space="preserve">六、其他补充事宜</w:t>
      </w:r>
      <w:bookmarkEnd w:id="23"/>
      <w:r/>
      <w:bookmarkEnd w:id="24"/>
      <w:r/>
      <w:r/>
    </w:p>
    <w:p>
      <w:pPr>
        <w:ind w:firstLine="480"/>
        <w:spacing w:line="360" w:lineRule="auto"/>
        <w:rPr>
          <w:color w:val="000000" w:themeColor="text1"/>
          <w:sz w:val="24"/>
          <w14:textFill>
            <w14:solidFill>
              <w14:schemeClr w14:val="tx1"/>
            </w14:solidFill>
          </w14:textFill>
        </w:rPr>
      </w:pPr>
      <w:r/>
      <w:bookmarkStart w:id="25" w:name="_Toc35393627"/>
      <w:r/>
      <w:bookmarkStart w:id="26" w:name="_Toc28359008"/>
      <w:r/>
      <w:bookmarkStart w:id="27" w:name="_Toc28359085"/>
      <w:r/>
      <w:bookmarkStart w:id="28" w:name="_Toc35393796"/>
      <w:r>
        <w:rPr>
          <w:rFonts w:hint="eastAsia"/>
          <w:color w:val="000000" w:themeColor="text1"/>
          <w:sz w:val="24"/>
          <w14:textFill>
            <w14:solidFill>
              <w14:schemeClr w14:val="tx1"/>
            </w14:solidFill>
          </w14:textFill>
        </w:rPr>
        <w:t xml:space="preserve">1</w:t>
      </w:r>
      <w:r>
        <w:rPr>
          <w:rFonts w:hint="eastAsia"/>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w:t>
      </w:r>
      <w:r>
        <w:rPr>
          <w:rFonts w:hint="eastAsia"/>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w:t>
      </w:r>
      <w:r>
        <w:rPr>
          <w:rFonts w:hint="eastAsia"/>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4.关于江苏省政府采购履约验收管理办法：根据《关于印发江苏省政府采购履约验收管理办法的通知》（苏财规[2024]7号）等有关文件精神执行。</w:t>
      </w:r>
      <w:r/>
    </w:p>
    <w:p>
      <w:pPr>
        <w:ind w:firstLine="480"/>
        <w:spacing w:line="360" w:lineRule="auto"/>
        <w:rPr>
          <w:sz w:val="24"/>
        </w:rPr>
      </w:pPr>
      <w:r>
        <w:rPr>
          <w:sz w:val="24"/>
        </w:rPr>
        <w:t xml:space="preserve">七、对本次招标提出询问，请按以下方式联系。</w:t>
      </w:r>
      <w:bookmarkEnd w:id="25"/>
      <w:r/>
      <w:bookmarkEnd w:id="26"/>
      <w:r/>
      <w:bookmarkEnd w:id="27"/>
      <w:r/>
      <w:bookmarkEnd w:id="28"/>
      <w:r/>
      <w:r/>
    </w:p>
    <w:p>
      <w:pPr>
        <w:jc w:val="left"/>
        <w:spacing w:line="360" w:lineRule="auto"/>
        <w:widowControl/>
        <w:rPr>
          <w:b/>
          <w:sz w:val="24"/>
        </w:rPr>
      </w:pPr>
      <w:r>
        <w:rPr>
          <w:sz w:val="24"/>
        </w:rPr>
        <w:t xml:space="preserve">　　　</w:t>
      </w:r>
      <w:r>
        <w:rPr>
          <w:b/>
          <w:sz w:val="24"/>
        </w:rPr>
        <w:t xml:space="preserve">1.采购人信息</w:t>
      </w:r>
      <w:r/>
    </w:p>
    <w:p>
      <w:pPr>
        <w:ind w:left="1079" w:hanging="300"/>
        <w:jc w:val="left"/>
        <w:spacing w:line="360" w:lineRule="auto"/>
        <w:rPr>
          <w:sz w:val="24"/>
        </w:rPr>
      </w:pPr>
      <w:r/>
      <w:bookmarkStart w:id="29" w:name="_Toc28359009"/>
      <w:r/>
      <w:bookmarkStart w:id="30" w:name="_Toc28359086"/>
      <w:r>
        <w:rPr>
          <w:sz w:val="24"/>
        </w:rPr>
        <w:t xml:space="preserve">名    称：</w:t>
      </w:r>
      <w:r>
        <w:rPr>
          <w:rFonts w:hint="eastAsia"/>
          <w:sz w:val="24"/>
          <w:u w:val="single"/>
        </w:rPr>
        <w:t xml:space="preserve">常州市金坛区应急管理局  </w:t>
      </w:r>
      <w:r/>
    </w:p>
    <w:p>
      <w:pPr>
        <w:ind w:left="1079" w:hanging="300"/>
        <w:jc w:val="left"/>
        <w:spacing w:line="360" w:lineRule="auto"/>
        <w:rPr>
          <w:sz w:val="24"/>
        </w:rPr>
      </w:pPr>
      <w:r>
        <w:rPr>
          <w:sz w:val="24"/>
        </w:rPr>
        <w:t xml:space="preserve">地    址：</w:t>
      </w:r>
      <w:r>
        <w:rPr>
          <w:rFonts w:hint="eastAsia"/>
          <w:sz w:val="24"/>
          <w:u w:val="single"/>
        </w:rPr>
        <w:t xml:space="preserve"> 常州市金坛区清风路1号 </w:t>
      </w:r>
      <w:r/>
    </w:p>
    <w:p>
      <w:pPr>
        <w:ind w:left="1079" w:hanging="300"/>
        <w:jc w:val="left"/>
        <w:spacing w:line="360" w:lineRule="auto"/>
        <w:rPr>
          <w:sz w:val="24"/>
          <w:u w:val="single"/>
        </w:rPr>
      </w:pPr>
      <w:r>
        <w:rPr>
          <w:sz w:val="24"/>
        </w:rPr>
        <w:t xml:space="preserve">联系方式：</w:t>
      </w:r>
      <w:r>
        <w:rPr>
          <w:sz w:val="24"/>
          <w:u w:val="single"/>
        </w:rPr>
        <w:t xml:space="preserve">0519-82693012</w:t>
      </w:r>
      <w:r>
        <w:rPr>
          <w:sz w:val="24"/>
        </w:rPr>
      </w:r>
      <w:r/>
    </w:p>
    <w:p>
      <w:pPr>
        <w:ind w:left="1080" w:hanging="301"/>
        <w:jc w:val="left"/>
        <w:spacing w:line="360" w:lineRule="auto"/>
        <w:rPr>
          <w:b/>
          <w:sz w:val="24"/>
        </w:rPr>
      </w:pPr>
      <w:r>
        <w:rPr>
          <w:b/>
          <w:sz w:val="24"/>
        </w:rPr>
        <w:t xml:space="preserve">2.采购代理机构信息</w:t>
      </w:r>
      <w:bookmarkEnd w:id="29"/>
      <w:r/>
      <w:bookmarkEnd w:id="30"/>
      <w:r/>
      <w:r/>
    </w:p>
    <w:p>
      <w:pPr>
        <w:ind w:left="1076" w:hanging="297"/>
        <w:jc w:val="left"/>
        <w:spacing w:line="360" w:lineRule="auto"/>
        <w:rPr>
          <w:sz w:val="24"/>
        </w:rPr>
      </w:pPr>
      <w:r/>
      <w:bookmarkStart w:id="31" w:name="_Toc28359087"/>
      <w:r/>
      <w:bookmarkStart w:id="32" w:name="_Toc28359010"/>
      <w:r>
        <w:rPr>
          <w:rFonts w:hint="eastAsia"/>
          <w:sz w:val="24"/>
        </w:rPr>
        <w:t xml:space="preserve">名    称：</w:t>
      </w:r>
      <w:r>
        <w:rPr>
          <w:rFonts w:hint="eastAsia"/>
          <w:sz w:val="24"/>
          <w:u w:val="single"/>
        </w:rPr>
        <w:t xml:space="preserve">江苏华溯工程项目管理有限公司</w:t>
      </w:r>
      <w:r/>
    </w:p>
    <w:p>
      <w:pPr>
        <w:ind w:left="1076" w:hanging="297"/>
        <w:jc w:val="left"/>
        <w:spacing w:line="360" w:lineRule="auto"/>
        <w:rPr>
          <w:sz w:val="24"/>
          <w:u w:val="single"/>
        </w:rPr>
      </w:pPr>
      <w:r>
        <w:rPr>
          <w:rFonts w:hint="eastAsia"/>
          <w:sz w:val="24"/>
        </w:rPr>
        <w:t xml:space="preserve">地　　址：</w:t>
      </w:r>
      <w:r>
        <w:rPr>
          <w:rFonts w:hint="eastAsia"/>
          <w:sz w:val="24"/>
          <w:u w:val="single"/>
          <w:lang w:val="zh-TW"/>
        </w:rPr>
        <w:t xml:space="preserve">常州市金坛区金胜东路19号</w:t>
      </w:r>
      <w:r/>
    </w:p>
    <w:p>
      <w:pPr>
        <w:ind w:left="1076" w:hanging="297"/>
        <w:jc w:val="left"/>
        <w:spacing w:line="360" w:lineRule="auto"/>
        <w:tabs>
          <w:tab w:val="left" w:pos="5892" w:leader="none"/>
        </w:tabs>
        <w:rPr>
          <w:sz w:val="24"/>
          <w:u w:val="single"/>
        </w:rPr>
      </w:pPr>
      <w:r>
        <w:rPr>
          <w:sz w:val="24"/>
        </w:rPr>
        <w:t xml:space="preserve">联系方式：</w:t>
      </w:r>
      <w:r>
        <w:rPr>
          <w:rFonts w:hint="eastAsia"/>
          <w:sz w:val="24"/>
          <w:u w:val="single"/>
        </w:rPr>
        <w:t xml:space="preserve">0519-82807908</w:t>
      </w:r>
      <w:r/>
    </w:p>
    <w:p>
      <w:pPr>
        <w:ind w:firstLine="723"/>
        <w:spacing w:line="360" w:lineRule="auto"/>
        <w:rPr>
          <w:b/>
          <w:sz w:val="24"/>
          <w:u w:val="single"/>
        </w:rPr>
      </w:pPr>
      <w:r>
        <w:rPr>
          <w:b/>
          <w:sz w:val="24"/>
        </w:rPr>
        <w:t xml:space="preserve">3.项目联系方式</w:t>
      </w:r>
      <w:bookmarkEnd w:id="31"/>
      <w:r/>
      <w:bookmarkEnd w:id="32"/>
      <w:r/>
      <w:r/>
    </w:p>
    <w:p>
      <w:pPr>
        <w:pStyle w:val="1179"/>
        <w:ind w:left="1076" w:hanging="297"/>
        <w:spacing w:line="360" w:lineRule="auto"/>
        <w:rPr>
          <w:rFonts w:hint="default" w:ascii="Times New Roman" w:hAnsi="Times New Roman"/>
          <w:sz w:val="24"/>
          <w:szCs w:val="24"/>
          <w:u w:val="single"/>
        </w:rPr>
      </w:pPr>
      <w:r>
        <w:rPr>
          <w:rFonts w:ascii="Times New Roman" w:hAnsi="Times New Roman"/>
          <w:sz w:val="24"/>
          <w:szCs w:val="24"/>
        </w:rPr>
        <w:t xml:space="preserve">项目联系人：</w:t>
      </w:r>
      <w:r>
        <w:rPr>
          <w:rFonts w:ascii="Times New Roman" w:hAnsi="Times New Roman"/>
          <w:sz w:val="24"/>
          <w:szCs w:val="24"/>
          <w:u w:val="single"/>
        </w:rPr>
        <w:t xml:space="preserve">张女士</w:t>
      </w:r>
      <w:r/>
    </w:p>
    <w:p>
      <w:pPr>
        <w:pStyle w:val="1179"/>
        <w:ind w:left="1076" w:hanging="297"/>
        <w:spacing w:line="360" w:lineRule="auto"/>
        <w:rPr>
          <w:rFonts w:hint="default"/>
          <w:sz w:val="24"/>
        </w:rPr>
      </w:pPr>
      <w:r>
        <w:rPr>
          <w:rFonts w:ascii="Times New Roman" w:hAnsi="Times New Roman"/>
          <w:sz w:val="24"/>
        </w:rPr>
        <w:t xml:space="preserve">电      话：</w:t>
      </w:r>
      <w:r>
        <w:rPr>
          <w:rFonts w:ascii="Times New Roman" w:hAnsi="Times New Roman"/>
          <w:sz w:val="24"/>
          <w:u w:val="single"/>
        </w:rPr>
        <w:t xml:space="preserve">0519-82807908</w:t>
      </w:r>
      <w:r/>
    </w:p>
    <w:p>
      <w:pPr>
        <w:jc w:val="center"/>
        <w:spacing w:line="360" w:lineRule="auto"/>
        <w:rPr>
          <w:b/>
          <w:sz w:val="32"/>
          <w:szCs w:val="32"/>
        </w:rPr>
        <w:outlineLvl w:val="0"/>
      </w:pPr>
      <w:r>
        <w:rPr>
          <w:sz w:val="24"/>
        </w:rPr>
        <w:br w:type="page" w:clear="all"/>
      </w:r>
      <w:bookmarkStart w:id="33" w:name="_Toc305158928"/>
      <w:r/>
      <w:bookmarkStart w:id="34" w:name="_Toc305158854"/>
      <w:r/>
      <w:bookmarkStart w:id="35" w:name="_Toc226965856"/>
      <w:r/>
      <w:bookmarkStart w:id="36" w:name="_Toc127161488"/>
      <w:r/>
      <w:bookmarkStart w:id="37" w:name="_Toc99301420"/>
      <w:r/>
      <w:bookmarkStart w:id="38" w:name="_Toc512937850"/>
      <w:r/>
      <w:bookmarkStart w:id="39" w:name="_Toc127151777"/>
      <w:r/>
      <w:bookmarkStart w:id="40" w:name="_Toc150774783"/>
      <w:r/>
      <w:bookmarkStart w:id="41" w:name="_Toc265228423"/>
      <w:r/>
      <w:bookmarkStart w:id="42" w:name="_Toc264969275"/>
      <w:r/>
      <w:bookmarkStart w:id="43" w:name="_Toc195842950"/>
      <w:r/>
      <w:bookmarkStart w:id="44" w:name="_Toc353825548"/>
      <w:r/>
      <w:bookmarkStart w:id="45" w:name="_Toc353873938"/>
      <w:r>
        <w:rPr>
          <w:b/>
          <w:sz w:val="36"/>
          <w:szCs w:val="36"/>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142"/>
        <w:spacing w:before="0" w:line="360" w:lineRule="auto"/>
        <w:tabs>
          <w:tab w:val="center" w:pos="4592" w:leader="none"/>
          <w:tab w:val="left" w:pos="7860" w:leader="none"/>
        </w:tabs>
        <w:rPr>
          <w:rFonts w:ascii="Times New Roman" w:hAnsi="Times New Roman" w:eastAsia="宋体"/>
          <w:sz w:val="28"/>
        </w:rPr>
      </w:pPr>
      <w:r/>
      <w:bookmarkStart w:id="46" w:name="_Toc150480757"/>
      <w:r/>
      <w:bookmarkStart w:id="47" w:name="_Toc151190146"/>
      <w:r/>
      <w:bookmarkStart w:id="48" w:name="_Toc164351613"/>
      <w:r/>
      <w:bookmarkStart w:id="49" w:name="_Toc164229360"/>
      <w:r/>
      <w:bookmarkStart w:id="50" w:name="_Toc150774619"/>
      <w:r/>
      <w:bookmarkStart w:id="51" w:name="_Toc164608633"/>
      <w:r/>
      <w:bookmarkStart w:id="52" w:name="_Toc151193689"/>
      <w:r/>
      <w:bookmarkStart w:id="53" w:name="_Toc149720812"/>
      <w:r/>
      <w:bookmarkStart w:id="54" w:name="_Toc226309763"/>
      <w:r/>
      <w:bookmarkStart w:id="55" w:name="_Toc127151519"/>
      <w:r/>
      <w:bookmarkStart w:id="56" w:name="_Toc195842884"/>
      <w:r/>
      <w:bookmarkStart w:id="57" w:name="_Toc142311021"/>
      <w:r/>
      <w:bookmarkStart w:id="58" w:name="_Toc151193833"/>
      <w:r/>
      <w:bookmarkStart w:id="59" w:name="_Toc150509270"/>
      <w:r/>
      <w:bookmarkStart w:id="60" w:name="_Toc151193907"/>
      <w:r/>
      <w:bookmarkStart w:id="61" w:name="_Toc151193617"/>
      <w:r/>
      <w:bookmarkStart w:id="62" w:name="_Toc151193761"/>
      <w:r/>
      <w:bookmarkStart w:id="63" w:name="_Toc520356144"/>
      <w:r/>
      <w:bookmarkStart w:id="64" w:name="_Toc150774724"/>
      <w:r/>
      <w:bookmarkStart w:id="65" w:name="_Toc226965792"/>
      <w:r/>
      <w:bookmarkStart w:id="66" w:name="_Toc127161433"/>
      <w:r/>
      <w:bookmarkStart w:id="67" w:name="_Toc226337215"/>
      <w:r/>
      <w:bookmarkStart w:id="68" w:name="_Toc164608788"/>
      <w:r/>
      <w:bookmarkStart w:id="69" w:name="_Toc226965709"/>
      <w:r/>
      <w:bookmarkStart w:id="70" w:name="_Toc164229214"/>
      <w:r/>
      <w:bookmarkStart w:id="71" w:name="_Toc127151720"/>
      <w:r>
        <w:rPr>
          <w:rFonts w:ascii="Times New Roman" w:hAnsi="Times New Roman" w:eastAsia="宋体"/>
          <w:sz w:val="28"/>
        </w:rPr>
        <w:t xml:space="preserve">投标人须知资料表</w:t>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p>
    <w:tbl>
      <w:tblPr>
        <w:tblStyle w:val="965"/>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954"/>
        <w:gridCol w:w="7358"/>
      </w:tblGrid>
      <w:tr>
        <w:trPr>
          <w:jc w:val="center"/>
          <w:trHeight w:val="359"/>
          <w:tblHeader/>
        </w:trPr>
        <w:tc>
          <w:tcPr>
            <w:tcW w:w="1099" w:type="dxa"/>
            <w:vAlign w:val="center"/>
            <w:textDirection w:val="lrTb"/>
            <w:noWrap/>
          </w:tcPr>
          <w:p>
            <w:pPr>
              <w:jc w:val="center"/>
              <w:rPr>
                <w:b/>
                <w:bCs/>
                <w:sz w:val="24"/>
              </w:rPr>
            </w:pPr>
            <w:r>
              <w:rPr>
                <w:b/>
                <w:sz w:val="24"/>
              </w:rPr>
              <w:t xml:space="preserve">条款号</w:t>
            </w:r>
            <w:r/>
          </w:p>
        </w:tc>
        <w:tc>
          <w:tcPr>
            <w:tcW w:w="1954" w:type="dxa"/>
            <w:vAlign w:val="center"/>
            <w:textDirection w:val="lrTb"/>
            <w:noWrap/>
          </w:tcPr>
          <w:p>
            <w:pPr>
              <w:jc w:val="center"/>
              <w:rPr>
                <w:b/>
                <w:bCs/>
                <w:sz w:val="24"/>
              </w:rPr>
            </w:pPr>
            <w:r>
              <w:rPr>
                <w:b/>
                <w:bCs/>
                <w:sz w:val="24"/>
              </w:rPr>
              <w:t xml:space="preserve">条目</w:t>
            </w:r>
            <w:r/>
          </w:p>
        </w:tc>
        <w:tc>
          <w:tcPr>
            <w:tcW w:w="7358" w:type="dxa"/>
            <w:vAlign w:val="center"/>
            <w:textDirection w:val="lrTb"/>
            <w:noWrap/>
          </w:tcPr>
          <w:p>
            <w:pPr>
              <w:jc w:val="center"/>
              <w:rPr>
                <w:b/>
                <w:bCs/>
                <w:sz w:val="24"/>
              </w:rPr>
            </w:pPr>
            <w:r>
              <w:rPr>
                <w:b/>
                <w:bCs/>
                <w:sz w:val="24"/>
              </w:rPr>
              <w:t xml:space="preserve">内容</w:t>
            </w:r>
            <w:r/>
          </w:p>
        </w:tc>
      </w:tr>
      <w:tr>
        <w:trPr>
          <w:jc w:val="center"/>
          <w:trHeight w:val="424"/>
        </w:trPr>
        <w:tc>
          <w:tcPr>
            <w:tcW w:w="1099" w:type="dxa"/>
            <w:vAlign w:val="center"/>
            <w:textDirection w:val="lrTb"/>
            <w:noWrap/>
          </w:tcPr>
          <w:p>
            <w:pPr>
              <w:pStyle w:val="1179"/>
              <w:jc w:val="center"/>
              <w:rPr>
                <w:rFonts w:hint="default" w:ascii="Times New Roman" w:hAnsi="Times New Roman"/>
                <w:sz w:val="24"/>
                <w:szCs w:val="24"/>
              </w:rPr>
            </w:pPr>
            <w:r>
              <w:rPr>
                <w:rFonts w:ascii="Times New Roman" w:hAnsi="Times New Roman"/>
                <w:sz w:val="24"/>
                <w:szCs w:val="24"/>
              </w:rPr>
              <w:t xml:space="preserve">1</w:t>
            </w:r>
            <w:r/>
          </w:p>
        </w:tc>
        <w:tc>
          <w:tcPr>
            <w:tcW w:w="1954" w:type="dxa"/>
            <w:vAlign w:val="center"/>
            <w:textDirection w:val="lrTb"/>
            <w:noWrap/>
          </w:tcPr>
          <w:p>
            <w:pPr>
              <w:jc w:val="center"/>
              <w:rPr>
                <w:sz w:val="24"/>
              </w:rPr>
            </w:pPr>
            <w:r>
              <w:rPr>
                <w:sz w:val="24"/>
              </w:rPr>
              <w:t xml:space="preserve">项目属性</w:t>
            </w:r>
            <w:r/>
          </w:p>
        </w:tc>
        <w:tc>
          <w:tcPr>
            <w:tcW w:w="7358" w:type="dxa"/>
            <w:vAlign w:val="center"/>
            <w:textDirection w:val="lrTb"/>
            <w:noWrap/>
          </w:tcPr>
          <w:p>
            <w:pPr>
              <w:jc w:val="left"/>
              <w:rPr>
                <w:sz w:val="24"/>
                <w:u w:val="single"/>
              </w:rPr>
            </w:pPr>
            <w:r>
              <w:rPr>
                <w:sz w:val="24"/>
              </w:rPr>
              <w:t xml:space="preserve">项目属性：</w:t>
            </w:r>
            <w:r>
              <w:rPr>
                <w:rFonts w:hint="eastAsia"/>
                <w:color w:val="000000" w:themeColor="text1"/>
                <w14:textFill>
                  <w14:solidFill>
                    <w14:schemeClr w14:val="tx1"/>
                  </w14:solidFill>
                </w14:textFill>
              </w:rPr>
              <w:t xml:space="preserve">☑</w:t>
            </w:r>
            <w:r>
              <w:rPr>
                <w:rFonts w:hint="eastAsia"/>
                <w:color w:val="000000" w:themeColor="text1"/>
                <w:sz w:val="24"/>
                <w14:textFill>
                  <w14:solidFill>
                    <w14:schemeClr w14:val="tx1"/>
                  </w14:solidFill>
                </w14:textFill>
              </w:rPr>
              <w:t xml:space="preserve">服务</w:t>
            </w:r>
            <w:r/>
          </w:p>
        </w:tc>
      </w:tr>
      <w:tr>
        <w:trPr>
          <w:jc w:val="center"/>
          <w:trHeight w:val="547"/>
        </w:trPr>
        <w:tc>
          <w:tcPr>
            <w:tcW w:w="1099" w:type="dxa"/>
            <w:vAlign w:val="center"/>
            <w:vMerge w:val="restart"/>
            <w:textDirection w:val="lrTb"/>
            <w:noWrap/>
          </w:tcPr>
          <w:p>
            <w:pPr>
              <w:pStyle w:val="1179"/>
              <w:jc w:val="center"/>
              <w:rPr>
                <w:rFonts w:hint="default" w:ascii="Times New Roman" w:hAnsi="Times New Roman"/>
                <w:sz w:val="24"/>
                <w:szCs w:val="24"/>
              </w:rPr>
            </w:pPr>
            <w:r>
              <w:rPr>
                <w:rFonts w:ascii="Times New Roman" w:hAnsi="Times New Roman"/>
                <w:sz w:val="24"/>
                <w:szCs w:val="24"/>
              </w:rPr>
              <w:t xml:space="preserve">2</w:t>
            </w:r>
            <w:r/>
          </w:p>
        </w:tc>
        <w:tc>
          <w:tcPr>
            <w:tcW w:w="1954" w:type="dxa"/>
            <w:vAlign w:val="center"/>
            <w:textDirection w:val="lrTb"/>
            <w:noWrap/>
          </w:tcPr>
          <w:p>
            <w:pPr>
              <w:jc w:val="center"/>
              <w:rPr>
                <w:sz w:val="24"/>
              </w:rPr>
            </w:pPr>
            <w:r>
              <w:rPr>
                <w:sz w:val="24"/>
              </w:rPr>
              <w:t xml:space="preserve">现场考察</w:t>
            </w:r>
            <w:r/>
          </w:p>
        </w:tc>
        <w:tc>
          <w:tcPr>
            <w:tcW w:w="7358" w:type="dxa"/>
            <w:vAlign w:val="center"/>
            <w:textDirection w:val="lrTb"/>
            <w:noWrap/>
          </w:tcPr>
          <w:p>
            <w:pPr>
              <w:jc w:val="left"/>
            </w:pPr>
            <w:r>
              <w:rPr>
                <w:rFonts w:hint="eastAsia"/>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不组织</w:t>
            </w:r>
            <w:r/>
          </w:p>
        </w:tc>
      </w:tr>
      <w:tr>
        <w:trPr>
          <w:jc w:val="center"/>
          <w:trHeight w:val="441"/>
        </w:trPr>
        <w:tc>
          <w:tcPr>
            <w:tcW w:w="1099" w:type="dxa"/>
            <w:vAlign w:val="center"/>
            <w:vMerge w:val="continue"/>
            <w:textDirection w:val="lrTb"/>
            <w:noWrap/>
          </w:tcPr>
          <w:p>
            <w:pPr>
              <w:pStyle w:val="1179"/>
              <w:jc w:val="center"/>
              <w:rPr>
                <w:rFonts w:hint="default" w:ascii="Times New Roman" w:hAnsi="Times New Roman"/>
                <w:sz w:val="24"/>
                <w:szCs w:val="24"/>
              </w:rPr>
            </w:pPr>
            <w:r>
              <w:rPr>
                <w:rFonts w:hint="default" w:ascii="Times New Roman" w:hAnsi="Times New Roman"/>
                <w:sz w:val="24"/>
                <w:szCs w:val="24"/>
              </w:rPr>
            </w:r>
            <w:r/>
          </w:p>
        </w:tc>
        <w:tc>
          <w:tcPr>
            <w:tcW w:w="1954" w:type="dxa"/>
            <w:vAlign w:val="center"/>
            <w:textDirection w:val="lrTb"/>
            <w:noWrap/>
          </w:tcPr>
          <w:p>
            <w:pPr>
              <w:jc w:val="center"/>
              <w:rPr>
                <w:sz w:val="24"/>
              </w:rPr>
            </w:pPr>
            <w:r>
              <w:rPr>
                <w:sz w:val="24"/>
              </w:rPr>
              <w:t xml:space="preserve">开标前答疑会</w:t>
            </w:r>
            <w:r/>
          </w:p>
        </w:tc>
        <w:tc>
          <w:tcPr>
            <w:tcW w:w="7358" w:type="dxa"/>
            <w:vAlign w:val="center"/>
            <w:textDirection w:val="lrTb"/>
            <w:noWrap/>
          </w:tcPr>
          <w:p>
            <w:pPr>
              <w:jc w:val="left"/>
            </w:pPr>
            <w:r>
              <w:rPr>
                <w:rFonts w:hint="eastAsia"/>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不召开</w:t>
            </w:r>
            <w:r/>
          </w:p>
        </w:tc>
      </w:tr>
      <w:tr>
        <w:trPr>
          <w:jc w:val="center"/>
          <w:trHeight w:val="571"/>
        </w:trPr>
        <w:tc>
          <w:tcPr>
            <w:tcW w:w="1099" w:type="dxa"/>
            <w:vAlign w:val="center"/>
            <w:textDirection w:val="lrTb"/>
            <w:noWrap/>
          </w:tcPr>
          <w:p>
            <w:pPr>
              <w:pStyle w:val="1179"/>
              <w:jc w:val="center"/>
              <w:rPr>
                <w:rFonts w:hint="default" w:ascii="Times New Roman" w:hAnsi="Times New Roman"/>
                <w:sz w:val="24"/>
                <w:szCs w:val="24"/>
              </w:rPr>
            </w:pPr>
            <w:r>
              <w:rPr>
                <w:rFonts w:ascii="Times New Roman" w:hAnsi="Times New Roman"/>
                <w:sz w:val="24"/>
                <w:szCs w:val="24"/>
              </w:rPr>
              <w:t xml:space="preserve">3</w:t>
            </w:r>
            <w:r/>
          </w:p>
        </w:tc>
        <w:tc>
          <w:tcPr>
            <w:tcW w:w="1954" w:type="dxa"/>
            <w:vAlign w:val="center"/>
            <w:textDirection w:val="lrTb"/>
            <w:noWrap/>
          </w:tcPr>
          <w:p>
            <w:pPr>
              <w:jc w:val="center"/>
              <w:rPr>
                <w:sz w:val="24"/>
                <w:highlight w:val="none"/>
              </w:rPr>
            </w:pPr>
            <w:r>
              <w:rPr>
                <w:sz w:val="24"/>
                <w:highlight w:val="none"/>
              </w:rPr>
              <w:t xml:space="preserve">标的所属行业</w:t>
            </w:r>
            <w:r/>
          </w:p>
        </w:tc>
        <w:tc>
          <w:tcPr>
            <w:tcW w:w="7358" w:type="dxa"/>
            <w:vAlign w:val="center"/>
            <w:textDirection w:val="lrTb"/>
            <w:noWrap/>
          </w:tcPr>
          <w:p>
            <w:pPr>
              <w:jc w:val="left"/>
              <w:rPr>
                <w:sz w:val="24"/>
                <w:highlight w:val="none"/>
              </w:rPr>
            </w:pPr>
            <w:r>
              <w:rPr>
                <w:sz w:val="24"/>
                <w:highlight w:val="none"/>
              </w:rPr>
              <w:t xml:space="preserve">本项目采购标的对应的中小企业划分标准所属行业：</w:t>
            </w:r>
            <w:r>
              <w:rPr>
                <w:rFonts w:hint="eastAsia"/>
                <w:sz w:val="24"/>
                <w:highlight w:val="none"/>
              </w:rPr>
              <w:t xml:space="preserve">保险业</w:t>
            </w:r>
            <w:r/>
          </w:p>
        </w:tc>
      </w:tr>
      <w:tr>
        <w:trPr>
          <w:jc w:val="center"/>
          <w:trHeight w:val="476"/>
        </w:trPr>
        <w:tc>
          <w:tcPr>
            <w:tcW w:w="1099" w:type="dxa"/>
            <w:vAlign w:val="center"/>
            <w:textDirection w:val="lrTb"/>
            <w:noWrap/>
          </w:tcPr>
          <w:p>
            <w:pPr>
              <w:pStyle w:val="1179"/>
              <w:jc w:val="center"/>
              <w:rPr>
                <w:rFonts w:hint="default" w:ascii="Times New Roman" w:hAnsi="Times New Roman"/>
                <w:sz w:val="24"/>
                <w:szCs w:val="24"/>
              </w:rPr>
            </w:pPr>
            <w:r>
              <w:rPr>
                <w:rFonts w:ascii="Times New Roman" w:hAnsi="Times New Roman"/>
                <w:sz w:val="24"/>
                <w:szCs w:val="24"/>
              </w:rPr>
              <w:t xml:space="preserve">4</w:t>
            </w:r>
            <w:r/>
          </w:p>
        </w:tc>
        <w:tc>
          <w:tcPr>
            <w:tcW w:w="1954" w:type="dxa"/>
            <w:vAlign w:val="center"/>
            <w:textDirection w:val="lrTb"/>
            <w:noWrap/>
          </w:tcPr>
          <w:p>
            <w:pPr>
              <w:jc w:val="center"/>
              <w:rPr>
                <w:sz w:val="24"/>
              </w:rPr>
            </w:pPr>
            <w:r>
              <w:rPr>
                <w:rFonts w:hint="eastAsia"/>
                <w:sz w:val="24"/>
              </w:rPr>
              <w:t xml:space="preserve">投标报价</w:t>
            </w:r>
            <w:r/>
          </w:p>
        </w:tc>
        <w:tc>
          <w:tcPr>
            <w:tcW w:w="7358" w:type="dxa"/>
            <w:vAlign w:val="center"/>
            <w:textDirection w:val="lrTb"/>
            <w:noWrap/>
          </w:tcPr>
          <w:p>
            <w:pPr>
              <w:jc w:val="left"/>
              <w:rPr>
                <w:sz w:val="24"/>
              </w:rPr>
            </w:pPr>
            <w:r>
              <w:rPr>
                <w:rFonts w:hint="eastAsia"/>
                <w:sz w:val="24"/>
              </w:rPr>
              <w:t xml:space="preserve">投标报价的特殊规定：</w:t>
            </w:r>
            <w:r>
              <w:rPr>
                <w:rFonts w:hint="eastAsia"/>
                <w:color w:val="000000" w:themeColor="text1"/>
                <w14:textFill>
                  <w14:solidFill>
                    <w14:schemeClr w14:val="tx1"/>
                  </w14:solidFill>
                </w14:textFill>
              </w:rPr>
              <w:t xml:space="preserve">☑</w:t>
            </w:r>
            <w:r>
              <w:rPr>
                <w:rFonts w:hint="eastAsia"/>
                <w:color w:val="000000" w:themeColor="text1"/>
                <w:sz w:val="24"/>
                <w14:textFill>
                  <w14:solidFill>
                    <w14:schemeClr w14:val="tx1"/>
                  </w14:solidFill>
                </w14:textFill>
              </w:rPr>
              <w:t xml:space="preserve">无</w:t>
            </w:r>
            <w:r/>
          </w:p>
        </w:tc>
      </w:tr>
      <w:tr>
        <w:trPr>
          <w:jc w:val="center"/>
          <w:trHeight w:val="386"/>
        </w:trPr>
        <w:tc>
          <w:tcPr>
            <w:tcW w:w="1099" w:type="dxa"/>
            <w:vAlign w:val="center"/>
            <w:textDirection w:val="lrTb"/>
            <w:noWrap/>
          </w:tcPr>
          <w:p>
            <w:pPr>
              <w:pStyle w:val="1179"/>
              <w:jc w:val="center"/>
              <w:rPr>
                <w:rFonts w:hint="default" w:ascii="Times New Roman" w:hAnsi="Times New Roman"/>
                <w:sz w:val="24"/>
                <w:szCs w:val="24"/>
              </w:rPr>
            </w:pPr>
            <w:r>
              <w:rPr>
                <w:rFonts w:ascii="Times New Roman" w:hAnsi="Times New Roman"/>
                <w:sz w:val="24"/>
                <w:szCs w:val="24"/>
              </w:rPr>
              <w:t xml:space="preserve">5</w:t>
            </w:r>
            <w:r/>
          </w:p>
        </w:tc>
        <w:tc>
          <w:tcPr>
            <w:tcW w:w="1954" w:type="dxa"/>
            <w:vAlign w:val="center"/>
            <w:textDirection w:val="lrTb"/>
            <w:noWrap/>
          </w:tcPr>
          <w:p>
            <w:pPr>
              <w:jc w:val="center"/>
              <w:rPr>
                <w:sz w:val="24"/>
              </w:rPr>
            </w:pPr>
            <w:r>
              <w:rPr>
                <w:rFonts w:hint="eastAsia"/>
                <w:sz w:val="24"/>
              </w:rPr>
              <w:t xml:space="preserve">投标保证金</w:t>
            </w:r>
            <w:r/>
          </w:p>
        </w:tc>
        <w:tc>
          <w:tcPr>
            <w:tcW w:w="7358" w:type="dxa"/>
            <w:vAlign w:val="center"/>
            <w:textDirection w:val="lrTb"/>
            <w:noWrap/>
          </w:tcPr>
          <w:p>
            <w:pPr>
              <w:jc w:val="left"/>
              <w:rPr>
                <w:sz w:val="24"/>
              </w:rPr>
            </w:pPr>
            <w:r>
              <w:rPr>
                <w:rFonts w:hint="eastAsia"/>
                <w:sz w:val="24"/>
              </w:rPr>
              <w:t xml:space="preserve">免收</w:t>
            </w:r>
            <w:r/>
          </w:p>
        </w:tc>
      </w:tr>
      <w:tr>
        <w:trPr>
          <w:jc w:val="center"/>
          <w:trHeight w:val="437"/>
        </w:trPr>
        <w:tc>
          <w:tcPr>
            <w:tcW w:w="1099" w:type="dxa"/>
            <w:vAlign w:val="center"/>
            <w:textDirection w:val="lrTb"/>
            <w:noWrap/>
          </w:tcPr>
          <w:p>
            <w:pPr>
              <w:pStyle w:val="1179"/>
              <w:jc w:val="center"/>
              <w:rPr>
                <w:rFonts w:hint="default" w:ascii="Times New Roman" w:hAnsi="Times New Roman"/>
                <w:sz w:val="24"/>
                <w:szCs w:val="24"/>
              </w:rPr>
            </w:pPr>
            <w:r>
              <w:rPr>
                <w:rFonts w:ascii="Times New Roman" w:hAnsi="Times New Roman"/>
                <w:sz w:val="24"/>
                <w:szCs w:val="24"/>
              </w:rPr>
              <w:t xml:space="preserve">6</w:t>
            </w:r>
            <w:r/>
          </w:p>
        </w:tc>
        <w:tc>
          <w:tcPr>
            <w:tcW w:w="1954" w:type="dxa"/>
            <w:vAlign w:val="center"/>
            <w:textDirection w:val="lrTb"/>
            <w:noWrap/>
          </w:tcPr>
          <w:p>
            <w:pPr>
              <w:jc w:val="center"/>
              <w:rPr>
                <w:sz w:val="24"/>
                <w:highlight w:val="none"/>
              </w:rPr>
            </w:pPr>
            <w:r>
              <w:rPr>
                <w:rFonts w:hint="eastAsia"/>
                <w:sz w:val="24"/>
                <w:highlight w:val="none"/>
              </w:rPr>
              <w:t xml:space="preserve">履约保证金</w:t>
            </w:r>
            <w:r/>
          </w:p>
        </w:tc>
        <w:tc>
          <w:tcPr>
            <w:tcW w:w="7358" w:type="dxa"/>
            <w:vAlign w:val="center"/>
            <w:textDirection w:val="lrTb"/>
            <w:noWrap/>
          </w:tcPr>
          <w:p>
            <w:pPr>
              <w:jc w:val="left"/>
              <w:rPr>
                <w:sz w:val="24"/>
                <w:highlight w:val="none"/>
              </w:rPr>
            </w:pPr>
            <w:r>
              <w:rPr>
                <w:rFonts w:hint="eastAsia"/>
                <w:sz w:val="24"/>
                <w:highlight w:val="none"/>
              </w:rPr>
              <w:t xml:space="preserve">本项目履约保证金为合同价的</w:t>
            </w:r>
            <w:r>
              <w:rPr>
                <w:rFonts w:hint="eastAsia"/>
                <w:sz w:val="24"/>
                <w:highlight w:val="none"/>
                <w:u w:val="single"/>
              </w:rPr>
              <w:t xml:space="preserve"> 5%</w:t>
            </w:r>
            <w:r>
              <w:rPr>
                <w:rFonts w:hint="eastAsia"/>
                <w:sz w:val="24"/>
                <w:highlight w:val="none"/>
              </w:rPr>
              <w:t xml:space="preserve">（中标供应商自主选择以支票、汇票、本票、保函等非现金形式缴纳或递交），采购人将在终验完毕后返还乙方履约保证金。</w:t>
            </w:r>
            <w:r/>
          </w:p>
        </w:tc>
      </w:tr>
      <w:tr>
        <w:trPr>
          <w:jc w:val="center"/>
          <w:trHeight w:val="464"/>
        </w:trPr>
        <w:tc>
          <w:tcPr>
            <w:tcW w:w="1099" w:type="dxa"/>
            <w:vAlign w:val="center"/>
            <w:textDirection w:val="lrTb"/>
            <w:noWrap/>
          </w:tcPr>
          <w:p>
            <w:pPr>
              <w:pStyle w:val="1179"/>
              <w:jc w:val="center"/>
              <w:rPr>
                <w:rFonts w:hint="default" w:ascii="Times New Roman" w:hAnsi="Times New Roman"/>
                <w:sz w:val="24"/>
                <w:szCs w:val="24"/>
              </w:rPr>
            </w:pPr>
            <w:r>
              <w:rPr>
                <w:rFonts w:ascii="Times New Roman" w:hAnsi="Times New Roman"/>
                <w:sz w:val="24"/>
                <w:szCs w:val="24"/>
              </w:rPr>
              <w:t xml:space="preserve">7</w:t>
            </w:r>
            <w:r/>
          </w:p>
        </w:tc>
        <w:tc>
          <w:tcPr>
            <w:tcW w:w="1954" w:type="dxa"/>
            <w:vAlign w:val="center"/>
            <w:textDirection w:val="lrTb"/>
            <w:noWrap/>
          </w:tcPr>
          <w:p>
            <w:pPr>
              <w:jc w:val="center"/>
              <w:rPr>
                <w:sz w:val="24"/>
              </w:rPr>
            </w:pPr>
            <w:r>
              <w:rPr>
                <w:sz w:val="24"/>
              </w:rPr>
              <w:t xml:space="preserve">投标有效期</w:t>
            </w:r>
            <w:r/>
          </w:p>
        </w:tc>
        <w:tc>
          <w:tcPr>
            <w:tcW w:w="7358" w:type="dxa"/>
            <w:vAlign w:val="center"/>
            <w:textDirection w:val="lrTb"/>
            <w:noWrap/>
          </w:tcPr>
          <w:p>
            <w:pPr>
              <w:jc w:val="left"/>
              <w:rPr>
                <w:sz w:val="24"/>
              </w:rPr>
            </w:pPr>
            <w:r>
              <w:rPr>
                <w:sz w:val="24"/>
              </w:rPr>
              <w:t xml:space="preserve">自提交投标文件的截止之日起算</w:t>
            </w:r>
            <w:r>
              <w:rPr>
                <w:rFonts w:hint="eastAsia"/>
                <w:sz w:val="24"/>
                <w:u w:val="single"/>
              </w:rPr>
              <w:t xml:space="preserve">90</w:t>
            </w:r>
            <w:r>
              <w:rPr>
                <w:sz w:val="24"/>
              </w:rPr>
              <w:t xml:space="preserve">日历天。</w:t>
            </w:r>
            <w:r/>
          </w:p>
        </w:tc>
      </w:tr>
      <w:tr>
        <w:trPr>
          <w:jc w:val="center"/>
          <w:trHeight w:val="464"/>
        </w:trPr>
        <w:tc>
          <w:tcPr>
            <w:tcW w:w="1099" w:type="dxa"/>
            <w:vAlign w:val="center"/>
            <w:textDirection w:val="lrTb"/>
            <w:noWrap/>
          </w:tcPr>
          <w:p>
            <w:pPr>
              <w:pStyle w:val="1179"/>
              <w:jc w:val="center"/>
              <w:rPr>
                <w:rFonts w:hint="default" w:ascii="Times New Roman" w:hAnsi="Times New Roman"/>
                <w:sz w:val="24"/>
                <w:szCs w:val="24"/>
              </w:rPr>
            </w:pPr>
            <w:r>
              <w:rPr>
                <w:rFonts w:ascii="Times New Roman" w:hAnsi="Times New Roman"/>
                <w:sz w:val="24"/>
                <w:szCs w:val="24"/>
              </w:rPr>
              <w:t xml:space="preserve">8</w:t>
            </w:r>
            <w:r/>
          </w:p>
        </w:tc>
        <w:tc>
          <w:tcPr>
            <w:tcW w:w="1954" w:type="dxa"/>
            <w:vAlign w:val="center"/>
            <w:textDirection w:val="lrTb"/>
            <w:noWrap/>
          </w:tcPr>
          <w:p>
            <w:pPr>
              <w:jc w:val="center"/>
              <w:rPr>
                <w:sz w:val="24"/>
              </w:rPr>
            </w:pPr>
            <w:r>
              <w:rPr>
                <w:rFonts w:hint="eastAsia"/>
                <w:sz w:val="24"/>
              </w:rPr>
              <w:t xml:space="preserve">评标方法及标准</w:t>
            </w:r>
            <w:r/>
          </w:p>
        </w:tc>
        <w:tc>
          <w:tcPr>
            <w:tcW w:w="7358" w:type="dxa"/>
            <w:vAlign w:val="center"/>
            <w:textDirection w:val="lrTb"/>
            <w:noWrap/>
          </w:tcPr>
          <w:p>
            <w:pPr>
              <w:jc w:val="left"/>
              <w:rPr>
                <w:sz w:val="24"/>
              </w:rPr>
            </w:pPr>
            <w:r>
              <w:rPr>
                <w:rFonts w:hint="eastAsia"/>
                <w:sz w:val="24"/>
              </w:rPr>
              <w:t xml:space="preserve">本项目采用综合评分法</w:t>
            </w:r>
            <w:r/>
          </w:p>
        </w:tc>
      </w:tr>
      <w:tr>
        <w:trPr>
          <w:jc w:val="center"/>
          <w:trHeight w:val="464"/>
        </w:trPr>
        <w:tc>
          <w:tcPr>
            <w:tcW w:w="1099" w:type="dxa"/>
            <w:vAlign w:val="center"/>
            <w:textDirection w:val="lrTb"/>
            <w:noWrap/>
          </w:tcPr>
          <w:p>
            <w:pPr>
              <w:pStyle w:val="1179"/>
              <w:jc w:val="center"/>
              <w:rPr>
                <w:rFonts w:hint="default" w:ascii="Times New Roman" w:hAnsi="Times New Roman"/>
                <w:sz w:val="24"/>
                <w:szCs w:val="24"/>
              </w:rPr>
            </w:pPr>
            <w:r>
              <w:rPr>
                <w:rFonts w:ascii="Times New Roman" w:hAnsi="Times New Roman"/>
                <w:sz w:val="24"/>
                <w:szCs w:val="24"/>
              </w:rPr>
              <w:t xml:space="preserve">9</w:t>
            </w:r>
            <w:r/>
          </w:p>
        </w:tc>
        <w:tc>
          <w:tcPr>
            <w:tcW w:w="1954" w:type="dxa"/>
            <w:vAlign w:val="center"/>
            <w:textDirection w:val="lrTb"/>
            <w:noWrap/>
          </w:tcPr>
          <w:p>
            <w:pPr>
              <w:jc w:val="center"/>
              <w:rPr>
                <w:sz w:val="24"/>
              </w:rPr>
            </w:pPr>
            <w:r>
              <w:rPr>
                <w:sz w:val="24"/>
              </w:rPr>
              <w:t xml:space="preserve">分包</w:t>
            </w:r>
            <w:r/>
          </w:p>
        </w:tc>
        <w:tc>
          <w:tcPr>
            <w:tcW w:w="7358" w:type="dxa"/>
            <w:vAlign w:val="center"/>
            <w:textDirection w:val="lrTb"/>
            <w:noWrap/>
          </w:tcPr>
          <w:p>
            <w:pPr>
              <w:jc w:val="left"/>
              <w:rPr>
                <w:sz w:val="24"/>
                <w:u w:val="single"/>
              </w:rPr>
            </w:pPr>
            <w:r>
              <w:rPr>
                <w:sz w:val="24"/>
              </w:rPr>
              <w:t xml:space="preserve">本项目的非主体、非关键性工作是否允许分包： </w:t>
            </w:r>
            <w:r>
              <w:rPr>
                <w:rFonts w:hint="eastAsia"/>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不允许</w:t>
            </w:r>
            <w:r/>
          </w:p>
        </w:tc>
      </w:tr>
      <w:tr>
        <w:trPr>
          <w:jc w:val="center"/>
          <w:trHeight w:val="437"/>
        </w:trPr>
        <w:tc>
          <w:tcPr>
            <w:tcW w:w="1099" w:type="dxa"/>
            <w:vAlign w:val="center"/>
            <w:textDirection w:val="lrTb"/>
            <w:noWrap/>
          </w:tcPr>
          <w:p>
            <w:pPr>
              <w:pStyle w:val="1179"/>
              <w:jc w:val="center"/>
              <w:rPr>
                <w:rFonts w:hint="default" w:ascii="Times New Roman" w:hAnsi="Times New Roman"/>
                <w:sz w:val="24"/>
                <w:szCs w:val="24"/>
              </w:rPr>
            </w:pPr>
            <w:r>
              <w:rPr>
                <w:rFonts w:ascii="Times New Roman" w:hAnsi="Times New Roman"/>
                <w:sz w:val="24"/>
                <w:szCs w:val="24"/>
              </w:rPr>
              <w:t xml:space="preserve">10</w:t>
            </w:r>
            <w:r/>
          </w:p>
        </w:tc>
        <w:tc>
          <w:tcPr>
            <w:tcW w:w="1954" w:type="dxa"/>
            <w:vAlign w:val="center"/>
            <w:textDirection w:val="lrTb"/>
            <w:noWrap/>
          </w:tcPr>
          <w:p>
            <w:pPr>
              <w:jc w:val="center"/>
              <w:rPr>
                <w:sz w:val="24"/>
              </w:rPr>
            </w:pPr>
            <w:r>
              <w:rPr>
                <w:sz w:val="24"/>
              </w:rPr>
              <w:t xml:space="preserve">询问</w:t>
            </w:r>
            <w:r/>
          </w:p>
        </w:tc>
        <w:tc>
          <w:tcPr>
            <w:tcW w:w="7358" w:type="dxa"/>
            <w:vAlign w:val="center"/>
            <w:textDirection w:val="lrTb"/>
            <w:noWrap/>
          </w:tcPr>
          <w:p>
            <w:pPr>
              <w:jc w:val="left"/>
              <w:rPr>
                <w:sz w:val="24"/>
              </w:rPr>
            </w:pPr>
            <w:r>
              <w:rPr>
                <w:sz w:val="24"/>
              </w:rPr>
              <w:t xml:space="preserve">询问送达形式：</w:t>
            </w:r>
            <w:r>
              <w:rPr>
                <w:rFonts w:hint="eastAsia"/>
                <w:color w:val="000000" w:themeColor="text1"/>
                <w:sz w:val="24"/>
                <w:u w:val="single"/>
                <w14:textFill>
                  <w14:solidFill>
                    <w14:schemeClr w14:val="tx1"/>
                  </w14:solidFill>
                </w14:textFill>
              </w:rPr>
              <w:t xml:space="preserve">书面形式</w:t>
            </w:r>
            <w:r/>
          </w:p>
        </w:tc>
      </w:tr>
      <w:tr>
        <w:trPr>
          <w:jc w:val="center"/>
          <w:trHeight w:val="20"/>
        </w:trPr>
        <w:tc>
          <w:tcPr>
            <w:tcW w:w="1099" w:type="dxa"/>
            <w:vAlign w:val="center"/>
            <w:textDirection w:val="lrTb"/>
            <w:noWrap/>
          </w:tcPr>
          <w:p>
            <w:pPr>
              <w:pStyle w:val="1179"/>
              <w:jc w:val="center"/>
              <w:rPr>
                <w:rFonts w:hint="default" w:ascii="Times New Roman" w:hAnsi="Times New Roman"/>
                <w:sz w:val="24"/>
                <w:szCs w:val="24"/>
              </w:rPr>
            </w:pPr>
            <w:r>
              <w:rPr>
                <w:rFonts w:ascii="Times New Roman" w:hAnsi="Times New Roman"/>
                <w:sz w:val="24"/>
                <w:szCs w:val="24"/>
              </w:rPr>
              <w:t xml:space="preserve">11</w:t>
            </w:r>
            <w:r/>
          </w:p>
        </w:tc>
        <w:tc>
          <w:tcPr>
            <w:tcW w:w="1954" w:type="dxa"/>
            <w:vAlign w:val="center"/>
            <w:textDirection w:val="lrTb"/>
            <w:noWrap/>
          </w:tcPr>
          <w:p>
            <w:pPr>
              <w:jc w:val="center"/>
              <w:rPr>
                <w:sz w:val="24"/>
              </w:rPr>
            </w:pPr>
            <w:r>
              <w:rPr>
                <w:sz w:val="24"/>
              </w:rPr>
              <w:t xml:space="preserve">联系方式</w:t>
            </w:r>
            <w:r/>
          </w:p>
        </w:tc>
        <w:tc>
          <w:tcPr>
            <w:tcW w:w="7358" w:type="dxa"/>
            <w:vAlign w:val="center"/>
            <w:textDirection w:val="lrTb"/>
            <w:noWrap/>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江苏华溯工程项目管理有限公司</w:t>
            </w:r>
            <w:r>
              <w:rPr>
                <w:sz w:val="24"/>
              </w:rPr>
              <w:t xml:space="preserve">；</w:t>
            </w:r>
            <w:r/>
          </w:p>
          <w:p>
            <w:pPr>
              <w:jc w:val="left"/>
              <w:rPr>
                <w:sz w:val="24"/>
              </w:rPr>
            </w:pPr>
            <w:r>
              <w:rPr>
                <w:sz w:val="24"/>
              </w:rPr>
              <w:t xml:space="preserve">联系电话：</w:t>
            </w:r>
            <w:r>
              <w:rPr>
                <w:rFonts w:hint="eastAsia"/>
                <w:sz w:val="24"/>
                <w:u w:val="single"/>
              </w:rPr>
              <w:t xml:space="preserve">0519-82807908</w:t>
            </w:r>
            <w:r>
              <w:rPr>
                <w:sz w:val="24"/>
              </w:rPr>
              <w:t xml:space="preserve">；</w:t>
            </w:r>
            <w:r/>
          </w:p>
          <w:p>
            <w:pPr>
              <w:jc w:val="left"/>
              <w:rPr>
                <w:sz w:val="24"/>
              </w:rPr>
            </w:pPr>
            <w:r>
              <w:rPr>
                <w:sz w:val="24"/>
              </w:rPr>
              <w:t xml:space="preserve">通讯地址：</w:t>
            </w:r>
            <w:r>
              <w:rPr>
                <w:rFonts w:hint="eastAsia"/>
                <w:sz w:val="24"/>
                <w:u w:val="single"/>
              </w:rPr>
              <w:t xml:space="preserve">常州市金坛区金胜东路19号3楼</w:t>
            </w:r>
            <w:r>
              <w:rPr>
                <w:sz w:val="24"/>
              </w:rPr>
              <w:t xml:space="preserve">。</w:t>
            </w:r>
            <w:r/>
          </w:p>
        </w:tc>
      </w:tr>
      <w:tr>
        <w:trPr>
          <w:jc w:val="center"/>
          <w:trHeight w:val="20"/>
        </w:trPr>
        <w:tc>
          <w:tcPr>
            <w:tcW w:w="1099" w:type="dxa"/>
            <w:vAlign w:val="center"/>
            <w:textDirection w:val="lrTb"/>
            <w:noWrap/>
          </w:tcPr>
          <w:p>
            <w:pPr>
              <w:pStyle w:val="1179"/>
              <w:jc w:val="center"/>
              <w:rPr>
                <w:rFonts w:hint="default" w:ascii="Times New Roman" w:hAnsi="Times New Roman"/>
                <w:sz w:val="24"/>
                <w:szCs w:val="24"/>
              </w:rPr>
            </w:pPr>
            <w:r>
              <w:rPr>
                <w:rFonts w:ascii="Times New Roman" w:hAnsi="Times New Roman"/>
                <w:sz w:val="24"/>
                <w:szCs w:val="24"/>
              </w:rPr>
              <w:t xml:space="preserve">12</w:t>
            </w:r>
            <w:r/>
          </w:p>
        </w:tc>
        <w:tc>
          <w:tcPr>
            <w:tcW w:w="1954" w:type="dxa"/>
            <w:vAlign w:val="center"/>
            <w:textDirection w:val="lrTb"/>
            <w:noWrap/>
          </w:tcPr>
          <w:p>
            <w:pPr>
              <w:jc w:val="center"/>
              <w:rPr>
                <w:sz w:val="24"/>
                <w:highlight w:val="none"/>
              </w:rPr>
            </w:pPr>
            <w:r>
              <w:rPr>
                <w:sz w:val="24"/>
                <w:highlight w:val="none"/>
              </w:rPr>
              <w:t xml:space="preserve">代理费</w:t>
            </w:r>
            <w:r/>
          </w:p>
        </w:tc>
        <w:tc>
          <w:tcPr>
            <w:tcW w:w="7358" w:type="dxa"/>
            <w:vAlign w:val="center"/>
            <w:textDirection w:val="lrTb"/>
            <w:noWrap/>
          </w:tcPr>
          <w:p>
            <w:pPr>
              <w:jc w:val="left"/>
              <w:rPr>
                <w:sz w:val="24"/>
                <w:highlight w:val="none"/>
              </w:rPr>
            </w:pPr>
            <w:r>
              <w:rPr>
                <w:sz w:val="24"/>
                <w:highlight w:val="none"/>
              </w:rPr>
              <w:t xml:space="preserve">收费对象：□采购人</w:t>
            </w:r>
            <w:r>
              <w:rPr>
                <w:rFonts w:hint="eastAsia"/>
                <w:color w:val="000000" w:themeColor="text1"/>
                <w:highlight w:val="none"/>
                <w14:textFill>
                  <w14:solidFill>
                    <w14:schemeClr w14:val="tx1"/>
                  </w14:solidFill>
                </w14:textFill>
              </w:rPr>
              <w:t xml:space="preserve">☑</w:t>
            </w:r>
            <w:r>
              <w:rPr>
                <w:sz w:val="24"/>
                <w:highlight w:val="none"/>
              </w:rPr>
              <w:t xml:space="preserve">成交供应商</w:t>
            </w:r>
            <w:r/>
          </w:p>
          <w:p>
            <w:pPr>
              <w:jc w:val="left"/>
              <w:rPr>
                <w:rFonts w:hint="eastAsia" w:eastAsia="宋体"/>
                <w:color w:val="0000ff"/>
                <w:sz w:val="24"/>
                <w:highlight w:val="none"/>
                <w:u w:val="single"/>
                <w:lang w:eastAsia="zh-CN"/>
              </w:rPr>
            </w:pPr>
            <w:r>
              <w:rPr>
                <w:rFonts w:hint="eastAsia"/>
                <w:color w:val="0000ff"/>
                <w:sz w:val="24"/>
                <w:highlight w:val="none"/>
                <w:u w:val="single"/>
              </w:rPr>
              <w:t xml:space="preserve">收费标准:技术服务费</w:t>
            </w:r>
            <w:r>
              <w:rPr>
                <w:rFonts w:hint="eastAsia"/>
                <w:color w:val="0000ff"/>
                <w:sz w:val="24"/>
                <w:highlight w:val="none"/>
                <w:u w:val="single"/>
                <w:lang w:val="en-US" w:eastAsia="zh-CN"/>
              </w:rPr>
              <w:t xml:space="preserve">参考</w:t>
            </w:r>
            <w:r>
              <w:rPr>
                <w:rFonts w:hint="eastAsia"/>
                <w:color w:val="0000ff"/>
                <w:sz w:val="24"/>
                <w:highlight w:val="none"/>
                <w:u w:val="single"/>
              </w:rPr>
              <w:t xml:space="preserve">“国家计委关于印发《招标代理服务收费管理暂行办法》的通知计价格[2002】1980号”文件中对应的收费标准</w:t>
            </w:r>
            <w:r>
              <w:rPr>
                <w:rFonts w:hint="eastAsia"/>
                <w:color w:val="0000ff"/>
                <w:sz w:val="24"/>
                <w:highlight w:val="none"/>
                <w:u w:val="single"/>
                <w:lang w:val="en-US" w:eastAsia="zh-CN"/>
              </w:rPr>
              <w:t xml:space="preserve">执行</w:t>
            </w:r>
            <w:r>
              <w:rPr>
                <w:rFonts w:hint="eastAsia"/>
                <w:color w:val="0000ff"/>
                <w:sz w:val="24"/>
                <w:highlight w:val="none"/>
                <w:u w:val="single"/>
              </w:rPr>
              <w:t xml:space="preserve">。少于3000元的按3000元计取服务费用</w:t>
            </w:r>
            <w:r>
              <w:rPr>
                <w:rFonts w:hint="eastAsia"/>
                <w:color w:val="0000ff"/>
                <w:sz w:val="24"/>
                <w:highlight w:val="none"/>
                <w:u w:val="single"/>
                <w:lang w:eastAsia="zh-CN"/>
              </w:rPr>
              <w:t xml:space="preserve">。</w:t>
            </w:r>
            <w:r/>
          </w:p>
          <w:p>
            <w:pPr>
              <w:jc w:val="left"/>
              <w:rPr>
                <w:sz w:val="24"/>
                <w:highlight w:val="none"/>
              </w:rPr>
            </w:pPr>
            <w:r>
              <w:rPr>
                <w:rFonts w:hint="eastAsia"/>
                <w:color w:val="0000ff"/>
                <w:sz w:val="24"/>
                <w:highlight w:val="none"/>
                <w:u w:val="single"/>
              </w:rPr>
              <w:t xml:space="preserve">缴纳时间:成交供应商在领取成交通知书时一次性支付给招标代理单位，供应商在报价时应综合考虑。</w:t>
            </w:r>
            <w:r/>
          </w:p>
        </w:tc>
      </w:tr>
      <w:tr>
        <w:trPr>
          <w:jc w:val="center"/>
          <w:trHeight w:val="20"/>
        </w:trPr>
        <w:tc>
          <w:tcPr>
            <w:tcW w:w="1099" w:type="dxa"/>
            <w:vAlign w:val="center"/>
            <w:textDirection w:val="lrTb"/>
            <w:noWrap/>
          </w:tcPr>
          <w:p>
            <w:pPr>
              <w:pStyle w:val="1179"/>
              <w:jc w:val="center"/>
              <w:rPr>
                <w:rFonts w:hint="default" w:ascii="Times New Roman" w:hAnsi="Times New Roman"/>
                <w:sz w:val="24"/>
                <w:szCs w:val="24"/>
              </w:rPr>
            </w:pPr>
            <w:r>
              <w:rPr>
                <w:rFonts w:ascii="Times New Roman" w:hAnsi="Times New Roman"/>
                <w:sz w:val="24"/>
                <w:szCs w:val="24"/>
              </w:rPr>
              <w:t xml:space="preserve">13</w:t>
            </w:r>
            <w:r/>
          </w:p>
        </w:tc>
        <w:tc>
          <w:tcPr>
            <w:tcW w:w="1954" w:type="dxa"/>
            <w:vAlign w:val="center"/>
            <w:textDirection w:val="lrTb"/>
            <w:noWrap/>
          </w:tcPr>
          <w:p>
            <w:pPr>
              <w:jc w:val="center"/>
              <w:rPr>
                <w:sz w:val="24"/>
                <w:lang w:val="zh-TW"/>
              </w:rPr>
            </w:pPr>
            <w:r>
              <w:rPr>
                <w:rFonts w:hint="eastAsia"/>
                <w:sz w:val="24"/>
              </w:rPr>
              <w:t xml:space="preserve">投标文件份数</w:t>
            </w:r>
            <w:r/>
          </w:p>
        </w:tc>
        <w:tc>
          <w:tcPr>
            <w:tcW w:w="7358" w:type="dxa"/>
            <w:vAlign w:val="center"/>
            <w:textDirection w:val="lrTb"/>
            <w:noWrap/>
          </w:tcPr>
          <w:p>
            <w:pPr>
              <w:rPr>
                <w:sz w:val="24"/>
                <w:lang w:val="zh-TW"/>
              </w:rPr>
            </w:pPr>
            <w:r>
              <w:rPr>
                <w:rFonts w:hint="eastAsia"/>
                <w:sz w:val="24"/>
              </w:rPr>
              <w:t xml:space="preserve">无需提供纸质投标文件。</w:t>
            </w:r>
            <w:r>
              <w:rPr>
                <w:rFonts w:hint="eastAsia"/>
                <w:color w:val="000000" w:themeColor="text1"/>
                <w:sz w:val="24"/>
                <w14:textFill>
                  <w14:solidFill>
                    <w14:schemeClr w14:val="tx1"/>
                  </w14:solidFill>
                </w14:textFill>
              </w:rPr>
              <w:t xml:space="preserve">中标供应商在领取中标通知书前须向采购人额外提供从电子化招投标系统打印出的与投标所报电子文件一致的纸质投标书</w:t>
            </w:r>
            <w:r>
              <w:rPr>
                <w:rFonts w:hint="eastAsia"/>
                <w:color w:val="000000" w:themeColor="text1"/>
                <w:sz w:val="24"/>
                <w:u w:val="single"/>
                <w14:textFill>
                  <w14:solidFill>
                    <w14:schemeClr w14:val="tx1"/>
                  </w14:solidFill>
                </w14:textFill>
              </w:rPr>
              <w:t xml:space="preserve">  3  </w:t>
            </w:r>
            <w:r>
              <w:rPr>
                <w:rFonts w:hint="eastAsia"/>
                <w:color w:val="000000" w:themeColor="text1"/>
                <w:sz w:val="24"/>
                <w14:textFill>
                  <w14:solidFill>
                    <w14:schemeClr w14:val="tx1"/>
                  </w14:solidFill>
                </w14:textFill>
              </w:rPr>
              <w:t xml:space="preserve">份，并按要求签字盖章。</w:t>
            </w:r>
            <w:r/>
          </w:p>
        </w:tc>
      </w:tr>
    </w:tbl>
    <w:p>
      <w:pPr>
        <w:spacing w:line="360" w:lineRule="auto"/>
        <w:tabs>
          <w:tab w:val="left" w:pos="5580" w:leader="none"/>
        </w:tabs>
        <w:rPr>
          <w:sz w:val="24"/>
        </w:rPr>
        <w:sectPr>
          <w:headerReference w:type="default" r:id="rId12"/>
          <w:footerReference w:type="default" r:id="rId23"/>
          <w:footerReference w:type="first" r:id="rId24"/>
          <w:footnotePr/>
          <w:endnotePr/>
          <w:type w:val="nextPage"/>
          <w:pgSz w:w="11907" w:h="16840" w:orient="portrait"/>
          <w:pgMar w:top="1440" w:right="1080" w:bottom="1440" w:left="1080" w:header="851" w:footer="851" w:gutter="0"/>
          <w:pgNumType w:start="1"/>
          <w:cols w:num="1" w:sep="0" w:space="1701" w:equalWidth="1"/>
          <w:docGrid w:linePitch="360"/>
        </w:sectPr>
      </w:pPr>
      <w:r>
        <w:rPr>
          <w:sz w:val="24"/>
        </w:rPr>
      </w:r>
      <w:r/>
    </w:p>
    <w:p>
      <w:pPr>
        <w:jc w:val="center"/>
        <w:spacing w:before="240" w:after="240"/>
        <w:rPr>
          <w:b/>
          <w:sz w:val="28"/>
          <w:szCs w:val="28"/>
        </w:rPr>
      </w:pPr>
      <w:r/>
      <w:bookmarkStart w:id="72" w:name="_Toc305158785"/>
      <w:r/>
      <w:bookmarkStart w:id="73" w:name="_Toc353825542"/>
      <w:r/>
      <w:bookmarkStart w:id="74" w:name="_Toc264969207"/>
      <w:r/>
      <w:bookmarkStart w:id="75" w:name="_Toc150480755"/>
      <w:r/>
      <w:bookmarkStart w:id="76" w:name="_Toc265228355"/>
      <w:r/>
      <w:bookmarkStart w:id="77" w:name="_Toc353873662"/>
      <w:r/>
      <w:bookmarkStart w:id="78" w:name="_Toc226337213"/>
      <w:r/>
      <w:bookmarkStart w:id="79" w:name="_Toc305158859"/>
      <w:r/>
      <w:bookmarkStart w:id="80" w:name="_Toc142311019"/>
      <w:r/>
      <w:bookmarkStart w:id="81" w:name="_Toc195842882"/>
      <w:r/>
      <w:bookmarkStart w:id="82" w:name="_Toc226965790"/>
      <w:r/>
      <w:bookmarkStart w:id="83" w:name="_Toc150774722"/>
      <w:r/>
      <w:bookmarkStart w:id="84" w:name="_Toc353873932"/>
      <w:r/>
      <w:bookmarkStart w:id="85" w:name="_Toc127151517"/>
      <w:r>
        <w:rPr>
          <w:b/>
          <w:sz w:val="28"/>
          <w:szCs w:val="28"/>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1142"/>
        <w:jc w:val="left"/>
        <w:spacing w:before="0" w:line="360" w:lineRule="auto"/>
        <w:tabs>
          <w:tab w:val="center" w:pos="4592" w:leader="none"/>
          <w:tab w:val="left" w:pos="7860" w:leader="none"/>
        </w:tabs>
        <w:rPr>
          <w:rFonts w:ascii="Times New Roman" w:hAnsi="Times New Roman" w:eastAsia="宋体"/>
          <w:sz w:val="28"/>
        </w:rPr>
      </w:pPr>
      <w:r/>
      <w:bookmarkStart w:id="86" w:name="_Toc520356143"/>
      <w:r/>
      <w:bookmarkStart w:id="87" w:name="_Toc127151518"/>
      <w:r>
        <w:rPr>
          <w:rFonts w:ascii="Times New Roman" w:hAnsi="Times New Roman" w:eastAsia="宋体"/>
          <w:sz w:val="28"/>
        </w:rPr>
        <w:tab/>
      </w:r>
      <w:bookmarkStart w:id="88" w:name="_Toc151193906"/>
      <w:r/>
      <w:bookmarkStart w:id="89" w:name="_Toc151193760"/>
      <w:r/>
      <w:bookmarkStart w:id="90" w:name="_Toc150774723"/>
      <w:r/>
      <w:bookmarkStart w:id="91" w:name="_Toc305158860"/>
      <w:r/>
      <w:bookmarkStart w:id="92" w:name="_Toc265228356"/>
      <w:r/>
      <w:bookmarkStart w:id="93" w:name="_Toc150480756"/>
      <w:r/>
      <w:bookmarkStart w:id="94" w:name="_Toc305158786"/>
      <w:r/>
      <w:bookmarkStart w:id="95" w:name="_Toc151190145"/>
      <w:r/>
      <w:bookmarkStart w:id="96" w:name="_Toc151193832"/>
      <w:r/>
      <w:bookmarkStart w:id="97" w:name="_Toc150509269"/>
      <w:r/>
      <w:bookmarkStart w:id="98" w:name="_Toc151193688"/>
      <w:r/>
      <w:bookmarkStart w:id="99" w:name="_Toc195842883"/>
      <w:r/>
      <w:bookmarkStart w:id="100" w:name="_Toc226337214"/>
      <w:r/>
      <w:bookmarkStart w:id="101" w:name="_Toc226965708"/>
      <w:r/>
      <w:bookmarkStart w:id="102" w:name="_Toc226309762"/>
      <w:r/>
      <w:bookmarkStart w:id="103" w:name="_Toc142311020"/>
      <w:r/>
      <w:bookmarkStart w:id="104" w:name="_Toc150774618"/>
      <w:r/>
      <w:bookmarkStart w:id="105" w:name="_Toc226965791"/>
      <w:r/>
      <w:bookmarkStart w:id="106" w:name="_Toc151193616"/>
      <w:r/>
      <w:bookmarkStart w:id="107" w:name="_Toc264969208"/>
      <w:r>
        <w:rPr>
          <w:rFonts w:ascii="Times New Roman" w:hAnsi="Times New Roman" w:eastAsia="宋体"/>
          <w:sz w:val="28"/>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sz w:val="28"/>
        </w:rPr>
        <w:tab/>
      </w:r>
      <w:r/>
    </w:p>
    <w:p>
      <w:pPr>
        <w:numPr>
          <w:ilvl w:val="0"/>
          <w:numId w:val="8"/>
        </w:numPr>
        <w:ind w:left="357" w:hanging="357"/>
        <w:spacing w:line="360" w:lineRule="auto"/>
        <w:tabs>
          <w:tab w:val="left" w:pos="360" w:leader="none"/>
        </w:tabs>
        <w:rPr>
          <w:sz w:val="24"/>
        </w:rPr>
        <w:outlineLvl w:val="1"/>
      </w:pPr>
      <w:r/>
      <w:bookmarkStart w:id="108" w:name="_Toc305158861"/>
      <w:r/>
      <w:bookmarkStart w:id="109" w:name="_Toc265228357"/>
      <w:r/>
      <w:bookmarkStart w:id="110" w:name="_Toc264969209"/>
      <w:r/>
      <w:bookmarkStart w:id="111" w:name="_Toc305158787"/>
      <w:r>
        <w:rPr>
          <w:sz w:val="24"/>
        </w:rPr>
        <w:t xml:space="preserve">采购人、采购代理机构、投标人</w:t>
      </w:r>
      <w:bookmarkEnd w:id="108"/>
      <w:r/>
      <w:bookmarkEnd w:id="109"/>
      <w:r/>
      <w:bookmarkEnd w:id="110"/>
      <w:r/>
      <w:bookmarkEnd w:id="111"/>
      <w:r>
        <w:rPr>
          <w:rFonts w:hint="eastAsia"/>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rPr>
        <w:outlineLvl w:val="1"/>
      </w:pPr>
      <w:r/>
      <w:bookmarkStart w:id="112" w:name="_Toc305158788"/>
      <w:r/>
      <w:bookmarkStart w:id="113" w:name="_Toc151193690"/>
      <w:r/>
      <w:bookmarkStart w:id="114" w:name="_Toc151193834"/>
      <w:r/>
      <w:bookmarkStart w:id="115" w:name="_Toc151193618"/>
      <w:r/>
      <w:bookmarkStart w:id="116" w:name="_Toc151193908"/>
      <w:r/>
      <w:bookmarkStart w:id="117" w:name="_Toc164608789"/>
      <w:r/>
      <w:bookmarkStart w:id="118" w:name="_Toc226965793"/>
      <w:r/>
      <w:bookmarkStart w:id="119" w:name="_Toc164608634"/>
      <w:r/>
      <w:bookmarkStart w:id="120" w:name="_Toc226309764"/>
      <w:r/>
      <w:bookmarkStart w:id="121" w:name="_Toc150774725"/>
      <w:r/>
      <w:bookmarkStart w:id="122" w:name="_Toc142311022"/>
      <w:r/>
      <w:bookmarkStart w:id="123" w:name="_Toc150774620"/>
      <w:r/>
      <w:bookmarkStart w:id="124" w:name="_Toc150480758"/>
      <w:r/>
      <w:bookmarkStart w:id="125" w:name="_Toc151193762"/>
      <w:r/>
      <w:bookmarkStart w:id="126" w:name="_Toc226965710"/>
      <w:r/>
      <w:bookmarkStart w:id="127" w:name="_Toc265228358"/>
      <w:r/>
      <w:bookmarkStart w:id="128" w:name="_Toc226337216"/>
      <w:r/>
      <w:bookmarkStart w:id="129" w:name="_Toc164229215"/>
      <w:r/>
      <w:bookmarkStart w:id="130" w:name="_Toc164229361"/>
      <w:r/>
      <w:bookmarkStart w:id="131" w:name="_Toc149720813"/>
      <w:r/>
      <w:bookmarkStart w:id="132" w:name="_Toc164351614"/>
      <w:r/>
      <w:bookmarkStart w:id="133" w:name="_Toc305158862"/>
      <w:r/>
      <w:bookmarkStart w:id="134" w:name="_Toc150509271"/>
      <w:r/>
      <w:bookmarkStart w:id="135" w:name="_Toc195842885"/>
      <w:r/>
      <w:bookmarkStart w:id="136" w:name="_Toc151190147"/>
      <w:r/>
      <w:bookmarkStart w:id="137" w:name="_Toc127161434"/>
      <w:r/>
      <w:bookmarkStart w:id="138" w:name="_Toc127151721"/>
      <w:r/>
      <w:bookmarkStart w:id="139" w:name="_Toc127151520"/>
      <w:r/>
      <w:bookmarkStart w:id="140" w:name="_Toc264969210"/>
      <w:r>
        <w:rPr>
          <w:sz w:val="24"/>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sz w:val="24"/>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hanging="357"/>
        <w:spacing w:line="360" w:lineRule="auto"/>
        <w:tabs>
          <w:tab w:val="left" w:pos="360" w:leader="none"/>
        </w:tabs>
        <w:rPr>
          <w:sz w:val="24"/>
        </w:rPr>
        <w:outlineLvl w:val="1"/>
      </w:pPr>
      <w:r>
        <w:rPr>
          <w:sz w:val="24"/>
        </w:rPr>
        <w:t xml:space="preserve">现场考察、开标前答疑会</w:t>
      </w:r>
      <w:r/>
    </w:p>
    <w:p>
      <w:pPr>
        <w:numPr>
          <w:ilvl w:val="1"/>
          <w:numId w:val="8"/>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1" w:name="_Toc151193836"/>
      <w:r/>
      <w:bookmarkStart w:id="142" w:name="_Toc305158864"/>
      <w:r/>
      <w:bookmarkStart w:id="143" w:name="_Toc127151522"/>
      <w:r/>
      <w:bookmarkStart w:id="144" w:name="_Toc151193692"/>
      <w:r/>
      <w:bookmarkStart w:id="145" w:name="_Toc264969212"/>
      <w:r/>
      <w:bookmarkStart w:id="146" w:name="_Toc151190149"/>
      <w:r/>
      <w:bookmarkStart w:id="147" w:name="_Toc150774622"/>
      <w:r/>
      <w:bookmarkStart w:id="148" w:name="_Toc520356146"/>
      <w:r/>
      <w:bookmarkStart w:id="149" w:name="_Toc150480760"/>
      <w:r/>
      <w:bookmarkStart w:id="150" w:name="_Toc265228360"/>
      <w:r/>
      <w:bookmarkStart w:id="151" w:name="_Toc195842887"/>
      <w:r/>
      <w:bookmarkStart w:id="152" w:name="_Toc305158790"/>
      <w:r/>
      <w:bookmarkStart w:id="153" w:name="_Toc226965712"/>
      <w:r/>
      <w:bookmarkStart w:id="154" w:name="_Toc226337218"/>
      <w:r/>
      <w:bookmarkStart w:id="155" w:name="_Toc150509273"/>
      <w:r/>
      <w:bookmarkStart w:id="156" w:name="_Toc151193620"/>
      <w:r/>
      <w:bookmarkStart w:id="157" w:name="_Toc151193910"/>
      <w:r/>
      <w:bookmarkStart w:id="158" w:name="_Toc226309766"/>
      <w:r/>
      <w:bookmarkStart w:id="159" w:name="_Toc226965795"/>
      <w:r/>
      <w:bookmarkStart w:id="160" w:name="_Toc150774727"/>
      <w:r/>
      <w:bookmarkStart w:id="161" w:name="_Toc142311024"/>
      <w:r/>
      <w:bookmarkStart w:id="162" w:name="_Toc151193764"/>
      <w:r/>
      <w:r/>
    </w:p>
    <w:p>
      <w:pPr>
        <w:numPr>
          <w:ilvl w:val="1"/>
          <w:numId w:val="8"/>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rPr>
        <w:outlineLvl w:val="1"/>
      </w:pPr>
      <w:r>
        <w:rPr>
          <w:sz w:val="24"/>
        </w:rPr>
        <w:t xml:space="preserve">样品</w:t>
      </w:r>
      <w:r/>
    </w:p>
    <w:p>
      <w:pPr>
        <w:numPr>
          <w:ilvl w:val="1"/>
          <w:numId w:val="8"/>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8"/>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8"/>
        </w:numPr>
        <w:spacing w:line="360" w:lineRule="auto"/>
        <w:rPr>
          <w:sz w:val="24"/>
        </w:rPr>
      </w:pPr>
      <w:r>
        <w:rPr>
          <w:sz w:val="24"/>
        </w:rPr>
        <w:t xml:space="preserve">中小企业定义：</w:t>
      </w:r>
      <w:r/>
    </w:p>
    <w:p>
      <w:pPr>
        <w:pStyle w:val="1238"/>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8"/>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8"/>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8"/>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8"/>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8"/>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8"/>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8"/>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rPr>
      </w:pPr>
      <w:r>
        <w:rPr>
          <w:sz w:val="24"/>
        </w:rPr>
        <w:t xml:space="preserve">残疾人福利单位定义：享受政府采购支持政策的残疾人福利性单位应当同时满足以下条件：</w:t>
      </w:r>
      <w:r/>
    </w:p>
    <w:p>
      <w:pPr>
        <w:pStyle w:val="1238"/>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8"/>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rPr>
      </w:pPr>
      <w:r>
        <w:rPr>
          <w:sz w:val="24"/>
        </w:rPr>
        <w:t xml:space="preserve">本项目是否专门面向中小企业预留采购份额见第一章《投标邀请》。</w:t>
      </w:r>
      <w:r/>
    </w:p>
    <w:p>
      <w:pPr>
        <w:numPr>
          <w:ilvl w:val="2"/>
          <w:numId w:val="8"/>
        </w:numPr>
        <w:spacing w:line="360" w:lineRule="auto"/>
        <w:rPr>
          <w:sz w:val="24"/>
        </w:rPr>
      </w:pPr>
      <w:r>
        <w:rPr>
          <w:sz w:val="24"/>
        </w:rPr>
        <w:t xml:space="preserve">采购标的对应的中小企业划分标准所属行业见《投标人须知资料表》。</w:t>
      </w:r>
      <w:r/>
    </w:p>
    <w:p>
      <w:pPr>
        <w:numPr>
          <w:ilvl w:val="2"/>
          <w:numId w:val="8"/>
        </w:numPr>
        <w:spacing w:line="360" w:lineRule="auto"/>
        <w:rPr>
          <w:sz w:val="24"/>
        </w:rPr>
      </w:pPr>
      <w:r>
        <w:rPr>
          <w:sz w:val="24"/>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8"/>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8"/>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8"/>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8"/>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8"/>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spacing w:line="360" w:lineRule="auto"/>
        <w:tabs>
          <w:tab w:val="left" w:pos="1080" w:leader="none"/>
          <w:tab w:val="left" w:pos="2014" w:leader="none"/>
        </w:tabs>
        <w:rPr>
          <w:sz w:val="24"/>
        </w:rPr>
      </w:pPr>
      <w:r>
        <w:rPr>
          <w:rFonts w:hint="eastAsia"/>
          <w:sz w:val="24"/>
        </w:rPr>
        <w:t xml:space="preserve">绿色采购政策</w:t>
      </w:r>
      <w:r/>
    </w:p>
    <w:p>
      <w:pPr>
        <w:numPr>
          <w:ilvl w:val="2"/>
          <w:numId w:val="8"/>
        </w:numPr>
        <w:spacing w:line="360" w:lineRule="auto"/>
        <w:tabs>
          <w:tab w:val="left" w:pos="2014" w:leader="none"/>
        </w:tabs>
        <w:rPr>
          <w:sz w:val="24"/>
        </w:rPr>
      </w:pPr>
      <w:r>
        <w:rPr>
          <w:rFonts w:hint="eastAsia"/>
          <w:sz w:val="24"/>
        </w:rPr>
        <w:t xml:space="preserve">绿色数据中心政策 </w:t>
      </w:r>
      <w:r/>
    </w:p>
    <w:p>
      <w:pPr>
        <w:ind w:left="1080"/>
        <w:spacing w:line="360" w:lineRule="auto"/>
        <w:tabs>
          <w:tab w:val="left" w:pos="2014" w:leader="none"/>
        </w:tabs>
        <w:rPr>
          <w:sz w:val="24"/>
        </w:rPr>
      </w:pPr>
      <w:r>
        <w:rPr>
          <w:rFonts w:hint="eastAsia"/>
          <w:sz w:val="24"/>
        </w:rPr>
        <w:t xml:space="preserve">依据《绿色数据中心政府采购需求标准（试行）》（财办库〔2023〕7 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sz w:val="24"/>
        </w:rPr>
      </w:pPr>
      <w:r>
        <w:rPr>
          <w:rFonts w:hint="eastAsia"/>
          <w:sz w:val="24"/>
        </w:rPr>
        <w:t xml:space="preserve">推广应用绿色建材</w:t>
      </w:r>
      <w:r/>
    </w:p>
    <w:p>
      <w:pPr>
        <w:ind w:left="1080"/>
        <w:spacing w:line="360" w:lineRule="auto"/>
        <w:tabs>
          <w:tab w:val="left" w:pos="2014" w:leader="none"/>
        </w:tabs>
        <w:rPr>
          <w:sz w:val="24"/>
        </w:rPr>
      </w:pPr>
      <w:r>
        <w:rPr>
          <w:rFonts w:hint="eastAsia"/>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spacing w:line="360" w:lineRule="auto"/>
        <w:tabs>
          <w:tab w:val="left" w:pos="2014" w:leader="none"/>
        </w:tabs>
        <w:rPr>
          <w:sz w:val="24"/>
        </w:rPr>
      </w:pPr>
      <w:r>
        <w:rPr>
          <w:rFonts w:hint="eastAsia"/>
          <w:sz w:val="24"/>
        </w:rPr>
        <w:t xml:space="preserve">优先使用低挥发性有机化合物产品</w:t>
      </w:r>
      <w:r/>
    </w:p>
    <w:p>
      <w:pPr>
        <w:ind w:left="1080"/>
        <w:spacing w:line="360" w:lineRule="auto"/>
        <w:tabs>
          <w:tab w:val="left" w:pos="2014" w:leader="none"/>
        </w:tabs>
        <w:rPr>
          <w:sz w:val="24"/>
        </w:rPr>
      </w:pPr>
      <w:r>
        <w:rPr>
          <w:rFonts w:hint="eastAsia"/>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sz w:val="24"/>
        </w:rPr>
        <w:outlineLvl w:val="1"/>
      </w:pPr>
      <w:r>
        <w:rPr>
          <w:sz w:val="24"/>
        </w:rPr>
        <w:t xml:space="preserve">投标费用</w:t>
      </w:r>
      <w:r/>
    </w:p>
    <w:p>
      <w:pPr>
        <w:numPr>
          <w:ilvl w:val="1"/>
          <w:numId w:val="8"/>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63" w:name="_1.8_计量单位"/>
      <w:r/>
      <w:bookmarkEnd w:id="163"/>
      <w:r/>
      <w:r/>
    </w:p>
    <w:p>
      <w:pPr>
        <w:pStyle w:val="1142"/>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8"/>
        </w:numPr>
        <w:ind w:left="357" w:hanging="357"/>
        <w:spacing w:line="360" w:lineRule="auto"/>
        <w:tabs>
          <w:tab w:val="left" w:pos="360" w:leader="none"/>
        </w:tabs>
        <w:rPr>
          <w:sz w:val="24"/>
        </w:rPr>
        <w:outlineLvl w:val="1"/>
      </w:pPr>
      <w:r/>
      <w:bookmarkStart w:id="164" w:name="_Toc226965713"/>
      <w:r/>
      <w:bookmarkStart w:id="165" w:name="_Toc164229364"/>
      <w:r/>
      <w:bookmarkStart w:id="166" w:name="_Toc150480761"/>
      <w:r/>
      <w:bookmarkStart w:id="167" w:name="_Toc265228361"/>
      <w:r/>
      <w:bookmarkStart w:id="168" w:name="_Toc127151523"/>
      <w:r/>
      <w:bookmarkStart w:id="169" w:name="_Toc142311025"/>
      <w:r/>
      <w:bookmarkStart w:id="170" w:name="_Toc151193765"/>
      <w:r/>
      <w:bookmarkStart w:id="171" w:name="_Toc127151724"/>
      <w:r/>
      <w:bookmarkStart w:id="172" w:name="_Toc264969213"/>
      <w:r/>
      <w:bookmarkStart w:id="173" w:name="_Toc226965796"/>
      <w:r/>
      <w:bookmarkStart w:id="174" w:name="_Toc151193693"/>
      <w:r/>
      <w:bookmarkStart w:id="175" w:name="_Toc151190150"/>
      <w:r/>
      <w:bookmarkStart w:id="176" w:name="_Toc164351617"/>
      <w:r/>
      <w:bookmarkStart w:id="177" w:name="_Toc305158791"/>
      <w:r/>
      <w:bookmarkStart w:id="178" w:name="_Toc164608792"/>
      <w:r/>
      <w:bookmarkStart w:id="179" w:name="_Toc150774728"/>
      <w:r/>
      <w:bookmarkStart w:id="180" w:name="_Toc164608637"/>
      <w:r/>
      <w:bookmarkStart w:id="181" w:name="_Toc151193621"/>
      <w:r/>
      <w:bookmarkStart w:id="182" w:name="_Toc305158865"/>
      <w:r/>
      <w:bookmarkStart w:id="183" w:name="_Toc226337219"/>
      <w:r/>
      <w:bookmarkStart w:id="184" w:name="_Toc164229218"/>
      <w:r/>
      <w:bookmarkStart w:id="185" w:name="_Toc149720816"/>
      <w:r/>
      <w:bookmarkStart w:id="186" w:name="_Toc127161437"/>
      <w:r/>
      <w:bookmarkStart w:id="187" w:name="_Toc195842888"/>
      <w:r/>
      <w:bookmarkStart w:id="188" w:name="_Toc150774623"/>
      <w:r/>
      <w:bookmarkStart w:id="189" w:name="_Toc150509274"/>
      <w:r/>
      <w:bookmarkStart w:id="190" w:name="_Toc520356147"/>
      <w:r/>
      <w:bookmarkStart w:id="191" w:name="_Toc226309767"/>
      <w:r/>
      <w:bookmarkStart w:id="192" w:name="_Toc151193911"/>
      <w:r/>
      <w:bookmarkStart w:id="193" w:name="_Toc151193837"/>
      <w:r>
        <w:rPr>
          <w:sz w:val="24"/>
        </w:rPr>
        <w:t xml:space="preserve">招标文件构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sz w:val="24"/>
        </w:rPr>
        <w:t xml:space="preserve">成</w:t>
      </w:r>
      <w:r/>
    </w:p>
    <w:p>
      <w:pPr>
        <w:numPr>
          <w:ilvl w:val="1"/>
          <w:numId w:val="8"/>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0"/>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10"/>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0"/>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0"/>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10"/>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8"/>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194" w:name="_Toc516367020"/>
      <w:r/>
      <w:bookmarkStart w:id="195" w:name="_Toc151193768"/>
      <w:r/>
      <w:bookmarkStart w:id="196" w:name="_Toc142311028"/>
      <w:r/>
      <w:bookmarkStart w:id="197" w:name="_Toc127151526"/>
      <w:r/>
      <w:bookmarkStart w:id="198" w:name="_Toc150774626"/>
      <w:r/>
      <w:bookmarkStart w:id="199" w:name="_Toc151190153"/>
      <w:r/>
      <w:bookmarkStart w:id="200" w:name="_Toc150774731"/>
      <w:r/>
      <w:bookmarkStart w:id="201" w:name="_Toc150509277"/>
      <w:r/>
      <w:bookmarkStart w:id="202" w:name="_Toc520356150"/>
      <w:r/>
      <w:bookmarkStart w:id="203" w:name="_Toc305158794"/>
      <w:r/>
      <w:bookmarkStart w:id="204" w:name="_Toc226309770"/>
      <w:r/>
      <w:bookmarkStart w:id="205" w:name="_Toc151193914"/>
      <w:r/>
      <w:bookmarkStart w:id="206" w:name="_Toc151193840"/>
      <w:r/>
      <w:bookmarkStart w:id="207" w:name="_Toc226965799"/>
      <w:r/>
      <w:bookmarkStart w:id="208" w:name="_Toc151193624"/>
      <w:r/>
      <w:bookmarkStart w:id="209" w:name="_Toc226965716"/>
      <w:r/>
      <w:bookmarkStart w:id="210" w:name="_Toc195842891"/>
      <w:r/>
      <w:bookmarkStart w:id="211" w:name="_Toc151193696"/>
      <w:r/>
      <w:bookmarkStart w:id="212" w:name="_Toc150480764"/>
      <w:r/>
      <w:bookmarkStart w:id="213" w:name="_Toc305158868"/>
      <w:r/>
      <w:bookmarkStart w:id="214" w:name="_Toc226337222"/>
      <w:r/>
      <w:bookmarkStart w:id="215" w:name="_Toc265228364"/>
      <w:r/>
      <w:bookmarkStart w:id="216" w:name="_Toc264969216"/>
      <w:r/>
      <w:r/>
    </w:p>
    <w:p>
      <w:pPr>
        <w:pStyle w:val="1142"/>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4"/>
      <w:r>
        <w:rPr>
          <w:rFonts w:ascii="Times New Roman" w:hAnsi="Times New Roman" w:eastAsia="宋体"/>
          <w:sz w:val="28"/>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8"/>
        </w:numPr>
        <w:ind w:left="357" w:hanging="357"/>
        <w:spacing w:line="360" w:lineRule="auto"/>
        <w:tabs>
          <w:tab w:val="left" w:pos="360" w:leader="none"/>
        </w:tabs>
        <w:rPr>
          <w:sz w:val="24"/>
        </w:rPr>
        <w:outlineLvl w:val="1"/>
      </w:pPr>
      <w:r/>
      <w:bookmarkStart w:id="217" w:name="_Toc195842892"/>
      <w:r/>
      <w:bookmarkStart w:id="218" w:name="_Toc265228365"/>
      <w:r/>
      <w:bookmarkStart w:id="219" w:name="_Toc142311029"/>
      <w:r/>
      <w:bookmarkStart w:id="220" w:name="_Toc150509278"/>
      <w:r/>
      <w:bookmarkStart w:id="221" w:name="_Toc164608796"/>
      <w:r/>
      <w:bookmarkStart w:id="222" w:name="_Toc226309771"/>
      <w:r/>
      <w:bookmarkStart w:id="223" w:name="_Toc226965717"/>
      <w:r/>
      <w:bookmarkStart w:id="224" w:name="_Toc226337223"/>
      <w:r/>
      <w:bookmarkStart w:id="225" w:name="_Toc151190154"/>
      <w:r/>
      <w:bookmarkStart w:id="226" w:name="_Toc151193697"/>
      <w:r/>
      <w:bookmarkStart w:id="227" w:name="_Toc151193625"/>
      <w:r/>
      <w:bookmarkStart w:id="228" w:name="_Toc149720820"/>
      <w:r/>
      <w:bookmarkStart w:id="229" w:name="_Toc127151527"/>
      <w:r/>
      <w:bookmarkStart w:id="230" w:name="_Toc516367021"/>
      <w:r/>
      <w:bookmarkStart w:id="231" w:name="_Toc164229222"/>
      <w:r/>
      <w:bookmarkStart w:id="232" w:name="_Toc264969217"/>
      <w:r/>
      <w:bookmarkStart w:id="233" w:name="_Toc127161441"/>
      <w:r/>
      <w:bookmarkStart w:id="234" w:name="_Toc305158869"/>
      <w:r/>
      <w:bookmarkStart w:id="235" w:name="_Toc164351621"/>
      <w:r/>
      <w:bookmarkStart w:id="236" w:name="_Toc226965800"/>
      <w:r/>
      <w:bookmarkStart w:id="237" w:name="_Toc150774732"/>
      <w:r/>
      <w:bookmarkStart w:id="238" w:name="_Toc520356151"/>
      <w:r/>
      <w:bookmarkStart w:id="239" w:name="_Toc150480765"/>
      <w:r/>
      <w:bookmarkStart w:id="240" w:name="_Toc150774627"/>
      <w:r/>
      <w:bookmarkStart w:id="241" w:name="_Toc127151728"/>
      <w:r/>
      <w:bookmarkStart w:id="242" w:name="_Toc164608641"/>
      <w:r/>
      <w:bookmarkStart w:id="243" w:name="_Toc151193841"/>
      <w:r/>
      <w:bookmarkStart w:id="244" w:name="_Toc151193915"/>
      <w:r/>
      <w:bookmarkStart w:id="245" w:name="_Toc305158795"/>
      <w:r/>
      <w:bookmarkStart w:id="246" w:name="_Toc164229368"/>
      <w:r/>
      <w:bookmarkStart w:id="247" w:name="_Toc151193769"/>
      <w:r>
        <w:rPr>
          <w:sz w:val="24"/>
        </w:rPr>
        <w:t xml:space="preserve">投标范围、投标文件中计量单位的使用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sz w:val="24"/>
        </w:rPr>
        <w:t xml:space="preserve">及投标语言</w:t>
      </w:r>
      <w:r/>
    </w:p>
    <w:p>
      <w:pPr>
        <w:numPr>
          <w:ilvl w:val="1"/>
          <w:numId w:val="8"/>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rPr>
        <w:outlineLvl w:val="1"/>
      </w:pPr>
      <w:r/>
      <w:bookmarkStart w:id="248" w:name="_Toc516367022"/>
      <w:r/>
      <w:bookmarkStart w:id="249" w:name="_Ref467306195"/>
      <w:r/>
      <w:bookmarkStart w:id="250" w:name="_Ref467306676"/>
      <w:r/>
      <w:bookmarkStart w:id="251" w:name="_Toc151193626"/>
      <w:r/>
      <w:bookmarkStart w:id="252" w:name="_Toc151193916"/>
      <w:r/>
      <w:bookmarkStart w:id="253" w:name="_Toc305158796"/>
      <w:r/>
      <w:bookmarkStart w:id="254" w:name="_Toc151193770"/>
      <w:r/>
      <w:bookmarkStart w:id="255" w:name="_Toc151193698"/>
      <w:r/>
      <w:bookmarkStart w:id="256" w:name="_Toc226337224"/>
      <w:r/>
      <w:bookmarkStart w:id="257" w:name="_Toc151190155"/>
      <w:r/>
      <w:bookmarkStart w:id="258" w:name="_Toc195842893"/>
      <w:r/>
      <w:bookmarkStart w:id="259" w:name="_Toc264969218"/>
      <w:r/>
      <w:bookmarkStart w:id="260" w:name="_Toc127151729"/>
      <w:r/>
      <w:bookmarkStart w:id="261" w:name="_Toc151193842"/>
      <w:r/>
      <w:bookmarkStart w:id="262" w:name="_Toc164351622"/>
      <w:r/>
      <w:bookmarkStart w:id="263" w:name="_Toc150774628"/>
      <w:r/>
      <w:bookmarkStart w:id="264" w:name="_Toc520356152"/>
      <w:r/>
      <w:bookmarkStart w:id="265" w:name="_Toc150509279"/>
      <w:r/>
      <w:bookmarkStart w:id="266" w:name="_Toc164608797"/>
      <w:r/>
      <w:bookmarkStart w:id="267" w:name="_Toc149720821"/>
      <w:r/>
      <w:bookmarkStart w:id="268" w:name="_Toc150480766"/>
      <w:r/>
      <w:bookmarkStart w:id="269" w:name="_Toc164229223"/>
      <w:r/>
      <w:bookmarkStart w:id="270" w:name="_Toc226965801"/>
      <w:r/>
      <w:bookmarkStart w:id="271" w:name="_Toc164608642"/>
      <w:r/>
      <w:bookmarkStart w:id="272" w:name="_Toc150774733"/>
      <w:r/>
      <w:bookmarkStart w:id="273" w:name="_Toc164229369"/>
      <w:r/>
      <w:bookmarkStart w:id="274" w:name="_Toc142311030"/>
      <w:r/>
      <w:bookmarkStart w:id="275" w:name="_Toc265228366"/>
      <w:r/>
      <w:bookmarkStart w:id="276" w:name="_Toc305158870"/>
      <w:r/>
      <w:bookmarkStart w:id="277" w:name="_Toc226309772"/>
      <w:r/>
      <w:bookmarkStart w:id="278" w:name="_Toc127161442"/>
      <w:r/>
      <w:bookmarkStart w:id="279" w:name="_Toc226965718"/>
      <w:r/>
      <w:bookmarkStart w:id="280" w:name="_Toc127151528"/>
      <w:r>
        <w:rPr>
          <w:sz w:val="24"/>
        </w:rPr>
        <w:t xml:space="preserve">投标文件</w:t>
      </w:r>
      <w:bookmarkEnd w:id="248"/>
      <w:r/>
      <w:bookmarkEnd w:id="249"/>
      <w:r/>
      <w:bookmarkEnd w:id="250"/>
      <w:r>
        <w:rPr>
          <w:sz w:val="24"/>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8"/>
        </w:numPr>
        <w:ind w:left="1077" w:hanging="720"/>
        <w:spacing w:line="360" w:lineRule="auto"/>
        <w:tabs>
          <w:tab w:val="left" w:pos="1080" w:leader="none"/>
          <w:tab w:val="left" w:pos="2014" w:leader="none"/>
        </w:tabs>
        <w:rPr>
          <w:sz w:val="24"/>
        </w:rPr>
      </w:pPr>
      <w:r/>
      <w:bookmarkStart w:id="28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rPr>
      </w:pPr>
      <w:r>
        <w:rPr>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投标人认为应附的其他材料。</w:t>
      </w:r>
      <w:bookmarkEnd w:id="281"/>
      <w:r/>
      <w:r/>
    </w:p>
    <w:p>
      <w:pPr>
        <w:numPr>
          <w:ilvl w:val="0"/>
          <w:numId w:val="8"/>
        </w:numPr>
        <w:ind w:left="357" w:hanging="357"/>
        <w:spacing w:line="360" w:lineRule="auto"/>
        <w:tabs>
          <w:tab w:val="left" w:pos="360" w:leader="none"/>
        </w:tabs>
        <w:rPr>
          <w:sz w:val="24"/>
        </w:rPr>
        <w:outlineLvl w:val="1"/>
      </w:pPr>
      <w:r/>
      <w:bookmarkStart w:id="282" w:name="_Toc520356155"/>
      <w:r/>
      <w:bookmarkStart w:id="283" w:name="_Toc151193772"/>
      <w:r/>
      <w:bookmarkStart w:id="284" w:name="_Toc164608799"/>
      <w:r/>
      <w:bookmarkStart w:id="285" w:name="_Toc151193700"/>
      <w:r/>
      <w:bookmarkStart w:id="286" w:name="_Toc150480768"/>
      <w:r/>
      <w:bookmarkStart w:id="287" w:name="_Toc151190157"/>
      <w:r/>
      <w:bookmarkStart w:id="288" w:name="_Toc164229225"/>
      <w:r/>
      <w:bookmarkStart w:id="289" w:name="_Toc150774735"/>
      <w:r/>
      <w:bookmarkStart w:id="290" w:name="_Toc164229371"/>
      <w:r/>
      <w:bookmarkStart w:id="291" w:name="_Toc127151731"/>
      <w:r/>
      <w:bookmarkStart w:id="292" w:name="_Toc164351624"/>
      <w:r/>
      <w:bookmarkStart w:id="293" w:name="_Toc164608644"/>
      <w:r/>
      <w:bookmarkStart w:id="294" w:name="_Toc127161444"/>
      <w:r/>
      <w:bookmarkStart w:id="295" w:name="_Toc151193628"/>
      <w:r/>
      <w:bookmarkStart w:id="296" w:name="_Toc142311032"/>
      <w:r/>
      <w:bookmarkStart w:id="297" w:name="_Toc150774630"/>
      <w:r/>
      <w:bookmarkStart w:id="298" w:name="_Toc151193844"/>
      <w:r/>
      <w:bookmarkStart w:id="299" w:name="_Toc150509281"/>
      <w:r/>
      <w:bookmarkStart w:id="300" w:name="_Toc127151530"/>
      <w:r/>
      <w:bookmarkStart w:id="301" w:name="_Toc151193918"/>
      <w:r/>
      <w:bookmarkStart w:id="302" w:name="_Toc149720823"/>
      <w:r/>
      <w:bookmarkStart w:id="303" w:name="_Toc195842895"/>
      <w:r>
        <w:rPr>
          <w:sz w:val="24"/>
        </w:rPr>
        <w:t xml:space="preserve">投标报价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8"/>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8"/>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rPr>
      </w:pPr>
      <w:r>
        <w:rPr>
          <w:sz w:val="24"/>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8"/>
        </w:numPr>
        <w:ind w:left="357" w:hanging="357"/>
        <w:spacing w:line="360" w:lineRule="auto"/>
        <w:tabs>
          <w:tab w:val="left" w:pos="360" w:leader="none"/>
        </w:tabs>
        <w:rPr>
          <w:sz w:val="24"/>
        </w:rPr>
        <w:outlineLvl w:val="1"/>
      </w:pPr>
      <w:r/>
      <w:bookmarkStart w:id="304" w:name="_Toc265228369"/>
      <w:r/>
      <w:bookmarkStart w:id="305" w:name="_Toc151193701"/>
      <w:r/>
      <w:bookmarkStart w:id="306" w:name="_Toc195842896"/>
      <w:r/>
      <w:bookmarkStart w:id="307" w:name="_Toc164229372"/>
      <w:r/>
      <w:bookmarkStart w:id="308" w:name="_Toc127151732"/>
      <w:r/>
      <w:bookmarkStart w:id="309" w:name="_Toc150509282"/>
      <w:r/>
      <w:bookmarkStart w:id="310" w:name="_Toc151193919"/>
      <w:r/>
      <w:bookmarkStart w:id="311" w:name="_Toc226337227"/>
      <w:r/>
      <w:bookmarkStart w:id="312" w:name="_Toc226965721"/>
      <w:r/>
      <w:bookmarkStart w:id="313" w:name="_Toc150774736"/>
      <w:r/>
      <w:bookmarkStart w:id="314" w:name="_Toc226309775"/>
      <w:r/>
      <w:bookmarkStart w:id="315" w:name="_Toc305158873"/>
      <w:r/>
      <w:bookmarkStart w:id="316" w:name="_Toc150774631"/>
      <w:r/>
      <w:bookmarkStart w:id="317" w:name="_Ref467306513"/>
      <w:r/>
      <w:bookmarkStart w:id="318" w:name="_Toc142311033"/>
      <w:r/>
      <w:bookmarkStart w:id="319" w:name="_Toc151193629"/>
      <w:r/>
      <w:bookmarkStart w:id="320" w:name="_Toc164608800"/>
      <w:r/>
      <w:bookmarkStart w:id="321" w:name="_Toc164608645"/>
      <w:r/>
      <w:bookmarkStart w:id="322" w:name="_Toc520356156"/>
      <w:r/>
      <w:bookmarkStart w:id="323" w:name="_Toc164229226"/>
      <w:r/>
      <w:bookmarkStart w:id="324" w:name="_Toc149720824"/>
      <w:r/>
      <w:bookmarkStart w:id="325" w:name="_Toc264969221"/>
      <w:r/>
      <w:bookmarkStart w:id="326" w:name="_Toc151193773"/>
      <w:r/>
      <w:bookmarkStart w:id="327" w:name="_Toc226965804"/>
      <w:r/>
      <w:bookmarkStart w:id="328" w:name="_Toc150480769"/>
      <w:r/>
      <w:bookmarkStart w:id="329" w:name="_Toc151193845"/>
      <w:r/>
      <w:bookmarkStart w:id="330" w:name="_Toc151190158"/>
      <w:r/>
      <w:bookmarkStart w:id="331" w:name="_Toc164351625"/>
      <w:r/>
      <w:bookmarkStart w:id="332" w:name="_Toc127151531"/>
      <w:r/>
      <w:bookmarkStart w:id="333" w:name="_Toc305158799"/>
      <w:r/>
      <w:bookmarkStart w:id="334" w:name="_Toc127161445"/>
      <w:r>
        <w:rPr>
          <w:sz w:val="24"/>
        </w:rPr>
        <w:t xml:space="preserve">投标保证金</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p>
    <w:p>
      <w:pPr>
        <w:numPr>
          <w:ilvl w:val="0"/>
          <w:numId w:val="8"/>
        </w:numPr>
        <w:ind w:left="357" w:hanging="357"/>
        <w:spacing w:line="360" w:lineRule="auto"/>
        <w:tabs>
          <w:tab w:val="left" w:pos="360" w:leader="none"/>
        </w:tabs>
        <w:rPr>
          <w:sz w:val="24"/>
        </w:rPr>
        <w:outlineLvl w:val="1"/>
      </w:pPr>
      <w:r/>
      <w:bookmarkStart w:id="335" w:name="_Toc127151532"/>
      <w:r/>
      <w:bookmarkStart w:id="336" w:name="_Toc305158800"/>
      <w:r/>
      <w:bookmarkStart w:id="337" w:name="_Toc305158874"/>
      <w:r/>
      <w:bookmarkStart w:id="338" w:name="_Toc127161446"/>
      <w:r/>
      <w:bookmarkStart w:id="339" w:name="_Toc195842897"/>
      <w:r/>
      <w:bookmarkStart w:id="340" w:name="_Toc151193846"/>
      <w:r/>
      <w:bookmarkStart w:id="341" w:name="_Toc149720825"/>
      <w:r/>
      <w:bookmarkStart w:id="342" w:name="_Toc164351626"/>
      <w:r/>
      <w:bookmarkStart w:id="343" w:name="_Toc264969222"/>
      <w:r/>
      <w:bookmarkStart w:id="344" w:name="_Toc150774737"/>
      <w:r/>
      <w:bookmarkStart w:id="345" w:name="_Toc520356157"/>
      <w:r/>
      <w:bookmarkStart w:id="346" w:name="_Toc151193920"/>
      <w:r/>
      <w:bookmarkStart w:id="347" w:name="_Toc164608646"/>
      <w:r/>
      <w:bookmarkStart w:id="348" w:name="_Toc226309776"/>
      <w:r/>
      <w:bookmarkStart w:id="349" w:name="_Toc151193630"/>
      <w:r/>
      <w:bookmarkStart w:id="350" w:name="_Toc164229227"/>
      <w:r/>
      <w:bookmarkStart w:id="351" w:name="_Toc127151733"/>
      <w:r/>
      <w:bookmarkStart w:id="352" w:name="_Toc226965722"/>
      <w:r/>
      <w:bookmarkStart w:id="353" w:name="_Toc151190159"/>
      <w:r/>
      <w:bookmarkStart w:id="354" w:name="_Toc150509283"/>
      <w:r/>
      <w:bookmarkStart w:id="355" w:name="_Toc226337228"/>
      <w:r/>
      <w:bookmarkStart w:id="356" w:name="_Toc164229373"/>
      <w:r/>
      <w:bookmarkStart w:id="357" w:name="_Toc265228370"/>
      <w:r/>
      <w:bookmarkStart w:id="358" w:name="_Toc226965805"/>
      <w:r/>
      <w:bookmarkStart w:id="359" w:name="_Toc150774632"/>
      <w:r/>
      <w:bookmarkStart w:id="360" w:name="_Toc151193702"/>
      <w:r/>
      <w:bookmarkStart w:id="361" w:name="_Toc164608801"/>
      <w:r/>
      <w:bookmarkStart w:id="362" w:name="_Toc150480770"/>
      <w:r/>
      <w:bookmarkStart w:id="363" w:name="_Toc142311034"/>
      <w:r/>
      <w:bookmarkStart w:id="364" w:name="_Toc151193774"/>
      <w:r>
        <w:rPr>
          <w:sz w:val="24"/>
        </w:rPr>
        <w:t xml:space="preserve">投标有效期</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numPr>
          <w:ilvl w:val="1"/>
          <w:numId w:val="8"/>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hanging="357"/>
        <w:spacing w:line="360" w:lineRule="auto"/>
        <w:tabs>
          <w:tab w:val="left" w:pos="360" w:leader="none"/>
        </w:tabs>
        <w:rPr>
          <w:sz w:val="24"/>
        </w:rPr>
        <w:outlineLvl w:val="1"/>
      </w:pPr>
      <w:r/>
      <w:bookmarkStart w:id="365" w:name="_Toc226965723"/>
      <w:r/>
      <w:bookmarkStart w:id="366" w:name="_Toc164608647"/>
      <w:r/>
      <w:bookmarkStart w:id="367" w:name="_Toc151193847"/>
      <w:r/>
      <w:bookmarkStart w:id="368" w:name="_Toc520356158"/>
      <w:r/>
      <w:bookmarkStart w:id="369" w:name="_Toc151193631"/>
      <w:r/>
      <w:bookmarkStart w:id="370" w:name="_Toc305158875"/>
      <w:r/>
      <w:bookmarkStart w:id="371" w:name="_Toc127151734"/>
      <w:r/>
      <w:bookmarkStart w:id="372" w:name="_Toc265228371"/>
      <w:r/>
      <w:bookmarkStart w:id="373" w:name="_Toc127161447"/>
      <w:r/>
      <w:bookmarkStart w:id="374" w:name="_Toc305158801"/>
      <w:r/>
      <w:bookmarkStart w:id="375" w:name="_Toc150480771"/>
      <w:r/>
      <w:bookmarkStart w:id="376" w:name="_Toc150774633"/>
      <w:r/>
      <w:bookmarkStart w:id="377" w:name="_Toc151193703"/>
      <w:r/>
      <w:bookmarkStart w:id="378" w:name="_Toc226337229"/>
      <w:r/>
      <w:bookmarkStart w:id="379" w:name="_Toc226965806"/>
      <w:r/>
      <w:bookmarkStart w:id="380" w:name="_Toc226309777"/>
      <w:r/>
      <w:bookmarkStart w:id="381" w:name="_Toc164608802"/>
      <w:r/>
      <w:bookmarkStart w:id="382" w:name="_Toc127151533"/>
      <w:r/>
      <w:bookmarkStart w:id="383" w:name="_Toc264969223"/>
      <w:r/>
      <w:bookmarkStart w:id="384" w:name="_Toc150774738"/>
      <w:r/>
      <w:bookmarkStart w:id="385" w:name="_Toc164229228"/>
      <w:r/>
      <w:bookmarkStart w:id="386" w:name="_Toc149720826"/>
      <w:r/>
      <w:bookmarkStart w:id="387" w:name="_Toc142311035"/>
      <w:r/>
      <w:bookmarkStart w:id="388" w:name="_Toc164229374"/>
      <w:r/>
      <w:bookmarkStart w:id="389" w:name="_Toc195842898"/>
      <w:r/>
      <w:bookmarkStart w:id="390" w:name="_Toc164351627"/>
      <w:r/>
      <w:bookmarkStart w:id="391" w:name="_Toc151190160"/>
      <w:r/>
      <w:bookmarkStart w:id="392" w:name="_Toc151193921"/>
      <w:r/>
      <w:bookmarkStart w:id="393" w:name="_Toc151193775"/>
      <w:r/>
      <w:bookmarkStart w:id="394" w:name="_Toc150509284"/>
      <w:r>
        <w:rPr>
          <w:sz w:val="24"/>
        </w:rPr>
        <w:t xml:space="preserve">投标文件的签署</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sz w:val="24"/>
        </w:rPr>
        <w:t xml:space="preserve">、加盖公章</w:t>
      </w:r>
      <w:r/>
    </w:p>
    <w:p>
      <w:pPr>
        <w:numPr>
          <w:ilvl w:val="1"/>
          <w:numId w:val="8"/>
        </w:numPr>
        <w:ind w:left="1077" w:hanging="720"/>
        <w:spacing w:line="360" w:lineRule="auto"/>
        <w:tabs>
          <w:tab w:val="left" w:pos="1080" w:leader="none"/>
          <w:tab w:val="left" w:pos="2014" w:leader="none"/>
        </w:tabs>
        <w:rPr>
          <w:sz w:val="24"/>
        </w:rPr>
      </w:pPr>
      <w:r/>
      <w:bookmarkStart w:id="395" w:name="_Toc151193776"/>
      <w:r/>
      <w:bookmarkStart w:id="396" w:name="_Toc195842899"/>
      <w:r/>
      <w:bookmarkStart w:id="397" w:name="_Toc150774634"/>
      <w:r/>
      <w:bookmarkStart w:id="398" w:name="_Toc150774739"/>
      <w:r/>
      <w:bookmarkStart w:id="399" w:name="_Toc226965807"/>
      <w:r/>
      <w:bookmarkStart w:id="400" w:name="_Toc226337230"/>
      <w:r/>
      <w:bookmarkStart w:id="401" w:name="_Toc151193632"/>
      <w:r/>
      <w:bookmarkStart w:id="402" w:name="_Toc127151534"/>
      <w:r/>
      <w:bookmarkStart w:id="403" w:name="_Toc151190161"/>
      <w:r/>
      <w:bookmarkStart w:id="404" w:name="_Toc151193704"/>
      <w:r/>
      <w:bookmarkStart w:id="405" w:name="_Toc265228372"/>
      <w:r/>
      <w:bookmarkStart w:id="406" w:name="_Toc150509285"/>
      <w:r/>
      <w:bookmarkStart w:id="407" w:name="_Toc226309778"/>
      <w:r/>
      <w:bookmarkStart w:id="408" w:name="_Toc151193848"/>
      <w:r/>
      <w:bookmarkStart w:id="409" w:name="_Toc305158802"/>
      <w:r/>
      <w:bookmarkStart w:id="410" w:name="_Toc150480772"/>
      <w:r/>
      <w:bookmarkStart w:id="411" w:name="_Toc142311036"/>
      <w:r/>
      <w:bookmarkStart w:id="412" w:name="_Toc305158876"/>
      <w:r/>
      <w:bookmarkStart w:id="413" w:name="_Toc520356159"/>
      <w:r/>
      <w:bookmarkStart w:id="414" w:name="_Toc151193922"/>
      <w:r/>
      <w:bookmarkStart w:id="415" w:name="_Toc264969224"/>
      <w:r/>
      <w:bookmarkStart w:id="416" w:name="_Toc226965724"/>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142"/>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numPr>
          <w:ilvl w:val="0"/>
          <w:numId w:val="8"/>
        </w:numPr>
        <w:ind w:left="357" w:hanging="357"/>
        <w:spacing w:line="360" w:lineRule="auto"/>
        <w:tabs>
          <w:tab w:val="left" w:pos="360" w:leader="none"/>
        </w:tabs>
        <w:rPr>
          <w:sz w:val="24"/>
        </w:rPr>
        <w:outlineLvl w:val="1"/>
      </w:pPr>
      <w:r/>
      <w:bookmarkStart w:id="417" w:name="_Toc264969225"/>
      <w:r/>
      <w:bookmarkStart w:id="418" w:name="_Toc226309779"/>
      <w:r/>
      <w:bookmarkStart w:id="419" w:name="_Toc305158803"/>
      <w:r/>
      <w:bookmarkStart w:id="420" w:name="_Toc226965725"/>
      <w:r/>
      <w:bookmarkStart w:id="421" w:name="_Toc127151535"/>
      <w:r/>
      <w:bookmarkStart w:id="422" w:name="_Toc226337231"/>
      <w:r/>
      <w:bookmarkStart w:id="423" w:name="_Toc149720828"/>
      <w:r/>
      <w:bookmarkStart w:id="424" w:name="_Toc164608804"/>
      <w:r/>
      <w:bookmarkStart w:id="425" w:name="_Toc150509286"/>
      <w:r/>
      <w:bookmarkStart w:id="426" w:name="_Toc226965808"/>
      <w:r/>
      <w:bookmarkStart w:id="427" w:name="_Toc151193633"/>
      <w:r/>
      <w:bookmarkStart w:id="428" w:name="_Toc127161449"/>
      <w:r/>
      <w:bookmarkStart w:id="429" w:name="_Toc265228373"/>
      <w:r/>
      <w:bookmarkStart w:id="430" w:name="_Toc520356160"/>
      <w:r/>
      <w:bookmarkStart w:id="431" w:name="_Toc151193849"/>
      <w:r/>
      <w:bookmarkStart w:id="432" w:name="_Toc127151736"/>
      <w:r/>
      <w:bookmarkStart w:id="433" w:name="_Toc150480773"/>
      <w:r/>
      <w:bookmarkStart w:id="434" w:name="_Toc150774635"/>
      <w:r/>
      <w:bookmarkStart w:id="435" w:name="_Toc195842900"/>
      <w:r/>
      <w:bookmarkStart w:id="436" w:name="_Toc151193923"/>
      <w:r/>
      <w:bookmarkStart w:id="437" w:name="_Toc164608649"/>
      <w:r/>
      <w:bookmarkStart w:id="438" w:name="_Toc150774740"/>
      <w:r/>
      <w:bookmarkStart w:id="439" w:name="_Toc164229230"/>
      <w:r/>
      <w:bookmarkStart w:id="440" w:name="_Toc164229376"/>
      <w:r/>
      <w:bookmarkStart w:id="441" w:name="_Toc164351629"/>
      <w:r/>
      <w:bookmarkStart w:id="442" w:name="_Toc151190162"/>
      <w:r/>
      <w:bookmarkStart w:id="443" w:name="_Toc151193705"/>
      <w:r/>
      <w:bookmarkStart w:id="444" w:name="_Toc305158877"/>
      <w:r/>
      <w:bookmarkStart w:id="445" w:name="_Toc142311037"/>
      <w:r/>
      <w:bookmarkStart w:id="446" w:name="_Toc151193777"/>
      <w:r>
        <w:rPr>
          <w:sz w:val="24"/>
        </w:rPr>
        <w:t xml:space="preserve">投标文件的</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sz w:val="24"/>
        </w:rPr>
        <w:t xml:space="preserve">提交</w:t>
      </w:r>
      <w:r/>
    </w:p>
    <w:p>
      <w:pPr>
        <w:numPr>
          <w:ilvl w:val="1"/>
          <w:numId w:val="8"/>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8"/>
        </w:numPr>
        <w:ind w:left="357" w:hanging="357"/>
        <w:spacing w:line="360" w:lineRule="auto"/>
        <w:tabs>
          <w:tab w:val="left" w:pos="360" w:leader="none"/>
        </w:tabs>
        <w:rPr>
          <w:sz w:val="24"/>
        </w:rPr>
        <w:outlineLvl w:val="1"/>
      </w:pPr>
      <w:r/>
      <w:bookmarkStart w:id="447" w:name="_Toc151193634"/>
      <w:r/>
      <w:bookmarkStart w:id="448" w:name="_Toc305158804"/>
      <w:r/>
      <w:bookmarkStart w:id="449" w:name="_Toc226965726"/>
      <w:r/>
      <w:bookmarkStart w:id="450" w:name="_Toc164229377"/>
      <w:r/>
      <w:bookmarkStart w:id="451" w:name="_Toc195842901"/>
      <w:r/>
      <w:bookmarkStart w:id="452" w:name="_Toc226965809"/>
      <w:r/>
      <w:bookmarkStart w:id="453" w:name="_Toc151190163"/>
      <w:r/>
      <w:bookmarkStart w:id="454" w:name="_Toc151193778"/>
      <w:r/>
      <w:bookmarkStart w:id="455" w:name="_Toc150509287"/>
      <w:r/>
      <w:bookmarkStart w:id="456" w:name="_Toc164351630"/>
      <w:r/>
      <w:bookmarkStart w:id="457" w:name="_Toc164608650"/>
      <w:r/>
      <w:bookmarkStart w:id="458" w:name="_Toc127151737"/>
      <w:r/>
      <w:bookmarkStart w:id="459" w:name="_Toc150480774"/>
      <w:r/>
      <w:bookmarkStart w:id="460" w:name="_Toc520356161"/>
      <w:r/>
      <w:bookmarkStart w:id="461" w:name="_Toc127161450"/>
      <w:r/>
      <w:bookmarkStart w:id="462" w:name="_Toc151193706"/>
      <w:r/>
      <w:bookmarkStart w:id="463" w:name="_Toc150774741"/>
      <w:r/>
      <w:bookmarkStart w:id="464" w:name="_Toc151193850"/>
      <w:r/>
      <w:bookmarkStart w:id="465" w:name="_Toc142311038"/>
      <w:r/>
      <w:bookmarkStart w:id="466" w:name="_Toc149720829"/>
      <w:r/>
      <w:bookmarkStart w:id="467" w:name="_Toc127151536"/>
      <w:r/>
      <w:bookmarkStart w:id="468" w:name="_Toc226309780"/>
      <w:r/>
      <w:bookmarkStart w:id="469" w:name="_Toc164229231"/>
      <w:r/>
      <w:bookmarkStart w:id="470" w:name="_Toc265228374"/>
      <w:r/>
      <w:bookmarkStart w:id="471" w:name="_Toc305158878"/>
      <w:r/>
      <w:bookmarkStart w:id="472" w:name="_Toc226337232"/>
      <w:r/>
      <w:bookmarkStart w:id="473" w:name="_Toc150774636"/>
      <w:r/>
      <w:bookmarkStart w:id="474" w:name="_Toc264969226"/>
      <w:r/>
      <w:bookmarkStart w:id="475" w:name="_Toc151193924"/>
      <w:r/>
      <w:bookmarkStart w:id="476" w:name="_Toc164608805"/>
      <w:r>
        <w:rPr>
          <w:sz w:val="24"/>
        </w:rPr>
        <w:t xml:space="preserve">投标截止</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sz w:val="24"/>
        </w:rPr>
        <w:t xml:space="preserve">时间</w:t>
      </w:r>
      <w:r/>
    </w:p>
    <w:p>
      <w:pPr>
        <w:numPr>
          <w:ilvl w:val="1"/>
          <w:numId w:val="8"/>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8"/>
        </w:numPr>
        <w:ind w:left="357" w:hanging="357"/>
        <w:spacing w:line="360" w:lineRule="auto"/>
        <w:tabs>
          <w:tab w:val="left" w:pos="360" w:leader="none"/>
        </w:tabs>
        <w:rPr>
          <w:sz w:val="24"/>
        </w:rPr>
        <w:outlineLvl w:val="1"/>
      </w:pPr>
      <w:r/>
      <w:bookmarkStart w:id="477" w:name="_Toc226965810"/>
      <w:r/>
      <w:bookmarkStart w:id="478" w:name="_Toc150509288"/>
      <w:r/>
      <w:bookmarkStart w:id="479" w:name="_Toc226965727"/>
      <w:r/>
      <w:bookmarkStart w:id="480" w:name="_Toc151193707"/>
      <w:r/>
      <w:bookmarkStart w:id="481" w:name="_Toc149720830"/>
      <w:r/>
      <w:bookmarkStart w:id="482" w:name="_Toc142311039"/>
      <w:r/>
      <w:bookmarkStart w:id="483" w:name="_Toc195842902"/>
      <w:r/>
      <w:bookmarkStart w:id="484" w:name="_Toc127151537"/>
      <w:r/>
      <w:bookmarkStart w:id="485" w:name="_Toc226309781"/>
      <w:r/>
      <w:bookmarkStart w:id="486" w:name="_Toc164229378"/>
      <w:r/>
      <w:bookmarkStart w:id="487" w:name="_Toc127151738"/>
      <w:r/>
      <w:bookmarkStart w:id="488" w:name="_Toc305158805"/>
      <w:r/>
      <w:bookmarkStart w:id="489" w:name="_Toc164351631"/>
      <w:r/>
      <w:bookmarkStart w:id="490" w:name="_Toc164608806"/>
      <w:r/>
      <w:bookmarkStart w:id="491" w:name="_Toc151193635"/>
      <w:r/>
      <w:bookmarkStart w:id="492" w:name="_Toc150774637"/>
      <w:r/>
      <w:bookmarkStart w:id="493" w:name="_Toc150480775"/>
      <w:r/>
      <w:bookmarkStart w:id="494" w:name="_Toc164229232"/>
      <w:r/>
      <w:bookmarkStart w:id="495" w:name="_Toc151190164"/>
      <w:r/>
      <w:bookmarkStart w:id="496" w:name="_Toc150774742"/>
      <w:r/>
      <w:bookmarkStart w:id="497" w:name="_Toc520356162"/>
      <w:r/>
      <w:bookmarkStart w:id="498" w:name="_Toc164608651"/>
      <w:r/>
      <w:bookmarkStart w:id="499" w:name="_Toc127161451"/>
      <w:r/>
      <w:bookmarkStart w:id="500" w:name="_Toc265228375"/>
      <w:r/>
      <w:bookmarkStart w:id="501" w:name="_Toc305158879"/>
      <w:r/>
      <w:bookmarkStart w:id="502" w:name="_Toc151193779"/>
      <w:r/>
      <w:bookmarkStart w:id="503" w:name="_Toc151193925"/>
      <w:r/>
      <w:bookmarkStart w:id="504" w:name="_Toc226337233"/>
      <w:r/>
      <w:bookmarkStart w:id="505" w:name="_Toc264969227"/>
      <w:r/>
      <w:bookmarkStart w:id="506" w:name="_Toc151193851"/>
      <w:r>
        <w:rPr>
          <w:sz w:val="24"/>
        </w:rPr>
        <w:t xml:space="preserve">投标文件的修改与撤回</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142"/>
        <w:spacing w:before="0" w:line="360" w:lineRule="auto"/>
        <w:rPr>
          <w:rFonts w:ascii="Times New Roman" w:hAnsi="Times New Roman" w:eastAsia="宋体"/>
          <w:sz w:val="28"/>
        </w:rPr>
      </w:pPr>
      <w:r/>
      <w:bookmarkStart w:id="507" w:name="_Toc305158880"/>
      <w:r/>
      <w:bookmarkStart w:id="508" w:name="_Toc151193780"/>
      <w:r/>
      <w:bookmarkStart w:id="509" w:name="_Toc264969228"/>
      <w:r/>
      <w:bookmarkStart w:id="510" w:name="_Toc151193852"/>
      <w:r/>
      <w:bookmarkStart w:id="511" w:name="_Toc151190165"/>
      <w:r/>
      <w:bookmarkStart w:id="512" w:name="_Toc150509289"/>
      <w:r/>
      <w:bookmarkStart w:id="513" w:name="_Toc195842903"/>
      <w:r/>
      <w:bookmarkStart w:id="514" w:name="_Toc142311040"/>
      <w:r/>
      <w:bookmarkStart w:id="515" w:name="_Toc265228376"/>
      <w:r/>
      <w:bookmarkStart w:id="516" w:name="_Toc151193708"/>
      <w:r/>
      <w:bookmarkStart w:id="517" w:name="_Toc151193636"/>
      <w:r/>
      <w:bookmarkStart w:id="518" w:name="_Toc520356163"/>
      <w:r/>
      <w:bookmarkStart w:id="519" w:name="_Toc150774743"/>
      <w:r/>
      <w:bookmarkStart w:id="520" w:name="_Toc226309782"/>
      <w:r/>
      <w:bookmarkStart w:id="521" w:name="_Toc226337234"/>
      <w:r/>
      <w:bookmarkStart w:id="522" w:name="_Toc151193926"/>
      <w:r/>
      <w:bookmarkStart w:id="523" w:name="_Toc127151538"/>
      <w:r/>
      <w:bookmarkStart w:id="524" w:name="_Toc226965811"/>
      <w:r/>
      <w:bookmarkStart w:id="525" w:name="_Toc150480776"/>
      <w:r/>
      <w:bookmarkStart w:id="526" w:name="_Toc226965728"/>
      <w:r/>
      <w:bookmarkStart w:id="527" w:name="_Toc305158806"/>
      <w:r/>
      <w:bookmarkStart w:id="528" w:name="_Toc150774638"/>
      <w:r>
        <w:rPr>
          <w:rFonts w:ascii="Times New Roman" w:hAnsi="Times New Roman" w:eastAsia="宋体"/>
          <w:sz w:val="28"/>
        </w:rPr>
        <w:t xml:space="preserve">五   开标、资格审查及评标</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numPr>
          <w:ilvl w:val="0"/>
          <w:numId w:val="8"/>
        </w:numPr>
        <w:ind w:left="357" w:hanging="357"/>
        <w:spacing w:line="360" w:lineRule="auto"/>
        <w:tabs>
          <w:tab w:val="left" w:pos="360" w:leader="none"/>
        </w:tabs>
        <w:rPr>
          <w:sz w:val="24"/>
        </w:rPr>
        <w:outlineLvl w:val="1"/>
      </w:pPr>
      <w:r/>
      <w:bookmarkStart w:id="529" w:name="_Toc151193927"/>
      <w:r/>
      <w:bookmarkStart w:id="530" w:name="_Toc164351633"/>
      <w:r/>
      <w:bookmarkStart w:id="531" w:name="_Toc127151740"/>
      <w:r/>
      <w:bookmarkStart w:id="532" w:name="_Toc164229234"/>
      <w:r/>
      <w:bookmarkStart w:id="533" w:name="_Toc265228377"/>
      <w:r/>
      <w:bookmarkStart w:id="534" w:name="_Toc142311041"/>
      <w:r/>
      <w:bookmarkStart w:id="535" w:name="_Toc226309783"/>
      <w:r/>
      <w:bookmarkStart w:id="536" w:name="_Toc127151539"/>
      <w:r/>
      <w:bookmarkStart w:id="537" w:name="_Toc520356164"/>
      <w:r/>
      <w:bookmarkStart w:id="538" w:name="_Toc164608808"/>
      <w:r/>
      <w:bookmarkStart w:id="539" w:name="_Toc195842904"/>
      <w:r/>
      <w:bookmarkStart w:id="540" w:name="_Toc226965729"/>
      <w:r/>
      <w:bookmarkStart w:id="541" w:name="_Toc151193853"/>
      <w:r/>
      <w:bookmarkStart w:id="542" w:name="_Toc151193781"/>
      <w:r/>
      <w:bookmarkStart w:id="543" w:name="_Toc150480777"/>
      <w:r/>
      <w:bookmarkStart w:id="544" w:name="_Toc226337235"/>
      <w:r/>
      <w:bookmarkStart w:id="545" w:name="_Toc164608653"/>
      <w:r/>
      <w:bookmarkStart w:id="546" w:name="_Toc305158881"/>
      <w:r/>
      <w:bookmarkStart w:id="547" w:name="_Toc149720832"/>
      <w:r/>
      <w:bookmarkStart w:id="548" w:name="_Toc150774639"/>
      <w:r/>
      <w:bookmarkStart w:id="549" w:name="_Toc151193637"/>
      <w:r/>
      <w:bookmarkStart w:id="550" w:name="_Toc226965812"/>
      <w:r/>
      <w:bookmarkStart w:id="551" w:name="_Toc164229380"/>
      <w:r/>
      <w:bookmarkStart w:id="552" w:name="_Toc151193709"/>
      <w:r/>
      <w:bookmarkStart w:id="553" w:name="_Toc305158807"/>
      <w:r/>
      <w:bookmarkStart w:id="554" w:name="_Toc150509290"/>
      <w:r/>
      <w:bookmarkStart w:id="555" w:name="_Toc127161453"/>
      <w:r/>
      <w:bookmarkStart w:id="556" w:name="_Toc151190166"/>
      <w:r/>
      <w:bookmarkStart w:id="557" w:name="_Toc150774744"/>
      <w:r/>
      <w:bookmarkStart w:id="558" w:name="_Toc264969229"/>
      <w:r>
        <w:rPr>
          <w:sz w:val="24"/>
        </w:rPr>
        <w:t xml:space="preserve">开标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9"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sz w:val="24"/>
        </w:rPr>
      </w:pPr>
      <w:r>
        <w:rPr>
          <w:sz w:val="24"/>
        </w:rPr>
        <w:t xml:space="preserve">投标人不足3家的，不予开标。</w:t>
      </w:r>
      <w:r/>
    </w:p>
    <w:p>
      <w:pPr>
        <w:numPr>
          <w:ilvl w:val="1"/>
          <w:numId w:val="8"/>
        </w:numPr>
        <w:ind w:left="1077" w:hanging="720"/>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hanging="357"/>
        <w:spacing w:line="360" w:lineRule="auto"/>
        <w:tabs>
          <w:tab w:val="left" w:pos="360" w:leader="none"/>
        </w:tabs>
        <w:rPr>
          <w:sz w:val="24"/>
        </w:rPr>
        <w:outlineLvl w:val="1"/>
      </w:pPr>
      <w:r>
        <w:rPr>
          <w:sz w:val="24"/>
        </w:rPr>
        <w:t xml:space="preserve">资格审查</w:t>
      </w:r>
      <w:r/>
    </w:p>
    <w:p>
      <w:pPr>
        <w:numPr>
          <w:ilvl w:val="1"/>
          <w:numId w:val="8"/>
        </w:numPr>
        <w:ind w:left="1077" w:hanging="720"/>
        <w:spacing w:line="360" w:lineRule="auto"/>
        <w:tabs>
          <w:tab w:val="left" w:pos="1080" w:leader="none"/>
          <w:tab w:val="left" w:pos="2014" w:leader="none"/>
        </w:tabs>
        <w:rPr>
          <w:sz w:val="24"/>
        </w:rPr>
      </w:pPr>
      <w:r>
        <w:rPr>
          <w:sz w:val="24"/>
        </w:rPr>
        <w:t xml:space="preserve">见第三章《资格审查》。</w:t>
      </w:r>
      <w:bookmarkEnd w:id="559"/>
      <w:r/>
    </w:p>
    <w:p>
      <w:pPr>
        <w:numPr>
          <w:ilvl w:val="0"/>
          <w:numId w:val="8"/>
        </w:numPr>
        <w:ind w:left="357" w:hanging="357"/>
        <w:spacing w:line="360" w:lineRule="auto"/>
        <w:tabs>
          <w:tab w:val="left" w:pos="360" w:leader="none"/>
        </w:tabs>
        <w:rPr>
          <w:sz w:val="24"/>
        </w:rPr>
        <w:outlineLvl w:val="1"/>
      </w:pPr>
      <w:r/>
      <w:bookmarkStart w:id="560" w:name="_Toc226965730"/>
      <w:r/>
      <w:bookmarkStart w:id="561" w:name="_Toc264969230"/>
      <w:r/>
      <w:bookmarkStart w:id="562" w:name="_Toc151193782"/>
      <w:r/>
      <w:bookmarkStart w:id="563" w:name="_Toc195842905"/>
      <w:r/>
      <w:bookmarkStart w:id="564" w:name="_Toc149720833"/>
      <w:r/>
      <w:bookmarkStart w:id="565" w:name="_Toc226309784"/>
      <w:r/>
      <w:bookmarkStart w:id="566" w:name="_Toc127151540"/>
      <w:r/>
      <w:bookmarkStart w:id="567" w:name="_Toc142311042"/>
      <w:r/>
      <w:bookmarkStart w:id="568" w:name="_Toc127151741"/>
      <w:r/>
      <w:bookmarkStart w:id="569" w:name="_Toc164229381"/>
      <w:r/>
      <w:bookmarkStart w:id="570" w:name="_Toc151193710"/>
      <w:r/>
      <w:bookmarkStart w:id="571" w:name="_Toc226965813"/>
      <w:r/>
      <w:bookmarkStart w:id="572" w:name="_Toc151193854"/>
      <w:r/>
      <w:bookmarkStart w:id="573" w:name="_Toc265228378"/>
      <w:r/>
      <w:bookmarkStart w:id="574" w:name="_Toc305158808"/>
      <w:r/>
      <w:bookmarkStart w:id="575" w:name="_Toc151190167"/>
      <w:r/>
      <w:bookmarkStart w:id="576" w:name="_Toc150480778"/>
      <w:r/>
      <w:bookmarkStart w:id="577" w:name="_Toc127161454"/>
      <w:r/>
      <w:bookmarkStart w:id="578" w:name="_Toc164608654"/>
      <w:r/>
      <w:bookmarkStart w:id="579" w:name="_Toc150509291"/>
      <w:r/>
      <w:bookmarkStart w:id="580" w:name="_Toc305158882"/>
      <w:r/>
      <w:bookmarkStart w:id="581" w:name="_Toc150774640"/>
      <w:r/>
      <w:bookmarkStart w:id="582" w:name="_Toc164229235"/>
      <w:r/>
      <w:bookmarkStart w:id="583" w:name="_Toc164351634"/>
      <w:r/>
      <w:bookmarkStart w:id="584" w:name="_Toc226337236"/>
      <w:r/>
      <w:bookmarkStart w:id="585" w:name="_Toc164608809"/>
      <w:r/>
      <w:bookmarkStart w:id="586" w:name="_Toc150774745"/>
      <w:r/>
      <w:bookmarkStart w:id="587" w:name="_Toc151193638"/>
      <w:r/>
      <w:bookmarkStart w:id="588" w:name="_Toc151193928"/>
      <w:r>
        <w:rPr>
          <w:sz w:val="24"/>
        </w:rPr>
        <w:t xml:space="preserve">评标委员会</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numPr>
          <w:ilvl w:val="1"/>
          <w:numId w:val="8"/>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9" w:name="_Toc520356166"/>
      <w:r/>
      <w:r/>
    </w:p>
    <w:p>
      <w:pPr>
        <w:numPr>
          <w:ilvl w:val="1"/>
          <w:numId w:val="8"/>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9"/>
      <w:r/>
      <w:bookmarkStart w:id="590" w:name="_Toc520356169"/>
      <w:r/>
      <w:r/>
    </w:p>
    <w:p>
      <w:pPr>
        <w:numPr>
          <w:ilvl w:val="0"/>
          <w:numId w:val="8"/>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142"/>
        <w:spacing w:before="0" w:line="360" w:lineRule="auto"/>
        <w:rPr>
          <w:rFonts w:ascii="Times New Roman" w:hAnsi="Times New Roman" w:eastAsia="宋体"/>
          <w:sz w:val="28"/>
        </w:rPr>
      </w:pPr>
      <w:r/>
      <w:bookmarkStart w:id="591" w:name="_Toc305158813"/>
      <w:r/>
      <w:bookmarkStart w:id="592" w:name="_Toc226309789"/>
      <w:r/>
      <w:bookmarkStart w:id="593" w:name="_Toc226337241"/>
      <w:r/>
      <w:bookmarkStart w:id="594" w:name="_Toc150509296"/>
      <w:r/>
      <w:bookmarkStart w:id="595" w:name="_Toc264969235"/>
      <w:r/>
      <w:bookmarkStart w:id="596" w:name="_Toc150774645"/>
      <w:r/>
      <w:bookmarkStart w:id="597" w:name="_Toc151193933"/>
      <w:r/>
      <w:bookmarkStart w:id="598" w:name="_Toc151193787"/>
      <w:r/>
      <w:bookmarkStart w:id="599" w:name="_Toc142311047"/>
      <w:r/>
      <w:bookmarkStart w:id="600" w:name="_Toc226965818"/>
      <w:r/>
      <w:bookmarkStart w:id="601" w:name="_Toc265228383"/>
      <w:r/>
      <w:bookmarkStart w:id="602" w:name="_Toc151193859"/>
      <w:r/>
      <w:bookmarkStart w:id="603" w:name="_Toc150480783"/>
      <w:r/>
      <w:bookmarkStart w:id="604" w:name="_Toc151190172"/>
      <w:r/>
      <w:bookmarkStart w:id="605" w:name="_Toc127151545"/>
      <w:r/>
      <w:bookmarkStart w:id="606" w:name="_Toc226965735"/>
      <w:r/>
      <w:bookmarkStart w:id="607" w:name="_Toc150774750"/>
      <w:r/>
      <w:bookmarkStart w:id="608" w:name="_Toc151193715"/>
      <w:r/>
      <w:bookmarkStart w:id="609" w:name="_Toc195842910"/>
      <w:r/>
      <w:bookmarkStart w:id="610" w:name="_Toc151193643"/>
      <w:r/>
      <w:bookmarkStart w:id="611" w:name="_Toc305158887"/>
      <w:r>
        <w:rPr>
          <w:rFonts w:ascii="Times New Roman" w:hAnsi="Times New Roman" w:eastAsia="宋体"/>
          <w:sz w:val="28"/>
        </w:rPr>
        <w:t xml:space="preserve">六   </w:t>
      </w:r>
      <w:bookmarkEnd w:id="590"/>
      <w:r>
        <w:rPr>
          <w:rFonts w:ascii="Times New Roman" w:hAnsi="Times New Roman" w:eastAsia="宋体"/>
          <w:sz w:val="28"/>
        </w:rPr>
        <w:t xml:space="preserve">确定中标</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Start w:id="612" w:name="_Toc226337243"/>
      <w:r/>
      <w:bookmarkStart w:id="613" w:name="_Toc127161461"/>
      <w:r/>
      <w:bookmarkStart w:id="614" w:name="_Toc149720840"/>
      <w:r/>
      <w:bookmarkStart w:id="615" w:name="_Toc164608661"/>
      <w:r/>
      <w:bookmarkStart w:id="616" w:name="_Toc151193717"/>
      <w:r/>
      <w:bookmarkStart w:id="617" w:name="_Toc150774647"/>
      <w:r/>
      <w:bookmarkStart w:id="618" w:name="_Toc226965820"/>
      <w:r/>
      <w:bookmarkStart w:id="619" w:name="_Toc151190174"/>
      <w:r/>
      <w:bookmarkStart w:id="620" w:name="_Toc127151748"/>
      <w:r/>
      <w:bookmarkStart w:id="621" w:name="_Toc151193935"/>
      <w:r/>
      <w:bookmarkStart w:id="622" w:name="_Toc226965737"/>
      <w:r/>
      <w:bookmarkStart w:id="623" w:name="_Toc164229388"/>
      <w:r/>
      <w:bookmarkStart w:id="624" w:name="_Toc265228385"/>
      <w:r/>
      <w:bookmarkStart w:id="625" w:name="_Toc164229242"/>
      <w:r/>
      <w:bookmarkStart w:id="626" w:name="_Toc150480785"/>
      <w:r/>
      <w:bookmarkStart w:id="627" w:name="_Toc264969237"/>
      <w:r/>
      <w:bookmarkStart w:id="628" w:name="_Toc127151547"/>
      <w:r/>
      <w:bookmarkStart w:id="629" w:name="_Toc150774752"/>
      <w:r/>
      <w:bookmarkStart w:id="630" w:name="_Toc164351641"/>
      <w:r/>
      <w:bookmarkStart w:id="631" w:name="_Toc195842912"/>
      <w:r/>
      <w:bookmarkStart w:id="632" w:name="_Toc164608816"/>
      <w:r/>
      <w:bookmarkStart w:id="633" w:name="_Toc151193645"/>
      <w:r/>
      <w:bookmarkStart w:id="634" w:name="_Toc226309791"/>
      <w:r/>
      <w:bookmarkStart w:id="635" w:name="_Toc151193789"/>
      <w:r/>
      <w:bookmarkStart w:id="636" w:name="_Toc142311049"/>
      <w:r/>
      <w:bookmarkStart w:id="637" w:name="_Toc151193861"/>
      <w:r/>
      <w:bookmarkStart w:id="638" w:name="_Toc305158815"/>
      <w:r/>
      <w:bookmarkStart w:id="639" w:name="_Toc150509298"/>
      <w:r/>
      <w:bookmarkStart w:id="640" w:name="_Toc305158889"/>
      <w:r/>
      <w:r/>
    </w:p>
    <w:p>
      <w:pPr>
        <w:numPr>
          <w:ilvl w:val="0"/>
          <w:numId w:val="8"/>
        </w:numPr>
        <w:ind w:left="357" w:hanging="357"/>
        <w:spacing w:line="360" w:lineRule="auto"/>
        <w:tabs>
          <w:tab w:val="left" w:pos="360" w:leader="none"/>
        </w:tabs>
        <w:rPr>
          <w:sz w:val="24"/>
        </w:rPr>
        <w:outlineLvl w:val="1"/>
      </w:pPr>
      <w:r>
        <w:rPr>
          <w:sz w:val="24"/>
        </w:rPr>
        <w:t xml:space="preserve">确定中标人</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numPr>
          <w:ilvl w:val="1"/>
          <w:numId w:val="8"/>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bookmarkStart w:id="641" w:name="_Toc305158817"/>
      <w:r/>
      <w:bookmarkStart w:id="642" w:name="_Toc305158891"/>
      <w:r/>
      <w:bookmarkStart w:id="643" w:name="_Toc195842914"/>
      <w:r/>
      <w:bookmarkStart w:id="644" w:name="_Toc164229390"/>
      <w:r/>
      <w:bookmarkStart w:id="645" w:name="_Toc226309793"/>
      <w:r/>
      <w:bookmarkStart w:id="646" w:name="_Toc151193791"/>
      <w:r/>
      <w:bookmarkStart w:id="647" w:name="_Toc127151549"/>
      <w:r/>
      <w:bookmarkStart w:id="648" w:name="_Toc151193937"/>
      <w:r/>
      <w:bookmarkStart w:id="649" w:name="_Toc151193863"/>
      <w:r/>
      <w:bookmarkStart w:id="650" w:name="_Toc164229244"/>
      <w:r/>
      <w:bookmarkStart w:id="651" w:name="_Toc149720842"/>
      <w:r/>
      <w:bookmarkStart w:id="652" w:name="_Toc164608663"/>
      <w:r/>
      <w:bookmarkStart w:id="653" w:name="_Toc142311051"/>
      <w:r/>
      <w:bookmarkStart w:id="654" w:name="_Toc151193647"/>
      <w:r/>
      <w:bookmarkStart w:id="655" w:name="_Toc150774754"/>
      <w:r/>
      <w:bookmarkStart w:id="656" w:name="_Toc127161463"/>
      <w:r/>
      <w:bookmarkStart w:id="657" w:name="_Toc150774649"/>
      <w:r/>
      <w:bookmarkStart w:id="658" w:name="_Toc226337245"/>
      <w:r/>
      <w:bookmarkStart w:id="659" w:name="_Toc151190176"/>
      <w:r/>
      <w:bookmarkStart w:id="660" w:name="_Toc164351643"/>
      <w:r/>
      <w:bookmarkStart w:id="661" w:name="_Toc151193719"/>
      <w:r/>
      <w:bookmarkStart w:id="662" w:name="_Toc226965822"/>
      <w:r/>
      <w:bookmarkStart w:id="663" w:name="_Toc164608818"/>
      <w:r/>
      <w:bookmarkStart w:id="664" w:name="_Toc150509300"/>
      <w:r/>
      <w:bookmarkStart w:id="665" w:name="_Toc265228387"/>
      <w:r/>
      <w:bookmarkStart w:id="666" w:name="_Toc150480787"/>
      <w:r/>
      <w:bookmarkStart w:id="667" w:name="_Toc226965739"/>
      <w:r/>
      <w:bookmarkStart w:id="668" w:name="_Toc264969239"/>
      <w:r/>
      <w:bookmarkStart w:id="669" w:name="_Toc127151750"/>
      <w:r/>
      <w:bookmarkStart w:id="670" w:name="_Ref467307090"/>
      <w:r/>
      <w:bookmarkStart w:id="671" w:name="_Toc520356176"/>
      <w:r/>
      <w:bookmarkStart w:id="672" w:name="_Ref467306425"/>
      <w:r>
        <w:rPr>
          <w:sz w:val="24"/>
        </w:rPr>
        <w:t xml:space="preserve">中标公告与中标通知书</w:t>
      </w:r>
      <w:bookmarkEnd w:id="641"/>
      <w:r/>
      <w:bookmarkEnd w:id="642"/>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8"/>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rPr>
        <w:outlineLvl w:val="1"/>
      </w:pPr>
      <w:r>
        <w:rPr>
          <w:sz w:val="24"/>
        </w:rPr>
        <w:t xml:space="preserve">废标</w:t>
      </w:r>
      <w:r/>
    </w:p>
    <w:p>
      <w:pPr>
        <w:numPr>
          <w:ilvl w:val="1"/>
          <w:numId w:val="8"/>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8"/>
        </w:numPr>
        <w:spacing w:line="360" w:lineRule="auto"/>
        <w:rPr>
          <w:sz w:val="24"/>
        </w:rPr>
      </w:pPr>
      <w:r>
        <w:rPr>
          <w:sz w:val="24"/>
        </w:rPr>
        <w:t xml:space="preserve">符合专业条件的供应商或者对招标文件作实质响应的供应商不足三家的；</w:t>
      </w:r>
      <w:r/>
    </w:p>
    <w:p>
      <w:pPr>
        <w:numPr>
          <w:ilvl w:val="2"/>
          <w:numId w:val="8"/>
        </w:numPr>
        <w:spacing w:line="360" w:lineRule="auto"/>
        <w:rPr>
          <w:sz w:val="24"/>
        </w:rPr>
      </w:pPr>
      <w:r>
        <w:rPr>
          <w:sz w:val="24"/>
        </w:rPr>
        <w:t xml:space="preserve">出现影响采购公正的违法、违规行为的；</w:t>
      </w:r>
      <w:r/>
    </w:p>
    <w:p>
      <w:pPr>
        <w:numPr>
          <w:ilvl w:val="2"/>
          <w:numId w:val="8"/>
        </w:numPr>
        <w:spacing w:line="360" w:lineRule="auto"/>
        <w:rPr>
          <w:sz w:val="24"/>
        </w:rPr>
      </w:pPr>
      <w:r>
        <w:rPr>
          <w:sz w:val="24"/>
        </w:rPr>
        <w:t xml:space="preserve">投标人的报价均超过了采购预算，采购人不能支付的；</w:t>
      </w:r>
      <w:r/>
    </w:p>
    <w:p>
      <w:pPr>
        <w:numPr>
          <w:ilvl w:val="2"/>
          <w:numId w:val="8"/>
        </w:numPr>
        <w:spacing w:line="360" w:lineRule="auto"/>
        <w:rPr>
          <w:sz w:val="24"/>
        </w:rPr>
      </w:pPr>
      <w:r>
        <w:rPr>
          <w:sz w:val="24"/>
        </w:rPr>
        <w:t xml:space="preserve">因重大变故，采购任务取消的。</w:t>
      </w:r>
      <w:r/>
    </w:p>
    <w:p>
      <w:pPr>
        <w:numPr>
          <w:ilvl w:val="2"/>
          <w:numId w:val="8"/>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废标后，采购人将废标理由通知所有投标人。</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p>
    <w:p>
      <w:pPr>
        <w:numPr>
          <w:ilvl w:val="0"/>
          <w:numId w:val="8"/>
        </w:numPr>
        <w:ind w:left="357" w:hanging="357"/>
        <w:spacing w:line="360" w:lineRule="auto"/>
        <w:tabs>
          <w:tab w:val="left" w:pos="360" w:leader="none"/>
        </w:tabs>
        <w:rPr>
          <w:sz w:val="24"/>
        </w:rPr>
        <w:outlineLvl w:val="1"/>
      </w:pPr>
      <w:r/>
      <w:bookmarkStart w:id="673" w:name="_Toc151193720"/>
      <w:r/>
      <w:bookmarkStart w:id="674" w:name="_Toc151193792"/>
      <w:r/>
      <w:bookmarkStart w:id="675" w:name="_Toc164351644"/>
      <w:r/>
      <w:bookmarkStart w:id="676" w:name="_Toc164229391"/>
      <w:r/>
      <w:bookmarkStart w:id="677" w:name="_Toc265228388"/>
      <w:r/>
      <w:bookmarkStart w:id="678" w:name="_Toc150774650"/>
      <w:r/>
      <w:bookmarkStart w:id="679" w:name="_Toc305158818"/>
      <w:r/>
      <w:bookmarkStart w:id="680" w:name="_Toc150509301"/>
      <w:r/>
      <w:bookmarkStart w:id="681" w:name="_Toc164608664"/>
      <w:r/>
      <w:bookmarkStart w:id="682" w:name="_Toc127161464"/>
      <w:r/>
      <w:bookmarkStart w:id="683" w:name="_Toc164608819"/>
      <w:r/>
      <w:bookmarkStart w:id="684" w:name="_Toc226965740"/>
      <w:r/>
      <w:bookmarkStart w:id="685" w:name="_Toc127151550"/>
      <w:r/>
      <w:bookmarkStart w:id="686" w:name="_Ref467307204"/>
      <w:r/>
      <w:bookmarkStart w:id="687" w:name="_Toc150774755"/>
      <w:r/>
      <w:bookmarkStart w:id="688" w:name="_Toc226337246"/>
      <w:r/>
      <w:bookmarkStart w:id="689" w:name="_Toc305158892"/>
      <w:r/>
      <w:bookmarkStart w:id="690" w:name="_Toc195842915"/>
      <w:r/>
      <w:bookmarkStart w:id="691" w:name="_Ref467306377"/>
      <w:r/>
      <w:bookmarkStart w:id="692" w:name="_Toc164229245"/>
      <w:r/>
      <w:bookmarkStart w:id="693" w:name="_Toc264969240"/>
      <w:r/>
      <w:bookmarkStart w:id="694" w:name="_Toc151193938"/>
      <w:r/>
      <w:bookmarkStart w:id="695" w:name="_Toc150480788"/>
      <w:r/>
      <w:bookmarkStart w:id="696" w:name="_Ref467306978"/>
      <w:r/>
      <w:bookmarkStart w:id="697" w:name="_Toc151193648"/>
      <w:r/>
      <w:bookmarkStart w:id="698" w:name="_Toc226965823"/>
      <w:r/>
      <w:bookmarkStart w:id="699" w:name="_Ref467307062"/>
      <w:r/>
      <w:bookmarkStart w:id="700" w:name="_Toc151193864"/>
      <w:r/>
      <w:bookmarkStart w:id="701" w:name="_Toc520356175"/>
      <w:r/>
      <w:bookmarkStart w:id="702" w:name="_Toc127151751"/>
      <w:r/>
      <w:bookmarkStart w:id="703" w:name="_Toc226309794"/>
      <w:r/>
      <w:bookmarkStart w:id="704" w:name="_Toc142311052"/>
      <w:r/>
      <w:bookmarkStart w:id="705" w:name="_Toc149720843"/>
      <w:r/>
      <w:bookmarkStart w:id="706" w:name="_Toc151190177"/>
      <w:r>
        <w:rPr>
          <w:sz w:val="24"/>
        </w:rPr>
        <w:t xml:space="preserve">签订合同</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
    </w:p>
    <w:p>
      <w:pPr>
        <w:numPr>
          <w:ilvl w:val="1"/>
          <w:numId w:val="8"/>
        </w:numPr>
        <w:ind w:left="1077" w:hanging="720"/>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8"/>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0"/>
      <w:bookmarkEnd w:id="671"/>
      <w:bookmarkEnd w:id="672"/>
      <w:r/>
    </w:p>
    <w:p>
      <w:pPr>
        <w:numPr>
          <w:ilvl w:val="0"/>
          <w:numId w:val="8"/>
        </w:numPr>
        <w:ind w:left="357" w:hanging="357"/>
        <w:spacing w:line="360" w:lineRule="auto"/>
        <w:tabs>
          <w:tab w:val="left" w:pos="360" w:leader="none"/>
        </w:tabs>
        <w:rPr>
          <w:sz w:val="24"/>
        </w:rPr>
        <w:outlineLvl w:val="1"/>
      </w:pPr>
      <w:r>
        <w:rPr>
          <w:sz w:val="24"/>
        </w:rPr>
        <w:t xml:space="preserve">询问与质疑</w:t>
      </w:r>
      <w:r/>
    </w:p>
    <w:p>
      <w:pPr>
        <w:numPr>
          <w:ilvl w:val="1"/>
          <w:numId w:val="8"/>
        </w:numPr>
        <w:ind w:left="1077" w:hanging="720"/>
        <w:spacing w:line="360" w:lineRule="auto"/>
        <w:tabs>
          <w:tab w:val="left" w:pos="1080" w:leader="none"/>
          <w:tab w:val="left" w:pos="2014" w:leader="none"/>
        </w:tabs>
        <w:rPr>
          <w:sz w:val="24"/>
        </w:rPr>
      </w:pPr>
      <w:r>
        <w:rPr>
          <w:sz w:val="24"/>
        </w:rPr>
        <w:t xml:space="preserve">询问</w:t>
      </w:r>
      <w:r/>
    </w:p>
    <w:p>
      <w:pPr>
        <w:numPr>
          <w:ilvl w:val="2"/>
          <w:numId w:val="8"/>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rPr>
      </w:pPr>
      <w:r>
        <w:rPr>
          <w:sz w:val="24"/>
        </w:rPr>
        <w:t xml:space="preserve">质疑</w:t>
      </w:r>
      <w:r/>
    </w:p>
    <w:p>
      <w:pPr>
        <w:numPr>
          <w:ilvl w:val="2"/>
          <w:numId w:val="8"/>
        </w:numPr>
        <w:spacing w:line="360" w:lineRule="auto"/>
        <w:rPr>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216"/>
        </w:rPr>
        <w:t xml:space="preserve">http://gk</w:t>
      </w:r>
      <w:bookmarkStart w:id="707" w:name="_Hlt100654014"/>
      <w:r>
        <w:rPr>
          <w:rStyle w:val="1216"/>
        </w:rPr>
        <w:t xml:space="preserve">s</w:t>
      </w:r>
      <w:bookmarkEnd w:id="707"/>
      <w:r>
        <w:rPr>
          <w:rStyle w:val="1216"/>
        </w:rPr>
        <w:t xml:space="preserve">.m</w:t>
      </w:r>
      <w:bookmarkStart w:id="708" w:name="_Hlt100653993"/>
      <w:r/>
      <w:bookmarkStart w:id="709" w:name="_Hlt100653994"/>
      <w:r>
        <w:rPr>
          <w:rStyle w:val="1216"/>
        </w:rPr>
        <w:t xml:space="preserve">o</w:t>
      </w:r>
      <w:bookmarkEnd w:id="708"/>
      <w:r/>
      <w:bookmarkEnd w:id="709"/>
      <w:r>
        <w:rPr>
          <w:rStyle w:val="1216"/>
        </w:rPr>
        <w:t xml:space="preserve">f.gov.cn/ztztz/zhengfucaigouguanli/201802/t20180201_2804589.htm</w:t>
      </w:r>
      <w:r>
        <w:rPr>
          <w:rStyle w:val="1216"/>
        </w:rPr>
        <w:fldChar w:fldCharType="end"/>
      </w:r>
      <w:r>
        <w:rPr>
          <w:rFonts w:hint="eastAsia"/>
        </w:rPr>
        <w:t xml:space="preserve">）</w:t>
      </w:r>
      <w:r/>
    </w:p>
    <w:p>
      <w:pPr>
        <w:numPr>
          <w:ilvl w:val="2"/>
          <w:numId w:val="8"/>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代理费</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详见前附表</w:t>
      </w:r>
      <w:r/>
    </w:p>
    <w:p>
      <w:pPr>
        <w:jc w:val="center"/>
        <w:spacing w:line="360" w:lineRule="auto"/>
        <w:rPr>
          <w:b/>
          <w:sz w:val="36"/>
          <w:szCs w:val="36"/>
        </w:rPr>
        <w:sectPr>
          <w:headerReference w:type="even" r:id="rId13"/>
          <w:headerReference w:type="first" r:id="rId14"/>
          <w:footerReference w:type="even" r:id="rId25"/>
          <w:footerReference w:type="first" r:id="rId26"/>
          <w:footnotePr/>
          <w:endnotePr/>
          <w:type w:val="nextPage"/>
          <w:pgSz w:w="11907" w:h="16840" w:orient="portrait"/>
          <w:pgMar w:top="1440" w:right="1080" w:bottom="1440" w:left="1080" w:header="851" w:footer="851" w:gutter="0"/>
          <w:cols w:num="1" w:sep="0" w:space="1701" w:equalWidth="1"/>
          <w:docGrid w:linePitch="360"/>
        </w:sectPr>
        <w:outlineLvl w:val="0"/>
      </w:pPr>
      <w:r/>
      <w:bookmarkStart w:id="710" w:name="_Toc353873664"/>
      <w:r/>
      <w:bookmarkStart w:id="711" w:name="_Toc353825544"/>
      <w:r/>
      <w:bookmarkStart w:id="712" w:name="_Toc150774759"/>
      <w:r/>
      <w:bookmarkStart w:id="713" w:name="_Toc226965827"/>
      <w:r/>
      <w:bookmarkStart w:id="714" w:name="_Toc150480792"/>
      <w:r/>
      <w:bookmarkStart w:id="715" w:name="_Toc265228392"/>
      <w:r/>
      <w:bookmarkStart w:id="716" w:name="_Toc264969244"/>
      <w:r/>
      <w:bookmarkStart w:id="717" w:name="_Toc142311056"/>
      <w:r/>
      <w:bookmarkStart w:id="718" w:name="_Toc127151554"/>
      <w:r/>
      <w:bookmarkStart w:id="719" w:name="_Toc305158896"/>
      <w:r/>
      <w:bookmarkStart w:id="720" w:name="_Toc305158822"/>
      <w:r/>
      <w:bookmarkStart w:id="721" w:name="_Toc353873934"/>
      <w:r/>
      <w:bookmarkStart w:id="722" w:name="_Toc226337250"/>
      <w:r/>
      <w:bookmarkStart w:id="723" w:name="_Toc99301421"/>
      <w:r/>
      <w:r/>
    </w:p>
    <w:p>
      <w:pPr>
        <w:jc w:val="center"/>
        <w:spacing w:line="360" w:lineRule="auto"/>
        <w:rPr>
          <w:b/>
          <w:sz w:val="36"/>
          <w:szCs w:val="36"/>
        </w:rPr>
        <w:outlineLvl w:val="0"/>
      </w:pPr>
      <w:r>
        <w:rPr>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rPr>
        <w:t xml:space="preserve">资格审查</w:t>
      </w:r>
      <w:bookmarkEnd w:id="723"/>
      <w:r/>
      <w:bookmarkStart w:id="724" w:name="_Toc487900382"/>
      <w:r/>
      <w:r/>
    </w:p>
    <w:p>
      <w:pPr>
        <w:jc w:val="center"/>
        <w:spacing w:line="360" w:lineRule="auto"/>
        <w:tabs>
          <w:tab w:val="left" w:pos="360" w:leader="none"/>
          <w:tab w:val="left" w:pos="900" w:leader="none"/>
        </w:tabs>
        <w:rPr>
          <w:b/>
          <w:sz w:val="24"/>
        </w:rPr>
        <w:outlineLvl w:val="1"/>
      </w:pPr>
      <w:r/>
      <w:bookmarkStart w:id="725" w:name="_Toc99301422"/>
      <w:r>
        <w:rPr>
          <w:b/>
          <w:sz w:val="24"/>
        </w:rPr>
        <w:t xml:space="preserve">一、资格审查程序</w:t>
      </w:r>
      <w:bookmarkEnd w:id="725"/>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1"/>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Style w:val="965"/>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2126"/>
        <w:gridCol w:w="5170"/>
        <w:gridCol w:w="1755"/>
      </w:tblGrid>
      <w:tr>
        <w:trPr>
          <w:cantSplit/>
          <w:tblHeader/>
        </w:trPr>
        <w:tc>
          <w:tcPr>
            <w:tcW w:w="907" w:type="dxa"/>
            <w:vAlign w:val="center"/>
            <w:textDirection w:val="lrTb"/>
            <w:noWrap/>
          </w:tcPr>
          <w:p>
            <w:pPr>
              <w:jc w:val="center"/>
              <w:tabs>
                <w:tab w:val="left" w:pos="1080" w:leader="none"/>
              </w:tabs>
              <w:rPr>
                <w:b/>
                <w:sz w:val="24"/>
              </w:rPr>
            </w:pPr>
            <w:r/>
            <w:bookmarkStart w:id="726" w:name="_Hlt487972895"/>
            <w:r/>
            <w:bookmarkEnd w:id="726"/>
            <w:r>
              <w:rPr>
                <w:b/>
                <w:sz w:val="24"/>
              </w:rPr>
              <w:t xml:space="preserve">序号</w:t>
            </w:r>
            <w:r/>
          </w:p>
        </w:tc>
        <w:tc>
          <w:tcPr>
            <w:tcW w:w="2126" w:type="dxa"/>
            <w:vAlign w:val="center"/>
            <w:textDirection w:val="lrTb"/>
            <w:noWrap/>
          </w:tcPr>
          <w:p>
            <w:pPr>
              <w:jc w:val="center"/>
              <w:tabs>
                <w:tab w:val="left" w:pos="1080" w:leader="none"/>
              </w:tabs>
              <w:rPr>
                <w:b/>
                <w:sz w:val="24"/>
              </w:rPr>
            </w:pPr>
            <w:r>
              <w:rPr>
                <w:b/>
                <w:sz w:val="24"/>
              </w:rPr>
              <w:t xml:space="preserve">审查因素</w:t>
            </w:r>
            <w:r/>
          </w:p>
        </w:tc>
        <w:tc>
          <w:tcPr>
            <w:tcW w:w="5170" w:type="dxa"/>
            <w:vAlign w:val="center"/>
            <w:textDirection w:val="lrTb"/>
            <w:noWrap/>
          </w:tcPr>
          <w:p>
            <w:pPr>
              <w:jc w:val="center"/>
              <w:tabs>
                <w:tab w:val="left" w:pos="1080" w:leader="none"/>
              </w:tabs>
              <w:rPr>
                <w:b/>
                <w:sz w:val="24"/>
              </w:rPr>
            </w:pPr>
            <w:r>
              <w:rPr>
                <w:b/>
                <w:sz w:val="24"/>
              </w:rPr>
              <w:t xml:space="preserve">审查内容</w:t>
            </w:r>
            <w:r/>
          </w:p>
        </w:tc>
        <w:tc>
          <w:tcPr>
            <w:tcW w:w="1755" w:type="dxa"/>
            <w:vAlign w:val="center"/>
            <w:textDirection w:val="lrTb"/>
            <w:noWrap/>
          </w:tcPr>
          <w:p>
            <w:pPr>
              <w:jc w:val="center"/>
              <w:tabs>
                <w:tab w:val="left" w:pos="1080" w:leader="none"/>
              </w:tabs>
              <w:rPr>
                <w:b/>
                <w:sz w:val="24"/>
              </w:rPr>
            </w:pPr>
            <w:r>
              <w:rPr>
                <w:b/>
                <w:sz w:val="24"/>
              </w:rPr>
              <w:t xml:space="preserve">格式要求</w:t>
            </w:r>
            <w:r/>
          </w:p>
        </w:tc>
      </w:tr>
      <w:tr>
        <w:trPr>
          <w:cantSplit/>
        </w:trPr>
        <w:tc>
          <w:tcPr>
            <w:tcW w:w="907" w:type="dxa"/>
            <w:vAlign w:val="center"/>
            <w:textDirection w:val="lrTb"/>
            <w:noWrap/>
          </w:tcPr>
          <w:p>
            <w:pPr>
              <w:jc w:val="center"/>
              <w:tabs>
                <w:tab w:val="left" w:pos="1080" w:leader="none"/>
              </w:tabs>
              <w:rPr>
                <w:sz w:val="24"/>
              </w:rPr>
            </w:pPr>
            <w:r>
              <w:rPr>
                <w:sz w:val="24"/>
              </w:rPr>
              <w:t xml:space="preserve">1</w:t>
            </w:r>
            <w:r/>
          </w:p>
        </w:tc>
        <w:tc>
          <w:tcPr>
            <w:tcW w:w="2126" w:type="dxa"/>
            <w:vAlign w:val="center"/>
            <w:textDirection w:val="lrTb"/>
            <w:noWrap/>
          </w:tcPr>
          <w:p>
            <w:pPr>
              <w:tabs>
                <w:tab w:val="left" w:pos="1080" w:leader="none"/>
              </w:tabs>
              <w:rPr>
                <w:sz w:val="24"/>
              </w:rPr>
            </w:pPr>
            <w:r>
              <w:rPr>
                <w:sz w:val="24"/>
              </w:rPr>
              <w:t xml:space="preserve">满足《中华人民共和国政府采购法》第二十二条规定及法律法规的其他规定</w:t>
            </w:r>
            <w:r/>
          </w:p>
        </w:tc>
        <w:tc>
          <w:tcPr>
            <w:tcW w:w="5170" w:type="dxa"/>
            <w:vAlign w:val="center"/>
            <w:textDirection w:val="lrTb"/>
            <w:noWrap/>
          </w:tcPr>
          <w:p>
            <w:pPr>
              <w:tabs>
                <w:tab w:val="left" w:pos="1080" w:leader="none"/>
              </w:tabs>
              <w:rPr>
                <w:sz w:val="24"/>
              </w:rPr>
            </w:pPr>
            <w:r>
              <w:rPr>
                <w:sz w:val="24"/>
              </w:rPr>
              <w:t xml:space="preserve">具体规定见第一章《投标邀请》</w:t>
            </w:r>
            <w:r/>
          </w:p>
        </w:tc>
        <w:tc>
          <w:tcPr>
            <w:tcW w:w="1755" w:type="dxa"/>
            <w:vAlign w:val="center"/>
            <w:textDirection w:val="lrTb"/>
            <w:noWrap/>
          </w:tcPr>
          <w:p>
            <w:pPr>
              <w:tabs>
                <w:tab w:val="left" w:pos="1080" w:leader="none"/>
              </w:tabs>
              <w:rPr>
                <w:sz w:val="24"/>
              </w:rPr>
            </w:pPr>
            <w:r>
              <w:rPr>
                <w:sz w:val="24"/>
              </w:rPr>
            </w:r>
            <w:r/>
          </w:p>
        </w:tc>
      </w:tr>
      <w:tr>
        <w:trPr>
          <w:cantSplit/>
        </w:trPr>
        <w:tc>
          <w:tcPr>
            <w:tcW w:w="907" w:type="dxa"/>
            <w:vAlign w:val="center"/>
            <w:textDirection w:val="lrTb"/>
            <w:noWrap/>
          </w:tcPr>
          <w:p>
            <w:pPr>
              <w:jc w:val="center"/>
              <w:tabs>
                <w:tab w:val="left" w:pos="1080" w:leader="none"/>
              </w:tabs>
              <w:rPr>
                <w:sz w:val="24"/>
              </w:rPr>
            </w:pPr>
            <w:r>
              <w:rPr>
                <w:sz w:val="24"/>
              </w:rPr>
              <w:t xml:space="preserve">1</w:t>
            </w:r>
            <w:r>
              <w:rPr>
                <w:rFonts w:hint="eastAsia"/>
                <w:sz w:val="24"/>
              </w:rPr>
              <w:t xml:space="preserve">-1</w:t>
            </w:r>
            <w:r/>
          </w:p>
        </w:tc>
        <w:tc>
          <w:tcPr>
            <w:tcW w:w="2126" w:type="dxa"/>
            <w:vAlign w:val="center"/>
            <w:textDirection w:val="lrTb"/>
            <w:noWrap/>
          </w:tcPr>
          <w:p>
            <w:pPr>
              <w:tabs>
                <w:tab w:val="left" w:pos="1080" w:leader="none"/>
              </w:tabs>
              <w:rPr>
                <w:sz w:val="24"/>
              </w:rPr>
            </w:pPr>
            <w:r>
              <w:rPr>
                <w:rFonts w:hint="eastAsia"/>
                <w:sz w:val="24"/>
              </w:rPr>
              <w:t xml:space="preserve">投标人资格声明函</w:t>
            </w:r>
            <w:r/>
          </w:p>
        </w:tc>
        <w:tc>
          <w:tcPr>
            <w:tcW w:w="5170" w:type="dxa"/>
            <w:vAlign w:val="center"/>
            <w:textDirection w:val="lrTb"/>
            <w:noWrap/>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1755" w:type="dxa"/>
            <w:vAlign w:val="center"/>
            <w:textDirection w:val="lrTb"/>
            <w:noWrap/>
          </w:tcPr>
          <w:p>
            <w:pPr>
              <w:tabs>
                <w:tab w:val="left" w:pos="1080" w:leader="none"/>
              </w:tabs>
              <w:rPr>
                <w:sz w:val="24"/>
              </w:rPr>
            </w:pPr>
            <w:r>
              <w:rPr>
                <w:sz w:val="24"/>
              </w:rPr>
              <w:t xml:space="preserve">格式见《投标文件格式》</w:t>
            </w:r>
            <w:r/>
          </w:p>
        </w:tc>
      </w:tr>
      <w:tr>
        <w:trPr>
          <w:cantSplit/>
        </w:trPr>
        <w:tc>
          <w:tcPr>
            <w:tcW w:w="907" w:type="dxa"/>
            <w:vAlign w:val="center"/>
            <w:textDirection w:val="lrTb"/>
            <w:noWrap/>
          </w:tcPr>
          <w:p>
            <w:pPr>
              <w:jc w:val="center"/>
              <w:tabs>
                <w:tab w:val="left" w:pos="1080" w:leader="none"/>
              </w:tabs>
              <w:rPr>
                <w:sz w:val="24"/>
              </w:rPr>
            </w:pPr>
            <w:r>
              <w:rPr>
                <w:rFonts w:hint="eastAsia"/>
                <w:sz w:val="24"/>
              </w:rPr>
              <w:t xml:space="preserve">1-2</w:t>
            </w:r>
            <w:r/>
          </w:p>
        </w:tc>
        <w:tc>
          <w:tcPr>
            <w:tcW w:w="2126" w:type="dxa"/>
            <w:vAlign w:val="center"/>
            <w:textDirection w:val="lrTb"/>
            <w:noWrap/>
          </w:tcPr>
          <w:p>
            <w:pPr>
              <w:tabs>
                <w:tab w:val="left" w:pos="1080" w:leader="none"/>
              </w:tabs>
              <w:rPr>
                <w:sz w:val="24"/>
              </w:rPr>
            </w:pPr>
            <w:r>
              <w:rPr>
                <w:sz w:val="24"/>
              </w:rPr>
              <w:t xml:space="preserve">投标人信用记录</w:t>
            </w:r>
            <w:r/>
          </w:p>
        </w:tc>
        <w:tc>
          <w:tcPr>
            <w:tcW w:w="5170" w:type="dxa"/>
            <w:vAlign w:val="center"/>
            <w:textDirection w:val="lrTb"/>
            <w:noWrap/>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1755" w:type="dxa"/>
            <w:vAlign w:val="center"/>
            <w:textDirection w:val="lrTb"/>
            <w:noWrap/>
          </w:tcPr>
          <w:p>
            <w:pPr>
              <w:tabs>
                <w:tab w:val="left" w:pos="1080" w:leader="none"/>
              </w:tabs>
              <w:rPr>
                <w:sz w:val="24"/>
              </w:rPr>
            </w:pPr>
            <w:r>
              <w:rPr>
                <w:sz w:val="24"/>
              </w:rPr>
              <w:t xml:space="preserve">无须投标人提供，由采购人查询。</w:t>
            </w:r>
            <w:r/>
          </w:p>
        </w:tc>
      </w:tr>
      <w:tr>
        <w:trPr>
          <w:cantSplit/>
        </w:trPr>
        <w:tc>
          <w:tcPr>
            <w:tcW w:w="907" w:type="dxa"/>
            <w:vAlign w:val="center"/>
            <w:textDirection w:val="lrTb"/>
            <w:noWrap/>
          </w:tcPr>
          <w:p>
            <w:pPr>
              <w:jc w:val="center"/>
              <w:tabs>
                <w:tab w:val="left" w:pos="1080" w:leader="none"/>
              </w:tabs>
              <w:rPr>
                <w:sz w:val="24"/>
              </w:rPr>
            </w:pPr>
            <w:r>
              <w:rPr>
                <w:sz w:val="24"/>
              </w:rPr>
              <w:t xml:space="preserve">2</w:t>
            </w:r>
            <w:r/>
          </w:p>
        </w:tc>
        <w:tc>
          <w:tcPr>
            <w:tcW w:w="2126" w:type="dxa"/>
            <w:vAlign w:val="center"/>
            <w:textDirection w:val="lrTb"/>
            <w:noWrap/>
          </w:tcPr>
          <w:p>
            <w:pPr>
              <w:tabs>
                <w:tab w:val="left" w:pos="1080" w:leader="none"/>
              </w:tabs>
              <w:rPr>
                <w:sz w:val="24"/>
              </w:rPr>
            </w:pPr>
            <w:r>
              <w:rPr>
                <w:sz w:val="24"/>
              </w:rPr>
              <w:t xml:space="preserve">落实政府采购政策需满足的资格要求</w:t>
            </w:r>
            <w:r/>
          </w:p>
        </w:tc>
        <w:tc>
          <w:tcPr>
            <w:tcW w:w="5170" w:type="dxa"/>
            <w:vAlign w:val="center"/>
            <w:textDirection w:val="lrTb"/>
            <w:noWrap/>
          </w:tcPr>
          <w:p>
            <w:pPr>
              <w:tabs>
                <w:tab w:val="left" w:pos="1080" w:leader="none"/>
              </w:tabs>
              <w:rPr>
                <w:sz w:val="24"/>
              </w:rPr>
            </w:pPr>
            <w:r>
              <w:rPr>
                <w:sz w:val="24"/>
              </w:rPr>
              <w:t xml:space="preserve">具体要求见第一章《投标邀请》</w:t>
            </w:r>
            <w:r/>
          </w:p>
        </w:tc>
        <w:tc>
          <w:tcPr>
            <w:tcW w:w="1755" w:type="dxa"/>
            <w:vAlign w:val="center"/>
            <w:textDirection w:val="lrTb"/>
            <w:noWrap/>
          </w:tcPr>
          <w:p>
            <w:pPr>
              <w:tabs>
                <w:tab w:val="left" w:pos="1080" w:leader="none"/>
              </w:tabs>
              <w:rPr>
                <w:sz w:val="24"/>
              </w:rPr>
            </w:pPr>
            <w:r>
              <w:rPr>
                <w:sz w:val="24"/>
              </w:rPr>
            </w:r>
            <w:r/>
          </w:p>
        </w:tc>
      </w:tr>
      <w:tr>
        <w:trPr>
          <w:cantSplit/>
        </w:trPr>
        <w:tc>
          <w:tcPr>
            <w:tcW w:w="907" w:type="dxa"/>
            <w:vAlign w:val="center"/>
            <w:textDirection w:val="lrTb"/>
            <w:noWrap/>
          </w:tcPr>
          <w:p>
            <w:pPr>
              <w:jc w:val="center"/>
              <w:tabs>
                <w:tab w:val="left" w:pos="1080" w:leader="none"/>
              </w:tabs>
              <w:rPr>
                <w:sz w:val="24"/>
              </w:rPr>
            </w:pPr>
            <w:r>
              <w:rPr>
                <w:sz w:val="24"/>
              </w:rPr>
              <w:t xml:space="preserve">2-1</w:t>
            </w:r>
            <w:r/>
          </w:p>
        </w:tc>
        <w:tc>
          <w:tcPr>
            <w:tcW w:w="2126" w:type="dxa"/>
            <w:vAlign w:val="center"/>
            <w:textDirection w:val="lrTb"/>
            <w:noWrap/>
          </w:tcPr>
          <w:p>
            <w:pPr>
              <w:tabs>
                <w:tab w:val="left" w:pos="1080" w:leader="none"/>
              </w:tabs>
              <w:rPr>
                <w:sz w:val="24"/>
              </w:rPr>
            </w:pPr>
            <w:r>
              <w:rPr>
                <w:sz w:val="24"/>
              </w:rPr>
              <w:t xml:space="preserve">中小企业声明函</w:t>
            </w:r>
            <w:r/>
          </w:p>
        </w:tc>
        <w:tc>
          <w:tcPr>
            <w:tcW w:w="5170" w:type="dxa"/>
            <w:vAlign w:val="center"/>
            <w:textDirection w:val="lrTb"/>
            <w:noWrap/>
          </w:tcPr>
          <w:p>
            <w:pPr>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p>
          <w:p>
            <w:pPr>
              <w:tabs>
                <w:tab w:val="left" w:pos="1080" w:leader="none"/>
              </w:tabs>
              <w:rPr>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p>
          <w:p>
            <w:pPr>
              <w:tabs>
                <w:tab w:val="left" w:pos="1080" w:leader="none"/>
              </w:tabs>
              <w:rPr>
                <w:sz w:val="24"/>
              </w:rPr>
            </w:pPr>
            <w:r>
              <w:rPr>
                <w:sz w:val="24"/>
              </w:rPr>
            </w:r>
            <w:r/>
          </w:p>
          <w:p>
            <w:pPr>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p>
          <w:p>
            <w:pPr>
              <w:tabs>
                <w:tab w:val="left" w:pos="1080" w:leader="none"/>
              </w:tabs>
              <w:rPr>
                <w:sz w:val="24"/>
              </w:rPr>
            </w:pPr>
            <w:r>
              <w:rPr>
                <w:rFonts w:hint="eastAsia"/>
                <w:sz w:val="24"/>
              </w:rPr>
              <w:t xml:space="preserve">注2：</w:t>
            </w:r>
            <w:r>
              <w:rPr>
                <w:sz w:val="24"/>
              </w:rPr>
              <w:t xml:space="preserve">残疾人福利性单位须按招标文件要求提供《残疾人福利性单位声明函》。</w:t>
            </w:r>
            <w:r/>
          </w:p>
        </w:tc>
        <w:tc>
          <w:tcPr>
            <w:tcW w:w="1755" w:type="dxa"/>
            <w:vAlign w:val="center"/>
            <w:textDirection w:val="lrTb"/>
            <w:noWrap/>
          </w:tcPr>
          <w:p>
            <w:pPr>
              <w:tabs>
                <w:tab w:val="left" w:pos="1080" w:leader="none"/>
              </w:tabs>
              <w:rPr>
                <w:sz w:val="24"/>
              </w:rPr>
            </w:pPr>
            <w:r>
              <w:rPr>
                <w:sz w:val="24"/>
              </w:rPr>
              <w:t xml:space="preserve">格式见《投标文件格式》</w:t>
            </w:r>
            <w:r/>
          </w:p>
        </w:tc>
      </w:tr>
      <w:tr>
        <w:trPr>
          <w:cantSplit/>
        </w:trPr>
        <w:tc>
          <w:tcPr>
            <w:tcW w:w="907" w:type="dxa"/>
            <w:vAlign w:val="center"/>
            <w:textDirection w:val="lrTb"/>
            <w:noWrap/>
          </w:tcPr>
          <w:p>
            <w:pPr>
              <w:jc w:val="center"/>
              <w:tabs>
                <w:tab w:val="left" w:pos="1080" w:leader="none"/>
              </w:tabs>
              <w:rPr>
                <w:sz w:val="24"/>
              </w:rPr>
            </w:pPr>
            <w:r>
              <w:rPr>
                <w:sz w:val="24"/>
              </w:rPr>
              <w:t xml:space="preserve">2-3</w:t>
            </w:r>
            <w:r/>
          </w:p>
        </w:tc>
        <w:tc>
          <w:tcPr>
            <w:tcW w:w="2126" w:type="dxa"/>
            <w:vAlign w:val="center"/>
            <w:textDirection w:val="lrTb"/>
            <w:noWrap/>
          </w:tcPr>
          <w:p>
            <w:pPr>
              <w:tabs>
                <w:tab w:val="left" w:pos="1080" w:leader="none"/>
              </w:tabs>
              <w:rPr>
                <w:sz w:val="24"/>
              </w:rPr>
            </w:pPr>
            <w:r>
              <w:rPr>
                <w:sz w:val="24"/>
              </w:rPr>
              <w:t xml:space="preserve">其它落实政府采购政策的资格要求</w:t>
            </w:r>
            <w:r/>
          </w:p>
        </w:tc>
        <w:tc>
          <w:tcPr>
            <w:tcW w:w="5170" w:type="dxa"/>
            <w:vAlign w:val="center"/>
            <w:textDirection w:val="lrTb"/>
            <w:noWrap/>
          </w:tcPr>
          <w:p>
            <w:pPr>
              <w:tabs>
                <w:tab w:val="left" w:pos="1080" w:leader="none"/>
              </w:tabs>
              <w:rPr>
                <w:sz w:val="24"/>
              </w:rPr>
            </w:pPr>
            <w:r>
              <w:rPr>
                <w:sz w:val="24"/>
              </w:rPr>
              <w:t xml:space="preserve">如有，见第一章《投标邀请》</w:t>
            </w:r>
            <w:r/>
          </w:p>
        </w:tc>
        <w:tc>
          <w:tcPr>
            <w:tcW w:w="1755" w:type="dxa"/>
            <w:vAlign w:val="center"/>
            <w:textDirection w:val="lrTb"/>
            <w:noWrap/>
          </w:tcPr>
          <w:p>
            <w:pPr>
              <w:tabs>
                <w:tab w:val="left" w:pos="1080" w:leader="none"/>
              </w:tabs>
              <w:rPr>
                <w:sz w:val="24"/>
              </w:rPr>
            </w:pPr>
            <w:r>
              <w:rPr>
                <w:sz w:val="24"/>
              </w:rPr>
              <w:t xml:space="preserve">提供证明文件的电子件或电子证照</w:t>
            </w:r>
            <w:r/>
          </w:p>
        </w:tc>
      </w:tr>
      <w:tr>
        <w:trPr>
          <w:cantSplit/>
        </w:trPr>
        <w:tc>
          <w:tcPr>
            <w:tcW w:w="907" w:type="dxa"/>
            <w:vAlign w:val="center"/>
            <w:textDirection w:val="lrTb"/>
            <w:noWrap/>
          </w:tcPr>
          <w:p>
            <w:pPr>
              <w:jc w:val="center"/>
              <w:tabs>
                <w:tab w:val="left" w:pos="1080" w:leader="none"/>
              </w:tabs>
              <w:rPr>
                <w:sz w:val="24"/>
              </w:rPr>
            </w:pPr>
            <w:r>
              <w:rPr>
                <w:sz w:val="24"/>
              </w:rPr>
              <w:t xml:space="preserve">3</w:t>
            </w:r>
            <w:r/>
          </w:p>
        </w:tc>
        <w:tc>
          <w:tcPr>
            <w:tcW w:w="2126" w:type="dxa"/>
            <w:vAlign w:val="center"/>
            <w:textDirection w:val="lrTb"/>
            <w:noWrap/>
          </w:tcPr>
          <w:p>
            <w:pPr>
              <w:tabs>
                <w:tab w:val="left" w:pos="1080" w:leader="none"/>
              </w:tabs>
              <w:rPr>
                <w:sz w:val="24"/>
              </w:rPr>
            </w:pPr>
            <w:r>
              <w:rPr>
                <w:sz w:val="24"/>
              </w:rPr>
              <w:t xml:space="preserve">本项目的特定资格要求</w:t>
            </w:r>
            <w:r/>
          </w:p>
        </w:tc>
        <w:tc>
          <w:tcPr>
            <w:tcW w:w="5170" w:type="dxa"/>
            <w:vAlign w:val="center"/>
            <w:textDirection w:val="lrTb"/>
            <w:noWrap/>
          </w:tcPr>
          <w:p>
            <w:pPr>
              <w:tabs>
                <w:tab w:val="left" w:pos="1080" w:leader="none"/>
              </w:tabs>
              <w:rPr>
                <w:sz w:val="24"/>
              </w:rPr>
            </w:pPr>
            <w:r>
              <w:rPr>
                <w:sz w:val="24"/>
              </w:rPr>
              <w:t xml:space="preserve">如有，见第一章《投标邀请》</w:t>
            </w:r>
            <w:r/>
          </w:p>
        </w:tc>
        <w:tc>
          <w:tcPr>
            <w:tcW w:w="1755" w:type="dxa"/>
            <w:vAlign w:val="center"/>
            <w:textDirection w:val="lrTb"/>
            <w:noWrap/>
          </w:tcPr>
          <w:p>
            <w:pPr>
              <w:tabs>
                <w:tab w:val="left" w:pos="1080" w:leader="none"/>
              </w:tabs>
              <w:rPr>
                <w:sz w:val="24"/>
              </w:rPr>
            </w:pPr>
            <w:r>
              <w:rPr>
                <w:sz w:val="24"/>
              </w:rPr>
            </w:r>
            <w:r/>
          </w:p>
        </w:tc>
      </w:tr>
      <w:tr>
        <w:trPr>
          <w:cantSplit/>
        </w:trPr>
        <w:tc>
          <w:tcPr>
            <w:tcW w:w="907" w:type="dxa"/>
            <w:vAlign w:val="center"/>
            <w:textDirection w:val="lrTb"/>
            <w:noWrap/>
          </w:tcPr>
          <w:p>
            <w:pPr>
              <w:jc w:val="center"/>
              <w:tabs>
                <w:tab w:val="left" w:pos="1080" w:leader="none"/>
              </w:tabs>
              <w:rPr>
                <w:sz w:val="24"/>
              </w:rPr>
            </w:pPr>
            <w:r>
              <w:rPr>
                <w:sz w:val="24"/>
              </w:rPr>
              <w:t xml:space="preserve">3-2</w:t>
            </w:r>
            <w:r/>
          </w:p>
        </w:tc>
        <w:tc>
          <w:tcPr>
            <w:tcW w:w="2126" w:type="dxa"/>
            <w:vAlign w:val="center"/>
            <w:textDirection w:val="lrTb"/>
            <w:noWrap/>
          </w:tcPr>
          <w:p>
            <w:pPr>
              <w:tabs>
                <w:tab w:val="left" w:pos="1080" w:leader="none"/>
              </w:tabs>
              <w:rPr>
                <w:sz w:val="24"/>
              </w:rPr>
            </w:pPr>
            <w:r>
              <w:rPr>
                <w:sz w:val="24"/>
              </w:rPr>
              <w:t xml:space="preserve">其他特定资格要求</w:t>
            </w:r>
            <w:r/>
          </w:p>
        </w:tc>
        <w:tc>
          <w:tcPr>
            <w:tcW w:w="5170" w:type="dxa"/>
            <w:vAlign w:val="center"/>
            <w:textDirection w:val="lrTb"/>
            <w:noWrap/>
          </w:tcPr>
          <w:p>
            <w:pPr>
              <w:tabs>
                <w:tab w:val="left" w:pos="1080" w:leader="none"/>
              </w:tabs>
              <w:rPr>
                <w:sz w:val="24"/>
              </w:rPr>
            </w:pPr>
            <w:r>
              <w:rPr>
                <w:color w:val="000000"/>
                <w:sz w:val="24"/>
              </w:rPr>
              <w:t xml:space="preserve">如有，见</w:t>
            </w:r>
            <w:r>
              <w:rPr>
                <w:sz w:val="24"/>
              </w:rPr>
              <w:t xml:space="preserve">第一章《投标邀请》</w:t>
            </w:r>
            <w:r/>
          </w:p>
        </w:tc>
        <w:tc>
          <w:tcPr>
            <w:tcW w:w="1755" w:type="dxa"/>
            <w:vAlign w:val="center"/>
            <w:textDirection w:val="lrTb"/>
            <w:noWrap/>
          </w:tcPr>
          <w:p>
            <w:pPr>
              <w:tabs>
                <w:tab w:val="left" w:pos="1080" w:leader="none"/>
              </w:tabs>
              <w:rPr>
                <w:sz w:val="24"/>
              </w:rPr>
            </w:pPr>
            <w:r>
              <w:rPr>
                <w:sz w:val="24"/>
              </w:rPr>
              <w:t xml:space="preserve">提供证明文件的电子件或电子证照</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4"/>
            <w:r/>
          </w:p>
        </w:tc>
      </w:tr>
    </w:tbl>
    <w:p>
      <w:pPr>
        <w:jc w:val="left"/>
        <w:widowControl/>
        <w:rPr>
          <w:sz w:val="24"/>
        </w:rPr>
      </w:pPr>
      <w:r/>
      <w:bookmarkStart w:id="727" w:name="_Toc127161490"/>
      <w:r/>
      <w:bookmarkStart w:id="728" w:name="_Toc127151779"/>
      <w:r/>
      <w:bookmarkStart w:id="729" w:name="_Toc353873940"/>
      <w:r/>
      <w:bookmarkStart w:id="730" w:name="_Toc226965858"/>
      <w:r/>
      <w:bookmarkStart w:id="731" w:name="_Toc353825550"/>
      <w:r>
        <w:rPr>
          <w:sz w:val="24"/>
        </w:rPr>
        <w:br w:type="page" w:clear="all"/>
      </w:r>
      <w:r/>
    </w:p>
    <w:p>
      <w:pPr>
        <w:jc w:val="center"/>
        <w:spacing w:line="360" w:lineRule="auto"/>
        <w:rPr>
          <w:b/>
          <w:sz w:val="36"/>
          <w:szCs w:val="36"/>
        </w:rPr>
        <w:outlineLvl w:val="0"/>
      </w:pPr>
      <w:r/>
      <w:bookmarkStart w:id="732" w:name="_Toc99301423"/>
      <w:r>
        <w:rPr>
          <w:b/>
          <w:sz w:val="36"/>
          <w:szCs w:val="36"/>
        </w:rPr>
        <w:t xml:space="preserve">第四章   </w:t>
      </w:r>
      <w:bookmarkEnd w:id="727"/>
      <w:r/>
      <w:bookmarkEnd w:id="728"/>
      <w:r/>
      <w:bookmarkEnd w:id="729"/>
      <w:r/>
      <w:bookmarkEnd w:id="730"/>
      <w:r/>
      <w:bookmarkEnd w:id="731"/>
      <w:r/>
      <w:bookmarkStart w:id="733" w:name="_Hlt164229061"/>
      <w:r/>
      <w:bookmarkEnd w:id="733"/>
      <w:r>
        <w:rPr>
          <w:b/>
          <w:sz w:val="36"/>
          <w:szCs w:val="36"/>
        </w:rPr>
        <w:t xml:space="preserve">评标程序、评标方法和评标标准</w:t>
      </w:r>
      <w:bookmarkEnd w:id="732"/>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2"/>
        </w:numPr>
        <w:spacing w:line="360" w:lineRule="auto"/>
        <w:tabs>
          <w:tab w:val="left" w:pos="360" w:leader="none"/>
        </w:tabs>
        <w:rPr>
          <w:sz w:val="24"/>
        </w:rPr>
        <w:outlineLvl w:val="1"/>
      </w:pPr>
      <w:r/>
      <w:bookmarkStart w:id="734" w:name="_Toc226965731"/>
      <w:r/>
      <w:bookmarkStart w:id="735" w:name="_Toc150480779"/>
      <w:r/>
      <w:bookmarkStart w:id="736" w:name="_Toc151190168"/>
      <w:r/>
      <w:bookmarkStart w:id="737" w:name="_Toc149720834"/>
      <w:r/>
      <w:bookmarkStart w:id="738" w:name="_Toc164608655"/>
      <w:r/>
      <w:bookmarkStart w:id="739" w:name="_Toc127151742"/>
      <w:r/>
      <w:bookmarkStart w:id="740" w:name="_Toc264969231"/>
      <w:r/>
      <w:bookmarkStart w:id="741" w:name="_Toc150774641"/>
      <w:r/>
      <w:bookmarkStart w:id="742" w:name="_Toc150509292"/>
      <w:r/>
      <w:bookmarkStart w:id="743" w:name="_Toc164351635"/>
      <w:r/>
      <w:bookmarkStart w:id="744" w:name="_Toc226337237"/>
      <w:r/>
      <w:bookmarkStart w:id="745" w:name="_Toc151193855"/>
      <w:r/>
      <w:bookmarkStart w:id="746" w:name="_Toc226309785"/>
      <w:r/>
      <w:bookmarkStart w:id="747" w:name="_Toc127151541"/>
      <w:r/>
      <w:bookmarkStart w:id="748" w:name="_Toc226965814"/>
      <w:r/>
      <w:bookmarkStart w:id="749" w:name="_Toc164229382"/>
      <w:r/>
      <w:bookmarkStart w:id="750" w:name="_Toc151193783"/>
      <w:r/>
      <w:bookmarkStart w:id="751" w:name="_Toc265228379"/>
      <w:r/>
      <w:bookmarkStart w:id="752" w:name="_Toc164229236"/>
      <w:r/>
      <w:bookmarkStart w:id="753" w:name="_Toc150774746"/>
      <w:r/>
      <w:bookmarkStart w:id="754" w:name="_Toc127161455"/>
      <w:r/>
      <w:bookmarkStart w:id="755" w:name="_Toc151193639"/>
      <w:r/>
      <w:bookmarkStart w:id="756" w:name="_Toc305158809"/>
      <w:r/>
      <w:bookmarkStart w:id="757" w:name="_Toc142311043"/>
      <w:r/>
      <w:bookmarkStart w:id="758" w:name="_Toc151193711"/>
      <w:r/>
      <w:bookmarkStart w:id="759" w:name="_Toc164608810"/>
      <w:r/>
      <w:bookmarkStart w:id="760" w:name="_Toc151193929"/>
      <w:r/>
      <w:bookmarkStart w:id="761" w:name="_Toc195842906"/>
      <w:r/>
      <w:bookmarkStart w:id="762" w:name="_Toc305158883"/>
      <w:r/>
      <w:bookmarkStart w:id="763" w:name="_Toc353825551"/>
      <w:r/>
      <w:bookmarkStart w:id="764" w:name="_Toc353873941"/>
      <w:r/>
      <w:bookmarkStart w:id="765" w:name="_Toc226337251"/>
      <w:r/>
      <w:bookmarkStart w:id="766" w:name="_Toc150774760"/>
      <w:r/>
      <w:bookmarkStart w:id="767" w:name="_Toc127151555"/>
      <w:r/>
      <w:bookmarkStart w:id="768" w:name="_Toc353825545"/>
      <w:r/>
      <w:bookmarkStart w:id="769" w:name="_Toc195842920"/>
      <w:r/>
      <w:bookmarkStart w:id="770" w:name="_Toc305158823"/>
      <w:r/>
      <w:bookmarkStart w:id="771" w:name="_Toc226965828"/>
      <w:r/>
      <w:bookmarkStart w:id="772" w:name="_Toc353873935"/>
      <w:r/>
      <w:bookmarkStart w:id="773" w:name="_Toc264969245"/>
      <w:r/>
      <w:bookmarkStart w:id="774" w:name="_Toc265228393"/>
      <w:r/>
      <w:bookmarkStart w:id="775" w:name="_Toc150480793"/>
      <w:r/>
      <w:bookmarkStart w:id="776" w:name="_Toc353873665"/>
      <w:r/>
      <w:bookmarkStart w:id="777" w:name="_Toc305158897"/>
      <w:r/>
      <w:bookmarkStart w:id="778" w:name="_Toc142311057"/>
      <w:r>
        <w:rPr>
          <w:sz w:val="24"/>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numPr>
          <w:ilvl w:val="1"/>
          <w:numId w:val="12"/>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79" w:name="_Toc520356167"/>
      <w:r/>
      <w:r/>
    </w:p>
    <w:p>
      <w:pPr>
        <w:numPr>
          <w:ilvl w:val="1"/>
          <w:numId w:val="12"/>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tbl>
      <w:tblPr>
        <w:tblStyle w:val="96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1923"/>
        <w:gridCol w:w="7139"/>
      </w:tblGrid>
      <w:tr>
        <w:trPr>
          <w:jc w:val="center"/>
          <w:trHeight w:val="300"/>
        </w:trPr>
        <w:tc>
          <w:tcPr>
            <w:tcW w:w="399" w:type="dxa"/>
            <w:vAlign w:val="center"/>
            <w:textDirection w:val="lrTb"/>
            <w:noWrap/>
          </w:tcPr>
          <w:p>
            <w:pPr>
              <w:jc w:val="center"/>
              <w:widowControl/>
              <w:rPr>
                <w:b/>
                <w:color w:val="000000"/>
                <w:sz w:val="24"/>
              </w:rPr>
            </w:pPr>
            <w:r>
              <w:rPr>
                <w:b/>
                <w:color w:val="000000"/>
                <w:sz w:val="24"/>
              </w:rPr>
              <w:t xml:space="preserve">序号</w:t>
            </w:r>
            <w:r/>
          </w:p>
        </w:tc>
        <w:tc>
          <w:tcPr>
            <w:tcW w:w="976" w:type="dxa"/>
            <w:vAlign w:val="center"/>
            <w:textDirection w:val="lrTb"/>
            <w:noWrap/>
          </w:tcPr>
          <w:p>
            <w:pPr>
              <w:jc w:val="center"/>
              <w:widowControl/>
              <w:rPr>
                <w:b/>
                <w:color w:val="000000"/>
                <w:sz w:val="24"/>
              </w:rPr>
            </w:pPr>
            <w:r>
              <w:rPr>
                <w:b/>
                <w:color w:val="000000"/>
                <w:sz w:val="24"/>
              </w:rPr>
              <w:t xml:space="preserve">审查因素</w:t>
            </w:r>
            <w:r/>
          </w:p>
        </w:tc>
        <w:tc>
          <w:tcPr>
            <w:tcW w:w="3623" w:type="dxa"/>
            <w:vAlign w:val="center"/>
            <w:textDirection w:val="lrTb"/>
            <w:noWrap/>
          </w:tcPr>
          <w:p>
            <w:pPr>
              <w:jc w:val="center"/>
              <w:widowControl/>
              <w:rPr>
                <w:b/>
                <w:color w:val="000000"/>
                <w:sz w:val="24"/>
              </w:rPr>
            </w:pPr>
            <w:r>
              <w:rPr>
                <w:b/>
                <w:color w:val="000000"/>
                <w:sz w:val="24"/>
              </w:rPr>
              <w:t xml:space="preserve">审查内容</w:t>
            </w:r>
            <w:r/>
          </w:p>
        </w:tc>
      </w:tr>
      <w:tr>
        <w:trPr>
          <w:jc w:val="center"/>
          <w:trHeight w:val="685"/>
        </w:trPr>
        <w:tc>
          <w:tcPr>
            <w:tcW w:w="399" w:type="dxa"/>
            <w:vAlign w:val="center"/>
            <w:textDirection w:val="lrTb"/>
            <w:noWrap/>
          </w:tcPr>
          <w:p>
            <w:pPr>
              <w:jc w:val="center"/>
              <w:widowControl/>
              <w:rPr>
                <w:color w:val="000000"/>
                <w:sz w:val="24"/>
              </w:rPr>
            </w:pPr>
            <w:r>
              <w:rPr>
                <w:color w:val="000000"/>
                <w:sz w:val="24"/>
              </w:rPr>
              <w:t xml:space="preserve">1</w:t>
            </w:r>
            <w:r/>
          </w:p>
        </w:tc>
        <w:tc>
          <w:tcPr>
            <w:tcW w:w="976" w:type="dxa"/>
            <w:vAlign w:val="center"/>
            <w:textDirection w:val="lrTb"/>
            <w:noWrap/>
          </w:tcPr>
          <w:p>
            <w:pPr>
              <w:jc w:val="left"/>
              <w:widowControl/>
              <w:rPr>
                <w:color w:val="000000"/>
                <w:sz w:val="24"/>
              </w:rPr>
            </w:pPr>
            <w:r>
              <w:rPr>
                <w:rFonts w:hint="eastAsia"/>
                <w:color w:val="000000"/>
                <w:sz w:val="24"/>
              </w:rPr>
              <w:t xml:space="preserve">投标函、法定代表人资格证明书和政府采购供应商信用承诺书</w:t>
            </w:r>
            <w:r/>
          </w:p>
        </w:tc>
        <w:tc>
          <w:tcPr>
            <w:tcW w:w="3623" w:type="dxa"/>
            <w:vAlign w:val="center"/>
            <w:textDirection w:val="lrTb"/>
            <w:noWrap/>
          </w:tcPr>
          <w:p>
            <w:pPr>
              <w:jc w:val="left"/>
              <w:widowControl/>
              <w:rPr>
                <w:color w:val="000000"/>
                <w:sz w:val="24"/>
              </w:rPr>
            </w:pPr>
            <w:r>
              <w:rPr>
                <w:color w:val="000000"/>
                <w:sz w:val="24"/>
              </w:rPr>
              <w:t xml:space="preserve">按招标文件要求提供</w:t>
            </w:r>
            <w:r>
              <w:rPr>
                <w:rFonts w:hint="eastAsia"/>
                <w:color w:val="000000"/>
                <w:sz w:val="24"/>
              </w:rPr>
              <w:t xml:space="preserve">投标函、法定代表人资格证明书和政府采购供应商信用承诺书</w:t>
            </w:r>
            <w:r>
              <w:rPr>
                <w:color w:val="000000"/>
                <w:sz w:val="24"/>
              </w:rPr>
              <w:t xml:space="preserve">；</w:t>
            </w:r>
            <w:r/>
          </w:p>
        </w:tc>
      </w:tr>
      <w:tr>
        <w:trPr>
          <w:jc w:val="center"/>
          <w:trHeight w:val="685"/>
        </w:trPr>
        <w:tc>
          <w:tcPr>
            <w:tcW w:w="399" w:type="dxa"/>
            <w:vAlign w:val="center"/>
            <w:textDirection w:val="lrTb"/>
            <w:noWrap/>
          </w:tcPr>
          <w:p>
            <w:pPr>
              <w:jc w:val="center"/>
              <w:widowControl/>
              <w:rPr>
                <w:color w:val="000000"/>
                <w:sz w:val="24"/>
              </w:rPr>
            </w:pPr>
            <w:r>
              <w:rPr>
                <w:color w:val="000000"/>
                <w:sz w:val="24"/>
              </w:rPr>
              <w:t xml:space="preserve">2</w:t>
            </w:r>
            <w:r/>
          </w:p>
        </w:tc>
        <w:tc>
          <w:tcPr>
            <w:tcW w:w="976" w:type="dxa"/>
            <w:vAlign w:val="center"/>
            <w:textDirection w:val="lrTb"/>
            <w:noWrap/>
          </w:tcPr>
          <w:p>
            <w:pPr>
              <w:jc w:val="left"/>
              <w:widowControl/>
              <w:rPr>
                <w:color w:val="000000"/>
                <w:sz w:val="24"/>
              </w:rPr>
            </w:pPr>
            <w:r>
              <w:rPr>
                <w:color w:val="000000"/>
                <w:sz w:val="24"/>
              </w:rPr>
              <w:t xml:space="preserve">投标完整性</w:t>
            </w:r>
            <w:r/>
          </w:p>
        </w:tc>
        <w:tc>
          <w:tcPr>
            <w:tcW w:w="3623" w:type="dxa"/>
            <w:vAlign w:val="center"/>
            <w:textDirection w:val="lrTb"/>
            <w:noWrap/>
          </w:tcPr>
          <w:p>
            <w:pPr>
              <w:jc w:val="left"/>
              <w:widowControl/>
              <w:rPr>
                <w:color w:val="000000"/>
                <w:sz w:val="24"/>
              </w:rPr>
            </w:pPr>
            <w:r>
              <w:rPr>
                <w:rFonts w:hint="eastAsia"/>
                <w:sz w:val="24"/>
              </w:rPr>
              <w:t xml:space="preserve">未</w:t>
            </w:r>
            <w:r>
              <w:rPr>
                <w:sz w:val="24"/>
              </w:rPr>
              <w:t xml:space="preserve">将一个采购包中的内容拆开投标；</w:t>
            </w:r>
            <w:r/>
          </w:p>
        </w:tc>
      </w:tr>
      <w:tr>
        <w:trPr>
          <w:jc w:val="center"/>
          <w:trHeight w:val="685"/>
        </w:trPr>
        <w:tc>
          <w:tcPr>
            <w:tcW w:w="399" w:type="dxa"/>
            <w:vAlign w:val="center"/>
            <w:textDirection w:val="lrTb"/>
            <w:noWrap/>
          </w:tcPr>
          <w:p>
            <w:pPr>
              <w:jc w:val="center"/>
              <w:widowControl/>
              <w:rPr>
                <w:color w:val="000000"/>
                <w:sz w:val="24"/>
              </w:rPr>
            </w:pPr>
            <w:r>
              <w:rPr>
                <w:color w:val="000000"/>
                <w:sz w:val="24"/>
              </w:rPr>
              <w:t xml:space="preserve">3</w:t>
            </w:r>
            <w:r/>
          </w:p>
        </w:tc>
        <w:tc>
          <w:tcPr>
            <w:tcW w:w="976" w:type="dxa"/>
            <w:vAlign w:val="center"/>
            <w:textDirection w:val="lrTb"/>
            <w:noWrap/>
          </w:tcPr>
          <w:p>
            <w:pPr>
              <w:jc w:val="left"/>
              <w:widowControl/>
              <w:rPr>
                <w:color w:val="000000"/>
                <w:sz w:val="24"/>
              </w:rPr>
            </w:pPr>
            <w:r>
              <w:rPr>
                <w:color w:val="000000"/>
                <w:sz w:val="24"/>
              </w:rPr>
              <w:t xml:space="preserve">投标报价</w:t>
            </w:r>
            <w:r/>
          </w:p>
        </w:tc>
        <w:tc>
          <w:tcPr>
            <w:tcW w:w="3623" w:type="dxa"/>
            <w:vAlign w:val="center"/>
            <w:textDirection w:val="lrTb"/>
            <w:noWrap/>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p>
        </w:tc>
      </w:tr>
      <w:tr>
        <w:trPr>
          <w:jc w:val="center"/>
          <w:trHeight w:val="685"/>
        </w:trPr>
        <w:tc>
          <w:tcPr>
            <w:tcW w:w="399" w:type="dxa"/>
            <w:vAlign w:val="center"/>
            <w:textDirection w:val="lrTb"/>
            <w:noWrap/>
          </w:tcPr>
          <w:p>
            <w:pPr>
              <w:jc w:val="center"/>
              <w:widowControl/>
              <w:rPr>
                <w:color w:val="000000"/>
                <w:sz w:val="24"/>
              </w:rPr>
            </w:pPr>
            <w:r>
              <w:rPr>
                <w:color w:val="000000"/>
                <w:sz w:val="24"/>
              </w:rPr>
              <w:t xml:space="preserve">4</w:t>
            </w:r>
            <w:r/>
          </w:p>
        </w:tc>
        <w:tc>
          <w:tcPr>
            <w:tcW w:w="976" w:type="dxa"/>
            <w:vAlign w:val="center"/>
            <w:textDirection w:val="lrTb"/>
            <w:noWrap/>
          </w:tcPr>
          <w:p>
            <w:pPr>
              <w:jc w:val="left"/>
              <w:widowControl/>
              <w:rPr>
                <w:color w:val="000000"/>
                <w:sz w:val="24"/>
              </w:rPr>
            </w:pPr>
            <w:r>
              <w:rPr>
                <w:color w:val="000000"/>
                <w:sz w:val="24"/>
              </w:rPr>
              <w:t xml:space="preserve">报价唯一性</w:t>
            </w:r>
            <w:r/>
          </w:p>
        </w:tc>
        <w:tc>
          <w:tcPr>
            <w:tcW w:w="3623" w:type="dxa"/>
            <w:vAlign w:val="center"/>
            <w:textDirection w:val="lrTb"/>
            <w:noWrap/>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p>
        </w:tc>
      </w:tr>
      <w:tr>
        <w:trPr>
          <w:jc w:val="center"/>
          <w:trHeight w:val="685"/>
        </w:trPr>
        <w:tc>
          <w:tcPr>
            <w:tcW w:w="399" w:type="dxa"/>
            <w:vAlign w:val="center"/>
            <w:textDirection w:val="lrTb"/>
            <w:noWrap/>
          </w:tcPr>
          <w:p>
            <w:pPr>
              <w:jc w:val="center"/>
              <w:widowControl/>
              <w:rPr>
                <w:color w:val="000000"/>
                <w:sz w:val="24"/>
              </w:rPr>
            </w:pPr>
            <w:r>
              <w:rPr>
                <w:color w:val="000000"/>
                <w:sz w:val="24"/>
              </w:rPr>
              <w:t xml:space="preserve">5</w:t>
            </w:r>
            <w:r/>
          </w:p>
        </w:tc>
        <w:tc>
          <w:tcPr>
            <w:tcW w:w="976" w:type="dxa"/>
            <w:vAlign w:val="center"/>
            <w:textDirection w:val="lrTb"/>
            <w:noWrap/>
          </w:tcPr>
          <w:p>
            <w:pPr>
              <w:jc w:val="left"/>
              <w:widowControl/>
              <w:rPr>
                <w:color w:val="000000"/>
                <w:sz w:val="24"/>
              </w:rPr>
            </w:pPr>
            <w:r>
              <w:rPr>
                <w:color w:val="000000"/>
                <w:sz w:val="24"/>
              </w:rPr>
              <w:t xml:space="preserve">投标有效期</w:t>
            </w:r>
            <w:r/>
          </w:p>
        </w:tc>
        <w:tc>
          <w:tcPr>
            <w:tcW w:w="3623" w:type="dxa"/>
            <w:vAlign w:val="center"/>
            <w:textDirection w:val="lrTb"/>
            <w:noWrap/>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r>
      <w:tr>
        <w:trPr>
          <w:jc w:val="center"/>
          <w:trHeight w:val="685"/>
        </w:trPr>
        <w:tc>
          <w:tcPr>
            <w:tcW w:w="399" w:type="dxa"/>
            <w:vAlign w:val="center"/>
            <w:textDirection w:val="lrTb"/>
            <w:noWrap/>
          </w:tcPr>
          <w:p>
            <w:pPr>
              <w:jc w:val="center"/>
              <w:widowControl/>
              <w:rPr>
                <w:color w:val="000000"/>
                <w:sz w:val="24"/>
              </w:rPr>
            </w:pPr>
            <w:r>
              <w:rPr>
                <w:color w:val="000000"/>
                <w:sz w:val="24"/>
              </w:rPr>
              <w:t xml:space="preserve">6</w:t>
            </w:r>
            <w:r/>
          </w:p>
        </w:tc>
        <w:tc>
          <w:tcPr>
            <w:tcW w:w="976" w:type="dxa"/>
            <w:vAlign w:val="center"/>
            <w:textDirection w:val="lrTb"/>
            <w:noWrap/>
          </w:tcPr>
          <w:p>
            <w:pPr>
              <w:jc w:val="left"/>
              <w:widowControl/>
              <w:rPr>
                <w:color w:val="000000"/>
                <w:sz w:val="24"/>
              </w:rPr>
            </w:pPr>
            <w:r>
              <w:rPr>
                <w:color w:val="000000"/>
                <w:sz w:val="24"/>
              </w:rPr>
              <w:t xml:space="preserve">签署、加盖公章</w:t>
            </w:r>
            <w:r/>
          </w:p>
        </w:tc>
        <w:tc>
          <w:tcPr>
            <w:tcW w:w="3623" w:type="dxa"/>
            <w:vAlign w:val="center"/>
            <w:textDirection w:val="lrTb"/>
            <w:noWrap/>
          </w:tcPr>
          <w:p>
            <w:pPr>
              <w:jc w:val="left"/>
              <w:widowControl/>
              <w:rPr>
                <w:color w:val="000000"/>
                <w:sz w:val="24"/>
              </w:rPr>
            </w:pPr>
            <w:r>
              <w:rPr>
                <w:color w:val="000000"/>
                <w:sz w:val="24"/>
              </w:rPr>
              <w:t xml:space="preserve">按照招标文件要求签署、加盖公章的；</w:t>
            </w:r>
            <w:r/>
          </w:p>
        </w:tc>
      </w:tr>
      <w:tr>
        <w:trPr>
          <w:jc w:val="center"/>
          <w:trHeight w:val="685"/>
        </w:trPr>
        <w:tc>
          <w:tcPr>
            <w:tcW w:w="399" w:type="dxa"/>
            <w:vAlign w:val="center"/>
            <w:textDirection w:val="lrTb"/>
            <w:noWrap/>
          </w:tcPr>
          <w:p>
            <w:pPr>
              <w:jc w:val="center"/>
              <w:widowControl/>
              <w:rPr>
                <w:color w:val="000000"/>
                <w:sz w:val="24"/>
              </w:rPr>
            </w:pPr>
            <w:r>
              <w:rPr>
                <w:rFonts w:hint="eastAsia"/>
                <w:color w:val="000000"/>
                <w:sz w:val="24"/>
              </w:rPr>
              <w:t xml:space="preserve">7</w:t>
            </w:r>
            <w:r/>
          </w:p>
        </w:tc>
        <w:tc>
          <w:tcPr>
            <w:tcW w:w="976" w:type="dxa"/>
            <w:vAlign w:val="center"/>
            <w:textDirection w:val="lrTb"/>
            <w:noWrap/>
          </w:tcPr>
          <w:p>
            <w:pPr>
              <w:jc w:val="left"/>
              <w:widowControl/>
              <w:rPr>
                <w:color w:val="000000"/>
                <w:sz w:val="24"/>
              </w:rPr>
            </w:pPr>
            <w:r>
              <w:rPr>
                <w:rFonts w:hint="eastAsia"/>
                <w:color w:val="000000"/>
                <w:sz w:val="24"/>
              </w:rPr>
              <w:t xml:space="preserve">实质性格式</w:t>
            </w:r>
            <w:r/>
          </w:p>
        </w:tc>
        <w:tc>
          <w:tcPr>
            <w:tcW w:w="3623" w:type="dxa"/>
            <w:vAlign w:val="center"/>
            <w:textDirection w:val="lrTb"/>
            <w:noWrap/>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399" w:type="dxa"/>
            <w:vAlign w:val="center"/>
            <w:textDirection w:val="lrTb"/>
            <w:noWrap/>
          </w:tcPr>
          <w:p>
            <w:pPr>
              <w:jc w:val="center"/>
              <w:widowControl/>
              <w:rPr>
                <w:color w:val="000000"/>
                <w:sz w:val="24"/>
              </w:rPr>
            </w:pPr>
            <w:r>
              <w:rPr>
                <w:color w:val="000000"/>
                <w:sz w:val="24"/>
              </w:rPr>
              <w:t xml:space="preserve">8</w:t>
            </w:r>
            <w:r/>
          </w:p>
        </w:tc>
        <w:tc>
          <w:tcPr>
            <w:tcW w:w="976" w:type="dxa"/>
            <w:vAlign w:val="center"/>
            <w:textDirection w:val="lrTb"/>
            <w:noWrap/>
          </w:tcPr>
          <w:p>
            <w:pPr>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623" w:type="dxa"/>
            <w:vAlign w:val="center"/>
            <w:textDirection w:val="lrTb"/>
            <w:noWrap/>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r>
      <w:tr>
        <w:trPr>
          <w:jc w:val="center"/>
          <w:trHeight w:val="685"/>
        </w:trPr>
        <w:tc>
          <w:tcPr>
            <w:tcW w:w="399" w:type="dxa"/>
            <w:vAlign w:val="center"/>
            <w:textDirection w:val="lrTb"/>
            <w:noWrap/>
          </w:tcPr>
          <w:p>
            <w:pPr>
              <w:jc w:val="center"/>
              <w:widowControl/>
              <w:rPr>
                <w:color w:val="000000"/>
                <w:sz w:val="24"/>
              </w:rPr>
            </w:pPr>
            <w:r>
              <w:rPr>
                <w:color w:val="000000"/>
                <w:sz w:val="24"/>
              </w:rPr>
              <w:t xml:space="preserve">11</w:t>
            </w:r>
            <w:r/>
          </w:p>
        </w:tc>
        <w:tc>
          <w:tcPr>
            <w:tcW w:w="976" w:type="dxa"/>
            <w:vAlign w:val="center"/>
            <w:textDirection w:val="lrTb"/>
            <w:noWrap/>
          </w:tcPr>
          <w:p>
            <w:pPr>
              <w:jc w:val="left"/>
              <w:widowControl/>
              <w:rPr>
                <w:color w:val="000000"/>
                <w:sz w:val="24"/>
              </w:rPr>
            </w:pPr>
            <w:r>
              <w:rPr>
                <w:color w:val="000000"/>
                <w:sz w:val="24"/>
              </w:rPr>
              <w:t xml:space="preserve">报价的修正（如有）</w:t>
            </w:r>
            <w:r/>
          </w:p>
        </w:tc>
        <w:tc>
          <w:tcPr>
            <w:tcW w:w="3623" w:type="dxa"/>
            <w:vAlign w:val="center"/>
            <w:textDirection w:val="lrTb"/>
            <w:noWrap/>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r>
      <w:tr>
        <w:trPr>
          <w:jc w:val="center"/>
          <w:trHeight w:val="685"/>
        </w:trPr>
        <w:tc>
          <w:tcPr>
            <w:tcW w:w="399" w:type="dxa"/>
            <w:vAlign w:val="center"/>
            <w:textDirection w:val="lrTb"/>
            <w:noWrap/>
          </w:tcPr>
          <w:p>
            <w:pPr>
              <w:jc w:val="center"/>
              <w:widowControl/>
              <w:rPr>
                <w:color w:val="000000"/>
                <w:sz w:val="24"/>
              </w:rPr>
            </w:pPr>
            <w:r>
              <w:rPr>
                <w:color w:val="000000"/>
                <w:sz w:val="24"/>
              </w:rPr>
              <w:t xml:space="preserve">12</w:t>
            </w:r>
            <w:r/>
          </w:p>
        </w:tc>
        <w:tc>
          <w:tcPr>
            <w:tcW w:w="976" w:type="dxa"/>
            <w:vAlign w:val="center"/>
            <w:textDirection w:val="lrTb"/>
            <w:noWrap/>
          </w:tcPr>
          <w:p>
            <w:pPr>
              <w:jc w:val="left"/>
              <w:widowControl/>
              <w:rPr>
                <w:color w:val="000000"/>
                <w:sz w:val="24"/>
              </w:rPr>
            </w:pPr>
            <w:r>
              <w:rPr>
                <w:color w:val="000000"/>
                <w:sz w:val="24"/>
              </w:rPr>
              <w:t xml:space="preserve">报价合理性</w:t>
            </w:r>
            <w:r/>
          </w:p>
        </w:tc>
        <w:tc>
          <w:tcPr>
            <w:tcW w:w="3623" w:type="dxa"/>
            <w:vAlign w:val="center"/>
            <w:textDirection w:val="lrTb"/>
            <w:noWrap/>
          </w:tcPr>
          <w:p>
            <w:pPr>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p>
        </w:tc>
      </w:tr>
      <w:tr>
        <w:trPr>
          <w:jc w:val="center"/>
          <w:trHeight w:val="685"/>
        </w:trPr>
        <w:tc>
          <w:tcPr>
            <w:tcW w:w="399" w:type="dxa"/>
            <w:vAlign w:val="center"/>
            <w:textDirection w:val="lrTb"/>
            <w:noWrap/>
          </w:tcPr>
          <w:p>
            <w:pPr>
              <w:jc w:val="center"/>
              <w:widowControl/>
              <w:rPr>
                <w:color w:val="000000"/>
                <w:sz w:val="24"/>
              </w:rPr>
            </w:pPr>
            <w:r>
              <w:rPr>
                <w:color w:val="000000"/>
                <w:sz w:val="24"/>
              </w:rPr>
              <w:t xml:space="preserve">1</w:t>
            </w:r>
            <w:r>
              <w:rPr>
                <w:rFonts w:hint="eastAsia"/>
                <w:color w:val="000000"/>
                <w:sz w:val="24"/>
              </w:rPr>
              <w:t xml:space="preserve">3</w:t>
            </w:r>
            <w:r/>
          </w:p>
        </w:tc>
        <w:tc>
          <w:tcPr>
            <w:tcW w:w="976" w:type="dxa"/>
            <w:vAlign w:val="center"/>
            <w:textDirection w:val="lrTb"/>
            <w:noWrap/>
          </w:tcPr>
          <w:p>
            <w:pPr>
              <w:jc w:val="left"/>
              <w:widowControl/>
              <w:rPr>
                <w:color w:val="000000"/>
                <w:sz w:val="24"/>
              </w:rPr>
            </w:pPr>
            <w:r>
              <w:rPr>
                <w:color w:val="000000"/>
                <w:sz w:val="24"/>
              </w:rPr>
              <w:t xml:space="preserve">公平竞争</w:t>
            </w:r>
            <w:r/>
          </w:p>
        </w:tc>
        <w:tc>
          <w:tcPr>
            <w:tcW w:w="3623" w:type="dxa"/>
            <w:vAlign w:val="center"/>
            <w:textDirection w:val="lrTb"/>
            <w:noWrap/>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399" w:type="dxa"/>
            <w:vAlign w:val="center"/>
            <w:textDirection w:val="lrTb"/>
            <w:noWrap/>
          </w:tcPr>
          <w:p>
            <w:pPr>
              <w:jc w:val="center"/>
              <w:widowControl/>
              <w:rPr>
                <w:color w:val="000000"/>
                <w:sz w:val="24"/>
              </w:rPr>
            </w:pPr>
            <w:r>
              <w:rPr>
                <w:color w:val="000000"/>
                <w:sz w:val="24"/>
              </w:rPr>
              <w:t xml:space="preserve">1</w:t>
            </w:r>
            <w:r>
              <w:rPr>
                <w:rFonts w:hint="eastAsia"/>
                <w:color w:val="000000"/>
                <w:sz w:val="24"/>
              </w:rPr>
              <w:t xml:space="preserve">4</w:t>
            </w:r>
            <w:r/>
          </w:p>
        </w:tc>
        <w:tc>
          <w:tcPr>
            <w:tcW w:w="976" w:type="dxa"/>
            <w:vAlign w:val="center"/>
            <w:textDirection w:val="lrTb"/>
            <w:noWrap/>
          </w:tcPr>
          <w:p>
            <w:pPr>
              <w:jc w:val="left"/>
              <w:widowControl/>
              <w:rPr>
                <w:color w:val="000000"/>
                <w:sz w:val="24"/>
              </w:rPr>
            </w:pPr>
            <w:r>
              <w:rPr>
                <w:color w:val="000000"/>
                <w:sz w:val="24"/>
              </w:rPr>
              <w:t xml:space="preserve">串通投标</w:t>
            </w:r>
            <w:r/>
          </w:p>
        </w:tc>
        <w:tc>
          <w:tcPr>
            <w:tcW w:w="3623" w:type="dxa"/>
            <w:vAlign w:val="center"/>
            <w:textDirection w:val="lrTb"/>
            <w:noWrap/>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p>
        </w:tc>
      </w:tr>
      <w:tr>
        <w:trPr>
          <w:jc w:val="center"/>
          <w:trHeight w:val="685"/>
        </w:trPr>
        <w:tc>
          <w:tcPr>
            <w:tcW w:w="399" w:type="dxa"/>
            <w:vAlign w:val="center"/>
            <w:textDirection w:val="lrTb"/>
            <w:noWrap/>
          </w:tcPr>
          <w:p>
            <w:pPr>
              <w:jc w:val="center"/>
              <w:widowControl/>
              <w:rPr>
                <w:color w:val="000000"/>
                <w:sz w:val="24"/>
              </w:rPr>
            </w:pPr>
            <w:r>
              <w:rPr>
                <w:color w:val="000000"/>
                <w:sz w:val="24"/>
              </w:rPr>
              <w:t xml:space="preserve">1</w:t>
            </w:r>
            <w:r>
              <w:rPr>
                <w:rFonts w:hint="eastAsia"/>
                <w:color w:val="000000"/>
                <w:sz w:val="24"/>
              </w:rPr>
              <w:t xml:space="preserve">5</w:t>
            </w:r>
            <w:r/>
          </w:p>
        </w:tc>
        <w:tc>
          <w:tcPr>
            <w:tcW w:w="976" w:type="dxa"/>
            <w:vAlign w:val="center"/>
            <w:textDirection w:val="lrTb"/>
            <w:noWrap/>
          </w:tcPr>
          <w:p>
            <w:pPr>
              <w:jc w:val="left"/>
              <w:widowControl/>
              <w:rPr>
                <w:color w:val="000000"/>
                <w:sz w:val="24"/>
              </w:rPr>
            </w:pPr>
            <w:r>
              <w:rPr>
                <w:color w:val="000000"/>
                <w:sz w:val="24"/>
              </w:rPr>
              <w:t xml:space="preserve">附加条件</w:t>
            </w:r>
            <w:r/>
          </w:p>
        </w:tc>
        <w:tc>
          <w:tcPr>
            <w:tcW w:w="3623" w:type="dxa"/>
            <w:vAlign w:val="center"/>
            <w:textDirection w:val="lrTb"/>
            <w:noWrap/>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r>
      <w:tr>
        <w:trPr>
          <w:jc w:val="center"/>
          <w:trHeight w:val="685"/>
        </w:trPr>
        <w:tc>
          <w:tcPr>
            <w:tcW w:w="399" w:type="dxa"/>
            <w:vAlign w:val="center"/>
            <w:textDirection w:val="lrTb"/>
            <w:noWrap/>
          </w:tcPr>
          <w:p>
            <w:pPr>
              <w:jc w:val="center"/>
              <w:widowControl/>
              <w:rPr>
                <w:color w:val="000000"/>
                <w:sz w:val="24"/>
              </w:rPr>
            </w:pPr>
            <w:r>
              <w:rPr>
                <w:rFonts w:hint="eastAsia"/>
                <w:color w:val="000000"/>
                <w:sz w:val="24"/>
              </w:rPr>
              <w:t xml:space="preserve">16</w:t>
            </w:r>
            <w:r/>
          </w:p>
        </w:tc>
        <w:tc>
          <w:tcPr>
            <w:tcW w:w="976" w:type="dxa"/>
            <w:vAlign w:val="center"/>
            <w:textDirection w:val="lrTb"/>
            <w:noWrap/>
          </w:tcPr>
          <w:p>
            <w:pPr>
              <w:jc w:val="left"/>
              <w:widowControl/>
              <w:rPr>
                <w:color w:val="000000"/>
                <w:sz w:val="24"/>
              </w:rPr>
            </w:pPr>
            <w:r>
              <w:rPr>
                <w:color w:val="000000"/>
                <w:sz w:val="24"/>
              </w:rPr>
              <w:t xml:space="preserve">其他无效情形</w:t>
            </w:r>
            <w:r/>
          </w:p>
        </w:tc>
        <w:tc>
          <w:tcPr>
            <w:tcW w:w="3623" w:type="dxa"/>
            <w:vAlign w:val="center"/>
            <w:textDirection w:val="lrTb"/>
            <w:noWrap/>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p>
        </w:tc>
      </w:tr>
    </w:tbl>
    <w:p>
      <w:pPr>
        <w:spacing w:line="360" w:lineRule="auto"/>
        <w:tabs>
          <w:tab w:val="left" w:pos="360" w:leader="none"/>
        </w:tabs>
        <w:rPr>
          <w:sz w:val="24"/>
        </w:rPr>
        <w:outlineLvl w:val="1"/>
      </w:pPr>
      <w:r>
        <w:rPr>
          <w:sz w:val="24"/>
        </w:rPr>
      </w:r>
      <w:r/>
    </w:p>
    <w:p>
      <w:pPr>
        <w:numPr>
          <w:ilvl w:val="0"/>
          <w:numId w:val="12"/>
        </w:numPr>
        <w:spacing w:line="360" w:lineRule="auto"/>
        <w:tabs>
          <w:tab w:val="left" w:pos="360" w:leader="none"/>
        </w:tabs>
        <w:rPr>
          <w:sz w:val="24"/>
        </w:rPr>
        <w:outlineLvl w:val="1"/>
      </w:pPr>
      <w:r>
        <w:rPr>
          <w:sz w:val="24"/>
        </w:rPr>
        <w:t xml:space="preserve">投标文件有关事项的澄清或者说明</w:t>
      </w:r>
      <w:r/>
    </w:p>
    <w:p>
      <w:pPr>
        <w:numPr>
          <w:ilvl w:val="1"/>
          <w:numId w:val="12"/>
        </w:numPr>
        <w:ind w:left="1077" w:hanging="720"/>
        <w:spacing w:line="360" w:lineRule="auto"/>
        <w:tabs>
          <w:tab w:val="left" w:pos="1080"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sz w:val="24"/>
        </w:rPr>
        <w:t xml:space="preserve">☑</w:t>
      </w:r>
      <w:r>
        <w:rPr>
          <w:sz w:val="24"/>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numPr>
          <w:ilvl w:val="0"/>
          <w:numId w:val="12"/>
        </w:numPr>
        <w:spacing w:line="360" w:lineRule="auto"/>
        <w:tabs>
          <w:tab w:val="left" w:pos="360" w:leader="none"/>
        </w:tabs>
        <w:rPr>
          <w:sz w:val="24"/>
        </w:rPr>
        <w:outlineLvl w:val="1"/>
      </w:pPr>
      <w:r>
        <w:rPr>
          <w:sz w:val="24"/>
        </w:rPr>
        <w:t xml:space="preserve">投标文件的比较和评价</w:t>
      </w:r>
      <w:bookmarkEnd w:id="763"/>
      <w:r/>
      <w:bookmarkEnd w:id="764"/>
      <w:r/>
      <w:r/>
    </w:p>
    <w:p>
      <w:pPr>
        <w:numPr>
          <w:ilvl w:val="1"/>
          <w:numId w:val="12"/>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sz w:val="24"/>
        </w:rPr>
      </w:pPr>
      <w:r>
        <w:rPr>
          <w:sz w:val="24"/>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sz w:val="24"/>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sz w:val="24"/>
        </w:rPr>
        <w:t xml:space="preserve">□其他方式，具体要求：__</w:t>
      </w:r>
      <w:r>
        <w:rPr>
          <w:rFonts w:hint="eastAsia"/>
          <w:sz w:val="24"/>
        </w:rPr>
        <w:t xml:space="preserve">/</w:t>
      </w:r>
      <w:r>
        <w:rPr>
          <w:sz w:val="24"/>
        </w:rPr>
        <w:t xml:space="preserve">___</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非政府强制采购的节能产品或环境标志产品，依据品目清单和认证证书实施政府优先采购。优先采购的具体规定（如涉及）___</w:t>
      </w:r>
      <w:r>
        <w:rPr>
          <w:rFonts w:hint="eastAsia"/>
          <w:sz w:val="24"/>
        </w:rPr>
        <w:t xml:space="preserve">/</w:t>
      </w:r>
      <w:r>
        <w:rPr>
          <w:sz w:val="24"/>
        </w:rPr>
        <w:t xml:space="preserve">__。</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关于无线局域网认证产品政府采购清单中的产品，优先采购的具体规定（如涉及）___</w:t>
      </w:r>
      <w:r>
        <w:rPr>
          <w:rFonts w:hint="eastAsia"/>
          <w:sz w:val="24"/>
        </w:rPr>
        <w:t xml:space="preserve">/</w:t>
      </w:r>
      <w:r>
        <w:rPr>
          <w:sz w:val="24"/>
        </w:rPr>
        <w:t xml:space="preserve">__。</w:t>
      </w:r>
      <w:r/>
    </w:p>
    <w:p>
      <w:pPr>
        <w:numPr>
          <w:ilvl w:val="2"/>
          <w:numId w:val="12"/>
        </w:numPr>
        <w:ind w:left="2035"/>
        <w:spacing w:line="360" w:lineRule="auto"/>
        <w:tabs>
          <w:tab w:val="left" w:pos="1080" w:leader="none"/>
          <w:tab w:val="left" w:pos="1589" w:leader="none"/>
          <w:tab w:val="left" w:pos="2035" w:leader="none"/>
        </w:tabs>
        <w:rPr>
          <w:sz w:val="24"/>
        </w:rPr>
      </w:pPr>
      <w:r>
        <w:rPr>
          <w:rFonts w:hint="eastAsia"/>
          <w:sz w:val="24"/>
        </w:rPr>
        <w:t xml:space="preserve">评标委员会应针对投标文件进行政府采购异常低价审查：</w:t>
      </w:r>
      <w:r/>
    </w:p>
    <w:p>
      <w:pPr>
        <w:ind w:left="1135" w:firstLine="480"/>
        <w:spacing w:line="360" w:lineRule="auto"/>
        <w:tabs>
          <w:tab w:val="left" w:pos="1080" w:leader="none"/>
          <w:tab w:val="left" w:pos="1589" w:leader="none"/>
          <w:tab w:val="left" w:pos="2035" w:leader="none"/>
        </w:tabs>
        <w:rPr>
          <w:sz w:val="24"/>
        </w:rPr>
      </w:pPr>
      <w:r>
        <w:rPr>
          <w:rFonts w:hint="eastAsia"/>
          <w:sz w:val="24"/>
        </w:rPr>
        <w:t xml:space="preserve">（一）评审过程中出现下列情形之一的，评审委员会应当启动异常低价投标审查程序： </w:t>
      </w:r>
      <w:r/>
    </w:p>
    <w:p>
      <w:pPr>
        <w:ind w:left="1135" w:firstLine="480"/>
        <w:spacing w:line="360" w:lineRule="auto"/>
        <w:tabs>
          <w:tab w:val="left" w:pos="1080" w:leader="none"/>
          <w:tab w:val="left" w:pos="1589" w:leader="none"/>
          <w:tab w:val="left" w:pos="2035" w:leader="none"/>
        </w:tabs>
        <w:rPr>
          <w:sz w:val="24"/>
        </w:rPr>
      </w:pPr>
      <w:r>
        <w:rPr>
          <w:rFonts w:hint="eastAsia"/>
          <w:sz w:val="24"/>
        </w:rPr>
        <w:t xml:space="preserve">1.投标（响应）报价低于全部通过符合性审查供应商投标（响应）报价平均值50%的，即投标（响应）报价&lt;全部通过符合性审查供应商投标（响应）报价平均值×50%；</w:t>
      </w:r>
      <w:r/>
    </w:p>
    <w:p>
      <w:pPr>
        <w:ind w:left="1135" w:firstLine="480"/>
        <w:spacing w:line="360" w:lineRule="auto"/>
        <w:tabs>
          <w:tab w:val="left" w:pos="1080" w:leader="none"/>
          <w:tab w:val="left" w:pos="1589" w:leader="none"/>
          <w:tab w:val="left" w:pos="2035" w:leader="none"/>
        </w:tabs>
        <w:rPr>
          <w:sz w:val="24"/>
        </w:rPr>
      </w:pPr>
      <w:r>
        <w:rPr>
          <w:rFonts w:hint="eastAsia"/>
          <w:sz w:val="24"/>
        </w:rPr>
        <w:t xml:space="preserve">2.投标（响应）报价低于通过符合性审查的次低报价供应商投标（响应）报价50%的，即投标（响应）报价&lt;通过符合性审查的次低报价供应商投标（响应）报价×50%；</w:t>
      </w:r>
      <w:r/>
    </w:p>
    <w:p>
      <w:pPr>
        <w:ind w:left="1135" w:firstLine="480"/>
        <w:spacing w:line="360" w:lineRule="auto"/>
        <w:tabs>
          <w:tab w:val="left" w:pos="1080" w:leader="none"/>
          <w:tab w:val="left" w:pos="1589" w:leader="none"/>
          <w:tab w:val="left" w:pos="2035" w:leader="none"/>
        </w:tabs>
        <w:rPr>
          <w:sz w:val="24"/>
        </w:rPr>
      </w:pPr>
      <w:r>
        <w:rPr>
          <w:rFonts w:hint="eastAsia"/>
          <w:sz w:val="24"/>
        </w:rPr>
        <w:t xml:space="preserve">3.投标（响应）报价低于采购项目最高限价45%的，即投标（响应）报价&lt;采购项目最高限价×45%；</w:t>
      </w:r>
      <w:r/>
    </w:p>
    <w:p>
      <w:pPr>
        <w:ind w:left="1135" w:firstLine="480"/>
        <w:spacing w:line="360" w:lineRule="auto"/>
        <w:tabs>
          <w:tab w:val="left" w:pos="1080" w:leader="none"/>
          <w:tab w:val="left" w:pos="1589" w:leader="none"/>
          <w:tab w:val="left" w:pos="2035" w:leader="none"/>
        </w:tabs>
        <w:rPr>
          <w:sz w:val="24"/>
        </w:rPr>
      </w:pPr>
      <w:r>
        <w:rPr>
          <w:rFonts w:hint="eastAsia"/>
          <w:sz w:val="24"/>
        </w:rPr>
        <w:t xml:space="preserve">4.评审委员会基于专业判断，认为供应商报价过低，有可能影响产品质量或者不能诚信履约的其他情形。</w:t>
      </w:r>
      <w:r/>
    </w:p>
    <w:p>
      <w:pPr>
        <w:ind w:left="1135"/>
        <w:spacing w:line="360" w:lineRule="auto"/>
        <w:tabs>
          <w:tab w:val="left" w:pos="1080" w:leader="none"/>
          <w:tab w:val="left" w:pos="1589" w:leader="none"/>
          <w:tab w:val="left" w:pos="2035" w:leader="none"/>
        </w:tabs>
        <w:rPr>
          <w:sz w:val="24"/>
        </w:rPr>
      </w:pPr>
      <w:r>
        <w:rPr>
          <w:rFonts w:hint="eastAsia"/>
          <w:sz w:val="24"/>
        </w:rPr>
        <w:t xml:space="preserve">采购人可以结合具体项目实际情况，提高上述第1项至第3项中启动异常低价投标（响应）审查的数值标准，但是最高不得超过65%。</w:t>
      </w:r>
      <w:r/>
    </w:p>
    <w:p>
      <w:pPr>
        <w:ind w:left="1135"/>
        <w:spacing w:line="360" w:lineRule="auto"/>
        <w:tabs>
          <w:tab w:val="left" w:pos="1080" w:leader="none"/>
          <w:tab w:val="left" w:pos="1589" w:leader="none"/>
          <w:tab w:val="left" w:pos="2035" w:leader="none"/>
        </w:tabs>
        <w:rPr>
          <w:sz w:val="24"/>
        </w:rPr>
      </w:pPr>
      <w:r>
        <w:rPr>
          <w:rFonts w:hint="eastAsia"/>
          <w:sz w:val="24"/>
        </w:rPr>
        <w:t xml:space="preserve">相关法律法规对供应商报价有规定的，从其规定。</w:t>
      </w:r>
      <w:r/>
    </w:p>
    <w:p>
      <w:pPr>
        <w:ind w:left="1135" w:firstLine="480"/>
        <w:spacing w:line="360" w:lineRule="auto"/>
        <w:tabs>
          <w:tab w:val="left" w:pos="1080" w:leader="none"/>
          <w:tab w:val="left" w:pos="1589" w:leader="none"/>
          <w:tab w:val="left" w:pos="2035" w:leader="none"/>
        </w:tabs>
        <w:rPr>
          <w:sz w:val="24"/>
        </w:rPr>
      </w:pPr>
      <w:r>
        <w:rPr>
          <w:rFonts w:hint="eastAsia"/>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135" w:firstLine="480"/>
        <w:spacing w:line="360" w:lineRule="auto"/>
        <w:tabs>
          <w:tab w:val="left" w:pos="1080" w:leader="none"/>
          <w:tab w:val="left" w:pos="1589" w:leader="none"/>
          <w:tab w:val="left" w:pos="2035" w:leader="none"/>
        </w:tabs>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135" w:firstLine="480"/>
        <w:spacing w:line="360" w:lineRule="auto"/>
        <w:tabs>
          <w:tab w:val="left" w:pos="1080" w:leader="none"/>
          <w:tab w:val="left" w:pos="1589" w:leader="none"/>
          <w:tab w:val="left" w:pos="2035" w:leader="none"/>
        </w:tabs>
        <w:rPr>
          <w:sz w:val="24"/>
        </w:rPr>
      </w:pPr>
      <w:r>
        <w:rPr>
          <w:rFonts w:hint="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1135" w:firstLine="480"/>
        <w:spacing w:line="360" w:lineRule="auto"/>
        <w:tabs>
          <w:tab w:val="left" w:pos="1080" w:leader="none"/>
          <w:tab w:val="left" w:pos="1589" w:leader="none"/>
          <w:tab w:val="left" w:pos="2035" w:leader="none"/>
        </w:tabs>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12"/>
        </w:numPr>
        <w:spacing w:line="360" w:lineRule="auto"/>
        <w:tabs>
          <w:tab w:val="left" w:pos="360" w:leader="none"/>
        </w:tabs>
        <w:rPr>
          <w:sz w:val="24"/>
        </w:rPr>
        <w:outlineLvl w:val="1"/>
      </w:pPr>
      <w:r>
        <w:rPr>
          <w:sz w:val="24"/>
        </w:rPr>
        <w:t xml:space="preserve">确定</w:t>
      </w:r>
      <w:bookmarkStart w:id="780" w:name="_Toc151193716"/>
      <w:r/>
      <w:bookmarkStart w:id="781" w:name="_Toc127151747"/>
      <w:r/>
      <w:bookmarkStart w:id="782" w:name="_Toc264969236"/>
      <w:r/>
      <w:bookmarkStart w:id="783" w:name="_Toc151193788"/>
      <w:r/>
      <w:bookmarkStart w:id="784" w:name="_Toc151193934"/>
      <w:r/>
      <w:bookmarkStart w:id="785" w:name="_Toc149720839"/>
      <w:r/>
      <w:bookmarkStart w:id="786" w:name="_Toc127161460"/>
      <w:r/>
      <w:bookmarkStart w:id="787" w:name="_Toc150774646"/>
      <w:r/>
      <w:bookmarkStart w:id="788" w:name="_Toc150509297"/>
      <w:r/>
      <w:bookmarkStart w:id="789" w:name="_Toc164229387"/>
      <w:r/>
      <w:bookmarkStart w:id="790" w:name="_Toc127151546"/>
      <w:r/>
      <w:bookmarkStart w:id="791" w:name="_Toc305158814"/>
      <w:r/>
      <w:bookmarkStart w:id="792" w:name="_Toc150774751"/>
      <w:r/>
      <w:bookmarkStart w:id="793" w:name="_Ref467307010"/>
      <w:r/>
      <w:bookmarkStart w:id="794" w:name="_Toc164608660"/>
      <w:r/>
      <w:bookmarkStart w:id="795" w:name="_Toc226965819"/>
      <w:r/>
      <w:bookmarkStart w:id="796" w:name="_Toc195842911"/>
      <w:r/>
      <w:bookmarkStart w:id="797" w:name="_Toc164351640"/>
      <w:r/>
      <w:bookmarkStart w:id="798" w:name="_Toc226309790"/>
      <w:r/>
      <w:bookmarkStart w:id="799" w:name="_Toc164608815"/>
      <w:r/>
      <w:bookmarkStart w:id="800" w:name="_Toc142311048"/>
      <w:r/>
      <w:bookmarkStart w:id="801" w:name="_Toc520356170"/>
      <w:r/>
      <w:bookmarkStart w:id="802" w:name="_Toc305158888"/>
      <w:r/>
      <w:bookmarkStart w:id="803" w:name="_Toc151190173"/>
      <w:r/>
      <w:bookmarkStart w:id="804" w:name="_Toc164229241"/>
      <w:r/>
      <w:bookmarkStart w:id="805" w:name="_Toc151193644"/>
      <w:r/>
      <w:bookmarkStart w:id="806" w:name="_Toc151193860"/>
      <w:r/>
      <w:bookmarkStart w:id="807" w:name="_Toc150480784"/>
      <w:r/>
      <w:bookmarkStart w:id="808" w:name="_Toc265228384"/>
      <w:r/>
      <w:bookmarkStart w:id="809" w:name="_Toc226337242"/>
      <w:r/>
      <w:bookmarkStart w:id="810" w:name="_Toc226965736"/>
      <w:r>
        <w:rPr>
          <w:sz w:val="24"/>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numPr>
          <w:ilvl w:val="1"/>
          <w:numId w:val="12"/>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79"/>
        <w:ind w:left="993" w:firstLine="136"/>
        <w:spacing w:line="360" w:lineRule="auto"/>
        <w:tabs>
          <w:tab w:val="left" w:pos="900" w:leader="none"/>
          <w:tab w:val="left" w:pos="2127" w:leader="none"/>
        </w:tabs>
        <w:rPr>
          <w:rFonts w:hint="default" w:ascii="Times New Roman" w:hAnsi="Times New Roman"/>
          <w:sz w:val="24"/>
          <w:szCs w:val="24"/>
        </w:rPr>
      </w:pPr>
      <w:r>
        <w:rPr>
          <w:rFonts w:ascii="Times New Roman" w:hAnsi="Times New Roman"/>
          <w:sz w:val="24"/>
          <w:szCs w:val="24"/>
        </w:rPr>
        <w:t xml:space="preserve">☑随机抽取</w:t>
      </w:r>
      <w:r/>
    </w:p>
    <w:p>
      <w:pPr>
        <w:pStyle w:val="1179"/>
        <w:ind w:left="993" w:firstLine="136"/>
        <w:spacing w:line="360" w:lineRule="auto"/>
        <w:tabs>
          <w:tab w:val="left" w:pos="900" w:leader="none"/>
          <w:tab w:val="left" w:pos="2127" w:leader="none"/>
        </w:tabs>
        <w:rPr>
          <w:rFonts w:hint="default" w:ascii="Times New Roman" w:hAnsi="Times New Roman"/>
          <w:sz w:val="24"/>
          <w:szCs w:val="24"/>
        </w:rPr>
      </w:pPr>
      <w:r>
        <w:rPr>
          <w:rFonts w:ascii="Times New Roman" w:hAnsi="Times New Roman"/>
          <w:sz w:val="24"/>
          <w:szCs w:val="24"/>
        </w:rPr>
        <w:t xml:space="preserve">□其他方式，具体要求：__/___</w:t>
      </w:r>
      <w:r/>
    </w:p>
    <w:p>
      <w:pPr>
        <w:numPr>
          <w:ilvl w:val="1"/>
          <w:numId w:val="12"/>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w:t>
      </w:r>
      <w:r>
        <w:rPr>
          <w:rFonts w:hint="eastAsia"/>
          <w:sz w:val="24"/>
        </w:rPr>
        <w:t xml:space="preserve">得分且最终报价相同的，按照技术指标优劣顺序推荐。技术指标得分也相同的，由采购人（评审组长）现场随机抽取</w:t>
      </w:r>
      <w:r>
        <w:rPr>
          <w:sz w:val="24"/>
        </w:rPr>
        <w:t xml:space="preserve">。投标文件满足招标文件全部实质性要求，且按照评审因素的量化指标评审得分最高的投标人为排名第一的中标候选人。评分分值计算保留小数点后两位，第三位四舍五入。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2"/>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12"/>
        </w:numPr>
        <w:spacing w:line="360" w:lineRule="auto"/>
        <w:tabs>
          <w:tab w:val="left" w:pos="360" w:leader="none"/>
        </w:tabs>
        <w:rPr>
          <w:sz w:val="24"/>
        </w:rPr>
        <w:outlineLvl w:val="1"/>
      </w:pPr>
      <w:r>
        <w:rPr>
          <w:sz w:val="24"/>
        </w:rPr>
        <w:t xml:space="preserve">报告违法行为</w:t>
      </w:r>
      <w:r/>
    </w:p>
    <w:p>
      <w:pPr>
        <w:numPr>
          <w:ilvl w:val="1"/>
          <w:numId w:val="12"/>
        </w:numPr>
        <w:ind w:left="1077" w:hanging="720"/>
        <w:spacing w:line="360" w:lineRule="auto"/>
        <w:tabs>
          <w:tab w:val="left" w:pos="1080" w:leader="none"/>
        </w:tabs>
        <w:rPr>
          <w:b/>
          <w:sz w:val="24"/>
        </w:rPr>
      </w:pPr>
      <w:r>
        <w:rPr>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b/>
          <w:sz w:val="24"/>
        </w:rPr>
        <w:sectPr>
          <w:footnotePr/>
          <w:endnotePr/>
          <w:type w:val="nextPage"/>
          <w:pgSz w:w="11907" w:h="16840" w:orient="portrait"/>
          <w:pgMar w:top="1440" w:right="1080" w:bottom="1440" w:left="1080" w:header="851" w:footer="851" w:gutter="0"/>
          <w:cols w:num="1" w:sep="0" w:space="1701" w:equalWidth="1"/>
          <w:docGrid w:linePitch="360"/>
        </w:sectPr>
        <w:outlineLvl w:val="1"/>
      </w:pPr>
      <w:r>
        <w:rPr>
          <w:b/>
          <w:sz w:val="24"/>
        </w:rPr>
      </w:r>
      <w:r/>
    </w:p>
    <w:p>
      <w:pPr>
        <w:jc w:val="center"/>
        <w:spacing w:line="360" w:lineRule="auto"/>
        <w:tabs>
          <w:tab w:val="left" w:pos="360" w:leader="none"/>
          <w:tab w:val="left" w:pos="900" w:leader="none"/>
        </w:tabs>
        <w:rPr>
          <w:b/>
          <w:sz w:val="24"/>
          <w:highlight w:val="none"/>
        </w:rPr>
        <w:outlineLvl w:val="1"/>
      </w:pPr>
      <w:r>
        <w:rPr>
          <w:rFonts w:hint="eastAsia"/>
          <w:b/>
          <w:sz w:val="24"/>
          <w:highlight w:val="none"/>
        </w:rPr>
        <w:t xml:space="preserve">二、</w:t>
      </w:r>
      <w:r>
        <w:rPr>
          <w:b/>
          <w:sz w:val="24"/>
          <w:highlight w:val="none"/>
        </w:rPr>
        <w:t xml:space="preserve">评标标准</w:t>
      </w:r>
      <w:r/>
    </w:p>
    <w:tbl>
      <w:tblPr>
        <w:tblStyle w:val="965"/>
        <w:tblW w:w="10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241"/>
        <w:gridCol w:w="804"/>
        <w:gridCol w:w="5682"/>
        <w:gridCol w:w="1875"/>
      </w:tblGrid>
      <w:tr>
        <w:trPr>
          <w:jc w:val="center"/>
          <w:trHeight w:val="612"/>
        </w:trPr>
        <w:tc>
          <w:tcPr>
            <w:tcW w:w="600" w:type="dxa"/>
            <w:vAlign w:val="center"/>
            <w:textDirection w:val="lrTb"/>
            <w:noWrap/>
          </w:tcPr>
          <w:p>
            <w:pPr>
              <w:ind w:firstLine="28"/>
              <w:jc w:val="center"/>
              <w:rPr>
                <w:rFonts w:ascii="宋体" w:hAnsi="宋体" w:cs="宋体"/>
                <w:b/>
                <w:szCs w:val="21"/>
                <w:highlight w:val="none"/>
              </w:rPr>
            </w:pPr>
            <w:r>
              <w:rPr>
                <w:rFonts w:hint="eastAsia" w:ascii="宋体" w:hAnsi="宋体" w:cs="宋体"/>
                <w:b/>
                <w:szCs w:val="21"/>
                <w:highlight w:val="none"/>
              </w:rPr>
              <w:t xml:space="preserve">序号</w:t>
            </w:r>
            <w:r/>
          </w:p>
        </w:tc>
        <w:tc>
          <w:tcPr>
            <w:tcW w:w="1241" w:type="dxa"/>
            <w:vAlign w:val="center"/>
            <w:textDirection w:val="lrTb"/>
            <w:noWrap/>
          </w:tcPr>
          <w:p>
            <w:pPr>
              <w:ind w:firstLine="28"/>
              <w:jc w:val="center"/>
              <w:rPr>
                <w:rFonts w:ascii="宋体" w:hAnsi="宋体" w:cs="宋体"/>
                <w:b/>
                <w:szCs w:val="21"/>
                <w:highlight w:val="none"/>
              </w:rPr>
            </w:pPr>
            <w:r>
              <w:rPr>
                <w:rFonts w:hint="eastAsia" w:ascii="宋体" w:hAnsi="宋体" w:cs="宋体"/>
                <w:b/>
                <w:szCs w:val="21"/>
                <w:highlight w:val="none"/>
              </w:rPr>
              <w:t xml:space="preserve">评分因素</w:t>
            </w:r>
            <w:r/>
          </w:p>
        </w:tc>
        <w:tc>
          <w:tcPr>
            <w:tcW w:w="804" w:type="dxa"/>
            <w:vAlign w:val="center"/>
            <w:textDirection w:val="lrTb"/>
            <w:noWrap/>
          </w:tcPr>
          <w:p>
            <w:pPr>
              <w:ind w:firstLine="28"/>
              <w:jc w:val="center"/>
              <w:rPr>
                <w:rFonts w:ascii="宋体" w:hAnsi="宋体" w:cs="宋体"/>
                <w:b/>
                <w:szCs w:val="21"/>
                <w:highlight w:val="none"/>
              </w:rPr>
            </w:pPr>
            <w:r>
              <w:rPr>
                <w:rFonts w:hint="eastAsia" w:ascii="宋体" w:hAnsi="宋体" w:cs="宋体"/>
                <w:b/>
                <w:szCs w:val="21"/>
                <w:highlight w:val="none"/>
              </w:rPr>
              <w:t xml:space="preserve">分值</w:t>
            </w:r>
            <w:r/>
          </w:p>
        </w:tc>
        <w:tc>
          <w:tcPr>
            <w:tcW w:w="5682" w:type="dxa"/>
            <w:vAlign w:val="center"/>
            <w:textDirection w:val="lrTb"/>
            <w:noWrap/>
          </w:tcPr>
          <w:p>
            <w:pPr>
              <w:ind w:firstLine="28"/>
              <w:jc w:val="center"/>
              <w:rPr>
                <w:rFonts w:ascii="宋体" w:hAnsi="宋体" w:cs="宋体"/>
                <w:b/>
                <w:szCs w:val="21"/>
                <w:highlight w:val="none"/>
              </w:rPr>
            </w:pPr>
            <w:r>
              <w:rPr>
                <w:rFonts w:hint="eastAsia" w:ascii="宋体" w:hAnsi="宋体" w:cs="宋体"/>
                <w:b/>
                <w:szCs w:val="21"/>
                <w:highlight w:val="none"/>
              </w:rPr>
              <w:t xml:space="preserve">评分标准</w:t>
            </w:r>
            <w:r/>
          </w:p>
        </w:tc>
        <w:tc>
          <w:tcPr>
            <w:tcW w:w="1875" w:type="dxa"/>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说明</w:t>
            </w:r>
            <w:r/>
          </w:p>
        </w:tc>
      </w:tr>
      <w:tr>
        <w:trPr>
          <w:jc w:val="center"/>
          <w:trHeight w:val="1099"/>
        </w:trPr>
        <w:tc>
          <w:tcPr>
            <w:tcW w:w="600" w:type="dxa"/>
            <w:vAlign w:val="center"/>
            <w:textDirection w:val="lrTb"/>
            <w:noWrap/>
          </w:tcPr>
          <w:p>
            <w:pPr>
              <w:ind w:firstLine="28"/>
              <w:jc w:val="center"/>
              <w:rPr>
                <w:rFonts w:ascii="宋体" w:hAnsi="宋体" w:cs="宋体"/>
                <w:szCs w:val="21"/>
                <w:highlight w:val="none"/>
              </w:rPr>
            </w:pPr>
            <w:r>
              <w:rPr>
                <w:rFonts w:hint="eastAsia" w:ascii="宋体" w:hAnsi="宋体" w:cs="宋体"/>
                <w:szCs w:val="21"/>
                <w:highlight w:val="none"/>
              </w:rPr>
              <w:t xml:space="preserve">1</w:t>
            </w:r>
            <w:r/>
          </w:p>
        </w:tc>
        <w:tc>
          <w:tcPr>
            <w:tcW w:w="1241" w:type="dxa"/>
            <w:vAlign w:val="center"/>
            <w:textDirection w:val="lrTb"/>
            <w:noWrap/>
          </w:tcPr>
          <w:p>
            <w:pPr>
              <w:jc w:val="center"/>
              <w:rPr>
                <w:rFonts w:ascii="宋体" w:hAnsi="宋体" w:cs="宋体"/>
                <w:b/>
                <w:bCs/>
                <w:szCs w:val="21"/>
                <w:highlight w:val="none"/>
              </w:rPr>
            </w:pPr>
            <w:r>
              <w:rPr>
                <w:rFonts w:hint="eastAsia" w:ascii="宋体" w:hAnsi="宋体" w:cs="宋体"/>
                <w:b/>
                <w:bCs/>
                <w:szCs w:val="21"/>
                <w:highlight w:val="none"/>
              </w:rPr>
              <w:t xml:space="preserve">价格分</w:t>
            </w:r>
            <w:r/>
          </w:p>
        </w:tc>
        <w:tc>
          <w:tcPr>
            <w:tcW w:w="804" w:type="dxa"/>
            <w:vAlign w:val="center"/>
            <w:textDirection w:val="lrTb"/>
            <w:noWrap/>
          </w:tcPr>
          <w:p>
            <w:pPr>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15</w:t>
            </w:r>
            <w:r/>
          </w:p>
        </w:tc>
        <w:tc>
          <w:tcPr>
            <w:tcW w:w="5682" w:type="dxa"/>
            <w:vAlign w:val="center"/>
            <w:textDirection w:val="lrTb"/>
            <w:noWrap/>
          </w:tcPr>
          <w:p>
            <w:pPr>
              <w:jc w:val="left"/>
              <w:rPr>
                <w:rFonts w:ascii="宋体" w:hAnsi="宋体" w:cs="宋体"/>
                <w:szCs w:val="21"/>
                <w:highlight w:val="none"/>
              </w:rPr>
            </w:pPr>
            <w:r>
              <w:rPr>
                <w:rFonts w:hint="eastAsia" w:ascii="宋体" w:hAnsi="宋体" w:cs="宋体"/>
                <w:szCs w:val="21"/>
                <w:highlight w:val="none"/>
              </w:rPr>
              <w:t xml:space="preserve">采用低价优先法计算，即满足招标文件要求且投标价格最低的投标报价为投标基准价，其价格分为满分。其他供应商的价格分统一按照下列公式计算（小数点保留两位）：</w:t>
            </w:r>
            <w:r/>
          </w:p>
          <w:p>
            <w:pPr>
              <w:jc w:val="left"/>
              <w:rPr>
                <w:rFonts w:ascii="宋体" w:hAnsi="宋体" w:cs="宋体"/>
                <w:szCs w:val="21"/>
                <w:highlight w:val="none"/>
              </w:rPr>
            </w:pPr>
            <w:r>
              <w:rPr>
                <w:rFonts w:hint="eastAsia" w:ascii="宋体" w:hAnsi="宋体" w:cs="宋体"/>
                <w:szCs w:val="21"/>
                <w:highlight w:val="none"/>
              </w:rPr>
              <w:t xml:space="preserve">投标报价得分=(投标基准价／投标报价)×分值。</w:t>
            </w:r>
            <w:r/>
          </w:p>
        </w:tc>
        <w:tc>
          <w:tcPr>
            <w:tcW w:w="1875" w:type="dxa"/>
            <w:vAlign w:val="center"/>
            <w:textDirection w:val="lrTb"/>
            <w:noWrap/>
          </w:tcPr>
          <w:p>
            <w:pPr>
              <w:jc w:val="left"/>
              <w:rPr>
                <w:rFonts w:ascii="宋体" w:hAnsi="宋体" w:cs="宋体"/>
                <w:szCs w:val="21"/>
                <w:highlight w:val="none"/>
              </w:rPr>
            </w:pPr>
            <w:r>
              <w:rPr>
                <w:rFonts w:hint="eastAsia" w:ascii="宋体" w:hAnsi="宋体" w:cs="宋体"/>
                <w:szCs w:val="21"/>
                <w:highlight w:val="none"/>
              </w:rPr>
              <w:t xml:space="preserve">此处投标报价指经过报价修正，及因落实政府采购政策进行价格调整后的报价，详见第四章《评标方法和评标标准》2.4及2.5。</w:t>
            </w:r>
            <w:r/>
          </w:p>
        </w:tc>
      </w:tr>
      <w:tr>
        <w:trPr>
          <w:jc w:val="center"/>
          <w:trHeight w:val="524"/>
        </w:trPr>
        <w:tc>
          <w:tcPr>
            <w:tcW w:w="600" w:type="dxa"/>
            <w:vAlign w:val="center"/>
            <w:textDirection w:val="lrTb"/>
            <w:noWrap/>
          </w:tcPr>
          <w:p>
            <w:pPr>
              <w:ind w:firstLine="28"/>
              <w:jc w:val="center"/>
              <w:rPr>
                <w:rFonts w:ascii="宋体" w:hAnsi="宋体" w:cs="宋体"/>
                <w:szCs w:val="21"/>
                <w:highlight w:val="none"/>
              </w:rPr>
            </w:pPr>
            <w:r>
              <w:rPr>
                <w:rFonts w:hint="eastAsia" w:ascii="宋体" w:hAnsi="宋体" w:cs="宋体"/>
                <w:szCs w:val="21"/>
                <w:highlight w:val="none"/>
              </w:rPr>
              <w:t xml:space="preserve">2</w:t>
            </w:r>
            <w:r/>
          </w:p>
        </w:tc>
        <w:tc>
          <w:tcPr>
            <w:tcW w:w="1241" w:type="dxa"/>
            <w:vAlign w:val="center"/>
            <w:textDirection w:val="lrTb"/>
            <w:noWrap/>
          </w:tcPr>
          <w:p>
            <w:pPr>
              <w:ind w:firstLine="28"/>
              <w:jc w:val="center"/>
              <w:rPr>
                <w:rFonts w:ascii="宋体" w:hAnsi="宋体" w:cs="宋体"/>
                <w:b/>
                <w:bCs/>
                <w:szCs w:val="21"/>
                <w:highlight w:val="none"/>
              </w:rPr>
            </w:pPr>
            <w:r>
              <w:rPr>
                <w:rFonts w:hint="eastAsia" w:ascii="宋体" w:hAnsi="宋体" w:cs="宋体"/>
                <w:b/>
                <w:bCs/>
                <w:szCs w:val="21"/>
                <w:highlight w:val="none"/>
              </w:rPr>
              <w:t xml:space="preserve">主观分</w:t>
            </w:r>
            <w:r/>
          </w:p>
        </w:tc>
        <w:tc>
          <w:tcPr>
            <w:tcW w:w="804" w:type="dxa"/>
            <w:vAlign w:val="center"/>
            <w:textDirection w:val="lrTb"/>
            <w:noWrap/>
          </w:tcPr>
          <w:p>
            <w:pPr>
              <w:ind w:firstLine="28"/>
              <w:jc w:val="center"/>
              <w:rPr>
                <w:rFonts w:ascii="宋体" w:hAnsi="宋体" w:cs="宋体"/>
                <w:b/>
                <w:bCs/>
                <w:szCs w:val="21"/>
                <w:highlight w:val="none"/>
              </w:rPr>
            </w:pPr>
            <w:r>
              <w:rPr>
                <w:rFonts w:hint="eastAsia" w:ascii="宋体" w:hAnsi="宋体" w:cs="宋体"/>
                <w:b/>
                <w:bCs/>
                <w:szCs w:val="21"/>
                <w:highlight w:val="none"/>
              </w:rPr>
              <w:t xml:space="preserve">26</w:t>
            </w:r>
            <w:r/>
          </w:p>
        </w:tc>
        <w:tc>
          <w:tcPr>
            <w:tcW w:w="5682"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W w:w="1875" w:type="dxa"/>
            <w:vAlign w:val="center"/>
            <w:textDirection w:val="lrTb"/>
            <w:noWrap/>
          </w:tcPr>
          <w:p>
            <w:pPr>
              <w:ind w:left="-38"/>
              <w:rPr>
                <w:rFonts w:ascii="宋体" w:hAnsi="宋体" w:cs="宋体"/>
                <w:szCs w:val="21"/>
                <w:highlight w:val="none"/>
              </w:rPr>
            </w:pPr>
            <w:r>
              <w:rPr>
                <w:rFonts w:ascii="宋体" w:hAnsi="宋体" w:cs="宋体"/>
                <w:szCs w:val="21"/>
                <w:highlight w:val="none"/>
              </w:rPr>
            </w:r>
            <w:r/>
          </w:p>
        </w:tc>
      </w:tr>
      <w:tr>
        <w:trPr>
          <w:jc w:val="center"/>
          <w:trHeight w:val="2190"/>
        </w:trPr>
        <w:tc>
          <w:tcPr>
            <w:tcW w:w="600" w:type="dxa"/>
            <w:vAlign w:val="center"/>
            <w:textDirection w:val="lrTb"/>
            <w:noWrap/>
          </w:tcPr>
          <w:p>
            <w:pPr>
              <w:ind w:firstLine="28"/>
              <w:rPr>
                <w:rFonts w:ascii="宋体" w:hAnsi="宋体" w:cs="宋体"/>
                <w:szCs w:val="21"/>
                <w:highlight w:val="none"/>
              </w:rPr>
            </w:pPr>
            <w:r>
              <w:rPr>
                <w:rFonts w:hint="eastAsia" w:ascii="宋体" w:hAnsi="宋体" w:cs="宋体"/>
                <w:szCs w:val="21"/>
                <w:highlight w:val="none"/>
              </w:rPr>
              <w:t xml:space="preserve">2.1</w:t>
            </w:r>
            <w:r/>
          </w:p>
          <w:p>
            <w:pPr>
              <w:ind w:firstLine="28"/>
              <w:jc w:val="center"/>
              <w:rPr>
                <w:rFonts w:ascii="宋体" w:hAnsi="宋体" w:cs="宋体"/>
                <w:szCs w:val="21"/>
                <w:highlight w:val="none"/>
              </w:rPr>
            </w:pPr>
            <w:r>
              <w:rPr>
                <w:rFonts w:ascii="宋体" w:hAnsi="宋体" w:cs="宋体"/>
                <w:szCs w:val="21"/>
                <w:highlight w:val="none"/>
              </w:rPr>
            </w:r>
            <w:r/>
          </w:p>
        </w:tc>
        <w:tc>
          <w:tcPr>
            <w:tcW w:w="1241" w:type="dxa"/>
            <w:vAlign w:val="center"/>
            <w:textDirection w:val="lrTb"/>
            <w:noWrap/>
          </w:tcPr>
          <w:p>
            <w:pPr>
              <w:jc w:val="center"/>
              <w:spacing w:line="360" w:lineRule="exact"/>
              <w:rPr>
                <w:rFonts w:ascii="宋体" w:hAnsi="宋体" w:cs="宋体"/>
                <w:szCs w:val="21"/>
                <w:highlight w:val="none"/>
              </w:rPr>
            </w:pPr>
            <w:r>
              <w:rPr>
                <w:rFonts w:hint="eastAsia" w:ascii="宋体" w:hAnsi="宋体" w:cs="宋体"/>
                <w:szCs w:val="21"/>
                <w:highlight w:val="none"/>
              </w:rPr>
              <w:t xml:space="preserve">承保服务方案</w:t>
            </w:r>
            <w:r/>
          </w:p>
        </w:tc>
        <w:tc>
          <w:tcPr>
            <w:tcW w:w="804" w:type="dxa"/>
            <w:vAlign w:val="center"/>
            <w:textDirection w:val="lrTb"/>
            <w:noWrap/>
          </w:tcPr>
          <w:p>
            <w:pPr>
              <w:jc w:val="center"/>
              <w:spacing w:line="360" w:lineRule="exact"/>
              <w:rPr>
                <w:rFonts w:ascii="宋体" w:hAnsi="宋体" w:cs="宋体"/>
                <w:szCs w:val="21"/>
                <w:highlight w:val="none"/>
              </w:rPr>
            </w:pPr>
            <w:r>
              <w:rPr>
                <w:rFonts w:hint="eastAsia" w:ascii="宋体" w:hAnsi="宋体" w:cs="宋体"/>
                <w:szCs w:val="21"/>
                <w:highlight w:val="none"/>
              </w:rPr>
              <w:t xml:space="preserve">8</w:t>
            </w:r>
            <w:r/>
          </w:p>
        </w:tc>
        <w:tc>
          <w:tcPr>
            <w:tcW w:w="5682" w:type="dxa"/>
            <w:vAlign w:val="center"/>
            <w:textDirection w:val="lrTb"/>
            <w:noWrap/>
          </w:tcPr>
          <w:p>
            <w:pPr>
              <w:jc w:val="left"/>
              <w:rPr>
                <w:rFonts w:ascii="宋体" w:hAnsi="宋体" w:cs="宋体"/>
                <w:szCs w:val="21"/>
                <w:highlight w:val="none"/>
              </w:rPr>
            </w:pPr>
            <w:r>
              <w:rPr>
                <w:rFonts w:hint="eastAsia" w:ascii="宋体" w:hAnsi="宋体" w:cs="宋体"/>
                <w:szCs w:val="21"/>
                <w:highlight w:val="none"/>
              </w:rPr>
              <w:t xml:space="preserve">（一）评分内容</w:t>
            </w:r>
            <w:r/>
          </w:p>
          <w:p>
            <w:pPr>
              <w:jc w:val="left"/>
              <w:rPr>
                <w:rFonts w:ascii="宋体" w:hAnsi="宋体" w:cs="宋体"/>
                <w:szCs w:val="21"/>
                <w:highlight w:val="none"/>
              </w:rPr>
            </w:pPr>
            <w:r>
              <w:rPr>
                <w:rFonts w:hint="eastAsia" w:ascii="宋体" w:hAnsi="宋体" w:cs="宋体"/>
                <w:szCs w:val="21"/>
                <w:highlight w:val="none"/>
              </w:rPr>
              <w:t xml:space="preserve">投标人根据自身对项目的理解制定承保服务方案，内容及要求应包括但不限于以下：</w:t>
            </w:r>
            <w:r/>
          </w:p>
          <w:p>
            <w:pPr>
              <w:jc w:val="left"/>
              <w:rPr>
                <w:rFonts w:ascii="宋体" w:hAnsi="宋体" w:cs="宋体"/>
                <w:szCs w:val="21"/>
                <w:highlight w:val="none"/>
              </w:rPr>
            </w:pPr>
            <w:r>
              <w:rPr>
                <w:rFonts w:hint="eastAsia" w:ascii="宋体" w:hAnsi="宋体" w:cs="宋体"/>
                <w:szCs w:val="21"/>
                <w:highlight w:val="none"/>
              </w:rPr>
              <w:t xml:space="preserve">（1）承保服务流程；</w:t>
            </w:r>
            <w:r/>
          </w:p>
          <w:p>
            <w:pPr>
              <w:jc w:val="left"/>
              <w:rPr>
                <w:rFonts w:ascii="宋体" w:hAnsi="宋体" w:cs="宋体"/>
                <w:szCs w:val="21"/>
                <w:highlight w:val="none"/>
              </w:rPr>
            </w:pPr>
            <w:r>
              <w:rPr>
                <w:rFonts w:hint="eastAsia" w:ascii="宋体" w:hAnsi="宋体" w:cs="宋体"/>
                <w:szCs w:val="21"/>
                <w:highlight w:val="none"/>
              </w:rPr>
              <w:t xml:space="preserve">（2）承保所需资料；</w:t>
            </w:r>
            <w:r/>
          </w:p>
          <w:p>
            <w:pPr>
              <w:jc w:val="left"/>
              <w:rPr>
                <w:rFonts w:ascii="宋体" w:hAnsi="宋体" w:cs="宋体"/>
                <w:szCs w:val="21"/>
                <w:highlight w:val="none"/>
              </w:rPr>
            </w:pPr>
            <w:r>
              <w:rPr>
                <w:rFonts w:hint="eastAsia" w:ascii="宋体" w:hAnsi="宋体" w:cs="宋体"/>
                <w:szCs w:val="21"/>
                <w:highlight w:val="none"/>
              </w:rPr>
              <w:t xml:space="preserve">（3）承保服务内容；</w:t>
            </w:r>
            <w:r/>
          </w:p>
          <w:p>
            <w:pPr>
              <w:jc w:val="left"/>
              <w:rPr>
                <w:rFonts w:ascii="宋体" w:hAnsi="宋体" w:cs="宋体"/>
                <w:szCs w:val="21"/>
                <w:highlight w:val="none"/>
              </w:rPr>
            </w:pPr>
            <w:r>
              <w:rPr>
                <w:rFonts w:hint="eastAsia" w:ascii="宋体" w:hAnsi="宋体" w:cs="宋体"/>
                <w:szCs w:val="21"/>
                <w:highlight w:val="none"/>
              </w:rPr>
              <w:t xml:space="preserve">（4）专属日常服务团队配置及岗位分工。</w:t>
            </w:r>
            <w:r/>
          </w:p>
          <w:p>
            <w:pPr>
              <w:jc w:val="left"/>
              <w:rPr>
                <w:rFonts w:ascii="宋体" w:hAnsi="宋体" w:cs="宋体"/>
                <w:szCs w:val="21"/>
                <w:highlight w:val="none"/>
              </w:rPr>
            </w:pPr>
            <w:r>
              <w:rPr>
                <w:rFonts w:hint="eastAsia" w:ascii="宋体" w:hAnsi="宋体" w:cs="宋体"/>
                <w:szCs w:val="21"/>
                <w:highlight w:val="none"/>
              </w:rPr>
              <w:t xml:space="preserve">（二）评审依据</w:t>
            </w:r>
            <w:r/>
          </w:p>
          <w:p>
            <w:pPr>
              <w:jc w:val="left"/>
              <w:rPr>
                <w:rFonts w:ascii="宋体" w:hAnsi="宋体" w:cs="宋体"/>
                <w:szCs w:val="21"/>
                <w:highlight w:val="none"/>
              </w:rPr>
            </w:pPr>
            <w:r>
              <w:rPr>
                <w:rFonts w:hint="eastAsia" w:ascii="宋体" w:hAnsi="宋体" w:cs="宋体"/>
                <w:szCs w:val="21"/>
                <w:highlight w:val="none"/>
              </w:rPr>
              <w:t xml:space="preserve">1、考察以上4项内容，每满足任意一项内容得15%，最高得60%。</w:t>
            </w:r>
            <w:r/>
          </w:p>
          <w:p>
            <w:pPr>
              <w:jc w:val="left"/>
              <w:rPr>
                <w:rFonts w:ascii="宋体" w:hAnsi="宋体" w:cs="宋体"/>
                <w:szCs w:val="21"/>
                <w:highlight w:val="none"/>
              </w:rPr>
            </w:pPr>
            <w:r>
              <w:rPr>
                <w:rFonts w:hint="eastAsia" w:ascii="宋体" w:hAnsi="宋体" w:cs="宋体"/>
                <w:szCs w:val="21"/>
                <w:highlight w:val="none"/>
              </w:rPr>
              <w:t xml:space="preserve">2、在上述基础上，专家根据各响应人的具体响应内容按照量化的评审因素指标进一步评审。</w:t>
            </w:r>
            <w:r/>
          </w:p>
          <w:p>
            <w:pPr>
              <w:jc w:val="left"/>
              <w:rPr>
                <w:rFonts w:ascii="宋体" w:hAnsi="宋体" w:cs="宋体"/>
                <w:szCs w:val="21"/>
                <w:highlight w:val="none"/>
              </w:rPr>
            </w:pPr>
            <w:r>
              <w:rPr>
                <w:rFonts w:hint="eastAsia" w:ascii="宋体" w:hAnsi="宋体" w:cs="宋体"/>
                <w:szCs w:val="21"/>
                <w:highlight w:val="none"/>
              </w:rPr>
              <w:t xml:space="preserve">（1）方案整体科学合理、针对性强、可操作性强，评审为优加40%；</w:t>
            </w:r>
            <w:r/>
          </w:p>
          <w:p>
            <w:pPr>
              <w:jc w:val="left"/>
              <w:rPr>
                <w:rFonts w:ascii="宋体" w:hAnsi="宋体" w:cs="宋体"/>
                <w:szCs w:val="21"/>
                <w:highlight w:val="none"/>
              </w:rPr>
            </w:pPr>
            <w:r>
              <w:rPr>
                <w:rFonts w:hint="eastAsia" w:ascii="宋体" w:hAnsi="宋体" w:cs="宋体"/>
                <w:szCs w:val="21"/>
                <w:highlight w:val="none"/>
              </w:rPr>
              <w:t xml:space="preserve">（2）方案较合理、有一定针对性、一定可操作性，评审为良加20%；</w:t>
            </w:r>
            <w:r/>
          </w:p>
          <w:p>
            <w:pPr>
              <w:jc w:val="left"/>
              <w:rPr>
                <w:rFonts w:ascii="宋体" w:hAnsi="宋体" w:cs="宋体"/>
                <w:szCs w:val="21"/>
                <w:highlight w:val="none"/>
              </w:rPr>
            </w:pPr>
            <w:r>
              <w:rPr>
                <w:rFonts w:hint="eastAsia" w:ascii="宋体" w:hAnsi="宋体" w:cs="宋体"/>
                <w:szCs w:val="21"/>
                <w:highlight w:val="none"/>
              </w:rPr>
              <w:t xml:space="preserve">（3）方案不尽合理、针对性一般、可操作性一般，评审为中加10%；</w:t>
            </w:r>
            <w:r/>
          </w:p>
          <w:p>
            <w:pPr>
              <w:jc w:val="left"/>
              <w:rPr>
                <w:rFonts w:ascii="宋体" w:hAnsi="宋体" w:cs="宋体"/>
                <w:szCs w:val="21"/>
                <w:highlight w:val="none"/>
              </w:rPr>
            </w:pPr>
            <w:r>
              <w:rPr>
                <w:rFonts w:hint="eastAsia" w:ascii="宋体" w:hAnsi="宋体" w:cs="宋体"/>
                <w:szCs w:val="21"/>
                <w:highlight w:val="none"/>
              </w:rPr>
              <w:t xml:space="preserve">（4）方案不合理、无针对性、无可操作性，评审为差的，不加分；不提供方案的，不得分。</w:t>
            </w:r>
            <w:r/>
          </w:p>
        </w:tc>
        <w:tc>
          <w:tcPr>
            <w:tcW w:w="1875" w:type="dxa"/>
            <w:vAlign w:val="center"/>
            <w:textDirection w:val="lrTb"/>
            <w:noWrap/>
          </w:tcPr>
          <w:p>
            <w:pPr>
              <w:ind w:left="-38"/>
              <w:rPr>
                <w:rFonts w:ascii="宋体" w:hAnsi="宋体" w:cs="宋体"/>
                <w:szCs w:val="21"/>
                <w:highlight w:val="none"/>
              </w:rPr>
            </w:pPr>
            <w:r>
              <w:rPr>
                <w:rFonts w:ascii="宋体" w:hAnsi="宋体" w:cs="宋体"/>
                <w:szCs w:val="21"/>
                <w:highlight w:val="none"/>
              </w:rPr>
            </w:r>
            <w:r/>
          </w:p>
        </w:tc>
      </w:tr>
      <w:tr>
        <w:trPr>
          <w:jc w:val="center"/>
          <w:trHeight w:val="914"/>
        </w:trPr>
        <w:tc>
          <w:tcPr>
            <w:tcW w:w="600" w:type="dxa"/>
            <w:vAlign w:val="center"/>
            <w:textDirection w:val="lrTb"/>
            <w:noWrap/>
          </w:tcPr>
          <w:p>
            <w:pPr>
              <w:ind w:firstLine="28"/>
              <w:jc w:val="center"/>
              <w:rPr>
                <w:rFonts w:ascii="宋体" w:hAnsi="宋体" w:cs="宋体"/>
                <w:szCs w:val="21"/>
                <w:highlight w:val="none"/>
              </w:rPr>
            </w:pPr>
            <w:r>
              <w:rPr>
                <w:rFonts w:hint="eastAsia" w:ascii="宋体" w:hAnsi="宋体" w:cs="宋体"/>
                <w:szCs w:val="21"/>
                <w:highlight w:val="none"/>
              </w:rPr>
              <w:t xml:space="preserve">2.2</w:t>
            </w:r>
            <w:r/>
          </w:p>
        </w:tc>
        <w:tc>
          <w:tcPr>
            <w:tcW w:w="1241"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理赔服务方案</w:t>
            </w:r>
            <w:r/>
          </w:p>
        </w:tc>
        <w:tc>
          <w:tcPr>
            <w:tcW w:w="80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8</w:t>
            </w:r>
            <w:r/>
          </w:p>
        </w:tc>
        <w:tc>
          <w:tcPr>
            <w:tcW w:w="5682" w:type="dxa"/>
            <w:vAlign w:val="center"/>
            <w:textDirection w:val="lrTb"/>
            <w:noWrap/>
          </w:tcPr>
          <w:p>
            <w:pPr>
              <w:jc w:val="left"/>
              <w:rPr>
                <w:rFonts w:ascii="宋体" w:hAnsi="宋体" w:cs="宋体"/>
                <w:szCs w:val="21"/>
                <w:highlight w:val="none"/>
              </w:rPr>
            </w:pPr>
            <w:r>
              <w:rPr>
                <w:rFonts w:hint="eastAsia" w:ascii="宋体" w:hAnsi="宋体" w:cs="宋体"/>
                <w:szCs w:val="21"/>
                <w:highlight w:val="none"/>
              </w:rPr>
              <w:t xml:space="preserve">（一）评分内容</w:t>
            </w:r>
            <w:r/>
          </w:p>
          <w:p>
            <w:pPr>
              <w:jc w:val="left"/>
              <w:rPr>
                <w:rFonts w:ascii="宋体" w:hAnsi="宋体" w:cs="宋体"/>
                <w:szCs w:val="21"/>
                <w:highlight w:val="none"/>
              </w:rPr>
            </w:pPr>
            <w:r>
              <w:rPr>
                <w:rFonts w:hint="eastAsia" w:ascii="宋体" w:hAnsi="宋体" w:cs="宋体"/>
                <w:szCs w:val="21"/>
                <w:highlight w:val="none"/>
              </w:rPr>
              <w:t xml:space="preserve">投标人根据自身对项目的理解制定理赔服务方案，内容及要求应包括但不限于以下：</w:t>
            </w:r>
            <w:r/>
          </w:p>
          <w:p>
            <w:pPr>
              <w:jc w:val="left"/>
              <w:rPr>
                <w:rFonts w:ascii="宋体" w:hAnsi="宋体" w:cs="宋体"/>
                <w:szCs w:val="21"/>
                <w:highlight w:val="none"/>
              </w:rPr>
            </w:pPr>
            <w:r>
              <w:rPr>
                <w:rFonts w:hint="eastAsia" w:ascii="宋体" w:hAnsi="宋体" w:cs="宋体"/>
                <w:szCs w:val="21"/>
                <w:highlight w:val="none"/>
              </w:rPr>
              <w:t xml:space="preserve">（1）理赔服务流程设置；</w:t>
            </w:r>
            <w:r/>
          </w:p>
          <w:p>
            <w:pPr>
              <w:jc w:val="left"/>
              <w:rPr>
                <w:rFonts w:ascii="宋体" w:hAnsi="宋体" w:cs="宋体"/>
                <w:szCs w:val="21"/>
                <w:highlight w:val="none"/>
              </w:rPr>
            </w:pPr>
            <w:r>
              <w:rPr>
                <w:rFonts w:hint="eastAsia" w:ascii="宋体" w:hAnsi="宋体" w:cs="宋体"/>
                <w:szCs w:val="21"/>
                <w:highlight w:val="none"/>
              </w:rPr>
              <w:t xml:space="preserve">（2）理赔所需提供资料；</w:t>
            </w:r>
            <w:r/>
          </w:p>
          <w:p>
            <w:pPr>
              <w:jc w:val="left"/>
              <w:rPr>
                <w:rFonts w:ascii="宋体" w:hAnsi="宋体" w:cs="宋体"/>
                <w:szCs w:val="21"/>
                <w:highlight w:val="none"/>
              </w:rPr>
            </w:pPr>
            <w:r>
              <w:rPr>
                <w:rFonts w:hint="eastAsia" w:ascii="宋体" w:hAnsi="宋体" w:cs="宋体"/>
                <w:szCs w:val="21"/>
                <w:highlight w:val="none"/>
              </w:rPr>
              <w:t xml:space="preserve">（3）理赔服务承诺（含理赔范围承诺及阐述）；</w:t>
            </w:r>
            <w:r/>
          </w:p>
          <w:p>
            <w:pPr>
              <w:jc w:val="left"/>
              <w:rPr>
                <w:rFonts w:ascii="宋体" w:hAnsi="宋体" w:cs="宋体"/>
                <w:szCs w:val="21"/>
                <w:highlight w:val="none"/>
              </w:rPr>
            </w:pPr>
            <w:r>
              <w:rPr>
                <w:rFonts w:hint="eastAsia" w:ascii="宋体" w:hAnsi="宋体" w:cs="宋体"/>
                <w:szCs w:val="21"/>
                <w:highlight w:val="none"/>
              </w:rPr>
              <w:t xml:space="preserve">（4）专属理赔服务团队配置及岗位分工。</w:t>
            </w:r>
            <w:r/>
          </w:p>
          <w:p>
            <w:pPr>
              <w:jc w:val="left"/>
              <w:rPr>
                <w:rFonts w:ascii="宋体" w:hAnsi="宋体" w:cs="宋体"/>
                <w:szCs w:val="21"/>
                <w:highlight w:val="none"/>
              </w:rPr>
            </w:pPr>
            <w:r>
              <w:rPr>
                <w:rFonts w:hint="eastAsia" w:ascii="宋体" w:hAnsi="宋体" w:cs="宋体"/>
                <w:szCs w:val="21"/>
                <w:highlight w:val="none"/>
              </w:rPr>
              <w:t xml:space="preserve">（二）评审依据</w:t>
            </w:r>
            <w:r/>
          </w:p>
          <w:p>
            <w:pPr>
              <w:jc w:val="left"/>
              <w:rPr>
                <w:rFonts w:ascii="宋体" w:hAnsi="宋体" w:cs="宋体"/>
                <w:szCs w:val="21"/>
                <w:highlight w:val="none"/>
              </w:rPr>
            </w:pPr>
            <w:r>
              <w:rPr>
                <w:rFonts w:hint="eastAsia" w:ascii="宋体" w:hAnsi="宋体" w:cs="宋体"/>
                <w:szCs w:val="21"/>
                <w:highlight w:val="none"/>
              </w:rPr>
              <w:t xml:space="preserve">1、考察以上4项内容，每满足任意一项内容得15%，最高得60%。</w:t>
            </w:r>
            <w:r/>
          </w:p>
          <w:p>
            <w:pPr>
              <w:jc w:val="left"/>
              <w:rPr>
                <w:rFonts w:ascii="宋体" w:hAnsi="宋体" w:cs="宋体"/>
                <w:szCs w:val="21"/>
                <w:highlight w:val="none"/>
              </w:rPr>
            </w:pPr>
            <w:r>
              <w:rPr>
                <w:rFonts w:hint="eastAsia" w:ascii="宋体" w:hAnsi="宋体" w:cs="宋体"/>
                <w:szCs w:val="21"/>
                <w:highlight w:val="none"/>
              </w:rPr>
              <w:t xml:space="preserve">2、在上述基础上，专家根据各响应人的具体响应内容按照量化的评审因素指标进一步评审。</w:t>
            </w:r>
            <w:r/>
          </w:p>
          <w:p>
            <w:pPr>
              <w:jc w:val="left"/>
              <w:rPr>
                <w:rFonts w:ascii="宋体" w:hAnsi="宋体" w:cs="宋体"/>
                <w:szCs w:val="21"/>
                <w:highlight w:val="none"/>
              </w:rPr>
            </w:pPr>
            <w:r>
              <w:rPr>
                <w:rFonts w:hint="eastAsia" w:ascii="宋体" w:hAnsi="宋体" w:cs="宋体"/>
                <w:szCs w:val="21"/>
                <w:highlight w:val="none"/>
              </w:rPr>
              <w:t xml:space="preserve">（1）方案整体科学合理、针对性强、可操作性强，评审为优加40%；</w:t>
            </w:r>
            <w:r/>
          </w:p>
          <w:p>
            <w:pPr>
              <w:jc w:val="left"/>
              <w:rPr>
                <w:rFonts w:ascii="宋体" w:hAnsi="宋体" w:cs="宋体"/>
                <w:szCs w:val="21"/>
                <w:highlight w:val="none"/>
              </w:rPr>
            </w:pPr>
            <w:r>
              <w:rPr>
                <w:rFonts w:hint="eastAsia" w:ascii="宋体" w:hAnsi="宋体" w:cs="宋体"/>
                <w:szCs w:val="21"/>
                <w:highlight w:val="none"/>
              </w:rPr>
              <w:t xml:space="preserve">（2）方案较合理、有一定针对性、有一定可操作性，评审为良加20%；</w:t>
            </w:r>
            <w:r/>
          </w:p>
          <w:p>
            <w:pPr>
              <w:jc w:val="left"/>
              <w:rPr>
                <w:rFonts w:ascii="宋体" w:hAnsi="宋体" w:cs="宋体"/>
                <w:szCs w:val="21"/>
                <w:highlight w:val="none"/>
              </w:rPr>
            </w:pPr>
            <w:r>
              <w:rPr>
                <w:rFonts w:hint="eastAsia" w:ascii="宋体" w:hAnsi="宋体" w:cs="宋体"/>
                <w:szCs w:val="21"/>
                <w:highlight w:val="none"/>
              </w:rPr>
              <w:t xml:space="preserve">（3）方案不尽合理、针对性一般、可操作性一般，评审为中加10%；</w:t>
            </w:r>
            <w:r/>
          </w:p>
          <w:p>
            <w:pPr>
              <w:jc w:val="left"/>
              <w:rPr>
                <w:rFonts w:ascii="宋体" w:hAnsi="宋体" w:cs="宋体"/>
                <w:szCs w:val="21"/>
                <w:highlight w:val="none"/>
              </w:rPr>
            </w:pPr>
            <w:r>
              <w:rPr>
                <w:rFonts w:hint="eastAsia" w:ascii="宋体" w:hAnsi="宋体" w:cs="宋体"/>
                <w:szCs w:val="21"/>
                <w:highlight w:val="none"/>
              </w:rPr>
              <w:t xml:space="preserve">（4）方案不合理、无针对性、无可操作性，评审为差，不加分；不提供方案的，不得分。</w:t>
            </w:r>
            <w:r/>
          </w:p>
        </w:tc>
        <w:tc>
          <w:tcPr>
            <w:tcW w:w="1875" w:type="dxa"/>
            <w:vAlign w:val="center"/>
            <w:textDirection w:val="lrTb"/>
            <w:noWrap/>
          </w:tcPr>
          <w:p>
            <w:pPr>
              <w:ind w:left="-38"/>
              <w:rPr>
                <w:rFonts w:ascii="宋体" w:hAnsi="宋体" w:cs="宋体"/>
                <w:szCs w:val="21"/>
                <w:highlight w:val="none"/>
              </w:rPr>
            </w:pPr>
            <w:r>
              <w:rPr>
                <w:rFonts w:ascii="宋体" w:hAnsi="宋体" w:cs="宋体"/>
                <w:szCs w:val="21"/>
                <w:highlight w:val="none"/>
              </w:rPr>
            </w:r>
            <w:r/>
          </w:p>
        </w:tc>
      </w:tr>
      <w:tr>
        <w:trPr>
          <w:jc w:val="center"/>
          <w:trHeight w:val="2124"/>
        </w:trPr>
        <w:tc>
          <w:tcPr>
            <w:tcW w:w="600" w:type="dxa"/>
            <w:vAlign w:val="center"/>
            <w:textDirection w:val="lrTb"/>
            <w:noWrap/>
          </w:tcPr>
          <w:p>
            <w:pPr>
              <w:ind w:firstLine="28"/>
              <w:jc w:val="center"/>
              <w:rPr>
                <w:rFonts w:ascii="宋体" w:hAnsi="宋体" w:cs="宋体"/>
                <w:szCs w:val="21"/>
                <w:highlight w:val="none"/>
              </w:rPr>
            </w:pPr>
            <w:r>
              <w:rPr>
                <w:rFonts w:hint="eastAsia" w:ascii="宋体" w:hAnsi="宋体" w:cs="宋体"/>
                <w:szCs w:val="21"/>
                <w:highlight w:val="none"/>
              </w:rPr>
              <w:t xml:space="preserve">2.3</w:t>
            </w:r>
            <w:r/>
          </w:p>
        </w:tc>
        <w:tc>
          <w:tcPr>
            <w:tcW w:w="1241"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宣传和培训服务方案</w:t>
            </w:r>
            <w:r/>
          </w:p>
        </w:tc>
        <w:tc>
          <w:tcPr>
            <w:tcW w:w="80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5</w:t>
            </w:r>
            <w:r/>
          </w:p>
        </w:tc>
        <w:tc>
          <w:tcPr>
            <w:shd w:val="clear" w:color="auto" w:fill="auto"/>
            <w:tcW w:w="5682" w:type="dxa"/>
            <w:vAlign w:val="center"/>
            <w:textDirection w:val="lrTb"/>
            <w:noWrap/>
          </w:tcPr>
          <w:p>
            <w:pPr>
              <w:jc w:val="left"/>
              <w:rPr>
                <w:rFonts w:ascii="宋体" w:hAnsi="宋体" w:cs="宋体"/>
                <w:szCs w:val="21"/>
                <w:highlight w:val="none"/>
              </w:rPr>
            </w:pPr>
            <w:r>
              <w:rPr>
                <w:rFonts w:hint="eastAsia" w:ascii="宋体" w:hAnsi="宋体" w:cs="宋体"/>
                <w:szCs w:val="21"/>
                <w:highlight w:val="none"/>
              </w:rPr>
              <w:t xml:space="preserve">（一）评分内容</w:t>
            </w:r>
            <w:r/>
          </w:p>
          <w:p>
            <w:pPr>
              <w:jc w:val="left"/>
              <w:rPr>
                <w:rFonts w:ascii="宋体" w:hAnsi="宋体" w:cs="宋体"/>
                <w:szCs w:val="21"/>
                <w:highlight w:val="none"/>
              </w:rPr>
            </w:pPr>
            <w:r>
              <w:rPr>
                <w:rFonts w:hint="eastAsia" w:ascii="宋体" w:hAnsi="宋体" w:cs="宋体"/>
                <w:szCs w:val="21"/>
                <w:highlight w:val="none"/>
              </w:rPr>
              <w:t xml:space="preserve">投标人根据自身对项目的理解制定制定宣传和培训服务方案，内容及要求应包括但不限于以下：</w:t>
            </w:r>
            <w:r/>
          </w:p>
          <w:p>
            <w:pPr>
              <w:jc w:val="left"/>
              <w:rPr>
                <w:rFonts w:ascii="宋体" w:hAnsi="宋体" w:cs="宋体"/>
                <w:szCs w:val="21"/>
                <w:highlight w:val="none"/>
              </w:rPr>
            </w:pPr>
            <w:r>
              <w:rPr>
                <w:rFonts w:hint="eastAsia" w:ascii="宋体" w:hAnsi="宋体" w:cs="宋体"/>
                <w:szCs w:val="21"/>
                <w:highlight w:val="none"/>
              </w:rPr>
              <w:t xml:space="preserve">（1）制定科学合理的政策宣传方案；</w:t>
            </w:r>
            <w:r/>
          </w:p>
          <w:p>
            <w:pPr>
              <w:jc w:val="left"/>
              <w:rPr>
                <w:rFonts w:ascii="宋体" w:hAnsi="宋体" w:cs="宋体"/>
                <w:szCs w:val="21"/>
                <w:highlight w:val="none"/>
              </w:rPr>
            </w:pPr>
            <w:r>
              <w:rPr>
                <w:rFonts w:hint="eastAsia" w:ascii="宋体" w:hAnsi="宋体" w:cs="宋体"/>
                <w:szCs w:val="21"/>
                <w:highlight w:val="none"/>
              </w:rPr>
              <w:t xml:space="preserve">（2）配套完善的业务咨询方案；</w:t>
            </w:r>
            <w:r/>
          </w:p>
          <w:p>
            <w:pPr>
              <w:jc w:val="left"/>
              <w:rPr>
                <w:rFonts w:ascii="宋体" w:hAnsi="宋体" w:cs="宋体"/>
                <w:szCs w:val="21"/>
                <w:highlight w:val="none"/>
              </w:rPr>
            </w:pPr>
            <w:r>
              <w:rPr>
                <w:rFonts w:hint="eastAsia" w:ascii="宋体" w:hAnsi="宋体" w:cs="宋体"/>
                <w:szCs w:val="21"/>
                <w:highlight w:val="none"/>
              </w:rPr>
              <w:t xml:space="preserve">（3）制定规范的政策业务培训方案；</w:t>
            </w:r>
            <w:r/>
          </w:p>
          <w:p>
            <w:pPr>
              <w:jc w:val="left"/>
              <w:rPr>
                <w:rFonts w:ascii="宋体" w:hAnsi="宋体" w:cs="宋体"/>
                <w:szCs w:val="21"/>
                <w:highlight w:val="none"/>
              </w:rPr>
            </w:pPr>
            <w:r>
              <w:rPr>
                <w:rFonts w:hint="eastAsia" w:ascii="宋体" w:hAnsi="宋体" w:cs="宋体"/>
                <w:szCs w:val="21"/>
                <w:highlight w:val="none"/>
              </w:rPr>
              <w:t xml:space="preserve">（4）明确培训对象，确保培训可落地。</w:t>
            </w:r>
            <w:r/>
          </w:p>
          <w:p>
            <w:pPr>
              <w:jc w:val="left"/>
              <w:rPr>
                <w:rFonts w:ascii="宋体" w:hAnsi="宋体" w:cs="宋体"/>
                <w:szCs w:val="21"/>
                <w:highlight w:val="none"/>
              </w:rPr>
            </w:pPr>
            <w:r>
              <w:rPr>
                <w:rFonts w:hint="eastAsia" w:ascii="宋体" w:hAnsi="宋体" w:cs="宋体"/>
                <w:szCs w:val="21"/>
                <w:highlight w:val="none"/>
              </w:rPr>
              <w:t xml:space="preserve">（二）评审依据</w:t>
            </w:r>
            <w:r/>
          </w:p>
          <w:p>
            <w:pPr>
              <w:jc w:val="left"/>
              <w:rPr>
                <w:rFonts w:ascii="宋体" w:hAnsi="宋体" w:cs="宋体"/>
                <w:szCs w:val="21"/>
                <w:highlight w:val="none"/>
              </w:rPr>
            </w:pPr>
            <w:r>
              <w:rPr>
                <w:rFonts w:hint="eastAsia" w:ascii="宋体" w:hAnsi="宋体" w:cs="宋体"/>
                <w:szCs w:val="21"/>
                <w:highlight w:val="none"/>
              </w:rPr>
              <w:t xml:space="preserve">1、考察以上4项内容，每满足任意一项内容得15%，最高得60%。</w:t>
            </w:r>
            <w:r/>
          </w:p>
          <w:p>
            <w:pPr>
              <w:jc w:val="left"/>
              <w:rPr>
                <w:rFonts w:ascii="宋体" w:hAnsi="宋体" w:cs="宋体"/>
                <w:szCs w:val="21"/>
                <w:highlight w:val="none"/>
              </w:rPr>
            </w:pPr>
            <w:r>
              <w:rPr>
                <w:rFonts w:hint="eastAsia" w:ascii="宋体" w:hAnsi="宋体" w:cs="宋体"/>
                <w:szCs w:val="21"/>
                <w:highlight w:val="none"/>
              </w:rPr>
              <w:t xml:space="preserve">2、在上述基础上，专家根据各响应人的具体响应内容按照量化的评审因素指标进一步评审。</w:t>
            </w:r>
            <w:r/>
          </w:p>
          <w:p>
            <w:pPr>
              <w:jc w:val="left"/>
              <w:rPr>
                <w:rFonts w:ascii="宋体" w:hAnsi="宋体" w:cs="宋体"/>
                <w:szCs w:val="21"/>
                <w:highlight w:val="none"/>
              </w:rPr>
            </w:pPr>
            <w:r>
              <w:rPr>
                <w:rFonts w:hint="eastAsia" w:ascii="宋体" w:hAnsi="宋体" w:cs="宋体"/>
                <w:szCs w:val="21"/>
                <w:highlight w:val="none"/>
              </w:rPr>
              <w:t xml:space="preserve">（1）方案整体科学合理、针对性强、可操作性强，评审为优加40%；</w:t>
            </w:r>
            <w:r/>
          </w:p>
          <w:p>
            <w:pPr>
              <w:jc w:val="left"/>
              <w:rPr>
                <w:rFonts w:ascii="宋体" w:hAnsi="宋体" w:cs="宋体"/>
                <w:szCs w:val="21"/>
                <w:highlight w:val="none"/>
              </w:rPr>
            </w:pPr>
            <w:r>
              <w:rPr>
                <w:rFonts w:hint="eastAsia" w:ascii="宋体" w:hAnsi="宋体" w:cs="宋体"/>
                <w:szCs w:val="21"/>
                <w:highlight w:val="none"/>
              </w:rPr>
              <w:t xml:space="preserve">（2）方案较合理、有一定针对性、有一定可操作性，评审为良加20%；</w:t>
            </w:r>
            <w:r/>
          </w:p>
          <w:p>
            <w:pPr>
              <w:jc w:val="left"/>
              <w:rPr>
                <w:rFonts w:ascii="宋体" w:hAnsi="宋体" w:cs="宋体"/>
                <w:szCs w:val="21"/>
                <w:highlight w:val="none"/>
              </w:rPr>
            </w:pPr>
            <w:r>
              <w:rPr>
                <w:rFonts w:hint="eastAsia" w:ascii="宋体" w:hAnsi="宋体" w:cs="宋体"/>
                <w:szCs w:val="21"/>
                <w:highlight w:val="none"/>
              </w:rPr>
              <w:t xml:space="preserve">（3）方案不尽合理、针对性一般、可操作性一般，评审为中加10%；</w:t>
            </w:r>
            <w:r/>
          </w:p>
          <w:p>
            <w:pPr>
              <w:jc w:val="left"/>
              <w:rPr>
                <w:rFonts w:ascii="宋体" w:hAnsi="宋体" w:cs="宋体"/>
                <w:szCs w:val="21"/>
                <w:highlight w:val="none"/>
              </w:rPr>
            </w:pPr>
            <w:r>
              <w:rPr>
                <w:rFonts w:hint="eastAsia" w:ascii="宋体" w:hAnsi="宋体" w:cs="宋体"/>
                <w:szCs w:val="21"/>
                <w:highlight w:val="none"/>
              </w:rPr>
              <w:t xml:space="preserve">（4）方案不合理、无针对性、无可操作性，评审为差，不加分；不提供方案的，不得分。</w:t>
            </w:r>
            <w:r/>
          </w:p>
        </w:tc>
        <w:tc>
          <w:tcPr>
            <w:tcW w:w="1875" w:type="dxa"/>
            <w:vAlign w:val="center"/>
            <w:textDirection w:val="lrTb"/>
            <w:noWrap/>
          </w:tcPr>
          <w:p>
            <w:pPr>
              <w:ind w:left="-38"/>
              <w:rPr>
                <w:rFonts w:ascii="宋体" w:hAnsi="宋体" w:cs="宋体"/>
                <w:szCs w:val="21"/>
                <w:highlight w:val="none"/>
              </w:rPr>
            </w:pPr>
            <w:r>
              <w:rPr>
                <w:rFonts w:ascii="宋体" w:hAnsi="宋体" w:cs="宋体"/>
                <w:szCs w:val="21"/>
                <w:highlight w:val="none"/>
              </w:rPr>
            </w:r>
            <w:r/>
          </w:p>
        </w:tc>
      </w:tr>
      <w:tr>
        <w:trPr>
          <w:jc w:val="center"/>
          <w:trHeight w:val="1023"/>
        </w:trPr>
        <w:tc>
          <w:tcPr>
            <w:tcW w:w="600" w:type="dxa"/>
            <w:vAlign w:val="center"/>
            <w:textDirection w:val="lrTb"/>
            <w:noWrap/>
          </w:tcPr>
          <w:p>
            <w:pPr>
              <w:ind w:firstLine="28"/>
              <w:jc w:val="center"/>
              <w:rPr>
                <w:rFonts w:ascii="宋体" w:hAnsi="宋体" w:cs="宋体"/>
                <w:szCs w:val="21"/>
                <w:highlight w:val="none"/>
              </w:rPr>
            </w:pPr>
            <w:r>
              <w:rPr>
                <w:rFonts w:hint="eastAsia" w:ascii="宋体" w:hAnsi="宋体" w:cs="宋体"/>
                <w:szCs w:val="21"/>
                <w:highlight w:val="none"/>
              </w:rPr>
              <w:t xml:space="preserve">2.4</w:t>
            </w:r>
            <w:r/>
          </w:p>
        </w:tc>
        <w:tc>
          <w:tcPr>
            <w:tcW w:w="1241"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服务质量承诺及监督措施</w:t>
            </w:r>
            <w:r/>
          </w:p>
        </w:tc>
        <w:tc>
          <w:tcPr>
            <w:tcW w:w="80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5</w:t>
            </w:r>
            <w:r/>
          </w:p>
        </w:tc>
        <w:tc>
          <w:tcPr>
            <w:shd w:val="clear" w:color="auto" w:fill="auto"/>
            <w:tcW w:w="5682" w:type="dxa"/>
            <w:vAlign w:val="center"/>
            <w:textDirection w:val="lrTb"/>
            <w:noWrap/>
          </w:tcPr>
          <w:p>
            <w:pPr>
              <w:jc w:val="left"/>
              <w:rPr>
                <w:rFonts w:ascii="宋体" w:hAnsi="宋体" w:cs="宋体"/>
                <w:szCs w:val="21"/>
                <w:highlight w:val="none"/>
              </w:rPr>
            </w:pPr>
            <w:r>
              <w:rPr>
                <w:rFonts w:hint="eastAsia" w:ascii="宋体" w:hAnsi="宋体" w:cs="宋体"/>
                <w:szCs w:val="21"/>
                <w:highlight w:val="none"/>
              </w:rPr>
              <w:t xml:space="preserve">（一）评分内容</w:t>
            </w:r>
            <w:r/>
          </w:p>
          <w:p>
            <w:pPr>
              <w:jc w:val="left"/>
              <w:rPr>
                <w:rFonts w:ascii="宋体" w:hAnsi="宋体" w:cs="宋体"/>
                <w:szCs w:val="21"/>
                <w:highlight w:val="none"/>
              </w:rPr>
            </w:pPr>
            <w:r>
              <w:rPr>
                <w:rFonts w:hint="eastAsia" w:ascii="宋体" w:hAnsi="宋体" w:cs="宋体"/>
                <w:szCs w:val="21"/>
                <w:highlight w:val="none"/>
              </w:rPr>
              <w:t xml:space="preserve">投标人根据自身对项目的理解服务质量承诺及监督措施方案，内容及要求应包括但不限于以下：</w:t>
            </w:r>
            <w:r/>
          </w:p>
          <w:p>
            <w:pPr>
              <w:jc w:val="left"/>
              <w:rPr>
                <w:rFonts w:ascii="宋体" w:hAnsi="宋体" w:cs="宋体"/>
                <w:szCs w:val="21"/>
                <w:highlight w:val="none"/>
              </w:rPr>
            </w:pPr>
            <w:r>
              <w:rPr>
                <w:rFonts w:hint="eastAsia" w:ascii="宋体" w:hAnsi="宋体" w:cs="宋体"/>
                <w:szCs w:val="21"/>
                <w:highlight w:val="none"/>
              </w:rPr>
              <w:t xml:space="preserve">（1）服务投诉处理办法；</w:t>
            </w:r>
            <w:r/>
          </w:p>
          <w:p>
            <w:pPr>
              <w:jc w:val="left"/>
              <w:rPr>
                <w:rFonts w:ascii="宋体" w:hAnsi="宋体" w:cs="宋体"/>
                <w:szCs w:val="21"/>
                <w:highlight w:val="none"/>
              </w:rPr>
            </w:pPr>
            <w:r>
              <w:rPr>
                <w:rFonts w:hint="eastAsia" w:ascii="宋体" w:hAnsi="宋体" w:cs="宋体"/>
                <w:szCs w:val="21"/>
                <w:highlight w:val="none"/>
              </w:rPr>
              <w:t xml:space="preserve">（2）服务监督措施；</w:t>
            </w:r>
            <w:r/>
          </w:p>
          <w:p>
            <w:pPr>
              <w:jc w:val="left"/>
              <w:rPr>
                <w:rFonts w:ascii="宋体" w:hAnsi="宋体" w:cs="宋体"/>
                <w:szCs w:val="21"/>
                <w:highlight w:val="none"/>
              </w:rPr>
            </w:pPr>
            <w:r>
              <w:rPr>
                <w:rFonts w:hint="eastAsia" w:ascii="宋体" w:hAnsi="宋体" w:cs="宋体"/>
                <w:szCs w:val="21"/>
                <w:highlight w:val="none"/>
              </w:rPr>
              <w:t xml:space="preserve">（3）赔款滞纳金管理方案；</w:t>
            </w:r>
            <w:r/>
          </w:p>
          <w:p>
            <w:pPr>
              <w:jc w:val="left"/>
              <w:rPr>
                <w:rFonts w:ascii="宋体" w:hAnsi="宋体" w:cs="宋体"/>
                <w:szCs w:val="21"/>
                <w:highlight w:val="none"/>
              </w:rPr>
            </w:pPr>
            <w:r>
              <w:rPr>
                <w:rFonts w:hint="eastAsia" w:ascii="宋体" w:hAnsi="宋体" w:cs="宋体"/>
                <w:szCs w:val="21"/>
                <w:highlight w:val="none"/>
              </w:rPr>
              <w:t xml:space="preserve">（4）争议处理方案，赔款未及时到位的违约责任及应对措施。</w:t>
            </w:r>
            <w:r/>
          </w:p>
          <w:p>
            <w:pPr>
              <w:jc w:val="left"/>
              <w:rPr>
                <w:rFonts w:ascii="宋体" w:hAnsi="宋体" w:cs="宋体"/>
                <w:szCs w:val="21"/>
                <w:highlight w:val="none"/>
              </w:rPr>
            </w:pPr>
            <w:r>
              <w:rPr>
                <w:rFonts w:hint="eastAsia" w:ascii="宋体" w:hAnsi="宋体" w:cs="宋体"/>
                <w:szCs w:val="21"/>
                <w:highlight w:val="none"/>
              </w:rPr>
              <w:t xml:space="preserve">（二）评审依据</w:t>
            </w:r>
            <w:r/>
          </w:p>
          <w:p>
            <w:pPr>
              <w:jc w:val="left"/>
              <w:rPr>
                <w:rFonts w:ascii="宋体" w:hAnsi="宋体" w:cs="宋体"/>
                <w:szCs w:val="21"/>
                <w:highlight w:val="none"/>
              </w:rPr>
            </w:pPr>
            <w:r>
              <w:rPr>
                <w:rFonts w:hint="eastAsia" w:ascii="宋体" w:hAnsi="宋体" w:cs="宋体"/>
                <w:szCs w:val="21"/>
                <w:highlight w:val="none"/>
              </w:rPr>
              <w:t xml:space="preserve">1、考察以上4项内容，每满足任意一项内容得15%，最高得60%。</w:t>
            </w:r>
            <w:r/>
          </w:p>
          <w:p>
            <w:pPr>
              <w:jc w:val="left"/>
              <w:rPr>
                <w:rFonts w:ascii="宋体" w:hAnsi="宋体" w:cs="宋体"/>
                <w:szCs w:val="21"/>
                <w:highlight w:val="none"/>
              </w:rPr>
            </w:pPr>
            <w:r>
              <w:rPr>
                <w:rFonts w:hint="eastAsia" w:ascii="宋体" w:hAnsi="宋体" w:cs="宋体"/>
                <w:szCs w:val="21"/>
                <w:highlight w:val="none"/>
              </w:rPr>
              <w:t xml:space="preserve">2、在上述基础上，专家根据各响应人的具体响应内容按照量化的评审因素指标进一步评审。</w:t>
            </w:r>
            <w:r/>
          </w:p>
          <w:p>
            <w:pPr>
              <w:jc w:val="left"/>
              <w:rPr>
                <w:rFonts w:ascii="宋体" w:hAnsi="宋体" w:cs="宋体"/>
                <w:szCs w:val="21"/>
                <w:highlight w:val="none"/>
              </w:rPr>
            </w:pPr>
            <w:r>
              <w:rPr>
                <w:rFonts w:hint="eastAsia" w:ascii="宋体" w:hAnsi="宋体" w:cs="宋体"/>
                <w:szCs w:val="21"/>
                <w:highlight w:val="none"/>
              </w:rPr>
              <w:t xml:space="preserve">（1）方案整体科学合理、针对性强、可操作性强，评审为优加40%；</w:t>
            </w:r>
            <w:r/>
          </w:p>
          <w:p>
            <w:pPr>
              <w:jc w:val="left"/>
              <w:rPr>
                <w:rFonts w:ascii="宋体" w:hAnsi="宋体" w:cs="宋体"/>
                <w:szCs w:val="21"/>
                <w:highlight w:val="none"/>
              </w:rPr>
            </w:pPr>
            <w:r>
              <w:rPr>
                <w:rFonts w:hint="eastAsia" w:ascii="宋体" w:hAnsi="宋体" w:cs="宋体"/>
                <w:szCs w:val="21"/>
                <w:highlight w:val="none"/>
              </w:rPr>
              <w:t xml:space="preserve">（2）方案较合理、有一定针对性、有一定可操作性，评审为良加20%；</w:t>
            </w:r>
            <w:r/>
          </w:p>
          <w:p>
            <w:pPr>
              <w:jc w:val="left"/>
              <w:rPr>
                <w:rFonts w:ascii="宋体" w:hAnsi="宋体" w:cs="宋体"/>
                <w:szCs w:val="21"/>
                <w:highlight w:val="none"/>
              </w:rPr>
            </w:pPr>
            <w:r>
              <w:rPr>
                <w:rFonts w:hint="eastAsia" w:ascii="宋体" w:hAnsi="宋体" w:cs="宋体"/>
                <w:szCs w:val="21"/>
                <w:highlight w:val="none"/>
              </w:rPr>
              <w:t xml:space="preserve">（3）方案不尽合理、针对性一般、可操作性一般，评审为中加10%；</w:t>
            </w:r>
            <w:r/>
          </w:p>
          <w:p>
            <w:pPr>
              <w:jc w:val="left"/>
              <w:rPr>
                <w:rFonts w:ascii="宋体" w:hAnsi="宋体" w:cs="宋体"/>
                <w:szCs w:val="21"/>
                <w:highlight w:val="none"/>
              </w:rPr>
            </w:pPr>
            <w:r>
              <w:rPr>
                <w:rFonts w:hint="eastAsia" w:ascii="宋体" w:hAnsi="宋体" w:cs="宋体"/>
                <w:szCs w:val="21"/>
                <w:highlight w:val="none"/>
              </w:rPr>
              <w:t xml:space="preserve">（4）方案不合理、无针对性、无可操作性，评审为差，不加分；不提供方案的，不得分。</w:t>
            </w:r>
            <w:r/>
          </w:p>
        </w:tc>
        <w:tc>
          <w:tcPr>
            <w:tcW w:w="1875" w:type="dxa"/>
            <w:vAlign w:val="center"/>
            <w:textDirection w:val="lrTb"/>
            <w:noWrap/>
          </w:tcPr>
          <w:p>
            <w:pPr>
              <w:ind w:left="-38"/>
              <w:rPr>
                <w:rFonts w:ascii="宋体" w:hAnsi="宋体" w:cs="宋体"/>
                <w:szCs w:val="21"/>
                <w:highlight w:val="none"/>
              </w:rPr>
            </w:pPr>
            <w:r>
              <w:rPr>
                <w:rFonts w:ascii="宋体" w:hAnsi="宋体" w:cs="宋体"/>
                <w:szCs w:val="21"/>
                <w:highlight w:val="none"/>
              </w:rPr>
            </w:r>
            <w:r/>
          </w:p>
        </w:tc>
      </w:tr>
      <w:tr>
        <w:trPr>
          <w:jc w:val="center"/>
          <w:trHeight w:val="823"/>
        </w:trPr>
        <w:tc>
          <w:tcPr>
            <w:tcW w:w="600" w:type="dxa"/>
            <w:vAlign w:val="center"/>
            <w:textDirection w:val="lrTb"/>
            <w:noWrap/>
          </w:tcPr>
          <w:p>
            <w:pPr>
              <w:ind w:firstLine="28"/>
              <w:jc w:val="center"/>
              <w:rPr>
                <w:rFonts w:ascii="宋体" w:hAnsi="宋体" w:cs="宋体"/>
                <w:szCs w:val="21"/>
                <w:highlight w:val="none"/>
              </w:rPr>
            </w:pPr>
            <w:r>
              <w:rPr>
                <w:rFonts w:hint="eastAsia" w:ascii="宋体" w:hAnsi="宋体" w:cs="宋体"/>
                <w:szCs w:val="21"/>
                <w:highlight w:val="none"/>
              </w:rPr>
              <w:t xml:space="preserve">3</w:t>
            </w:r>
            <w:r/>
          </w:p>
        </w:tc>
        <w:tc>
          <w:tcPr>
            <w:tcW w:w="1241" w:type="dxa"/>
            <w:vAlign w:val="center"/>
            <w:textDirection w:val="lrTb"/>
            <w:noWrap/>
          </w:tcPr>
          <w:p>
            <w:pPr>
              <w:ind w:firstLine="28"/>
              <w:jc w:val="center"/>
              <w:rPr>
                <w:rFonts w:ascii="宋体" w:hAnsi="宋体" w:cs="宋体"/>
                <w:b/>
                <w:bCs/>
                <w:szCs w:val="21"/>
                <w:highlight w:val="none"/>
              </w:rPr>
            </w:pPr>
            <w:r>
              <w:rPr>
                <w:rFonts w:hint="eastAsia" w:ascii="宋体" w:hAnsi="宋体" w:cs="宋体"/>
                <w:b/>
                <w:bCs/>
                <w:szCs w:val="21"/>
                <w:highlight w:val="none"/>
              </w:rPr>
              <w:t xml:space="preserve">客观分</w:t>
            </w:r>
            <w:r/>
          </w:p>
        </w:tc>
        <w:tc>
          <w:tcPr>
            <w:tcW w:w="804" w:type="dxa"/>
            <w:vAlign w:val="center"/>
            <w:textDirection w:val="lrTb"/>
            <w:noWrap/>
          </w:tcPr>
          <w:p>
            <w:pPr>
              <w:ind w:firstLine="28"/>
              <w:jc w:val="center"/>
              <w:rPr>
                <w:rFonts w:hint="eastAsia" w:ascii="宋体" w:hAnsi="宋体" w:eastAsia="宋体" w:cs="宋体"/>
                <w:b/>
                <w:bCs/>
                <w:szCs w:val="21"/>
                <w:highlight w:val="none"/>
                <w:lang w:eastAsia="zh-CN"/>
              </w:rPr>
            </w:pPr>
            <w:r>
              <w:rPr>
                <w:rFonts w:hint="eastAsia" w:ascii="宋体" w:hAnsi="宋体" w:cs="宋体"/>
                <w:b/>
                <w:bCs/>
                <w:szCs w:val="21"/>
                <w:highlight w:val="none"/>
              </w:rPr>
              <w:t xml:space="preserve">5</w:t>
            </w:r>
            <w:r>
              <w:rPr>
                <w:rFonts w:hint="eastAsia" w:ascii="宋体" w:hAnsi="宋体" w:cs="宋体"/>
                <w:b/>
                <w:bCs/>
                <w:szCs w:val="21"/>
                <w:highlight w:val="none"/>
                <w:lang w:val="en-US" w:eastAsia="zh-CN"/>
              </w:rPr>
              <w:t xml:space="preserve">9</w:t>
            </w:r>
            <w:r/>
          </w:p>
        </w:tc>
        <w:tc>
          <w:tcPr>
            <w:tcW w:w="5682"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W w:w="1875" w:type="dxa"/>
            <w:vAlign w:val="center"/>
            <w:textDirection w:val="lrTb"/>
            <w:noWrap/>
          </w:tcPr>
          <w:p>
            <w:pPr>
              <w:ind w:left="-38"/>
              <w:rPr>
                <w:rFonts w:ascii="宋体" w:hAnsi="宋体" w:cs="宋体"/>
                <w:szCs w:val="21"/>
                <w:highlight w:val="none"/>
              </w:rPr>
            </w:pPr>
            <w:r>
              <w:rPr>
                <w:rFonts w:ascii="宋体" w:hAnsi="宋体" w:cs="宋体"/>
                <w:szCs w:val="21"/>
                <w:highlight w:val="none"/>
              </w:rPr>
            </w:r>
            <w:r/>
          </w:p>
        </w:tc>
      </w:tr>
      <w:tr>
        <w:trPr>
          <w:jc w:val="center"/>
          <w:trHeight w:val="1512"/>
        </w:trPr>
        <w:tc>
          <w:tcPr>
            <w:tcW w:w="600" w:type="dxa"/>
            <w:vAlign w:val="center"/>
            <w:vMerge w:val="restart"/>
            <w:textDirection w:val="lrTb"/>
            <w:noWrap/>
          </w:tcPr>
          <w:p>
            <w:pPr>
              <w:ind w:firstLine="28"/>
              <w:jc w:val="center"/>
              <w:rPr>
                <w:rFonts w:ascii="宋体" w:hAnsi="宋体" w:cs="宋体"/>
                <w:szCs w:val="21"/>
                <w:highlight w:val="none"/>
              </w:rPr>
            </w:pPr>
            <w:r>
              <w:rPr>
                <w:rFonts w:hint="eastAsia" w:ascii="宋体" w:hAnsi="宋体" w:cs="宋体"/>
                <w:szCs w:val="21"/>
                <w:highlight w:val="none"/>
              </w:rPr>
              <w:t xml:space="preserve">3.1</w:t>
            </w:r>
            <w:r/>
          </w:p>
        </w:tc>
        <w:tc>
          <w:tcPr>
            <w:tcW w:w="1241" w:type="dxa"/>
            <w:vAlign w:val="center"/>
            <w:vMerge w:val="restart"/>
            <w:textDirection w:val="lrTb"/>
            <w:noWrap/>
          </w:tcPr>
          <w:p>
            <w:pPr>
              <w:jc w:val="center"/>
              <w:rPr>
                <w:rFonts w:ascii="宋体" w:hAnsi="宋体" w:cs="宋体"/>
                <w:szCs w:val="21"/>
                <w:highlight w:val="none"/>
              </w:rPr>
            </w:pPr>
            <w:r>
              <w:rPr>
                <w:rFonts w:hint="eastAsia" w:ascii="宋体" w:hAnsi="宋体" w:cs="宋体"/>
                <w:szCs w:val="21"/>
                <w:highlight w:val="none"/>
              </w:rPr>
              <w:t xml:space="preserve">综合实力</w:t>
            </w:r>
            <w:r/>
          </w:p>
        </w:tc>
        <w:tc>
          <w:tcPr>
            <w:tcW w:w="804" w:type="dxa"/>
            <w:vAlign w:val="center"/>
            <w:textDirection w:val="lrTb"/>
            <w:noWrap/>
          </w:tcPr>
          <w:p>
            <w:pPr>
              <w:jc w:val="center"/>
              <w:spacing w:line="360" w:lineRule="exact"/>
              <w:rPr>
                <w:rFonts w:ascii="宋体" w:hAnsi="宋体" w:cs="宋体"/>
                <w:szCs w:val="21"/>
                <w:highlight w:val="none"/>
              </w:rPr>
            </w:pPr>
            <w:r>
              <w:rPr>
                <w:rFonts w:hint="eastAsia" w:ascii="宋体" w:hAnsi="宋体" w:cs="宋体"/>
                <w:szCs w:val="21"/>
                <w:highlight w:val="none"/>
              </w:rPr>
              <w:t xml:space="preserve">10</w:t>
            </w:r>
            <w:r/>
          </w:p>
        </w:tc>
        <w:tc>
          <w:tcPr>
            <w:tcW w:w="5682" w:type="dxa"/>
            <w:vAlign w:val="center"/>
            <w:textDirection w:val="lrTb"/>
            <w:noWrap/>
          </w:tcPr>
          <w:p>
            <w:pPr>
              <w:jc w:val="left"/>
              <w:rPr>
                <w:rFonts w:hint="eastAsia" w:ascii="宋体" w:hAnsi="宋体" w:cs="宋体"/>
                <w:b w:val="0"/>
                <w:bCs w:val="0"/>
                <w:szCs w:val="21"/>
                <w:highlight w:val="none"/>
              </w:rPr>
            </w:pPr>
            <w:r>
              <w:rPr>
                <w:rFonts w:hint="eastAsia" w:ascii="宋体" w:hAnsi="宋体" w:cs="宋体"/>
                <w:b w:val="0"/>
                <w:bCs w:val="0"/>
                <w:szCs w:val="21"/>
                <w:highlight w:val="none"/>
              </w:rPr>
              <w:t xml:space="preserve">投标人所属总公司2025年第四季度末核心偿付能力充足率f&gt;210%得10分，180%&lt;f≤210%得8分，150%&lt;f≤180%得6分，120%&lt;f≤150%得4分，100%&lt;f≤120%得2分，f≤100%不得分。</w:t>
            </w:r>
            <w:r/>
          </w:p>
          <w:p>
            <w:pPr>
              <w:jc w:val="left"/>
              <w:rPr>
                <w:rFonts w:ascii="宋体" w:hAnsi="宋体" w:cs="宋体"/>
                <w:szCs w:val="21"/>
                <w:highlight w:val="none"/>
              </w:rPr>
            </w:pPr>
            <w:r>
              <w:rPr>
                <w:rFonts w:hint="eastAsia" w:ascii="宋体" w:hAnsi="宋体" w:cs="宋体"/>
                <w:b/>
                <w:bCs/>
                <w:szCs w:val="21"/>
                <w:highlight w:val="none"/>
              </w:rPr>
              <w:t xml:space="preserve">注：提供总公司2025年第四季度偿付能力报告</w:t>
            </w:r>
            <w:r>
              <w:rPr>
                <w:rFonts w:hint="eastAsia" w:ascii="宋体" w:hAnsi="宋体" w:cs="宋体"/>
                <w:color w:val="ff0000"/>
                <w:szCs w:val="21"/>
                <w:highlight w:val="none"/>
              </w:rPr>
              <w:t xml:space="preserve">证明材料</w:t>
            </w:r>
            <w:r>
              <w:rPr>
                <w:rFonts w:hint="eastAsia" w:ascii="宋体" w:hAnsi="宋体" w:cs="宋体"/>
                <w:b/>
                <w:bCs/>
                <w:szCs w:val="21"/>
                <w:highlight w:val="none"/>
              </w:rPr>
              <w:t xml:space="preserve">并加盖投标人公章，不提供不得分。</w:t>
            </w:r>
            <w:r/>
          </w:p>
        </w:tc>
        <w:tc>
          <w:tcPr>
            <w:tcW w:w="1875" w:type="dxa"/>
            <w:vAlign w:val="center"/>
            <w:textDirection w:val="lrTb"/>
            <w:noWrap/>
          </w:tcPr>
          <w:p>
            <w:pPr>
              <w:ind w:left="-38"/>
              <w:rPr>
                <w:rFonts w:ascii="宋体" w:hAnsi="宋体" w:cs="宋体"/>
                <w:szCs w:val="21"/>
                <w:highlight w:val="none"/>
              </w:rPr>
            </w:pPr>
            <w:r>
              <w:rPr>
                <w:rFonts w:ascii="宋体" w:hAnsi="宋体" w:cs="宋体"/>
                <w:szCs w:val="21"/>
                <w:highlight w:val="none"/>
              </w:rPr>
            </w:r>
            <w:r/>
          </w:p>
        </w:tc>
      </w:tr>
      <w:tr>
        <w:trPr>
          <w:jc w:val="center"/>
          <w:trHeight w:val="2634"/>
        </w:trPr>
        <w:tc>
          <w:tcPr>
            <w:tcW w:w="600" w:type="dxa"/>
            <w:vAlign w:val="center"/>
            <w:vMerge w:val="continue"/>
            <w:textDirection w:val="lrTb"/>
            <w:noWrap/>
          </w:tcPr>
          <w:p>
            <w:pPr>
              <w:ind w:firstLine="28"/>
              <w:jc w:val="center"/>
              <w:rPr>
                <w:rFonts w:ascii="宋体" w:hAnsi="宋体" w:cs="宋体"/>
                <w:szCs w:val="21"/>
                <w:highlight w:val="none"/>
              </w:rPr>
            </w:pPr>
            <w:r>
              <w:rPr>
                <w:rFonts w:ascii="宋体" w:hAnsi="宋体" w:cs="宋体"/>
                <w:szCs w:val="21"/>
                <w:highlight w:val="none"/>
              </w:rPr>
            </w:r>
            <w:r/>
          </w:p>
        </w:tc>
        <w:tc>
          <w:tcPr>
            <w:tcW w:w="1241" w:type="dxa"/>
            <w:vAlign w:val="center"/>
            <w:vMerge w:val="continue"/>
            <w:textDirection w:val="lrTb"/>
            <w:noWrap/>
          </w:tcPr>
          <w:p>
            <w:pPr>
              <w:jc w:val="center"/>
              <w:spacing w:line="360" w:lineRule="exact"/>
              <w:rPr>
                <w:rFonts w:ascii="宋体" w:hAnsi="宋体" w:cs="宋体"/>
                <w:szCs w:val="21"/>
                <w:highlight w:val="none"/>
              </w:rPr>
            </w:pPr>
            <w:r>
              <w:rPr>
                <w:rFonts w:ascii="宋体" w:hAnsi="宋体" w:cs="宋体"/>
                <w:szCs w:val="21"/>
                <w:highlight w:val="none"/>
              </w:rPr>
            </w:r>
            <w:r/>
          </w:p>
        </w:tc>
        <w:tc>
          <w:tcPr>
            <w:tcW w:w="804" w:type="dxa"/>
            <w:vAlign w:val="center"/>
            <w:textDirection w:val="lrTb"/>
            <w:noWrap/>
          </w:tcPr>
          <w:p>
            <w:pPr>
              <w:jc w:val="center"/>
              <w:spacing w:line="360" w:lineRule="exact"/>
              <w:rPr>
                <w:rFonts w:ascii="宋体" w:hAnsi="宋体" w:cs="宋体"/>
                <w:szCs w:val="21"/>
                <w:highlight w:val="none"/>
              </w:rPr>
            </w:pPr>
            <w:r>
              <w:rPr>
                <w:rFonts w:hint="eastAsia" w:ascii="宋体" w:hAnsi="宋体" w:cs="宋体"/>
                <w:szCs w:val="21"/>
                <w:highlight w:val="none"/>
              </w:rPr>
              <w:t xml:space="preserve">10</w:t>
            </w:r>
            <w:r/>
          </w:p>
        </w:tc>
        <w:tc>
          <w:tcPr>
            <w:tcW w:w="5682" w:type="dxa"/>
            <w:vAlign w:val="center"/>
            <w:textDirection w:val="lrTb"/>
            <w:noWrap/>
          </w:tcPr>
          <w:p>
            <w:pPr>
              <w:jc w:val="left"/>
              <w:rPr>
                <w:rFonts w:ascii="宋体" w:hAnsi="宋体" w:cs="宋体"/>
                <w:szCs w:val="21"/>
                <w:highlight w:val="none"/>
              </w:rPr>
            </w:pPr>
            <w:r>
              <w:rPr>
                <w:rFonts w:hint="eastAsia" w:ascii="宋体" w:hAnsi="宋体" w:cs="宋体"/>
                <w:szCs w:val="21"/>
                <w:highlight w:val="none"/>
              </w:rPr>
              <w:t xml:space="preserve">（2）投标人总公司经营评价最新结果为A类的得</w:t>
            </w:r>
            <w:r>
              <w:rPr>
                <w:rFonts w:hint="eastAsia" w:ascii="宋体" w:hAnsi="宋体" w:cs="宋体"/>
                <w:b/>
                <w:bCs/>
                <w:szCs w:val="21"/>
                <w:highlight w:val="none"/>
              </w:rPr>
              <w:t xml:space="preserve">10分</w:t>
            </w:r>
            <w:r>
              <w:rPr>
                <w:rFonts w:hint="eastAsia" w:ascii="宋体" w:hAnsi="宋体" w:cs="宋体"/>
                <w:szCs w:val="21"/>
                <w:highlight w:val="none"/>
              </w:rPr>
              <w:t xml:space="preserve">，经营评价最新结果为B类得</w:t>
            </w:r>
            <w:r>
              <w:rPr>
                <w:rFonts w:hint="eastAsia" w:ascii="宋体" w:hAnsi="宋体" w:cs="宋体"/>
                <w:b/>
                <w:bCs/>
                <w:szCs w:val="21"/>
                <w:highlight w:val="none"/>
              </w:rPr>
              <w:t xml:space="preserve">7分</w:t>
            </w:r>
            <w:r>
              <w:rPr>
                <w:rFonts w:hint="eastAsia" w:ascii="宋体" w:hAnsi="宋体" w:cs="宋体"/>
                <w:szCs w:val="21"/>
                <w:highlight w:val="none"/>
              </w:rPr>
              <w:t xml:space="preserve">，经营评价最新结果为C类的得</w:t>
            </w:r>
            <w:r>
              <w:rPr>
                <w:rFonts w:hint="eastAsia" w:ascii="宋体" w:hAnsi="宋体" w:cs="宋体"/>
                <w:b/>
                <w:bCs/>
                <w:szCs w:val="21"/>
                <w:highlight w:val="none"/>
              </w:rPr>
              <w:t xml:space="preserve">4分</w:t>
            </w:r>
            <w:r>
              <w:rPr>
                <w:rFonts w:hint="eastAsia" w:ascii="宋体" w:hAnsi="宋体" w:cs="宋体"/>
                <w:szCs w:val="21"/>
                <w:highlight w:val="none"/>
              </w:rPr>
              <w:t xml:space="preserve">，经营评价最新结果为C类以下的不得分。</w:t>
            </w:r>
            <w:r/>
          </w:p>
          <w:p>
            <w:pPr>
              <w:jc w:val="left"/>
              <w:rPr>
                <w:rFonts w:ascii="宋体" w:hAnsi="宋体" w:cs="宋体"/>
                <w:b/>
                <w:bCs/>
                <w:szCs w:val="21"/>
                <w:highlight w:val="none"/>
              </w:rPr>
            </w:pPr>
            <w:r>
              <w:rPr>
                <w:rFonts w:hint="eastAsia" w:ascii="宋体" w:hAnsi="宋体" w:cs="宋体"/>
                <w:b/>
                <w:bCs/>
                <w:szCs w:val="21"/>
                <w:highlight w:val="none"/>
              </w:rPr>
              <w:t xml:space="preserve">注：提供中国保险行业协会最新公布的经营评价结果复印件并加盖投标人公章，未提供或提供的内容不能反映上述要求的，本项不得分。</w:t>
            </w:r>
            <w:r/>
          </w:p>
        </w:tc>
        <w:tc>
          <w:tcPr>
            <w:tcW w:w="1875" w:type="dxa"/>
            <w:vAlign w:val="center"/>
            <w:textDirection w:val="lrTb"/>
            <w:noWrap/>
          </w:tcPr>
          <w:p>
            <w:pPr>
              <w:ind w:left="-38"/>
              <w:rPr>
                <w:rFonts w:ascii="宋体" w:hAnsi="宋体" w:cs="宋体"/>
                <w:szCs w:val="21"/>
                <w:highlight w:val="none"/>
              </w:rPr>
            </w:pPr>
            <w:r>
              <w:rPr>
                <w:rFonts w:ascii="宋体" w:hAnsi="宋体" w:cs="宋体"/>
                <w:szCs w:val="21"/>
                <w:highlight w:val="none"/>
              </w:rPr>
            </w:r>
            <w:r/>
          </w:p>
        </w:tc>
      </w:tr>
      <w:tr>
        <w:trPr>
          <w:jc w:val="center"/>
          <w:trHeight w:val="1552"/>
        </w:trPr>
        <w:tc>
          <w:tcPr>
            <w:tcW w:w="600" w:type="dxa"/>
            <w:vAlign w:val="center"/>
            <w:vMerge w:val="continue"/>
            <w:textDirection w:val="lrTb"/>
            <w:noWrap/>
          </w:tcPr>
          <w:p>
            <w:pPr>
              <w:ind w:firstLine="28"/>
              <w:jc w:val="center"/>
              <w:rPr>
                <w:rFonts w:ascii="宋体" w:hAnsi="宋体" w:cs="宋体"/>
                <w:szCs w:val="21"/>
                <w:highlight w:val="none"/>
              </w:rPr>
            </w:pPr>
            <w:r>
              <w:rPr>
                <w:rFonts w:ascii="宋体" w:hAnsi="宋体" w:cs="宋体"/>
                <w:szCs w:val="21"/>
                <w:highlight w:val="none"/>
              </w:rPr>
            </w:r>
            <w:r/>
          </w:p>
        </w:tc>
        <w:tc>
          <w:tcPr>
            <w:tcW w:w="1241" w:type="dxa"/>
            <w:vAlign w:val="center"/>
            <w:vMerge w:val="continue"/>
            <w:textDirection w:val="lrTb"/>
            <w:noWrap/>
          </w:tcPr>
          <w:p>
            <w:pPr>
              <w:jc w:val="center"/>
              <w:spacing w:line="360" w:lineRule="exact"/>
              <w:rPr>
                <w:rFonts w:ascii="宋体" w:hAnsi="宋体" w:cs="宋体"/>
                <w:szCs w:val="21"/>
                <w:highlight w:val="none"/>
              </w:rPr>
            </w:pPr>
            <w:r>
              <w:rPr>
                <w:rFonts w:ascii="宋体" w:hAnsi="宋体" w:cs="宋体"/>
                <w:szCs w:val="21"/>
                <w:highlight w:val="none"/>
              </w:rPr>
            </w:r>
            <w:r/>
          </w:p>
        </w:tc>
        <w:tc>
          <w:tcPr>
            <w:tcW w:w="804" w:type="dxa"/>
            <w:vAlign w:val="center"/>
            <w:textDirection w:val="lrTb"/>
            <w:noWrap/>
          </w:tcPr>
          <w:p>
            <w:pPr>
              <w:jc w:val="center"/>
              <w:spacing w:line="360" w:lineRule="exact"/>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5</w:t>
            </w:r>
            <w:r/>
          </w:p>
        </w:tc>
        <w:tc>
          <w:tcPr>
            <w:tcW w:w="5682" w:type="dxa"/>
            <w:vAlign w:val="center"/>
            <w:textDirection w:val="lrTb"/>
            <w:noWrap/>
          </w:tcPr>
          <w:p>
            <w:pPr>
              <w:jc w:val="left"/>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）根据各投标人总公司</w:t>
            </w:r>
            <w:r>
              <w:rPr>
                <w:rFonts w:hint="eastAsia" w:ascii="宋体" w:hAnsi="宋体" w:cs="宋体"/>
                <w:b/>
                <w:bCs/>
                <w:szCs w:val="21"/>
                <w:highlight w:val="none"/>
              </w:rPr>
              <w:t xml:space="preserve">最新季度</w:t>
            </w:r>
            <w:r>
              <w:rPr>
                <w:rFonts w:hint="eastAsia" w:ascii="宋体" w:hAnsi="宋体" w:cs="宋体"/>
                <w:szCs w:val="21"/>
                <w:highlight w:val="none"/>
              </w:rPr>
              <w:t xml:space="preserve">的亿元保费投诉量进行评分：亿元保费投诉量&lt;3件/亿元的得</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分</w:t>
            </w:r>
            <w:r>
              <w:rPr>
                <w:rFonts w:hint="eastAsia" w:ascii="宋体" w:hAnsi="宋体" w:cs="宋体"/>
                <w:szCs w:val="21"/>
                <w:highlight w:val="none"/>
              </w:rPr>
              <w:t xml:space="preserve">；5件/亿元&gt;亿元保费投诉量≥3件/亿元的得</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分</w:t>
            </w:r>
            <w:r>
              <w:rPr>
                <w:rFonts w:hint="eastAsia" w:ascii="宋体" w:hAnsi="宋体" w:cs="宋体"/>
                <w:szCs w:val="21"/>
                <w:highlight w:val="none"/>
              </w:rPr>
              <w:t xml:space="preserve">；7件/亿元&gt;亿元保费投诉量≥5件/亿元的得</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rPr>
              <w:t xml:space="preserve">分</w:t>
            </w:r>
            <w:r>
              <w:rPr>
                <w:rFonts w:hint="eastAsia" w:ascii="宋体" w:hAnsi="宋体" w:cs="宋体"/>
                <w:szCs w:val="21"/>
                <w:highlight w:val="none"/>
              </w:rPr>
              <w:t xml:space="preserve">；其余不得分。</w:t>
            </w:r>
            <w:r/>
          </w:p>
          <w:p>
            <w:pPr>
              <w:jc w:val="left"/>
              <w:rPr>
                <w:rFonts w:ascii="宋体" w:hAnsi="宋体" w:cs="宋体"/>
                <w:szCs w:val="21"/>
                <w:highlight w:val="none"/>
              </w:rPr>
            </w:pPr>
            <w:r>
              <w:rPr>
                <w:rFonts w:hint="eastAsia" w:ascii="宋体" w:hAnsi="宋体" w:cs="宋体"/>
                <w:b/>
                <w:bCs/>
                <w:szCs w:val="21"/>
                <w:highlight w:val="none"/>
              </w:rPr>
              <w:t xml:space="preserve">注：以响应文件递交截止日当天国家金融监督管理局官网发布的最新信息为准；须提供网页截图及网页查询网址，不提供不得分。</w:t>
            </w:r>
            <w:r/>
          </w:p>
        </w:tc>
        <w:tc>
          <w:tcPr>
            <w:tcW w:w="1875" w:type="dxa"/>
            <w:vAlign w:val="center"/>
            <w:textDirection w:val="lrTb"/>
            <w:noWrap/>
          </w:tcPr>
          <w:p>
            <w:pPr>
              <w:ind w:left="-38"/>
              <w:rPr>
                <w:rFonts w:ascii="宋体" w:hAnsi="宋体" w:cs="宋体"/>
                <w:szCs w:val="21"/>
                <w:highlight w:val="none"/>
              </w:rPr>
            </w:pPr>
            <w:r>
              <w:rPr>
                <w:rFonts w:ascii="宋体" w:hAnsi="宋体" w:cs="宋体"/>
                <w:szCs w:val="21"/>
                <w:highlight w:val="none"/>
              </w:rPr>
            </w:r>
            <w:r/>
          </w:p>
        </w:tc>
      </w:tr>
      <w:tr>
        <w:trPr>
          <w:jc w:val="center"/>
          <w:trHeight w:val="1552"/>
        </w:trPr>
        <w:tc>
          <w:tcPr>
            <w:tcW w:w="600" w:type="dxa"/>
            <w:vAlign w:val="center"/>
            <w:vMerge w:val="continue"/>
            <w:textDirection w:val="lrTb"/>
            <w:noWrap/>
          </w:tcPr>
          <w:p>
            <w:pPr>
              <w:ind w:firstLine="28"/>
              <w:jc w:val="center"/>
              <w:rPr>
                <w:rFonts w:ascii="宋体" w:hAnsi="宋体" w:cs="宋体"/>
                <w:szCs w:val="21"/>
                <w:highlight w:val="none"/>
              </w:rPr>
            </w:pPr>
            <w:r>
              <w:rPr>
                <w:rFonts w:ascii="宋体" w:hAnsi="宋体" w:cs="宋体"/>
                <w:szCs w:val="21"/>
                <w:highlight w:val="none"/>
              </w:rPr>
            </w:r>
            <w:r/>
          </w:p>
        </w:tc>
        <w:tc>
          <w:tcPr>
            <w:tcW w:w="1241" w:type="dxa"/>
            <w:vAlign w:val="center"/>
            <w:vMerge w:val="continue"/>
            <w:textDirection w:val="lrTb"/>
            <w:noWrap/>
          </w:tcPr>
          <w:p>
            <w:pPr>
              <w:jc w:val="center"/>
              <w:spacing w:line="360" w:lineRule="exact"/>
              <w:rPr>
                <w:rFonts w:ascii="宋体" w:hAnsi="宋体" w:cs="宋体"/>
                <w:szCs w:val="21"/>
                <w:highlight w:val="none"/>
              </w:rPr>
            </w:pPr>
            <w:r>
              <w:rPr>
                <w:rFonts w:ascii="宋体" w:hAnsi="宋体" w:cs="宋体"/>
                <w:szCs w:val="21"/>
                <w:highlight w:val="none"/>
              </w:rPr>
            </w:r>
            <w:r/>
          </w:p>
        </w:tc>
        <w:tc>
          <w:tcPr>
            <w:tcW w:w="804" w:type="dxa"/>
            <w:vAlign w:val="center"/>
            <w:textDirection w:val="lrTb"/>
            <w:noWrap/>
          </w:tcPr>
          <w:p>
            <w:pPr>
              <w:jc w:val="center"/>
              <w:spacing w:line="360" w:lineRule="exac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5</w:t>
            </w:r>
            <w:r/>
          </w:p>
        </w:tc>
        <w:tc>
          <w:tcPr>
            <w:tcW w:w="5682" w:type="dxa"/>
            <w:vAlign w:val="center"/>
            <w:textDirection w:val="lrTb"/>
            <w:noWrap/>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人与三级医院签订绿色通道合作协议，约定在紧急或突发情况下，三级医院应当建立绿色通道，优先响应投标人或投标人客户的救治需求（包括但不限于紧急救护、检查、手术等），根据与投标人签订绿色通道合作协议的数量进行打分，</w:t>
            </w:r>
            <w:r>
              <w:rPr>
                <w:rFonts w:hint="eastAsia" w:ascii="宋体" w:hAnsi="宋体" w:eastAsia="宋体" w:cs="宋体"/>
                <w:color w:val="auto"/>
                <w:sz w:val="21"/>
                <w:szCs w:val="21"/>
                <w:highlight w:val="none"/>
                <w:lang w:val="en-US" w:eastAsia="zh-CN"/>
              </w:rPr>
              <w:t xml:space="preserve">每有一家得1分</w:t>
            </w:r>
            <w:r>
              <w:rPr>
                <w:rFonts w:hint="eastAsia" w:ascii="宋体" w:hAnsi="宋体" w:eastAsia="宋体" w:cs="宋体"/>
                <w:color w:val="auto"/>
                <w:sz w:val="21"/>
                <w:szCs w:val="21"/>
                <w:highlight w:val="none"/>
                <w:lang w:val="en-US" w:eastAsia="zh-CN"/>
              </w:rPr>
              <w:t xml:space="preserve">，最高得5分</w:t>
            </w:r>
            <w:r>
              <w:rPr>
                <w:rFonts w:hint="eastAsia" w:ascii="宋体" w:hAnsi="宋体" w:eastAsia="宋体" w:cs="宋体"/>
                <w:color w:val="auto"/>
                <w:sz w:val="21"/>
                <w:szCs w:val="21"/>
                <w:highlight w:val="none"/>
                <w:lang w:val="en-US" w:eastAsia="zh-CN"/>
              </w:rPr>
              <w:t xml:space="preserve">。</w:t>
            </w:r>
            <w:r/>
          </w:p>
          <w:p>
            <w:pPr>
              <w:jc w:val="left"/>
              <w:rPr>
                <w:rFonts w:hint="eastAsia" w:ascii="宋体" w:hAnsi="宋体" w:cs="宋体"/>
                <w:b/>
                <w:bCs/>
                <w:sz w:val="21"/>
                <w:szCs w:val="21"/>
                <w:highlight w:val="none"/>
              </w:rPr>
            </w:pPr>
            <w:r>
              <w:rPr>
                <w:rFonts w:hint="eastAsia" w:ascii="宋体" w:hAnsi="宋体" w:cs="宋体"/>
                <w:b/>
                <w:bCs/>
                <w:sz w:val="21"/>
                <w:szCs w:val="21"/>
                <w:highlight w:val="none"/>
              </w:rPr>
              <w:t xml:space="preserve">注：提供</w:t>
            </w:r>
            <w:r>
              <w:rPr>
                <w:rFonts w:hint="eastAsia" w:ascii="宋体" w:hAnsi="宋体" w:cs="宋体"/>
                <w:b/>
                <w:bCs/>
                <w:sz w:val="21"/>
                <w:szCs w:val="21"/>
                <w:highlight w:val="none"/>
                <w:lang w:eastAsia="zh-CN"/>
              </w:rPr>
              <w:t xml:space="preserve">合作协议</w:t>
            </w:r>
            <w:r>
              <w:rPr>
                <w:rFonts w:hint="eastAsia" w:ascii="宋体" w:hAnsi="宋体" w:cs="宋体"/>
                <w:color w:val="ff0000"/>
                <w:sz w:val="21"/>
                <w:szCs w:val="21"/>
                <w:highlight w:val="none"/>
              </w:rPr>
              <w:t xml:space="preserve">证明材料</w:t>
            </w:r>
            <w:r>
              <w:rPr>
                <w:rFonts w:hint="eastAsia" w:ascii="宋体" w:hAnsi="宋体" w:cs="宋体"/>
                <w:b/>
                <w:bCs/>
                <w:sz w:val="21"/>
                <w:szCs w:val="21"/>
                <w:highlight w:val="none"/>
              </w:rPr>
              <w:t xml:space="preserve">，不提供不得分。</w:t>
            </w:r>
            <w:r/>
          </w:p>
        </w:tc>
        <w:tc>
          <w:tcPr>
            <w:tcW w:w="1875" w:type="dxa"/>
            <w:vAlign w:val="center"/>
            <w:textDirection w:val="lrTb"/>
            <w:noWrap/>
          </w:tcPr>
          <w:p>
            <w:pPr>
              <w:ind w:left="-38"/>
              <w:rPr>
                <w:rFonts w:ascii="宋体" w:hAnsi="宋体" w:cs="宋体"/>
                <w:szCs w:val="21"/>
                <w:highlight w:val="none"/>
              </w:rPr>
            </w:pPr>
            <w:r>
              <w:rPr>
                <w:rFonts w:ascii="宋体" w:hAnsi="宋体" w:cs="宋体"/>
                <w:szCs w:val="21"/>
                <w:highlight w:val="none"/>
              </w:rPr>
            </w:r>
            <w:r/>
          </w:p>
        </w:tc>
      </w:tr>
      <w:tr>
        <w:trPr>
          <w:jc w:val="center"/>
          <w:trHeight w:val="1212"/>
        </w:trPr>
        <w:tc>
          <w:tcPr>
            <w:tcW w:w="600" w:type="dxa"/>
            <w:vAlign w:val="center"/>
            <w:vMerge w:val="continue"/>
            <w:textDirection w:val="lrTb"/>
            <w:noWrap/>
          </w:tcPr>
          <w:p>
            <w:pPr>
              <w:ind w:firstLine="28"/>
              <w:jc w:val="center"/>
              <w:rPr>
                <w:rFonts w:ascii="宋体" w:hAnsi="宋体" w:cs="宋体"/>
                <w:szCs w:val="21"/>
                <w:highlight w:val="none"/>
              </w:rPr>
            </w:pPr>
            <w:r>
              <w:rPr>
                <w:rFonts w:ascii="宋体" w:hAnsi="宋体" w:cs="宋体"/>
                <w:szCs w:val="21"/>
                <w:highlight w:val="none"/>
              </w:rPr>
            </w:r>
            <w:r/>
          </w:p>
        </w:tc>
        <w:tc>
          <w:tcPr>
            <w:tcW w:w="1241" w:type="dxa"/>
            <w:vAlign w:val="center"/>
            <w:vMerge w:val="continue"/>
            <w:textDirection w:val="lrTb"/>
            <w:noWrap/>
          </w:tcPr>
          <w:p>
            <w:pPr>
              <w:jc w:val="center"/>
              <w:spacing w:line="360" w:lineRule="exact"/>
              <w:rPr>
                <w:rFonts w:ascii="宋体" w:hAnsi="宋体" w:cs="宋体"/>
                <w:szCs w:val="21"/>
                <w:highlight w:val="none"/>
              </w:rPr>
            </w:pPr>
            <w:r>
              <w:rPr>
                <w:rFonts w:ascii="宋体" w:hAnsi="宋体" w:cs="宋体"/>
                <w:szCs w:val="21"/>
                <w:highlight w:val="none"/>
              </w:rPr>
            </w:r>
            <w:r/>
          </w:p>
        </w:tc>
        <w:tc>
          <w:tcPr>
            <w:tcW w:w="804" w:type="dxa"/>
            <w:vAlign w:val="center"/>
            <w:textDirection w:val="lrTb"/>
            <w:noWrap/>
          </w:tcPr>
          <w:p>
            <w:pPr>
              <w:jc w:val="center"/>
              <w:spacing w:line="360" w:lineRule="exac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5</w:t>
            </w:r>
            <w:r/>
          </w:p>
        </w:tc>
        <w:tc>
          <w:tcPr>
            <w:tcW w:w="5682"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投标人自2023年以来获得由党政机关、事业单位颁发的荣誉，每有1项得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jc w:val="left"/>
              <w:rPr>
                <w:rFonts w:hint="eastAsia" w:ascii="宋体" w:hAnsi="宋体" w:eastAsia="宋体" w:cs="宋体"/>
                <w:color w:val="auto"/>
                <w:sz w:val="21"/>
                <w:szCs w:val="21"/>
                <w:highlight w:val="none"/>
              </w:rPr>
            </w:pPr>
            <w:r>
              <w:rPr>
                <w:rFonts w:hint="eastAsia" w:ascii="宋体" w:hAnsi="宋体" w:cs="宋体"/>
                <w:b/>
                <w:bCs/>
                <w:sz w:val="21"/>
                <w:szCs w:val="21"/>
                <w:highlight w:val="none"/>
              </w:rPr>
              <w:t xml:space="preserve">注：提供证书或奖章奖牌</w:t>
            </w:r>
            <w:r>
              <w:rPr>
                <w:rFonts w:hint="eastAsia" w:ascii="宋体" w:hAnsi="宋体" w:cs="宋体"/>
                <w:color w:val="ff0000"/>
                <w:sz w:val="21"/>
                <w:szCs w:val="21"/>
                <w:highlight w:val="none"/>
              </w:rPr>
              <w:t xml:space="preserve">证明材料</w:t>
            </w:r>
            <w:r>
              <w:rPr>
                <w:rFonts w:hint="eastAsia" w:ascii="宋体" w:hAnsi="宋体" w:cs="宋体"/>
                <w:b/>
                <w:bCs/>
                <w:sz w:val="21"/>
                <w:szCs w:val="21"/>
                <w:highlight w:val="none"/>
              </w:rPr>
              <w:t xml:space="preserve">并加盖投标人公章，不提供不得分。</w:t>
            </w:r>
            <w:r/>
          </w:p>
        </w:tc>
        <w:tc>
          <w:tcPr>
            <w:tcW w:w="1875" w:type="dxa"/>
            <w:vAlign w:val="center"/>
            <w:textDirection w:val="lrTb"/>
            <w:noWrap/>
          </w:tcPr>
          <w:p>
            <w:pPr>
              <w:ind w:left="-38"/>
              <w:rPr>
                <w:rFonts w:ascii="宋体" w:hAnsi="宋体" w:cs="宋体"/>
                <w:szCs w:val="21"/>
                <w:highlight w:val="none"/>
              </w:rPr>
            </w:pPr>
            <w:r>
              <w:rPr>
                <w:rFonts w:ascii="宋体" w:hAnsi="宋体" w:cs="宋体"/>
                <w:szCs w:val="21"/>
                <w:highlight w:val="none"/>
              </w:rPr>
            </w:r>
            <w:r/>
          </w:p>
        </w:tc>
      </w:tr>
      <w:tr>
        <w:trPr>
          <w:jc w:val="center"/>
          <w:trHeight w:val="1445"/>
        </w:trPr>
        <w:tc>
          <w:tcPr>
            <w:tcW w:w="600" w:type="dxa"/>
            <w:vAlign w:val="center"/>
            <w:textDirection w:val="lrTb"/>
            <w:noWrap/>
          </w:tcPr>
          <w:p>
            <w:pPr>
              <w:ind w:firstLine="28"/>
              <w:jc w:val="center"/>
              <w:rPr>
                <w:rFonts w:ascii="宋体" w:hAnsi="宋体" w:cs="宋体"/>
                <w:szCs w:val="21"/>
                <w:highlight w:val="none"/>
              </w:rPr>
            </w:pPr>
            <w:r>
              <w:rPr>
                <w:rFonts w:hint="eastAsia" w:ascii="宋体" w:hAnsi="宋体" w:cs="宋体"/>
                <w:szCs w:val="21"/>
                <w:highlight w:val="none"/>
              </w:rPr>
              <w:t xml:space="preserve">3.2</w:t>
            </w:r>
            <w:r/>
          </w:p>
        </w:tc>
        <w:tc>
          <w:tcPr>
            <w:tcW w:w="1241" w:type="dxa"/>
            <w:vAlign w:val="center"/>
            <w:textDirection w:val="lrTb"/>
            <w:noWrap/>
          </w:tcPr>
          <w:p>
            <w:pPr>
              <w:jc w:val="center"/>
              <w:spacing w:line="360" w:lineRule="exact"/>
              <w:rPr>
                <w:rFonts w:ascii="宋体" w:hAnsi="宋体" w:cs="宋体"/>
                <w:szCs w:val="21"/>
                <w:highlight w:val="none"/>
              </w:rPr>
            </w:pPr>
            <w:r>
              <w:rPr>
                <w:rFonts w:hint="eastAsia" w:ascii="宋体" w:hAnsi="宋体" w:cs="宋体"/>
                <w:szCs w:val="21"/>
                <w:highlight w:val="none"/>
              </w:rPr>
              <w:t xml:space="preserve">类似业绩</w:t>
            </w:r>
            <w:r/>
          </w:p>
        </w:tc>
        <w:tc>
          <w:tcPr>
            <w:tcW w:w="804" w:type="dxa"/>
            <w:vAlign w:val="center"/>
            <w:textDirection w:val="lrTb"/>
            <w:noWrap/>
          </w:tcPr>
          <w:p>
            <w:pPr>
              <w:jc w:val="center"/>
              <w:spacing w:line="360" w:lineRule="exact"/>
              <w:rPr>
                <w:rFonts w:ascii="宋体" w:hAnsi="宋体" w:cs="宋体"/>
                <w:szCs w:val="21"/>
                <w:highlight w:val="none"/>
              </w:rPr>
            </w:pPr>
            <w:r>
              <w:rPr>
                <w:rFonts w:hint="eastAsia" w:ascii="宋体" w:hAnsi="宋体" w:cs="宋体"/>
                <w:szCs w:val="21"/>
                <w:highlight w:val="none"/>
              </w:rPr>
              <w:t xml:space="preserve">12</w:t>
            </w:r>
            <w:r/>
          </w:p>
        </w:tc>
        <w:tc>
          <w:tcPr>
            <w:tcW w:w="5682" w:type="dxa"/>
            <w:vAlign w:val="center"/>
            <w:textDirection w:val="lrTb"/>
            <w:noWrap/>
          </w:tcPr>
          <w:p>
            <w:pPr>
              <w:jc w:val="left"/>
              <w:rPr>
                <w:rFonts w:ascii="宋体" w:hAnsi="宋体" w:cs="宋体"/>
                <w:szCs w:val="21"/>
                <w:highlight w:val="none"/>
              </w:rPr>
            </w:pPr>
            <w:r>
              <w:rPr>
                <w:rFonts w:hint="eastAsia" w:ascii="宋体" w:hAnsi="宋体" w:cs="宋体"/>
                <w:szCs w:val="21"/>
                <w:highlight w:val="none"/>
              </w:rPr>
              <w:t xml:space="preserve">投标人或其分支机构近三年（投标截止时间往前推）承保过类似项目业绩的，有1项得4分；最高12分。</w:t>
            </w:r>
            <w:r/>
          </w:p>
          <w:p>
            <w:pPr>
              <w:jc w:val="left"/>
              <w:rPr>
                <w:rFonts w:ascii="宋体" w:hAnsi="宋体" w:cs="宋体"/>
                <w:szCs w:val="21"/>
                <w:highlight w:val="none"/>
              </w:rPr>
            </w:pPr>
            <w:r>
              <w:rPr>
                <w:rFonts w:hint="eastAsia" w:ascii="宋体" w:hAnsi="宋体" w:cs="宋体"/>
                <w:b/>
                <w:bCs/>
                <w:szCs w:val="21"/>
                <w:highlight w:val="none"/>
              </w:rPr>
              <w:t xml:space="preserve">注：须提供合同或保单证明材料并加盖投标人公章，不提供不得分。时间以合同或保单时间为准。</w:t>
            </w:r>
            <w:r/>
          </w:p>
        </w:tc>
        <w:tc>
          <w:tcPr>
            <w:tcW w:w="1875" w:type="dxa"/>
            <w:vAlign w:val="center"/>
            <w:textDirection w:val="lrTb"/>
            <w:noWrap/>
          </w:tcPr>
          <w:p>
            <w:pPr>
              <w:ind w:left="-38"/>
              <w:rPr>
                <w:rFonts w:ascii="宋体" w:hAnsi="宋体" w:cs="宋体"/>
                <w:szCs w:val="21"/>
                <w:highlight w:val="none"/>
              </w:rPr>
            </w:pPr>
            <w:r>
              <w:rPr>
                <w:rFonts w:ascii="宋体" w:hAnsi="宋体" w:cs="宋体"/>
                <w:szCs w:val="21"/>
                <w:highlight w:val="none"/>
              </w:rPr>
            </w:r>
            <w:r/>
          </w:p>
        </w:tc>
      </w:tr>
      <w:tr>
        <w:trPr>
          <w:jc w:val="center"/>
          <w:trHeight w:val="989"/>
        </w:trPr>
        <w:tc>
          <w:tcPr>
            <w:tcW w:w="600" w:type="dxa"/>
            <w:vAlign w:val="center"/>
            <w:textDirection w:val="lrTb"/>
            <w:noWrap/>
          </w:tcPr>
          <w:p>
            <w:pPr>
              <w:ind w:firstLine="28"/>
              <w:jc w:val="center"/>
              <w:rPr>
                <w:rFonts w:ascii="宋体" w:hAnsi="宋体" w:cs="宋体"/>
                <w:szCs w:val="21"/>
                <w:highlight w:val="none"/>
              </w:rPr>
            </w:pPr>
            <w:r>
              <w:rPr>
                <w:rFonts w:hint="eastAsia" w:ascii="宋体" w:hAnsi="宋体" w:cs="宋体"/>
                <w:szCs w:val="21"/>
                <w:highlight w:val="none"/>
              </w:rPr>
              <w:t xml:space="preserve">3.3</w:t>
            </w:r>
            <w:r/>
          </w:p>
        </w:tc>
        <w:tc>
          <w:tcPr>
            <w:tcW w:w="1241" w:type="dxa"/>
            <w:vAlign w:val="center"/>
            <w:textDirection w:val="lrTb"/>
            <w:noWrap/>
          </w:tcPr>
          <w:p>
            <w:pPr>
              <w:jc w:val="center"/>
              <w:spacing w:line="360" w:lineRule="exact"/>
              <w:rPr>
                <w:rFonts w:ascii="宋体" w:hAnsi="宋体" w:cs="宋体"/>
                <w:szCs w:val="21"/>
                <w:highlight w:val="none"/>
              </w:rPr>
            </w:pPr>
            <w:r>
              <w:rPr>
                <w:rFonts w:hint="eastAsia" w:ascii="宋体" w:hAnsi="宋体" w:cs="宋体"/>
                <w:szCs w:val="21"/>
                <w:highlight w:val="none"/>
              </w:rPr>
              <w:t xml:space="preserve">查勘车服务</w:t>
            </w:r>
            <w:r/>
          </w:p>
        </w:tc>
        <w:tc>
          <w:tcPr>
            <w:tcW w:w="804" w:type="dxa"/>
            <w:vAlign w:val="center"/>
            <w:textDirection w:val="lrTb"/>
            <w:noWrap/>
          </w:tcPr>
          <w:p>
            <w:pPr>
              <w:jc w:val="center"/>
              <w:spacing w:line="360" w:lineRule="exact"/>
              <w:rPr>
                <w:rFonts w:ascii="宋体" w:hAnsi="宋体" w:cs="宋体"/>
                <w:szCs w:val="21"/>
                <w:highlight w:val="none"/>
              </w:rPr>
            </w:pPr>
            <w:r>
              <w:rPr>
                <w:rFonts w:hint="eastAsia" w:ascii="宋体" w:hAnsi="宋体" w:cs="宋体"/>
                <w:szCs w:val="21"/>
                <w:highlight w:val="none"/>
              </w:rPr>
              <w:t xml:space="preserve">6</w:t>
            </w:r>
            <w:r/>
          </w:p>
        </w:tc>
        <w:tc>
          <w:tcPr>
            <w:tcW w:w="5682" w:type="dxa"/>
            <w:vAlign w:val="center"/>
            <w:textDirection w:val="lrTb"/>
            <w:noWrap/>
          </w:tcPr>
          <w:p>
            <w:pPr>
              <w:jc w:val="left"/>
              <w:rPr>
                <w:rFonts w:ascii="宋体" w:hAnsi="宋体" w:cs="宋体"/>
                <w:szCs w:val="21"/>
                <w:highlight w:val="none"/>
              </w:rPr>
            </w:pPr>
            <w:r>
              <w:rPr>
                <w:rFonts w:hint="eastAsia" w:ascii="宋体" w:hAnsi="宋体" w:cs="宋体"/>
                <w:szCs w:val="21"/>
                <w:highlight w:val="none"/>
              </w:rPr>
              <w:t xml:space="preserve">投标人或其分支机构配备查勘车辆（含自有、合法租赁），并承诺专项用于本项目服务的，每 1 辆得 1 分，本项最高得 6 分。</w:t>
            </w:r>
            <w:r/>
          </w:p>
          <w:p>
            <w:pPr>
              <w:jc w:val="left"/>
              <w:rPr>
                <w:rFonts w:ascii="宋体" w:hAnsi="宋体" w:cs="宋体"/>
                <w:b/>
                <w:bCs/>
                <w:szCs w:val="21"/>
                <w:highlight w:val="none"/>
              </w:rPr>
            </w:pPr>
            <w:r>
              <w:rPr>
                <w:rFonts w:hint="eastAsia" w:ascii="宋体" w:hAnsi="宋体" w:cs="宋体"/>
                <w:b/>
                <w:bCs/>
                <w:szCs w:val="21"/>
                <w:highlight w:val="none"/>
              </w:rPr>
              <w:t xml:space="preserve">注：自有车辆须提供机动车登记证书、机动车行驶证、车辆购买发票证明材料；租赁车辆须提供合法有效的车辆租赁合同及车辆行驶证证明材料。以上所有证明材料均须加盖投标人公章，并同步提供承诺书（格式自拟）。不提供或提供不全均不得分。</w:t>
            </w:r>
            <w:r/>
          </w:p>
        </w:tc>
        <w:tc>
          <w:tcPr>
            <w:tcW w:w="1875" w:type="dxa"/>
            <w:vAlign w:val="center"/>
            <w:textDirection w:val="lrTb"/>
            <w:noWrap/>
          </w:tcPr>
          <w:p>
            <w:pPr>
              <w:ind w:left="-38"/>
              <w:rPr>
                <w:rFonts w:ascii="宋体" w:hAnsi="宋体" w:cs="宋体"/>
                <w:szCs w:val="21"/>
                <w:highlight w:val="none"/>
              </w:rPr>
            </w:pPr>
            <w:r>
              <w:rPr>
                <w:rFonts w:ascii="宋体" w:hAnsi="宋体" w:cs="宋体"/>
                <w:szCs w:val="21"/>
                <w:highlight w:val="none"/>
              </w:rPr>
            </w:r>
            <w:r/>
          </w:p>
        </w:tc>
      </w:tr>
      <w:tr>
        <w:trPr>
          <w:jc w:val="center"/>
          <w:trHeight w:val="989"/>
        </w:trPr>
        <w:tc>
          <w:tcPr>
            <w:tcW w:w="600" w:type="dxa"/>
            <w:vAlign w:val="center"/>
            <w:textDirection w:val="lrTb"/>
            <w:noWrap/>
          </w:tcPr>
          <w:p>
            <w:pPr>
              <w:ind w:firstLine="28"/>
              <w:jc w:val="center"/>
              <w:rPr>
                <w:rFonts w:ascii="宋体" w:hAnsi="宋体" w:cs="宋体"/>
                <w:szCs w:val="21"/>
                <w:highlight w:val="none"/>
              </w:rPr>
            </w:pPr>
            <w:r>
              <w:rPr>
                <w:rFonts w:hint="eastAsia" w:ascii="宋体" w:hAnsi="宋体" w:cs="宋体"/>
                <w:szCs w:val="21"/>
                <w:highlight w:val="none"/>
              </w:rPr>
              <w:t xml:space="preserve">3.4</w:t>
            </w:r>
            <w:r/>
          </w:p>
        </w:tc>
        <w:tc>
          <w:tcPr>
            <w:tcW w:w="1241"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增值服务</w:t>
            </w:r>
            <w:r/>
          </w:p>
        </w:tc>
        <w:tc>
          <w:tcPr>
            <w:tcW w:w="804" w:type="dxa"/>
            <w:vAlign w:val="center"/>
            <w:textDirection w:val="lrTb"/>
            <w:noWrap/>
          </w:tcPr>
          <w:p>
            <w:pPr>
              <w:jc w:val="center"/>
              <w:spacing w:line="360" w:lineRule="exact"/>
              <w:rPr>
                <w:rFonts w:ascii="宋体" w:hAnsi="宋体" w:cs="宋体"/>
                <w:szCs w:val="21"/>
                <w:highlight w:val="none"/>
              </w:rPr>
            </w:pPr>
            <w:r>
              <w:rPr>
                <w:rFonts w:hint="eastAsia" w:ascii="宋体" w:hAnsi="宋体" w:cs="宋体"/>
                <w:szCs w:val="21"/>
                <w:highlight w:val="none"/>
              </w:rPr>
              <w:t xml:space="preserve">6</w:t>
            </w:r>
            <w:r/>
          </w:p>
        </w:tc>
        <w:tc>
          <w:tcPr>
            <w:tcW w:w="5682" w:type="dxa"/>
            <w:vAlign w:val="center"/>
            <w:textDirection w:val="lrTb"/>
            <w:noWrap/>
          </w:tcPr>
          <w:p>
            <w:pPr>
              <w:jc w:val="left"/>
              <w:rPr>
                <w:rFonts w:ascii="宋体" w:hAnsi="宋体" w:cs="宋体"/>
                <w:szCs w:val="21"/>
                <w:highlight w:val="none"/>
              </w:rPr>
            </w:pPr>
            <w:r>
              <w:rPr>
                <w:rFonts w:hint="eastAsia" w:ascii="宋体" w:hAnsi="宋体" w:cs="宋体"/>
                <w:szCs w:val="21"/>
                <w:highlight w:val="none"/>
              </w:rPr>
              <w:t xml:space="preserve">对项目服务内容和水平进行自主创新增值，每有一项实质性自主创新增值服务的得1分，本项最高6分。</w:t>
            </w:r>
            <w:r/>
          </w:p>
          <w:p>
            <w:pPr>
              <w:jc w:val="left"/>
              <w:rPr>
                <w:rFonts w:ascii="宋体" w:hAnsi="宋体" w:cs="宋体"/>
                <w:b/>
                <w:bCs/>
                <w:szCs w:val="21"/>
                <w:highlight w:val="none"/>
              </w:rPr>
            </w:pPr>
            <w:r>
              <w:rPr>
                <w:rFonts w:hint="eastAsia" w:ascii="宋体" w:hAnsi="宋体" w:cs="宋体"/>
                <w:b/>
                <w:bCs/>
                <w:szCs w:val="21"/>
                <w:highlight w:val="none"/>
              </w:rPr>
              <w:t xml:space="preserve">注：实质性是指有利于本项目实施，或有利于保障对象。</w:t>
            </w:r>
            <w:r/>
          </w:p>
        </w:tc>
        <w:tc>
          <w:tcPr>
            <w:tcW w:w="1875" w:type="dxa"/>
            <w:vAlign w:val="center"/>
            <w:textDirection w:val="lrTb"/>
            <w:noWrap/>
          </w:tcPr>
          <w:p>
            <w:pPr>
              <w:ind w:left="-38"/>
              <w:rPr>
                <w:rFonts w:ascii="宋体" w:hAnsi="宋体" w:cs="宋体"/>
                <w:szCs w:val="21"/>
                <w:highlight w:val="none"/>
              </w:rPr>
            </w:pPr>
            <w:r>
              <w:rPr>
                <w:rFonts w:hint="eastAsia" w:ascii="宋体" w:hAnsi="宋体" w:cs="宋体"/>
                <w:b/>
                <w:bCs/>
                <w:szCs w:val="21"/>
                <w:highlight w:val="none"/>
              </w:rPr>
              <w:t xml:space="preserve">须提供相应证明或承诺，不提供不得分。</w:t>
            </w:r>
            <w:r/>
          </w:p>
        </w:tc>
      </w:tr>
      <w:tr>
        <w:trPr>
          <w:jc w:val="center"/>
          <w:trHeight w:val="535"/>
        </w:trPr>
        <w:tc>
          <w:tcPr>
            <w:gridSpan w:val="2"/>
            <w:tcW w:w="1841" w:type="dxa"/>
            <w:vAlign w:val="center"/>
            <w:textDirection w:val="lrTb"/>
            <w:noWrap/>
          </w:tcPr>
          <w:p>
            <w:pPr>
              <w:ind w:firstLine="28"/>
              <w:jc w:val="center"/>
              <w:rPr>
                <w:rFonts w:ascii="宋体" w:hAnsi="宋体" w:cs="宋体"/>
                <w:szCs w:val="21"/>
              </w:rPr>
            </w:pPr>
            <w:r>
              <w:rPr>
                <w:rFonts w:hint="eastAsia" w:ascii="宋体" w:hAnsi="宋体" w:cs="宋体"/>
                <w:szCs w:val="21"/>
              </w:rPr>
              <w:t xml:space="preserve">合计</w:t>
            </w:r>
            <w:r/>
          </w:p>
        </w:tc>
        <w:tc>
          <w:tcPr>
            <w:tcW w:w="804" w:type="dxa"/>
            <w:vAlign w:val="center"/>
            <w:textDirection w:val="lrTb"/>
            <w:noWrap/>
          </w:tcPr>
          <w:p>
            <w:pPr>
              <w:ind w:firstLine="28"/>
              <w:jc w:val="center"/>
              <w:rPr>
                <w:rFonts w:ascii="宋体" w:hAnsi="宋体" w:cs="宋体"/>
                <w:szCs w:val="21"/>
              </w:rPr>
            </w:pPr>
            <w:r>
              <w:rPr>
                <w:rFonts w:hint="eastAsia" w:ascii="宋体" w:hAnsi="宋体" w:cs="宋体"/>
                <w:szCs w:val="21"/>
              </w:rPr>
              <w:t xml:space="preserve">100</w:t>
            </w:r>
            <w:r/>
          </w:p>
        </w:tc>
        <w:tc>
          <w:tcPr>
            <w:gridSpan w:val="2"/>
            <w:tcW w:w="7557" w:type="dxa"/>
            <w:vAlign w:val="center"/>
            <w:textDirection w:val="lrTb"/>
            <w:noWrap/>
          </w:tcPr>
          <w:p>
            <w:pPr>
              <w:rPr>
                <w:rFonts w:ascii="宋体" w:hAnsi="宋体" w:cs="宋体"/>
                <w:szCs w:val="21"/>
              </w:rPr>
            </w:pPr>
            <w:r>
              <w:rPr>
                <w:rFonts w:ascii="宋体" w:hAnsi="宋体" w:cs="宋体"/>
                <w:szCs w:val="21"/>
              </w:rPr>
            </w:r>
            <w:r/>
          </w:p>
        </w:tc>
      </w:tr>
    </w:tbl>
    <w:p>
      <w:pPr>
        <w:ind w:firstLine="420"/>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注：1、若相关证照为电子证书的，须符合发证部门的使用要求。</w:t>
      </w:r>
      <w:r/>
    </w:p>
    <w:p>
      <w:pPr>
        <w:ind w:left="17" w:firstLine="998"/>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2、评分细则中要求提供的证明文件及资料等在响应文件中提供扫描件并加盖公章，否则不得分。</w:t>
      </w:r>
      <w:r/>
    </w:p>
    <w:p>
      <w:pPr>
        <w:ind w:firstLine="840"/>
        <w:jc w:val="center"/>
        <w:spacing w:line="360" w:lineRule="auto"/>
        <w:rPr>
          <w:sz w:val="24"/>
        </w:rPr>
        <w:outlineLvl w:val="0"/>
      </w:pPr>
      <w:r>
        <w:rPr>
          <w:rFonts w:hint="eastAsia" w:ascii="宋体" w:hAnsi="宋体"/>
          <w:color w:val="000000" w:themeColor="text1"/>
          <w:sz w:val="24"/>
          <w14:textFill>
            <w14:solidFill>
              <w14:schemeClr w14:val="tx1"/>
            </w14:solidFill>
          </w14:textFill>
        </w:rPr>
        <w:t xml:space="preserve">3、上述各项得分相加即为供应商评审总分，评审总分最高者为第一成交候选人，其次为第二成交候选人。若得分相同，则以价格低的为成交供应商。</w:t>
      </w:r>
      <w:r>
        <w:rPr>
          <w:rFonts w:hint="eastAsia" w:ascii="宋体" w:hAnsi="宋体" w:cs="宋体"/>
          <w:b/>
          <w:sz w:val="36"/>
          <w:szCs w:val="36"/>
        </w:rPr>
        <w:br w:type="page" w:clear="all"/>
      </w:r>
      <w:bookmarkStart w:id="811" w:name="_Toc99301424"/>
      <w:r>
        <w:rPr>
          <w:b/>
          <w:sz w:val="36"/>
          <w:szCs w:val="36"/>
        </w:rPr>
        <w:t xml:space="preserve">第五章   采购需求</w:t>
      </w:r>
      <w:bookmarkEnd w:id="811"/>
      <w:r/>
      <w:r/>
    </w:p>
    <w:p>
      <w:pPr>
        <w:pStyle w:val="1417"/>
        <w:ind w:firstLine="482"/>
        <w:spacing w:line="360" w:lineRule="auto"/>
        <w:rPr>
          <w:rFonts w:ascii="宋体" w:hAnsi="宋体" w:eastAsia="宋体" w:cs="宋体"/>
          <w:b/>
          <w:color w:val="000000" w:themeColor="text1"/>
          <w:sz w:val="24"/>
          <w:szCs w:val="24"/>
          <w14:textFill>
            <w14:solidFill>
              <w14:schemeClr w14:val="tx1"/>
            </w14:solidFill>
          </w14:textFill>
        </w:rPr>
      </w:pPr>
      <w:r/>
      <w:bookmarkStart w:id="812" w:name="_Toc99301425"/>
      <w:r>
        <w:rPr>
          <w:rFonts w:hint="eastAsia" w:ascii="宋体" w:hAnsi="宋体" w:eastAsia="宋体" w:cs="宋体"/>
          <w:b/>
          <w:color w:val="000000" w:themeColor="text1"/>
          <w:sz w:val="24"/>
          <w:szCs w:val="24"/>
          <w14:textFill>
            <w14:solidFill>
              <w14:schemeClr w14:val="tx1"/>
            </w14:solidFill>
          </w14:textFill>
        </w:rPr>
        <w:t xml:space="preserve">一、采购标的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1．项目名称：2026年金坛区自然灾害救助民生惠民保险项目</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2．预算金额：</w:t>
      </w:r>
      <w:r>
        <w:rPr>
          <w:rFonts w:hint="eastAsia"/>
          <w:sz w:val="24"/>
          <w:highlight w:val="none"/>
        </w:rPr>
        <w:t xml:space="preserve">85万元/年</w:t>
      </w:r>
      <w:r>
        <w:rPr>
          <w:rFonts w:hint="eastAsia" w:eastAsia="宋体"/>
          <w:sz w:val="24"/>
          <w:highlight w:val="none"/>
          <w:lang w:eastAsia="zh-CN"/>
        </w:rPr>
        <w:t xml:space="preserve">，</w:t>
      </w:r>
      <w:r>
        <w:rPr>
          <w:rFonts w:hint="eastAsia" w:ascii="Times New Roman" w:eastAsia="宋体"/>
          <w:sz w:val="24"/>
          <w:highlight w:val="none"/>
          <w:lang w:val="en-US" w:eastAsia="zh-CN"/>
        </w:rPr>
        <w:t xml:space="preserve">三年共255万元</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3．最高限价：85万元/年，注：投标报价不得高于最高限价，否则作无效响应处理。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4．采购项目概况（简介）：</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（1）本次常州市金坛区应急管理局采购的金坛区自然灾害公众责任保险适用金坛区行政区划范围内的常住人口及户籍居民。常住人口，常住人口指实际经常居住在金坛区地区范围内一定时间 (半年以上) 且缴纳6个月以上本地社保的人口。</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自然灾害家庭房屋保险适用金坛区范围内户籍人员的自住房屋(包括集体产权、有房屋购买合同或农村宅基地建造许可证的房屋)。金坛区户籍居民家庭保障对象分为普通居民家庭和特定居民家庭两类。(特定居民家庭是指列入低保的家庭)。</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（3）本项目不包括来坛逗留人员。</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（4）根据2026年统计年鉴数据，金坛区范围内户籍人口及常住人口为59.66万人，户数为19.86万户。</w:t>
      </w:r>
      <w:r/>
    </w:p>
    <w:tbl>
      <w:tblPr>
        <w:tblStyle w:val="965"/>
        <w:tblpPr w:horzAnchor="page" w:tblpXSpec="center" w:vertAnchor="text" w:tblpY="399" w:leftFromText="180" w:topFromText="0" w:rightFromText="180" w:bottomFromText="0"/>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65"/>
        <w:gridCol w:w="1080"/>
        <w:gridCol w:w="4294"/>
        <w:gridCol w:w="1365"/>
        <w:gridCol w:w="869"/>
        <w:gridCol w:w="662"/>
      </w:tblGrid>
      <w:tr>
        <w:trPr>
          <w:jc w:val="center"/>
          <w:trHeight w:val="664"/>
        </w:trPr>
        <w:tc>
          <w:tcPr>
            <w:tcW w:w="959" w:type="pct"/>
            <w:vAlign w:val="center"/>
            <w:textDirection w:val="lrTb"/>
            <w:noWrap/>
          </w:tcPr>
          <w:p>
            <w:pPr>
              <w:jc w:val="center"/>
              <w:spacing w:beforeAutospacing="1" w:afterAutospacing="1"/>
              <w:widowControl/>
              <w:rPr>
                <w:rFonts w:ascii="宋体" w:hAnsi="宋体" w:cs="宋体"/>
                <w:szCs w:val="21"/>
                <w:highlight w:val="none"/>
              </w:rPr>
            </w:pPr>
            <w:r>
              <w:rPr>
                <w:rFonts w:hint="eastAsia" w:ascii="宋体" w:hAnsi="宋体" w:cs="宋体"/>
                <w:szCs w:val="21"/>
                <w:highlight w:val="none"/>
              </w:rPr>
              <w:t xml:space="preserve">项目名称</w:t>
            </w:r>
            <w:r/>
          </w:p>
        </w:tc>
        <w:tc>
          <w:tcPr>
            <w:tcW w:w="527" w:type="pct"/>
            <w:vAlign w:val="center"/>
            <w:textDirection w:val="lrTb"/>
            <w:noWrap/>
          </w:tcPr>
          <w:p>
            <w:pPr>
              <w:jc w:val="center"/>
              <w:spacing w:beforeAutospacing="1" w:afterAutospacing="1"/>
              <w:widowControl/>
              <w:rPr>
                <w:rFonts w:ascii="宋体" w:hAnsi="宋体" w:cs="宋体"/>
                <w:szCs w:val="21"/>
                <w:highlight w:val="none"/>
              </w:rPr>
            </w:pPr>
            <w:r>
              <w:rPr>
                <w:rFonts w:hint="eastAsia" w:ascii="宋体" w:hAnsi="宋体" w:cs="宋体"/>
                <w:szCs w:val="21"/>
                <w:highlight w:val="none"/>
              </w:rPr>
              <w:t xml:space="preserve">项目内容</w:t>
            </w:r>
            <w:r/>
          </w:p>
        </w:tc>
        <w:tc>
          <w:tcPr>
            <w:tcW w:w="2097" w:type="pct"/>
            <w:vAlign w:val="center"/>
            <w:textDirection w:val="lrTb"/>
            <w:noWrap/>
          </w:tcPr>
          <w:p>
            <w:pPr>
              <w:jc w:val="center"/>
              <w:spacing w:beforeAutospacing="1" w:afterAutospacing="1"/>
              <w:widowControl/>
              <w:rPr>
                <w:rFonts w:ascii="宋体" w:hAnsi="宋体" w:cs="宋体"/>
                <w:szCs w:val="21"/>
                <w:highlight w:val="none"/>
              </w:rPr>
            </w:pPr>
            <w:r>
              <w:rPr>
                <w:rFonts w:hint="eastAsia" w:ascii="宋体" w:hAnsi="宋体" w:cs="宋体"/>
                <w:szCs w:val="21"/>
                <w:highlight w:val="none"/>
              </w:rPr>
              <w:t xml:space="preserve">保障对象</w:t>
            </w:r>
            <w:r/>
          </w:p>
        </w:tc>
        <w:tc>
          <w:tcPr>
            <w:tcW w:w="666" w:type="pct"/>
            <w:vAlign w:val="center"/>
            <w:textDirection w:val="lrTb"/>
            <w:noWrap/>
          </w:tcPr>
          <w:p>
            <w:pPr>
              <w:jc w:val="center"/>
              <w:spacing w:beforeAutospacing="1" w:afterAutospacing="1"/>
              <w:widowControl/>
              <w:rPr>
                <w:rFonts w:ascii="宋体" w:hAnsi="宋体" w:cs="宋体"/>
                <w:szCs w:val="21"/>
                <w:highlight w:val="none"/>
              </w:rPr>
            </w:pPr>
            <w:r>
              <w:rPr>
                <w:rFonts w:hint="eastAsia" w:ascii="宋体" w:hAnsi="宋体" w:cs="宋体"/>
                <w:szCs w:val="21"/>
                <w:highlight w:val="none"/>
              </w:rPr>
              <w:t xml:space="preserve">数量/单位</w:t>
            </w:r>
            <w:r/>
          </w:p>
        </w:tc>
        <w:tc>
          <w:tcPr>
            <w:tcW w:w="424" w:type="pct"/>
            <w:vAlign w:val="center"/>
            <w:textDirection w:val="lrTb"/>
            <w:noWrap/>
          </w:tcPr>
          <w:p>
            <w:pPr>
              <w:jc w:val="center"/>
              <w:spacing w:beforeAutospacing="1" w:afterAutospacing="1"/>
              <w:widowControl/>
              <w:rPr>
                <w:rFonts w:ascii="宋体" w:hAnsi="宋体" w:cs="宋体"/>
                <w:szCs w:val="21"/>
                <w:highlight w:val="none"/>
              </w:rPr>
            </w:pPr>
            <w:r>
              <w:rPr>
                <w:rFonts w:hint="eastAsia" w:ascii="宋体" w:hAnsi="宋体" w:cs="宋体"/>
                <w:szCs w:val="21"/>
                <w:highlight w:val="none"/>
              </w:rPr>
              <w:t xml:space="preserve">单价</w:t>
            </w:r>
            <w:r/>
          </w:p>
        </w:tc>
        <w:tc>
          <w:tcPr>
            <w:tcW w:w="323" w:type="pct"/>
            <w:vAlign w:val="center"/>
            <w:textDirection w:val="lrTb"/>
            <w:noWrap/>
          </w:tcPr>
          <w:p>
            <w:pPr>
              <w:jc w:val="center"/>
              <w:spacing w:beforeAutospacing="1" w:afterAutospacing="1"/>
              <w:widowControl/>
              <w:rPr>
                <w:rFonts w:ascii="宋体" w:hAnsi="宋体" w:cs="宋体"/>
                <w:szCs w:val="21"/>
                <w:highlight w:val="none"/>
              </w:rPr>
            </w:pPr>
            <w:r>
              <w:rPr>
                <w:rFonts w:hint="eastAsia" w:ascii="宋体" w:hAnsi="宋体" w:cs="宋体"/>
                <w:szCs w:val="21"/>
                <w:highlight w:val="none"/>
              </w:rPr>
              <w:t xml:space="preserve">备注</w:t>
            </w:r>
            <w:r/>
          </w:p>
        </w:tc>
      </w:tr>
      <w:tr>
        <w:trPr>
          <w:jc w:val="center"/>
          <w:trHeight w:val="1424"/>
        </w:trPr>
        <w:tc>
          <w:tcPr>
            <w:tcW w:w="959" w:type="pct"/>
            <w:vAlign w:val="center"/>
            <w:vMerge w:val="restart"/>
            <w:textDirection w:val="lrTb"/>
            <w:noWrap/>
          </w:tcPr>
          <w:p>
            <w:pPr>
              <w:jc w:val="center"/>
              <w:spacing w:beforeAutospacing="1" w:afterAutospacing="1"/>
              <w:widowControl/>
              <w:rPr>
                <w:rFonts w:ascii="宋体" w:hAnsi="宋体" w:cs="宋体"/>
                <w:szCs w:val="21"/>
                <w:highlight w:val="none"/>
              </w:rPr>
            </w:pPr>
            <w:r>
              <w:rPr>
                <w:rFonts w:hint="eastAsia" w:ascii="宋体" w:hAnsi="宋体" w:cs="宋体"/>
                <w:szCs w:val="21"/>
                <w:highlight w:val="none"/>
              </w:rPr>
              <w:t xml:space="preserve">2026年金坛区自然灾害救助民生惠民保险项目</w:t>
            </w:r>
            <w:r/>
          </w:p>
        </w:tc>
        <w:tc>
          <w:tcPr>
            <w:tcW w:w="527" w:type="pct"/>
            <w:vAlign w:val="center"/>
            <w:textDirection w:val="lrTb"/>
            <w:noWrap/>
          </w:tcPr>
          <w:p>
            <w:pPr>
              <w:jc w:val="center"/>
              <w:spacing w:beforeAutospacing="1" w:afterAutospacing="1"/>
              <w:widowControl/>
              <w:rPr>
                <w:rFonts w:ascii="宋体" w:hAnsi="宋体" w:cs="宋体"/>
                <w:szCs w:val="21"/>
                <w:highlight w:val="none"/>
              </w:rPr>
            </w:pPr>
            <w:r>
              <w:rPr>
                <w:rFonts w:hint="eastAsia" w:ascii="宋体" w:hAnsi="宋体" w:cs="宋体"/>
                <w:szCs w:val="21"/>
                <w:highlight w:val="none"/>
              </w:rPr>
              <w:t xml:space="preserve">自然灾害家庭房屋保险</w:t>
            </w:r>
            <w:r/>
          </w:p>
        </w:tc>
        <w:tc>
          <w:tcPr>
            <w:tcW w:w="2097" w:type="pct"/>
            <w:vAlign w:val="center"/>
            <w:textDirection w:val="lrTb"/>
            <w:noWrap/>
          </w:tcPr>
          <w:p>
            <w:pPr>
              <w:jc w:val="left"/>
              <w:spacing w:beforeAutospacing="1" w:afterAutospacing="1"/>
              <w:widowControl/>
              <w:rPr>
                <w:rFonts w:ascii="宋体" w:hAnsi="宋体" w:cs="宋体"/>
                <w:szCs w:val="21"/>
                <w:highlight w:val="none"/>
              </w:rPr>
            </w:pPr>
            <w:r>
              <w:rPr>
                <w:rFonts w:hint="eastAsia" w:ascii="宋体" w:hAnsi="宋体" w:cs="宋体"/>
                <w:szCs w:val="21"/>
                <w:highlight w:val="none"/>
              </w:rPr>
              <w:t xml:space="preserve">坐落在常州市金坛区行政区域内的城乡住房。(含商住房以及集体产权、有房屋购买合同或农村宅基地建造许可证的房屋)。</w:t>
            </w:r>
            <w:r/>
          </w:p>
        </w:tc>
        <w:tc>
          <w:tcPr>
            <w:tcW w:w="666" w:type="pct"/>
            <w:vAlign w:val="center"/>
            <w:textDirection w:val="lrTb"/>
            <w:noWrap/>
          </w:tcPr>
          <w:p>
            <w:pPr>
              <w:jc w:val="center"/>
              <w:spacing w:beforeAutospacing="1" w:afterAutospacing="1"/>
              <w:widowControl/>
              <w:rPr>
                <w:rFonts w:ascii="宋体" w:hAnsi="宋体" w:cs="宋体"/>
                <w:szCs w:val="21"/>
                <w:highlight w:val="none"/>
              </w:rPr>
            </w:pPr>
            <w:r>
              <w:rPr>
                <w:rFonts w:hint="eastAsia" w:ascii="宋体" w:hAnsi="宋体" w:cs="宋体"/>
                <w:szCs w:val="21"/>
                <w:highlight w:val="none"/>
              </w:rPr>
              <w:t xml:space="preserve">户籍户数：19.86万</w:t>
            </w:r>
            <w:r/>
          </w:p>
          <w:p>
            <w:pPr>
              <w:jc w:val="center"/>
              <w:spacing w:beforeAutospacing="1" w:afterAutospacing="1"/>
              <w:widowControl/>
              <w:rPr>
                <w:rFonts w:ascii="宋体" w:hAnsi="宋体" w:cs="宋体"/>
                <w:szCs w:val="21"/>
                <w:highlight w:val="none"/>
              </w:rPr>
            </w:pPr>
            <w:r>
              <w:rPr>
                <w:rFonts w:hint="eastAsia" w:ascii="宋体" w:hAnsi="宋体" w:cs="宋体"/>
                <w:szCs w:val="21"/>
                <w:highlight w:val="none"/>
              </w:rPr>
              <w:t xml:space="preserve">户</w:t>
            </w:r>
            <w:r/>
          </w:p>
        </w:tc>
        <w:tc>
          <w:tcPr>
            <w:tcW w:w="424" w:type="pct"/>
            <w:vAlign w:val="center"/>
            <w:textDirection w:val="lrTb"/>
            <w:noWrap/>
          </w:tcPr>
          <w:p>
            <w:pPr>
              <w:jc w:val="center"/>
              <w:spacing w:beforeAutospacing="1" w:afterAutospacing="1"/>
              <w:widowControl/>
              <w:rPr>
                <w:rFonts w:ascii="宋体" w:hAnsi="宋体" w:cs="宋体"/>
                <w:szCs w:val="21"/>
                <w:highlight w:val="none"/>
              </w:rPr>
            </w:pPr>
            <w:r>
              <w:rPr>
                <w:rFonts w:hint="eastAsia" w:ascii="宋体" w:hAnsi="宋体" w:cs="宋体"/>
                <w:spacing w:val="2"/>
                <w:szCs w:val="21"/>
                <w:highlight w:val="none"/>
              </w:rPr>
              <w:t xml:space="preserve">1.2元</w:t>
            </w:r>
            <w:r/>
          </w:p>
        </w:tc>
        <w:tc>
          <w:tcPr>
            <w:tcW w:w="323" w:type="pct"/>
            <w:vAlign w:val="center"/>
            <w:textDirection w:val="lrTb"/>
            <w:noWrap/>
          </w:tcPr>
          <w:p>
            <w:pPr>
              <w:jc w:val="center"/>
              <w:spacing w:beforeAutospacing="1" w:afterAutospacing="1"/>
              <w:widowControl/>
              <w:rPr>
                <w:rFonts w:ascii="宋体" w:hAnsi="宋体" w:cs="宋体"/>
                <w:szCs w:val="21"/>
                <w:highlight w:val="none"/>
              </w:rPr>
            </w:pPr>
            <w:r>
              <w:rPr>
                <w:rFonts w:ascii="宋体" w:hAnsi="宋体" w:cs="宋体"/>
                <w:szCs w:val="21"/>
                <w:highlight w:val="none"/>
              </w:rPr>
            </w:r>
            <w:r/>
          </w:p>
        </w:tc>
      </w:tr>
      <w:tr>
        <w:trPr>
          <w:jc w:val="center"/>
          <w:trHeight w:val="1696"/>
        </w:trPr>
        <w:tc>
          <w:tcPr>
            <w:tcW w:w="959" w:type="pct"/>
            <w:vAlign w:val="center"/>
            <w:vMerge w:val="continue"/>
            <w:textDirection w:val="lrTb"/>
            <w:noWrap/>
          </w:tcPr>
          <w:p>
            <w:pPr>
              <w:jc w:val="center"/>
              <w:spacing w:beforeAutospacing="1" w:afterAutospacing="1"/>
              <w:widowControl/>
              <w:rPr>
                <w:rFonts w:ascii="宋体" w:hAnsi="宋体" w:cs="宋体"/>
                <w:szCs w:val="21"/>
                <w:highlight w:val="none"/>
              </w:rPr>
            </w:pPr>
            <w:r>
              <w:rPr>
                <w:rFonts w:ascii="宋体" w:hAnsi="宋体" w:cs="宋体"/>
                <w:szCs w:val="21"/>
                <w:highlight w:val="none"/>
              </w:rPr>
            </w:r>
            <w:r/>
          </w:p>
        </w:tc>
        <w:tc>
          <w:tcPr>
            <w:tcW w:w="527" w:type="pct"/>
            <w:vAlign w:val="center"/>
            <w:textDirection w:val="lrTb"/>
            <w:noWrap/>
          </w:tcPr>
          <w:p>
            <w:pPr>
              <w:jc w:val="center"/>
              <w:spacing w:beforeAutospacing="1" w:afterAutospacing="1"/>
              <w:widowControl/>
              <w:rPr>
                <w:rFonts w:ascii="宋体" w:hAnsi="宋体" w:cs="宋体"/>
                <w:szCs w:val="21"/>
                <w:highlight w:val="none"/>
              </w:rPr>
            </w:pPr>
            <w:r>
              <w:rPr>
                <w:rFonts w:hint="eastAsia" w:ascii="宋体" w:hAnsi="宋体" w:cs="宋体"/>
                <w:szCs w:val="21"/>
                <w:highlight w:val="none"/>
              </w:rPr>
              <w:t xml:space="preserve">自然灾害公众责任保险</w:t>
            </w:r>
            <w:r/>
          </w:p>
        </w:tc>
        <w:tc>
          <w:tcPr>
            <w:tcW w:w="4294" w:type="dxa"/>
            <w:vAlign w:val="center"/>
            <w:textDirection w:val="lrTb"/>
            <w:noWrap/>
          </w:tcPr>
          <w:p>
            <w:pPr>
              <w:jc w:val="left"/>
              <w:keepLines w:val="0"/>
              <w:keepNext w:val="0"/>
              <w:pageBreakBefore w:val="0"/>
              <w:spacing w:beforeAutospacing="0" w:afterAutospacing="0"/>
              <w:widowControl/>
              <w:rPr>
                <w:rFonts w:hint="eastAsia" w:ascii="宋体" w:hAnsi="宋体" w:cs="宋体"/>
                <w:szCs w:val="21"/>
                <w:highlight w:val="none"/>
              </w:rPr>
            </w:pPr>
            <w:r>
              <w:rPr>
                <w:rFonts w:hint="eastAsia" w:ascii="宋体" w:hAnsi="宋体" w:cs="宋体"/>
                <w:szCs w:val="21"/>
                <w:highlight w:val="none"/>
              </w:rPr>
              <w:t xml:space="preserve">常州市金坛区行政区划范围内的户籍居民、常住人</w:t>
            </w:r>
            <w:r>
              <w:rPr>
                <w:rFonts w:hint="eastAsia" w:ascii="宋体" w:hAnsi="宋体" w:cs="宋体"/>
                <w:szCs w:val="21"/>
                <w:highlight w:val="none"/>
                <w:lang w:val="en-US" w:eastAsia="zh-CN"/>
              </w:rPr>
              <w:t xml:space="preserve">口</w:t>
            </w:r>
            <w:r>
              <w:rPr>
                <w:rFonts w:hint="eastAsia" w:ascii="宋体" w:hAnsi="宋体" w:cs="宋体"/>
                <w:szCs w:val="21"/>
                <w:highlight w:val="none"/>
              </w:rPr>
              <w:t xml:space="preserve">。</w:t>
            </w:r>
            <w:r/>
          </w:p>
          <w:p>
            <w:pPr>
              <w:jc w:val="left"/>
              <w:keepLines w:val="0"/>
              <w:keepNext w:val="0"/>
              <w:pageBreakBefore w:val="0"/>
              <w:spacing w:beforeAutospacing="0" w:afterAutospacing="0"/>
              <w:widowControl/>
              <w:rPr>
                <w:rFonts w:ascii="宋体" w:hAnsi="宋体" w:cs="宋体"/>
                <w:szCs w:val="21"/>
                <w:highlight w:val="none"/>
              </w:rPr>
            </w:pPr>
            <w:r>
              <w:rPr>
                <w:rFonts w:hint="eastAsia" w:ascii="宋体" w:hAnsi="宋体" w:cs="宋体"/>
                <w:szCs w:val="21"/>
                <w:highlight w:val="none"/>
              </w:rPr>
              <w:t xml:space="preserve">注：常住人</w:t>
            </w:r>
            <w:r>
              <w:rPr>
                <w:rFonts w:hint="eastAsia" w:ascii="宋体" w:hAnsi="宋体" w:cs="宋体"/>
                <w:szCs w:val="21"/>
                <w:highlight w:val="none"/>
                <w:lang w:val="en-US" w:eastAsia="zh-CN"/>
              </w:rPr>
              <w:t xml:space="preserve">口</w:t>
            </w:r>
            <w:r>
              <w:rPr>
                <w:rFonts w:hint="eastAsia" w:ascii="宋体" w:hAnsi="宋体" w:cs="宋体"/>
                <w:szCs w:val="21"/>
                <w:highlight w:val="none"/>
              </w:rPr>
              <w:t xml:space="preserve">，包含具有常州市金坛区户籍的居民（不受年龄限制）及在常州交纳社保6个月及以上的非常州市金坛区户籍居民。</w:t>
            </w:r>
            <w:r/>
          </w:p>
        </w:tc>
        <w:tc>
          <w:tcPr>
            <w:tcW w:w="666" w:type="pct"/>
            <w:vAlign w:val="center"/>
            <w:textDirection w:val="lrTb"/>
            <w:noWrap/>
          </w:tcPr>
          <w:p>
            <w:pPr>
              <w:jc w:val="center"/>
              <w:spacing w:beforeAutospacing="1" w:afterAutospacing="1"/>
              <w:widowControl/>
              <w:rPr>
                <w:rFonts w:ascii="宋体" w:hAnsi="宋体" w:cs="宋体"/>
                <w:szCs w:val="21"/>
                <w:highlight w:val="none"/>
              </w:rPr>
            </w:pPr>
            <w:r>
              <w:rPr>
                <w:rFonts w:hint="eastAsia" w:ascii="宋体" w:hAnsi="宋体" w:cs="宋体"/>
                <w:szCs w:val="21"/>
                <w:highlight w:val="none"/>
              </w:rPr>
              <w:t xml:space="preserve">人数：59.66万人</w:t>
            </w:r>
            <w:r/>
          </w:p>
        </w:tc>
        <w:tc>
          <w:tcPr>
            <w:tcW w:w="424" w:type="pct"/>
            <w:vAlign w:val="center"/>
            <w:textDirection w:val="lrTb"/>
            <w:noWrap/>
          </w:tcPr>
          <w:p>
            <w:pPr>
              <w:jc w:val="center"/>
              <w:spacing w:beforeAutospacing="1" w:afterAutospacing="1"/>
              <w:widowControl/>
              <w:rPr>
                <w:rFonts w:ascii="宋体" w:hAnsi="宋体" w:cs="宋体"/>
                <w:szCs w:val="21"/>
                <w:highlight w:val="none"/>
              </w:rPr>
            </w:pPr>
            <w:r>
              <w:rPr>
                <w:rFonts w:hint="eastAsia" w:ascii="宋体" w:hAnsi="宋体" w:cs="宋体"/>
                <w:spacing w:val="2"/>
                <w:szCs w:val="21"/>
                <w:highlight w:val="none"/>
              </w:rPr>
              <w:t xml:space="preserve">1.0元</w:t>
            </w:r>
            <w:r/>
          </w:p>
        </w:tc>
        <w:tc>
          <w:tcPr>
            <w:tcW w:w="323" w:type="pct"/>
            <w:vAlign w:val="center"/>
            <w:textDirection w:val="lrTb"/>
            <w:noWrap/>
          </w:tcPr>
          <w:p>
            <w:pPr>
              <w:jc w:val="center"/>
              <w:spacing w:beforeAutospacing="1" w:afterAutospacing="1"/>
              <w:widowControl/>
              <w:rPr>
                <w:rFonts w:ascii="宋体" w:hAnsi="宋体" w:cs="宋体"/>
                <w:szCs w:val="21"/>
                <w:highlight w:val="none"/>
              </w:rPr>
            </w:pPr>
            <w:r>
              <w:rPr>
                <w:rFonts w:ascii="宋体" w:hAnsi="宋体" w:cs="宋体"/>
                <w:szCs w:val="21"/>
                <w:highlight w:val="none"/>
              </w:rPr>
            </w:r>
            <w:r/>
          </w:p>
        </w:tc>
      </w:tr>
    </w:tbl>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合同履行期限：三年，采取1年+1年+1年的模式，常州市金坛区应急管理局与中标人先签订壹年服务期的合同。合同服务期满后，如采购人和保险公司均无异议，且保险公司年度考核符合各项要求，则续签下一年保险合同，如采购人和保险公司在合同期满后不续签合同，须在期满之日的2个月前通知对方。（自通知中标供应商正式进场起，具体时间以合同签订时间为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6．是/否接受联合体投标：否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7．是/否接受分支机构参与响应：是</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8．是/否属于政府购买服务：是</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9．是/否接受进口产品投标：否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10．是/否专门面向中小企业预留采购份额：否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11．本项目的特定资格要求：</w:t>
      </w:r>
      <w:r>
        <w:rPr>
          <w:rFonts w:hint="eastAsia"/>
          <w:color w:val="0000ff"/>
          <w:sz w:val="24"/>
          <w:highlight w:val="none"/>
          <w:u w:val="single"/>
        </w:rPr>
        <w:t xml:space="preserve">当总公司作为投标人投标：应具备《保险机构法人许可证》；当分支机构作为投标人投标：应具备《经营保险业务许可证》及总公司授权书。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12．项目类别：服务类</w:t>
      </w:r>
      <w:r/>
    </w:p>
    <w:p>
      <w:pPr>
        <w:pStyle w:val="1417"/>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二、商务要求</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1．交付（实施）的时间（期限）和地点（范围）：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期限：三年，采取1年+1年+1年的模式，常州市金坛区应急管理局与中标人先签订壹年服务期的合同。合同服务期满后，如采购人和保险公司均无异议，且保险公司年度考核符合各项要求，则续签下一年保险合同，如采购人和保险公司在合同期满后不续签合同，须在期满之日的2个月前通知对方。（自通知中标供应商正式进场起，具体时间以合同签订时间为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地点（范围）：常州市金坛区</w:t>
      </w:r>
      <w:r/>
    </w:p>
    <w:p>
      <w:pPr>
        <w:numPr>
          <w:ilvl w:val="0"/>
          <w:numId w:val="13"/>
        </w:num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付款条件（进度和方式）</w:t>
      </w:r>
      <w:r/>
    </w:p>
    <w:p>
      <w:pPr>
        <w:ind w:firstLine="560"/>
        <w:spacing w:line="360" w:lineRule="auto"/>
        <w:rPr>
          <w:rFonts w:ascii="宋体" w:hAnsi="宋体" w:cs="宋体"/>
          <w:color w:val="ff0000"/>
          <w:sz w:val="24"/>
          <w:highlight w:val="none"/>
        </w:rPr>
      </w:pPr>
      <w:r>
        <w:rPr>
          <w:rFonts w:hint="eastAsia" w:ascii="宋体" w:hAnsi="宋体" w:cs="宋体"/>
          <w:color w:val="ff0000"/>
          <w:spacing w:val="20"/>
          <w:sz w:val="24"/>
          <w:highlight w:val="none"/>
        </w:rPr>
        <w:t xml:space="preserve">本项</w:t>
      </w:r>
      <w:r>
        <w:rPr>
          <w:rFonts w:hint="eastAsia" w:ascii="宋体" w:hAnsi="宋体" w:cs="宋体"/>
          <w:color w:val="ff0000"/>
          <w:spacing w:val="17"/>
          <w:sz w:val="24"/>
          <w:highlight w:val="none"/>
        </w:rPr>
        <w:t xml:space="preserve">目</w:t>
      </w:r>
      <w:r>
        <w:rPr>
          <w:rFonts w:hint="eastAsia" w:ascii="宋体" w:hAnsi="宋体" w:cs="宋体"/>
          <w:color w:val="ff0000"/>
          <w:spacing w:val="10"/>
          <w:sz w:val="24"/>
          <w:highlight w:val="none"/>
        </w:rPr>
        <w:t xml:space="preserve">固定单价，数量按实结算。固定单价合同在项目决算时不作任何调整，包括所有</w:t>
      </w:r>
      <w:r>
        <w:rPr>
          <w:rFonts w:hint="eastAsia" w:ascii="宋体" w:hAnsi="宋体" w:cs="宋体"/>
          <w:color w:val="ff0000"/>
          <w:spacing w:val="20"/>
          <w:sz w:val="24"/>
          <w:highlight w:val="none"/>
        </w:rPr>
        <w:t xml:space="preserve">政</w:t>
      </w:r>
      <w:r>
        <w:rPr>
          <w:rFonts w:hint="eastAsia" w:ascii="宋体" w:hAnsi="宋体" w:cs="宋体"/>
          <w:color w:val="ff0000"/>
          <w:spacing w:val="10"/>
          <w:sz w:val="24"/>
          <w:highlight w:val="none"/>
        </w:rPr>
        <w:t xml:space="preserve">策性调整。其中所有发生的费用，投标人自行承担，结算中不作任何调整。</w:t>
      </w:r>
      <w:r/>
    </w:p>
    <w:p>
      <w:pPr>
        <w:ind w:left="42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ff0000"/>
          <w:spacing w:val="3"/>
          <w:sz w:val="24"/>
          <w:highlight w:val="none"/>
        </w:rPr>
        <w:t xml:space="preserve">按年度一次性支付，保费支付后出具保单。</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w:t>
      </w:r>
      <w:r>
        <w:rPr>
          <w:rFonts w:hint="eastAsia" w:ascii="宋体" w:hAnsi="宋体" w:cs="宋体"/>
          <w:b/>
          <w:bCs/>
          <w:sz w:val="24"/>
          <w:highlight w:val="none"/>
        </w:rPr>
        <w:t xml:space="preserve">实质性条款</w:t>
      </w:r>
      <w:r/>
    </w:p>
    <w:tbl>
      <w:tblPr>
        <w:tblStyle w:val="965"/>
        <w:tblW w:w="48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8979"/>
      </w:tblGrid>
      <w:tr>
        <w:trPr>
          <w:jc w:val="center"/>
          <w:trHeight w:val="571"/>
        </w:trPr>
        <w:tc>
          <w:tcPr>
            <w:tcW w:w="725" w:type="dxa"/>
            <w:vAlign w:val="center"/>
            <w:textDirection w:val="lrTb"/>
            <w:noWrap/>
          </w:tcPr>
          <w:p>
            <w:pPr>
              <w:jc w:val="center"/>
              <w:spacing w:line="400" w:lineRule="exact"/>
              <w:rPr>
                <w:rFonts w:ascii="宋体" w:hAnsi="宋体" w:cs="宋体"/>
                <w:b/>
                <w:bCs/>
                <w:sz w:val="24"/>
                <w:highlight w:val="none"/>
              </w:rPr>
            </w:pPr>
            <w:r>
              <w:rPr>
                <w:rFonts w:hint="eastAsia" w:ascii="宋体" w:hAnsi="宋体" w:cs="宋体"/>
                <w:b/>
                <w:bCs/>
                <w:sz w:val="24"/>
                <w:highlight w:val="none"/>
              </w:rPr>
              <w:t xml:space="preserve">序号</w:t>
            </w:r>
            <w:r/>
          </w:p>
        </w:tc>
        <w:tc>
          <w:tcPr>
            <w:tcW w:w="8978" w:type="dxa"/>
            <w:vAlign w:val="center"/>
            <w:textDirection w:val="lrTb"/>
            <w:noWrap/>
          </w:tcPr>
          <w:p>
            <w:pPr>
              <w:jc w:val="center"/>
              <w:spacing w:line="400" w:lineRule="exact"/>
              <w:rPr>
                <w:rFonts w:ascii="宋体" w:hAnsi="宋体" w:cs="宋体"/>
                <w:b/>
                <w:bCs/>
                <w:sz w:val="24"/>
                <w:highlight w:val="none"/>
              </w:rPr>
            </w:pPr>
            <w:r>
              <w:rPr>
                <w:rFonts w:hint="eastAsia" w:ascii="宋体" w:hAnsi="宋体" w:cs="宋体"/>
                <w:b/>
                <w:bCs/>
                <w:sz w:val="24"/>
                <w:highlight w:val="none"/>
              </w:rPr>
              <w:t xml:space="preserve">实质性条款具体内容</w:t>
            </w:r>
            <w:r/>
          </w:p>
        </w:tc>
      </w:tr>
      <w:tr>
        <w:trPr>
          <w:jc w:val="center"/>
          <w:trHeight w:val="480"/>
        </w:trPr>
        <w:tc>
          <w:tcPr>
            <w:tcW w:w="725" w:type="dxa"/>
            <w:vAlign w:val="center"/>
            <w:textDirection w:val="lrTb"/>
            <w:noWrap/>
          </w:tcPr>
          <w:p>
            <w:pPr>
              <w:jc w:val="center"/>
              <w:spacing w:line="400" w:lineRule="exact"/>
              <w:rPr>
                <w:rFonts w:ascii="宋体" w:hAnsi="宋体" w:cs="宋体"/>
                <w:sz w:val="24"/>
                <w:highlight w:val="none"/>
              </w:rPr>
            </w:pPr>
            <w:r>
              <w:rPr>
                <w:rFonts w:hint="eastAsia" w:ascii="宋体" w:hAnsi="宋体" w:cs="宋体"/>
                <w:bCs/>
                <w:sz w:val="24"/>
                <w:highlight w:val="none"/>
              </w:rPr>
              <w:t xml:space="preserve">1</w:t>
            </w:r>
            <w:r/>
          </w:p>
        </w:tc>
        <w:tc>
          <w:tcPr>
            <w:tcW w:w="8978" w:type="dxa"/>
            <w:vAlign w:val="center"/>
            <w:textDirection w:val="lrTb"/>
            <w:noWrap/>
          </w:tcPr>
          <w:p>
            <w:pPr>
              <w:jc w:val="left"/>
              <w:spacing w:line="400" w:lineRule="exac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b/>
                <w:bCs/>
                <w:color w:val="ff0000"/>
                <w:sz w:val="24"/>
                <w:highlight w:val="none"/>
              </w:rPr>
              <w:t xml:space="preserve">投标人必须承诺中标后保险期限从上一轮保险结束之日后一天算起。</w:t>
            </w:r>
            <w:r>
              <w:rPr>
                <w:rFonts w:hint="eastAsia" w:ascii="宋体" w:hAnsi="宋体" w:cs="宋体"/>
                <w:b/>
                <w:bCs/>
                <w:color w:val="000000"/>
                <w:sz w:val="24"/>
                <w:highlight w:val="none"/>
              </w:rPr>
              <w:t xml:space="preserve">（提供承诺函加盖公章，格式自拟。不提供或内容不全作无效投标文件处理。）</w:t>
            </w:r>
            <w:r/>
          </w:p>
        </w:tc>
      </w:tr>
    </w:tbl>
    <w:p>
      <w:pP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2"/>
        <w:spacing w:line="360" w:lineRule="auto"/>
        <w:rPr>
          <w:rFonts w:hint="eastAsia" w:ascii="宋体" w:hAnsi="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r>
      <w:r/>
    </w:p>
    <w:p>
      <w:pPr>
        <w:ind w:firstLine="482"/>
        <w:spacing w:line="360" w:lineRule="auto"/>
        <w:rPr>
          <w:rFonts w:hint="eastAsia" w:ascii="宋体" w:hAnsi="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r>
      <w:r/>
    </w:p>
    <w:p>
      <w:pPr>
        <w:ind w:firstLine="482"/>
        <w:spacing w:line="360" w:lineRule="auto"/>
        <w:rPr>
          <w:rFonts w:hint="eastAsia" w:ascii="宋体" w:hAnsi="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r>
      <w:r/>
    </w:p>
    <w:p>
      <w:pPr>
        <w:ind w:firstLine="482"/>
        <w:spacing w:line="360" w:lineRule="auto"/>
        <w:rPr>
          <w:rFonts w:hint="eastAsia" w:ascii="宋体" w:hAnsi="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r>
      <w:r/>
    </w:p>
    <w:p>
      <w:pPr>
        <w:ind w:firstLine="482"/>
        <w:spacing w:line="360" w:lineRule="auto"/>
        <w:rPr>
          <w:rFonts w:ascii="宋体" w:hAnsi="宋体" w:cs="宋体"/>
          <w:b/>
          <w:color w:val="000000" w:themeColor="text1"/>
          <w:sz w:val="24"/>
          <w:highlight w:val="yellow"/>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四</w:t>
      </w:r>
      <w:r>
        <w:rPr>
          <w:rFonts w:hint="eastAsia" w:ascii="宋体" w:hAnsi="宋体" w:cs="宋体"/>
          <w:b/>
          <w:color w:val="000000" w:themeColor="text1"/>
          <w:sz w:val="24"/>
          <w14:textFill>
            <w14:solidFill>
              <w14:schemeClr w14:val="tx1"/>
            </w14:solidFill>
          </w14:textFill>
        </w:rPr>
        <w:t xml:space="preserve">、</w:t>
      </w:r>
      <w:r>
        <w:rPr>
          <w:rFonts w:hint="eastAsia" w:ascii="宋体" w:hAnsi="宋体" w:eastAsia="宋体" w:cs="宋体"/>
          <w:b/>
          <w:bCs/>
          <w:color w:val="auto"/>
          <w:sz w:val="24"/>
        </w:rPr>
        <w:t xml:space="preserve">保险服务要求</w:t>
      </w:r>
      <w:r/>
    </w:p>
    <w:p>
      <w:pPr>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jc w:val="center"/>
        <w:keepLines w:val="0"/>
        <w:keepNext w:val="0"/>
        <w:pageBreakBefore w:val="0"/>
        <w:spacing w:after="120"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第一部分：自然灾害公众责任保险</w:t>
      </w:r>
      <w:r/>
    </w:p>
    <w:tbl>
      <w:tblPr>
        <w:tblStyle w:val="965"/>
        <w:tblW w:w="9045" w:type="dxa"/>
        <w:tblInd w:w="-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5"/>
        <w:gridCol w:w="7490"/>
      </w:tblGrid>
      <w:tr>
        <w:trPr>
          <w:trHeight w:val="383"/>
        </w:trPr>
        <w:tc>
          <w:tcPr>
            <w:tcW w:w="15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投保人</w:t>
            </w:r>
            <w:r/>
          </w:p>
        </w:tc>
        <w:tc>
          <w:tcPr>
            <w:tcW w:w="749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常州市金坛区应急管理局</w:t>
            </w:r>
            <w:r/>
          </w:p>
        </w:tc>
      </w:tr>
      <w:tr>
        <w:trPr>
          <w:trHeight w:val="383"/>
        </w:trPr>
        <w:tc>
          <w:tcPr>
            <w:tcW w:w="15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承保区域</w:t>
            </w:r>
            <w:r/>
          </w:p>
        </w:tc>
        <w:tc>
          <w:tcPr>
            <w:tcW w:w="749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常州市</w:t>
            </w:r>
            <w:r>
              <w:rPr>
                <w:rFonts w:hint="eastAsia" w:ascii="宋体" w:hAnsi="宋体" w:cs="宋体"/>
                <w:color w:val="auto"/>
                <w:sz w:val="24"/>
                <w:szCs w:val="24"/>
                <w:highlight w:val="none"/>
                <w:lang w:val="en-US" w:eastAsia="zh-CN"/>
              </w:rPr>
              <w:t xml:space="preserve">金坛区</w:t>
            </w:r>
            <w:r/>
          </w:p>
        </w:tc>
      </w:tr>
      <w:tr>
        <w:trPr>
          <w:trHeight w:val="383"/>
        </w:trPr>
        <w:tc>
          <w:tcPr>
            <w:tcW w:w="15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保障对象</w:t>
            </w:r>
            <w:r/>
          </w:p>
        </w:tc>
        <w:tc>
          <w:tcPr>
            <w:tcW w:w="749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常州市</w:t>
            </w:r>
            <w:r>
              <w:rPr>
                <w:rFonts w:hint="eastAsia" w:ascii="宋体" w:hAnsi="宋体" w:cs="宋体"/>
                <w:i w:val="0"/>
                <w:iCs w:val="0"/>
                <w:caps w:val="0"/>
                <w:color w:val="auto"/>
                <w:spacing w:val="0"/>
                <w:sz w:val="24"/>
                <w:szCs w:val="24"/>
                <w:highlight w:val="none"/>
                <w:lang w:val="en-US" w:eastAsia="zh-CN" w:bidi="ar"/>
              </w:rPr>
              <w:t xml:space="preserve">金坛区</w:t>
            </w:r>
            <w:r>
              <w:rPr>
                <w:rFonts w:hint="eastAsia" w:ascii="宋体" w:hAnsi="宋体" w:eastAsia="宋体" w:cs="宋体"/>
                <w:i w:val="0"/>
                <w:iCs w:val="0"/>
                <w:caps w:val="0"/>
                <w:color w:val="auto"/>
                <w:spacing w:val="0"/>
                <w:sz w:val="24"/>
                <w:szCs w:val="24"/>
                <w:highlight w:val="none"/>
                <w:lang w:val="en-US" w:eastAsia="zh-CN" w:bidi="ar"/>
              </w:rPr>
              <w:t xml:space="preserve">行政区划范围内的户籍居民、</w:t>
            </w:r>
            <w:r>
              <w:rPr>
                <w:rFonts w:hint="eastAsia" w:ascii="宋体" w:hAnsi="宋体" w:cs="宋体"/>
                <w:i w:val="0"/>
                <w:iCs w:val="0"/>
                <w:caps w:val="0"/>
                <w:color w:val="auto"/>
                <w:spacing w:val="0"/>
                <w:sz w:val="24"/>
                <w:szCs w:val="24"/>
                <w:highlight w:val="none"/>
                <w:lang w:val="en-US" w:eastAsia="zh-CN" w:bidi="ar"/>
              </w:rPr>
              <w:t xml:space="preserve">常住人口</w:t>
            </w:r>
            <w:r>
              <w:rPr>
                <w:rFonts w:hint="eastAsia" w:ascii="宋体" w:hAnsi="宋体" w:eastAsia="宋体" w:cs="宋体"/>
                <w:i w:val="0"/>
                <w:iCs w:val="0"/>
                <w:caps w:val="0"/>
                <w:color w:val="auto"/>
                <w:spacing w:val="0"/>
                <w:sz w:val="24"/>
                <w:szCs w:val="24"/>
                <w:highlight w:val="none"/>
                <w:lang w:val="en-US" w:eastAsia="zh-CN" w:bidi="ar"/>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strike w:val="0"/>
                <w:color w:val="auto"/>
                <w:sz w:val="24"/>
                <w:highlight w:val="none"/>
                <w:lang w:val="en-US" w:eastAsia="zh-CN"/>
              </w:rPr>
              <w:t xml:space="preserve">注：</w:t>
            </w:r>
            <w:r>
              <w:rPr>
                <w:rFonts w:hint="eastAsia" w:ascii="宋体" w:hAnsi="宋体" w:cs="宋体"/>
                <w:strike w:val="0"/>
                <w:color w:val="auto"/>
                <w:sz w:val="24"/>
                <w:highlight w:val="none"/>
                <w:lang w:eastAsia="zh-CN"/>
              </w:rPr>
              <w:t xml:space="preserve">常住人</w:t>
            </w:r>
            <w:r>
              <w:rPr>
                <w:rFonts w:hint="eastAsia" w:ascii="宋体" w:hAnsi="宋体" w:cs="宋体"/>
                <w:strike w:val="0"/>
                <w:color w:val="auto"/>
                <w:sz w:val="24"/>
                <w:highlight w:val="none"/>
                <w:lang w:val="en-US" w:eastAsia="zh-CN"/>
              </w:rPr>
              <w:t xml:space="preserve">口</w:t>
            </w:r>
            <w:r>
              <w:rPr>
                <w:rFonts w:hint="eastAsia" w:ascii="宋体" w:hAnsi="宋体" w:cs="宋体"/>
                <w:strike w:val="0"/>
                <w:color w:val="auto"/>
                <w:sz w:val="24"/>
                <w:highlight w:val="none"/>
                <w:lang w:eastAsia="zh-CN"/>
              </w:rPr>
              <w:t xml:space="preserve">，包含具有常州市金坛区户籍的居民（不受年龄限制）及在常州交纳社保6个月及以上的非常州市金坛区户籍居民。</w:t>
            </w:r>
            <w:r/>
          </w:p>
        </w:tc>
      </w:tr>
      <w:tr>
        <w:trPr>
          <w:trHeight w:val="613"/>
        </w:trPr>
        <w:tc>
          <w:tcPr>
            <w:tcW w:w="15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保障</w:t>
            </w:r>
            <w:r>
              <w:rPr>
                <w:rFonts w:hint="eastAsia" w:ascii="宋体" w:hAnsi="宋体" w:eastAsia="宋体" w:cs="宋体"/>
                <w:color w:val="auto"/>
                <w:sz w:val="24"/>
                <w:szCs w:val="24"/>
                <w:highlight w:val="none"/>
              </w:rPr>
              <w:t xml:space="preserve">范围</w:t>
            </w:r>
            <w:r/>
          </w:p>
        </w:tc>
        <w:tc>
          <w:tcPr>
            <w:tcW w:w="749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在承保区域内，由于下列原因导致人身伤亡事故，对于被保险人应承担的对于伤亡居民的给付救助金的责任，保险人按本保险合同的约定负责赔付</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气象部门发布的暴风、暴雨、崖崩、雷击、洪水、龙卷风、飑线、台风(热带风暴)、海啸、泥石流、突发性滑坡、冰雹灾害;</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暴雪</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火灾、爆炸</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在上述自然灾害中的抢险救灾行为。</w:t>
            </w:r>
            <w:r/>
          </w:p>
        </w:tc>
      </w:tr>
      <w:tr>
        <w:trPr>
          <w:trHeight w:val="613"/>
        </w:trPr>
        <w:tc>
          <w:tcPr>
            <w:tcW w:w="15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赔偿标准</w:t>
            </w:r>
            <w:r/>
          </w:p>
        </w:tc>
        <w:tc>
          <w:tcPr>
            <w:tcW w:w="749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对象因责任范围内所列明的事故导致残疾的，根据《人身保险伤残评定及代码》（标准号：GBT44893-2024），按相关部门作出的伤残程度鉴定书所表述的伤残等级与下列“伤残等级赔偿限额比例表”相对应的比例乘以每人伤残、死亡责任限额所得金额进行赔偿。残疾程度每人伤残责任限额的百分比永久丧失全部工作能力或一级伤100%、二级伤残90%、三级伤残80%、四级伤残70%、五级伤残60%、六级伤残50%、七级伤残40%、八级伤残30%、九级伤残20%、十级伤残10%</w:t>
            </w:r>
            <w:r/>
          </w:p>
        </w:tc>
      </w:tr>
      <w:tr>
        <w:trPr/>
        <w:tc>
          <w:tcPr>
            <w:tcW w:w="15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赔偿限额</w:t>
            </w:r>
            <w:r/>
          </w:p>
        </w:tc>
        <w:tc>
          <w:tcPr>
            <w:tcW w:w="7490" w:type="dxa"/>
            <w:vAlign w:val="center"/>
            <w:textDirection w:val="lrTb"/>
            <w:noWrap w:val="false"/>
          </w:tcPr>
          <w:p>
            <w:pPr>
              <w:keepLines w:val="0"/>
              <w:keepNext w:val="0"/>
              <w:pageBreakBefore w:val="0"/>
              <w:spacing w:line="360" w:lineRule="auto"/>
              <w:widowControl w:val="off"/>
              <w:rPr>
                <w:rFonts w:hint="default"/>
                <w:strike w:val="0"/>
                <w:sz w:val="24"/>
                <w:szCs w:val="24"/>
                <w:highlight w:val="none"/>
                <w:lang w:val="en-US" w:eastAsia="zh-CN"/>
              </w:rPr>
            </w:pPr>
            <w:r>
              <w:rPr>
                <w:rFonts w:hint="eastAsia" w:ascii="Times New Roman" w:eastAsia="宋体"/>
                <w:strike w:val="0"/>
                <w:sz w:val="24"/>
                <w:szCs w:val="24"/>
                <w:highlight w:val="none"/>
                <w:lang w:val="en-US" w:eastAsia="zh-CN"/>
              </w:rPr>
              <w:t xml:space="preserve">累计责任限额</w:t>
            </w:r>
            <w:r>
              <w:rPr>
                <w:rFonts w:hint="eastAsia"/>
                <w:strike w:val="0"/>
                <w:sz w:val="24"/>
                <w:szCs w:val="24"/>
                <w:highlight w:val="none"/>
                <w:lang w:val="en-US" w:eastAsia="zh-CN"/>
              </w:rPr>
              <w:t xml:space="preserve">5000</w:t>
            </w:r>
            <w:r>
              <w:rPr>
                <w:rFonts w:hint="eastAsia" w:ascii="Times New Roman" w:eastAsia="宋体"/>
                <w:strike w:val="0"/>
                <w:sz w:val="24"/>
                <w:szCs w:val="24"/>
                <w:highlight w:val="none"/>
                <w:lang w:val="en-US" w:eastAsia="zh-CN"/>
              </w:rPr>
              <w:t xml:space="preserve">万元，每次事故责任限额</w:t>
            </w:r>
            <w:r>
              <w:rPr>
                <w:rFonts w:hint="eastAsia"/>
                <w:strike w:val="0"/>
                <w:sz w:val="24"/>
                <w:szCs w:val="24"/>
                <w:highlight w:val="none"/>
                <w:lang w:val="en-US" w:eastAsia="zh-CN"/>
              </w:rPr>
              <w:t xml:space="preserve">5000</w:t>
            </w:r>
            <w:r>
              <w:rPr>
                <w:rFonts w:hint="eastAsia" w:ascii="Times New Roman" w:eastAsia="宋体"/>
                <w:strike w:val="0"/>
                <w:sz w:val="24"/>
                <w:szCs w:val="24"/>
                <w:highlight w:val="none"/>
                <w:lang w:val="en-US" w:eastAsia="zh-CN"/>
              </w:rPr>
              <w:t xml:space="preserve">万元；</w:t>
            </w:r>
            <w:r/>
          </w:p>
          <w:p>
            <w:pPr>
              <w:keepLines w:val="0"/>
              <w:keepNext w:val="0"/>
              <w:pageBreakBefore w:val="0"/>
              <w:spacing w:line="360" w:lineRule="auto"/>
              <w:widowControl w:val="off"/>
              <w:rPr>
                <w:rFonts w:hint="eastAsia"/>
                <w:sz w:val="24"/>
                <w:szCs w:val="24"/>
                <w:highlight w:val="none"/>
                <w:lang w:eastAsia="zh-CN"/>
              </w:rPr>
            </w:pPr>
            <w:r>
              <w:rPr>
                <w:rFonts w:hint="eastAsia" w:ascii="Times New Roman" w:eastAsia="宋体"/>
                <w:sz w:val="24"/>
                <w:szCs w:val="24"/>
                <w:highlight w:val="none"/>
                <w:lang w:val="en-US" w:eastAsia="zh-CN"/>
              </w:rPr>
              <w:t xml:space="preserve">每人伤亡责任</w:t>
            </w:r>
            <w:r>
              <w:rPr>
                <w:rFonts w:hint="eastAsia"/>
                <w:sz w:val="24"/>
                <w:szCs w:val="24"/>
                <w:highlight w:val="none"/>
              </w:rPr>
              <w:t xml:space="preserve">限额20万元/人</w:t>
            </w:r>
            <w:r>
              <w:rPr>
                <w:rFonts w:hint="eastAsia" w:eastAsia="宋体"/>
                <w:sz w:val="24"/>
                <w:szCs w:val="24"/>
                <w:highlight w:val="none"/>
                <w:lang w:eastAsia="zh-CN"/>
              </w:rPr>
              <w:t xml:space="preserve">，</w:t>
            </w:r>
            <w:r>
              <w:rPr>
                <w:rFonts w:hint="eastAsia" w:ascii="Times New Roman" w:eastAsia="宋体"/>
                <w:sz w:val="24"/>
                <w:szCs w:val="24"/>
                <w:highlight w:val="none"/>
                <w:lang w:val="en-US" w:eastAsia="zh-CN"/>
              </w:rPr>
              <w:t xml:space="preserve">每人医疗费用责任限额</w:t>
            </w:r>
            <w:r>
              <w:rPr>
                <w:rFonts w:hint="eastAsia"/>
                <w:sz w:val="24"/>
                <w:szCs w:val="24"/>
                <w:highlight w:val="none"/>
                <w:lang w:val="en-US" w:eastAsia="zh-CN"/>
              </w:rPr>
              <w:t xml:space="preserve">6</w:t>
            </w:r>
            <w:r>
              <w:rPr>
                <w:rFonts w:hint="eastAsia" w:ascii="Times New Roman" w:eastAsia="宋体"/>
                <w:sz w:val="24"/>
                <w:szCs w:val="24"/>
                <w:highlight w:val="none"/>
                <w:lang w:val="en-US" w:eastAsia="zh-CN"/>
              </w:rPr>
              <w:t xml:space="preserve">万元</w:t>
            </w:r>
            <w:r>
              <w:rPr>
                <w:rFonts w:hint="eastAsia"/>
                <w:sz w:val="24"/>
                <w:szCs w:val="24"/>
                <w:highlight w:val="none"/>
              </w:rPr>
              <w:t xml:space="preserve">/人</w:t>
            </w:r>
            <w:r>
              <w:rPr>
                <w:rFonts w:hint="eastAsia" w:eastAsia="宋体"/>
                <w:sz w:val="24"/>
                <w:szCs w:val="24"/>
                <w:highlight w:val="none"/>
                <w:lang w:eastAsia="zh-CN"/>
              </w:rPr>
              <w:t xml:space="preserve">；</w:t>
            </w:r>
            <w:r/>
          </w:p>
          <w:p>
            <w:pPr>
              <w:keepLines w:val="0"/>
              <w:keepNext w:val="0"/>
              <w:pageBreakBefore w:val="0"/>
              <w:spacing w:line="360" w:lineRule="auto"/>
              <w:widowControl w:val="off"/>
              <w:rPr>
                <w:rFonts w:hint="eastAsia" w:eastAsia="宋体"/>
                <w:sz w:val="24"/>
                <w:szCs w:val="24"/>
                <w:highlight w:val="none"/>
                <w:lang w:eastAsia="zh-CN"/>
              </w:rPr>
            </w:pPr>
            <w:r>
              <w:rPr>
                <w:rFonts w:hint="eastAsia"/>
                <w:strike w:val="0"/>
                <w:sz w:val="24"/>
                <w:szCs w:val="24"/>
                <w:highlight w:val="none"/>
              </w:rPr>
              <w:t xml:space="preserve">救灾人员</w:t>
            </w:r>
            <w:r>
              <w:rPr>
                <w:rFonts w:hint="eastAsia" w:ascii="Times New Roman" w:eastAsia="宋体"/>
                <w:strike w:val="0"/>
                <w:sz w:val="24"/>
                <w:szCs w:val="24"/>
                <w:highlight w:val="none"/>
                <w:lang w:val="en-US" w:eastAsia="zh-CN"/>
              </w:rPr>
              <w:t xml:space="preserve">累计及每次赔偿</w:t>
            </w:r>
            <w:r>
              <w:rPr>
                <w:rFonts w:hint="eastAsia"/>
                <w:strike w:val="0"/>
                <w:sz w:val="24"/>
                <w:szCs w:val="24"/>
                <w:highlight w:val="none"/>
              </w:rPr>
              <w:t xml:space="preserve">限额80万元/人</w:t>
            </w:r>
            <w:r>
              <w:rPr>
                <w:rFonts w:hint="eastAsia" w:eastAsia="宋体"/>
                <w:strike w:val="0"/>
                <w:sz w:val="24"/>
                <w:szCs w:val="24"/>
                <w:highlight w:val="none"/>
                <w:lang w:eastAsia="zh-CN"/>
              </w:rPr>
              <w:t xml:space="preserve">。</w:t>
            </w:r>
            <w:r/>
          </w:p>
        </w:tc>
      </w:tr>
      <w:tr>
        <w:trPr>
          <w:trHeight w:val="483"/>
        </w:trPr>
        <w:tc>
          <w:tcPr>
            <w:tcW w:w="15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免赔额</w:t>
            </w:r>
            <w:r/>
          </w:p>
        </w:tc>
        <w:tc>
          <w:tcPr>
            <w:tcW w:w="749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bl>
    <w:p>
      <w:pPr>
        <w:jc w:val="center"/>
        <w:keepLines w:val="0"/>
        <w:keepNext w:val="0"/>
        <w:pageBreakBefore w:val="0"/>
        <w:spacing w:line="360" w:lineRule="auto"/>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lang w:val="en-US" w:eastAsia="zh-CN" w:bidi="ar-SA"/>
        </w:rPr>
        <w:t xml:space="preserve">第二部分：自然灾害家庭房屋保险</w:t>
      </w:r>
      <w:r/>
    </w:p>
    <w:tbl>
      <w:tblPr>
        <w:tblStyle w:val="965"/>
        <w:tblW w:w="9095"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7257"/>
      </w:tblGrid>
      <w:tr>
        <w:trPr>
          <w:trHeight w:val="383"/>
        </w:trPr>
        <w:tc>
          <w:tcPr>
            <w:tcW w:w="183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投保人</w:t>
            </w:r>
            <w:r/>
          </w:p>
        </w:tc>
        <w:tc>
          <w:tcPr>
            <w:tcW w:w="725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常州市金坛区应急管理局</w:t>
            </w:r>
            <w:r/>
          </w:p>
        </w:tc>
      </w:tr>
      <w:tr>
        <w:trPr>
          <w:trHeight w:val="383"/>
        </w:trPr>
        <w:tc>
          <w:tcPr>
            <w:tcW w:w="183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承保区域</w:t>
            </w:r>
            <w:r/>
          </w:p>
        </w:tc>
        <w:tc>
          <w:tcPr>
            <w:tcW w:w="725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常州市</w:t>
            </w:r>
            <w:r>
              <w:rPr>
                <w:rFonts w:hint="eastAsia" w:ascii="宋体" w:hAnsi="宋体" w:cs="宋体"/>
                <w:color w:val="auto"/>
                <w:sz w:val="24"/>
                <w:szCs w:val="24"/>
                <w:highlight w:val="none"/>
                <w:lang w:val="en-US" w:eastAsia="zh-CN"/>
              </w:rPr>
              <w:t xml:space="preserve">金坛区</w:t>
            </w:r>
            <w:r/>
          </w:p>
        </w:tc>
      </w:tr>
      <w:tr>
        <w:trPr>
          <w:trHeight w:val="383"/>
        </w:trPr>
        <w:tc>
          <w:tcPr>
            <w:tcW w:w="183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保障对象</w:t>
            </w:r>
            <w:r/>
          </w:p>
        </w:tc>
        <w:tc>
          <w:tcPr>
            <w:tcW w:w="725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lang w:val="en-US" w:eastAsia="zh-CN" w:bidi="ar"/>
              </w:rPr>
              <w:t xml:space="preserve">坐落在常州市</w:t>
            </w:r>
            <w:r>
              <w:rPr>
                <w:rFonts w:hint="eastAsia" w:ascii="宋体" w:hAnsi="宋体" w:cs="宋体"/>
                <w:i w:val="0"/>
                <w:iCs w:val="0"/>
                <w:caps w:val="0"/>
                <w:color w:val="auto"/>
                <w:spacing w:val="0"/>
                <w:sz w:val="24"/>
                <w:szCs w:val="24"/>
                <w:highlight w:val="none"/>
                <w:lang w:val="en-US" w:eastAsia="zh-CN" w:bidi="ar"/>
              </w:rPr>
              <w:t xml:space="preserve">金坛区</w:t>
            </w:r>
            <w:r>
              <w:rPr>
                <w:rFonts w:hint="eastAsia" w:ascii="宋体" w:hAnsi="宋体" w:eastAsia="宋体" w:cs="宋体"/>
                <w:i w:val="0"/>
                <w:iCs w:val="0"/>
                <w:caps w:val="0"/>
                <w:color w:val="auto"/>
                <w:spacing w:val="0"/>
                <w:sz w:val="24"/>
                <w:szCs w:val="24"/>
                <w:highlight w:val="none"/>
                <w:lang w:val="en-US" w:eastAsia="zh-CN" w:bidi="ar"/>
              </w:rPr>
              <w:t xml:space="preserve">行政区域内的城乡住房</w:t>
            </w:r>
            <w:r>
              <w:rPr>
                <w:rFonts w:hint="eastAsia" w:ascii="宋体" w:hAnsi="宋体" w:cs="宋体"/>
                <w:i w:val="0"/>
                <w:iCs w:val="0"/>
                <w:caps w:val="0"/>
                <w:color w:val="auto"/>
                <w:spacing w:val="0"/>
                <w:sz w:val="24"/>
                <w:szCs w:val="24"/>
                <w:highlight w:val="none"/>
                <w:lang w:val="en-US" w:eastAsia="zh-CN" w:bidi="ar"/>
              </w:rPr>
              <w:t xml:space="preserve">。</w:t>
            </w:r>
            <w:r>
              <w:rPr>
                <w:rFonts w:hint="eastAsia" w:ascii="宋体" w:hAnsi="宋体" w:eastAsia="宋体" w:cs="宋体"/>
                <w:strike w:val="0"/>
                <w:color w:val="auto"/>
                <w:sz w:val="24"/>
                <w:szCs w:val="24"/>
                <w:highlight w:val="none"/>
                <w:lang w:val="en-US" w:eastAsia="zh-CN" w:bidi="ar-SA"/>
              </w:rPr>
              <w:t xml:space="preserve">(含商住房以及集体产权、有房屋购买合同或农村宅基地建造许可证的房屋)。</w:t>
            </w:r>
            <w:r/>
          </w:p>
        </w:tc>
      </w:tr>
      <w:tr>
        <w:trPr>
          <w:trHeight w:val="1058"/>
        </w:trPr>
        <w:tc>
          <w:tcPr>
            <w:tcW w:w="183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保障</w:t>
            </w:r>
            <w:r>
              <w:rPr>
                <w:rFonts w:hint="eastAsia" w:ascii="宋体" w:hAnsi="宋体" w:eastAsia="宋体" w:cs="宋体"/>
                <w:color w:val="auto"/>
                <w:sz w:val="24"/>
                <w:szCs w:val="24"/>
                <w:highlight w:val="none"/>
              </w:rPr>
              <w:t xml:space="preserve">范围</w:t>
            </w:r>
            <w:r/>
          </w:p>
        </w:tc>
        <w:tc>
          <w:tcPr>
            <w:tcW w:w="7257" w:type="dxa"/>
            <w:vAlign w:val="center"/>
            <w:textDirection w:val="lrTb"/>
            <w:noWrap w:val="false"/>
          </w:tcPr>
          <w:p>
            <w:pPr>
              <w:jc w:val="both"/>
              <w:keepLines w:val="0"/>
              <w:keepNext w:val="0"/>
              <w:pageBreakBefore w:val="0"/>
              <w:spacing w:line="360" w:lineRule="auto"/>
              <w:widowControl w:val="off"/>
              <w:tabs>
                <w:tab w:val="center" w:pos="341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由于下列原因造成保险标的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房屋主体结构及附属设施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的损失</w:t>
            </w:r>
            <w:r>
              <w:rPr>
                <w:rFonts w:hint="eastAsia" w:ascii="宋体" w:hAnsi="宋体" w:eastAsia="宋体" w:cs="宋体"/>
                <w:color w:val="auto"/>
                <w:sz w:val="24"/>
                <w:szCs w:val="24"/>
                <w:highlight w:val="none"/>
                <w:lang w:eastAsia="zh-CN"/>
              </w:rPr>
              <w:t xml:space="preserve">：</w:t>
            </w:r>
            <w:r/>
          </w:p>
          <w:p>
            <w:pPr>
              <w:jc w:val="both"/>
              <w:keepLines w:val="0"/>
              <w:keepNext w:val="0"/>
              <w:pageBreakBefore w:val="0"/>
              <w:spacing w:line="360" w:lineRule="auto"/>
              <w:widowControl w:val="off"/>
              <w:tabs>
                <w:tab w:val="center" w:pos="341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（一）火灾、爆炸；</w:t>
            </w:r>
            <w:r/>
          </w:p>
          <w:p>
            <w:pPr>
              <w:jc w:val="both"/>
              <w:keepLines w:val="0"/>
              <w:keepNext w:val="0"/>
              <w:pageBreakBefore w:val="0"/>
              <w:spacing w:line="360" w:lineRule="auto"/>
              <w:widowControl w:val="off"/>
              <w:tabs>
                <w:tab w:val="center" w:pos="341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（二）雷击、台风、龙卷风、暴风、暴雨、洪水、暴雪、冰雹、冰凌、泥石流、崩塌、突发性滑坡、地面突然下陷；</w:t>
            </w:r>
            <w:r/>
          </w:p>
          <w:p>
            <w:pPr>
              <w:jc w:val="both"/>
              <w:keepLines w:val="0"/>
              <w:keepNext w:val="0"/>
              <w:pageBreakBefore w:val="0"/>
              <w:spacing w:line="360" w:lineRule="auto"/>
              <w:widowControl w:val="off"/>
              <w:tabs>
                <w:tab w:val="center" w:pos="341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（三）飞行物体及其他空中运行物体坠落，外来不属于被保险人所有或使用的建筑物和其他固定物体的倒塌。</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（四）地震（累计赔偿限额5000万元，震级M5级且裂度达到Ⅵ度以上）</w:t>
            </w:r>
            <w:r/>
          </w:p>
        </w:tc>
      </w:tr>
      <w:tr>
        <w:trPr>
          <w:trHeight w:val="690"/>
        </w:trPr>
        <w:tc>
          <w:tcPr>
            <w:tcW w:w="183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赔偿标准</w:t>
            </w:r>
            <w:r/>
          </w:p>
        </w:tc>
        <w:tc>
          <w:tcPr>
            <w:tcW w:w="725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房屋损失依据《关于印发常州市国有土地上征收房屋等级和建安工程重置价格等标准的通知（常住建〔2022〕252号）》附件2相关数据计算理赔。</w:t>
            </w:r>
            <w:r/>
          </w:p>
        </w:tc>
      </w:tr>
      <w:tr>
        <w:trPr/>
        <w:tc>
          <w:tcPr>
            <w:tcW w:w="183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保险金</w:t>
            </w:r>
            <w:r>
              <w:rPr>
                <w:rFonts w:hint="eastAsia" w:ascii="宋体" w:hAnsi="宋体" w:eastAsia="宋体" w:cs="宋体"/>
                <w:color w:val="auto"/>
                <w:sz w:val="24"/>
                <w:szCs w:val="24"/>
                <w:highlight w:val="none"/>
              </w:rPr>
              <w:t xml:space="preserve">额</w:t>
            </w:r>
            <w:r/>
          </w:p>
        </w:tc>
        <w:tc>
          <w:tcPr>
            <w:tcW w:w="7257"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房屋</w:t>
            </w:r>
            <w:r>
              <w:rPr>
                <w:rFonts w:hint="eastAsia" w:ascii="宋体" w:hAnsi="宋体" w:eastAsia="宋体" w:cs="宋体"/>
                <w:color w:val="auto"/>
                <w:sz w:val="24"/>
                <w:szCs w:val="24"/>
                <w:highlight w:val="none"/>
                <w:lang w:val="en-US" w:eastAsia="zh-CN"/>
              </w:rPr>
              <w:t xml:space="preserve">损失保额为20万元</w:t>
            </w:r>
            <w:r>
              <w:rPr>
                <w:rFonts w:hint="eastAsia" w:ascii="宋体" w:hAnsi="宋体" w:eastAsia="宋体" w:cs="宋体"/>
                <w:color w:val="auto"/>
                <w:sz w:val="24"/>
                <w:szCs w:val="24"/>
                <w:highlight w:val="none"/>
                <w:lang w:val="en-US" w:eastAsia="zh-CN"/>
              </w:rPr>
              <w:t xml:space="preserve">/户</w:t>
            </w:r>
            <w:r/>
          </w:p>
        </w:tc>
      </w:tr>
      <w:tr>
        <w:trPr>
          <w:trHeight w:val="483"/>
        </w:trPr>
        <w:tc>
          <w:tcPr>
            <w:tcW w:w="183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免赔额</w:t>
            </w:r>
            <w:r/>
          </w:p>
        </w:tc>
        <w:tc>
          <w:tcPr>
            <w:tcW w:w="725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tc>
      </w:tr>
    </w:tbl>
    <w:p>
      <w:pPr>
        <w:ind w:firstLine="496"/>
        <w:spacing w:line="360" w:lineRule="auto"/>
        <w:rPr>
          <w:rFonts w:ascii="宋体" w:hAnsi="宋体" w:cs="宋体"/>
          <w:color w:val="0000ff"/>
          <w:spacing w:val="4"/>
          <w:sz w:val="24"/>
        </w:rPr>
      </w:pPr>
      <w:r>
        <w:rPr>
          <w:rFonts w:ascii="宋体" w:hAnsi="宋体" w:cs="宋体"/>
          <w:color w:val="0000ff"/>
          <w:spacing w:val="4"/>
          <w:sz w:val="24"/>
        </w:rPr>
      </w:r>
      <w:r/>
    </w:p>
    <w:p>
      <w:pPr>
        <w:ind w:left="9" w:right="144" w:firstLine="420"/>
        <w:spacing w:before="2" w:line="360" w:lineRule="auto"/>
        <w:rPr>
          <w:rFonts w:ascii="宋体" w:hAnsi="宋体" w:cs="宋体"/>
          <w:szCs w:val="21"/>
        </w:rPr>
      </w:pPr>
      <w:r>
        <w:rPr>
          <w:rFonts w:ascii="宋体" w:hAnsi="宋体" w:cs="宋体"/>
          <w:szCs w:val="21"/>
        </w:rPr>
      </w:r>
      <w:r/>
    </w:p>
    <w:p>
      <w:pPr>
        <w:ind w:left="139"/>
        <w:spacing w:before="74" w:line="227" w:lineRule="auto"/>
        <w:rPr>
          <w:rFonts w:ascii="宋体" w:hAnsi="宋体" w:cs="宋体"/>
          <w:spacing w:val="-1"/>
          <w:szCs w:val="21"/>
        </w:rPr>
        <w:outlineLvl w:val="0"/>
      </w:pPr>
      <w:r>
        <w:rPr>
          <w:rFonts w:ascii="宋体" w:hAnsi="宋体" w:cs="宋体"/>
          <w:spacing w:val="-1"/>
          <w:szCs w:val="21"/>
        </w:rPr>
      </w:r>
      <w:r/>
    </w:p>
    <w:p>
      <w:pPr>
        <w:ind w:left="139"/>
        <w:spacing w:before="74" w:line="227" w:lineRule="auto"/>
        <w:rPr>
          <w:rFonts w:ascii="宋体" w:hAnsi="宋体" w:cs="宋体"/>
          <w:b/>
          <w:bCs/>
          <w:spacing w:val="-1"/>
          <w:szCs w:val="21"/>
        </w:rPr>
        <w:outlineLvl w:val="0"/>
      </w:pPr>
      <w:r>
        <w:rPr>
          <w:rFonts w:ascii="宋体" w:hAnsi="宋体" w:cs="宋体"/>
          <w:b/>
          <w:bCs/>
          <w:spacing w:val="-1"/>
          <w:szCs w:val="21"/>
        </w:rPr>
      </w:r>
      <w:r/>
    </w:p>
    <w:p>
      <w:pPr>
        <w:ind w:left="139"/>
        <w:spacing w:before="74" w:line="227" w:lineRule="auto"/>
        <w:rPr>
          <w:rFonts w:ascii="宋体" w:hAnsi="宋体" w:cs="宋体"/>
          <w:b/>
          <w:bCs/>
          <w:spacing w:val="-1"/>
          <w:szCs w:val="21"/>
        </w:rPr>
        <w:outlineLvl w:val="0"/>
      </w:pPr>
      <w:r>
        <w:rPr>
          <w:rFonts w:ascii="宋体" w:hAnsi="宋体" w:cs="宋体"/>
          <w:b/>
          <w:bCs/>
          <w:spacing w:val="-1"/>
          <w:szCs w:val="21"/>
        </w:rPr>
      </w:r>
      <w:r/>
    </w:p>
    <w:p>
      <w:pPr>
        <w:rPr>
          <w:rFonts w:ascii="宋体" w:hAnsi="宋体" w:cs="宋体"/>
          <w:b/>
          <w:bCs/>
          <w:spacing w:val="-1"/>
          <w:sz w:val="22"/>
          <w:szCs w:val="22"/>
        </w:rPr>
      </w:pPr>
      <w:r>
        <w:rPr>
          <w:rFonts w:hint="eastAsia" w:ascii="宋体" w:hAnsi="宋体" w:cs="宋体"/>
          <w:b/>
          <w:bCs/>
          <w:spacing w:val="-1"/>
          <w:sz w:val="22"/>
          <w:szCs w:val="22"/>
        </w:rPr>
        <w:br w:type="page" w:clear="all"/>
      </w:r>
      <w:r/>
    </w:p>
    <w:p>
      <w:pPr>
        <w:ind w:right="108" w:firstLine="476"/>
        <w:spacing w:before="35" w:line="360" w:lineRule="auto"/>
        <w:rPr>
          <w:rFonts w:ascii="宋体" w:hAnsi="宋体" w:cs="宋体"/>
          <w:spacing w:val="9"/>
          <w:sz w:val="22"/>
          <w:szCs w:val="22"/>
        </w:rPr>
      </w:pPr>
      <w:r>
        <w:rPr>
          <w:rFonts w:ascii="宋体" w:hAnsi="宋体" w:cs="宋体"/>
          <w:spacing w:val="9"/>
          <w:sz w:val="22"/>
          <w:szCs w:val="22"/>
        </w:rPr>
      </w:r>
      <w:r/>
    </w:p>
    <w:p>
      <w:pPr>
        <w:ind w:firstLine="518"/>
        <w:spacing w:line="360" w:lineRule="auto"/>
        <w:rPr>
          <w:rFonts w:ascii="宋体" w:hAnsi="宋体" w:cs="宋体"/>
          <w:b/>
          <w:bCs/>
          <w:spacing w:val="9"/>
          <w:sz w:val="24"/>
          <w:highlight w:val="none"/>
        </w:rPr>
      </w:pPr>
      <w:r>
        <w:rPr>
          <w:rFonts w:hint="eastAsia" w:ascii="宋体" w:hAnsi="宋体" w:cs="宋体"/>
          <w:b/>
          <w:bCs/>
          <w:spacing w:val="9"/>
          <w:sz w:val="24"/>
          <w:highlight w:val="none"/>
          <w:lang w:val="en-US" w:eastAsia="zh-CN"/>
        </w:rPr>
        <w:t xml:space="preserve">五</w:t>
      </w:r>
      <w:r>
        <w:rPr>
          <w:rFonts w:hint="eastAsia" w:ascii="宋体" w:hAnsi="宋体" w:cs="宋体"/>
          <w:b/>
          <w:bCs/>
          <w:spacing w:val="9"/>
          <w:sz w:val="24"/>
          <w:highlight w:val="none"/>
        </w:rPr>
        <w:t xml:space="preserve">、考核</w:t>
      </w:r>
      <w:r/>
    </w:p>
    <w:p>
      <w:pPr>
        <w:ind w:firstLine="516"/>
        <w:spacing w:line="360" w:lineRule="auto"/>
        <w:rPr>
          <w:rFonts w:ascii="宋体" w:hAnsi="宋体" w:cs="宋体"/>
          <w:spacing w:val="9"/>
          <w:sz w:val="24"/>
          <w:highlight w:val="none"/>
        </w:rPr>
      </w:pPr>
      <w:r>
        <w:rPr>
          <w:rFonts w:hint="eastAsia" w:ascii="宋体" w:hAnsi="宋体" w:cs="宋体"/>
          <w:spacing w:val="9"/>
          <w:sz w:val="24"/>
          <w:highlight w:val="none"/>
        </w:rPr>
        <w:t xml:space="preserve">1、中标人的服务考核由采购人组织实施。采购人可委托第三方机构对中标人进行考核或调研。按季度考核，考核实行百分制，季度考核得分低于 80 分为不合格。年度综合考核得分 为 4 个季度考核得分的平均值，年度综合考核得分在 90 分 (含) 以上的，方可续签1年合同， 续签次数不得超过 2 次。</w:t>
      </w:r>
      <w:r/>
    </w:p>
    <w:p>
      <w:pPr>
        <w:ind w:firstLine="516"/>
        <w:spacing w:line="360" w:lineRule="auto"/>
        <w:rPr>
          <w:rFonts w:ascii="宋体" w:hAnsi="宋体" w:cs="宋体"/>
          <w:spacing w:val="9"/>
          <w:sz w:val="24"/>
        </w:rPr>
      </w:pPr>
      <w:r>
        <w:rPr>
          <w:rFonts w:hint="eastAsia" w:ascii="宋体" w:hAnsi="宋体" w:cs="宋体"/>
          <w:spacing w:val="9"/>
          <w:sz w:val="24"/>
        </w:rPr>
        <w:t xml:space="preserve">2、中标人在年度服务期内出现以下问题之一，服务合同将自动终止：</w:t>
      </w:r>
      <w:r/>
    </w:p>
    <w:p>
      <w:pPr>
        <w:ind w:firstLine="516"/>
        <w:spacing w:line="360" w:lineRule="auto"/>
        <w:rPr>
          <w:rFonts w:ascii="宋体" w:hAnsi="宋体" w:cs="宋体"/>
          <w:spacing w:val="9"/>
          <w:sz w:val="24"/>
        </w:rPr>
      </w:pPr>
      <w:r>
        <w:rPr>
          <w:rFonts w:hint="eastAsia" w:ascii="宋体" w:hAnsi="宋体" w:cs="宋体"/>
          <w:spacing w:val="9"/>
          <w:sz w:val="24"/>
        </w:rPr>
        <w:t xml:space="preserve">(1) 连续2次考核不合格的 (考核评分80分以下) ；</w:t>
      </w:r>
      <w:r/>
    </w:p>
    <w:p>
      <w:pPr>
        <w:ind w:firstLine="516"/>
        <w:spacing w:line="360" w:lineRule="auto"/>
        <w:rPr>
          <w:rFonts w:ascii="宋体" w:hAnsi="宋体" w:cs="宋体"/>
          <w:spacing w:val="9"/>
          <w:sz w:val="24"/>
        </w:rPr>
      </w:pPr>
      <w:r>
        <w:rPr>
          <w:rFonts w:hint="eastAsia" w:ascii="宋体" w:hAnsi="宋体" w:cs="宋体"/>
          <w:spacing w:val="9"/>
          <w:sz w:val="24"/>
        </w:rPr>
        <w:t xml:space="preserve">(2) 因中标人原因造成严重社会影响的，包括但不限于：①因中标人不履行或者未完全履行本采购文件中所约定的相关合同义务致使保险保障对象人员向被保险人、投保人投诉 1 年之中累计三次以上的；②引起保险保障对象人员群体性事件或者上访、信访、游行等情形；③引发论坛网络、媒体报道或关注的；④其他造成严重社会影响的情形；</w:t>
      </w:r>
      <w:r/>
    </w:p>
    <w:p>
      <w:pPr>
        <w:ind w:firstLine="516"/>
        <w:spacing w:line="360" w:lineRule="auto"/>
        <w:rPr>
          <w:rFonts w:ascii="宋体" w:hAnsi="宋体" w:cs="宋体"/>
          <w:spacing w:val="9"/>
          <w:sz w:val="24"/>
        </w:rPr>
      </w:pPr>
      <w:r>
        <w:rPr>
          <w:rFonts w:hint="eastAsia" w:ascii="宋体" w:hAnsi="宋体" w:cs="宋体"/>
          <w:spacing w:val="9"/>
          <w:sz w:val="24"/>
        </w:rPr>
        <w:t xml:space="preserve">(3) 服务合同进行转包的；</w:t>
      </w:r>
      <w:r/>
    </w:p>
    <w:p>
      <w:pPr>
        <w:ind w:firstLine="516"/>
        <w:spacing w:line="360" w:lineRule="auto"/>
        <w:rPr>
          <w:rFonts w:ascii="宋体" w:hAnsi="宋体" w:cs="宋体"/>
          <w:spacing w:val="9"/>
          <w:sz w:val="24"/>
        </w:rPr>
      </w:pPr>
      <w:r>
        <w:rPr>
          <w:rFonts w:hint="eastAsia" w:ascii="宋体" w:hAnsi="宋体" w:cs="宋体"/>
          <w:spacing w:val="9"/>
          <w:sz w:val="24"/>
        </w:rPr>
        <w:t xml:space="preserve">(4) 中标人存在案件拒赔或未完全赔付的情况，1 年内发生两次并都经法院判决、裁决确认的。</w:t>
      </w:r>
      <w:r/>
    </w:p>
    <w:p>
      <w:pPr>
        <w:ind w:left="605"/>
        <w:spacing w:before="75" w:line="309" w:lineRule="exact"/>
        <w:rPr>
          <w:rFonts w:ascii="宋体" w:hAnsi="宋体" w:cs="宋体"/>
          <w:b/>
          <w:bCs/>
          <w:sz w:val="22"/>
          <w:szCs w:val="22"/>
        </w:rPr>
        <w:outlineLvl w:val="1"/>
      </w:pPr>
      <w:r>
        <w:rPr>
          <w:rFonts w:hint="eastAsia" w:ascii="宋体" w:hAnsi="宋体" w:cs="宋体"/>
          <w:b/>
          <w:bCs/>
          <w:spacing w:val="12"/>
          <w:position w:val="1"/>
          <w:sz w:val="22"/>
          <w:szCs w:val="22"/>
        </w:rPr>
        <w:t xml:space="preserve">3</w:t>
      </w:r>
      <w:r>
        <w:rPr>
          <w:rFonts w:hint="eastAsia" w:ascii="宋体" w:hAnsi="宋体" w:cs="宋体"/>
          <w:b/>
          <w:bCs/>
          <w:spacing w:val="6"/>
          <w:position w:val="1"/>
          <w:sz w:val="22"/>
          <w:szCs w:val="22"/>
        </w:rPr>
        <w:t xml:space="preserve">、考核细则如下：</w:t>
      </w:r>
      <w:r/>
    </w:p>
    <w:tbl>
      <w:tblPr>
        <w:tblStyle w:val="1388"/>
        <w:tblW w:w="984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8"/>
        <w:gridCol w:w="3078"/>
        <w:gridCol w:w="750"/>
        <w:gridCol w:w="3580"/>
        <w:gridCol w:w="1055"/>
        <w:gridCol w:w="535"/>
      </w:tblGrid>
      <w:tr>
        <w:trPr>
          <w:trHeight w:val="1063"/>
        </w:trPr>
        <w:tc>
          <w:tcPr>
            <w:tcW w:w="848" w:type="dxa"/>
            <w:vAlign w:val="center"/>
            <w:textDirection w:val="lrTb"/>
            <w:noWrap w:val="false"/>
          </w:tcPr>
          <w:p>
            <w:pPr>
              <w:jc w:val="center"/>
              <w:rPr>
                <w:rFonts w:ascii="宋体" w:hAnsi="宋体" w:cs="宋体"/>
                <w:szCs w:val="22"/>
                <w:lang w:eastAsia="en-US"/>
              </w:rPr>
            </w:pPr>
            <w:r>
              <w:rPr>
                <w:rFonts w:hint="eastAsia" w:ascii="宋体" w:hAnsi="宋体" w:cs="宋体"/>
                <w:spacing w:val="5"/>
                <w:position w:val="12"/>
                <w:szCs w:val="22"/>
                <w:lang w:eastAsia="en-US"/>
              </w:rPr>
              <w:t xml:space="preserve">考核</w:t>
            </w:r>
            <w:r/>
          </w:p>
          <w:p>
            <w:pPr>
              <w:jc w:val="center"/>
              <w:rPr>
                <w:rFonts w:ascii="宋体" w:hAnsi="宋体" w:cs="宋体"/>
                <w:szCs w:val="22"/>
                <w:lang w:eastAsia="en-US"/>
              </w:rPr>
            </w:pPr>
            <w:r>
              <w:rPr>
                <w:rFonts w:hint="eastAsia" w:ascii="宋体" w:hAnsi="宋体" w:cs="宋体"/>
                <w:spacing w:val="-10"/>
                <w:szCs w:val="22"/>
                <w:lang w:eastAsia="en-US"/>
              </w:rPr>
              <w:t xml:space="preserve">内</w:t>
            </w:r>
            <w:r>
              <w:rPr>
                <w:rFonts w:hint="eastAsia" w:ascii="宋体" w:hAnsi="宋体" w:cs="宋体"/>
                <w:spacing w:val="-9"/>
                <w:szCs w:val="22"/>
                <w:lang w:eastAsia="en-US"/>
              </w:rPr>
              <w:t xml:space="preserve">容</w:t>
            </w:r>
            <w:r/>
          </w:p>
        </w:tc>
        <w:tc>
          <w:tcPr>
            <w:tcW w:w="3078" w:type="dxa"/>
            <w:vAlign w:val="center"/>
            <w:textDirection w:val="lrTb"/>
            <w:noWrap w:val="false"/>
          </w:tcPr>
          <w:p>
            <w:pPr>
              <w:jc w:val="center"/>
              <w:rPr>
                <w:rFonts w:ascii="宋体" w:hAnsi="宋体" w:cs="宋体"/>
                <w:szCs w:val="22"/>
                <w:lang w:eastAsia="en-US"/>
              </w:rPr>
            </w:pPr>
            <w:r>
              <w:rPr>
                <w:rFonts w:hint="eastAsia" w:ascii="宋体" w:hAnsi="宋体" w:cs="宋体"/>
                <w:spacing w:val="10"/>
                <w:szCs w:val="22"/>
                <w:lang w:eastAsia="en-US"/>
              </w:rPr>
              <w:t xml:space="preserve">考</w:t>
            </w:r>
            <w:r>
              <w:rPr>
                <w:rFonts w:hint="eastAsia" w:ascii="宋体" w:hAnsi="宋体" w:cs="宋体"/>
                <w:spacing w:val="9"/>
                <w:szCs w:val="22"/>
                <w:lang w:eastAsia="en-US"/>
              </w:rPr>
              <w:t xml:space="preserve">核指标要求</w:t>
            </w:r>
            <w:r/>
          </w:p>
        </w:tc>
        <w:tc>
          <w:tcPr>
            <w:tcW w:w="750" w:type="dxa"/>
            <w:vAlign w:val="center"/>
            <w:textDirection w:val="lrTb"/>
            <w:noWrap w:val="false"/>
          </w:tcPr>
          <w:p>
            <w:pPr>
              <w:jc w:val="center"/>
              <w:rPr>
                <w:rFonts w:ascii="宋体" w:hAnsi="宋体" w:cs="宋体"/>
                <w:szCs w:val="22"/>
                <w:lang w:eastAsia="en-US"/>
              </w:rPr>
            </w:pPr>
            <w:r>
              <w:rPr>
                <w:rFonts w:hint="eastAsia" w:ascii="宋体" w:hAnsi="宋体" w:cs="宋体"/>
                <w:spacing w:val="4"/>
                <w:szCs w:val="22"/>
                <w:lang w:eastAsia="en-US"/>
              </w:rPr>
              <w:t xml:space="preserve">分</w:t>
            </w:r>
            <w:r>
              <w:rPr>
                <w:rFonts w:hint="eastAsia" w:ascii="宋体" w:hAnsi="宋体" w:cs="宋体"/>
                <w:spacing w:val="3"/>
                <w:szCs w:val="22"/>
                <w:lang w:eastAsia="en-US"/>
              </w:rPr>
              <w:t xml:space="preserve">值</w:t>
            </w:r>
            <w:r/>
          </w:p>
        </w:tc>
        <w:tc>
          <w:tcPr>
            <w:tcW w:w="3580" w:type="dxa"/>
            <w:vAlign w:val="center"/>
            <w:textDirection w:val="lrTb"/>
            <w:noWrap w:val="false"/>
          </w:tcPr>
          <w:p>
            <w:pPr>
              <w:jc w:val="center"/>
              <w:rPr>
                <w:rFonts w:ascii="宋体" w:hAnsi="宋体" w:cs="宋体"/>
                <w:szCs w:val="22"/>
                <w:lang w:eastAsia="en-US"/>
              </w:rPr>
            </w:pPr>
            <w:r>
              <w:rPr>
                <w:rFonts w:hint="eastAsia" w:ascii="宋体" w:hAnsi="宋体" w:cs="宋体"/>
                <w:spacing w:val="10"/>
                <w:szCs w:val="22"/>
                <w:lang w:eastAsia="en-US"/>
              </w:rPr>
              <w:t xml:space="preserve">考</w:t>
            </w:r>
            <w:r>
              <w:rPr>
                <w:rFonts w:hint="eastAsia" w:ascii="宋体" w:hAnsi="宋体" w:cs="宋体"/>
                <w:spacing w:val="9"/>
                <w:szCs w:val="22"/>
                <w:lang w:eastAsia="en-US"/>
              </w:rPr>
              <w:t xml:space="preserve">核扣分标准</w:t>
            </w:r>
            <w:r/>
          </w:p>
        </w:tc>
        <w:tc>
          <w:tcPr>
            <w:tcW w:w="1055" w:type="dxa"/>
            <w:vAlign w:val="center"/>
            <w:textDirection w:val="lrTb"/>
            <w:noWrap w:val="false"/>
          </w:tcPr>
          <w:p>
            <w:pPr>
              <w:jc w:val="center"/>
              <w:rPr>
                <w:rFonts w:ascii="宋体" w:hAnsi="宋体" w:cs="宋体"/>
                <w:szCs w:val="22"/>
                <w:lang w:eastAsia="en-US"/>
              </w:rPr>
            </w:pPr>
            <w:r>
              <w:rPr>
                <w:rFonts w:hint="eastAsia" w:ascii="宋体" w:hAnsi="宋体" w:cs="宋体"/>
                <w:spacing w:val="9"/>
                <w:szCs w:val="22"/>
                <w:lang w:eastAsia="en-US"/>
              </w:rPr>
              <w:t xml:space="preserve">考</w:t>
            </w:r>
            <w:r>
              <w:rPr>
                <w:rFonts w:hint="eastAsia" w:ascii="宋体" w:hAnsi="宋体" w:cs="宋体"/>
                <w:spacing w:val="7"/>
                <w:szCs w:val="22"/>
                <w:lang w:eastAsia="en-US"/>
              </w:rPr>
              <w:t xml:space="preserve">核情</w:t>
            </w:r>
            <w:r>
              <w:rPr>
                <w:rFonts w:hint="eastAsia" w:ascii="宋体" w:hAnsi="宋体" w:cs="宋体"/>
                <w:szCs w:val="22"/>
                <w:lang w:eastAsia="en-US"/>
              </w:rPr>
              <w:t xml:space="preserve">况</w:t>
            </w:r>
            <w:r/>
          </w:p>
        </w:tc>
        <w:tc>
          <w:tcPr>
            <w:tcW w:w="535" w:type="dxa"/>
            <w:vAlign w:val="center"/>
            <w:textDirection w:val="tbRlV"/>
            <w:noWrap w:val="false"/>
          </w:tcPr>
          <w:p>
            <w:pPr>
              <w:jc w:val="center"/>
              <w:rPr>
                <w:rFonts w:ascii="宋体" w:hAnsi="宋体" w:cs="宋体"/>
                <w:szCs w:val="22"/>
                <w:lang w:eastAsia="en-US"/>
              </w:rPr>
            </w:pPr>
            <w:r>
              <w:rPr>
                <w:rFonts w:hint="eastAsia" w:ascii="宋体" w:hAnsi="宋体" w:cs="宋体"/>
                <w:spacing w:val="22"/>
                <w:szCs w:val="22"/>
                <w:lang w:eastAsia="en-US"/>
              </w:rPr>
              <w:t xml:space="preserve">得 </w:t>
            </w:r>
            <w:r>
              <w:rPr>
                <w:rFonts w:hint="eastAsia" w:ascii="宋体" w:hAnsi="宋体" w:cs="宋体"/>
                <w:spacing w:val="21"/>
                <w:szCs w:val="22"/>
                <w:lang w:eastAsia="en-US"/>
              </w:rPr>
              <w:t xml:space="preserve">分</w:t>
            </w:r>
            <w:r/>
          </w:p>
        </w:tc>
      </w:tr>
      <w:tr>
        <w:trPr>
          <w:trHeight w:val="1249"/>
        </w:trPr>
        <w:tc>
          <w:tcPr>
            <w:tcW w:w="848" w:type="dxa"/>
            <w:vAlign w:val="center"/>
            <w:textDirection w:val="lrTb"/>
            <w:noWrap w:val="false"/>
          </w:tcPr>
          <w:p>
            <w:pPr>
              <w:jc w:val="center"/>
              <w:rPr>
                <w:rFonts w:ascii="宋体" w:hAnsi="宋体" w:cs="宋体"/>
                <w:szCs w:val="22"/>
                <w:lang w:eastAsia="en-US"/>
              </w:rPr>
            </w:pPr>
            <w:r>
              <w:rPr>
                <w:rFonts w:hint="eastAsia" w:ascii="宋体" w:hAnsi="宋体" w:cs="宋体"/>
                <w:spacing w:val="4"/>
                <w:szCs w:val="22"/>
                <w:lang w:eastAsia="en-US"/>
              </w:rPr>
              <w:t xml:space="preserve">理</w:t>
            </w:r>
            <w:r>
              <w:rPr>
                <w:rFonts w:hint="eastAsia" w:ascii="宋体" w:hAnsi="宋体" w:cs="宋体"/>
                <w:spacing w:val="3"/>
                <w:szCs w:val="22"/>
                <w:lang w:eastAsia="en-US"/>
              </w:rPr>
              <w:t xml:space="preserve">赔</w:t>
            </w:r>
            <w:r/>
          </w:p>
          <w:p>
            <w:pPr>
              <w:jc w:val="center"/>
              <w:rPr>
                <w:rFonts w:ascii="宋体" w:hAnsi="宋体" w:cs="宋体"/>
                <w:szCs w:val="22"/>
                <w:lang w:eastAsia="en-US"/>
              </w:rPr>
            </w:pPr>
            <w:r>
              <w:rPr>
                <w:rFonts w:hint="eastAsia" w:ascii="宋体" w:hAnsi="宋体" w:cs="宋体"/>
                <w:spacing w:val="5"/>
                <w:szCs w:val="22"/>
                <w:lang w:eastAsia="en-US"/>
              </w:rPr>
              <w:t xml:space="preserve">满意</w:t>
            </w:r>
            <w:r/>
          </w:p>
          <w:p>
            <w:pPr>
              <w:jc w:val="center"/>
              <w:rPr>
                <w:rFonts w:ascii="宋体" w:hAnsi="宋体" w:cs="宋体"/>
                <w:szCs w:val="22"/>
                <w:lang w:eastAsia="en-US"/>
              </w:rPr>
            </w:pPr>
            <w:r>
              <w:rPr>
                <w:rFonts w:hint="eastAsia" w:ascii="宋体" w:hAnsi="宋体" w:cs="宋体"/>
                <w:spacing w:val="1"/>
                <w:szCs w:val="22"/>
                <w:lang w:eastAsia="en-US"/>
              </w:rPr>
              <w:t xml:space="preserve">度</w:t>
            </w:r>
            <w:r/>
          </w:p>
        </w:tc>
        <w:tc>
          <w:tcPr>
            <w:tcW w:w="3078" w:type="dxa"/>
            <w:vAlign w:val="center"/>
            <w:textDirection w:val="lrTb"/>
            <w:noWrap w:val="false"/>
          </w:tcPr>
          <w:p>
            <w:pPr>
              <w:jc w:val="center"/>
              <w:rPr>
                <w:rFonts w:ascii="宋体" w:hAnsi="宋体" w:cs="宋体"/>
                <w:szCs w:val="22"/>
                <w:lang w:eastAsia="en-US"/>
              </w:rPr>
            </w:pPr>
            <w:r>
              <w:rPr>
                <w:rFonts w:hint="eastAsia" w:ascii="宋体" w:hAnsi="宋体" w:cs="宋体"/>
                <w:spacing w:val="12"/>
                <w:szCs w:val="22"/>
                <w:lang w:eastAsia="en-US"/>
              </w:rPr>
              <w:t xml:space="preserve">发</w:t>
            </w:r>
            <w:r>
              <w:rPr>
                <w:rFonts w:hint="eastAsia" w:ascii="宋体" w:hAnsi="宋体" w:cs="宋体"/>
                <w:spacing w:val="7"/>
                <w:szCs w:val="22"/>
                <w:lang w:eastAsia="en-US"/>
              </w:rPr>
              <w:t xml:space="preserve">生理赔事件后，被保障人</w:t>
            </w:r>
            <w:r>
              <w:rPr>
                <w:rFonts w:hint="eastAsia" w:ascii="宋体" w:hAnsi="宋体" w:cs="宋体"/>
                <w:spacing w:val="8"/>
                <w:szCs w:val="22"/>
                <w:lang w:eastAsia="en-US"/>
              </w:rPr>
              <w:t xml:space="preserve">对理赔服务的满意度调查</w:t>
            </w:r>
            <w:r>
              <w:rPr>
                <w:rFonts w:hint="eastAsia" w:ascii="宋体" w:hAnsi="宋体" w:cs="宋体"/>
                <w:spacing w:val="6"/>
                <w:szCs w:val="22"/>
                <w:lang w:eastAsia="en-US"/>
              </w:rPr>
              <w:t xml:space="preserve">，</w:t>
            </w:r>
            <w:r>
              <w:rPr>
                <w:rFonts w:hint="eastAsia" w:ascii="宋体" w:hAnsi="宋体" w:cs="宋体"/>
                <w:spacing w:val="34"/>
                <w:szCs w:val="22"/>
                <w:lang w:eastAsia="en-US"/>
              </w:rPr>
              <w:t xml:space="preserve">承</w:t>
            </w:r>
            <w:r>
              <w:rPr>
                <w:rFonts w:hint="eastAsia" w:ascii="宋体" w:hAnsi="宋体" w:cs="宋体"/>
                <w:spacing w:val="29"/>
                <w:szCs w:val="22"/>
                <w:lang w:eastAsia="en-US"/>
              </w:rPr>
              <w:t xml:space="preserve">保单位满意度调查应当</w:t>
            </w:r>
            <w:r>
              <w:rPr>
                <w:rFonts w:hint="eastAsia" w:ascii="宋体" w:hAnsi="宋体" w:cs="宋体"/>
                <w:spacing w:val="1"/>
                <w:szCs w:val="22"/>
                <w:lang w:eastAsia="en-US"/>
              </w:rPr>
              <w:t xml:space="preserve">在 95% (含) 以</w:t>
            </w:r>
            <w:r>
              <w:rPr>
                <w:rFonts w:hint="eastAsia" w:ascii="宋体" w:hAnsi="宋体" w:cs="宋体"/>
                <w:szCs w:val="22"/>
                <w:lang w:eastAsia="en-US"/>
              </w:rPr>
              <w:t xml:space="preserve">上</w:t>
            </w:r>
            <w:r/>
          </w:p>
        </w:tc>
        <w:tc>
          <w:tcPr>
            <w:tcW w:w="750" w:type="dxa"/>
            <w:vAlign w:val="center"/>
            <w:textDirection w:val="lrTb"/>
            <w:noWrap w:val="false"/>
          </w:tcPr>
          <w:p>
            <w:pPr>
              <w:jc w:val="center"/>
              <w:rPr>
                <w:rFonts w:ascii="宋体" w:hAnsi="宋体" w:cs="宋体"/>
                <w:szCs w:val="22"/>
                <w:lang w:eastAsia="en-US"/>
              </w:rPr>
            </w:pPr>
            <w:r>
              <w:rPr>
                <w:rFonts w:hint="eastAsia" w:ascii="宋体" w:hAnsi="宋体" w:cs="宋体"/>
                <w:spacing w:val="-3"/>
                <w:szCs w:val="22"/>
                <w:lang w:eastAsia="en-US"/>
              </w:rPr>
              <w:t xml:space="preserve">5</w:t>
            </w:r>
            <w:r>
              <w:rPr>
                <w:rFonts w:hint="eastAsia" w:ascii="宋体" w:hAnsi="宋体" w:cs="宋体"/>
                <w:spacing w:val="-2"/>
                <w:szCs w:val="22"/>
                <w:lang w:eastAsia="en-US"/>
              </w:rPr>
              <w:t xml:space="preserve">0</w:t>
            </w:r>
            <w:r/>
          </w:p>
        </w:tc>
        <w:tc>
          <w:tcPr>
            <w:tcW w:w="3580" w:type="dxa"/>
            <w:vAlign w:val="center"/>
            <w:textDirection w:val="lrTb"/>
            <w:noWrap w:val="false"/>
          </w:tcPr>
          <w:p>
            <w:pPr>
              <w:jc w:val="center"/>
              <w:rPr>
                <w:rFonts w:ascii="宋体" w:hAnsi="宋体" w:cs="宋体"/>
                <w:szCs w:val="22"/>
                <w:lang w:eastAsia="en-US"/>
              </w:rPr>
            </w:pPr>
            <w:r>
              <w:rPr>
                <w:rFonts w:ascii="宋体" w:hAnsi="宋体" w:cs="宋体"/>
                <w:szCs w:val="22"/>
                <w:lang w:eastAsia="en-US"/>
              </w:rPr>
            </w:r>
            <w:r/>
          </w:p>
          <w:p>
            <w:pPr>
              <w:jc w:val="center"/>
              <w:rPr>
                <w:rFonts w:ascii="宋体" w:hAnsi="宋体" w:cs="宋体"/>
                <w:szCs w:val="22"/>
                <w:lang w:eastAsia="en-US"/>
              </w:rPr>
            </w:pPr>
            <w:r>
              <w:rPr>
                <w:rFonts w:hint="eastAsia" w:ascii="宋体" w:hAnsi="宋体" w:cs="宋体"/>
                <w:spacing w:val="29"/>
                <w:szCs w:val="22"/>
                <w:lang w:eastAsia="en-US"/>
              </w:rPr>
              <w:t xml:space="preserve">承</w:t>
            </w:r>
            <w:r>
              <w:rPr>
                <w:rFonts w:hint="eastAsia" w:ascii="宋体" w:hAnsi="宋体" w:cs="宋体"/>
                <w:spacing w:val="24"/>
                <w:szCs w:val="22"/>
                <w:lang w:eastAsia="en-US"/>
              </w:rPr>
              <w:t xml:space="preserve">保单位满意度调查低于 95%</w:t>
            </w:r>
            <w:r>
              <w:rPr>
                <w:rFonts w:hint="eastAsia" w:ascii="宋体" w:hAnsi="宋体" w:cs="宋体"/>
                <w:spacing w:val="-10"/>
                <w:szCs w:val="22"/>
                <w:lang w:eastAsia="en-US"/>
              </w:rPr>
              <w:t xml:space="preserve">的</w:t>
            </w:r>
            <w:r>
              <w:rPr>
                <w:rFonts w:hint="eastAsia" w:ascii="宋体" w:hAnsi="宋体" w:cs="宋体"/>
                <w:spacing w:val="-9"/>
                <w:szCs w:val="22"/>
                <w:lang w:eastAsia="en-US"/>
              </w:rPr>
              <w:t xml:space="preserve">，</w:t>
            </w:r>
            <w:r>
              <w:rPr>
                <w:rFonts w:hint="eastAsia" w:ascii="宋体" w:hAnsi="宋体" w:cs="宋体"/>
                <w:spacing w:val="-5"/>
                <w:szCs w:val="22"/>
                <w:lang w:eastAsia="en-US"/>
              </w:rPr>
              <w:t xml:space="preserve">每低 1%扣 2 分，扣完为止。</w:t>
            </w:r>
            <w:r/>
          </w:p>
        </w:tc>
        <w:tc>
          <w:tcPr>
            <w:tcW w:w="1055" w:type="dxa"/>
            <w:vAlign w:val="center"/>
            <w:textDirection w:val="lrTb"/>
            <w:noWrap w:val="false"/>
          </w:tcPr>
          <w:p>
            <w:pPr>
              <w:jc w:val="center"/>
              <w:rPr>
                <w:rFonts w:ascii="宋体" w:hAnsi="宋体" w:cs="宋体"/>
                <w:szCs w:val="22"/>
                <w:lang w:eastAsia="en-US"/>
              </w:rPr>
            </w:pPr>
            <w:r>
              <w:rPr>
                <w:rFonts w:ascii="宋体" w:hAnsi="宋体" w:cs="宋体"/>
                <w:szCs w:val="22"/>
                <w:lang w:eastAsia="en-US"/>
              </w:rPr>
            </w:r>
            <w:r/>
          </w:p>
        </w:tc>
        <w:tc>
          <w:tcPr>
            <w:tcW w:w="535" w:type="dxa"/>
            <w:vAlign w:val="center"/>
            <w:textDirection w:val="lrTb"/>
            <w:noWrap w:val="false"/>
          </w:tcPr>
          <w:p>
            <w:pPr>
              <w:jc w:val="center"/>
              <w:rPr>
                <w:rFonts w:ascii="宋体" w:hAnsi="宋体" w:cs="宋体"/>
                <w:szCs w:val="22"/>
                <w:lang w:eastAsia="en-US"/>
              </w:rPr>
            </w:pPr>
            <w:r>
              <w:rPr>
                <w:rFonts w:ascii="宋体" w:hAnsi="宋体" w:cs="宋体"/>
                <w:szCs w:val="22"/>
                <w:lang w:eastAsia="en-US"/>
              </w:rPr>
            </w:r>
            <w:r/>
          </w:p>
        </w:tc>
      </w:tr>
      <w:tr>
        <w:trPr>
          <w:trHeight w:val="1128"/>
        </w:trPr>
        <w:tc>
          <w:tcPr>
            <w:tcW w:w="848" w:type="dxa"/>
            <w:vAlign w:val="center"/>
            <w:textDirection w:val="lrTb"/>
            <w:noWrap w:val="false"/>
          </w:tcPr>
          <w:p>
            <w:pPr>
              <w:jc w:val="center"/>
              <w:rPr>
                <w:rFonts w:ascii="宋体" w:hAnsi="宋体" w:cs="宋体"/>
                <w:szCs w:val="22"/>
                <w:lang w:eastAsia="en-US"/>
              </w:rPr>
            </w:pPr>
            <w:r>
              <w:rPr>
                <w:rFonts w:hint="eastAsia" w:ascii="宋体" w:hAnsi="宋体" w:cs="宋体"/>
                <w:spacing w:val="3"/>
                <w:position w:val="5"/>
                <w:szCs w:val="22"/>
                <w:lang w:eastAsia="en-US"/>
              </w:rPr>
              <w:t xml:space="preserve">宣传</w:t>
            </w:r>
            <w:r/>
          </w:p>
          <w:p>
            <w:pPr>
              <w:jc w:val="center"/>
              <w:rPr>
                <w:rFonts w:ascii="宋体" w:hAnsi="宋体" w:cs="宋体"/>
                <w:szCs w:val="22"/>
                <w:lang w:eastAsia="en-US"/>
              </w:rPr>
            </w:pPr>
            <w:r>
              <w:rPr>
                <w:rFonts w:hint="eastAsia" w:ascii="宋体" w:hAnsi="宋体" w:cs="宋体"/>
                <w:spacing w:val="5"/>
                <w:szCs w:val="22"/>
                <w:lang w:eastAsia="en-US"/>
              </w:rPr>
              <w:t xml:space="preserve">服务</w:t>
            </w:r>
            <w:r/>
          </w:p>
          <w:p>
            <w:pPr>
              <w:jc w:val="center"/>
              <w:rPr>
                <w:rFonts w:ascii="宋体" w:hAnsi="宋体" w:cs="宋体"/>
                <w:szCs w:val="22"/>
                <w:lang w:eastAsia="en-US"/>
              </w:rPr>
            </w:pPr>
            <w:r>
              <w:rPr>
                <w:rFonts w:hint="eastAsia" w:ascii="宋体" w:hAnsi="宋体" w:cs="宋体"/>
                <w:spacing w:val="5"/>
                <w:szCs w:val="22"/>
                <w:lang w:eastAsia="en-US"/>
              </w:rPr>
              <w:t xml:space="preserve">方</w:t>
            </w:r>
            <w:r>
              <w:rPr>
                <w:rFonts w:hint="eastAsia" w:ascii="宋体" w:hAnsi="宋体" w:cs="宋体"/>
                <w:spacing w:val="4"/>
                <w:szCs w:val="22"/>
                <w:lang w:eastAsia="en-US"/>
              </w:rPr>
              <w:t xml:space="preserve">案</w:t>
            </w:r>
            <w:r/>
          </w:p>
        </w:tc>
        <w:tc>
          <w:tcPr>
            <w:tcW w:w="3078" w:type="dxa"/>
            <w:vAlign w:val="center"/>
            <w:textDirection w:val="lrTb"/>
            <w:noWrap w:val="false"/>
          </w:tcPr>
          <w:p>
            <w:pPr>
              <w:jc w:val="center"/>
              <w:rPr>
                <w:rFonts w:ascii="宋体" w:hAnsi="宋体" w:cs="宋体"/>
                <w:szCs w:val="22"/>
                <w:lang w:eastAsia="en-US"/>
              </w:rPr>
            </w:pPr>
            <w:r>
              <w:rPr>
                <w:rFonts w:hint="eastAsia" w:ascii="宋体" w:hAnsi="宋体" w:cs="宋体"/>
                <w:spacing w:val="33"/>
                <w:szCs w:val="22"/>
                <w:lang w:eastAsia="en-US"/>
              </w:rPr>
              <w:t xml:space="preserve">承</w:t>
            </w:r>
            <w:r>
              <w:rPr>
                <w:rFonts w:hint="eastAsia" w:ascii="宋体" w:hAnsi="宋体" w:cs="宋体"/>
                <w:spacing w:val="29"/>
                <w:szCs w:val="22"/>
                <w:lang w:eastAsia="en-US"/>
              </w:rPr>
              <w:t xml:space="preserve">保单位应通过多种途径</w:t>
            </w:r>
            <w:r>
              <w:rPr>
                <w:rFonts w:hint="eastAsia" w:ascii="宋体" w:hAnsi="宋体" w:cs="宋体"/>
                <w:spacing w:val="9"/>
                <w:szCs w:val="22"/>
                <w:lang w:eastAsia="en-US"/>
              </w:rPr>
              <w:t xml:space="preserve">和方式进行宣传工</w:t>
            </w:r>
            <w:r>
              <w:rPr>
                <w:rFonts w:hint="eastAsia" w:ascii="宋体" w:hAnsi="宋体" w:cs="宋体"/>
                <w:spacing w:val="7"/>
                <w:szCs w:val="22"/>
                <w:lang w:eastAsia="en-US"/>
              </w:rPr>
              <w:t xml:space="preserve">作</w:t>
            </w:r>
            <w:r/>
          </w:p>
        </w:tc>
        <w:tc>
          <w:tcPr>
            <w:tcW w:w="750" w:type="dxa"/>
            <w:vAlign w:val="center"/>
            <w:textDirection w:val="lrTb"/>
            <w:noWrap w:val="false"/>
          </w:tcPr>
          <w:p>
            <w:pPr>
              <w:jc w:val="center"/>
              <w:rPr>
                <w:rFonts w:ascii="宋体" w:hAnsi="宋体" w:cs="宋体"/>
                <w:szCs w:val="22"/>
                <w:lang w:eastAsia="en-US"/>
              </w:rPr>
            </w:pPr>
            <w:r>
              <w:rPr>
                <w:rFonts w:hint="eastAsia" w:ascii="宋体" w:hAnsi="宋体" w:cs="宋体"/>
                <w:spacing w:val="-3"/>
                <w:szCs w:val="22"/>
                <w:lang w:eastAsia="en-US"/>
              </w:rPr>
              <w:t xml:space="preserve">5</w:t>
            </w:r>
            <w:r>
              <w:rPr>
                <w:rFonts w:hint="eastAsia" w:ascii="宋体" w:hAnsi="宋体" w:cs="宋体"/>
                <w:spacing w:val="-2"/>
                <w:szCs w:val="22"/>
                <w:lang w:eastAsia="en-US"/>
              </w:rPr>
              <w:t xml:space="preserve">0</w:t>
            </w:r>
            <w:r/>
          </w:p>
        </w:tc>
        <w:tc>
          <w:tcPr>
            <w:tcW w:w="3580" w:type="dxa"/>
            <w:vAlign w:val="center"/>
            <w:textDirection w:val="lrTb"/>
            <w:noWrap w:val="false"/>
          </w:tcPr>
          <w:p>
            <w:pPr>
              <w:jc w:val="center"/>
              <w:rPr>
                <w:rFonts w:ascii="宋体" w:hAnsi="宋体" w:cs="宋体"/>
                <w:szCs w:val="22"/>
                <w:lang w:eastAsia="en-US"/>
              </w:rPr>
            </w:pPr>
            <w:r>
              <w:rPr>
                <w:rFonts w:hint="eastAsia" w:ascii="宋体" w:hAnsi="宋体" w:cs="宋体"/>
                <w:spacing w:val="2"/>
                <w:szCs w:val="22"/>
                <w:highlight w:val="none"/>
                <w:lang w:eastAsia="en-US"/>
              </w:rPr>
              <w:t xml:space="preserve">金坛户</w:t>
            </w:r>
            <w:r>
              <w:rPr>
                <w:rFonts w:hint="eastAsia" w:ascii="宋体" w:hAnsi="宋体" w:cs="宋体"/>
                <w:spacing w:val="1"/>
                <w:szCs w:val="22"/>
                <w:highlight w:val="none"/>
                <w:lang w:eastAsia="en-US"/>
              </w:rPr>
              <w:t xml:space="preserve">籍居民中每发现 1 人完全</w:t>
            </w:r>
            <w:r>
              <w:rPr>
                <w:rFonts w:hint="eastAsia" w:ascii="宋体" w:hAnsi="宋体" w:cs="宋体"/>
                <w:spacing w:val="2"/>
                <w:szCs w:val="22"/>
                <w:highlight w:val="none"/>
                <w:lang w:eastAsia="en-US"/>
              </w:rPr>
              <w:t xml:space="preserve">不</w:t>
            </w:r>
            <w:r>
              <w:rPr>
                <w:rFonts w:hint="eastAsia" w:ascii="宋体" w:hAnsi="宋体" w:cs="宋体"/>
                <w:spacing w:val="1"/>
                <w:szCs w:val="22"/>
                <w:highlight w:val="none"/>
                <w:lang w:eastAsia="en-US"/>
              </w:rPr>
              <w:t xml:space="preserve">知晓惠民保</w:t>
            </w:r>
            <w:r>
              <w:rPr>
                <w:rFonts w:hint="eastAsia" w:ascii="宋体" w:hAnsi="宋体" w:cs="宋体"/>
                <w:spacing w:val="1"/>
                <w:szCs w:val="22"/>
                <w:lang w:eastAsia="en-US"/>
              </w:rPr>
              <w:t xml:space="preserve">险的扣 0.5 分，扣</w:t>
            </w:r>
            <w:r>
              <w:rPr>
                <w:rFonts w:hint="eastAsia" w:ascii="宋体" w:hAnsi="宋体" w:cs="宋体"/>
                <w:spacing w:val="6"/>
                <w:szCs w:val="22"/>
                <w:lang w:eastAsia="en-US"/>
              </w:rPr>
              <w:t xml:space="preserve">完</w:t>
            </w:r>
            <w:r>
              <w:rPr>
                <w:rFonts w:hint="eastAsia" w:ascii="宋体" w:hAnsi="宋体" w:cs="宋体"/>
                <w:spacing w:val="4"/>
                <w:szCs w:val="22"/>
                <w:lang w:eastAsia="en-US"/>
              </w:rPr>
              <w:t xml:space="preserve">为止。</w:t>
            </w:r>
            <w:r/>
          </w:p>
        </w:tc>
        <w:tc>
          <w:tcPr>
            <w:tcW w:w="1055" w:type="dxa"/>
            <w:vAlign w:val="center"/>
            <w:textDirection w:val="lrTb"/>
            <w:noWrap w:val="false"/>
          </w:tcPr>
          <w:p>
            <w:pPr>
              <w:jc w:val="center"/>
              <w:rPr>
                <w:rFonts w:ascii="宋体" w:hAnsi="宋体" w:cs="宋体"/>
                <w:szCs w:val="22"/>
                <w:lang w:eastAsia="en-US"/>
              </w:rPr>
            </w:pPr>
            <w:r>
              <w:rPr>
                <w:rFonts w:ascii="宋体" w:hAnsi="宋体" w:cs="宋体"/>
                <w:szCs w:val="22"/>
                <w:lang w:eastAsia="en-US"/>
              </w:rPr>
            </w:r>
            <w:r/>
          </w:p>
        </w:tc>
        <w:tc>
          <w:tcPr>
            <w:tcW w:w="535" w:type="dxa"/>
            <w:vAlign w:val="center"/>
            <w:textDirection w:val="lrTb"/>
            <w:noWrap w:val="false"/>
          </w:tcPr>
          <w:p>
            <w:pPr>
              <w:jc w:val="center"/>
              <w:rPr>
                <w:rFonts w:ascii="宋体" w:hAnsi="宋体" w:cs="宋体"/>
                <w:szCs w:val="22"/>
                <w:lang w:eastAsia="en-US"/>
              </w:rPr>
            </w:pPr>
            <w:r>
              <w:rPr>
                <w:rFonts w:ascii="宋体" w:hAnsi="宋体" w:cs="宋体"/>
                <w:szCs w:val="22"/>
                <w:lang w:eastAsia="en-US"/>
              </w:rPr>
            </w:r>
            <w:r/>
          </w:p>
        </w:tc>
      </w:tr>
      <w:tr>
        <w:trPr>
          <w:trHeight w:val="580"/>
        </w:trPr>
        <w:tc>
          <w:tcPr>
            <w:tcW w:w="848" w:type="dxa"/>
            <w:vAlign w:val="center"/>
            <w:textDirection w:val="lrTb"/>
            <w:noWrap w:val="false"/>
          </w:tcPr>
          <w:p>
            <w:pPr>
              <w:jc w:val="center"/>
              <w:rPr>
                <w:rFonts w:ascii="宋体" w:hAnsi="宋体" w:cs="宋体"/>
                <w:szCs w:val="22"/>
                <w:lang w:eastAsia="en-US"/>
              </w:rPr>
            </w:pPr>
            <w:r>
              <w:rPr>
                <w:rFonts w:hint="eastAsia" w:ascii="宋体" w:hAnsi="宋体" w:cs="宋体"/>
                <w:spacing w:val="5"/>
                <w:szCs w:val="22"/>
                <w:lang w:eastAsia="en-US"/>
              </w:rPr>
              <w:t xml:space="preserve">合</w:t>
            </w:r>
            <w:r>
              <w:rPr>
                <w:rFonts w:hint="eastAsia" w:ascii="宋体" w:hAnsi="宋体" w:cs="宋体"/>
                <w:spacing w:val="4"/>
                <w:szCs w:val="22"/>
                <w:lang w:eastAsia="en-US"/>
              </w:rPr>
              <w:t xml:space="preserve">计</w:t>
            </w:r>
            <w:r/>
          </w:p>
        </w:tc>
        <w:tc>
          <w:tcPr>
            <w:tcW w:w="3078" w:type="dxa"/>
            <w:vAlign w:val="center"/>
            <w:textDirection w:val="lrTb"/>
            <w:noWrap w:val="false"/>
          </w:tcPr>
          <w:p>
            <w:pPr>
              <w:jc w:val="center"/>
              <w:rPr>
                <w:rFonts w:ascii="宋体" w:hAnsi="宋体" w:cs="宋体"/>
                <w:szCs w:val="22"/>
                <w:lang w:eastAsia="en-US"/>
              </w:rPr>
            </w:pPr>
            <w:r>
              <w:rPr>
                <w:rFonts w:ascii="宋体" w:hAnsi="宋体" w:cs="宋体"/>
                <w:szCs w:val="22"/>
                <w:lang w:eastAsia="en-US"/>
              </w:rPr>
            </w:r>
            <w:r/>
          </w:p>
        </w:tc>
        <w:tc>
          <w:tcPr>
            <w:tcW w:w="750" w:type="dxa"/>
            <w:vAlign w:val="center"/>
            <w:textDirection w:val="lrTb"/>
            <w:noWrap w:val="false"/>
          </w:tcPr>
          <w:p>
            <w:pPr>
              <w:jc w:val="center"/>
              <w:rPr>
                <w:rFonts w:ascii="宋体" w:hAnsi="宋体" w:cs="宋体"/>
                <w:szCs w:val="22"/>
                <w:lang w:eastAsia="en-US"/>
              </w:rPr>
            </w:pPr>
            <w:r>
              <w:rPr>
                <w:rFonts w:hint="eastAsia" w:ascii="宋体" w:hAnsi="宋体" w:cs="宋体"/>
                <w:spacing w:val="-5"/>
                <w:szCs w:val="22"/>
                <w:lang w:eastAsia="en-US"/>
              </w:rPr>
              <w:t xml:space="preserve">1</w:t>
            </w:r>
            <w:r>
              <w:rPr>
                <w:rFonts w:hint="eastAsia" w:ascii="宋体" w:hAnsi="宋体" w:cs="宋体"/>
                <w:spacing w:val="-4"/>
                <w:szCs w:val="22"/>
                <w:lang w:eastAsia="en-US"/>
              </w:rPr>
              <w:t xml:space="preserve">00</w:t>
            </w:r>
            <w:r/>
          </w:p>
        </w:tc>
        <w:tc>
          <w:tcPr>
            <w:tcW w:w="3580" w:type="dxa"/>
            <w:vAlign w:val="center"/>
            <w:textDirection w:val="lrTb"/>
            <w:noWrap w:val="false"/>
          </w:tcPr>
          <w:p>
            <w:pPr>
              <w:jc w:val="center"/>
              <w:rPr>
                <w:rFonts w:ascii="宋体" w:hAnsi="宋体" w:cs="宋体"/>
                <w:szCs w:val="22"/>
                <w:lang w:eastAsia="en-US"/>
              </w:rPr>
            </w:pPr>
            <w:r>
              <w:rPr>
                <w:rFonts w:ascii="宋体" w:hAnsi="宋体" w:cs="宋体"/>
                <w:szCs w:val="22"/>
                <w:lang w:eastAsia="en-US"/>
              </w:rPr>
            </w:r>
            <w:r/>
          </w:p>
        </w:tc>
        <w:tc>
          <w:tcPr>
            <w:tcW w:w="1055" w:type="dxa"/>
            <w:vAlign w:val="center"/>
            <w:textDirection w:val="lrTb"/>
            <w:noWrap w:val="false"/>
          </w:tcPr>
          <w:p>
            <w:pPr>
              <w:jc w:val="center"/>
              <w:rPr>
                <w:rFonts w:ascii="宋体" w:hAnsi="宋体" w:cs="宋体"/>
                <w:szCs w:val="22"/>
                <w:lang w:eastAsia="en-US"/>
              </w:rPr>
            </w:pPr>
            <w:r>
              <w:rPr>
                <w:rFonts w:ascii="宋体" w:hAnsi="宋体" w:cs="宋体"/>
                <w:szCs w:val="22"/>
                <w:lang w:eastAsia="en-US"/>
              </w:rPr>
            </w:r>
            <w:r/>
          </w:p>
        </w:tc>
        <w:tc>
          <w:tcPr>
            <w:tcW w:w="535" w:type="dxa"/>
            <w:vAlign w:val="center"/>
            <w:textDirection w:val="lrTb"/>
            <w:noWrap w:val="false"/>
          </w:tcPr>
          <w:p>
            <w:pPr>
              <w:jc w:val="center"/>
              <w:rPr>
                <w:rFonts w:ascii="宋体" w:hAnsi="宋体" w:cs="宋体"/>
                <w:szCs w:val="22"/>
                <w:lang w:eastAsia="en-US"/>
              </w:rPr>
            </w:pPr>
            <w:r>
              <w:rPr>
                <w:rFonts w:ascii="宋体" w:hAnsi="宋体" w:cs="宋体"/>
                <w:szCs w:val="22"/>
                <w:lang w:eastAsia="en-US"/>
              </w:rPr>
            </w:r>
            <w:r/>
          </w:p>
        </w:tc>
      </w:tr>
      <w:tr>
        <w:trPr>
          <w:trHeight w:val="632"/>
        </w:trPr>
        <w:tc>
          <w:tcPr>
            <w:tcW w:w="848" w:type="dxa"/>
            <w:vAlign w:val="center"/>
            <w:textDirection w:val="lrTb"/>
            <w:noWrap w:val="false"/>
          </w:tcPr>
          <w:p>
            <w:pPr>
              <w:jc w:val="center"/>
              <w:rPr>
                <w:rFonts w:ascii="宋体" w:hAnsi="宋体" w:cs="宋体"/>
                <w:szCs w:val="22"/>
                <w:lang w:eastAsia="en-US"/>
              </w:rPr>
            </w:pPr>
            <w:r>
              <w:rPr>
                <w:rFonts w:hint="eastAsia" w:ascii="宋体" w:hAnsi="宋体" w:cs="宋体"/>
                <w:spacing w:val="5"/>
                <w:position w:val="5"/>
                <w:szCs w:val="22"/>
                <w:lang w:eastAsia="en-US"/>
              </w:rPr>
              <w:t xml:space="preserve">考核</w:t>
            </w:r>
            <w:r/>
          </w:p>
          <w:p>
            <w:pPr>
              <w:jc w:val="center"/>
              <w:rPr>
                <w:rFonts w:ascii="宋体" w:hAnsi="宋体" w:cs="宋体"/>
                <w:szCs w:val="22"/>
                <w:lang w:eastAsia="en-US"/>
              </w:rPr>
            </w:pPr>
            <w:r>
              <w:rPr>
                <w:rFonts w:hint="eastAsia" w:ascii="宋体" w:hAnsi="宋体" w:cs="宋体"/>
                <w:spacing w:val="4"/>
                <w:szCs w:val="22"/>
                <w:lang w:eastAsia="en-US"/>
              </w:rPr>
              <w:t xml:space="preserve">等次</w:t>
            </w:r>
            <w:r/>
          </w:p>
        </w:tc>
        <w:tc>
          <w:tcPr>
            <w:gridSpan w:val="5"/>
            <w:tcW w:w="8998" w:type="dxa"/>
            <w:vAlign w:val="center"/>
            <w:textDirection w:val="lrTb"/>
            <w:noWrap w:val="false"/>
          </w:tcPr>
          <w:p>
            <w:pPr>
              <w:jc w:val="center"/>
              <w:rPr>
                <w:rFonts w:ascii="宋体" w:hAnsi="宋体" w:cs="宋体"/>
                <w:szCs w:val="22"/>
                <w:lang w:eastAsia="en-US"/>
              </w:rPr>
            </w:pPr>
            <w:r>
              <w:rPr>
                <w:rFonts w:hint="eastAsia" w:ascii="宋体" w:hAnsi="宋体" w:cs="宋体"/>
                <w:spacing w:val="10"/>
                <w:szCs w:val="22"/>
                <w:lang w:eastAsia="en-US"/>
              </w:rPr>
              <w:t xml:space="preserve">季度</w:t>
            </w:r>
            <w:r>
              <w:rPr>
                <w:rFonts w:hint="eastAsia" w:ascii="宋体" w:hAnsi="宋体" w:cs="宋体"/>
                <w:spacing w:val="6"/>
                <w:szCs w:val="22"/>
                <w:lang w:eastAsia="en-US"/>
              </w:rPr>
              <w:t xml:space="preserve">考</w:t>
            </w:r>
            <w:r>
              <w:rPr>
                <w:rFonts w:hint="eastAsia" w:ascii="宋体" w:hAnsi="宋体" w:cs="宋体"/>
                <w:spacing w:val="5"/>
                <w:szCs w:val="22"/>
                <w:lang w:eastAsia="en-US"/>
              </w:rPr>
              <w:t xml:space="preserve">核 95 分及以上为优秀，90 (含) -94 分为良好，80 (含) -89 分为合格，80</w:t>
            </w:r>
            <w:r>
              <w:rPr>
                <w:rFonts w:hint="eastAsia" w:ascii="宋体" w:hAnsi="宋体" w:cs="宋体"/>
                <w:spacing w:val="9"/>
                <w:szCs w:val="22"/>
                <w:lang w:eastAsia="en-US"/>
              </w:rPr>
              <w:t xml:space="preserve">分</w:t>
            </w:r>
            <w:r>
              <w:rPr>
                <w:rFonts w:hint="eastAsia" w:ascii="宋体" w:hAnsi="宋体" w:cs="宋体"/>
                <w:spacing w:val="8"/>
                <w:szCs w:val="22"/>
                <w:lang w:eastAsia="en-US"/>
              </w:rPr>
              <w:t xml:space="preserve">以下为不合格</w:t>
            </w:r>
            <w:r/>
          </w:p>
        </w:tc>
      </w:tr>
    </w:tbl>
    <w:p>
      <w:pPr>
        <w:ind w:left="123"/>
        <w:spacing w:before="35" w:line="227" w:lineRule="auto"/>
        <w:rPr>
          <w:rFonts w:ascii="宋体" w:hAnsi="宋体" w:cs="宋体"/>
          <w:b/>
          <w:bCs/>
          <w:sz w:val="22"/>
          <w:szCs w:val="22"/>
        </w:rPr>
      </w:pPr>
      <w:r>
        <w:rPr>
          <w:rFonts w:hint="eastAsia" w:ascii="宋体" w:hAnsi="宋体" w:cs="宋体"/>
          <w:b/>
          <w:bCs/>
          <w:spacing w:val="14"/>
          <w:sz w:val="22"/>
          <w:szCs w:val="22"/>
        </w:rPr>
        <w:t xml:space="preserve">说</w:t>
      </w:r>
      <w:r>
        <w:rPr>
          <w:rFonts w:hint="eastAsia" w:ascii="宋体" w:hAnsi="宋体" w:cs="宋体"/>
          <w:b/>
          <w:bCs/>
          <w:spacing w:val="9"/>
          <w:sz w:val="22"/>
          <w:szCs w:val="22"/>
        </w:rPr>
        <w:t xml:space="preserve">明：考核细则实施扣分，每一项扣分以扣完本项目分值为止。</w:t>
      </w:r>
      <w:r/>
    </w:p>
    <w:p>
      <w:pPr>
        <w:jc w:val="center"/>
        <w:rPr>
          <w:rFonts w:ascii="宋体" w:hAnsi="宋体" w:cs="宋体"/>
          <w:sz w:val="22"/>
          <w:szCs w:val="22"/>
        </w:rPr>
      </w:pPr>
      <w:r>
        <w:rPr>
          <w:rFonts w:ascii="宋体" w:hAnsi="宋体" w:cs="宋体"/>
          <w:sz w:val="22"/>
          <w:szCs w:val="22"/>
        </w:rPr>
      </w:r>
      <w:r/>
    </w:p>
    <w:p>
      <w:pPr>
        <w:ind w:firstLine="482"/>
        <w:spacing w:line="360" w:lineRule="auto"/>
        <w:rPr>
          <w:rFonts w:hint="eastAsia" w:ascii="宋体" w:hAnsi="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r>
      <w:r/>
    </w:p>
    <w:p>
      <w:pPr>
        <w:ind w:firstLine="482"/>
        <w:spacing w:line="360" w:lineRule="auto"/>
        <w:rPr>
          <w:rFonts w:hint="eastAsia" w:ascii="宋体" w:hAnsi="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r>
      <w:r/>
    </w:p>
    <w:p>
      <w:pPr>
        <w:ind w:firstLine="482"/>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六</w:t>
      </w:r>
      <w:r>
        <w:rPr>
          <w:rFonts w:hint="eastAsia" w:ascii="宋体" w:hAnsi="宋体" w:cs="宋体"/>
          <w:b/>
          <w:color w:val="000000" w:themeColor="text1"/>
          <w:sz w:val="24"/>
          <w14:textFill>
            <w14:solidFill>
              <w14:schemeClr w14:val="tx1"/>
            </w14:solidFill>
          </w14:textFill>
        </w:rPr>
        <w:t xml:space="preserve">、采购标的对应的中小企业划分标准所属行业一览表</w:t>
      </w:r>
      <w:r/>
    </w:p>
    <w:tbl>
      <w:tblPr>
        <w:tblStyle w:val="965"/>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4710"/>
        <w:gridCol w:w="4358"/>
      </w:tblGrid>
      <w:tr>
        <w:trPr>
          <w:cantSplit/>
          <w:jc w:val="center"/>
          <w:trHeight w:val="567"/>
        </w:trPr>
        <w:tc>
          <w:tcPr>
            <w:tcW w:w="985" w:type="dxa"/>
            <w:vAlign w:val="center"/>
            <w:textDirection w:val="lrTb"/>
            <w:noWrap/>
          </w:tcPr>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序号</w:t>
            </w:r>
            <w:r/>
          </w:p>
        </w:tc>
        <w:tc>
          <w:tcPr>
            <w:tcW w:w="4710" w:type="dxa"/>
            <w:vAlign w:val="center"/>
            <w:textDirection w:val="lrTb"/>
            <w:noWrap/>
          </w:tcPr>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采购标的</w:t>
            </w:r>
            <w:r/>
          </w:p>
        </w:tc>
        <w:tc>
          <w:tcPr>
            <w:tcW w:w="4358" w:type="dxa"/>
            <w:vAlign w:val="center"/>
            <w:textDirection w:val="lrTb"/>
            <w:noWrap/>
          </w:tcPr>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对应中小企业划分标准所属行业</w:t>
            </w:r>
            <w:r/>
          </w:p>
        </w:tc>
      </w:tr>
      <w:tr>
        <w:trPr>
          <w:cantSplit/>
          <w:jc w:val="center"/>
          <w:trHeight w:val="567"/>
        </w:trPr>
        <w:tc>
          <w:tcPr>
            <w:tcW w:w="985" w:type="dxa"/>
            <w:vAlign w:val="center"/>
            <w:textDirection w:val="lrTb"/>
            <w:noWrap/>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4710" w:type="dxa"/>
            <w:vAlign w:val="center"/>
            <w:textDirection w:val="lrTb"/>
            <w:noWrap/>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2026年金坛区自然灾害救助民生惠民保险项目</w:t>
            </w:r>
            <w:r/>
          </w:p>
        </w:tc>
        <w:tc>
          <w:tcPr>
            <w:tcW w:w="4358" w:type="dxa"/>
            <w:vAlign w:val="center"/>
            <w:textDirection w:val="lrTb"/>
            <w:noWrap/>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保险业</w:t>
            </w:r>
            <w:r/>
          </w:p>
        </w:tc>
      </w:tr>
    </w:tbl>
    <w:p>
      <w:pPr>
        <w:ind w:firstLine="482"/>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sz w:val="24"/>
          <w:lang w:val="en-US" w:eastAsia="zh-CN"/>
        </w:rPr>
        <w:t xml:space="preserve">七</w:t>
      </w:r>
      <w:r>
        <w:rPr>
          <w:rFonts w:hint="eastAsia" w:ascii="宋体" w:hAnsi="宋体" w:cs="宋体"/>
          <w:b/>
          <w:color w:val="000000"/>
          <w:sz w:val="24"/>
        </w:rPr>
        <w:t xml:space="preserve">、服务类</w:t>
      </w:r>
      <w:r>
        <w:rPr>
          <w:rFonts w:hint="eastAsia" w:ascii="宋体" w:hAnsi="宋体" w:cs="宋体"/>
          <w:b/>
          <w:color w:val="000000" w:themeColor="text1"/>
          <w:sz w:val="24"/>
          <w14:textFill>
            <w14:solidFill>
              <w14:schemeClr w14:val="tx1"/>
            </w14:solidFill>
          </w14:textFill>
        </w:rPr>
        <w:t xml:space="preserve">清单</w:t>
      </w:r>
      <w:r/>
    </w:p>
    <w:tbl>
      <w:tblPr>
        <w:tblStyle w:val="9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90"/>
        <w:gridCol w:w="2491"/>
        <w:gridCol w:w="2491"/>
        <w:gridCol w:w="2491"/>
      </w:tblGrid>
      <w:tr>
        <w:trPr/>
        <w:tc>
          <w:tcPr>
            <w:tcW w:w="2490" w:type="dxa"/>
            <w:vAlign w:val="center"/>
            <w:textDirection w:val="lrTb"/>
            <w:noWrap w:val="false"/>
          </w:tcPr>
          <w:p>
            <w:pPr>
              <w:jc w:val="center"/>
              <w:spacing w:line="360" w:lineRule="auto"/>
              <w:rPr>
                <w:rFonts w:ascii="宋体" w:hAnsi="宋体" w:cs="宋体"/>
                <w:b/>
                <w:sz w:val="24"/>
              </w:rPr>
            </w:pPr>
            <w:r>
              <w:rPr>
                <w:rFonts w:hint="eastAsia" w:ascii="宋体" w:hAnsi="宋体" w:cs="宋体"/>
                <w:b/>
                <w:color w:val="000000"/>
                <w:sz w:val="24"/>
              </w:rPr>
              <w:t xml:space="preserve">序号</w:t>
            </w:r>
            <w:r/>
          </w:p>
        </w:tc>
        <w:tc>
          <w:tcPr>
            <w:tcW w:w="2491" w:type="dxa"/>
            <w:vAlign w:val="center"/>
            <w:textDirection w:val="lrTb"/>
            <w:noWrap w:val="false"/>
          </w:tcPr>
          <w:p>
            <w:pPr>
              <w:jc w:val="center"/>
              <w:spacing w:line="360" w:lineRule="auto"/>
              <w:rPr>
                <w:rFonts w:ascii="宋体" w:hAnsi="宋体" w:cs="宋体"/>
                <w:b/>
                <w:color w:val="000000"/>
                <w:sz w:val="24"/>
              </w:rPr>
            </w:pPr>
            <w:r>
              <w:rPr>
                <w:rFonts w:hint="eastAsia" w:ascii="宋体" w:hAnsi="宋体" w:cs="宋体"/>
                <w:b/>
                <w:color w:val="000000"/>
                <w:sz w:val="24"/>
              </w:rPr>
              <w:t xml:space="preserve">项目名称</w:t>
            </w:r>
            <w:r/>
          </w:p>
        </w:tc>
        <w:tc>
          <w:tcPr>
            <w:tcW w:w="2491" w:type="dxa"/>
            <w:vAlign w:val="center"/>
            <w:textDirection w:val="lrTb"/>
            <w:noWrap w:val="false"/>
          </w:tcPr>
          <w:p>
            <w:pPr>
              <w:jc w:val="center"/>
              <w:spacing w:line="360" w:lineRule="auto"/>
              <w:rPr>
                <w:rFonts w:ascii="宋体" w:hAnsi="宋体" w:cs="宋体"/>
                <w:b/>
                <w:color w:val="000000"/>
                <w:sz w:val="24"/>
              </w:rPr>
            </w:pPr>
            <w:r>
              <w:rPr>
                <w:rFonts w:hint="eastAsia" w:ascii="宋体" w:hAnsi="宋体" w:cs="宋体"/>
                <w:b/>
                <w:color w:val="000000"/>
                <w:sz w:val="24"/>
              </w:rPr>
              <w:t xml:space="preserve">单位</w:t>
            </w:r>
            <w:r/>
          </w:p>
        </w:tc>
        <w:tc>
          <w:tcPr>
            <w:tcW w:w="2491" w:type="dxa"/>
            <w:vAlign w:val="center"/>
            <w:textDirection w:val="lrTb"/>
            <w:noWrap w:val="false"/>
          </w:tcPr>
          <w:p>
            <w:pPr>
              <w:jc w:val="center"/>
              <w:spacing w:line="360" w:lineRule="auto"/>
              <w:rPr>
                <w:rFonts w:ascii="宋体" w:hAnsi="宋体" w:cs="宋体"/>
                <w:b/>
                <w:color w:val="000000"/>
                <w:sz w:val="24"/>
              </w:rPr>
            </w:pPr>
            <w:r>
              <w:rPr>
                <w:rFonts w:hint="eastAsia" w:ascii="宋体" w:hAnsi="宋体" w:cs="宋体"/>
                <w:b/>
                <w:color w:val="000000"/>
                <w:sz w:val="24"/>
              </w:rPr>
              <w:t xml:space="preserve">数量</w:t>
            </w:r>
            <w:r/>
          </w:p>
        </w:tc>
      </w:tr>
      <w:tr>
        <w:trPr/>
        <w:tc>
          <w:tcPr>
            <w:tcW w:w="2490"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2491"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2026年金坛区自然灾害救助民生惠民保险项目</w:t>
            </w:r>
            <w:r/>
          </w:p>
        </w:tc>
        <w:tc>
          <w:tcPr>
            <w:tcW w:w="2491" w:type="dxa"/>
            <w:vAlign w:val="center"/>
            <w:textDirection w:val="lrTb"/>
            <w:noWrap w:val="false"/>
          </w:tcPr>
          <w:p>
            <w:pPr>
              <w:jc w:val="center"/>
              <w:spacing w:line="360" w:lineRule="auto"/>
              <w:rPr>
                <w:rFonts w:ascii="宋体" w:hAnsi="宋体" w:cs="宋体"/>
                <w:bCs/>
                <w:color w:val="000000"/>
                <w:sz w:val="24"/>
              </w:rPr>
            </w:pPr>
            <w:r>
              <w:rPr>
                <w:rFonts w:hint="eastAsia" w:ascii="宋体" w:hAnsi="宋体" w:cs="宋体"/>
                <w:bCs/>
                <w:color w:val="000000"/>
                <w:sz w:val="24"/>
              </w:rPr>
              <w:t xml:space="preserve">项</w:t>
            </w:r>
            <w:r/>
          </w:p>
        </w:tc>
        <w:tc>
          <w:tcPr>
            <w:tcW w:w="2491" w:type="dxa"/>
            <w:vAlign w:val="center"/>
            <w:textDirection w:val="lrTb"/>
            <w:noWrap w:val="false"/>
          </w:tcPr>
          <w:p>
            <w:pPr>
              <w:jc w:val="center"/>
              <w:spacing w:line="360" w:lineRule="auto"/>
              <w:rPr>
                <w:rFonts w:ascii="宋体" w:hAnsi="宋体" w:cs="宋体"/>
                <w:bCs/>
                <w:color w:val="000000"/>
                <w:sz w:val="24"/>
              </w:rPr>
            </w:pPr>
            <w:r>
              <w:rPr>
                <w:rFonts w:hint="eastAsia" w:ascii="宋体" w:hAnsi="宋体" w:cs="宋体"/>
                <w:bCs/>
                <w:color w:val="000000"/>
                <w:sz w:val="24"/>
              </w:rPr>
              <w:t xml:space="preserve">1</w:t>
            </w:r>
            <w:r/>
          </w:p>
        </w:tc>
      </w:tr>
    </w:tbl>
    <w:p>
      <w:pPr>
        <w:pStyle w:val="1417"/>
        <w:numPr>
          <w:ilvl w:val="0"/>
          <w:numId w:val="14"/>
        </w:numPr>
        <w:ind w:firstLine="480"/>
        <w:spacing w:line="440" w:lineRule="atLeast"/>
        <w:rPr>
          <w:b/>
          <w:sz w:val="36"/>
          <w:szCs w:val="36"/>
        </w:rPr>
      </w:pPr>
      <w:r>
        <w:rPr>
          <w:b/>
          <w:sz w:val="36"/>
          <w:szCs w:val="36"/>
        </w:rPr>
        <w:br w:type="page" w:clear="all"/>
      </w:r>
      <w:r/>
    </w:p>
    <w:p>
      <w:pPr>
        <w:jc w:val="left"/>
        <w:widowControl/>
        <w:rPr>
          <w:b/>
          <w:sz w:val="36"/>
          <w:szCs w:val="36"/>
        </w:rPr>
      </w:pPr>
      <w:r>
        <w:rPr>
          <w:b/>
          <w:sz w:val="36"/>
          <w:szCs w:val="36"/>
        </w:rPr>
      </w:r>
      <w:r/>
    </w:p>
    <w:p>
      <w:pPr>
        <w:jc w:val="center"/>
        <w:spacing w:line="360" w:lineRule="auto"/>
        <w:rPr>
          <w:b/>
          <w:sz w:val="36"/>
          <w:szCs w:val="36"/>
        </w:rPr>
        <w:outlineLvl w:val="0"/>
      </w:pPr>
      <w:r>
        <w:rPr>
          <w:b/>
          <w:sz w:val="36"/>
          <w:szCs w:val="36"/>
        </w:rPr>
        <w:t xml:space="preserve">第六章   拟签订的合同文本</w:t>
      </w:r>
      <w:bookmarkEnd w:id="812"/>
      <w:r/>
      <w:r/>
    </w:p>
    <w:p>
      <w:pPr>
        <w:ind w:firstLine="3360"/>
        <w:jc w:val="left"/>
        <w:rPr>
          <w:sz w:val="28"/>
          <w:szCs w:val="28"/>
        </w:rPr>
      </w:pPr>
      <w:r/>
      <w:bookmarkStart w:id="813" w:name="_Toc99301426"/>
      <w:r/>
      <w:r/>
    </w:p>
    <w:p>
      <w:pPr>
        <w:ind w:firstLine="3360"/>
        <w:jc w:val="left"/>
        <w:rPr>
          <w:sz w:val="28"/>
          <w:szCs w:val="28"/>
        </w:rPr>
      </w:pPr>
      <w:r>
        <w:rPr>
          <w:sz w:val="28"/>
          <w:szCs w:val="28"/>
        </w:rPr>
      </w:r>
      <w:r/>
    </w:p>
    <w:p>
      <w:pPr>
        <w:ind w:firstLine="3360"/>
        <w:jc w:val="left"/>
        <w:rPr>
          <w:sz w:val="28"/>
          <w:szCs w:val="28"/>
        </w:rPr>
      </w:pPr>
      <w:r>
        <w:rPr>
          <w:sz w:val="28"/>
          <w:szCs w:val="28"/>
        </w:rPr>
      </w:r>
      <w:r/>
    </w:p>
    <w:p>
      <w:pPr>
        <w:jc w:val="left"/>
        <w:rPr>
          <w:sz w:val="28"/>
          <w:szCs w:val="28"/>
        </w:rPr>
      </w:pPr>
      <w:r>
        <w:rPr>
          <w:sz w:val="28"/>
          <w:szCs w:val="28"/>
        </w:rPr>
      </w:r>
      <w:r/>
    </w:p>
    <w:p>
      <w:pPr>
        <w:ind w:firstLine="3360"/>
        <w:jc w:val="left"/>
        <w:rPr>
          <w:sz w:val="28"/>
          <w:szCs w:val="28"/>
        </w:rPr>
      </w:pPr>
      <w:r>
        <w:rPr>
          <w:sz w:val="28"/>
          <w:szCs w:val="28"/>
        </w:rPr>
      </w:r>
      <w:r/>
    </w:p>
    <w:p>
      <w:pPr>
        <w:jc w:val="center"/>
        <w:rPr>
          <w:rFonts w:ascii="宋体" w:hAnsi="宋体" w:cs="宋体"/>
          <w:b/>
          <w:sz w:val="72"/>
          <w:szCs w:val="52"/>
        </w:rPr>
      </w:pPr>
      <w:r>
        <w:rPr>
          <w:rFonts w:ascii="宋体" w:hAnsi="宋体" w:cs="宋体"/>
          <w:b/>
          <w:sz w:val="72"/>
          <w:szCs w:val="52"/>
        </w:rPr>
      </w:r>
      <w:r/>
    </w:p>
    <w:p>
      <w:pPr>
        <w:jc w:val="center"/>
        <w:rPr>
          <w:rFonts w:ascii="宋体" w:hAnsi="宋体" w:cs="宋体"/>
          <w:b/>
          <w:sz w:val="72"/>
          <w:szCs w:val="52"/>
        </w:rPr>
      </w:pPr>
      <w:r>
        <w:rPr>
          <w:rFonts w:hint="eastAsia" w:ascii="宋体" w:hAnsi="宋体" w:cs="宋体"/>
          <w:b/>
          <w:sz w:val="72"/>
          <w:szCs w:val="52"/>
        </w:rPr>
        <w:t xml:space="preserve">合      同</w:t>
      </w:r>
      <w:r/>
    </w:p>
    <w:p>
      <w:pPr>
        <w:ind w:firstLine="3360"/>
        <w:jc w:val="left"/>
        <w:rPr>
          <w:rFonts w:ascii="宋体" w:hAnsi="宋体" w:cs="宋体"/>
          <w:sz w:val="28"/>
          <w:szCs w:val="28"/>
        </w:rPr>
      </w:pPr>
      <w:r>
        <w:rPr>
          <w:rFonts w:ascii="宋体" w:hAnsi="宋体" w:cs="宋体"/>
          <w:sz w:val="28"/>
          <w:szCs w:val="28"/>
        </w:rPr>
      </w:r>
      <w:r/>
    </w:p>
    <w:p>
      <w:pPr>
        <w:ind w:left="420"/>
        <w:rPr>
          <w:rFonts w:ascii="宋体" w:hAnsi="宋体" w:cs="宋体"/>
        </w:rPr>
      </w:pPr>
      <w:r>
        <w:rPr>
          <w:rFonts w:ascii="宋体" w:hAnsi="宋体" w:cs="宋体"/>
        </w:rPr>
      </w:r>
      <w:r/>
    </w:p>
    <w:p>
      <w:pPr>
        <w:jc w:val="left"/>
        <w:rPr>
          <w:rFonts w:ascii="宋体" w:hAnsi="宋体" w:cs="宋体"/>
          <w:sz w:val="28"/>
          <w:szCs w:val="28"/>
        </w:rPr>
      </w:pPr>
      <w:r>
        <w:rPr>
          <w:rFonts w:ascii="宋体" w:hAnsi="宋体" w:cs="宋体"/>
          <w:sz w:val="28"/>
          <w:szCs w:val="28"/>
        </w:rPr>
      </w:r>
      <w:r/>
    </w:p>
    <w:p>
      <w:pPr>
        <w:jc w:val="left"/>
        <w:rPr>
          <w:rFonts w:ascii="宋体" w:hAnsi="宋体" w:cs="宋体"/>
          <w:sz w:val="28"/>
          <w:szCs w:val="28"/>
        </w:rPr>
      </w:pPr>
      <w:r>
        <w:rPr>
          <w:rFonts w:ascii="宋体" w:hAnsi="宋体" w:cs="宋体"/>
          <w:sz w:val="28"/>
          <w:szCs w:val="28"/>
        </w:rPr>
      </w:r>
      <w:r/>
    </w:p>
    <w:p>
      <w:pPr>
        <w:jc w:val="left"/>
        <w:rPr>
          <w:rFonts w:ascii="宋体" w:hAnsi="宋体" w:cs="宋体"/>
          <w:sz w:val="28"/>
          <w:szCs w:val="28"/>
        </w:rPr>
      </w:pPr>
      <w:r>
        <w:rPr>
          <w:rFonts w:ascii="宋体" w:hAnsi="宋体" w:cs="宋体"/>
          <w:sz w:val="28"/>
          <w:szCs w:val="28"/>
        </w:rPr>
      </w:r>
      <w:r/>
    </w:p>
    <w:p>
      <w:pPr>
        <w:ind w:left="1260"/>
        <w:spacing w:line="600" w:lineRule="auto"/>
        <w:rPr>
          <w:rFonts w:ascii="宋体" w:hAnsi="宋体" w:cs="宋体"/>
          <w:sz w:val="30"/>
          <w:szCs w:val="30"/>
          <w:u w:val="single"/>
        </w:rPr>
      </w:pPr>
      <w:r>
        <w:rPr>
          <w:rFonts w:hint="eastAsia" w:ascii="宋体" w:hAnsi="宋体" w:cs="宋体"/>
          <w:sz w:val="30"/>
          <w:szCs w:val="30"/>
        </w:rPr>
        <w:t xml:space="preserve">项目名称：</w:t>
      </w:r>
      <w:r/>
    </w:p>
    <w:p>
      <w:pPr>
        <w:ind w:left="1260"/>
        <w:spacing w:line="600" w:lineRule="auto"/>
        <w:rPr>
          <w:rFonts w:ascii="宋体" w:hAnsi="宋体" w:cs="宋体"/>
          <w:sz w:val="30"/>
          <w:szCs w:val="30"/>
          <w:u w:val="single"/>
        </w:rPr>
      </w:pPr>
      <w:r>
        <w:rPr>
          <w:rFonts w:hint="eastAsia" w:ascii="宋体" w:hAnsi="宋体" w:cs="宋体"/>
          <w:sz w:val="30"/>
          <w:szCs w:val="30"/>
        </w:rPr>
        <w:t xml:space="preserve">发包人（甲方）：</w:t>
      </w:r>
      <w:r/>
    </w:p>
    <w:p>
      <w:pPr>
        <w:ind w:left="1260"/>
        <w:spacing w:line="600" w:lineRule="auto"/>
        <w:rPr>
          <w:rFonts w:ascii="宋体" w:hAnsi="宋体" w:cs="宋体"/>
          <w:sz w:val="30"/>
          <w:szCs w:val="30"/>
          <w:u w:val="single"/>
        </w:rPr>
      </w:pPr>
      <w:r>
        <w:rPr>
          <w:rFonts w:hint="eastAsia" w:ascii="宋体" w:hAnsi="宋体" w:cs="宋体"/>
          <w:sz w:val="30"/>
          <w:szCs w:val="30"/>
        </w:rPr>
        <w:t xml:space="preserve">承包人（乙方）：</w:t>
      </w:r>
      <w:r/>
    </w:p>
    <w:p>
      <w:pPr>
        <w:ind w:left="420"/>
        <w:rPr>
          <w:rFonts w:ascii="宋体" w:hAnsi="宋体" w:cs="宋体"/>
        </w:rPr>
      </w:pPr>
      <w:r>
        <w:rPr>
          <w:rFonts w:ascii="宋体" w:hAnsi="宋体" w:cs="宋体"/>
        </w:rPr>
      </w:r>
      <w:r/>
    </w:p>
    <w:p>
      <w:pPr>
        <w:rPr>
          <w:rFonts w:ascii="宋体" w:hAnsi="宋体" w:cs="宋体"/>
        </w:rPr>
      </w:pPr>
      <w:r>
        <w:rPr>
          <w:rFonts w:ascii="宋体" w:hAnsi="宋体" w:cs="宋体"/>
        </w:rPr>
      </w:r>
      <w:r/>
    </w:p>
    <w:p>
      <w:pPr>
        <w:ind w:left="420"/>
        <w:rPr>
          <w:rFonts w:ascii="宋体" w:hAnsi="宋体" w:cs="宋体"/>
        </w:rPr>
      </w:pPr>
      <w:r>
        <w:rPr>
          <w:rFonts w:ascii="宋体" w:hAnsi="宋体" w:cs="宋体"/>
        </w:rPr>
      </w:r>
      <w:r/>
    </w:p>
    <w:p>
      <w:pPr>
        <w:rPr>
          <w:rFonts w:ascii="宋体" w:hAnsi="宋体" w:cs="宋体"/>
        </w:rPr>
      </w:pPr>
      <w:r>
        <w:rPr>
          <w:rFonts w:ascii="宋体" w:hAnsi="宋体" w:cs="宋体"/>
        </w:rPr>
      </w:r>
      <w:r/>
    </w:p>
    <w:p>
      <w:pPr>
        <w:ind w:left="420"/>
        <w:rPr>
          <w:rFonts w:ascii="宋体" w:hAnsi="宋体" w:cs="宋体"/>
        </w:rPr>
      </w:pPr>
      <w:r>
        <w:rPr>
          <w:rFonts w:ascii="宋体" w:hAnsi="宋体" w:cs="宋体"/>
        </w:rPr>
      </w:r>
      <w:r/>
    </w:p>
    <w:p>
      <w:pPr>
        <w:rPr>
          <w:rFonts w:ascii="宋体" w:hAnsi="宋体" w:cs="宋体"/>
        </w:rPr>
      </w:pPr>
      <w:r>
        <w:rPr>
          <w:rFonts w:ascii="宋体" w:hAnsi="宋体" w:cs="宋体"/>
        </w:rPr>
      </w:r>
      <w:r/>
    </w:p>
    <w:p>
      <w:pPr>
        <w:ind w:firstLine="420"/>
        <w:spacing w:line="360" w:lineRule="auto"/>
        <w:rPr>
          <w:rFonts w:ascii="宋体" w:hAnsi="宋体" w:cs="宋体"/>
          <w:bCs/>
          <w:szCs w:val="21"/>
        </w:rPr>
      </w:pPr>
      <w:r/>
      <w:bookmarkStart w:id="814" w:name="_Toc527816269"/>
      <w:r/>
      <w:bookmarkEnd w:id="814"/>
      <w:r/>
    </w:p>
    <w:p>
      <w:pPr>
        <w:rPr>
          <w:rFonts w:ascii="宋体" w:hAnsi="宋体" w:cs="宋体"/>
          <w:szCs w:val="21"/>
        </w:rPr>
      </w:pPr>
      <w:r>
        <w:rPr>
          <w:rFonts w:hint="eastAsia" w:ascii="宋体" w:hAnsi="宋体" w:cs="宋体"/>
          <w:szCs w:val="21"/>
        </w:rPr>
        <w:br w:type="page" w:clear="all"/>
      </w:r>
      <w:r/>
    </w:p>
    <w:p>
      <w:pPr>
        <w:pStyle w:val="957"/>
      </w:pPr>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lang w:val="zh-CN"/>
        </w:rPr>
        <w:t xml:space="preserve">根据《中华人民共和国政府采购法》、《中华人民共和国民法典》等法律法规的规定，甲乙双方按照采购结果签订本合同。</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甲方（投保人）</w:t>
      </w:r>
      <w:r>
        <w:rPr>
          <w:rFonts w:hint="eastAsia" w:ascii="宋体" w:hAnsi="宋体"/>
          <w:color w:val="000000"/>
          <w:sz w:val="24"/>
          <w:highlight w:val="none"/>
        </w:rPr>
        <w:t xml:space="preserve">：（以下简称甲方）</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负责人：</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地址：</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乙方（保险人）：（以下简称乙方）</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单位负责人（或委托代理人）：</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地址：</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根据招标编号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招标文件、乙方投标文件及中标通知书，甲、乙双方本着自愿、平等、互利和诚实信用的原则，就此次确定保险采购项目事宜签订本合同。</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一、保险当事人</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ab/>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投保人</w:t>
      </w:r>
      <w:r>
        <w:rPr>
          <w:rFonts w:hint="eastAsia" w:ascii="宋体" w:hAnsi="宋体"/>
          <w:color w:val="000000"/>
          <w:sz w:val="24"/>
          <w:highlight w:val="none"/>
        </w:rPr>
        <w:t xml:space="preserve">：</w:t>
      </w:r>
      <w:r/>
    </w:p>
    <w:p>
      <w:pPr>
        <w:ind w:firstLine="96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保险人： </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二、投保险种 ： </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三、保险条款 ：                   </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四、保险金额／赔偿限额</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ab/>
      </w:r>
      <w:r>
        <w:rPr>
          <w:rFonts w:hint="eastAsia" w:ascii="宋体" w:hAnsi="宋体"/>
          <w:color w:val="000000"/>
          <w:sz w:val="24"/>
          <w:highlight w:val="none"/>
        </w:rPr>
        <w:t xml:space="preserve"> 保险金额： </w:t>
      </w:r>
      <w:r/>
    </w:p>
    <w:p>
      <w:pPr>
        <w:ind w:firstLine="96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保险费： </w:t>
      </w:r>
      <w:bookmarkStart w:id="908" w:name="_GoBack"/>
      <w:r/>
      <w:bookmarkEnd w:id="908"/>
      <w:r/>
      <w:r/>
    </w:p>
    <w:p>
      <w:pPr>
        <w:ind w:firstLine="960"/>
        <w:jc w:val="left"/>
        <w:keepLines w:val="0"/>
        <w:keepNext w:val="0"/>
        <w:pageBreakBefore w:val="0"/>
        <w:spacing w:line="360" w:lineRule="auto"/>
        <w:widowControl/>
        <w:rPr>
          <w:rFonts w:hint="eastAsia" w:ascii="宋体" w:hAnsi="宋体" w:eastAsia="宋体"/>
          <w:color w:val="0000ff"/>
          <w:sz w:val="24"/>
          <w:highlight w:val="none"/>
          <w:lang w:eastAsia="zh-CN"/>
        </w:rPr>
      </w:pPr>
      <w:r>
        <w:rPr>
          <w:rFonts w:hint="eastAsia" w:ascii="宋体" w:hAnsi="宋体"/>
          <w:color w:val="0000ff"/>
          <w:sz w:val="24"/>
          <w:highlight w:val="none"/>
        </w:rPr>
        <w:t xml:space="preserve">付款方式</w:t>
      </w:r>
      <w:r>
        <w:rPr>
          <w:rFonts w:hint="eastAsia" w:ascii="宋体" w:hAnsi="宋体"/>
          <w:color w:val="0000ff"/>
          <w:sz w:val="24"/>
          <w:highlight w:val="none"/>
          <w:lang w:eastAsia="zh-CN"/>
        </w:rPr>
        <w:t xml:space="preserve">：</w:t>
      </w:r>
      <w:r/>
    </w:p>
    <w:p>
      <w:pPr>
        <w:ind w:firstLine="960"/>
        <w:jc w:val="left"/>
        <w:keepLines w:val="0"/>
        <w:keepNext w:val="0"/>
        <w:pageBreakBefore w:val="0"/>
        <w:spacing w:line="360" w:lineRule="auto"/>
        <w:widowControl/>
        <w:rPr>
          <w:rFonts w:hint="eastAsia" w:ascii="宋体" w:hAnsi="宋体"/>
          <w:color w:val="0000ff"/>
          <w:sz w:val="24"/>
          <w:highlight w:val="none"/>
        </w:rPr>
      </w:pPr>
      <w:r>
        <w:rPr>
          <w:rFonts w:hint="eastAsia" w:ascii="宋体" w:hAnsi="宋体"/>
          <w:color w:val="0000ff"/>
          <w:sz w:val="24"/>
          <w:highlight w:val="none"/>
        </w:rPr>
        <w:t xml:space="preserve">本项目固定单价，数量按实结算。固定单价合同在项目决算时不作任何调整，包括所有政策性调整。其中所有发生的费用，投标人自行承担，结算中不作任何调整。</w:t>
      </w:r>
      <w:r/>
    </w:p>
    <w:p>
      <w:pPr>
        <w:ind w:firstLine="960"/>
        <w:jc w:val="left"/>
        <w:keepLines w:val="0"/>
        <w:keepNext w:val="0"/>
        <w:pageBreakBefore w:val="0"/>
        <w:spacing w:line="360" w:lineRule="auto"/>
        <w:widowControl/>
        <w:rPr>
          <w:rFonts w:hint="eastAsia" w:ascii="宋体" w:hAnsi="宋体"/>
          <w:color w:val="0000ff"/>
          <w:sz w:val="24"/>
          <w:highlight w:val="none"/>
        </w:rPr>
      </w:pPr>
      <w:r>
        <w:rPr>
          <w:rFonts w:hint="eastAsia" w:ascii="宋体" w:hAnsi="宋体"/>
          <w:color w:val="0000ff"/>
          <w:sz w:val="24"/>
          <w:highlight w:val="none"/>
        </w:rPr>
        <w:t xml:space="preserve">按年度一次性支付，保费支付后出具保单。</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五、保险协议期限：保险期限为三年，三年，采取1年+1年+1年的模式，常州市金坛区应急管理局与中标人先签订壹年服务期的合同。合同服务期满后，如采购人和保险公司均无异议，且保险公司年度考核符合各项要求，则续签下一年保险合同，如采购人和保险公司在合同期满后不续签合同，须在期满之日的2个月前通知对方。（自通知中标供应商正式进场起，具体时间以合同签订时间为准）。</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六、免赔额</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七、保险金的申领及给付</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按实际情况在保单约定金额内进行赔付。</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八、下列文件为本合同不可分割部分</w:t>
      </w:r>
      <w:r/>
    </w:p>
    <w:p>
      <w:pPr>
        <w:ind w:firstLine="480"/>
        <w:jc w:val="left"/>
        <w:keepLines w:val="0"/>
        <w:keepNext w:val="0"/>
        <w:pageBreakBefore w:val="0"/>
        <w:spacing w:line="360" w:lineRule="auto"/>
        <w:widowControl/>
        <w:rPr>
          <w:rFonts w:hint="default" w:ascii="宋体" w:hAnsi="宋体"/>
          <w:color w:val="000000"/>
          <w:sz w:val="24"/>
          <w:highlight w:val="none"/>
          <w:lang w:val="zh-CN"/>
        </w:rPr>
      </w:pPr>
      <w:r>
        <w:rPr>
          <w:rFonts w:hint="eastAsia" w:ascii="宋体" w:hAnsi="宋体"/>
          <w:color w:val="000000"/>
          <w:sz w:val="24"/>
          <w:highlight w:val="none"/>
          <w:lang w:val="zh-CN"/>
        </w:rPr>
        <w:t xml:space="preserve">（1）采购文件；</w:t>
      </w:r>
      <w:r/>
    </w:p>
    <w:p>
      <w:pPr>
        <w:ind w:firstLine="480"/>
        <w:jc w:val="left"/>
        <w:keepLines w:val="0"/>
        <w:keepNext w:val="0"/>
        <w:pageBreakBefore w:val="0"/>
        <w:spacing w:line="360" w:lineRule="auto"/>
        <w:widowControl/>
        <w:rPr>
          <w:rFonts w:hint="default" w:ascii="宋体" w:hAnsi="宋体"/>
          <w:color w:val="000000"/>
          <w:sz w:val="24"/>
          <w:highlight w:val="none"/>
          <w:lang w:val="zh-CN"/>
        </w:rPr>
      </w:pPr>
      <w:r>
        <w:rPr>
          <w:rFonts w:hint="eastAsia" w:ascii="宋体" w:hAnsi="宋体"/>
          <w:color w:val="000000"/>
          <w:sz w:val="24"/>
          <w:highlight w:val="none"/>
          <w:lang w:val="zh-CN"/>
        </w:rPr>
        <w:t xml:space="preserve">（2）投标文件；</w:t>
      </w:r>
      <w:r/>
    </w:p>
    <w:p>
      <w:pPr>
        <w:ind w:firstLine="480"/>
        <w:jc w:val="left"/>
        <w:keepLines w:val="0"/>
        <w:keepNext w:val="0"/>
        <w:pageBreakBefore w:val="0"/>
        <w:spacing w:line="360" w:lineRule="auto"/>
        <w:widowControl/>
        <w:rPr>
          <w:rFonts w:hint="default" w:ascii="宋体" w:hAnsi="宋体"/>
          <w:color w:val="000000"/>
          <w:sz w:val="24"/>
          <w:highlight w:val="none"/>
          <w:lang w:val="zh-CN"/>
        </w:rPr>
      </w:pPr>
      <w:r>
        <w:rPr>
          <w:rFonts w:hint="eastAsia" w:ascii="宋体" w:hAnsi="宋体"/>
          <w:color w:val="000000"/>
          <w:sz w:val="24"/>
          <w:highlight w:val="none"/>
          <w:lang w:val="zh-CN"/>
        </w:rPr>
        <w:t xml:space="preserve">（3）中标通知书；</w:t>
      </w:r>
      <w:r/>
    </w:p>
    <w:p>
      <w:pPr>
        <w:ind w:firstLine="480"/>
        <w:jc w:val="left"/>
        <w:keepLines w:val="0"/>
        <w:keepNext w:val="0"/>
        <w:pageBreakBefore w:val="0"/>
        <w:spacing w:line="360" w:lineRule="auto"/>
        <w:widowControl/>
        <w:rPr>
          <w:rFonts w:hint="default" w:ascii="宋体" w:hAnsi="宋体"/>
          <w:color w:val="000000"/>
          <w:sz w:val="24"/>
          <w:highlight w:val="none"/>
          <w:lang w:val="zh-CN"/>
        </w:rPr>
      </w:pPr>
      <w:r>
        <w:rPr>
          <w:rFonts w:hint="eastAsia" w:ascii="宋体" w:hAnsi="宋体"/>
          <w:color w:val="000000"/>
          <w:sz w:val="24"/>
          <w:highlight w:val="none"/>
          <w:lang w:val="zh-CN"/>
        </w:rPr>
        <w:t xml:space="preserve">（4）中标人在投标、评标过程中所作其它有关承诺、声明、书面澄清；</w:t>
      </w:r>
      <w:r/>
    </w:p>
    <w:p>
      <w:pPr>
        <w:ind w:firstLine="480"/>
        <w:jc w:val="left"/>
        <w:keepLines w:val="0"/>
        <w:keepNext w:val="0"/>
        <w:pageBreakBefore w:val="0"/>
        <w:spacing w:line="360" w:lineRule="auto"/>
        <w:widowControl/>
        <w:rPr>
          <w:rFonts w:hint="default" w:ascii="宋体" w:hAnsi="宋体"/>
          <w:color w:val="000000"/>
          <w:sz w:val="24"/>
          <w:highlight w:val="none"/>
          <w:lang w:val="zh-CN"/>
        </w:rPr>
      </w:pPr>
      <w:r>
        <w:rPr>
          <w:rFonts w:hint="eastAsia" w:ascii="宋体" w:hAnsi="宋体"/>
          <w:color w:val="000000"/>
          <w:sz w:val="24"/>
          <w:highlight w:val="none"/>
          <w:lang w:val="zh-CN"/>
        </w:rPr>
        <w:t xml:space="preserve">（5）甲乙双方商定的其他文件等。</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（6）投保人的投保材料；</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（7）投保单、保险单及批改申请书、批单； </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（8）与本次招标有关的并经当事人双方确认的其他文件。</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九、履约责任及保障</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1、乙方应接受甲方关于承保方案的安排，严格执行承保方案、保险条款。</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2、乙方应针对本项目成立健全的专门服务小组、分管领导亲自负责，按照投标文件承诺做好本保险的承保及理赔服务工作。</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3、乙方在服务期间，应及时定期向甲方提供履约相关资料、报表。</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4、乙方应配合甲方做好各项宣传、培训工作。</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5、乙方严格按照合同约定执行，按照相关管理办法定期接受甲方</w:t>
      </w:r>
      <w:r>
        <w:rPr>
          <w:rFonts w:hint="eastAsia" w:ascii="宋体" w:hAnsi="宋体"/>
          <w:color w:val="000000"/>
          <w:sz w:val="24"/>
          <w:highlight w:val="none"/>
          <w:lang w:val="en-US" w:eastAsia="zh-CN"/>
        </w:rPr>
        <w:t xml:space="preserve">履</w:t>
      </w:r>
      <w:r>
        <w:rPr>
          <w:rFonts w:hint="eastAsia" w:ascii="宋体" w:hAnsi="宋体"/>
          <w:color w:val="000000"/>
          <w:sz w:val="24"/>
          <w:highlight w:val="none"/>
        </w:rPr>
        <w:t xml:space="preserve">约考核。</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6、当发生下列情况时，启动大面积灾害处理程序，由乙方在查勘估损基础上提出初步理赔方案，经与甲方协商一致后实施：</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（1）一次事故报案件数超过50件(含)的；</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（2）一次事故涉及多个不同辖区的；</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（3）一次事故涉及5人及5人以上伤亡的；</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（4）采购人认为应当由采购人参与协商处理以维护社会稳定的情况。</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7、甲方应积极推动本保险项目的实施，并按时支付保险费。</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8、如乙方在合同有限期内收到保障对象的相关有效投诉，经甲方核查后确认为乙方未能完全按照合同条款履行，甲方有权要求乙方立即整改。乙方连续出现上述情况的，甲方有权取消乙方的承保资格。</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十、合同修改</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对于本合同的未尽事宜，需进行修改、补充或完善的，甲乙双方必须就所修改的内容签订书面的合同修改书，作为本合同的补充协议。补充协议与本合同具有同等法律效力。</w:t>
      </w:r>
      <w:r/>
    </w:p>
    <w:p>
      <w:pPr>
        <w:ind w:firstLine="480"/>
        <w:jc w:val="left"/>
        <w:keepLines w:val="0"/>
        <w:keepNext w:val="0"/>
        <w:pageBreakBefore w:val="0"/>
        <w:spacing w:line="360" w:lineRule="auto"/>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十一</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消费者权益保护条款</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甲乙双方应重视消费者权益保护工作，建立合作机构准入和退出机制。双方应确保本协议项下，各类业务的开展符合现行法律法规及监管规定中消费者权益保护相关要求，依法保护金融消费者各项合法权益。本条所指的法律法规及监管规定包括但不限于《中华人民共和国保险法》、《中华人民共和国消费者权益保护法》、《银行保险机构消费者权益保护管理办法》（银保监会令2022年第9号）等。</w:t>
      </w:r>
      <w:r/>
    </w:p>
    <w:p>
      <w:pPr>
        <w:ind w:firstLine="48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当出现消费投诉时，甲乙双方应紧密协作、积极应对，妥善对接和处理合作过程中发生的保险消费纠纷。甲乙双方应根据消费者投诉反映出的问题积极进行溯源改进，提高服务水平，避免出现侵害消费者权益的行为。如果一方在本业务合作过程中出现严重侵害消费者权益的行为并被监管机构通报，或者拒不配合处理本业务相关的消费投诉，另一方有权终止合作。</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十</w:t>
      </w:r>
      <w:r>
        <w:rPr>
          <w:rFonts w:hint="eastAsia" w:ascii="宋体" w:hAnsi="宋体"/>
          <w:color w:val="000000"/>
          <w:sz w:val="24"/>
          <w:highlight w:val="none"/>
          <w:lang w:val="en-US" w:eastAsia="zh-CN"/>
        </w:rPr>
        <w:t xml:space="preserve">二</w:t>
      </w:r>
      <w:r>
        <w:rPr>
          <w:rFonts w:hint="eastAsia" w:ascii="宋体" w:hAnsi="宋体"/>
          <w:color w:val="000000"/>
          <w:sz w:val="24"/>
          <w:highlight w:val="none"/>
        </w:rPr>
        <w:t xml:space="preserve">、合同生效及其它</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（一）本合同通过“苏采云”系统在线签订，在双方签字盖章后即生效。</w:t>
      </w:r>
      <w:r/>
    </w:p>
    <w:p>
      <w:pPr>
        <w:ind w:firstLine="480"/>
        <w:jc w:val="left"/>
        <w:keepLines w:val="0"/>
        <w:keepNext w:val="0"/>
        <w:pageBreakBefore w:val="0"/>
        <w:spacing w:line="360" w:lineRule="auto"/>
        <w:widowControl/>
        <w:rPr>
          <w:rFonts w:hint="default" w:ascii="宋体" w:hAnsi="宋体"/>
          <w:color w:val="000000"/>
          <w:sz w:val="24"/>
          <w:highlight w:val="none"/>
          <w:lang w:val="zh-CN"/>
        </w:rPr>
      </w:pPr>
      <w:r>
        <w:rPr>
          <w:rFonts w:hint="eastAsia" w:ascii="宋体" w:hAnsi="宋体"/>
          <w:color w:val="000000"/>
          <w:sz w:val="24"/>
          <w:highlight w:val="none"/>
        </w:rPr>
        <w:t xml:space="preserve">（二）</w:t>
      </w:r>
      <w:r>
        <w:rPr>
          <w:rFonts w:hint="eastAsia" w:ascii="宋体" w:hAnsi="宋体"/>
          <w:color w:val="000000"/>
          <w:sz w:val="24"/>
          <w:highlight w:val="none"/>
          <w:lang w:val="zh-CN"/>
        </w:rPr>
        <w:t xml:space="preserve">因履行本合同引起的或与本合同有关的争议，甲、乙双方应首先通过友好协商解决，如果协商不能解决争议，则采取以下第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1</w:t>
      </w:r>
      <w:r>
        <w:rPr>
          <w:rFonts w:hint="eastAsia" w:ascii="宋体" w:hAnsi="宋体"/>
          <w:color w:val="000000"/>
          <w:sz w:val="24"/>
          <w:highlight w:val="none"/>
          <w:u w:val="single"/>
        </w:rPr>
        <w:t xml:space="preserve">  </w:t>
      </w:r>
      <w:r>
        <w:rPr>
          <w:rFonts w:hint="eastAsia" w:ascii="宋体" w:hAnsi="宋体"/>
          <w:color w:val="000000"/>
          <w:sz w:val="24"/>
          <w:highlight w:val="none"/>
          <w:lang w:val="zh-CN"/>
        </w:rPr>
        <w:t xml:space="preserve">种方式解决争议：</w:t>
      </w:r>
      <w:r/>
    </w:p>
    <w:p>
      <w:pPr>
        <w:ind w:firstLine="480"/>
        <w:jc w:val="left"/>
        <w:keepLines w:val="0"/>
        <w:keepNext w:val="0"/>
        <w:pageBreakBefore w:val="0"/>
        <w:spacing w:line="360" w:lineRule="auto"/>
        <w:widowControl/>
        <w:rPr>
          <w:rFonts w:hint="default" w:ascii="宋体" w:hAnsi="宋体"/>
          <w:color w:val="000000"/>
          <w:sz w:val="24"/>
          <w:highlight w:val="none"/>
          <w:lang w:val="zh-CN"/>
        </w:rPr>
      </w:pPr>
      <w:r>
        <w:rPr>
          <w:rFonts w:hint="eastAsia" w:ascii="宋体" w:hAnsi="宋体"/>
          <w:color w:val="000000"/>
          <w:sz w:val="24"/>
          <w:highlight w:val="none"/>
          <w:lang w:val="zh-CN"/>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（2）向甲方所在地仲裁委员会按其仲裁规则申请仲裁。</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（三）合同在执行过程中出现的未尽事宜，双方在不违背本合同和招标文件的原则下协商解决，协商结果以书面形式盖章记录在案，作为本合同的附件，与本合同具有同等效力，但需提交招标代理机构一份备存。</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（四）本合同一式四份，甲方、乙方各两份。</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甲方（签章）：      　　　              乙方（签章）：</w:t>
      </w:r>
      <w:r/>
    </w:p>
    <w:p>
      <w:pPr>
        <w:ind w:firstLine="480"/>
        <w:jc w:val="left"/>
        <w:keepLines w:val="0"/>
        <w:keepNext w:val="0"/>
        <w:pageBreakBefore w:val="0"/>
        <w:spacing w:line="360" w:lineRule="auto"/>
        <w:widowControl/>
        <w:rPr>
          <w:rFonts w:hint="default" w:ascii="宋体" w:hAnsi="宋体"/>
          <w:color w:val="000000"/>
          <w:sz w:val="24"/>
          <w:highlight w:val="none"/>
        </w:rPr>
      </w:pPr>
      <w:r>
        <w:rPr>
          <w:rFonts w:hint="eastAsia" w:ascii="宋体" w:hAnsi="宋体"/>
          <w:color w:val="000000"/>
          <w:sz w:val="24"/>
          <w:highlight w:val="none"/>
        </w:rPr>
        <w:t xml:space="preserve">法定代表人（负责人）</w:t>
      </w:r>
      <w:r>
        <w:rPr>
          <w:rFonts w:hint="eastAsia" w:ascii="宋体" w:hAnsi="宋体"/>
          <w:color w:val="000000"/>
          <w:sz w:val="24"/>
          <w:highlight w:val="none"/>
        </w:rPr>
        <w:tab/>
      </w:r>
      <w:r>
        <w:rPr>
          <w:rFonts w:hint="eastAsia" w:ascii="宋体" w:hAnsi="宋体"/>
          <w:color w:val="000000"/>
          <w:sz w:val="24"/>
          <w:highlight w:val="none"/>
        </w:rPr>
        <w:t xml:space="preserve">                    法定代表人（负责人）</w:t>
      </w:r>
      <w:r/>
    </w:p>
    <w:p>
      <w:pPr>
        <w:pStyle w:val="1171"/>
        <w:jc w:val="center"/>
        <w:rPr>
          <w:rFonts w:cs="宋体"/>
          <w:b/>
          <w:bCs/>
          <w:spacing w:val="-20"/>
          <w:sz w:val="48"/>
          <w:szCs w:val="48"/>
        </w:rPr>
      </w:pPr>
      <w:r>
        <w:rPr>
          <w:rFonts w:hint="eastAsia" w:ascii="宋体" w:hAnsi="宋体"/>
          <w:color w:val="000000"/>
          <w:sz w:val="24"/>
          <w:highlight w:val="none"/>
        </w:rPr>
        <w:t xml:space="preserve">或其授权委托人                          或其授权委托人</w:t>
      </w:r>
      <w:r>
        <w:rPr>
          <w:rFonts w:hint="eastAsia" w:ascii="宋体" w:hAnsi="宋体"/>
          <w:color w:val="000000"/>
          <w:sz w:val="24"/>
          <w:highlight w:val="none"/>
        </w:rPr>
        <w:tab/>
      </w:r>
      <w:r>
        <w:rPr>
          <w:rFonts w:hint="eastAsia" w:ascii="宋体" w:hAnsi="宋体"/>
          <w:color w:val="000000"/>
          <w:sz w:val="24"/>
          <w:highlight w:val="none"/>
        </w:rPr>
        <w:t xml:space="preserve"> </w:t>
      </w:r>
      <w:r/>
    </w:p>
    <w:p>
      <w:pPr>
        <w:rPr>
          <w:b/>
          <w:sz w:val="36"/>
          <w:szCs w:val="36"/>
        </w:rPr>
      </w:pPr>
      <w:r>
        <w:rPr>
          <w:b/>
          <w:sz w:val="36"/>
          <w:szCs w:val="36"/>
        </w:rPr>
        <w:br w:type="page" w:clear="all"/>
      </w:r>
      <w:r/>
    </w:p>
    <w:p>
      <w:pPr>
        <w:jc w:val="center"/>
        <w:spacing w:line="360" w:lineRule="auto"/>
        <w:rPr>
          <w:b/>
          <w:sz w:val="36"/>
          <w:szCs w:val="36"/>
        </w:rPr>
        <w:outlineLvl w:val="0"/>
      </w:pPr>
      <w:r>
        <w:rPr>
          <w:b/>
          <w:sz w:val="36"/>
          <w:szCs w:val="36"/>
        </w:rPr>
        <w:t xml:space="preserve">第七章   投标文件格式</w:t>
      </w:r>
      <w:bookmarkEnd w:id="813"/>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b/>
          <w:sz w:val="30"/>
          <w:szCs w:val="20"/>
        </w:rPr>
      </w:pPr>
      <w:r>
        <w:rPr>
          <w:sz w:val="24"/>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 标 文 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p>
    <w:p>
      <w:pPr>
        <w:rPr>
          <w:rFonts w:ascii="宋体" w:hAnsi="宋体"/>
          <w:b/>
          <w:sz w:val="36"/>
        </w:rPr>
      </w:pPr>
      <w:r>
        <w:rPr>
          <w:rFonts w:hint="eastAsia" w:ascii="宋体" w:hAnsi="宋体"/>
          <w:b/>
          <w:sz w:val="36"/>
        </w:rPr>
        <w:t xml:space="preserve">      日      期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p>
    <w:p>
      <w:pPr>
        <w:rPr>
          <w:b/>
        </w:rPr>
      </w:pPr>
      <w:r>
        <w:rPr>
          <w:b/>
        </w:rPr>
      </w:r>
      <w:r/>
    </w:p>
    <w:p>
      <w:pPr>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p>
    <w:p>
      <w:pPr>
        <w:spacing w:line="360" w:lineRule="auto"/>
        <w:rPr>
          <w:b/>
          <w:bCs/>
          <w:color w:val="000000"/>
        </w:rPr>
        <w:outlineLvl w:val="2"/>
      </w:pPr>
      <w:r>
        <w:rPr>
          <w:b/>
          <w:color w:val="000000"/>
        </w:rPr>
        <w:t xml:space="preserve">1-</w:t>
      </w:r>
      <w:r>
        <w:rPr>
          <w:rFonts w:hint="eastAsia"/>
          <w:b/>
          <w:color w:val="000000"/>
        </w:rPr>
        <w:t xml:space="preserve">1</w:t>
      </w:r>
      <w:r>
        <w:rPr>
          <w:b/>
          <w:color w:val="000000"/>
        </w:rPr>
        <w:t xml:space="preserve"> 投标人资格声明</w:t>
      </w:r>
      <w:r>
        <w:rPr>
          <w:rFonts w:hint="eastAsia"/>
          <w:b/>
          <w:color w:val="000000"/>
        </w:rPr>
        <w:t xml:space="preserve">函</w:t>
      </w:r>
      <w:r>
        <w:rPr>
          <w:b/>
          <w:color w:val="000000"/>
        </w:rPr>
        <w:t xml:space="preserve">（实质性格式）</w:t>
      </w:r>
      <w:r/>
    </w:p>
    <w:p>
      <w:pPr>
        <w:jc w:val="center"/>
        <w:spacing w:before="120" w:line="360" w:lineRule="auto"/>
        <w:widowControl/>
      </w:pPr>
      <w:r>
        <w:rPr>
          <w:rFonts w:hint="eastAsia" w:ascii="宋体" w:hAnsi="宋体" w:cs="宋体"/>
          <w:b/>
          <w:sz w:val="28"/>
          <w:szCs w:val="28"/>
        </w:rPr>
        <w:t xml:space="preserve">投标人资格声明函</w:t>
      </w:r>
      <w:r/>
    </w:p>
    <w:p>
      <w:pPr>
        <w:pStyle w:val="1162"/>
        <w:ind w:firstLine="480"/>
        <w:spacing w:line="460" w:lineRule="exact"/>
      </w:pPr>
      <w:r>
        <w:rPr>
          <w:rFonts w:hint="eastAsia"/>
        </w:rPr>
        <w:t xml:space="preserve">致：</w:t>
      </w:r>
      <w:r/>
    </w:p>
    <w:p>
      <w:pPr>
        <w:pStyle w:val="1162"/>
        <w:ind w:firstLine="960"/>
        <w:spacing w:line="460" w:lineRule="exact"/>
      </w:pPr>
      <w:r>
        <w:rPr>
          <w:rFonts w:hint="eastAsia"/>
          <w:u w:val="single"/>
        </w:rPr>
        <w:t xml:space="preserve">（采购人名称）</w:t>
      </w:r>
      <w:r/>
    </w:p>
    <w:p>
      <w:pPr>
        <w:pStyle w:val="1162"/>
        <w:ind w:firstLine="480"/>
        <w:spacing w:line="460" w:lineRule="exact"/>
      </w:pPr>
      <w:r>
        <w:rPr>
          <w:rFonts w:hint="eastAsia"/>
        </w:rPr>
        <w:t xml:space="preserve">按照《中华人民共和国政府采购法》第二十二条和招标文件的规定，我单位郑重声明如下：</w:t>
      </w:r>
      <w:r/>
    </w:p>
    <w:p>
      <w:pPr>
        <w:pStyle w:val="1162"/>
        <w:ind w:firstLine="480"/>
        <w:spacing w:line="460" w:lineRule="exact"/>
      </w:pPr>
      <w:r>
        <w:rPr>
          <w:rFonts w:hint="eastAsia"/>
        </w:rPr>
        <w:t xml:space="preserve">一、我单位是按照中华人民共和国法律规定登记注册的，注册地点为，全称为，统一社会信用代码为 ，法定代表人（单位负责人）为，具有独立承担民事责任的能力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62"/>
        <w:ind w:firstLine="480"/>
        <w:spacing w:line="460" w:lineRule="exact"/>
      </w:pPr>
      <w:r>
        <w:rPr>
          <w:rFonts w:hint="eastAsia"/>
        </w:rPr>
        <w:t xml:space="preserve">二、我单位具有良好的商业信誉（指投标人经营状况良好，无本资格声明第十条情形）和健全的财务会计制度。</w:t>
      </w:r>
      <w:r/>
    </w:p>
    <w:p>
      <w:pPr>
        <w:pStyle w:val="1162"/>
        <w:ind w:firstLine="480"/>
        <w:spacing w:line="460" w:lineRule="exact"/>
      </w:pPr>
      <w:r>
        <w:rPr>
          <w:rFonts w:hint="eastAsia"/>
        </w:rPr>
        <w:t xml:space="preserve">三、我单位依法进行纳税和社会保险申报并实际履行了义务。</w:t>
      </w:r>
      <w:r/>
    </w:p>
    <w:p>
      <w:pPr>
        <w:pStyle w:val="1162"/>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62"/>
        <w:ind w:firstLine="480"/>
        <w:spacing w:line="460" w:lineRule="exact"/>
      </w:pPr>
      <w:r>
        <w:rPr>
          <w:rFonts w:hint="eastAsia"/>
        </w:rPr>
        <w:t xml:space="preserve">主要设备有：</w:t>
      </w:r>
      <w:r/>
    </w:p>
    <w:p>
      <w:pPr>
        <w:pStyle w:val="1162"/>
        <w:ind w:firstLine="480"/>
        <w:spacing w:line="460" w:lineRule="exact"/>
      </w:pPr>
      <w:r>
        <w:rPr>
          <w:rFonts w:hint="eastAsia"/>
        </w:rPr>
        <w:t xml:space="preserve">主要专业技术能力有</w:t>
      </w:r>
      <w:r/>
    </w:p>
    <w:p>
      <w:pPr>
        <w:pStyle w:val="116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62"/>
        <w:ind w:firstLine="480"/>
        <w:spacing w:line="460" w:lineRule="exact"/>
      </w:pPr>
      <w:r>
        <w:rPr>
          <w:rFonts w:hint="eastAsia"/>
        </w:rPr>
        <w:t xml:space="preserve">六、我单位具备法律、行政法规规定的其他条件。</w:t>
      </w:r>
      <w:r/>
    </w:p>
    <w:p>
      <w:pPr>
        <w:pStyle w:val="116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62"/>
        <w:ind w:firstLine="480"/>
        <w:spacing w:line="460" w:lineRule="exact"/>
      </w:pPr>
      <w:r>
        <w:rPr>
          <w:rFonts w:hint="eastAsia"/>
        </w:rPr>
        <w:t xml:space="preserve">1、与我单位的法定代表人（单位负责人）为同一人的其他单位如下：</w:t>
      </w:r>
      <w:r/>
    </w:p>
    <w:p>
      <w:pPr>
        <w:pStyle w:val="1162"/>
        <w:ind w:firstLine="480"/>
        <w:spacing w:line="460" w:lineRule="exact"/>
      </w:pPr>
      <w:r>
        <w:rPr>
          <w:rFonts w:hint="eastAsia"/>
        </w:rPr>
        <w:t xml:space="preserve">2、我单位直接控股的其他单位如下：</w:t>
      </w:r>
      <w:r/>
    </w:p>
    <w:p>
      <w:pPr>
        <w:pStyle w:val="1162"/>
        <w:ind w:firstLine="480"/>
        <w:spacing w:line="460" w:lineRule="exact"/>
      </w:pPr>
      <w:r>
        <w:rPr>
          <w:rFonts w:hint="eastAsia"/>
        </w:rPr>
        <w:t xml:space="preserve">3、与我单位存在管理关系的其他单位如下：</w:t>
      </w:r>
      <w:r/>
    </w:p>
    <w:p>
      <w:pPr>
        <w:pStyle w:val="116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62"/>
        <w:ind w:firstLine="480"/>
        <w:spacing w:line="460" w:lineRule="exact"/>
      </w:pPr>
      <w:r>
        <w:rPr>
          <w:rFonts w:hint="eastAsia"/>
        </w:rPr>
        <w:t xml:space="preserve">九、</w:t>
      </w:r>
      <w:r>
        <w:t xml:space="preserve">我单位无以下不良信用记录情形：</w:t>
      </w:r>
      <w:r/>
    </w:p>
    <w:p>
      <w:pPr>
        <w:pStyle w:val="1162"/>
        <w:ind w:firstLine="480"/>
        <w:spacing w:line="460" w:lineRule="exact"/>
      </w:pPr>
      <w:r>
        <w:t xml:space="preserve">1</w:t>
      </w:r>
      <w:r>
        <w:rPr>
          <w:rFonts w:hint="eastAsia"/>
        </w:rPr>
        <w:t xml:space="preserve">、在“信用中国”网站被列入失信被执行人和重大税收违法案件当事人名单；</w:t>
      </w:r>
      <w:r/>
    </w:p>
    <w:p>
      <w:pPr>
        <w:pStyle w:val="1162"/>
        <w:ind w:firstLine="480"/>
        <w:spacing w:line="460" w:lineRule="exact"/>
      </w:pPr>
      <w:r>
        <w:t xml:space="preserve">2</w:t>
      </w:r>
      <w:r>
        <w:rPr>
          <w:rFonts w:hint="eastAsia"/>
        </w:rPr>
        <w:t xml:space="preserve">、在“中国政府采购网”网站被列入政府采购严重违法失信行为记录名单；</w:t>
      </w:r>
      <w:r/>
    </w:p>
    <w:p>
      <w:pPr>
        <w:pStyle w:val="1162"/>
        <w:ind w:firstLine="480"/>
        <w:spacing w:line="460" w:lineRule="exact"/>
      </w:pPr>
      <w:r>
        <w:t xml:space="preserve">3</w:t>
      </w:r>
      <w:r>
        <w:rPr>
          <w:rFonts w:hint="eastAsia"/>
        </w:rPr>
        <w:t xml:space="preserve">、</w:t>
      </w:r>
      <w:r>
        <w:t xml:space="preserve">不符合《政府采购法》第二十二条规定的条件。</w:t>
      </w:r>
      <w:r/>
    </w:p>
    <w:p>
      <w:pPr>
        <w:pStyle w:val="1162"/>
        <w:ind w:firstLine="480"/>
        <w:spacing w:line="460" w:lineRule="exact"/>
      </w:pPr>
      <w:r/>
      <w:r/>
    </w:p>
    <w:p>
      <w:pPr>
        <w:pStyle w:val="116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62"/>
        <w:ind w:firstLine="480"/>
        <w:spacing w:line="460" w:lineRule="exact"/>
      </w:pPr>
      <w:r/>
      <w:r/>
    </w:p>
    <w:p>
      <w:pPr>
        <w:pStyle w:val="1162"/>
        <w:ind w:firstLine="480"/>
        <w:spacing w:line="460" w:lineRule="exact"/>
      </w:pPr>
      <w:r/>
      <w:r/>
    </w:p>
    <w:p>
      <w:pPr>
        <w:pStyle w:val="1162"/>
        <w:ind w:firstLine="480"/>
        <w:spacing w:line="460" w:lineRule="exact"/>
      </w:pPr>
      <w:r>
        <w:rPr>
          <w:rFonts w:hint="eastAsia"/>
        </w:rPr>
        <w:t xml:space="preserve">                                            投标人：（加盖公章）</w:t>
      </w:r>
      <w:r/>
    </w:p>
    <w:p>
      <w:pPr>
        <w:pStyle w:val="1162"/>
        <w:ind w:firstLine="480"/>
        <w:spacing w:line="460" w:lineRule="exact"/>
      </w:pPr>
      <w:r>
        <w:rPr>
          <w:rFonts w:hint="eastAsia"/>
        </w:rPr>
        <w:t xml:space="preserve">                                           法定代表人（或单位负责人）签字或盖章：</w:t>
      </w:r>
      <w:r/>
    </w:p>
    <w:p>
      <w:pPr>
        <w:pStyle w:val="1162"/>
        <w:ind w:firstLine="4920"/>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headerReference w:type="default" r:id="rId15"/>
          <w:footerReference w:type="default" r:id="rId27"/>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spacing w:line="360" w:lineRule="auto"/>
        <w:rPr>
          <w:color w:val="000000"/>
          <w:sz w:val="24"/>
          <w:szCs w:val="20"/>
        </w:rPr>
        <w:outlineLvl w:val="2"/>
      </w:pPr>
      <w:r>
        <w:rPr>
          <w:color w:val="000000"/>
          <w:sz w:val="24"/>
          <w:szCs w:val="20"/>
        </w:rPr>
        <w:t xml:space="preserve">2 落实政府采购政策需满足的资格要求</w:t>
      </w:r>
      <w:r/>
    </w:p>
    <w:p>
      <w:pPr>
        <w:jc w:val="left"/>
        <w:widowControl/>
        <w:rPr>
          <w:sz w:val="24"/>
        </w:rPr>
      </w:pPr>
      <w:r>
        <w:rPr>
          <w:color w:val="000000"/>
          <w:sz w:val="24"/>
          <w:szCs w:val="20"/>
        </w:rPr>
        <w:t xml:space="preserve">2-1中小企业声明函</w:t>
      </w:r>
      <w:r/>
    </w:p>
    <w:p>
      <w:pPr>
        <w:jc w:val="center"/>
        <w:spacing w:line="360" w:lineRule="auto"/>
        <w:rPr>
          <w:b/>
          <w:bCs/>
          <w:color w:val="000000"/>
          <w:sz w:val="36"/>
          <w:szCs w:val="36"/>
        </w:rPr>
      </w:pPr>
      <w:r>
        <w:rPr>
          <w:rFonts w:hint="eastAsia"/>
          <w:b/>
          <w:bCs/>
          <w:color w:val="000000"/>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t xml:space="preserve">企业名称（加盖公章）：________</w:t>
      </w:r>
      <w:r/>
    </w:p>
    <w:p>
      <w:pPr>
        <w:ind w:right="360" w:firstLine="480"/>
        <w:jc w:val="right"/>
        <w:spacing w:line="360" w:lineRule="auto"/>
        <w:rPr>
          <w:color w:val="000000"/>
          <w:sz w:val="24"/>
        </w:rPr>
      </w:pPr>
      <w:r>
        <w:rPr>
          <w:color w:val="000000"/>
          <w:sz w:val="24"/>
        </w:rPr>
        <w:t xml:space="preserve">日 期：________</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right="360" w:firstLine="480"/>
        <w:jc w:val="right"/>
        <w:spacing w:line="360" w:lineRule="auto"/>
        <w:rPr>
          <w:color w:val="000000"/>
          <w:sz w:val="24"/>
        </w:rPr>
      </w:pPr>
      <w:r>
        <w:rPr>
          <w:color w:val="000000" w:themeColor="text1"/>
          <w14:textFill>
            <w14:solidFill>
              <w14:schemeClr w14:val="tx1"/>
            </w14:solidFill>
          </w14:textFill>
        </w:rPr>
        <w:br w:type="page" w:clear="all"/>
      </w:r>
      <w:r/>
    </w:p>
    <w:p>
      <w:pPr>
        <w:spacing w:line="360" w:lineRule="auto"/>
        <w:rPr>
          <w:color w:val="000000"/>
          <w:sz w:val="24"/>
          <w:szCs w:val="20"/>
        </w:rPr>
        <w:outlineLvl w:val="2"/>
      </w:pPr>
      <w:r>
        <w:rPr>
          <w:color w:val="000000"/>
          <w:sz w:val="24"/>
          <w:szCs w:val="20"/>
        </w:rPr>
      </w:r>
      <w:r/>
    </w:p>
    <w:p>
      <w:pPr>
        <w:jc w:val="center"/>
        <w:spacing w:before="240" w:after="240" w:line="360" w:lineRule="auto"/>
        <w:rPr>
          <w:b/>
          <w:color w:val="000000"/>
          <w:sz w:val="36"/>
          <w:szCs w:val="36"/>
        </w:rPr>
      </w:pPr>
      <w:r>
        <w:rPr>
          <w:rFonts w:hint="eastAsia"/>
          <w:b/>
          <w:bCs/>
          <w:color w:val="000000"/>
          <w:sz w:val="36"/>
          <w:szCs w:val="36"/>
        </w:rPr>
        <w:t xml:space="preserve">残疾人福利性单位声明函格式</w:t>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单位名称（加盖公章）：</w:t>
      </w:r>
      <w:r/>
    </w:p>
    <w:p>
      <w:pPr>
        <w:ind w:right="1560" w:firstLine="504"/>
        <w:jc w:val="center"/>
        <w:spacing w:line="588" w:lineRule="exact"/>
        <w:tabs>
          <w:tab w:val="left" w:pos="4860" w:leader="none"/>
        </w:tabs>
        <w:rPr>
          <w:spacing w:val="6"/>
          <w:sz w:val="24"/>
        </w:rPr>
      </w:pPr>
      <w:r>
        <w:rPr>
          <w:spacing w:val="6"/>
          <w:sz w:val="24"/>
        </w:rPr>
        <w:t xml:space="preserve">       日  期：</w:t>
      </w:r>
      <w:r/>
    </w:p>
    <w:p>
      <w:pPr>
        <w:ind w:right="1560" w:firstLine="504"/>
        <w:jc w:val="center"/>
        <w:spacing w:line="588"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spacing w:line="360" w:lineRule="auto"/>
        <w:tabs>
          <w:tab w:val="left" w:pos="8280" w:leader="none"/>
        </w:tabs>
        <w:rPr>
          <w:color w:val="000000"/>
          <w:sz w:val="24"/>
          <w:szCs w:val="20"/>
        </w:rPr>
      </w:pPr>
      <w:r>
        <w:rPr>
          <w:color w:val="000000"/>
          <w:sz w:val="24"/>
          <w:szCs w:val="20"/>
        </w:rPr>
        <w:br w:type="page" w:clear="all"/>
      </w:r>
      <w:r>
        <w:rPr>
          <w:color w:val="000000"/>
          <w:sz w:val="24"/>
          <w:szCs w:val="20"/>
        </w:rPr>
        <w:t xml:space="preserve">2-3 </w:t>
      </w:r>
      <w:r>
        <w:rPr>
          <w:sz w:val="24"/>
        </w:rPr>
        <w:t xml:space="preserve">其它落实政府采购政策的资格要求</w:t>
      </w:r>
      <w:r>
        <w:rPr>
          <w:color w:val="000000"/>
          <w:sz w:val="24"/>
          <w:szCs w:val="20"/>
        </w:rPr>
        <w:t xml:space="preserve">（如有）</w:t>
      </w:r>
      <w:r/>
    </w:p>
    <w:p>
      <w:pPr>
        <w:spacing w:line="360" w:lineRule="auto"/>
        <w:tabs>
          <w:tab w:val="left" w:pos="8280" w:leader="none"/>
        </w:tabs>
        <w:rPr>
          <w:sz w:val="24"/>
        </w:rPr>
      </w:pPr>
      <w:r>
        <w:rPr>
          <w:color w:val="000000"/>
          <w:sz w:val="24"/>
          <w:szCs w:val="20"/>
        </w:rPr>
        <w:t xml:space="preserve">3 </w:t>
      </w:r>
      <w:r>
        <w:rPr>
          <w:sz w:val="24"/>
        </w:rPr>
        <w:t xml:space="preserve">本项目的特定资格要求</w:t>
      </w:r>
      <w:r>
        <w:rPr>
          <w:color w:val="000000"/>
          <w:sz w:val="24"/>
          <w:szCs w:val="20"/>
        </w:rPr>
        <w:t xml:space="preserve">（如有）</w:t>
      </w:r>
      <w:r/>
    </w:p>
    <w:p>
      <w:pPr>
        <w:spacing w:line="360" w:lineRule="auto"/>
        <w:rPr>
          <w:sz w:val="24"/>
          <w:szCs w:val="20"/>
        </w:rPr>
      </w:pPr>
      <w:r>
        <w:rPr>
          <w:color w:val="000000"/>
          <w:sz w:val="24"/>
          <w:szCs w:val="20"/>
        </w:rPr>
        <w:t xml:space="preserve">3-2其他</w:t>
      </w:r>
      <w:r>
        <w:rPr>
          <w:sz w:val="24"/>
          <w:szCs w:val="20"/>
        </w:rPr>
        <w:t xml:space="preserve">特定资格要求</w:t>
      </w:r>
      <w:r>
        <w:rPr>
          <w:rFonts w:hint="eastAsia"/>
          <w:sz w:val="24"/>
          <w:szCs w:val="20"/>
        </w:rPr>
        <w:t xml:space="preserve">：</w:t>
      </w:r>
      <w:r>
        <w:rPr>
          <w:rFonts w:hint="eastAsia"/>
          <w:color w:val="0000ff"/>
          <w:sz w:val="24"/>
          <w:highlight w:val="yellow"/>
          <w:u w:val="single"/>
        </w:rPr>
        <w:t xml:space="preserve">当总公司作为投标人投标：应具备《保险机构法人许可证》；当分支机构作为投标人投标：应具备《经营保险业务许可证》及总公司授权书。</w:t>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ind w:left="719" w:hanging="240"/>
        <w:spacing w:line="360" w:lineRule="auto"/>
        <w:rPr>
          <w:sz w:val="24"/>
          <w:szCs w:val="20"/>
        </w:rPr>
      </w:pPr>
      <w:r>
        <w:rPr>
          <w:sz w:val="24"/>
          <w:szCs w:val="20"/>
        </w:rPr>
      </w:r>
      <w:r/>
    </w:p>
    <w:p>
      <w:pPr>
        <w:rPr>
          <w:rFonts w:hint="eastAsia"/>
          <w:color w:val="000000"/>
          <w:sz w:val="24"/>
        </w:rPr>
      </w:pPr>
      <w:r/>
      <w:bookmarkStart w:id="815" w:name="_Toc150774761"/>
      <w:r/>
      <w:bookmarkStart w:id="816" w:name="_Toc195842921"/>
      <w:r/>
      <w:bookmarkStart w:id="817" w:name="_Toc150480794"/>
      <w:r/>
      <w:bookmarkStart w:id="818" w:name="_Toc142311058"/>
      <w:r/>
      <w:bookmarkStart w:id="819" w:name="_Toc226337252"/>
      <w:r/>
      <w:bookmarkStart w:id="820" w:name="_Toc127151556"/>
      <w:r/>
      <w:bookmarkStart w:id="821" w:name="_Toc520356217"/>
      <w:r/>
      <w:bookmarkStart w:id="822" w:name="_Toc226965746"/>
      <w:r/>
      <w:bookmarkStart w:id="823" w:name="_Toc226965829"/>
      <w:r/>
      <w:bookmarkStart w:id="824" w:name="_Toc480942349"/>
      <w:r/>
      <w:bookmarkStart w:id="825" w:name="_Toc226309800"/>
      <w:r/>
      <w:bookmarkStart w:id="826" w:name="_Ref467988698"/>
      <w:r>
        <w:rPr>
          <w:rFonts w:hint="eastAsia"/>
          <w:color w:val="000000"/>
          <w:sz w:val="24"/>
        </w:rPr>
        <w:br w:type="page" w:clear="all"/>
      </w:r>
      <w:r/>
    </w:p>
    <w:p>
      <w:pPr>
        <w:spacing w:line="360" w:lineRule="auto"/>
        <w:rPr>
          <w:color w:val="000000"/>
          <w:sz w:val="24"/>
          <w:szCs w:val="20"/>
        </w:rPr>
        <w:outlineLvl w:val="2"/>
      </w:pPr>
      <w:r>
        <w:rPr>
          <w:rFonts w:hint="eastAsia"/>
          <w:color w:val="000000"/>
          <w:sz w:val="24"/>
        </w:rPr>
        <w:t xml:space="preserve">1</w:t>
      </w:r>
      <w:r>
        <w:rPr>
          <w:color w:val="000000"/>
          <w:sz w:val="24"/>
        </w:rPr>
        <w:t xml:space="preserve">投标</w:t>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rPr>
          <w:rFonts w:hint="eastAsia"/>
          <w:color w:val="000000"/>
          <w:sz w:val="24"/>
        </w:rPr>
        <w:t xml:space="preserve">函</w:t>
      </w:r>
      <w:r>
        <w:rPr>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投标函</w:t>
      </w:r>
      <w:r/>
    </w:p>
    <w:p>
      <w:pPr>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p>
    <w:p>
      <w:pPr>
        <w:spacing w:line="360" w:lineRule="auto"/>
        <w:tabs>
          <w:tab w:val="left" w:pos="5580" w:leader="none"/>
        </w:tabs>
        <w:rPr>
          <w:color w:val="000000"/>
          <w:sz w:val="24"/>
          <w:szCs w:val="20"/>
        </w:rPr>
      </w:pPr>
      <w:r>
        <w:rPr>
          <w:color w:val="000000"/>
          <w:sz w:val="24"/>
          <w:szCs w:val="20"/>
        </w:rPr>
      </w:r>
      <w:r/>
    </w:p>
    <w:p>
      <w:pPr>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color w:val="000000"/>
          <w:sz w:val="24"/>
          <w:szCs w:val="20"/>
        </w:rPr>
        <w:t xml:space="preserve">9</w:t>
      </w:r>
      <w:r>
        <w:rPr>
          <w:rFonts w:hint="eastAsia"/>
          <w:sz w:val="24"/>
        </w:rPr>
        <w:t xml:space="preserve">0</w:t>
      </w:r>
      <w:r>
        <w:rPr>
          <w:color w:val="000000"/>
          <w:sz w:val="24"/>
          <w:szCs w:val="20"/>
        </w:rPr>
        <w:t xml:space="preserve">个日历日。</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color w:val="000000"/>
          <w:sz w:val="24"/>
        </w:rPr>
      </w:pPr>
      <w:r>
        <w:rPr>
          <w:color w:val="000000"/>
          <w:sz w:val="24"/>
        </w:rPr>
        <w:t xml:space="preserve">与本投标有关的一切正式往来信函请寄：</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p>
    <w:p>
      <w:pPr>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投标人名称（加盖公章） ___________</w:t>
      </w:r>
      <w:r/>
    </w:p>
    <w:p>
      <w:pPr>
        <w:ind w:left="420"/>
        <w:spacing w:line="360" w:lineRule="auto"/>
        <w:tabs>
          <w:tab w:val="left" w:pos="5580" w:leader="none"/>
        </w:tabs>
        <w:rPr>
          <w:color w:val="000000"/>
          <w:sz w:val="24"/>
          <w:szCs w:val="20"/>
        </w:rPr>
      </w:pPr>
      <w:r>
        <w:rPr>
          <w:color w:val="000000"/>
          <w:sz w:val="24"/>
          <w:szCs w:val="20"/>
        </w:rPr>
        <w:t xml:space="preserve">日期：_____年______月______日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color w:val="000000"/>
          <w:sz w:val="24"/>
        </w:rPr>
      </w:pPr>
      <w:r/>
      <w:bookmarkStart w:id="827" w:name="_Hlt520356243"/>
      <w:r/>
      <w:bookmarkEnd w:id="827"/>
      <w:r/>
      <w:bookmarkStart w:id="828" w:name="_Hlt520355938"/>
      <w:r/>
      <w:bookmarkEnd w:id="828"/>
      <w:r>
        <w:rPr>
          <w:color w:val="000000"/>
          <w:sz w:val="24"/>
        </w:rPr>
        <w:br w:type="page" w:clear="all"/>
      </w:r>
      <w:r/>
    </w:p>
    <w:p>
      <w:pPr>
        <w:jc w:val="left"/>
        <w:widowControl/>
        <w:rPr>
          <w:color w:val="000000"/>
          <w:sz w:val="24"/>
        </w:rPr>
      </w:pPr>
      <w:r>
        <w:rPr>
          <w:rFonts w:hint="eastAsia"/>
          <w:color w:val="000000"/>
          <w:sz w:val="24"/>
        </w:rPr>
        <w:t xml:space="preserve">2法定代表人资格证明书</w:t>
      </w:r>
      <w:r>
        <w:rPr>
          <w:color w:val="000000"/>
          <w:sz w:val="24"/>
          <w:szCs w:val="20"/>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171"/>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96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color w:val="000000"/>
          <w:sz w:val="24"/>
        </w:rPr>
      </w:pPr>
      <w:r>
        <w:rPr>
          <w:color w:val="000000"/>
          <w:sz w:val="24"/>
        </w:rPr>
      </w:r>
      <w:r/>
    </w:p>
    <w:p>
      <w:pPr>
        <w:jc w:val="left"/>
        <w:widowControl/>
        <w:rPr>
          <w:color w:val="000000"/>
          <w:sz w:val="24"/>
        </w:rPr>
      </w:pPr>
      <w:r>
        <w:rPr>
          <w:color w:val="000000"/>
          <w:sz w:val="24"/>
        </w:rPr>
      </w:r>
      <w:r/>
    </w:p>
    <w:p>
      <w:pPr>
        <w:jc w:val="left"/>
        <w:widowControl/>
        <w:rPr>
          <w:color w:val="000000"/>
          <w:sz w:val="24"/>
        </w:rPr>
      </w:pPr>
      <w:r>
        <w:rPr>
          <w:color w:val="000000"/>
          <w:sz w:val="24"/>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jc w:val="left"/>
        <w:widowControl/>
        <w:rPr>
          <w:color w:val="000000"/>
          <w:sz w:val="24"/>
        </w:rPr>
      </w:pPr>
      <w:r>
        <w:rPr>
          <w:color w:val="000000"/>
          <w:sz w:val="24"/>
        </w:rPr>
      </w:r>
      <w:r/>
    </w:p>
    <w:p>
      <w:pPr>
        <w:jc w:val="left"/>
        <w:widowControl/>
        <w:rPr>
          <w:color w:val="000000"/>
          <w:sz w:val="24"/>
        </w:rPr>
      </w:pPr>
      <w:r>
        <w:rPr>
          <w:color w:val="000000"/>
          <w:sz w:val="24"/>
        </w:rPr>
      </w:r>
      <w:r/>
    </w:p>
    <w:p>
      <w:pPr>
        <w:jc w:val="left"/>
        <w:widowControl/>
        <w:rPr>
          <w:color w:val="000000"/>
          <w:sz w:val="24"/>
        </w:rPr>
      </w:pPr>
      <w:r>
        <w:rPr>
          <w:color w:val="000000"/>
          <w:sz w:val="24"/>
        </w:rPr>
      </w:r>
      <w:r/>
    </w:p>
    <w:p>
      <w:pPr>
        <w:jc w:val="left"/>
        <w:widowControl/>
        <w:rPr>
          <w:color w:val="000000"/>
          <w:sz w:val="24"/>
        </w:rPr>
      </w:pPr>
      <w:r>
        <w:rPr>
          <w:color w:val="000000"/>
          <w:sz w:val="24"/>
        </w:rPr>
      </w:r>
      <w:r/>
    </w:p>
    <w:p>
      <w:pPr>
        <w:jc w:val="left"/>
        <w:widowControl/>
        <w:rPr>
          <w:color w:val="000000"/>
          <w:sz w:val="24"/>
        </w:rPr>
        <w:sectPr>
          <w:headerReference w:type="even" r:id="rId16"/>
          <w:headerReference w:type="first" r:id="rId17"/>
          <w:footerReference w:type="even" r:id="rId28"/>
          <w:footerReference w:type="first" r:id="rId29"/>
          <w:footnotePr/>
          <w:endnotePr/>
          <w:type w:val="nextPage"/>
          <w:pgSz w:w="11907" w:h="16840" w:orient="portrait"/>
          <w:pgMar w:top="1440" w:right="1080" w:bottom="1440" w:left="1080" w:header="851" w:footer="851" w:gutter="0"/>
          <w:cols w:num="1" w:sep="0" w:space="1701" w:equalWidth="1"/>
          <w:docGrid w:linePitch="360"/>
        </w:sectPr>
      </w:pPr>
      <w:r>
        <w:rPr>
          <w:color w:val="000000"/>
          <w:sz w:val="24"/>
        </w:rPr>
      </w:r>
      <w:r/>
    </w:p>
    <w:p>
      <w:pPr>
        <w:jc w:val="center"/>
        <w:spacing w:line="360" w:lineRule="auto"/>
        <w:rPr>
          <w:rFonts w:ascii="宋体" w:hAnsi="宋体" w:cs="宋体"/>
          <w:b/>
          <w:sz w:val="24"/>
        </w:rPr>
      </w:pPr>
      <w:r>
        <w:rPr>
          <w:rFonts w:hint="eastAsia" w:ascii="宋体" w:hAnsi="宋体" w:cs="宋体"/>
          <w:b/>
          <w:sz w:val="24"/>
        </w:rPr>
        <w:t xml:space="preserve">授权委托书</w:t>
      </w:r>
      <w:r/>
    </w:p>
    <w:p>
      <w:pPr>
        <w:spacing w:line="400" w:lineRule="exact"/>
        <w:rPr>
          <w:rFonts w:ascii="宋体" w:hAnsi="宋体" w:cs="宋体"/>
          <w:sz w:val="24"/>
        </w:rPr>
      </w:pPr>
      <w:r>
        <w:rPr>
          <w:rFonts w:ascii="宋体" w:hAnsi="宋体" w:cs="宋体"/>
          <w:sz w:val="24"/>
        </w:rPr>
      </w:r>
      <w:r/>
    </w:p>
    <w:p>
      <w:pPr>
        <w:pStyle w:val="1162"/>
        <w:ind w:firstLine="0"/>
        <w:spacing w:line="560" w:lineRule="exact"/>
        <w:rPr>
          <w:rFonts w:hAnsi="宋体" w:cs="宋体"/>
          <w:u w:val="single"/>
        </w:rPr>
      </w:pPr>
      <w:r>
        <w:rPr>
          <w:rFonts w:hint="eastAsia" w:hAnsi="宋体" w:cs="宋体"/>
        </w:rPr>
        <w:t xml:space="preserve">致：</w:t>
      </w:r>
      <w:r>
        <w:rPr>
          <w:rFonts w:hint="eastAsia" w:hAnsi="宋体" w:cs="宋体"/>
          <w:u w:val="single"/>
        </w:rPr>
        <w:t xml:space="preserve">   （采购人名称）   </w:t>
      </w:r>
      <w:r>
        <w:rPr>
          <w:rFonts w:hint="eastAsia" w:hAnsi="宋体" w:cs="宋体"/>
        </w:rPr>
        <w:t xml:space="preserve">、</w:t>
      </w:r>
      <w:r>
        <w:rPr>
          <w:rFonts w:hint="eastAsia" w:hAnsi="宋体" w:cs="宋体"/>
          <w:u w:val="single"/>
        </w:rPr>
        <w:t xml:space="preserve">江苏华溯工程项目管理有限公司</w:t>
      </w:r>
      <w:r>
        <w:rPr>
          <w:rFonts w:hint="eastAsia" w:hAnsi="宋体" w:cs="宋体"/>
        </w:rPr>
        <w:t xml:space="preserve">：</w:t>
      </w:r>
      <w:r/>
    </w:p>
    <w:p>
      <w:pPr>
        <w:ind w:firstLine="480"/>
        <w:spacing w:line="560" w:lineRule="exact"/>
        <w:rPr>
          <w:rFonts w:ascii="宋体" w:hAnsi="宋体" w:cs="宋体"/>
          <w:sz w:val="24"/>
        </w:rPr>
      </w:pPr>
      <w:r>
        <w:rPr>
          <w:rFonts w:hint="eastAsia" w:ascii="宋体" w:hAnsi="宋体" w:cs="宋体"/>
          <w:sz w:val="24"/>
        </w:rPr>
        <w:t xml:space="preserve">本授权委托书宣告：本人</w:t>
      </w:r>
      <w:r>
        <w:rPr>
          <w:rFonts w:hint="eastAsia" w:ascii="宋体" w:hAnsi="宋体" w:cs="宋体"/>
          <w:sz w:val="24"/>
          <w:u w:val="single"/>
        </w:rPr>
        <w:t xml:space="preserve">（法定代表人姓名）</w:t>
      </w:r>
      <w:r>
        <w:rPr>
          <w:rFonts w:hint="eastAsia" w:ascii="宋体" w:hAnsi="宋体" w:cs="宋体"/>
          <w:sz w:val="24"/>
        </w:rPr>
        <w:t xml:space="preserve">系</w:t>
      </w:r>
      <w:r>
        <w:rPr>
          <w:rFonts w:hint="eastAsia" w:ascii="宋体" w:hAnsi="宋体" w:cs="宋体"/>
          <w:sz w:val="24"/>
          <w:u w:val="single"/>
        </w:rPr>
        <w:t xml:space="preserve">（投标单位名称）</w:t>
      </w:r>
      <w:r>
        <w:rPr>
          <w:rFonts w:hint="eastAsia" w:ascii="宋体" w:hAnsi="宋体" w:cs="宋体"/>
          <w:sz w:val="24"/>
        </w:rPr>
        <w:t xml:space="preserve">的法定代表人，现授权委托</w:t>
      </w:r>
      <w:r>
        <w:rPr>
          <w:rFonts w:hint="eastAsia" w:ascii="宋体" w:hAnsi="宋体" w:cs="宋体"/>
          <w:sz w:val="24"/>
          <w:u w:val="single"/>
        </w:rPr>
        <w:t xml:space="preserve">（被授权人姓名）</w:t>
      </w:r>
      <w:r>
        <w:rPr>
          <w:rFonts w:hint="eastAsia" w:ascii="宋体" w:hAnsi="宋体" w:cs="宋体"/>
          <w:sz w:val="24"/>
        </w:rPr>
        <w:t xml:space="preserve">为我单位代理人，该代理人有权在</w:t>
      </w:r>
      <w:r>
        <w:rPr>
          <w:rFonts w:hint="eastAsia" w:ascii="宋体" w:hAnsi="宋体" w:cs="宋体"/>
          <w:sz w:val="24"/>
          <w:u w:val="single"/>
        </w:rPr>
        <w:t xml:space="preserve">（项目名称）</w:t>
      </w:r>
      <w:r>
        <w:rPr>
          <w:rFonts w:hint="eastAsia" w:ascii="宋体" w:hAnsi="宋体" w:cs="宋体"/>
          <w:sz w:val="24"/>
        </w:rPr>
        <w:t xml:space="preserve">政府采购的投标活动中，以我单位的名义参加投标报名、资格审查、签署投标书和投标文件、与采购人（或采购代理机构）协商、签订合同书以及执行一切与此有关的事项。</w:t>
      </w:r>
      <w:r/>
    </w:p>
    <w:p>
      <w:pPr>
        <w:ind w:firstLine="480"/>
        <w:spacing w:line="560" w:lineRule="exact"/>
        <w:rPr>
          <w:rFonts w:ascii="宋体" w:hAnsi="宋体" w:cs="宋体"/>
          <w:sz w:val="24"/>
        </w:rPr>
      </w:pPr>
      <w:r>
        <w:rPr>
          <w:rFonts w:hint="eastAsia" w:ascii="宋体" w:hAnsi="宋体" w:cs="宋体"/>
          <w:sz w:val="24"/>
        </w:rPr>
        <w:t xml:space="preserve">代理人在其权限范围及代理期限内签署的一切有关合同、协议和文件，我单位均予以认可并愿承担相应的法律责任。</w:t>
      </w:r>
      <w:r/>
    </w:p>
    <w:p>
      <w:pPr>
        <w:ind w:firstLine="480"/>
        <w:spacing w:line="560" w:lineRule="exact"/>
        <w:rPr>
          <w:rFonts w:ascii="宋体" w:hAnsi="宋体" w:cs="宋体"/>
          <w:sz w:val="24"/>
        </w:rPr>
      </w:pPr>
      <w:r>
        <w:rPr>
          <w:rFonts w:hint="eastAsia" w:ascii="宋体" w:hAnsi="宋体" w:cs="宋体"/>
          <w:sz w:val="24"/>
        </w:rPr>
        <w:t xml:space="preserve">委托期限：至本项目结束或新的授权委托书送到之日。代理人无转委托权。</w:t>
      </w:r>
      <w:r/>
    </w:p>
    <w:p>
      <w:pPr>
        <w:ind w:firstLine="480"/>
        <w:spacing w:line="40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hint="eastAsia" w:ascii="宋体" w:hAnsi="宋体" w:cs="宋体"/>
          <w:sz w:val="24"/>
        </w:rPr>
        <w:t xml:space="preserve">附：法定代表人（单位负责人）、被授权人有效期内的身份证正反面电子件。</w:t>
      </w:r>
      <w:r/>
    </w:p>
    <w:tbl>
      <w:tblPr>
        <w:tblStyle w:val="96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8"/>
      </w:tblGrid>
      <w:tr>
        <w:trPr>
          <w:trHeight w:val="1964"/>
        </w:trPr>
        <w:tc>
          <w:tcPr>
            <w:tcW w:w="2500" w:type="dxa"/>
            <w:textDirection w:val="lrTb"/>
            <w:noWrap/>
          </w:tcPr>
          <w:p>
            <w:pPr>
              <w:pStyle w:val="1171"/>
              <w:ind w:right="-46"/>
              <w:spacing w:line="583" w:lineRule="auto"/>
              <w:rPr>
                <w:rFonts w:cs="宋体"/>
                <w:spacing w:val="-3"/>
              </w:rPr>
            </w:pPr>
            <w:r>
              <w:rPr>
                <w:rFonts w:cs="宋体"/>
                <w:spacing w:val="-3"/>
              </w:rPr>
            </w:r>
            <w:r/>
          </w:p>
        </w:tc>
        <w:tc>
          <w:tcPr>
            <w:tcW w:w="2500" w:type="dxa"/>
            <w:textDirection w:val="lrTb"/>
            <w:noWrap/>
          </w:tcPr>
          <w:p>
            <w:pPr>
              <w:pStyle w:val="1171"/>
              <w:ind w:right="-46"/>
              <w:spacing w:line="583" w:lineRule="auto"/>
              <w:rPr>
                <w:rFonts w:cs="宋体"/>
                <w:spacing w:val="-3"/>
              </w:rPr>
            </w:pPr>
            <w:r>
              <w:rPr>
                <w:rFonts w:cs="宋体"/>
                <w:spacing w:val="-3"/>
              </w:rPr>
            </w:r>
            <w:r/>
          </w:p>
        </w:tc>
      </w:tr>
      <w:tr>
        <w:trPr>
          <w:trHeight w:val="2345"/>
        </w:trPr>
        <w:tc>
          <w:tcPr>
            <w:tcW w:w="2500" w:type="dxa"/>
            <w:textDirection w:val="lrTb"/>
            <w:noWrap/>
          </w:tcPr>
          <w:p>
            <w:pPr>
              <w:pStyle w:val="1171"/>
              <w:ind w:right="-46"/>
              <w:spacing w:line="583" w:lineRule="auto"/>
              <w:rPr>
                <w:rFonts w:cs="宋体"/>
                <w:spacing w:val="-3"/>
              </w:rPr>
            </w:pPr>
            <w:r>
              <w:rPr>
                <w:rFonts w:cs="宋体"/>
                <w:spacing w:val="-3"/>
              </w:rPr>
            </w:r>
            <w:r/>
          </w:p>
        </w:tc>
        <w:tc>
          <w:tcPr>
            <w:tcW w:w="2500" w:type="dxa"/>
            <w:textDirection w:val="lrTb"/>
            <w:noWrap/>
          </w:tcPr>
          <w:p>
            <w:pPr>
              <w:pStyle w:val="1171"/>
              <w:ind w:right="-46"/>
              <w:spacing w:line="583" w:lineRule="auto"/>
              <w:rPr>
                <w:rFonts w:cs="宋体"/>
                <w:spacing w:val="-3"/>
              </w:rPr>
            </w:pPr>
            <w:r>
              <w:rPr>
                <w:rFonts w:cs="宋体"/>
                <w:spacing w:val="-3"/>
              </w:rPr>
            </w:r>
            <w:r/>
          </w:p>
        </w:tc>
      </w:tr>
    </w:tbl>
    <w:p>
      <w:pPr>
        <w:jc w:val="center"/>
        <w:spacing w:line="560" w:lineRule="exact"/>
        <w:rPr>
          <w:rFonts w:ascii="宋体" w:hAnsi="宋体"/>
          <w:sz w:val="24"/>
        </w:rPr>
      </w:pPr>
      <w:r>
        <w:rPr>
          <w:rFonts w:hint="eastAsia" w:ascii="宋体" w:hAnsi="宋体"/>
          <w:sz w:val="24"/>
        </w:rPr>
        <w:t xml:space="preserve">投标人：（加盖公章）</w:t>
      </w:r>
      <w:r/>
    </w:p>
    <w:p>
      <w:pPr>
        <w:jc w:val="cente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jc w:val="center"/>
        <w:spacing w:line="560" w:lineRule="exact"/>
        <w:widowControl/>
        <w:rPr>
          <w:rFonts w:ascii="宋体" w:hAnsi="宋体"/>
          <w:sz w:val="24"/>
        </w:rPr>
      </w:pPr>
      <w:r>
        <w:rPr>
          <w:rFonts w:hint="eastAsia" w:ascii="宋体" w:hAnsi="宋体"/>
          <w:sz w:val="24"/>
        </w:rPr>
        <w:t xml:space="preserve">             日期：    年    月    日</w:t>
      </w:r>
      <w:r/>
    </w:p>
    <w:p>
      <w:pPr>
        <w:jc w:val="left"/>
        <w:spacing w:line="560" w:lineRule="exact"/>
        <w:widowControl/>
        <w:rPr>
          <w:rFonts w:ascii="宋体" w:hAnsi="宋体"/>
          <w:sz w:val="24"/>
        </w:rPr>
      </w:pPr>
      <w:r>
        <w:rPr>
          <w:rFonts w:ascii="宋体" w:hAnsi="宋体"/>
          <w:sz w:val="24"/>
        </w:rPr>
      </w:r>
      <w:r/>
    </w:p>
    <w:p>
      <w:pPr>
        <w:jc w:val="left"/>
        <w:widowControl/>
        <w:rPr>
          <w:rFonts w:ascii="宋体" w:hAnsi="宋体"/>
          <w:sz w:val="24"/>
        </w:rPr>
      </w:pPr>
      <w:r>
        <w:rPr>
          <w:rFonts w:ascii="宋体" w:hAnsi="宋体"/>
          <w:sz w:val="24"/>
        </w:rPr>
      </w:r>
      <w:r/>
    </w:p>
    <w:p>
      <w:pPr>
        <w:jc w:val="left"/>
        <w:widowControl/>
        <w:rPr>
          <w:rFonts w:ascii="宋体" w:hAnsi="宋体"/>
          <w:sz w:val="24"/>
        </w:rPr>
      </w:pPr>
      <w:r>
        <w:rPr>
          <w:rFonts w:ascii="宋体" w:hAnsi="宋体"/>
          <w:sz w:val="24"/>
        </w:rPr>
      </w:r>
      <w:r/>
    </w:p>
    <w:p>
      <w:pPr>
        <w:jc w:val="left"/>
        <w:widowControl/>
        <w:rPr>
          <w:rFonts w:ascii="宋体" w:hAnsi="宋体"/>
          <w:sz w:val="24"/>
        </w:rPr>
      </w:pPr>
      <w:r>
        <w:rPr>
          <w:rFonts w:ascii="宋体" w:hAnsi="宋体"/>
          <w:sz w:val="24"/>
        </w:rPr>
      </w:r>
      <w:r/>
    </w:p>
    <w:p>
      <w:pPr>
        <w:jc w:val="left"/>
        <w:widowControl/>
        <w:rPr>
          <w:color w:val="000000"/>
          <w:sz w:val="24"/>
        </w:rPr>
      </w:pPr>
      <w:r>
        <w:rPr>
          <w:rFonts w:hint="eastAsia"/>
          <w:color w:val="000000"/>
          <w:sz w:val="24"/>
        </w:rPr>
        <w:t xml:space="preserve">3  政府采购供应商信用承诺书</w:t>
      </w:r>
      <w:r>
        <w:rPr>
          <w:color w:val="000000"/>
          <w:sz w:val="24"/>
          <w:szCs w:val="20"/>
        </w:rPr>
        <w:t xml:space="preserve">（实质性格式）</w:t>
      </w:r>
      <w:r/>
    </w:p>
    <w:p>
      <w:pPr>
        <w:ind w:firstLine="321"/>
        <w:jc w:val="center"/>
        <w:spacing w:line="560" w:lineRule="exact"/>
        <w:rPr>
          <w:rFonts w:ascii="黑体" w:hAnsi="黑体" w:eastAsia="黑体"/>
          <w:b/>
          <w:sz w:val="32"/>
          <w:szCs w:val="32"/>
        </w:rPr>
      </w:pPr>
      <w:r>
        <w:rPr>
          <w:rFonts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390"/>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829" w:name="_Hlt520274393"/>
      <w:r/>
      <w:bookmarkEnd w:id="829"/>
      <w:r/>
      <w:bookmarkStart w:id="830" w:name="_Hlt520343000"/>
      <w:r/>
      <w:bookmarkEnd w:id="830"/>
      <w:r/>
      <w:bookmarkStart w:id="831" w:name="_Hlt520274407"/>
      <w:r/>
      <w:bookmarkEnd w:id="831"/>
      <w:r/>
      <w:bookmarkStart w:id="832" w:name="_Hlt520274065"/>
      <w:r/>
      <w:bookmarkEnd w:id="832"/>
      <w:r/>
      <w:bookmarkStart w:id="833" w:name="_Hlt520355504"/>
      <w:r/>
      <w:bookmarkEnd w:id="833"/>
      <w:r/>
      <w:bookmarkStart w:id="834" w:name="_Hlt520350918"/>
      <w:r/>
      <w:bookmarkEnd w:id="834"/>
      <w:r/>
      <w:bookmarkStart w:id="835" w:name="_Hlt520271212"/>
      <w:r/>
      <w:bookmarkEnd w:id="835"/>
      <w:r/>
      <w:bookmarkStart w:id="836" w:name="_Hlt520273711"/>
      <w:r/>
      <w:bookmarkEnd w:id="836"/>
      <w:r/>
      <w:bookmarkStart w:id="837" w:name="_Hlt520274121"/>
      <w:r/>
      <w:bookmarkEnd w:id="837"/>
      <w:r/>
      <w:bookmarkStart w:id="838" w:name="_Hlt520343392"/>
      <w:r/>
      <w:bookmarkEnd w:id="838"/>
      <w:r/>
      <w:bookmarkStart w:id="839" w:name="_Toc150774762"/>
      <w:r/>
      <w:bookmarkStart w:id="840" w:name="_Toc226337253"/>
      <w:r/>
      <w:bookmarkStart w:id="841" w:name="_Toc305158899"/>
      <w:r/>
      <w:bookmarkStart w:id="842" w:name="_Toc226965830"/>
      <w:r/>
      <w:bookmarkStart w:id="843" w:name="_Toc264969247"/>
      <w:r/>
      <w:bookmarkStart w:id="844" w:name="_Ref467988705"/>
      <w:r/>
      <w:bookmarkStart w:id="845" w:name="_Toc305158825"/>
      <w:r/>
      <w:bookmarkStart w:id="846" w:name="_Toc142311059"/>
      <w:r/>
      <w:bookmarkStart w:id="847" w:name="_Toc480942350"/>
      <w:r/>
      <w:bookmarkStart w:id="848" w:name="_Toc150480795"/>
      <w:r/>
      <w:bookmarkStart w:id="849" w:name="_Toc195842922"/>
      <w:r/>
      <w:bookmarkStart w:id="850" w:name="_Toc127151557"/>
      <w:r/>
      <w:bookmarkStart w:id="851" w:name="_Toc226965747"/>
      <w:r/>
      <w:bookmarkStart w:id="852" w:name="_Toc265228395"/>
      <w:r/>
      <w:bookmarkStart w:id="853" w:name="_Toc520356218"/>
      <w:r/>
      <w:bookmarkStart w:id="854" w:name="_Toc226309801"/>
      <w:r>
        <w:rPr>
          <w:color w:val="000000"/>
          <w:sz w:val="24"/>
          <w:szCs w:val="20"/>
        </w:rPr>
        <w:br w:type="page" w:clear="all"/>
      </w:r>
      <w:r>
        <w:rPr>
          <w:rFonts w:hint="eastAsia"/>
          <w:color w:val="000000"/>
          <w:sz w:val="24"/>
          <w:szCs w:val="20"/>
        </w:rPr>
        <w:t xml:space="preserve">4</w:t>
      </w:r>
      <w:r>
        <w:rPr>
          <w:color w:val="000000"/>
          <w:sz w:val="24"/>
          <w:szCs w:val="20"/>
        </w:rPr>
        <w:t xml:space="preserve">  开标一览表</w:t>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Pr>
          <w:color w:val="000000"/>
          <w:sz w:val="24"/>
          <w:szCs w:val="20"/>
        </w:rPr>
        <w:t xml:space="preserve">（实质性格式）</w:t>
      </w:r>
      <w:r/>
    </w:p>
    <w:p>
      <w:pPr>
        <w:jc w:val="center"/>
        <w:spacing w:line="360" w:lineRule="exact"/>
        <w:rPr>
          <w:b/>
          <w:color w:val="000000"/>
          <w:sz w:val="36"/>
          <w:szCs w:val="36"/>
        </w:rPr>
      </w:pPr>
      <w:r/>
      <w:bookmarkStart w:id="855" w:name="_Toc226965831"/>
      <w:r/>
      <w:bookmarkStart w:id="856" w:name="_Toc164608827"/>
      <w:r/>
      <w:bookmarkStart w:id="857" w:name="_Toc226337254"/>
      <w:r/>
      <w:bookmarkStart w:id="858" w:name="_Toc305158826"/>
      <w:r/>
      <w:bookmarkStart w:id="859" w:name="_Toc226309802"/>
      <w:r/>
      <w:bookmarkStart w:id="860" w:name="_Toc164608672"/>
      <w:r/>
      <w:bookmarkStart w:id="861" w:name="_Toc226965748"/>
      <w:r/>
      <w:bookmarkStart w:id="862" w:name="_Toc305158900"/>
      <w:r/>
      <w:bookmarkStart w:id="863" w:name="_Toc195842923"/>
      <w:r/>
      <w:bookmarkStart w:id="864" w:name="_Toc265228396"/>
      <w:r/>
      <w:bookmarkStart w:id="865" w:name="_Toc264969248"/>
      <w:r/>
      <w:r/>
    </w:p>
    <w:p>
      <w:pPr>
        <w:jc w:val="center"/>
        <w:spacing w:line="360" w:lineRule="exact"/>
        <w:rPr>
          <w:b/>
          <w:color w:val="000000"/>
          <w:sz w:val="36"/>
          <w:szCs w:val="36"/>
        </w:rPr>
      </w:pPr>
      <w:r>
        <w:rPr>
          <w:rFonts w:hint="eastAsia"/>
          <w:b/>
          <w:color w:val="000000"/>
          <w:sz w:val="36"/>
          <w:szCs w:val="36"/>
        </w:rPr>
        <w:t xml:space="preserve">开标一览表</w:t>
      </w:r>
      <w:bookmarkEnd w:id="855"/>
      <w:r/>
      <w:bookmarkEnd w:id="856"/>
      <w:r/>
      <w:bookmarkEnd w:id="857"/>
      <w:r/>
      <w:bookmarkEnd w:id="858"/>
      <w:r/>
      <w:bookmarkEnd w:id="859"/>
      <w:r/>
      <w:bookmarkEnd w:id="860"/>
      <w:r/>
      <w:bookmarkEnd w:id="861"/>
      <w:r/>
      <w:bookmarkEnd w:id="862"/>
      <w:r/>
      <w:bookmarkEnd w:id="863"/>
      <w:r/>
      <w:bookmarkEnd w:id="864"/>
      <w:r/>
      <w:bookmarkEnd w:id="865"/>
      <w:r/>
      <w:r/>
    </w:p>
    <w:p>
      <w:pPr>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p>
    <w:p>
      <w:pPr>
        <w:jc w:val="left"/>
        <w:rPr>
          <w:color w:val="000000"/>
          <w:sz w:val="24"/>
        </w:rPr>
      </w:pPr>
      <w:r>
        <w:rPr>
          <w:color w:val="000000"/>
          <w:sz w:val="24"/>
        </w:rPr>
      </w:r>
      <w:r/>
    </w:p>
    <w:tbl>
      <w:tblPr>
        <w:tblStyle w:val="9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6"/>
        <w:gridCol w:w="1960"/>
        <w:gridCol w:w="1239"/>
        <w:gridCol w:w="2919"/>
      </w:tblGrid>
      <w:tr>
        <w:trPr>
          <w:jc w:val="center"/>
          <w:trHeight w:val="531"/>
        </w:trPr>
        <w:tc>
          <w:tcPr>
            <w:tcW w:w="496" w:type="dxa"/>
            <w:vAlign w:val="center"/>
            <w:vMerge w:val="restart"/>
            <w:textDirection w:val="lrTb"/>
            <w:noWrap/>
          </w:tcPr>
          <w:p>
            <w:pPr>
              <w:jc w:val="center"/>
              <w:tabs>
                <w:tab w:val="left" w:pos="5580" w:leader="none"/>
              </w:tabs>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960" w:type="dxa"/>
            <w:vAlign w:val="center"/>
            <w:vMerge w:val="restart"/>
            <w:textDirection w:val="lrTb"/>
            <w:noWrap/>
          </w:tcPr>
          <w:p>
            <w:pPr>
              <w:jc w:val="center"/>
              <w:tabs>
                <w:tab w:val="left" w:pos="5580" w:leader="none"/>
              </w:tabs>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供应商名称</w:t>
            </w:r>
            <w:r/>
          </w:p>
        </w:tc>
        <w:tc>
          <w:tcPr>
            <w:gridSpan w:val="2"/>
            <w:tcW w:w="4158" w:type="dxa"/>
            <w:vAlign w:val="center"/>
            <w:textDirection w:val="lrTb"/>
            <w:noWrap/>
          </w:tcPr>
          <w:p>
            <w:pPr>
              <w:jc w:val="center"/>
              <w:tabs>
                <w:tab w:val="left" w:pos="5580" w:leader="none"/>
              </w:tabs>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报价（元）</w:t>
            </w:r>
            <w:r/>
          </w:p>
        </w:tc>
      </w:tr>
      <w:tr>
        <w:trPr>
          <w:jc w:val="center"/>
          <w:trHeight w:val="674"/>
        </w:trPr>
        <w:tc>
          <w:tcPr>
            <w:tcW w:w="810" w:type="dxa"/>
            <w:vAlign w:val="center"/>
            <w:vMerge w:val="continue"/>
            <w:textDirection w:val="lrTb"/>
            <w:noWrap/>
          </w:tcPr>
          <w:p>
            <w:pPr>
              <w:jc w:val="left"/>
              <w:widowControl/>
              <w:rPr>
                <w:b/>
                <w:color w:val="000000"/>
                <w:sz w:val="24"/>
              </w:rPr>
            </w:pPr>
            <w:r>
              <w:rPr>
                <w:b/>
                <w:color w:val="000000"/>
                <w:sz w:val="24"/>
              </w:rPr>
            </w:r>
            <w:r/>
          </w:p>
        </w:tc>
        <w:tc>
          <w:tcPr>
            <w:tcW w:w="3204" w:type="dxa"/>
            <w:vAlign w:val="center"/>
            <w:vMerge w:val="continue"/>
            <w:textDirection w:val="lrTb"/>
            <w:noWrap/>
          </w:tcPr>
          <w:p>
            <w:pPr>
              <w:jc w:val="left"/>
              <w:widowControl/>
              <w:rPr>
                <w:b/>
                <w:color w:val="000000"/>
                <w:sz w:val="24"/>
              </w:rPr>
            </w:pPr>
            <w:r>
              <w:rPr>
                <w:b/>
                <w:color w:val="000000"/>
                <w:sz w:val="24"/>
              </w:rPr>
            </w:r>
            <w:r/>
          </w:p>
        </w:tc>
        <w:tc>
          <w:tcPr>
            <w:tcW w:w="1239" w:type="dxa"/>
            <w:vAlign w:val="center"/>
            <w:textDirection w:val="lrTb"/>
            <w:noWrap/>
          </w:tcPr>
          <w:p>
            <w:pPr>
              <w:jc w:val="center"/>
              <w:tabs>
                <w:tab w:val="left" w:pos="5580" w:leader="none"/>
              </w:tabs>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大写</w:t>
            </w:r>
            <w:r/>
          </w:p>
        </w:tc>
        <w:tc>
          <w:tcPr>
            <w:tcW w:w="1304" w:type="dxa"/>
            <w:vAlign w:val="center"/>
            <w:textDirection w:val="lrTb"/>
            <w:noWrap/>
          </w:tcPr>
          <w:p>
            <w:pPr>
              <w:jc w:val="center"/>
              <w:tabs>
                <w:tab w:val="left" w:pos="5580" w:leader="none"/>
              </w:tabs>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小写</w:t>
            </w:r>
            <w:r/>
          </w:p>
        </w:tc>
      </w:tr>
      <w:tr>
        <w:trPr>
          <w:jc w:val="center"/>
          <w:trHeight w:val="976"/>
        </w:trPr>
        <w:tc>
          <w:tcPr>
            <w:tcW w:w="496" w:type="dxa"/>
            <w:vAlign w:val="center"/>
            <w:textDirection w:val="lrTb"/>
            <w:noWrap/>
          </w:tcPr>
          <w:p>
            <w:pPr>
              <w:jc w:val="center"/>
              <w:tabs>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960" w:type="dxa"/>
            <w:vAlign w:val="center"/>
            <w:textDirection w:val="lrTb"/>
            <w:noWrap/>
          </w:tcPr>
          <w:p>
            <w:pPr>
              <w:jc w:val="center"/>
              <w:tabs>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239" w:type="dxa"/>
            <w:vAlign w:val="center"/>
            <w:textDirection w:val="lrTb"/>
            <w:noWrap/>
          </w:tcPr>
          <w:p>
            <w:pPr>
              <w:jc w:val="center"/>
              <w:tabs>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304" w:type="dxa"/>
            <w:vAlign w:val="center"/>
            <w:textDirection w:val="lrTb"/>
            <w:noWrap/>
          </w:tcPr>
          <w:p>
            <w:pPr>
              <w:jc w:val="center"/>
              <w:tabs>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bl>
    <w:p>
      <w:pPr>
        <w:jc w:val="left"/>
        <w:rPr>
          <w:color w:val="000000"/>
          <w:sz w:val="24"/>
        </w:rPr>
      </w:pPr>
      <w:r>
        <w:rPr>
          <w:color w:val="000000"/>
          <w:sz w:val="24"/>
        </w:rPr>
      </w:r>
      <w:r/>
    </w:p>
    <w:p>
      <w:pPr>
        <w:spacing w:before="25" w:after="25" w:line="360" w:lineRule="auto"/>
        <w:rPr>
          <w:color w:val="000000"/>
          <w:sz w:val="24"/>
          <w:lang w:val="zh-CN"/>
        </w:rPr>
      </w:pPr>
      <w:r>
        <w:rPr>
          <w:rFonts w:hint="eastAsia"/>
          <w:color w:val="000000"/>
          <w:sz w:val="24"/>
          <w:lang w:val="zh-CN"/>
        </w:rPr>
        <w:t xml:space="preserve">注：1.</w:t>
      </w:r>
      <w:r>
        <w:rPr>
          <w:rFonts w:hint="eastAsia"/>
          <w:color w:val="000000"/>
          <w:sz w:val="24"/>
        </w:rPr>
        <w:t xml:space="preserve">投标单位</w:t>
      </w:r>
      <w:r>
        <w:rPr>
          <w:rFonts w:hint="eastAsia"/>
          <w:color w:val="000000"/>
          <w:sz w:val="24"/>
          <w:lang w:val="zh-CN"/>
        </w:rPr>
        <w:t xml:space="preserve">在提交投标文件时，应按照投标工具（苏采云客户端）的提示流程编制提交开标一览表，开标一览表格式以投标工具中的为准。</w:t>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center"/>
        <w:rPr>
          <w:color w:val="000000"/>
          <w:sz w:val="24"/>
          <w:szCs w:val="20"/>
        </w:rPr>
      </w:pPr>
      <w:r/>
      <w:bookmarkStart w:id="866" w:name="_Toc226965832"/>
      <w:r/>
      <w:bookmarkStart w:id="867" w:name="_Toc150480796"/>
      <w:r/>
      <w:bookmarkStart w:id="868" w:name="_Toc127151558"/>
      <w:r/>
      <w:bookmarkStart w:id="869" w:name="_Toc305158901"/>
      <w:r/>
      <w:bookmarkStart w:id="870" w:name="_Toc142311060"/>
      <w:r/>
      <w:bookmarkStart w:id="871" w:name="_Toc226309803"/>
      <w:r/>
      <w:bookmarkStart w:id="872" w:name="_Toc305158827"/>
      <w:r/>
      <w:bookmarkStart w:id="873" w:name="_Toc264969249"/>
      <w:r/>
      <w:bookmarkStart w:id="874" w:name="_Toc226965749"/>
      <w:r/>
      <w:bookmarkStart w:id="875" w:name="_Toc265228397"/>
      <w:r/>
      <w:bookmarkStart w:id="876" w:name="_Toc195842924"/>
      <w:r/>
      <w:bookmarkStart w:id="877" w:name="_Toc226337255"/>
      <w:r/>
      <w:bookmarkStart w:id="878" w:name="_Toc150774763"/>
      <w:r/>
      <w:r/>
    </w:p>
    <w:p>
      <w:pPr>
        <w:jc w:val="center"/>
        <w:rPr>
          <w:color w:val="000000"/>
          <w:sz w:val="24"/>
          <w:szCs w:val="20"/>
        </w:rPr>
      </w:pPr>
      <w:r>
        <w:rPr>
          <w:color w:val="000000"/>
          <w:sz w:val="24"/>
          <w:szCs w:val="20"/>
        </w:rPr>
        <w:br w:type="page" w:clear="all"/>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r/>
    </w:p>
    <w:p>
      <w:pPr>
        <w:jc w:val="left"/>
        <w:rPr>
          <w:color w:val="000000"/>
          <w:sz w:val="24"/>
          <w:szCs w:val="20"/>
        </w:rPr>
      </w:pPr>
      <w:r>
        <w:rPr>
          <w:rFonts w:hint="eastAsia"/>
          <w:color w:val="000000"/>
          <w:sz w:val="24"/>
          <w:szCs w:val="20"/>
        </w:rPr>
        <w:t xml:space="preserve">5 分项报价表</w:t>
      </w:r>
      <w:r/>
    </w:p>
    <w:p>
      <w:pPr>
        <w:jc w:val="center"/>
        <w:rPr>
          <w:b/>
          <w:color w:val="000000"/>
          <w:sz w:val="36"/>
          <w:szCs w:val="36"/>
          <w:highlight w:val="yellow"/>
        </w:rPr>
      </w:pPr>
      <w:r>
        <w:rPr>
          <w:rFonts w:hint="eastAsia"/>
          <w:b/>
          <w:color w:val="000000"/>
          <w:sz w:val="36"/>
          <w:szCs w:val="36"/>
          <w:highlight w:val="yellow"/>
        </w:rPr>
        <w:t xml:space="preserve">分项报价表</w:t>
      </w:r>
      <w:r/>
    </w:p>
    <w:p>
      <w:pPr>
        <w:tabs>
          <w:tab w:val="left" w:pos="1800" w:leader="none"/>
          <w:tab w:val="left" w:pos="5580" w:leader="none"/>
        </w:tabs>
        <w:rPr>
          <w:color w:val="000000"/>
          <w:sz w:val="24"/>
        </w:rPr>
      </w:pPr>
      <w:r/>
      <w:bookmarkStart w:id="879" w:name="_Toc226337258"/>
      <w:r/>
      <w:bookmarkStart w:id="880" w:name="_Toc305158904"/>
      <w:r/>
      <w:bookmarkStart w:id="881" w:name="_Toc226965752"/>
      <w:r/>
      <w:bookmarkStart w:id="882" w:name="_Toc265228400"/>
      <w:r/>
      <w:bookmarkStart w:id="883" w:name="_Toc226965835"/>
      <w:r/>
      <w:bookmarkStart w:id="884" w:name="_Toc127151562"/>
      <w:r/>
      <w:bookmarkStart w:id="885" w:name="_Toc150480798"/>
      <w:r/>
      <w:bookmarkStart w:id="886" w:name="_Toc226309806"/>
      <w:r/>
      <w:bookmarkStart w:id="887" w:name="_Toc195842927"/>
      <w:r/>
      <w:bookmarkStart w:id="888" w:name="_Toc305158830"/>
      <w:r/>
      <w:bookmarkStart w:id="889" w:name="_Toc264969252"/>
      <w:r/>
      <w:bookmarkStart w:id="890" w:name="_Toc150774765"/>
      <w:r/>
      <w:bookmarkStart w:id="891" w:name="_Toc142311062"/>
      <w:r/>
      <w:bookmarkStart w:id="892" w:name="_Toc195842926"/>
      <w:r/>
      <w:bookmarkStart w:id="893" w:name="_Toc127151561"/>
      <w:r/>
      <w:bookmarkStart w:id="894" w:name="_Toc150480797"/>
      <w:r/>
      <w:bookmarkStart w:id="895" w:name="_Toc226337257"/>
      <w:r/>
      <w:bookmarkStart w:id="896" w:name="_Toc226309805"/>
      <w:r/>
      <w:bookmarkStart w:id="897" w:name="_Toc226965834"/>
      <w:r/>
      <w:bookmarkStart w:id="898" w:name="_Toc264969251"/>
      <w:r/>
      <w:bookmarkStart w:id="899" w:name="_Toc226965751"/>
      <w:r/>
      <w:bookmarkStart w:id="900" w:name="_Toc265228399"/>
      <w:r/>
      <w:bookmarkStart w:id="901" w:name="_Toc142311061"/>
      <w:r/>
      <w:bookmarkStart w:id="902" w:name="_Toc150774764"/>
      <w:r/>
      <w:bookmarkStart w:id="903" w:name="_Toc305158903"/>
      <w:r/>
      <w:bookmarkStart w:id="904" w:name="_Toc305158829"/>
      <w:r/>
      <w:r/>
    </w:p>
    <w:p>
      <w:pPr>
        <w:tabs>
          <w:tab w:val="left" w:pos="1800" w:leader="none"/>
          <w:tab w:val="left" w:pos="5580" w:leader="none"/>
        </w:tabs>
        <w:rPr>
          <w:color w:val="000000"/>
          <w:sz w:val="24"/>
        </w:rPr>
      </w:pPr>
      <w:r>
        <w:rPr>
          <w:color w:val="000000"/>
          <w:sz w:val="24"/>
        </w:rPr>
        <w:t xml:space="preserve">项目编号/包号：___________ 项目名称：__________报价单位：人民币元</w:t>
      </w:r>
      <w:r/>
    </w:p>
    <w:tbl>
      <w:tblPr>
        <w:tblStyle w:val="965"/>
        <w:tblpPr w:horzAnchor="page" w:tblpXSpec="center" w:vertAnchor="text" w:tblpY="399" w:leftFromText="180" w:topFromText="0" w:rightFromText="180" w:bottomFromText="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4"/>
        <w:gridCol w:w="1768"/>
        <w:gridCol w:w="4404"/>
        <w:gridCol w:w="1305"/>
        <w:gridCol w:w="800"/>
        <w:gridCol w:w="527"/>
        <w:gridCol w:w="527"/>
      </w:tblGrid>
      <w:tr>
        <w:trPr>
          <w:jc w:val="center"/>
          <w:trHeight w:val="664"/>
        </w:trPr>
        <w:tc>
          <w:tcPr>
            <w:tcW w:w="266" w:type="pct"/>
            <w:vAlign w:val="center"/>
            <w:textDirection w:val="lrTb"/>
            <w:noWrap/>
          </w:tcPr>
          <w:p>
            <w:pPr>
              <w:jc w:val="center"/>
              <w:spacing w:beforeAutospacing="1" w:afterAutospacing="1"/>
              <w:widowControl/>
              <w:rPr>
                <w:rFonts w:ascii="宋体" w:hAnsi="宋体" w:cs="宋体"/>
                <w:szCs w:val="21"/>
              </w:rPr>
            </w:pPr>
            <w:r>
              <w:rPr>
                <w:rFonts w:hint="eastAsia" w:ascii="宋体" w:hAnsi="宋体" w:cs="宋体"/>
                <w:szCs w:val="21"/>
              </w:rPr>
              <w:t xml:space="preserve">序号</w:t>
            </w:r>
            <w:r/>
          </w:p>
        </w:tc>
        <w:tc>
          <w:tcPr>
            <w:tcW w:w="897" w:type="pct"/>
            <w:vAlign w:val="center"/>
            <w:textDirection w:val="lrTb"/>
            <w:noWrap/>
          </w:tcPr>
          <w:p>
            <w:pPr>
              <w:jc w:val="center"/>
              <w:spacing w:beforeAutospacing="1" w:afterAutospacing="1"/>
              <w:widowControl/>
              <w:rPr>
                <w:rFonts w:ascii="宋体" w:hAnsi="宋体" w:cs="宋体"/>
                <w:szCs w:val="21"/>
              </w:rPr>
            </w:pPr>
            <w:r>
              <w:rPr>
                <w:rFonts w:hint="eastAsia" w:ascii="宋体" w:hAnsi="宋体" w:cs="宋体"/>
                <w:szCs w:val="21"/>
              </w:rPr>
              <w:t xml:space="preserve">项目内容</w:t>
            </w:r>
            <w:r/>
          </w:p>
        </w:tc>
        <w:tc>
          <w:tcPr>
            <w:tcW w:w="2234" w:type="pct"/>
            <w:vAlign w:val="center"/>
            <w:textDirection w:val="lrTb"/>
            <w:noWrap/>
          </w:tcPr>
          <w:p>
            <w:pPr>
              <w:jc w:val="center"/>
              <w:spacing w:beforeAutospacing="1" w:afterAutospacing="1"/>
              <w:widowControl/>
              <w:rPr>
                <w:rFonts w:ascii="宋体" w:hAnsi="宋体" w:cs="宋体"/>
                <w:szCs w:val="21"/>
              </w:rPr>
            </w:pPr>
            <w:r>
              <w:rPr>
                <w:rFonts w:hint="eastAsia" w:ascii="宋体" w:hAnsi="宋体" w:cs="宋体"/>
                <w:szCs w:val="21"/>
              </w:rPr>
              <w:t xml:space="preserve">保障对象</w:t>
            </w:r>
            <w:r/>
          </w:p>
        </w:tc>
        <w:tc>
          <w:tcPr>
            <w:tcW w:w="662" w:type="pct"/>
            <w:vAlign w:val="center"/>
            <w:textDirection w:val="lrTb"/>
            <w:noWrap/>
          </w:tcPr>
          <w:p>
            <w:pPr>
              <w:jc w:val="center"/>
              <w:spacing w:beforeAutospacing="1" w:afterAutospacing="1"/>
              <w:widowControl/>
              <w:rPr>
                <w:rFonts w:ascii="宋体" w:hAnsi="宋体" w:cs="宋体"/>
                <w:szCs w:val="21"/>
              </w:rPr>
            </w:pPr>
            <w:r>
              <w:rPr>
                <w:rFonts w:hint="eastAsia" w:ascii="宋体" w:hAnsi="宋体" w:cs="宋体"/>
                <w:szCs w:val="21"/>
              </w:rPr>
              <w:t xml:space="preserve">数量/单位</w:t>
            </w:r>
            <w:r/>
          </w:p>
        </w:tc>
        <w:tc>
          <w:tcPr>
            <w:tcW w:w="403" w:type="pct"/>
            <w:vAlign w:val="center"/>
            <w:textDirection w:val="lrTb"/>
            <w:noWrap/>
          </w:tcPr>
          <w:p>
            <w:pPr>
              <w:jc w:val="center"/>
              <w:spacing w:beforeAutospacing="1" w:afterAutospacing="1"/>
              <w:widowControl/>
              <w:rPr>
                <w:rFonts w:ascii="宋体" w:hAnsi="宋体" w:cs="宋体"/>
                <w:szCs w:val="21"/>
              </w:rPr>
            </w:pPr>
            <w:r>
              <w:rPr>
                <w:rFonts w:hint="eastAsia" w:ascii="宋体" w:hAnsi="宋体" w:cs="宋体"/>
                <w:szCs w:val="21"/>
              </w:rPr>
              <w:t xml:space="preserve">单价</w:t>
            </w:r>
            <w:r/>
          </w:p>
        </w:tc>
        <w:tc>
          <w:tcPr>
            <w:tcW w:w="267" w:type="pct"/>
            <w:vAlign w:val="center"/>
            <w:textDirection w:val="lrTb"/>
            <w:noWrap/>
          </w:tcPr>
          <w:p>
            <w:pPr>
              <w:jc w:val="center"/>
              <w:spacing w:beforeAutospacing="1" w:afterAutospacing="1"/>
              <w:widowControl/>
              <w:rPr>
                <w:rFonts w:ascii="宋体" w:hAnsi="宋体" w:cs="宋体"/>
                <w:szCs w:val="21"/>
              </w:rPr>
            </w:pPr>
            <w:r>
              <w:rPr>
                <w:rFonts w:hint="eastAsia" w:ascii="宋体" w:hAnsi="宋体" w:cs="宋体"/>
                <w:szCs w:val="21"/>
              </w:rPr>
              <w:t xml:space="preserve">合价</w:t>
            </w:r>
            <w:r/>
          </w:p>
        </w:tc>
        <w:tc>
          <w:tcPr>
            <w:tcW w:w="267" w:type="pct"/>
            <w:vAlign w:val="center"/>
            <w:textDirection w:val="lrTb"/>
            <w:noWrap/>
          </w:tcPr>
          <w:p>
            <w:pPr>
              <w:jc w:val="center"/>
              <w:spacing w:beforeAutospacing="1" w:afterAutospacing="1"/>
              <w:widowControl/>
              <w:rPr>
                <w:rFonts w:ascii="宋体" w:hAnsi="宋体" w:cs="宋体"/>
                <w:szCs w:val="21"/>
              </w:rPr>
            </w:pPr>
            <w:r>
              <w:rPr>
                <w:rFonts w:hint="eastAsia" w:ascii="宋体" w:hAnsi="宋体" w:cs="宋体"/>
                <w:szCs w:val="21"/>
              </w:rPr>
              <w:t xml:space="preserve">备注</w:t>
            </w:r>
            <w:r/>
          </w:p>
        </w:tc>
      </w:tr>
      <w:tr>
        <w:trPr>
          <w:jc w:val="center"/>
          <w:trHeight w:val="1424"/>
        </w:trPr>
        <w:tc>
          <w:tcPr>
            <w:tcW w:w="266" w:type="pct"/>
            <w:vAlign w:val="center"/>
            <w:textDirection w:val="lrTb"/>
            <w:noWrap/>
          </w:tcPr>
          <w:p>
            <w:pPr>
              <w:jc w:val="center"/>
              <w:spacing w:beforeAutospacing="1" w:afterAutospacing="1"/>
              <w:widowControl/>
              <w:rPr>
                <w:rFonts w:ascii="宋体" w:hAnsi="宋体" w:cs="宋体"/>
                <w:szCs w:val="21"/>
              </w:rPr>
            </w:pPr>
            <w:r>
              <w:rPr>
                <w:rFonts w:hint="eastAsia" w:ascii="宋体" w:hAnsi="宋体" w:cs="宋体"/>
                <w:szCs w:val="21"/>
              </w:rPr>
              <w:t xml:space="preserve">1</w:t>
            </w:r>
            <w:r/>
          </w:p>
        </w:tc>
        <w:tc>
          <w:tcPr>
            <w:tcW w:w="897" w:type="pct"/>
            <w:vAlign w:val="center"/>
            <w:textDirection w:val="lrTb"/>
            <w:noWrap/>
          </w:tcPr>
          <w:p>
            <w:pPr>
              <w:jc w:val="center"/>
              <w:spacing w:beforeAutospacing="1" w:afterAutospacing="1"/>
              <w:widowControl/>
              <w:rPr>
                <w:rFonts w:ascii="宋体" w:hAnsi="宋体" w:cs="宋体"/>
                <w:szCs w:val="21"/>
              </w:rPr>
            </w:pPr>
            <w:r>
              <w:rPr>
                <w:rFonts w:hint="eastAsia" w:ascii="宋体" w:hAnsi="宋体" w:cs="宋体"/>
                <w:szCs w:val="21"/>
              </w:rPr>
              <w:t xml:space="preserve">自然灾害家庭房屋保险</w:t>
            </w:r>
            <w:r/>
          </w:p>
        </w:tc>
        <w:tc>
          <w:tcPr>
            <w:tcW w:w="2234" w:type="pct"/>
            <w:vAlign w:val="center"/>
            <w:textDirection w:val="lrTb"/>
            <w:noWrap/>
          </w:tcPr>
          <w:p>
            <w:pPr>
              <w:jc w:val="left"/>
              <w:spacing w:beforeAutospacing="1" w:afterAutospacing="1"/>
              <w:widowControl/>
              <w:rPr>
                <w:rFonts w:ascii="宋体" w:hAnsi="宋体" w:cs="宋体"/>
                <w:szCs w:val="21"/>
              </w:rPr>
            </w:pPr>
            <w:r>
              <w:rPr>
                <w:rFonts w:hint="eastAsia" w:ascii="宋体" w:hAnsi="宋体" w:cs="宋体"/>
                <w:szCs w:val="21"/>
              </w:rPr>
              <w:t xml:space="preserve">坐落在常州市金坛区行政区域内的城乡住房。(含商住房以及集体产权、有房屋购买合同或农村宅基地建造许可证的房屋)。</w:t>
            </w:r>
            <w:r/>
          </w:p>
        </w:tc>
        <w:tc>
          <w:tcPr>
            <w:tcW w:w="662" w:type="pct"/>
            <w:vAlign w:val="center"/>
            <w:textDirection w:val="lrTb"/>
            <w:noWrap/>
          </w:tcPr>
          <w:p>
            <w:pPr>
              <w:jc w:val="center"/>
              <w:spacing w:beforeAutospacing="1" w:afterAutospacing="1"/>
              <w:widowControl/>
              <w:rPr>
                <w:rFonts w:ascii="宋体" w:hAnsi="宋体" w:cs="宋体"/>
                <w:szCs w:val="21"/>
                <w:highlight w:val="yellow"/>
              </w:rPr>
            </w:pPr>
            <w:r>
              <w:rPr>
                <w:rFonts w:hint="eastAsia" w:ascii="宋体" w:hAnsi="宋体" w:cs="宋体"/>
                <w:szCs w:val="21"/>
              </w:rPr>
              <w:t xml:space="preserve">户籍户数：</w:t>
            </w:r>
            <w:r>
              <w:rPr>
                <w:rFonts w:hint="eastAsia" w:ascii="宋体" w:hAnsi="宋体" w:cs="宋体"/>
                <w:szCs w:val="21"/>
                <w:highlight w:val="yellow"/>
              </w:rPr>
              <w:t xml:space="preserve">19.86万</w:t>
            </w:r>
            <w:r/>
          </w:p>
          <w:p>
            <w:pPr>
              <w:jc w:val="center"/>
              <w:spacing w:beforeAutospacing="1" w:afterAutospacing="1"/>
              <w:widowControl/>
              <w:rPr>
                <w:rFonts w:ascii="宋体" w:hAnsi="宋体" w:cs="宋体"/>
                <w:szCs w:val="21"/>
              </w:rPr>
            </w:pPr>
            <w:r>
              <w:rPr>
                <w:rFonts w:hint="eastAsia" w:ascii="宋体" w:hAnsi="宋体" w:cs="宋体"/>
                <w:szCs w:val="21"/>
                <w:highlight w:val="yellow"/>
              </w:rPr>
              <w:t xml:space="preserve">户</w:t>
            </w:r>
            <w:r/>
          </w:p>
        </w:tc>
        <w:tc>
          <w:tcPr>
            <w:tcW w:w="403" w:type="pct"/>
            <w:vAlign w:val="center"/>
            <w:textDirection w:val="lrTb"/>
            <w:noWrap/>
          </w:tcPr>
          <w:p>
            <w:pPr>
              <w:jc w:val="left"/>
              <w:spacing w:beforeAutospacing="1" w:afterAutospacing="1"/>
              <w:widowControl/>
              <w:rPr>
                <w:rFonts w:ascii="宋体" w:hAnsi="宋体" w:cs="宋体"/>
                <w:szCs w:val="21"/>
                <w:highlight w:val="yellow"/>
              </w:rPr>
            </w:pPr>
            <w:r>
              <w:rPr>
                <w:rFonts w:hint="eastAsia" w:ascii="宋体" w:hAnsi="宋体" w:cs="宋体"/>
                <w:spacing w:val="2"/>
                <w:szCs w:val="21"/>
                <w:u w:val="single"/>
                <w:lang w:val="en-US" w:eastAsia="zh-CN"/>
              </w:rPr>
              <w:t xml:space="preserve">   </w:t>
            </w:r>
            <w:r>
              <w:rPr>
                <w:rFonts w:hint="eastAsia" w:ascii="宋体" w:hAnsi="宋体" w:cs="宋体"/>
                <w:spacing w:val="2"/>
                <w:szCs w:val="21"/>
              </w:rPr>
              <w:t xml:space="preserve">元</w:t>
            </w:r>
            <w:r/>
          </w:p>
        </w:tc>
        <w:tc>
          <w:tcPr>
            <w:tcW w:w="267" w:type="pct"/>
            <w:vAlign w:val="center"/>
            <w:textDirection w:val="lrTb"/>
            <w:noWrap/>
          </w:tcPr>
          <w:p>
            <w:pPr>
              <w:jc w:val="center"/>
              <w:spacing w:beforeAutospacing="1" w:afterAutospacing="1"/>
              <w:widowControl/>
              <w:rPr>
                <w:rFonts w:ascii="宋体" w:hAnsi="宋体" w:cs="宋体"/>
                <w:szCs w:val="21"/>
                <w:highlight w:val="yellow"/>
              </w:rPr>
            </w:pPr>
            <w:r>
              <w:rPr>
                <w:rFonts w:ascii="宋体" w:hAnsi="宋体" w:cs="宋体"/>
                <w:szCs w:val="21"/>
                <w:highlight w:val="yellow"/>
              </w:rPr>
            </w:r>
            <w:r/>
          </w:p>
        </w:tc>
        <w:tc>
          <w:tcPr>
            <w:tcW w:w="267" w:type="pct"/>
            <w:vAlign w:val="center"/>
            <w:textDirection w:val="lrTb"/>
            <w:noWrap/>
          </w:tcPr>
          <w:p>
            <w:pPr>
              <w:jc w:val="center"/>
              <w:spacing w:beforeAutospacing="1" w:afterAutospacing="1"/>
              <w:widowControl/>
              <w:rPr>
                <w:rFonts w:ascii="宋体" w:hAnsi="宋体" w:cs="宋体"/>
                <w:szCs w:val="21"/>
                <w:highlight w:val="yellow"/>
              </w:rPr>
            </w:pPr>
            <w:r>
              <w:rPr>
                <w:rFonts w:ascii="宋体" w:hAnsi="宋体" w:cs="宋体"/>
                <w:szCs w:val="21"/>
                <w:highlight w:val="yellow"/>
              </w:rPr>
            </w:r>
            <w:r/>
          </w:p>
        </w:tc>
      </w:tr>
      <w:tr>
        <w:trPr>
          <w:jc w:val="center"/>
          <w:trHeight w:val="1696"/>
        </w:trPr>
        <w:tc>
          <w:tcPr>
            <w:tcW w:w="266" w:type="pct"/>
            <w:vAlign w:val="center"/>
            <w:textDirection w:val="lrTb"/>
            <w:noWrap/>
          </w:tcPr>
          <w:p>
            <w:pPr>
              <w:jc w:val="center"/>
              <w:spacing w:beforeAutospacing="1" w:afterAutospacing="1"/>
              <w:widowControl/>
              <w:rPr>
                <w:rFonts w:ascii="宋体" w:hAnsi="宋体" w:cs="宋体"/>
                <w:szCs w:val="21"/>
              </w:rPr>
            </w:pPr>
            <w:r>
              <w:rPr>
                <w:rFonts w:hint="eastAsia" w:ascii="宋体" w:hAnsi="宋体" w:cs="宋体"/>
                <w:szCs w:val="21"/>
              </w:rPr>
              <w:t xml:space="preserve">2</w:t>
            </w:r>
            <w:r/>
          </w:p>
        </w:tc>
        <w:tc>
          <w:tcPr>
            <w:tcW w:w="897" w:type="pct"/>
            <w:vAlign w:val="center"/>
            <w:textDirection w:val="lrTb"/>
            <w:noWrap/>
          </w:tcPr>
          <w:p>
            <w:pPr>
              <w:jc w:val="center"/>
              <w:spacing w:beforeAutospacing="1" w:afterAutospacing="1"/>
              <w:widowControl/>
              <w:rPr>
                <w:rFonts w:ascii="宋体" w:hAnsi="宋体" w:cs="宋体"/>
                <w:szCs w:val="21"/>
              </w:rPr>
            </w:pPr>
            <w:r>
              <w:rPr>
                <w:rFonts w:hint="eastAsia" w:ascii="宋体" w:hAnsi="宋体" w:cs="宋体"/>
                <w:szCs w:val="21"/>
              </w:rPr>
              <w:t xml:space="preserve">自然灾害公众责任保险</w:t>
            </w:r>
            <w:r/>
          </w:p>
        </w:tc>
        <w:tc>
          <w:tcPr>
            <w:tcW w:w="4404" w:type="dxa"/>
            <w:vAlign w:val="center"/>
            <w:textDirection w:val="lrTb"/>
            <w:noWrap/>
          </w:tcPr>
          <w:p>
            <w:pPr>
              <w:jc w:val="left"/>
              <w:keepLines w:val="0"/>
              <w:keepNext w:val="0"/>
              <w:pageBreakBefore w:val="0"/>
              <w:spacing w:beforeAutospacing="0" w:afterAutospacing="0"/>
              <w:widowControl/>
              <w:rPr>
                <w:rFonts w:hint="eastAsia" w:ascii="宋体" w:hAnsi="宋体" w:cs="宋体"/>
                <w:szCs w:val="21"/>
              </w:rPr>
            </w:pPr>
            <w:r>
              <w:rPr>
                <w:rFonts w:hint="eastAsia" w:ascii="宋体" w:hAnsi="宋体" w:cs="宋体"/>
                <w:szCs w:val="21"/>
              </w:rPr>
              <w:t xml:space="preserve">常州市金坛区行政区划范围内的户籍居民、常住人口。</w:t>
            </w:r>
            <w:r/>
          </w:p>
          <w:p>
            <w:pPr>
              <w:jc w:val="left"/>
              <w:keepLines w:val="0"/>
              <w:keepNext w:val="0"/>
              <w:pageBreakBefore w:val="0"/>
              <w:spacing w:beforeAutospacing="0" w:afterAutospacing="0"/>
              <w:widowControl/>
              <w:rPr>
                <w:rFonts w:ascii="宋体" w:hAnsi="宋体" w:cs="宋体"/>
                <w:szCs w:val="21"/>
              </w:rPr>
            </w:pPr>
            <w:r>
              <w:rPr>
                <w:rFonts w:hint="eastAsia" w:ascii="宋体" w:hAnsi="宋体" w:cs="宋体"/>
                <w:szCs w:val="21"/>
              </w:rPr>
              <w:t xml:space="preserve">注：</w:t>
            </w:r>
            <w:r>
              <w:rPr>
                <w:rFonts w:hint="eastAsia" w:ascii="宋体" w:hAnsi="宋体" w:cs="宋体"/>
                <w:szCs w:val="21"/>
                <w:highlight w:val="green"/>
              </w:rPr>
              <w:t xml:space="preserve">常住人口</w:t>
            </w:r>
            <w:r>
              <w:rPr>
                <w:rFonts w:hint="eastAsia" w:ascii="宋体" w:hAnsi="宋体" w:cs="宋体"/>
                <w:szCs w:val="21"/>
              </w:rPr>
              <w:t xml:space="preserve">，包含具有常州市金坛区户籍的居民（不受年龄限制）及在常州交纳社保6个月及以上的非常州市金坛区户籍居民。</w:t>
            </w:r>
            <w:r/>
          </w:p>
        </w:tc>
        <w:tc>
          <w:tcPr>
            <w:tcW w:w="662" w:type="pct"/>
            <w:vAlign w:val="center"/>
            <w:textDirection w:val="lrTb"/>
            <w:noWrap/>
          </w:tcPr>
          <w:p>
            <w:pPr>
              <w:jc w:val="center"/>
              <w:spacing w:beforeAutospacing="1" w:afterAutospacing="1"/>
              <w:widowControl/>
              <w:rPr>
                <w:rFonts w:ascii="宋体" w:hAnsi="宋体" w:cs="宋体"/>
                <w:szCs w:val="21"/>
              </w:rPr>
            </w:pPr>
            <w:r>
              <w:rPr>
                <w:rFonts w:hint="eastAsia" w:ascii="宋体" w:hAnsi="宋体" w:cs="宋体"/>
                <w:szCs w:val="21"/>
              </w:rPr>
              <w:t xml:space="preserve">人数：</w:t>
            </w:r>
            <w:r>
              <w:rPr>
                <w:rFonts w:hint="eastAsia" w:ascii="宋体" w:hAnsi="宋体" w:cs="宋体"/>
                <w:szCs w:val="21"/>
                <w:highlight w:val="yellow"/>
              </w:rPr>
              <w:t xml:space="preserve">59.66万人</w:t>
            </w:r>
            <w:r/>
          </w:p>
        </w:tc>
        <w:tc>
          <w:tcPr>
            <w:tcW w:w="403" w:type="pct"/>
            <w:vAlign w:val="center"/>
            <w:textDirection w:val="lrTb"/>
            <w:noWrap/>
          </w:tcPr>
          <w:p>
            <w:pPr>
              <w:jc w:val="left"/>
              <w:spacing w:beforeAutospacing="1" w:afterAutospacing="1"/>
              <w:widowControl/>
              <w:rPr>
                <w:rFonts w:ascii="宋体" w:hAnsi="宋体" w:cs="宋体"/>
                <w:szCs w:val="21"/>
              </w:rPr>
            </w:pPr>
            <w:r>
              <w:rPr>
                <w:rFonts w:hint="eastAsia" w:ascii="宋体" w:hAnsi="宋体" w:cs="宋体"/>
                <w:spacing w:val="2"/>
                <w:szCs w:val="21"/>
                <w:u w:val="single"/>
                <w:lang w:val="en-US" w:eastAsia="zh-CN"/>
              </w:rPr>
              <w:t xml:space="preserve">   </w:t>
            </w:r>
            <w:r>
              <w:rPr>
                <w:rFonts w:hint="eastAsia" w:ascii="宋体" w:hAnsi="宋体" w:cs="宋体"/>
                <w:spacing w:val="2"/>
                <w:szCs w:val="21"/>
              </w:rPr>
              <w:t xml:space="preserve">元</w:t>
            </w:r>
            <w:r/>
          </w:p>
        </w:tc>
        <w:tc>
          <w:tcPr>
            <w:tcW w:w="267" w:type="pct"/>
            <w:vAlign w:val="center"/>
            <w:textDirection w:val="lrTb"/>
            <w:noWrap/>
          </w:tcPr>
          <w:p>
            <w:pPr>
              <w:jc w:val="center"/>
              <w:spacing w:beforeAutospacing="1" w:afterAutospacing="1"/>
              <w:widowControl/>
              <w:rPr>
                <w:rFonts w:ascii="宋体" w:hAnsi="宋体" w:cs="宋体"/>
                <w:szCs w:val="21"/>
              </w:rPr>
            </w:pPr>
            <w:r>
              <w:rPr>
                <w:rFonts w:ascii="宋体" w:hAnsi="宋体" w:cs="宋体"/>
                <w:szCs w:val="21"/>
              </w:rPr>
            </w:r>
            <w:r/>
          </w:p>
        </w:tc>
        <w:tc>
          <w:tcPr>
            <w:tcW w:w="267" w:type="pct"/>
            <w:vAlign w:val="center"/>
            <w:textDirection w:val="lrTb"/>
            <w:noWrap/>
          </w:tcPr>
          <w:p>
            <w:pPr>
              <w:jc w:val="center"/>
              <w:spacing w:beforeAutospacing="1" w:afterAutospacing="1"/>
              <w:widowControl/>
              <w:rPr>
                <w:rFonts w:ascii="宋体" w:hAnsi="宋体" w:cs="宋体"/>
                <w:szCs w:val="21"/>
              </w:rPr>
            </w:pPr>
            <w:r>
              <w:rPr>
                <w:rFonts w:ascii="宋体" w:hAnsi="宋体" w:cs="宋体"/>
                <w:szCs w:val="21"/>
              </w:rPr>
            </w:r>
            <w:r/>
          </w:p>
        </w:tc>
      </w:tr>
      <w:tr>
        <w:trPr>
          <w:jc w:val="center"/>
          <w:trHeight w:val="696"/>
        </w:trPr>
        <w:tc>
          <w:tcPr>
            <w:gridSpan w:val="5"/>
            <w:tcW w:w="4465" w:type="pct"/>
            <w:vAlign w:val="center"/>
            <w:textDirection w:val="lrTb"/>
            <w:noWrap/>
          </w:tcPr>
          <w:p>
            <w:pPr>
              <w:jc w:val="center"/>
              <w:spacing w:beforeAutospacing="1" w:afterAutospacing="1"/>
              <w:widowControl/>
              <w:rPr>
                <w:rFonts w:ascii="宋体" w:hAnsi="宋体" w:cs="宋体"/>
                <w:szCs w:val="21"/>
              </w:rPr>
            </w:pPr>
            <w:r>
              <w:rPr>
                <w:rFonts w:hint="eastAsia" w:ascii="宋体" w:hAnsi="宋体" w:cs="Arial"/>
                <w:szCs w:val="21"/>
              </w:rPr>
              <w:t xml:space="preserve">总价</w:t>
            </w:r>
            <w:r/>
          </w:p>
        </w:tc>
        <w:tc>
          <w:tcPr>
            <w:gridSpan w:val="2"/>
            <w:tcW w:w="534" w:type="pct"/>
            <w:vAlign w:val="center"/>
            <w:textDirection w:val="lrTb"/>
            <w:noWrap/>
          </w:tcPr>
          <w:p>
            <w:pPr>
              <w:jc w:val="center"/>
              <w:spacing w:beforeAutospacing="1" w:afterAutospacing="1"/>
              <w:widowControl/>
              <w:rPr>
                <w:rFonts w:ascii="宋体" w:hAnsi="宋体" w:cs="宋体"/>
                <w:szCs w:val="21"/>
              </w:rPr>
            </w:pPr>
            <w:r>
              <w:rPr>
                <w:rFonts w:hint="eastAsia" w:ascii="宋体" w:hAnsi="宋体" w:cs="宋体"/>
                <w:szCs w:val="21"/>
              </w:rPr>
              <w:t xml:space="preserve">元</w:t>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t xml:space="preserve">注：1.本表应按包分别填写。</w:t>
      </w:r>
      <w:r/>
    </w:p>
    <w:p>
      <w:pPr>
        <w:ind w:firstLine="480"/>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招标</w:t>
      </w:r>
      <w:r>
        <w:rPr>
          <w:color w:val="000000"/>
          <w:sz w:val="24"/>
        </w:rPr>
        <w:t xml:space="preserve">文件</w:t>
      </w:r>
      <w:r/>
    </w:p>
    <w:p>
      <w:pPr>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p>
    <w:p>
      <w:pPr>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pStyle w:val="957"/>
        <w:sectPr>
          <w:headerReference w:type="even" r:id="rId18"/>
          <w:headerReference w:type="first" r:id="rId19"/>
          <w:footerReference w:type="even" r:id="rId30"/>
          <w:footerReference w:type="first" r:id="rId31"/>
          <w:footnotePr/>
          <w:endnotePr/>
          <w:type w:val="nextPage"/>
          <w:pgSz w:w="11907" w:h="16840" w:orient="portrait"/>
          <w:pgMar w:top="1417" w:right="1134" w:bottom="1417" w:left="1134" w:header="851" w:footer="851" w:gutter="0"/>
          <w:cols w:num="1" w:sep="0" w:space="1701" w:equalWidth="1"/>
          <w:docGrid w:linePitch="360"/>
        </w:sectPr>
      </w:pPr>
      <w:r/>
      <w:r/>
    </w:p>
    <w:p>
      <w:pPr>
        <w:spacing w:line="360" w:lineRule="auto"/>
        <w:rPr>
          <w:color w:val="000000"/>
          <w:sz w:val="24"/>
          <w:szCs w:val="20"/>
        </w:rPr>
        <w:outlineLvl w:val="2"/>
      </w:pPr>
      <w:r>
        <w:rPr>
          <w:rFonts w:hint="eastAsia"/>
          <w:color w:val="000000"/>
          <w:sz w:val="24"/>
          <w:szCs w:val="20"/>
        </w:rPr>
        <w:t xml:space="preserve">6</w:t>
      </w:r>
      <w:r>
        <w:rPr>
          <w:color w:val="000000"/>
          <w:sz w:val="24"/>
          <w:szCs w:val="20"/>
        </w:rPr>
        <w:t xml:space="preserve">  合同条款偏离表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color w:val="000000"/>
          <w:sz w:val="24"/>
          <w:szCs w:val="20"/>
        </w:rPr>
        <w:t xml:space="preserve">（实质性格式）</w:t>
      </w:r>
      <w:r/>
    </w:p>
    <w:p>
      <w:pPr>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p>
    <w:p>
      <w:pPr>
        <w:pStyle w:val="1143"/>
      </w:p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p>
    <w:tbl>
      <w:tblPr>
        <w:tblStyle w:val="9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tcPr>
          <w:p>
            <w:pPr>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p>
        </w:tc>
      </w:tr>
      <w:tr>
        <w:trPr>
          <w:jc w:val="center"/>
          <w:trHeight w:val="930"/>
        </w:trPr>
        <w:tc>
          <w:tcPr>
            <w:tcW w:w="834" w:type="dxa"/>
            <w:vAlign w:val="center"/>
            <w:textDirection w:val="lrTb"/>
            <w:noWrap/>
          </w:tcPr>
          <w:p>
            <w:pPr>
              <w:jc w:val="center"/>
              <w:rPr>
                <w:color w:val="000000"/>
                <w:sz w:val="24"/>
              </w:rPr>
            </w:pPr>
            <w:r>
              <w:rPr>
                <w:color w:val="000000"/>
                <w:sz w:val="24"/>
              </w:rPr>
              <w:t xml:space="preserve">序号</w:t>
            </w:r>
            <w:r/>
          </w:p>
        </w:tc>
        <w:tc>
          <w:tcPr>
            <w:tcW w:w="1301" w:type="dxa"/>
            <w:vAlign w:val="center"/>
            <w:textDirection w:val="lrTb"/>
            <w:noWrap/>
          </w:tcPr>
          <w:p>
            <w:pPr>
              <w:jc w:val="center"/>
              <w:rPr>
                <w:color w:val="000000"/>
                <w:sz w:val="24"/>
              </w:rPr>
            </w:pPr>
            <w:r>
              <w:rPr>
                <w:color w:val="000000"/>
                <w:sz w:val="24"/>
                <w:szCs w:val="21"/>
              </w:rPr>
              <w:t xml:space="preserve">招标文件</w:t>
            </w:r>
            <w:r>
              <w:rPr>
                <w:color w:val="000000"/>
                <w:sz w:val="24"/>
              </w:rPr>
              <w:t xml:space="preserve">条目号（页码）</w:t>
            </w:r>
            <w:r/>
          </w:p>
        </w:tc>
        <w:tc>
          <w:tcPr>
            <w:tcW w:w="2007" w:type="dxa"/>
            <w:vAlign w:val="center"/>
            <w:textDirection w:val="lrTb"/>
            <w:noWrap/>
          </w:tcPr>
          <w:p>
            <w:pPr>
              <w:jc w:val="center"/>
              <w:rPr>
                <w:color w:val="000000"/>
                <w:sz w:val="24"/>
              </w:rPr>
            </w:pPr>
            <w:r>
              <w:rPr>
                <w:color w:val="000000"/>
                <w:sz w:val="24"/>
                <w:szCs w:val="21"/>
              </w:rPr>
              <w:t xml:space="preserve">招标文件</w:t>
            </w:r>
            <w:r>
              <w:rPr>
                <w:color w:val="000000"/>
                <w:sz w:val="24"/>
              </w:rPr>
              <w:t xml:space="preserve">要求</w:t>
            </w:r>
            <w:r/>
          </w:p>
        </w:tc>
        <w:tc>
          <w:tcPr>
            <w:tcW w:w="2008" w:type="dxa"/>
            <w:vAlign w:val="center"/>
            <w:textDirection w:val="lrTb"/>
            <w:noWrap/>
          </w:tcPr>
          <w:p>
            <w:pPr>
              <w:jc w:val="center"/>
              <w:rPr>
                <w:color w:val="000000"/>
                <w:sz w:val="24"/>
              </w:rPr>
            </w:pPr>
            <w:r>
              <w:rPr>
                <w:color w:val="000000"/>
                <w:sz w:val="24"/>
              </w:rPr>
              <w:t xml:space="preserve">投标文件内容</w:t>
            </w:r>
            <w:r/>
          </w:p>
        </w:tc>
        <w:tc>
          <w:tcPr>
            <w:tcW w:w="2458" w:type="dxa"/>
            <w:vAlign w:val="center"/>
            <w:textDirection w:val="lrTb"/>
            <w:noWrap/>
          </w:tcPr>
          <w:p>
            <w:pPr>
              <w:jc w:val="center"/>
              <w:rPr>
                <w:color w:val="000000"/>
                <w:sz w:val="24"/>
              </w:rPr>
            </w:pPr>
            <w:r>
              <w:rPr>
                <w:color w:val="000000"/>
                <w:sz w:val="24"/>
              </w:rPr>
              <w:t xml:space="preserve">偏离情况</w:t>
            </w:r>
            <w:r/>
          </w:p>
        </w:tc>
        <w:tc>
          <w:tcPr>
            <w:tcW w:w="788" w:type="dxa"/>
            <w:vAlign w:val="center"/>
            <w:textDirection w:val="lrTb"/>
            <w:noWrap/>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tcPr>
          <w:p>
            <w:pPr>
              <w:jc w:val="center"/>
              <w:rPr>
                <w:color w:val="000000"/>
                <w:sz w:val="24"/>
              </w:rPr>
            </w:pPr>
            <w:r>
              <w:rPr>
                <w:color w:val="000000"/>
                <w:sz w:val="24"/>
              </w:rPr>
            </w:r>
            <w:r/>
          </w:p>
        </w:tc>
        <w:tc>
          <w:tcPr>
            <w:tcW w:w="1301" w:type="dxa"/>
            <w:vAlign w:val="center"/>
            <w:textDirection w:val="lrTb"/>
            <w:noWrap/>
          </w:tcPr>
          <w:p>
            <w:pPr>
              <w:jc w:val="center"/>
              <w:rPr>
                <w:color w:val="000000"/>
                <w:sz w:val="24"/>
              </w:rPr>
            </w:pPr>
            <w:r>
              <w:rPr>
                <w:color w:val="000000"/>
                <w:sz w:val="24"/>
              </w:rPr>
            </w:r>
            <w:r/>
          </w:p>
        </w:tc>
        <w:tc>
          <w:tcPr>
            <w:tcW w:w="2007" w:type="dxa"/>
            <w:vAlign w:val="center"/>
            <w:textDirection w:val="lrTb"/>
            <w:noWrap/>
          </w:tcPr>
          <w:p>
            <w:pPr>
              <w:jc w:val="center"/>
              <w:rPr>
                <w:color w:val="000000"/>
                <w:sz w:val="24"/>
              </w:rPr>
            </w:pPr>
            <w:r>
              <w:rPr>
                <w:color w:val="000000"/>
                <w:sz w:val="24"/>
              </w:rPr>
            </w:r>
            <w:r/>
          </w:p>
        </w:tc>
        <w:tc>
          <w:tcPr>
            <w:tcW w:w="2008" w:type="dxa"/>
            <w:vAlign w:val="center"/>
            <w:textDirection w:val="lrTb"/>
            <w:noWrap/>
          </w:tcPr>
          <w:p>
            <w:pPr>
              <w:jc w:val="center"/>
              <w:rPr>
                <w:color w:val="000000"/>
                <w:sz w:val="24"/>
              </w:rPr>
            </w:pPr>
            <w:r>
              <w:rPr>
                <w:color w:val="000000"/>
                <w:sz w:val="24"/>
              </w:rPr>
            </w:r>
            <w:r/>
          </w:p>
        </w:tc>
        <w:tc>
          <w:tcPr>
            <w:tcW w:w="2458" w:type="dxa"/>
            <w:vAlign w:val="center"/>
            <w:textDirection w:val="lrTb"/>
            <w:noWrap/>
          </w:tcPr>
          <w:p>
            <w:pPr>
              <w:jc w:val="center"/>
              <w:rPr>
                <w:color w:val="000000"/>
                <w:sz w:val="24"/>
              </w:rPr>
            </w:pPr>
            <w:r>
              <w:rPr>
                <w:color w:val="000000"/>
                <w:sz w:val="24"/>
              </w:rPr>
            </w:r>
            <w:r/>
          </w:p>
        </w:tc>
        <w:tc>
          <w:tcPr>
            <w:tcW w:w="788" w:type="dxa"/>
            <w:vAlign w:val="center"/>
            <w:textDirection w:val="lrTb"/>
            <w:noWrap/>
          </w:tcPr>
          <w:p>
            <w:pPr>
              <w:jc w:val="center"/>
              <w:rPr>
                <w:color w:val="000000"/>
                <w:sz w:val="24"/>
              </w:rPr>
            </w:pPr>
            <w:r>
              <w:rPr>
                <w:color w:val="000000"/>
                <w:sz w:val="24"/>
              </w:rPr>
            </w:r>
            <w:r/>
          </w:p>
        </w:tc>
      </w:tr>
      <w:tr>
        <w:trPr>
          <w:jc w:val="center"/>
          <w:trHeight w:val="930"/>
        </w:trPr>
        <w:tc>
          <w:tcPr>
            <w:tcW w:w="834" w:type="dxa"/>
            <w:vAlign w:val="center"/>
            <w:textDirection w:val="lrTb"/>
            <w:noWrap/>
          </w:tcPr>
          <w:p>
            <w:pPr>
              <w:jc w:val="center"/>
              <w:rPr>
                <w:color w:val="000000"/>
                <w:sz w:val="24"/>
              </w:rPr>
            </w:pPr>
            <w:r>
              <w:rPr>
                <w:color w:val="000000"/>
                <w:sz w:val="24"/>
              </w:rPr>
            </w:r>
            <w:r/>
          </w:p>
        </w:tc>
        <w:tc>
          <w:tcPr>
            <w:tcW w:w="1301" w:type="dxa"/>
            <w:vAlign w:val="center"/>
            <w:textDirection w:val="lrTb"/>
            <w:noWrap/>
          </w:tcPr>
          <w:p>
            <w:pPr>
              <w:jc w:val="center"/>
              <w:rPr>
                <w:color w:val="000000"/>
                <w:sz w:val="24"/>
              </w:rPr>
            </w:pPr>
            <w:r>
              <w:rPr>
                <w:color w:val="000000"/>
                <w:sz w:val="24"/>
              </w:rPr>
            </w:r>
            <w:r/>
          </w:p>
        </w:tc>
        <w:tc>
          <w:tcPr>
            <w:tcW w:w="2007" w:type="dxa"/>
            <w:vAlign w:val="center"/>
            <w:textDirection w:val="lrTb"/>
            <w:noWrap/>
          </w:tcPr>
          <w:p>
            <w:pPr>
              <w:jc w:val="center"/>
              <w:rPr>
                <w:color w:val="000000"/>
                <w:sz w:val="24"/>
              </w:rPr>
            </w:pPr>
            <w:r>
              <w:rPr>
                <w:color w:val="000000"/>
                <w:sz w:val="24"/>
              </w:rPr>
            </w:r>
            <w:r/>
          </w:p>
        </w:tc>
        <w:tc>
          <w:tcPr>
            <w:tcW w:w="2008" w:type="dxa"/>
            <w:vAlign w:val="center"/>
            <w:textDirection w:val="lrTb"/>
            <w:noWrap/>
          </w:tcPr>
          <w:p>
            <w:pPr>
              <w:jc w:val="center"/>
              <w:rPr>
                <w:color w:val="000000"/>
                <w:sz w:val="24"/>
              </w:rPr>
            </w:pPr>
            <w:r>
              <w:rPr>
                <w:color w:val="000000"/>
                <w:sz w:val="24"/>
              </w:rPr>
            </w:r>
            <w:r/>
          </w:p>
        </w:tc>
        <w:tc>
          <w:tcPr>
            <w:tcW w:w="2458" w:type="dxa"/>
            <w:vAlign w:val="center"/>
            <w:textDirection w:val="lrTb"/>
            <w:noWrap/>
          </w:tcPr>
          <w:p>
            <w:pPr>
              <w:jc w:val="center"/>
              <w:rPr>
                <w:color w:val="000000"/>
                <w:sz w:val="24"/>
              </w:rPr>
            </w:pPr>
            <w:r>
              <w:rPr>
                <w:color w:val="000000"/>
                <w:sz w:val="24"/>
              </w:rPr>
            </w:r>
            <w:r/>
          </w:p>
        </w:tc>
        <w:tc>
          <w:tcPr>
            <w:tcW w:w="788" w:type="dxa"/>
            <w:vAlign w:val="center"/>
            <w:textDirection w:val="lrTb"/>
            <w:noWrap/>
          </w:tcPr>
          <w:p>
            <w:pPr>
              <w:jc w:val="center"/>
              <w:rPr>
                <w:color w:val="000000"/>
                <w:sz w:val="24"/>
              </w:rPr>
            </w:pPr>
            <w:r>
              <w:rPr>
                <w:color w:val="000000"/>
                <w:sz w:val="24"/>
              </w:rPr>
            </w:r>
            <w:r/>
          </w:p>
        </w:tc>
      </w:tr>
      <w:tr>
        <w:trPr>
          <w:jc w:val="center"/>
          <w:trHeight w:val="930"/>
        </w:trPr>
        <w:tc>
          <w:tcPr>
            <w:tcW w:w="834" w:type="dxa"/>
            <w:vAlign w:val="center"/>
            <w:textDirection w:val="lrTb"/>
            <w:noWrap/>
          </w:tcPr>
          <w:p>
            <w:pPr>
              <w:jc w:val="center"/>
              <w:rPr>
                <w:color w:val="000000"/>
                <w:sz w:val="24"/>
              </w:rPr>
            </w:pPr>
            <w:r>
              <w:rPr>
                <w:color w:val="000000"/>
                <w:sz w:val="24"/>
              </w:rPr>
            </w:r>
            <w:r/>
          </w:p>
        </w:tc>
        <w:tc>
          <w:tcPr>
            <w:tcW w:w="1301" w:type="dxa"/>
            <w:vAlign w:val="center"/>
            <w:textDirection w:val="lrTb"/>
            <w:noWrap/>
          </w:tcPr>
          <w:p>
            <w:pPr>
              <w:jc w:val="center"/>
              <w:rPr>
                <w:color w:val="000000"/>
                <w:sz w:val="24"/>
              </w:rPr>
            </w:pPr>
            <w:r>
              <w:rPr>
                <w:color w:val="000000"/>
                <w:sz w:val="24"/>
              </w:rPr>
            </w:r>
            <w:r/>
          </w:p>
        </w:tc>
        <w:tc>
          <w:tcPr>
            <w:tcW w:w="2007" w:type="dxa"/>
            <w:vAlign w:val="center"/>
            <w:textDirection w:val="lrTb"/>
            <w:noWrap/>
          </w:tcPr>
          <w:p>
            <w:pPr>
              <w:jc w:val="center"/>
              <w:rPr>
                <w:color w:val="000000"/>
                <w:sz w:val="24"/>
              </w:rPr>
            </w:pPr>
            <w:r>
              <w:rPr>
                <w:color w:val="000000"/>
                <w:sz w:val="24"/>
              </w:rPr>
            </w:r>
            <w:r/>
          </w:p>
        </w:tc>
        <w:tc>
          <w:tcPr>
            <w:tcW w:w="2008" w:type="dxa"/>
            <w:vAlign w:val="center"/>
            <w:textDirection w:val="lrTb"/>
            <w:noWrap/>
          </w:tcPr>
          <w:p>
            <w:pPr>
              <w:jc w:val="center"/>
              <w:rPr>
                <w:color w:val="000000"/>
                <w:sz w:val="24"/>
              </w:rPr>
            </w:pPr>
            <w:r>
              <w:rPr>
                <w:color w:val="000000"/>
                <w:sz w:val="24"/>
              </w:rPr>
            </w:r>
            <w:r/>
          </w:p>
        </w:tc>
        <w:tc>
          <w:tcPr>
            <w:tcW w:w="2458" w:type="dxa"/>
            <w:vAlign w:val="center"/>
            <w:textDirection w:val="lrTb"/>
            <w:noWrap/>
          </w:tcPr>
          <w:p>
            <w:pPr>
              <w:jc w:val="center"/>
              <w:rPr>
                <w:color w:val="000000"/>
                <w:sz w:val="24"/>
              </w:rPr>
            </w:pPr>
            <w:r>
              <w:rPr>
                <w:color w:val="000000"/>
                <w:sz w:val="24"/>
              </w:rPr>
            </w:r>
            <w:r/>
          </w:p>
        </w:tc>
        <w:tc>
          <w:tcPr>
            <w:tcW w:w="788" w:type="dxa"/>
            <w:vAlign w:val="center"/>
            <w:textDirection w:val="lrTb"/>
            <w:noWrap/>
          </w:tcPr>
          <w:p>
            <w:pPr>
              <w:jc w:val="center"/>
              <w:rPr>
                <w:color w:val="000000"/>
                <w:sz w:val="24"/>
              </w:rPr>
            </w:pPr>
            <w:r>
              <w:rPr>
                <w:color w:val="000000"/>
                <w:sz w:val="24"/>
              </w:rPr>
            </w:r>
            <w:r/>
          </w:p>
        </w:tc>
      </w:tr>
      <w:tr>
        <w:trPr>
          <w:jc w:val="center"/>
          <w:trHeight w:val="930"/>
        </w:trPr>
        <w:tc>
          <w:tcPr>
            <w:tcW w:w="834" w:type="dxa"/>
            <w:vAlign w:val="center"/>
            <w:textDirection w:val="lrTb"/>
            <w:noWrap/>
          </w:tcPr>
          <w:p>
            <w:pPr>
              <w:jc w:val="center"/>
              <w:rPr>
                <w:color w:val="000000"/>
                <w:sz w:val="24"/>
              </w:rPr>
            </w:pPr>
            <w:r>
              <w:rPr>
                <w:color w:val="000000"/>
                <w:sz w:val="24"/>
              </w:rPr>
              <w:t xml:space="preserve">……</w:t>
            </w:r>
            <w:r/>
          </w:p>
        </w:tc>
        <w:tc>
          <w:tcPr>
            <w:tcW w:w="1301" w:type="dxa"/>
            <w:vAlign w:val="center"/>
            <w:textDirection w:val="lrTb"/>
            <w:noWrap/>
          </w:tcPr>
          <w:p>
            <w:pPr>
              <w:jc w:val="center"/>
              <w:rPr>
                <w:color w:val="000000"/>
                <w:sz w:val="24"/>
              </w:rPr>
            </w:pPr>
            <w:r>
              <w:rPr>
                <w:color w:val="000000"/>
                <w:sz w:val="24"/>
              </w:rPr>
            </w:r>
            <w:r/>
          </w:p>
        </w:tc>
        <w:tc>
          <w:tcPr>
            <w:tcW w:w="2007" w:type="dxa"/>
            <w:vAlign w:val="center"/>
            <w:textDirection w:val="lrTb"/>
            <w:noWrap/>
          </w:tcPr>
          <w:p>
            <w:pPr>
              <w:jc w:val="center"/>
              <w:rPr>
                <w:color w:val="000000"/>
                <w:sz w:val="24"/>
              </w:rPr>
            </w:pPr>
            <w:r>
              <w:rPr>
                <w:color w:val="000000"/>
                <w:sz w:val="24"/>
              </w:rPr>
            </w:r>
            <w:r/>
          </w:p>
        </w:tc>
        <w:tc>
          <w:tcPr>
            <w:tcW w:w="2008" w:type="dxa"/>
            <w:vAlign w:val="center"/>
            <w:textDirection w:val="lrTb"/>
            <w:noWrap/>
          </w:tcPr>
          <w:p>
            <w:pPr>
              <w:jc w:val="center"/>
              <w:rPr>
                <w:color w:val="000000"/>
                <w:sz w:val="24"/>
              </w:rPr>
            </w:pPr>
            <w:r>
              <w:rPr>
                <w:color w:val="000000"/>
                <w:sz w:val="24"/>
              </w:rPr>
            </w:r>
            <w:r/>
          </w:p>
        </w:tc>
        <w:tc>
          <w:tcPr>
            <w:tcW w:w="2458" w:type="dxa"/>
            <w:vAlign w:val="center"/>
            <w:textDirection w:val="lrTb"/>
            <w:noWrap/>
          </w:tcPr>
          <w:p>
            <w:pPr>
              <w:jc w:val="center"/>
              <w:rPr>
                <w:color w:val="000000"/>
                <w:sz w:val="24"/>
              </w:rPr>
            </w:pPr>
            <w:r>
              <w:rPr>
                <w:color w:val="000000"/>
                <w:sz w:val="24"/>
              </w:rPr>
            </w:r>
            <w:r/>
          </w:p>
        </w:tc>
        <w:tc>
          <w:tcPr>
            <w:tcW w:w="788" w:type="dxa"/>
            <w:vAlign w:val="center"/>
            <w:textDirection w:val="lrTb"/>
            <w:noWrap/>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7</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color w:val="000000"/>
          <w:sz w:val="24"/>
          <w:szCs w:val="20"/>
        </w:rPr>
        <w:t xml:space="preserve">采购需求偏离表（实质性格式）</w:t>
      </w:r>
      <w:r/>
    </w:p>
    <w:p>
      <w:pPr>
        <w:jc w:val="center"/>
        <w:spacing w:line="360" w:lineRule="auto"/>
        <w:rPr>
          <w:b/>
          <w:color w:val="000000"/>
          <w:sz w:val="36"/>
          <w:szCs w:val="36"/>
        </w:rPr>
      </w:pPr>
      <w:r>
        <w:rPr>
          <w:b/>
          <w:color w:val="000000"/>
          <w:sz w:val="36"/>
          <w:szCs w:val="36"/>
        </w:rPr>
      </w:r>
      <w:r/>
    </w:p>
    <w:p>
      <w:pPr>
        <w:jc w:val="center"/>
        <w:spacing w:line="360" w:lineRule="auto"/>
        <w:rPr>
          <w:b/>
          <w:color w:val="000000"/>
          <w:sz w:val="36"/>
          <w:szCs w:val="36"/>
        </w:rPr>
      </w:pPr>
      <w:r>
        <w:rPr>
          <w:rFonts w:hint="eastAsia"/>
          <w:b/>
          <w:color w:val="000000"/>
          <w:sz w:val="36"/>
          <w:szCs w:val="36"/>
        </w:rPr>
        <w:t xml:space="preserve">采购需求偏离表</w:t>
      </w:r>
      <w:r/>
    </w:p>
    <w:p>
      <w:pPr>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p>
    <w:tbl>
      <w:tblPr>
        <w:tblStyle w:val="96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tcPr>
          <w:p>
            <w:pPr>
              <w:jc w:val="center"/>
              <w:rPr>
                <w:color w:val="000000"/>
                <w:sz w:val="24"/>
              </w:rPr>
            </w:pPr>
            <w:r>
              <w:rPr>
                <w:color w:val="000000"/>
                <w:sz w:val="24"/>
              </w:rPr>
              <w:t xml:space="preserve">序号</w:t>
            </w:r>
            <w:r/>
          </w:p>
        </w:tc>
        <w:tc>
          <w:tcPr>
            <w:tcW w:w="1482" w:type="dxa"/>
            <w:vAlign w:val="center"/>
            <w:textDirection w:val="lrTb"/>
            <w:noWrap/>
          </w:tcPr>
          <w:p>
            <w:pPr>
              <w:jc w:val="center"/>
              <w:rPr>
                <w:color w:val="000000"/>
                <w:sz w:val="24"/>
              </w:rPr>
            </w:pPr>
            <w:r>
              <w:rPr>
                <w:color w:val="000000"/>
                <w:sz w:val="24"/>
              </w:rPr>
              <w:t xml:space="preserve">招标文件条目号(页码)</w:t>
            </w:r>
            <w:r/>
          </w:p>
        </w:tc>
        <w:tc>
          <w:tcPr>
            <w:tcW w:w="2384" w:type="dxa"/>
            <w:vAlign w:val="center"/>
            <w:textDirection w:val="lrTb"/>
            <w:noWrap/>
          </w:tcPr>
          <w:p>
            <w:pPr>
              <w:jc w:val="center"/>
              <w:rPr>
                <w:color w:val="000000"/>
                <w:sz w:val="24"/>
              </w:rPr>
            </w:pPr>
            <w:r>
              <w:rPr>
                <w:color w:val="000000"/>
                <w:sz w:val="24"/>
              </w:rPr>
              <w:t xml:space="preserve">招标文件要求</w:t>
            </w:r>
            <w:r/>
          </w:p>
        </w:tc>
        <w:tc>
          <w:tcPr>
            <w:tcW w:w="2126" w:type="dxa"/>
            <w:vAlign w:val="center"/>
            <w:textDirection w:val="lrTb"/>
            <w:noWrap/>
          </w:tcPr>
          <w:p>
            <w:pPr>
              <w:jc w:val="center"/>
              <w:rPr>
                <w:color w:val="000000"/>
                <w:sz w:val="24"/>
              </w:rPr>
            </w:pPr>
            <w:r>
              <w:rPr>
                <w:color w:val="000000"/>
                <w:sz w:val="24"/>
              </w:rPr>
              <w:t xml:space="preserve">投标响应内容</w:t>
            </w:r>
            <w:r/>
          </w:p>
        </w:tc>
        <w:tc>
          <w:tcPr>
            <w:tcW w:w="1875" w:type="dxa"/>
            <w:vAlign w:val="center"/>
            <w:textDirection w:val="lrTb"/>
            <w:noWrap/>
          </w:tcPr>
          <w:p>
            <w:pPr>
              <w:jc w:val="center"/>
              <w:rPr>
                <w:color w:val="000000"/>
                <w:sz w:val="24"/>
              </w:rPr>
            </w:pPr>
            <w:r>
              <w:rPr>
                <w:color w:val="000000"/>
                <w:sz w:val="24"/>
              </w:rPr>
              <w:t xml:space="preserve">偏离情况</w:t>
            </w:r>
            <w:r/>
          </w:p>
        </w:tc>
        <w:tc>
          <w:tcPr>
            <w:tcW w:w="1009" w:type="dxa"/>
            <w:vAlign w:val="center"/>
            <w:textDirection w:val="lrTb"/>
            <w:noWrap/>
          </w:tcPr>
          <w:p>
            <w:pPr>
              <w:jc w:val="center"/>
              <w:rPr>
                <w:color w:val="000000"/>
                <w:sz w:val="24"/>
              </w:rPr>
            </w:pPr>
            <w:r>
              <w:rPr>
                <w:color w:val="000000"/>
                <w:sz w:val="24"/>
              </w:rPr>
              <w:t xml:space="preserve">说明</w:t>
            </w:r>
            <w:r/>
          </w:p>
        </w:tc>
      </w:tr>
      <w:tr>
        <w:trPr>
          <w:jc w:val="center"/>
          <w:trHeight w:val="930"/>
        </w:trPr>
        <w:tc>
          <w:tcPr>
            <w:tcW w:w="775" w:type="dxa"/>
            <w:vAlign w:val="center"/>
            <w:textDirection w:val="lrTb"/>
            <w:noWrap/>
          </w:tcPr>
          <w:p>
            <w:pPr>
              <w:jc w:val="center"/>
              <w:rPr>
                <w:color w:val="000000"/>
                <w:sz w:val="24"/>
              </w:rPr>
            </w:pPr>
            <w:r>
              <w:rPr>
                <w:color w:val="000000"/>
                <w:sz w:val="24"/>
              </w:rPr>
            </w:r>
            <w:r/>
          </w:p>
        </w:tc>
        <w:tc>
          <w:tcPr>
            <w:tcW w:w="1482" w:type="dxa"/>
            <w:vAlign w:val="center"/>
            <w:textDirection w:val="lrTb"/>
            <w:noWrap/>
          </w:tcPr>
          <w:p>
            <w:pPr>
              <w:jc w:val="center"/>
              <w:rPr>
                <w:color w:val="000000"/>
                <w:sz w:val="24"/>
              </w:rPr>
            </w:pPr>
            <w:r>
              <w:rPr>
                <w:color w:val="000000"/>
                <w:sz w:val="24"/>
              </w:rPr>
            </w:r>
            <w:r/>
          </w:p>
        </w:tc>
        <w:tc>
          <w:tcPr>
            <w:tcW w:w="2384" w:type="dxa"/>
            <w:vAlign w:val="center"/>
            <w:textDirection w:val="lrTb"/>
            <w:noWrap/>
          </w:tcPr>
          <w:p>
            <w:pPr>
              <w:jc w:val="center"/>
              <w:rPr>
                <w:color w:val="000000"/>
                <w:sz w:val="24"/>
              </w:rPr>
            </w:pPr>
            <w:r>
              <w:rPr>
                <w:color w:val="000000"/>
                <w:sz w:val="24"/>
              </w:rPr>
            </w:r>
            <w:r/>
          </w:p>
        </w:tc>
        <w:tc>
          <w:tcPr>
            <w:tcW w:w="2126" w:type="dxa"/>
            <w:vAlign w:val="center"/>
            <w:textDirection w:val="lrTb"/>
            <w:noWrap/>
          </w:tcPr>
          <w:p>
            <w:pPr>
              <w:jc w:val="center"/>
              <w:rPr>
                <w:color w:val="000000"/>
                <w:sz w:val="24"/>
              </w:rPr>
            </w:pPr>
            <w:r>
              <w:rPr>
                <w:color w:val="000000"/>
                <w:sz w:val="24"/>
              </w:rPr>
            </w:r>
            <w:r/>
          </w:p>
        </w:tc>
        <w:tc>
          <w:tcPr>
            <w:tcW w:w="1875" w:type="dxa"/>
            <w:vAlign w:val="center"/>
            <w:textDirection w:val="lrTb"/>
            <w:noWrap/>
          </w:tcPr>
          <w:p>
            <w:pPr>
              <w:jc w:val="center"/>
              <w:rPr>
                <w:color w:val="000000"/>
                <w:sz w:val="24"/>
              </w:rPr>
            </w:pPr>
            <w:r>
              <w:rPr>
                <w:color w:val="000000"/>
                <w:sz w:val="24"/>
              </w:rPr>
            </w:r>
            <w:r/>
          </w:p>
        </w:tc>
        <w:tc>
          <w:tcPr>
            <w:tcW w:w="1009" w:type="dxa"/>
            <w:vAlign w:val="center"/>
            <w:textDirection w:val="lrTb"/>
            <w:noWrap/>
          </w:tcPr>
          <w:p>
            <w:pPr>
              <w:jc w:val="center"/>
              <w:rPr>
                <w:color w:val="000000"/>
                <w:sz w:val="24"/>
              </w:rPr>
            </w:pPr>
            <w:r>
              <w:rPr>
                <w:color w:val="000000"/>
                <w:sz w:val="24"/>
              </w:rPr>
            </w:r>
            <w:r/>
          </w:p>
        </w:tc>
      </w:tr>
      <w:tr>
        <w:trPr>
          <w:jc w:val="center"/>
          <w:trHeight w:val="930"/>
        </w:trPr>
        <w:tc>
          <w:tcPr>
            <w:tcW w:w="775" w:type="dxa"/>
            <w:vAlign w:val="center"/>
            <w:textDirection w:val="lrTb"/>
            <w:noWrap/>
          </w:tcPr>
          <w:p>
            <w:pPr>
              <w:jc w:val="center"/>
              <w:rPr>
                <w:color w:val="000000"/>
                <w:sz w:val="24"/>
              </w:rPr>
            </w:pPr>
            <w:r>
              <w:rPr>
                <w:color w:val="000000"/>
                <w:sz w:val="24"/>
              </w:rPr>
            </w:r>
            <w:r/>
          </w:p>
        </w:tc>
        <w:tc>
          <w:tcPr>
            <w:tcW w:w="1482" w:type="dxa"/>
            <w:vAlign w:val="center"/>
            <w:textDirection w:val="lrTb"/>
            <w:noWrap/>
          </w:tcPr>
          <w:p>
            <w:pPr>
              <w:jc w:val="center"/>
              <w:rPr>
                <w:color w:val="000000"/>
                <w:sz w:val="24"/>
              </w:rPr>
            </w:pPr>
            <w:r>
              <w:rPr>
                <w:color w:val="000000"/>
                <w:sz w:val="24"/>
              </w:rPr>
            </w:r>
            <w:r/>
          </w:p>
        </w:tc>
        <w:tc>
          <w:tcPr>
            <w:tcW w:w="2384" w:type="dxa"/>
            <w:vAlign w:val="center"/>
            <w:textDirection w:val="lrTb"/>
            <w:noWrap/>
          </w:tcPr>
          <w:p>
            <w:pPr>
              <w:jc w:val="center"/>
              <w:rPr>
                <w:color w:val="000000"/>
                <w:sz w:val="24"/>
              </w:rPr>
            </w:pPr>
            <w:r>
              <w:rPr>
                <w:color w:val="000000"/>
                <w:sz w:val="24"/>
              </w:rPr>
            </w:r>
            <w:r/>
          </w:p>
        </w:tc>
        <w:tc>
          <w:tcPr>
            <w:tcW w:w="2126" w:type="dxa"/>
            <w:vAlign w:val="center"/>
            <w:textDirection w:val="lrTb"/>
            <w:noWrap/>
          </w:tcPr>
          <w:p>
            <w:pPr>
              <w:jc w:val="center"/>
              <w:rPr>
                <w:color w:val="000000"/>
                <w:sz w:val="24"/>
              </w:rPr>
            </w:pPr>
            <w:r>
              <w:rPr>
                <w:color w:val="000000"/>
                <w:sz w:val="24"/>
              </w:rPr>
            </w:r>
            <w:r/>
          </w:p>
        </w:tc>
        <w:tc>
          <w:tcPr>
            <w:tcW w:w="1875" w:type="dxa"/>
            <w:vAlign w:val="center"/>
            <w:textDirection w:val="lrTb"/>
            <w:noWrap/>
          </w:tcPr>
          <w:p>
            <w:pPr>
              <w:jc w:val="center"/>
              <w:rPr>
                <w:color w:val="000000"/>
                <w:sz w:val="24"/>
              </w:rPr>
            </w:pPr>
            <w:r>
              <w:rPr>
                <w:color w:val="000000"/>
                <w:sz w:val="24"/>
              </w:rPr>
            </w:r>
            <w:r/>
          </w:p>
        </w:tc>
        <w:tc>
          <w:tcPr>
            <w:tcW w:w="1009" w:type="dxa"/>
            <w:vAlign w:val="center"/>
            <w:textDirection w:val="lrTb"/>
            <w:noWrap/>
          </w:tcPr>
          <w:p>
            <w:pPr>
              <w:jc w:val="center"/>
              <w:rPr>
                <w:color w:val="000000"/>
                <w:sz w:val="24"/>
              </w:rPr>
            </w:pPr>
            <w:r>
              <w:rPr>
                <w:color w:val="000000"/>
                <w:sz w:val="24"/>
              </w:rPr>
            </w:r>
            <w:r/>
          </w:p>
        </w:tc>
      </w:tr>
      <w:tr>
        <w:trPr>
          <w:jc w:val="center"/>
          <w:trHeight w:val="930"/>
        </w:trPr>
        <w:tc>
          <w:tcPr>
            <w:tcW w:w="775" w:type="dxa"/>
            <w:vAlign w:val="center"/>
            <w:textDirection w:val="lrTb"/>
            <w:noWrap/>
          </w:tcPr>
          <w:p>
            <w:pPr>
              <w:jc w:val="center"/>
              <w:rPr>
                <w:color w:val="000000"/>
                <w:sz w:val="24"/>
              </w:rPr>
            </w:pPr>
            <w:r>
              <w:rPr>
                <w:color w:val="000000"/>
                <w:sz w:val="24"/>
              </w:rPr>
            </w:r>
            <w:r/>
          </w:p>
        </w:tc>
        <w:tc>
          <w:tcPr>
            <w:tcW w:w="1482" w:type="dxa"/>
            <w:vAlign w:val="center"/>
            <w:textDirection w:val="lrTb"/>
            <w:noWrap/>
          </w:tcPr>
          <w:p>
            <w:pPr>
              <w:jc w:val="center"/>
              <w:rPr>
                <w:color w:val="000000"/>
                <w:sz w:val="24"/>
              </w:rPr>
            </w:pPr>
            <w:r>
              <w:rPr>
                <w:color w:val="000000"/>
                <w:sz w:val="24"/>
              </w:rPr>
            </w:r>
            <w:r/>
          </w:p>
        </w:tc>
        <w:tc>
          <w:tcPr>
            <w:tcW w:w="2384" w:type="dxa"/>
            <w:vAlign w:val="center"/>
            <w:textDirection w:val="lrTb"/>
            <w:noWrap/>
          </w:tcPr>
          <w:p>
            <w:pPr>
              <w:jc w:val="center"/>
              <w:rPr>
                <w:color w:val="000000"/>
                <w:sz w:val="24"/>
              </w:rPr>
            </w:pPr>
            <w:r>
              <w:rPr>
                <w:color w:val="000000"/>
                <w:sz w:val="24"/>
              </w:rPr>
            </w:r>
            <w:r/>
          </w:p>
        </w:tc>
        <w:tc>
          <w:tcPr>
            <w:tcW w:w="2126" w:type="dxa"/>
            <w:vAlign w:val="center"/>
            <w:textDirection w:val="lrTb"/>
            <w:noWrap/>
          </w:tcPr>
          <w:p>
            <w:pPr>
              <w:jc w:val="center"/>
              <w:rPr>
                <w:color w:val="000000"/>
                <w:sz w:val="24"/>
              </w:rPr>
            </w:pPr>
            <w:r>
              <w:rPr>
                <w:color w:val="000000"/>
                <w:sz w:val="24"/>
              </w:rPr>
            </w:r>
            <w:r/>
          </w:p>
        </w:tc>
        <w:tc>
          <w:tcPr>
            <w:tcW w:w="1875" w:type="dxa"/>
            <w:vAlign w:val="center"/>
            <w:textDirection w:val="lrTb"/>
            <w:noWrap/>
          </w:tcPr>
          <w:p>
            <w:pPr>
              <w:jc w:val="center"/>
              <w:rPr>
                <w:color w:val="000000"/>
                <w:sz w:val="24"/>
              </w:rPr>
            </w:pPr>
            <w:r>
              <w:rPr>
                <w:color w:val="000000"/>
                <w:sz w:val="24"/>
              </w:rPr>
            </w:r>
            <w:r/>
          </w:p>
        </w:tc>
        <w:tc>
          <w:tcPr>
            <w:tcW w:w="1009" w:type="dxa"/>
            <w:vAlign w:val="center"/>
            <w:textDirection w:val="lrTb"/>
            <w:noWrap/>
          </w:tcPr>
          <w:p>
            <w:pPr>
              <w:jc w:val="center"/>
              <w:rPr>
                <w:color w:val="000000"/>
                <w:sz w:val="24"/>
              </w:rPr>
            </w:pPr>
            <w:r>
              <w:rPr>
                <w:color w:val="000000"/>
                <w:sz w:val="24"/>
              </w:rPr>
            </w:r>
            <w:r/>
          </w:p>
        </w:tc>
      </w:tr>
      <w:tr>
        <w:trPr>
          <w:jc w:val="center"/>
          <w:trHeight w:val="930"/>
        </w:trPr>
        <w:tc>
          <w:tcPr>
            <w:tcW w:w="775" w:type="dxa"/>
            <w:vAlign w:val="center"/>
            <w:textDirection w:val="lrTb"/>
            <w:noWrap/>
          </w:tcPr>
          <w:p>
            <w:pPr>
              <w:jc w:val="center"/>
              <w:rPr>
                <w:color w:val="000000"/>
                <w:sz w:val="24"/>
              </w:rPr>
            </w:pPr>
            <w:r>
              <w:rPr>
                <w:color w:val="000000"/>
                <w:sz w:val="24"/>
              </w:rPr>
            </w:r>
            <w:r/>
          </w:p>
        </w:tc>
        <w:tc>
          <w:tcPr>
            <w:tcW w:w="1482" w:type="dxa"/>
            <w:vAlign w:val="center"/>
            <w:textDirection w:val="lrTb"/>
            <w:noWrap/>
          </w:tcPr>
          <w:p>
            <w:pPr>
              <w:jc w:val="center"/>
              <w:rPr>
                <w:color w:val="000000"/>
                <w:sz w:val="24"/>
              </w:rPr>
            </w:pPr>
            <w:r>
              <w:rPr>
                <w:color w:val="000000"/>
                <w:sz w:val="24"/>
              </w:rPr>
            </w:r>
            <w:r/>
          </w:p>
        </w:tc>
        <w:tc>
          <w:tcPr>
            <w:tcW w:w="2384" w:type="dxa"/>
            <w:vAlign w:val="center"/>
            <w:textDirection w:val="lrTb"/>
            <w:noWrap/>
          </w:tcPr>
          <w:p>
            <w:pPr>
              <w:jc w:val="center"/>
              <w:rPr>
                <w:color w:val="000000"/>
                <w:sz w:val="24"/>
              </w:rPr>
            </w:pPr>
            <w:r>
              <w:rPr>
                <w:color w:val="000000"/>
                <w:sz w:val="24"/>
              </w:rPr>
            </w:r>
            <w:r/>
          </w:p>
        </w:tc>
        <w:tc>
          <w:tcPr>
            <w:tcW w:w="2126" w:type="dxa"/>
            <w:vAlign w:val="center"/>
            <w:textDirection w:val="lrTb"/>
            <w:noWrap/>
          </w:tcPr>
          <w:p>
            <w:pPr>
              <w:jc w:val="center"/>
              <w:rPr>
                <w:color w:val="000000"/>
                <w:sz w:val="24"/>
              </w:rPr>
            </w:pPr>
            <w:r>
              <w:rPr>
                <w:color w:val="000000"/>
                <w:sz w:val="24"/>
              </w:rPr>
            </w:r>
            <w:r/>
          </w:p>
        </w:tc>
        <w:tc>
          <w:tcPr>
            <w:tcW w:w="1875" w:type="dxa"/>
            <w:vAlign w:val="center"/>
            <w:textDirection w:val="lrTb"/>
            <w:noWrap/>
          </w:tcPr>
          <w:p>
            <w:pPr>
              <w:jc w:val="center"/>
              <w:rPr>
                <w:color w:val="000000"/>
                <w:sz w:val="24"/>
              </w:rPr>
            </w:pPr>
            <w:r>
              <w:rPr>
                <w:color w:val="000000"/>
                <w:sz w:val="24"/>
              </w:rPr>
            </w:r>
            <w:r/>
          </w:p>
        </w:tc>
        <w:tc>
          <w:tcPr>
            <w:tcW w:w="1009" w:type="dxa"/>
            <w:vAlign w:val="center"/>
            <w:textDirection w:val="lrTb"/>
            <w:noWrap/>
          </w:tcPr>
          <w:p>
            <w:pPr>
              <w:jc w:val="center"/>
              <w:rPr>
                <w:color w:val="000000"/>
                <w:sz w:val="24"/>
              </w:rPr>
            </w:pPr>
            <w:r>
              <w:rPr>
                <w:color w:val="000000"/>
                <w:sz w:val="24"/>
              </w:rPr>
            </w:r>
            <w:r/>
          </w:p>
        </w:tc>
      </w:tr>
      <w:tr>
        <w:trPr>
          <w:jc w:val="center"/>
          <w:trHeight w:val="930"/>
        </w:trPr>
        <w:tc>
          <w:tcPr>
            <w:tcW w:w="775" w:type="dxa"/>
            <w:vAlign w:val="center"/>
            <w:textDirection w:val="lrTb"/>
            <w:noWrap/>
          </w:tcPr>
          <w:p>
            <w:pPr>
              <w:jc w:val="center"/>
              <w:rPr>
                <w:color w:val="000000"/>
                <w:sz w:val="24"/>
              </w:rPr>
            </w:pPr>
            <w:r>
              <w:rPr>
                <w:color w:val="000000"/>
                <w:sz w:val="24"/>
              </w:rPr>
            </w:r>
            <w:r/>
          </w:p>
        </w:tc>
        <w:tc>
          <w:tcPr>
            <w:tcW w:w="1482" w:type="dxa"/>
            <w:vAlign w:val="center"/>
            <w:textDirection w:val="lrTb"/>
            <w:noWrap/>
          </w:tcPr>
          <w:p>
            <w:pPr>
              <w:jc w:val="center"/>
              <w:rPr>
                <w:color w:val="000000"/>
                <w:sz w:val="24"/>
              </w:rPr>
            </w:pPr>
            <w:r>
              <w:rPr>
                <w:color w:val="000000"/>
                <w:sz w:val="24"/>
              </w:rPr>
            </w:r>
            <w:r/>
          </w:p>
        </w:tc>
        <w:tc>
          <w:tcPr>
            <w:tcW w:w="2384" w:type="dxa"/>
            <w:vAlign w:val="center"/>
            <w:textDirection w:val="lrTb"/>
            <w:noWrap/>
          </w:tcPr>
          <w:p>
            <w:pPr>
              <w:jc w:val="center"/>
              <w:rPr>
                <w:color w:val="000000"/>
                <w:sz w:val="24"/>
              </w:rPr>
            </w:pPr>
            <w:r>
              <w:rPr>
                <w:color w:val="000000"/>
                <w:sz w:val="24"/>
              </w:rPr>
            </w:r>
            <w:r/>
          </w:p>
        </w:tc>
        <w:tc>
          <w:tcPr>
            <w:tcW w:w="2126" w:type="dxa"/>
            <w:vAlign w:val="center"/>
            <w:textDirection w:val="lrTb"/>
            <w:noWrap/>
          </w:tcPr>
          <w:p>
            <w:pPr>
              <w:jc w:val="center"/>
              <w:rPr>
                <w:color w:val="000000"/>
                <w:sz w:val="24"/>
              </w:rPr>
            </w:pPr>
            <w:r>
              <w:rPr>
                <w:color w:val="000000"/>
                <w:sz w:val="24"/>
              </w:rPr>
            </w:r>
            <w:r/>
          </w:p>
        </w:tc>
        <w:tc>
          <w:tcPr>
            <w:tcW w:w="1875" w:type="dxa"/>
            <w:vAlign w:val="center"/>
            <w:textDirection w:val="lrTb"/>
            <w:noWrap/>
          </w:tcPr>
          <w:p>
            <w:pPr>
              <w:jc w:val="center"/>
              <w:rPr>
                <w:color w:val="000000"/>
                <w:sz w:val="24"/>
              </w:rPr>
            </w:pPr>
            <w:r>
              <w:rPr>
                <w:color w:val="000000"/>
                <w:sz w:val="24"/>
              </w:rPr>
            </w:r>
            <w:r/>
          </w:p>
        </w:tc>
        <w:tc>
          <w:tcPr>
            <w:tcW w:w="1009" w:type="dxa"/>
            <w:vAlign w:val="center"/>
            <w:textDirection w:val="lrTb"/>
            <w:noWrap/>
          </w:tcPr>
          <w:p>
            <w:pPr>
              <w:jc w:val="center"/>
              <w:rPr>
                <w:color w:val="000000"/>
                <w:sz w:val="24"/>
              </w:rPr>
            </w:pPr>
            <w:r>
              <w:rPr>
                <w:color w:val="000000"/>
                <w:sz w:val="24"/>
              </w:rPr>
            </w:r>
            <w:r/>
          </w:p>
        </w:tc>
      </w:tr>
      <w:tr>
        <w:trPr>
          <w:jc w:val="center"/>
          <w:trHeight w:val="930"/>
        </w:trPr>
        <w:tc>
          <w:tcPr>
            <w:tcW w:w="775" w:type="dxa"/>
            <w:vAlign w:val="center"/>
            <w:textDirection w:val="lrTb"/>
            <w:noWrap/>
          </w:tcPr>
          <w:p>
            <w:pPr>
              <w:jc w:val="center"/>
              <w:rPr>
                <w:color w:val="000000"/>
                <w:sz w:val="24"/>
              </w:rPr>
            </w:pPr>
            <w:r>
              <w:rPr>
                <w:color w:val="000000"/>
                <w:sz w:val="24"/>
              </w:rPr>
              <w:t xml:space="preserve">……</w:t>
            </w:r>
            <w:r/>
          </w:p>
        </w:tc>
        <w:tc>
          <w:tcPr>
            <w:tcW w:w="1482" w:type="dxa"/>
            <w:vAlign w:val="center"/>
            <w:textDirection w:val="lrTb"/>
            <w:noWrap/>
          </w:tcPr>
          <w:p>
            <w:pPr>
              <w:jc w:val="center"/>
              <w:rPr>
                <w:color w:val="000000"/>
                <w:sz w:val="24"/>
              </w:rPr>
            </w:pPr>
            <w:r>
              <w:rPr>
                <w:color w:val="000000"/>
                <w:sz w:val="24"/>
              </w:rPr>
            </w:r>
            <w:r/>
          </w:p>
        </w:tc>
        <w:tc>
          <w:tcPr>
            <w:tcW w:w="2384" w:type="dxa"/>
            <w:vAlign w:val="center"/>
            <w:textDirection w:val="lrTb"/>
            <w:noWrap/>
          </w:tcPr>
          <w:p>
            <w:pPr>
              <w:jc w:val="center"/>
              <w:rPr>
                <w:color w:val="000000"/>
                <w:sz w:val="24"/>
              </w:rPr>
            </w:pPr>
            <w:r>
              <w:rPr>
                <w:color w:val="000000"/>
                <w:sz w:val="24"/>
              </w:rPr>
            </w:r>
            <w:r/>
          </w:p>
        </w:tc>
        <w:tc>
          <w:tcPr>
            <w:tcW w:w="2126" w:type="dxa"/>
            <w:vAlign w:val="center"/>
            <w:textDirection w:val="lrTb"/>
            <w:noWrap/>
          </w:tcPr>
          <w:p>
            <w:pPr>
              <w:jc w:val="center"/>
              <w:rPr>
                <w:color w:val="000000"/>
                <w:sz w:val="24"/>
              </w:rPr>
            </w:pPr>
            <w:r>
              <w:rPr>
                <w:color w:val="000000"/>
                <w:sz w:val="24"/>
              </w:rPr>
            </w:r>
            <w:r/>
          </w:p>
        </w:tc>
        <w:tc>
          <w:tcPr>
            <w:tcW w:w="1875" w:type="dxa"/>
            <w:vAlign w:val="center"/>
            <w:textDirection w:val="lrTb"/>
            <w:noWrap/>
          </w:tcPr>
          <w:p>
            <w:pPr>
              <w:jc w:val="center"/>
              <w:rPr>
                <w:color w:val="000000"/>
                <w:sz w:val="24"/>
              </w:rPr>
            </w:pPr>
            <w:r>
              <w:rPr>
                <w:color w:val="000000"/>
                <w:sz w:val="24"/>
              </w:rPr>
            </w:r>
            <w:r/>
          </w:p>
        </w:tc>
        <w:tc>
          <w:tcPr>
            <w:tcW w:w="1009" w:type="dxa"/>
            <w:vAlign w:val="center"/>
            <w:textDirection w:val="lrTb"/>
            <w:noWrap/>
          </w:tcPr>
          <w:p>
            <w:pPr>
              <w:jc w:val="center"/>
              <w:rPr>
                <w:color w:val="000000"/>
                <w:sz w:val="24"/>
              </w:rPr>
            </w:pPr>
            <w:r>
              <w:rPr>
                <w:color w:val="000000"/>
                <w:sz w:val="24"/>
              </w:rPr>
            </w:r>
            <w:r/>
          </w:p>
        </w:tc>
      </w:tr>
    </w:tbl>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填写“正偏离”或“负偏离”或“无偏离”。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color w:val="000000"/>
          <w:sz w:val="24"/>
        </w:rPr>
      </w:pPr>
      <w:r>
        <w:rPr>
          <w:color w:val="000000"/>
          <w:sz w:val="24"/>
        </w:rPr>
      </w:r>
      <w:r/>
    </w:p>
    <w:p>
      <w:pPr>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rPr>
          <w:color w:val="000000"/>
          <w:sz w:val="24"/>
          <w:szCs w:val="20"/>
        </w:rPr>
      </w:pPr>
      <w:r>
        <w:rPr>
          <w:color w:val="000000"/>
          <w:sz w:val="24"/>
          <w:szCs w:val="20"/>
        </w:rPr>
        <w:br w:type="page" w:clear="all"/>
      </w:r>
      <w:r/>
    </w:p>
    <w:p>
      <w:pPr>
        <w:jc w:val="center"/>
        <w:rPr>
          <w:rFonts w:ascii="宋体" w:hAnsi="宋体"/>
          <w:b/>
          <w:sz w:val="32"/>
          <w:szCs w:val="32"/>
        </w:rPr>
      </w:pPr>
      <w:r>
        <w:rPr>
          <w:rFonts w:ascii="宋体" w:hAnsi="宋体"/>
          <w:b/>
          <w:sz w:val="32"/>
          <w:szCs w:val="32"/>
        </w:rPr>
      </w:r>
      <w:r/>
    </w:p>
    <w:p>
      <w:pPr>
        <w:spacing w:line="360" w:lineRule="auto"/>
        <w:rPr>
          <w:strike w:val="0"/>
          <w:color w:val="000000"/>
          <w:sz w:val="24"/>
          <w:szCs w:val="20"/>
        </w:rPr>
        <w:outlineLvl w:val="2"/>
      </w:pPr>
      <w:r>
        <w:rPr>
          <w:rFonts w:hint="eastAsia"/>
          <w:strike w:val="0"/>
          <w:color w:val="000000"/>
          <w:sz w:val="24"/>
          <w:szCs w:val="20"/>
        </w:rPr>
        <w:t xml:space="preserve">8实质性条款偏离表</w:t>
      </w:r>
      <w:r/>
    </w:p>
    <w:p>
      <w:pPr>
        <w:jc w:val="center"/>
        <w:spacing w:line="360" w:lineRule="auto"/>
        <w:rPr>
          <w:b/>
          <w:strike w:val="0"/>
          <w:color w:val="000000"/>
          <w:sz w:val="36"/>
          <w:szCs w:val="36"/>
        </w:rPr>
      </w:pPr>
      <w:r>
        <w:rPr>
          <w:rFonts w:hint="eastAsia"/>
          <w:b/>
          <w:strike w:val="0"/>
          <w:color w:val="000000"/>
          <w:sz w:val="36"/>
          <w:szCs w:val="36"/>
        </w:rPr>
        <w:t xml:space="preserve">实质性条款偏离表</w:t>
      </w:r>
      <w:r/>
    </w:p>
    <w:tbl>
      <w:tblPr>
        <w:tblStyle w:val="965"/>
        <w:tblW w:w="102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6175"/>
        <w:gridCol w:w="1230"/>
        <w:gridCol w:w="1143"/>
        <w:gridCol w:w="855"/>
      </w:tblGrid>
      <w:tr>
        <w:trPr>
          <w:jc w:val="center"/>
          <w:trHeight w:val="631"/>
        </w:trPr>
        <w:tc>
          <w:tcPr>
            <w:tcW w:w="834" w:type="dxa"/>
            <w:vAlign w:val="center"/>
            <w:textDirection w:val="lrTb"/>
            <w:noWrap/>
          </w:tcPr>
          <w:p>
            <w:pPr>
              <w:jc w:val="center"/>
              <w:rPr>
                <w:rFonts w:ascii="宋体" w:hAnsi="宋体" w:cs="宋体"/>
                <w:b/>
                <w:bCs/>
                <w:strike w:val="0"/>
                <w:sz w:val="24"/>
              </w:rPr>
            </w:pPr>
            <w:r/>
            <w:bookmarkStart w:id="905" w:name="_Hlk72092651"/>
            <w:r>
              <w:rPr>
                <w:rFonts w:hint="eastAsia" w:ascii="宋体" w:hAnsi="宋体" w:cs="宋体"/>
                <w:b/>
                <w:bCs/>
                <w:strike w:val="0"/>
                <w:sz w:val="24"/>
              </w:rPr>
              <w:t xml:space="preserve">序号</w:t>
            </w:r>
            <w:r/>
          </w:p>
        </w:tc>
        <w:tc>
          <w:tcPr>
            <w:tcW w:w="6175" w:type="dxa"/>
            <w:vAlign w:val="center"/>
            <w:textDirection w:val="lrTb"/>
            <w:noWrap/>
          </w:tcPr>
          <w:p>
            <w:pPr>
              <w:jc w:val="center"/>
              <w:rPr>
                <w:rFonts w:ascii="宋体" w:hAnsi="宋体" w:cs="宋体"/>
                <w:b/>
                <w:bCs/>
                <w:strike w:val="0"/>
                <w:sz w:val="24"/>
              </w:rPr>
            </w:pPr>
            <w:r>
              <w:rPr>
                <w:rFonts w:hint="eastAsia" w:ascii="宋体" w:hAnsi="宋体" w:cs="宋体"/>
                <w:b/>
                <w:bCs/>
                <w:strike w:val="0"/>
                <w:sz w:val="24"/>
              </w:rPr>
              <w:t xml:space="preserve">实质性条款具体内容</w:t>
            </w:r>
            <w:r/>
          </w:p>
        </w:tc>
        <w:tc>
          <w:tcPr>
            <w:tcW w:w="1230" w:type="dxa"/>
            <w:vAlign w:val="center"/>
            <w:textDirection w:val="lrTb"/>
            <w:noWrap/>
          </w:tcPr>
          <w:p>
            <w:pPr>
              <w:jc w:val="center"/>
              <w:rPr>
                <w:rFonts w:ascii="宋体" w:hAnsi="宋体" w:cs="宋体"/>
                <w:b/>
                <w:bCs/>
                <w:strike w:val="0"/>
                <w:sz w:val="24"/>
              </w:rPr>
            </w:pPr>
            <w:r>
              <w:rPr>
                <w:rFonts w:hint="eastAsia" w:ascii="宋体" w:hAnsi="宋体" w:cs="宋体"/>
                <w:b/>
                <w:bCs/>
                <w:strike w:val="0"/>
                <w:sz w:val="24"/>
              </w:rPr>
              <w:t xml:space="preserve">投标响应</w:t>
            </w:r>
            <w:r/>
          </w:p>
          <w:p>
            <w:pPr>
              <w:jc w:val="center"/>
              <w:rPr>
                <w:rFonts w:ascii="宋体" w:hAnsi="宋体" w:cs="宋体"/>
                <w:b/>
                <w:bCs/>
                <w:strike w:val="0"/>
                <w:sz w:val="24"/>
              </w:rPr>
            </w:pPr>
            <w:r>
              <w:rPr>
                <w:rFonts w:hint="eastAsia" w:ascii="宋体" w:hAnsi="宋体" w:cs="宋体"/>
                <w:b/>
                <w:bCs/>
                <w:strike w:val="0"/>
                <w:sz w:val="24"/>
              </w:rPr>
              <w:t xml:space="preserve">情况</w:t>
            </w:r>
            <w:r/>
          </w:p>
        </w:tc>
        <w:tc>
          <w:tcPr>
            <w:tcW w:w="1143" w:type="dxa"/>
            <w:vAlign w:val="center"/>
            <w:textDirection w:val="lrTb"/>
            <w:noWrap/>
          </w:tcPr>
          <w:p>
            <w:pPr>
              <w:jc w:val="center"/>
              <w:rPr>
                <w:rFonts w:ascii="宋体" w:hAnsi="宋体" w:cs="宋体"/>
                <w:b/>
                <w:bCs/>
                <w:strike w:val="0"/>
                <w:sz w:val="24"/>
              </w:rPr>
            </w:pPr>
            <w:r>
              <w:rPr>
                <w:rFonts w:hint="eastAsia" w:ascii="宋体" w:hAnsi="宋体" w:cs="宋体"/>
                <w:b/>
                <w:bCs/>
                <w:strike w:val="0"/>
                <w:sz w:val="24"/>
              </w:rPr>
              <w:t xml:space="preserve">偏离</w:t>
            </w:r>
            <w:r/>
          </w:p>
          <w:p>
            <w:pPr>
              <w:jc w:val="center"/>
              <w:rPr>
                <w:rFonts w:ascii="宋体" w:hAnsi="宋体" w:cs="宋体"/>
                <w:b/>
                <w:bCs/>
                <w:strike w:val="0"/>
                <w:sz w:val="24"/>
              </w:rPr>
            </w:pPr>
            <w:r>
              <w:rPr>
                <w:rFonts w:hint="eastAsia" w:ascii="宋体" w:hAnsi="宋体" w:cs="宋体"/>
                <w:b/>
                <w:bCs/>
                <w:strike w:val="0"/>
                <w:sz w:val="24"/>
              </w:rPr>
              <w:t xml:space="preserve">情况</w:t>
            </w:r>
            <w:r/>
          </w:p>
        </w:tc>
        <w:tc>
          <w:tcPr>
            <w:tcW w:w="855" w:type="dxa"/>
            <w:vAlign w:val="center"/>
            <w:textDirection w:val="lrTb"/>
            <w:noWrap/>
          </w:tcPr>
          <w:p>
            <w:pPr>
              <w:jc w:val="center"/>
              <w:rPr>
                <w:rFonts w:ascii="宋体" w:hAnsi="宋体" w:cs="宋体"/>
                <w:b/>
                <w:bCs/>
                <w:strike w:val="0"/>
                <w:sz w:val="24"/>
              </w:rPr>
            </w:pPr>
            <w:r>
              <w:rPr>
                <w:rFonts w:hint="eastAsia" w:ascii="宋体" w:hAnsi="宋体" w:cs="宋体"/>
                <w:b/>
                <w:bCs/>
                <w:strike w:val="0"/>
                <w:sz w:val="24"/>
              </w:rPr>
              <w:t xml:space="preserve">说明</w:t>
            </w:r>
            <w:bookmarkEnd w:id="905"/>
            <w:r/>
          </w:p>
        </w:tc>
      </w:tr>
      <w:tr>
        <w:trPr>
          <w:jc w:val="center"/>
          <w:trHeight w:val="588"/>
        </w:trPr>
        <w:tc>
          <w:tcPr>
            <w:tcW w:w="834" w:type="dxa"/>
            <w:vAlign w:val="center"/>
            <w:textDirection w:val="lrTb"/>
            <w:noWrap/>
          </w:tcPr>
          <w:p>
            <w:pPr>
              <w:jc w:val="center"/>
              <w:spacing w:line="400" w:lineRule="exact"/>
              <w:rPr>
                <w:rFonts w:ascii="宋体" w:hAnsi="宋体" w:cs="宋体"/>
                <w:strike w:val="0"/>
                <w:sz w:val="24"/>
              </w:rPr>
            </w:pPr>
            <w:r>
              <w:rPr>
                <w:rFonts w:hint="eastAsia" w:ascii="宋体" w:hAnsi="宋体" w:cs="宋体"/>
                <w:bCs/>
                <w:strike w:val="0"/>
                <w:sz w:val="24"/>
              </w:rPr>
              <w:t xml:space="preserve">1</w:t>
            </w:r>
            <w:r/>
          </w:p>
        </w:tc>
        <w:tc>
          <w:tcPr>
            <w:tcW w:w="6175" w:type="dxa"/>
            <w:vAlign w:val="center"/>
            <w:textDirection w:val="lrTb"/>
            <w:noWrap/>
          </w:tcPr>
          <w:p>
            <w:pPr>
              <w:jc w:val="left"/>
              <w:spacing w:line="400" w:lineRule="exact"/>
              <w:rPr>
                <w:rFonts w:ascii="宋体" w:hAnsi="宋体" w:cs="宋体"/>
                <w:strike w:val="0"/>
                <w:color w:val="000000"/>
                <w:sz w:val="24"/>
              </w:rPr>
            </w:pPr>
            <w:r>
              <w:rPr>
                <w:rFonts w:hint="eastAsia" w:ascii="宋体" w:hAnsi="宋体" w:cs="宋体"/>
                <w:b/>
                <w:strike w:val="0"/>
                <w:sz w:val="24"/>
                <w:highlight w:val="yellow"/>
              </w:rPr>
              <w:t xml:space="preserve">★</w:t>
            </w:r>
            <w:r>
              <w:rPr>
                <w:rFonts w:hint="eastAsia" w:ascii="宋体" w:hAnsi="宋体" w:cs="宋体"/>
                <w:b/>
                <w:bCs/>
                <w:strike w:val="0"/>
                <w:color w:val="ff0000"/>
                <w:sz w:val="24"/>
                <w:highlight w:val="yellow"/>
              </w:rPr>
              <w:t xml:space="preserve">投标人必须承诺中标后保险期限从上一轮保险结束之日后一天算起。</w:t>
            </w:r>
            <w:r>
              <w:rPr>
                <w:rFonts w:hint="eastAsia" w:ascii="宋体" w:hAnsi="宋体" w:cs="宋体"/>
                <w:b/>
                <w:bCs/>
                <w:strike w:val="0"/>
                <w:color w:val="000000"/>
                <w:sz w:val="24"/>
                <w:highlight w:val="yellow"/>
              </w:rPr>
              <w:t xml:space="preserve">（提供承诺函加盖公章，格式自拟。不提供或内容不全作无效投标文件处理。）</w:t>
            </w:r>
            <w:r/>
          </w:p>
        </w:tc>
        <w:tc>
          <w:tcPr>
            <w:tcW w:w="1230" w:type="dxa"/>
            <w:vAlign w:val="center"/>
            <w:textDirection w:val="lrTb"/>
            <w:noWrap/>
          </w:tcPr>
          <w:p>
            <w:pPr>
              <w:jc w:val="center"/>
              <w:rPr>
                <w:rFonts w:ascii="宋体" w:hAnsi="宋体" w:cs="宋体"/>
                <w:strike w:val="0"/>
                <w:sz w:val="24"/>
              </w:rPr>
            </w:pPr>
            <w:r>
              <w:rPr>
                <w:rFonts w:ascii="宋体" w:hAnsi="宋体" w:cs="宋体"/>
                <w:strike w:val="0"/>
                <w:sz w:val="24"/>
              </w:rPr>
            </w:r>
            <w:r/>
          </w:p>
        </w:tc>
        <w:tc>
          <w:tcPr>
            <w:tcW w:w="1143" w:type="dxa"/>
            <w:vAlign w:val="center"/>
            <w:textDirection w:val="lrTb"/>
            <w:noWrap/>
          </w:tcPr>
          <w:p>
            <w:pPr>
              <w:jc w:val="center"/>
              <w:rPr>
                <w:rFonts w:ascii="宋体" w:hAnsi="宋体" w:cs="宋体"/>
                <w:strike w:val="0"/>
                <w:sz w:val="24"/>
              </w:rPr>
            </w:pPr>
            <w:r>
              <w:rPr>
                <w:rFonts w:ascii="宋体" w:hAnsi="宋体" w:cs="宋体"/>
                <w:strike w:val="0"/>
                <w:sz w:val="24"/>
              </w:rPr>
            </w:r>
            <w:r/>
          </w:p>
        </w:tc>
        <w:tc>
          <w:tcPr>
            <w:tcW w:w="855" w:type="dxa"/>
            <w:vAlign w:val="center"/>
            <w:textDirection w:val="lrTb"/>
            <w:noWrap/>
          </w:tcPr>
          <w:p>
            <w:pPr>
              <w:jc w:val="center"/>
              <w:rPr>
                <w:rFonts w:ascii="宋体" w:hAnsi="宋体" w:cs="宋体"/>
                <w:strike w:val="0"/>
                <w:sz w:val="24"/>
              </w:rPr>
            </w:pPr>
            <w:r>
              <w:rPr>
                <w:rFonts w:ascii="宋体" w:hAnsi="宋体" w:cs="宋体"/>
                <w:strike w:val="0"/>
                <w:sz w:val="24"/>
              </w:rPr>
            </w:r>
            <w:r/>
          </w:p>
        </w:tc>
      </w:tr>
    </w:tbl>
    <w:p>
      <w:pPr>
        <w:spacing w:line="360" w:lineRule="auto"/>
        <w:rPr>
          <w:rFonts w:ascii="宋体" w:hAnsi="宋体" w:cs="宋体"/>
          <w:strike w:val="0"/>
          <w:sz w:val="24"/>
          <w:highlight w:val="white"/>
        </w:rPr>
      </w:pPr>
      <w:r>
        <w:rPr>
          <w:rFonts w:ascii="宋体" w:hAnsi="宋体" w:cs="宋体"/>
          <w:strike w:val="0"/>
          <w:sz w:val="24"/>
          <w:highlight w:val="white"/>
        </w:rPr>
      </w:r>
      <w:r/>
    </w:p>
    <w:p>
      <w:pPr>
        <w:spacing w:before="25" w:after="25" w:line="360" w:lineRule="auto"/>
        <w:rPr>
          <w:strike w:val="0"/>
          <w:color w:val="000000"/>
          <w:sz w:val="24"/>
          <w:lang w:val="zh-CN"/>
        </w:rPr>
      </w:pPr>
      <w:r>
        <w:rPr>
          <w:strike w:val="0"/>
          <w:color w:val="000000"/>
          <w:sz w:val="24"/>
        </w:rPr>
        <w:t xml:space="preserve">投标人名称（加盖公章）</w:t>
      </w:r>
      <w:r>
        <w:rPr>
          <w:strike w:val="0"/>
          <w:color w:val="000000"/>
          <w:sz w:val="24"/>
          <w:lang w:val="zh-CN"/>
        </w:rPr>
        <w:t xml:space="preserve">：____________</w:t>
      </w:r>
      <w:r/>
    </w:p>
    <w:p>
      <w:pPr>
        <w:spacing w:line="400" w:lineRule="exact"/>
        <w:rPr>
          <w:rFonts w:ascii="宋体" w:hAnsi="宋体" w:cs="宋体"/>
          <w:strike w:val="0"/>
          <w:sz w:val="24"/>
          <w:u w:val="single"/>
        </w:rPr>
      </w:pPr>
      <w:r>
        <w:rPr>
          <w:strike w:val="0"/>
          <w:color w:val="000000"/>
          <w:sz w:val="24"/>
          <w:szCs w:val="20"/>
        </w:rPr>
        <w:t xml:space="preserve">日期：_____年______月______日</w:t>
      </w:r>
      <w:r/>
    </w:p>
    <w:p>
      <w:pPr>
        <w:spacing w:line="400" w:lineRule="exact"/>
        <w:rPr>
          <w:rFonts w:ascii="宋体" w:hAnsi="宋体" w:eastAsia="仿宋_GB2312"/>
          <w:b/>
          <w:strike w:val="0"/>
          <w:color w:val="ff0000"/>
          <w:sz w:val="24"/>
          <w:highlight w:val="yellow"/>
        </w:rPr>
      </w:pPr>
      <w:r>
        <w:rPr>
          <w:rFonts w:ascii="宋体" w:hAnsi="宋体" w:eastAsia="仿宋_GB2312"/>
          <w:b/>
          <w:strike w:val="0"/>
          <w:color w:val="ff0000"/>
          <w:sz w:val="24"/>
          <w:highlight w:val="yellow"/>
        </w:rPr>
      </w:r>
      <w:r/>
    </w:p>
    <w:p>
      <w:pPr>
        <w:spacing w:line="400" w:lineRule="exact"/>
        <w:rPr>
          <w:rFonts w:ascii="宋体" w:hAnsi="宋体" w:cs="宋体"/>
          <w:b/>
          <w:strike w:val="0"/>
          <w:color w:val="ff0000"/>
          <w:sz w:val="24"/>
          <w:highlight w:val="yellow"/>
        </w:rPr>
      </w:pPr>
      <w:r>
        <w:rPr>
          <w:rFonts w:hint="eastAsia" w:ascii="宋体" w:hAnsi="宋体" w:cs="宋体"/>
          <w:b/>
          <w:strike w:val="0"/>
          <w:color w:val="ff0000"/>
          <w:sz w:val="24"/>
          <w:highlight w:val="yellow"/>
        </w:rPr>
        <w:t xml:space="preserve">注：</w:t>
      </w:r>
      <w:r/>
    </w:p>
    <w:p>
      <w:pPr>
        <w:ind w:firstLine="562"/>
        <w:spacing w:line="400" w:lineRule="exact"/>
        <w:rPr>
          <w:rFonts w:ascii="宋体" w:hAnsi="宋体" w:cs="宋体"/>
          <w:b/>
          <w:bCs/>
          <w:strike w:val="0"/>
          <w:color w:val="ff0000"/>
          <w:sz w:val="24"/>
          <w:highlight w:val="yellow"/>
        </w:rPr>
      </w:pPr>
      <w:r>
        <w:rPr>
          <w:rFonts w:hint="eastAsia" w:ascii="宋体" w:hAnsi="宋体" w:cs="宋体"/>
          <w:b/>
          <w:bCs/>
          <w:strike w:val="0"/>
          <w:color w:val="ff0000"/>
          <w:sz w:val="24"/>
          <w:highlight w:val="yellow"/>
        </w:rPr>
        <w:t xml:space="preserve">1.上表所列各项均为不可负偏离条款，仅需填写“投标响应情况”栏目、“偏离情况”栏目以及“说明”栏目的内容。</w:t>
      </w:r>
      <w:r/>
    </w:p>
    <w:p>
      <w:pPr>
        <w:ind w:firstLine="562"/>
        <w:spacing w:line="400" w:lineRule="exact"/>
        <w:rPr>
          <w:rFonts w:ascii="宋体" w:hAnsi="宋体" w:cs="宋体"/>
          <w:b/>
          <w:bCs/>
          <w:strike w:val="0"/>
          <w:color w:val="ff0000"/>
          <w:sz w:val="24"/>
          <w:highlight w:val="yellow"/>
        </w:rPr>
      </w:pPr>
      <w:r>
        <w:rPr>
          <w:rFonts w:hint="eastAsia" w:ascii="宋体" w:hAnsi="宋体" w:cs="宋体"/>
          <w:b/>
          <w:bCs/>
          <w:strike w:val="0"/>
          <w:color w:val="ff0000"/>
          <w:sz w:val="24"/>
          <w:highlight w:val="yellow"/>
        </w:rPr>
        <w:t xml:space="preserve">2.“实质性条款具体内容”栏目，任何修改将被视为非实质性响应，从而导致该投标（响应）被拒绝，作无效投标文件处理。</w:t>
      </w:r>
      <w:r/>
    </w:p>
    <w:p>
      <w:pPr>
        <w:ind w:firstLine="562"/>
        <w:spacing w:line="400" w:lineRule="exact"/>
        <w:rPr>
          <w:rFonts w:ascii="宋体" w:hAnsi="宋体" w:cs="宋体"/>
          <w:b/>
          <w:strike w:val="0"/>
          <w:color w:val="ff0000"/>
          <w:sz w:val="24"/>
          <w:highlight w:val="yellow"/>
        </w:rPr>
      </w:pPr>
      <w:r>
        <w:rPr>
          <w:rFonts w:hint="eastAsia" w:ascii="宋体" w:hAnsi="宋体" w:cs="宋体"/>
          <w:b/>
          <w:strike w:val="0"/>
          <w:color w:val="ff0000"/>
          <w:sz w:val="24"/>
          <w:highlight w:val="yellow"/>
        </w:rPr>
        <w:t xml:space="preserve">3.“投标响应情况”一栏，应当如实填写“响应”或“不响应”。</w:t>
      </w:r>
      <w:r/>
    </w:p>
    <w:p>
      <w:pPr>
        <w:ind w:firstLine="562"/>
        <w:spacing w:line="400" w:lineRule="exact"/>
        <w:rPr>
          <w:rFonts w:ascii="宋体" w:hAnsi="宋体" w:cs="宋体"/>
          <w:b/>
          <w:strike w:val="0"/>
          <w:color w:val="ff0000"/>
          <w:sz w:val="24"/>
          <w:highlight w:val="yellow"/>
        </w:rPr>
      </w:pPr>
      <w:r>
        <w:rPr>
          <w:rFonts w:hint="eastAsia" w:ascii="宋体" w:hAnsi="宋体" w:cs="宋体"/>
          <w:b/>
          <w:strike w:val="0"/>
          <w:color w:val="ff0000"/>
          <w:sz w:val="24"/>
          <w:highlight w:val="yellow"/>
        </w:rPr>
        <w:t xml:space="preserve">4.“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firstLine="562"/>
        <w:spacing w:line="400" w:lineRule="exact"/>
        <w:rPr>
          <w:rFonts w:ascii="宋体" w:hAnsi="宋体" w:cs="宋体"/>
          <w:b/>
          <w:strike w:val="0"/>
          <w:color w:val="ff0000"/>
          <w:sz w:val="24"/>
          <w:highlight w:val="yellow"/>
        </w:rPr>
      </w:pPr>
      <w:r>
        <w:rPr>
          <w:rFonts w:hint="eastAsia" w:ascii="宋体" w:hAnsi="宋体" w:cs="宋体"/>
          <w:b/>
          <w:strike w:val="0"/>
          <w:color w:val="ff0000"/>
          <w:sz w:val="24"/>
          <w:highlight w:val="yellow"/>
        </w:rPr>
        <w:t xml:space="preserve">5评标小组有权对投标响应情况作出判断（作出评审结论）。</w:t>
      </w:r>
      <w:r/>
    </w:p>
    <w:p>
      <w:pPr>
        <w:ind w:firstLine="562"/>
        <w:spacing w:line="400" w:lineRule="exact"/>
        <w:rPr>
          <w:rFonts w:ascii="宋体" w:hAnsi="宋体" w:cs="宋体"/>
          <w:b/>
          <w:strike w:val="0"/>
          <w:color w:val="ff0000"/>
          <w:sz w:val="24"/>
          <w:highlight w:val="yellow"/>
        </w:rPr>
      </w:pPr>
      <w:r>
        <w:rPr>
          <w:rFonts w:hint="eastAsia" w:ascii="宋体" w:hAnsi="宋体" w:cs="宋体"/>
          <w:b/>
          <w:strike w:val="0"/>
          <w:color w:val="ff0000"/>
          <w:sz w:val="24"/>
          <w:highlight w:val="yellow"/>
        </w:rPr>
        <w:t xml:space="preserve">6.《实质性条款响应情况表》内容与</w:t>
      </w:r>
      <w:r>
        <w:rPr>
          <w:rFonts w:hint="eastAsia" w:ascii="宋体" w:hAnsi="宋体" w:cs="宋体"/>
          <w:b/>
          <w:bCs/>
          <w:strike w:val="0"/>
          <w:color w:val="ff0000"/>
          <w:sz w:val="24"/>
          <w:highlight w:val="yellow"/>
        </w:rPr>
        <w:t xml:space="preserve">投标</w:t>
      </w:r>
      <w:r>
        <w:rPr>
          <w:rFonts w:hint="eastAsia" w:ascii="宋体" w:hAnsi="宋体" w:cs="宋体"/>
          <w:b/>
          <w:strike w:val="0"/>
          <w:color w:val="ff0000"/>
          <w:sz w:val="24"/>
          <w:highlight w:val="yellow"/>
        </w:rPr>
        <w:t xml:space="preserve">文件其他内容冲突的，以《实质性条款响应情况表》为准。</w:t>
      </w:r>
      <w:r/>
    </w:p>
    <w:p>
      <w:pPr>
        <w:ind w:firstLine="482"/>
        <w:widowControl/>
        <w:rPr>
          <w:rFonts w:ascii="宋体" w:hAnsi="宋体" w:cs="宋体"/>
          <w:b/>
          <w:bCs/>
          <w:strike w:val="0"/>
          <w:sz w:val="24"/>
        </w:rPr>
        <w:sectPr>
          <w:footnotePr/>
          <w:endnotePr/>
          <w:type w:val="nextPage"/>
          <w:pgSz w:w="11906" w:h="16838" w:orient="portrait"/>
          <w:pgMar w:top="1440" w:right="1134" w:bottom="1134" w:left="1134" w:header="851" w:footer="992" w:gutter="0"/>
          <w:cols w:num="1" w:sep="0" w:space="1701" w:equalWidth="1"/>
          <w:docGrid w:linePitch="360"/>
        </w:sectPr>
      </w:pPr>
      <w:r>
        <w:rPr>
          <w:rFonts w:hint="eastAsia" w:ascii="宋体" w:hAnsi="宋体" w:cs="宋体"/>
          <w:b/>
          <w:strike w:val="0"/>
          <w:color w:val="ff0000"/>
          <w:sz w:val="24"/>
          <w:highlight w:val="yellow"/>
        </w:rPr>
        <w:t xml:space="preserve">7.</w:t>
      </w:r>
      <w:r>
        <w:rPr>
          <w:rFonts w:hint="eastAsia" w:ascii="宋体" w:hAnsi="宋体" w:cs="宋体"/>
          <w:b/>
          <w:bCs/>
          <w:strike w:val="0"/>
          <w:color w:val="ff0000"/>
          <w:sz w:val="24"/>
          <w:highlight w:val="yellow"/>
        </w:rPr>
        <w:t xml:space="preserve">要求提供证明资料，按照要求提供至相应模块，以便评审</w:t>
      </w:r>
      <w:r>
        <w:rPr>
          <w:rFonts w:hint="eastAsia" w:ascii="宋体" w:hAnsi="宋体" w:cs="宋体"/>
          <w:b/>
          <w:strike w:val="0"/>
          <w:color w:val="ff0000"/>
          <w:sz w:val="24"/>
          <w:highlight w:val="yellow"/>
        </w:rPr>
        <w:t xml:space="preserve">；未要求提供证明材料的，投标人可以不提供。</w:t>
      </w:r>
      <w:r/>
    </w:p>
    <w:p>
      <w:pPr>
        <w:rPr>
          <w:color w:val="000000"/>
          <w:sz w:val="24"/>
          <w:szCs w:val="20"/>
        </w:rPr>
      </w:pPr>
      <w:r>
        <w:rPr>
          <w:color w:val="000000"/>
          <w:sz w:val="24"/>
          <w:szCs w:val="20"/>
        </w:rPr>
      </w:r>
      <w:r/>
    </w:p>
    <w:p>
      <w:pPr>
        <w:ind w:firstLine="480"/>
        <w:spacing w:line="360" w:lineRule="auto"/>
        <w:rPr>
          <w:color w:val="000000"/>
          <w:sz w:val="24"/>
          <w:szCs w:val="20"/>
        </w:rPr>
      </w:pPr>
      <w:r>
        <w:rPr>
          <w:rFonts w:hint="eastAsia"/>
          <w:color w:val="000000"/>
          <w:sz w:val="24"/>
          <w:szCs w:val="20"/>
        </w:rPr>
        <w:t xml:space="preserve">9参加本项目人员一览表</w:t>
      </w:r>
      <w:r/>
    </w:p>
    <w:p>
      <w:pPr>
        <w:jc w:val="center"/>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p>
    <w:tbl>
      <w:tblPr>
        <w:tblStyle w:val="965"/>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ascii="宋体" w:hAnsi="宋体"/>
          <w:sz w:val="24"/>
        </w:rPr>
      </w:pPr>
      <w:r>
        <w:rPr>
          <w:rFonts w:ascii="宋体" w:hAnsi="宋体"/>
          <w:sz w:val="24"/>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rPr>
          <w:sz w:val="22"/>
        </w:rPr>
      </w:pPr>
      <w:r>
        <w:rPr>
          <w:sz w:val="22"/>
        </w:rPr>
        <w:br w:type="page" w:clear="all"/>
      </w:r>
      <w:bookmarkStart w:id="906" w:name="_Toc288738397"/>
      <w:r/>
      <w:bookmarkStart w:id="907" w:name="_Toc288738839"/>
      <w:r/>
      <w:r/>
    </w:p>
    <w:p>
      <w:pPr>
        <w:rPr>
          <w:color w:val="000000"/>
          <w:sz w:val="24"/>
          <w:szCs w:val="20"/>
        </w:rPr>
      </w:pPr>
      <w:r>
        <w:rPr>
          <w:rFonts w:hint="eastAsia"/>
          <w:color w:val="000000"/>
          <w:sz w:val="24"/>
          <w:szCs w:val="20"/>
        </w:rPr>
        <w:t xml:space="preserve">10相关业绩案例一览表</w:t>
      </w:r>
      <w:r/>
    </w:p>
    <w:p>
      <w:pPr>
        <w:rPr>
          <w:color w:val="000000"/>
          <w:sz w:val="24"/>
          <w:szCs w:val="20"/>
        </w:rPr>
      </w:pPr>
      <w:r>
        <w:rPr>
          <w:color w:val="000000"/>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06"/>
      <w:r/>
      <w:bookmarkEnd w:id="907"/>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p>
    <w:tbl>
      <w:tblPr>
        <w:tblStyle w:val="96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r/>
      <w:r/>
    </w:p>
    <w:p>
      <w:r/>
      <w:r/>
    </w:p>
    <w:p>
      <w:r/>
      <w:r/>
    </w:p>
    <w:p>
      <w:r/>
      <w:r/>
    </w:p>
    <w:p>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pStyle w:val="992"/>
        <w:rPr>
          <w:szCs w:val="20"/>
        </w:rPr>
      </w:pPr>
      <w:r>
        <w:rPr>
          <w:szCs w:val="20"/>
        </w:rPr>
      </w:r>
      <w:r/>
    </w:p>
    <w:p>
      <w:pPr>
        <w:pStyle w:val="992"/>
        <w:rPr>
          <w:szCs w:val="20"/>
        </w:rPr>
      </w:pPr>
      <w:r>
        <w:rPr>
          <w:szCs w:val="20"/>
        </w:rPr>
      </w:r>
      <w:r/>
    </w:p>
    <w:p>
      <w:pPr>
        <w:pStyle w:val="992"/>
        <w:rPr>
          <w:szCs w:val="20"/>
        </w:rPr>
      </w:pPr>
      <w:r>
        <w:rPr>
          <w:szCs w:val="20"/>
        </w:rPr>
      </w:r>
      <w:r/>
    </w:p>
    <w:p>
      <w:pPr>
        <w:pStyle w:val="992"/>
        <w:rPr>
          <w:szCs w:val="20"/>
        </w:rPr>
      </w:pPr>
      <w:r>
        <w:rPr>
          <w:szCs w:val="20"/>
        </w:rPr>
      </w:r>
      <w:r/>
    </w:p>
    <w:p>
      <w:pPr>
        <w:pStyle w:val="992"/>
        <w:rPr>
          <w:szCs w:val="20"/>
        </w:rPr>
      </w:pPr>
      <w:r>
        <w:rPr>
          <w:szCs w:val="20"/>
        </w:rPr>
      </w:r>
      <w:r/>
    </w:p>
    <w:p>
      <w:pPr>
        <w:pStyle w:val="992"/>
        <w:rPr>
          <w:szCs w:val="20"/>
        </w:rPr>
      </w:pPr>
      <w:r>
        <w:rPr>
          <w:szCs w:val="20"/>
        </w:rPr>
      </w:r>
      <w:r/>
    </w:p>
    <w:p>
      <w:pPr>
        <w:pStyle w:val="992"/>
        <w:rPr>
          <w:szCs w:val="20"/>
        </w:rPr>
      </w:pPr>
      <w:r>
        <w:rPr>
          <w:szCs w:val="20"/>
        </w:rPr>
      </w:r>
      <w:r/>
    </w:p>
    <w:p>
      <w:pPr>
        <w:pStyle w:val="992"/>
        <w:rPr>
          <w:szCs w:val="20"/>
        </w:rPr>
      </w:pPr>
      <w:r>
        <w:rPr>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rFonts w:hint="eastAsia"/>
          <w:color w:val="000000"/>
          <w:sz w:val="24"/>
          <w:szCs w:val="20"/>
        </w:rPr>
        <w:t xml:space="preserve">11</w:t>
      </w:r>
      <w:r>
        <w:rPr>
          <w:color w:val="000000"/>
          <w:sz w:val="24"/>
          <w:szCs w:val="20"/>
        </w:rPr>
        <w:t xml:space="preserve">招标文件要求提供</w:t>
      </w:r>
      <w:r>
        <w:rPr>
          <w:rFonts w:hint="eastAsia"/>
          <w:color w:val="000000"/>
          <w:sz w:val="24"/>
          <w:szCs w:val="20"/>
        </w:rPr>
        <w:t xml:space="preserve">、评分标准要求以及</w:t>
      </w:r>
      <w:r>
        <w:rPr>
          <w:color w:val="000000"/>
          <w:sz w:val="24"/>
          <w:szCs w:val="20"/>
        </w:rPr>
        <w:t xml:space="preserve">投标人认为应附的其他材料</w:t>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CESI黑体-GB2312">
    <w:panose1 w:val="020B0503020202020204"/>
  </w:font>
  <w:font w:name="方正小标宋简体">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88"/>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8"/>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rPr>
        <w:rStyle w:val="1213"/>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8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188"/>
      <w:ind w:right="360"/>
      <w:jc w:val="right"/>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rPr>
        <w:rStyle w:val="1213"/>
      </w:rPr>
      <w:framePr w:wrap="around" w:vAnchor="text" w:hAnchor="margin" w:xAlign="right" w:y="1"/>
    </w:pPr>
    <w:r>
      <w:rPr>
        <w:rStyle w:val="1213"/>
      </w:rPr>
      <w:fldChar w:fldCharType="begin"/>
    </w:r>
    <w:r>
      <w:rPr>
        <w:rStyle w:val="1213"/>
      </w:rPr>
      <w:instrText xml:space="preserve">PAGE  </w:instrText>
    </w:r>
    <w:r>
      <w:rPr>
        <w:rStyle w:val="1213"/>
      </w:rPr>
      <w:fldChar w:fldCharType="end"/>
    </w:r>
    <w:r/>
  </w:p>
  <w:p>
    <w:pPr>
      <w:pStyle w:val="1188"/>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rPr>
        <w:rStyle w:val="1213"/>
      </w:rPr>
      <w:framePr w:wrap="around" w:vAnchor="text" w:hAnchor="margin" w:xAlign="right" w:y="1"/>
    </w:pPr>
    <w:r>
      <w:rPr>
        <w:rStyle w:val="1213"/>
      </w:rPr>
      <w:fldChar w:fldCharType="begin"/>
    </w:r>
    <w:r>
      <w:rPr>
        <w:rStyle w:val="1213"/>
      </w:rPr>
      <w:instrText xml:space="preserve">PAGE  </w:instrText>
    </w:r>
    <w:r>
      <w:rPr>
        <w:rStyle w:val="1213"/>
      </w:rPr>
      <w:fldChar w:fldCharType="end"/>
    </w:r>
    <w:r/>
  </w:p>
  <w:p>
    <w:pPr>
      <w:pStyle w:val="1188"/>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rPr>
        <w:rStyle w:val="1213"/>
      </w:rPr>
      <w:framePr w:wrap="around" w:vAnchor="text" w:hAnchor="margin" w:xAlign="right" w:y="1"/>
    </w:pPr>
    <w:r>
      <w:fldChar w:fldCharType="begin"/>
    </w:r>
    <w:r>
      <w:rPr>
        <w:rStyle w:val="1213"/>
      </w:rPr>
      <w:instrText xml:space="preserve">PAGE  </w:instrText>
    </w:r>
    <w:r>
      <w:fldChar w:fldCharType="end"/>
    </w:r>
    <w:r/>
  </w:p>
  <w:p>
    <w:pPr>
      <w:pStyle w:val="1188"/>
      <w:ind w:right="360"/>
    </w:pPr>
    <w:r/>
    <w:r/>
  </w:p>
  <w:p>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tabs>
        <w:tab w:val="center" w:pos="4153" w:leader="none"/>
        <w:tab w:val="clear" w:pos="7143" w:leader="none"/>
        <w:tab w:val="right" w:pos="8306" w:leader="none"/>
        <w:tab w:val="clear" w:pos="14287" w:leader="none"/>
      </w:tabs>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right"/>
    </w:pPr>
    <w:r>
      <w:rPr>
        <w:rFonts w:hint="eastAsia"/>
      </w:rPr>
      <w:t xml:space="preserve">常州市政府</w:t>
    </w:r>
    <w:r>
      <w:t xml:space="preserve">采购</w:t>
    </w:r>
    <w:r>
      <w:rPr>
        <w:rFonts w:hint="eastAsia"/>
      </w:rPr>
      <w:t xml:space="preserve">项目公开招标文件示范文本</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Bdr>
        <w:bottom w:val="single" w:color="auto" w:sz="4" w:space="1"/>
      </w:pBdr>
    </w:pPr>
    <w:r>
      <w:rPr>
        <w:rFonts w:hint="eastAsia"/>
      </w:rPr>
      <w:t xml:space="preserve">常州市政府</w:t>
    </w:r>
    <w:r>
      <w:t xml:space="preserve">采购</w:t>
    </w:r>
    <w:r>
      <w:rPr>
        <w:rFonts w:hint="eastAsia"/>
      </w:rPr>
      <w:t xml:space="preserve">项目公开招标文件示范文本</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w:r/>
  </w:p>
  <w:p>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w:r/>
  </w:p>
  <w:p>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29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8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25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24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4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8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8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90"/>
      <w:isLgl w:val="false"/>
      <w:suff w:val="nothing"/>
      <w:lvlText w:val="%1.%2.%3.%4.%5.%6　"/>
      <w:lvlJc w:val="left"/>
      <w:pPr>
        <w:ind w:left="-25" w:firstLine="0"/>
      </w:pPr>
      <w:rPr>
        <w:rFonts w:ascii="Times New Roman" w:hAnsi="Times New Roman" w:eastAsia="宋体"/>
        <w:b/>
        <w:i w:val="0"/>
        <w:sz w:val="28"/>
      </w:rPr>
    </w:lvl>
    <w:lvl w:ilvl="6">
      <w:start w:val="1"/>
      <w:numFmt w:val="lowerLetter"/>
      <w:pStyle w:val="1303"/>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6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lowerLetter"/>
      <w:pStyle w:val="132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351"/>
      <w:isLgl w:val="false"/>
      <w:suff w:val="tab"/>
      <w:lvlText w:val="%1"/>
      <w:lvlJc w:val="left"/>
      <w:pPr>
        <w:ind w:left="680" w:hanging="680"/>
      </w:pPr>
      <w:rPr>
        <w:rFonts w:hint="eastAsia" w:ascii="宋体" w:hAnsi="宋体" w:eastAsia="宋体"/>
      </w:rPr>
    </w:lvl>
    <w:lvl w:ilvl="1">
      <w:start w:val="1"/>
      <w:numFmt w:val="decimal"/>
      <w:pStyle w:val="1352"/>
      <w:isLgl w:val="false"/>
      <w:suff w:val="tab"/>
      <w:lvlText w:val="%1.%2"/>
      <w:lvlJc w:val="left"/>
      <w:pPr>
        <w:ind w:left="851" w:hanging="851"/>
      </w:pPr>
      <w:rPr>
        <w:rFonts w:hint="eastAsia" w:ascii="宋体" w:hAnsi="宋体" w:eastAsia="宋体"/>
        <w:color w:val="000000"/>
      </w:rPr>
    </w:lvl>
    <w:lvl w:ilvl="2">
      <w:start w:val="1"/>
      <w:numFmt w:val="decimal"/>
      <w:pStyle w:val="135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5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3"/>
  </w:num>
  <w:num w:numId="9">
    <w:abstractNumId w:val="5"/>
  </w:num>
  <w:num w:numId="10">
    <w:abstractNumId w:val="0"/>
  </w:num>
  <w:num w:numId="11">
    <w:abstractNumId w:val="8"/>
  </w:num>
  <w:num w:numId="12">
    <w:abstractNumId w:val="11"/>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64"/>
    <w:link w:val="955"/>
    <w:uiPriority w:val="9"/>
    <w:rPr>
      <w:rFonts w:ascii="Arial" w:hAnsi="Arial" w:eastAsia="Arial" w:cs="Arial"/>
      <w:sz w:val="40"/>
      <w:szCs w:val="40"/>
    </w:rPr>
  </w:style>
  <w:style w:type="character" w:styleId="15">
    <w:name w:val="Heading 2 Char"/>
    <w:basedOn w:val="964"/>
    <w:link w:val="956"/>
    <w:uiPriority w:val="9"/>
    <w:rPr>
      <w:rFonts w:ascii="Arial" w:hAnsi="Arial" w:eastAsia="Arial" w:cs="Arial"/>
      <w:sz w:val="34"/>
    </w:rPr>
  </w:style>
  <w:style w:type="character" w:styleId="19">
    <w:name w:val="Heading 4 Char"/>
    <w:basedOn w:val="964"/>
    <w:link w:val="958"/>
    <w:uiPriority w:val="9"/>
    <w:rPr>
      <w:rFonts w:ascii="Arial" w:hAnsi="Arial" w:eastAsia="Arial" w:cs="Arial"/>
      <w:b/>
      <w:bCs/>
      <w:sz w:val="26"/>
      <w:szCs w:val="26"/>
    </w:rPr>
  </w:style>
  <w:style w:type="character" w:styleId="21">
    <w:name w:val="Heading 5 Char"/>
    <w:basedOn w:val="964"/>
    <w:link w:val="959"/>
    <w:uiPriority w:val="9"/>
    <w:rPr>
      <w:rFonts w:ascii="Arial" w:hAnsi="Arial" w:eastAsia="Arial" w:cs="Arial"/>
      <w:b/>
      <w:bCs/>
      <w:sz w:val="24"/>
      <w:szCs w:val="24"/>
    </w:rPr>
  </w:style>
  <w:style w:type="character" w:styleId="23">
    <w:name w:val="Heading 6 Char"/>
    <w:basedOn w:val="964"/>
    <w:link w:val="960"/>
    <w:uiPriority w:val="9"/>
    <w:rPr>
      <w:rFonts w:ascii="Arial" w:hAnsi="Arial" w:eastAsia="Arial" w:cs="Arial"/>
      <w:b/>
      <w:bCs/>
      <w:sz w:val="22"/>
      <w:szCs w:val="22"/>
    </w:rPr>
  </w:style>
  <w:style w:type="character" w:styleId="25">
    <w:name w:val="Heading 7 Char"/>
    <w:basedOn w:val="964"/>
    <w:link w:val="961"/>
    <w:uiPriority w:val="9"/>
    <w:rPr>
      <w:rFonts w:ascii="Arial" w:hAnsi="Arial" w:eastAsia="Arial" w:cs="Arial"/>
      <w:b/>
      <w:bCs/>
      <w:i/>
      <w:iCs/>
      <w:sz w:val="22"/>
      <w:szCs w:val="22"/>
    </w:rPr>
  </w:style>
  <w:style w:type="character" w:styleId="27">
    <w:name w:val="Heading 8 Char"/>
    <w:basedOn w:val="964"/>
    <w:link w:val="962"/>
    <w:uiPriority w:val="9"/>
    <w:rPr>
      <w:rFonts w:ascii="Arial" w:hAnsi="Arial" w:eastAsia="Arial" w:cs="Arial"/>
      <w:i/>
      <w:iCs/>
      <w:sz w:val="22"/>
      <w:szCs w:val="22"/>
    </w:rPr>
  </w:style>
  <w:style w:type="character" w:styleId="29">
    <w:name w:val="Heading 9 Char"/>
    <w:basedOn w:val="964"/>
    <w:link w:val="963"/>
    <w:uiPriority w:val="9"/>
    <w:rPr>
      <w:rFonts w:ascii="Arial" w:hAnsi="Arial" w:eastAsia="Arial" w:cs="Arial"/>
      <w:i/>
      <w:iCs/>
      <w:sz w:val="21"/>
      <w:szCs w:val="21"/>
    </w:rPr>
  </w:style>
  <w:style w:type="character" w:styleId="34">
    <w:name w:val="Title Char"/>
    <w:basedOn w:val="964"/>
    <w:link w:val="986"/>
    <w:uiPriority w:val="10"/>
    <w:rPr>
      <w:sz w:val="48"/>
      <w:szCs w:val="48"/>
    </w:rPr>
  </w:style>
  <w:style w:type="character" w:styleId="36">
    <w:name w:val="Subtitle Char"/>
    <w:basedOn w:val="964"/>
    <w:link w:val="979"/>
    <w:uiPriority w:val="11"/>
    <w:rPr>
      <w:sz w:val="24"/>
      <w:szCs w:val="24"/>
    </w:rPr>
  </w:style>
  <w:style w:type="character" w:styleId="38">
    <w:name w:val="Quote Char"/>
    <w:link w:val="1006"/>
    <w:uiPriority w:val="29"/>
    <w:rPr>
      <w:i/>
    </w:rPr>
  </w:style>
  <w:style w:type="character" w:styleId="40">
    <w:name w:val="Intense Quote Char"/>
    <w:link w:val="1008"/>
    <w:uiPriority w:val="30"/>
    <w:rPr>
      <w:i/>
    </w:rPr>
  </w:style>
  <w:style w:type="character" w:styleId="42">
    <w:name w:val="Header Char"/>
    <w:basedOn w:val="964"/>
    <w:link w:val="976"/>
    <w:uiPriority w:val="99"/>
  </w:style>
  <w:style w:type="character" w:styleId="46">
    <w:name w:val="Caption Char"/>
    <w:basedOn w:val="967"/>
    <w:link w:val="975"/>
    <w:uiPriority w:val="99"/>
  </w:style>
  <w:style w:type="character" w:styleId="175">
    <w:name w:val="Footnote Text Char"/>
    <w:link w:val="980"/>
    <w:uiPriority w:val="99"/>
    <w:rPr>
      <w:sz w:val="18"/>
    </w:rPr>
  </w:style>
  <w:style w:type="character" w:styleId="178">
    <w:name w:val="Endnote Text Char"/>
    <w:link w:val="974"/>
    <w:uiPriority w:val="99"/>
    <w:rPr>
      <w:sz w:val="20"/>
    </w:rPr>
  </w:style>
  <w:style w:type="paragraph" w:styleId="189">
    <w:name w:val="TOC Heading"/>
    <w:uiPriority w:val="39"/>
    <w:unhideWhenUsed/>
  </w:style>
  <w:style w:type="paragraph" w:styleId="95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55">
    <w:name w:val="Heading 1"/>
    <w:basedOn w:val="954"/>
    <w:next w:val="954"/>
    <w:link w:val="994"/>
    <w:uiPriority w:val="9"/>
    <w:qFormat/>
    <w:pPr>
      <w:keepLines/>
      <w:keepNext/>
      <w:spacing w:before="480" w:after="200"/>
      <w:outlineLvl w:val="0"/>
    </w:pPr>
    <w:rPr>
      <w:rFonts w:ascii="Arial" w:hAnsi="Arial" w:eastAsia="Arial" w:cs="Arial"/>
      <w:sz w:val="40"/>
      <w:szCs w:val="40"/>
    </w:rPr>
  </w:style>
  <w:style w:type="paragraph" w:styleId="956">
    <w:name w:val="Heading 2"/>
    <w:basedOn w:val="954"/>
    <w:next w:val="954"/>
    <w:link w:val="995"/>
    <w:uiPriority w:val="9"/>
    <w:unhideWhenUsed/>
    <w:qFormat/>
    <w:pPr>
      <w:keepLines/>
      <w:keepNext/>
      <w:spacing w:before="360" w:after="200"/>
      <w:outlineLvl w:val="1"/>
    </w:pPr>
    <w:rPr>
      <w:rFonts w:ascii="Arial" w:hAnsi="Arial" w:eastAsia="Arial" w:cs="Arial"/>
      <w:sz w:val="34"/>
    </w:rPr>
  </w:style>
  <w:style w:type="paragraph" w:styleId="957">
    <w:name w:val="Heading 3"/>
    <w:basedOn w:val="954"/>
    <w:next w:val="954"/>
    <w:link w:val="1361"/>
    <w:uiPriority w:val="9"/>
    <w:unhideWhenUsed/>
    <w:qFormat/>
    <w:pPr>
      <w:keepLines/>
      <w:keepNext/>
      <w:spacing w:before="320" w:after="200"/>
      <w:outlineLvl w:val="2"/>
    </w:pPr>
    <w:rPr>
      <w:rFonts w:ascii="Arial" w:hAnsi="Arial" w:eastAsia="Arial" w:cs="Arial"/>
      <w:sz w:val="30"/>
      <w:szCs w:val="30"/>
    </w:rPr>
  </w:style>
  <w:style w:type="paragraph" w:styleId="958">
    <w:name w:val="Heading 4"/>
    <w:basedOn w:val="954"/>
    <w:next w:val="954"/>
    <w:link w:val="997"/>
    <w:uiPriority w:val="9"/>
    <w:unhideWhenUsed/>
    <w:qFormat/>
    <w:pPr>
      <w:keepLines/>
      <w:keepNext/>
      <w:spacing w:before="320" w:after="200"/>
      <w:outlineLvl w:val="3"/>
    </w:pPr>
    <w:rPr>
      <w:rFonts w:ascii="Arial" w:hAnsi="Arial" w:eastAsia="Arial" w:cs="Arial"/>
      <w:b/>
      <w:bCs/>
      <w:sz w:val="26"/>
      <w:szCs w:val="26"/>
    </w:rPr>
  </w:style>
  <w:style w:type="paragraph" w:styleId="959">
    <w:name w:val="Heading 5"/>
    <w:basedOn w:val="954"/>
    <w:next w:val="954"/>
    <w:link w:val="998"/>
    <w:uiPriority w:val="9"/>
    <w:unhideWhenUsed/>
    <w:qFormat/>
    <w:pPr>
      <w:keepLines/>
      <w:keepNext/>
      <w:spacing w:before="320" w:after="200"/>
      <w:outlineLvl w:val="4"/>
    </w:pPr>
    <w:rPr>
      <w:rFonts w:ascii="Arial" w:hAnsi="Arial" w:eastAsia="Arial" w:cs="Arial"/>
      <w:b/>
      <w:bCs/>
      <w:sz w:val="24"/>
    </w:rPr>
  </w:style>
  <w:style w:type="paragraph" w:styleId="960">
    <w:name w:val="Heading 6"/>
    <w:basedOn w:val="954"/>
    <w:next w:val="954"/>
    <w:link w:val="999"/>
    <w:uiPriority w:val="9"/>
    <w:unhideWhenUsed/>
    <w:qFormat/>
    <w:pPr>
      <w:keepLines/>
      <w:keepNext/>
      <w:spacing w:before="320" w:after="200"/>
      <w:outlineLvl w:val="5"/>
    </w:pPr>
    <w:rPr>
      <w:rFonts w:ascii="Arial" w:hAnsi="Arial" w:eastAsia="Arial" w:cs="Arial"/>
      <w:b/>
      <w:bCs/>
      <w:sz w:val="22"/>
      <w:szCs w:val="22"/>
    </w:rPr>
  </w:style>
  <w:style w:type="paragraph" w:styleId="961">
    <w:name w:val="Heading 7"/>
    <w:basedOn w:val="954"/>
    <w:next w:val="954"/>
    <w:link w:val="1000"/>
    <w:uiPriority w:val="9"/>
    <w:unhideWhenUsed/>
    <w:qFormat/>
    <w:pPr>
      <w:keepLines/>
      <w:keepNext/>
      <w:spacing w:before="320" w:after="200"/>
      <w:outlineLvl w:val="6"/>
    </w:pPr>
    <w:rPr>
      <w:rFonts w:ascii="Arial" w:hAnsi="Arial" w:eastAsia="Arial" w:cs="Arial"/>
      <w:b/>
      <w:bCs/>
      <w:i/>
      <w:iCs/>
      <w:sz w:val="22"/>
      <w:szCs w:val="22"/>
    </w:rPr>
  </w:style>
  <w:style w:type="paragraph" w:styleId="962">
    <w:name w:val="Heading 8"/>
    <w:basedOn w:val="954"/>
    <w:next w:val="954"/>
    <w:link w:val="1001"/>
    <w:uiPriority w:val="9"/>
    <w:unhideWhenUsed/>
    <w:qFormat/>
    <w:pPr>
      <w:keepLines/>
      <w:keepNext/>
      <w:spacing w:before="320" w:after="200"/>
      <w:outlineLvl w:val="7"/>
    </w:pPr>
    <w:rPr>
      <w:rFonts w:ascii="Arial" w:hAnsi="Arial" w:eastAsia="Arial" w:cs="Arial"/>
      <w:i/>
      <w:iCs/>
      <w:sz w:val="22"/>
      <w:szCs w:val="22"/>
    </w:rPr>
  </w:style>
  <w:style w:type="paragraph" w:styleId="963">
    <w:name w:val="Heading 9"/>
    <w:basedOn w:val="954"/>
    <w:next w:val="954"/>
    <w:link w:val="1002"/>
    <w:uiPriority w:val="9"/>
    <w:unhideWhenUsed/>
    <w:qFormat/>
    <w:pPr>
      <w:keepLines/>
      <w:keepNext/>
      <w:spacing w:before="320" w:after="200"/>
      <w:outlineLvl w:val="8"/>
    </w:pPr>
    <w:rPr>
      <w:rFonts w:ascii="Arial" w:hAnsi="Arial" w:eastAsia="Arial" w:cs="Arial"/>
      <w:i/>
      <w:iCs/>
      <w:szCs w:val="21"/>
    </w:rPr>
  </w:style>
  <w:style w:type="character" w:styleId="964" w:default="1">
    <w:name w:val="Default Paragraph Font"/>
    <w:uiPriority w:val="1"/>
    <w:semiHidden/>
    <w:unhideWhenUsed/>
    <w:qFormat/>
  </w:style>
  <w:style w:type="table" w:styleId="965" w:default="1">
    <w:name w:val="Normal Table"/>
    <w:uiPriority w:val="99"/>
    <w:semiHidden/>
    <w:unhideWhenUsed/>
    <w:qFormat/>
    <w:tblPr>
      <w:tblCellMar>
        <w:left w:w="108" w:type="dxa"/>
        <w:top w:w="0" w:type="dxa"/>
        <w:right w:w="108" w:type="dxa"/>
        <w:bottom w:w="0" w:type="dxa"/>
      </w:tblCellMar>
    </w:tblPr>
  </w:style>
  <w:style w:type="paragraph" w:styleId="966">
    <w:name w:val="toc 7"/>
    <w:basedOn w:val="954"/>
    <w:next w:val="954"/>
    <w:uiPriority w:val="39"/>
    <w:unhideWhenUsed/>
    <w:qFormat/>
    <w:pPr>
      <w:ind w:left="1701"/>
      <w:spacing w:after="57"/>
    </w:pPr>
  </w:style>
  <w:style w:type="paragraph" w:styleId="967">
    <w:name w:val="Caption"/>
    <w:basedOn w:val="954"/>
    <w:next w:val="9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8">
    <w:name w:val="Body Text"/>
    <w:basedOn w:val="954"/>
    <w:next w:val="954"/>
    <w:uiPriority w:val="0"/>
    <w:qFormat/>
    <w:rPr>
      <w:rFonts w:ascii="楷体_GB2312" w:hAnsi="Arial" w:eastAsia="楷体_GB2312"/>
      <w:sz w:val="28"/>
      <w:szCs w:val="20"/>
    </w:rPr>
  </w:style>
  <w:style w:type="paragraph" w:styleId="969">
    <w:name w:val="Body Text Indent"/>
    <w:basedOn w:val="954"/>
    <w:uiPriority w:val="99"/>
    <w:qFormat/>
    <w:pPr>
      <w:ind w:left="960"/>
      <w:spacing w:line="700" w:lineRule="exact"/>
    </w:pPr>
    <w:rPr>
      <w:sz w:val="44"/>
    </w:rPr>
  </w:style>
  <w:style w:type="paragraph" w:styleId="970">
    <w:name w:val="toc 5"/>
    <w:basedOn w:val="954"/>
    <w:next w:val="954"/>
    <w:uiPriority w:val="39"/>
    <w:unhideWhenUsed/>
    <w:qFormat/>
    <w:pPr>
      <w:ind w:left="1134"/>
      <w:spacing w:after="57"/>
    </w:pPr>
  </w:style>
  <w:style w:type="paragraph" w:styleId="971">
    <w:name w:val="toc 3"/>
    <w:basedOn w:val="954"/>
    <w:next w:val="954"/>
    <w:uiPriority w:val="39"/>
    <w:unhideWhenUsed/>
    <w:qFormat/>
    <w:pPr>
      <w:ind w:left="567"/>
      <w:spacing w:after="57"/>
    </w:pPr>
  </w:style>
  <w:style w:type="paragraph" w:styleId="972">
    <w:name w:val="Plain Text"/>
    <w:basedOn w:val="954"/>
    <w:uiPriority w:val="0"/>
    <w:qFormat/>
    <w:rPr>
      <w:rFonts w:ascii="宋体" w:hAnsi="Courier New"/>
      <w:sz w:val="20"/>
      <w:szCs w:val="20"/>
    </w:rPr>
  </w:style>
  <w:style w:type="paragraph" w:styleId="973">
    <w:name w:val="toc 8"/>
    <w:basedOn w:val="954"/>
    <w:next w:val="954"/>
    <w:uiPriority w:val="39"/>
    <w:unhideWhenUsed/>
    <w:qFormat/>
    <w:pPr>
      <w:ind w:left="1984"/>
      <w:spacing w:after="57"/>
    </w:pPr>
  </w:style>
  <w:style w:type="paragraph" w:styleId="974">
    <w:name w:val="endnote text"/>
    <w:basedOn w:val="954"/>
    <w:link w:val="1139"/>
    <w:uiPriority w:val="99"/>
    <w:semiHidden/>
    <w:unhideWhenUsed/>
    <w:qFormat/>
    <w:rPr>
      <w:sz w:val="20"/>
    </w:rPr>
  </w:style>
  <w:style w:type="paragraph" w:styleId="975">
    <w:name w:val="Footer"/>
    <w:basedOn w:val="954"/>
    <w:link w:val="1012"/>
    <w:uiPriority w:val="99"/>
    <w:unhideWhenUsed/>
    <w:qFormat/>
    <w:pPr>
      <w:tabs>
        <w:tab w:val="center" w:pos="7143" w:leader="none"/>
        <w:tab w:val="right" w:pos="14287" w:leader="none"/>
      </w:tabs>
    </w:pPr>
  </w:style>
  <w:style w:type="paragraph" w:styleId="976">
    <w:name w:val="Header"/>
    <w:basedOn w:val="954"/>
    <w:link w:val="1010"/>
    <w:uiPriority w:val="99"/>
    <w:unhideWhenUsed/>
    <w:qFormat/>
    <w:pPr>
      <w:tabs>
        <w:tab w:val="center" w:pos="7143" w:leader="none"/>
        <w:tab w:val="right" w:pos="14287" w:leader="none"/>
      </w:tabs>
    </w:pPr>
  </w:style>
  <w:style w:type="paragraph" w:styleId="977">
    <w:name w:val="toc 1"/>
    <w:basedOn w:val="954"/>
    <w:next w:val="954"/>
    <w:uiPriority w:val="39"/>
    <w:unhideWhenUsed/>
    <w:qFormat/>
    <w:pPr>
      <w:spacing w:after="57"/>
    </w:pPr>
  </w:style>
  <w:style w:type="paragraph" w:styleId="978">
    <w:name w:val="toc 4"/>
    <w:basedOn w:val="954"/>
    <w:next w:val="954"/>
    <w:uiPriority w:val="39"/>
    <w:unhideWhenUsed/>
    <w:qFormat/>
    <w:pPr>
      <w:ind w:left="850"/>
      <w:spacing w:after="57"/>
    </w:pPr>
  </w:style>
  <w:style w:type="paragraph" w:styleId="979">
    <w:name w:val="Subtitle"/>
    <w:basedOn w:val="954"/>
    <w:next w:val="954"/>
    <w:link w:val="1005"/>
    <w:uiPriority w:val="11"/>
    <w:qFormat/>
    <w:pPr>
      <w:spacing w:before="200" w:after="200"/>
    </w:pPr>
    <w:rPr>
      <w:sz w:val="24"/>
    </w:rPr>
  </w:style>
  <w:style w:type="paragraph" w:styleId="980">
    <w:name w:val="footnote text"/>
    <w:basedOn w:val="954"/>
    <w:link w:val="1138"/>
    <w:uiPriority w:val="99"/>
    <w:semiHidden/>
    <w:unhideWhenUsed/>
    <w:qFormat/>
    <w:pPr>
      <w:spacing w:after="40"/>
    </w:pPr>
    <w:rPr>
      <w:sz w:val="18"/>
    </w:rPr>
  </w:style>
  <w:style w:type="paragraph" w:styleId="981">
    <w:name w:val="toc 6"/>
    <w:basedOn w:val="954"/>
    <w:next w:val="954"/>
    <w:uiPriority w:val="39"/>
    <w:unhideWhenUsed/>
    <w:qFormat/>
    <w:pPr>
      <w:ind w:left="1417"/>
      <w:spacing w:after="57"/>
    </w:pPr>
  </w:style>
  <w:style w:type="paragraph" w:styleId="982">
    <w:name w:val="table of figures"/>
    <w:basedOn w:val="954"/>
    <w:next w:val="954"/>
    <w:uiPriority w:val="99"/>
    <w:unhideWhenUsed/>
    <w:qFormat/>
  </w:style>
  <w:style w:type="paragraph" w:styleId="983">
    <w:name w:val="toc 2"/>
    <w:basedOn w:val="954"/>
    <w:next w:val="954"/>
    <w:uiPriority w:val="39"/>
    <w:unhideWhenUsed/>
    <w:qFormat/>
    <w:pPr>
      <w:ind w:left="283"/>
      <w:spacing w:after="57"/>
    </w:pPr>
  </w:style>
  <w:style w:type="paragraph" w:styleId="984">
    <w:name w:val="toc 9"/>
    <w:basedOn w:val="954"/>
    <w:next w:val="954"/>
    <w:uiPriority w:val="39"/>
    <w:unhideWhenUsed/>
    <w:qFormat/>
    <w:pPr>
      <w:ind w:left="2268"/>
      <w:spacing w:after="57"/>
    </w:pPr>
  </w:style>
  <w:style w:type="paragraph" w:styleId="985">
    <w:name w:val="Normal (Web)"/>
    <w:basedOn w:val="954"/>
    <w:uiPriority w:val="99"/>
    <w:unhideWhenUsed/>
    <w:qFormat/>
    <w:pPr>
      <w:jc w:val="left"/>
      <w:spacing w:before="100" w:beforeAutospacing="1" w:after="100" w:afterAutospacing="1"/>
      <w:widowControl/>
    </w:pPr>
    <w:rPr>
      <w:rFonts w:ascii="宋体" w:hAnsi="宋体"/>
      <w:sz w:val="24"/>
    </w:rPr>
  </w:style>
  <w:style w:type="paragraph" w:styleId="986">
    <w:name w:val="Title"/>
    <w:basedOn w:val="954"/>
    <w:next w:val="954"/>
    <w:link w:val="1004"/>
    <w:uiPriority w:val="10"/>
    <w:qFormat/>
    <w:pPr>
      <w:contextualSpacing/>
      <w:spacing w:before="300" w:after="200"/>
    </w:pPr>
    <w:rPr>
      <w:sz w:val="48"/>
      <w:szCs w:val="48"/>
    </w:rPr>
  </w:style>
  <w:style w:type="table" w:styleId="9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8">
    <w:name w:val="Strong"/>
    <w:uiPriority w:val="0"/>
    <w:qFormat/>
    <w:rPr>
      <w:b/>
    </w:rPr>
  </w:style>
  <w:style w:type="character" w:styleId="989">
    <w:name w:val="endnote reference"/>
    <w:uiPriority w:val="99"/>
    <w:semiHidden/>
    <w:unhideWhenUsed/>
    <w:qFormat/>
    <w:rPr>
      <w:vertAlign w:val="superscript"/>
    </w:rPr>
  </w:style>
  <w:style w:type="character" w:styleId="990">
    <w:name w:val="Hyperlink"/>
    <w:uiPriority w:val="99"/>
    <w:unhideWhenUsed/>
    <w:qFormat/>
    <w:rPr>
      <w:color w:val="0000ff" w:themeColor="hyperlink"/>
      <w:u w:val="single"/>
      <w14:textFill>
        <w14:solidFill>
          <w14:schemeClr w14:val="hlink"/>
        </w14:solidFill>
      </w14:textFill>
    </w:rPr>
  </w:style>
  <w:style w:type="character" w:styleId="991">
    <w:name w:val="footnote reference"/>
    <w:uiPriority w:val="99"/>
    <w:unhideWhenUsed/>
    <w:qFormat/>
    <w:rPr>
      <w:vertAlign w:val="superscript"/>
    </w:rPr>
  </w:style>
  <w:style w:type="paragraph" w:styleId="992"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993" w:customStyle="1">
    <w:name w:val="段"/>
    <w:next w:val="954"/>
    <w:uiPriority w:val="0"/>
    <w:qFormat/>
    <w:pPr>
      <w:ind w:firstLine="200"/>
      <w:jc w:val="both"/>
    </w:pPr>
    <w:rPr>
      <w:rFonts w:ascii="宋体" w:hAnsi="Times New Roman" w:eastAsia="Times New Roman" w:cs="Times New Roman"/>
      <w:sz w:val="21"/>
      <w:lang w:val="en-US" w:eastAsia="zh-CN" w:bidi="ar-SA"/>
    </w:rPr>
  </w:style>
  <w:style w:type="character" w:styleId="994" w:customStyle="1">
    <w:name w:val="标题 1 Char"/>
    <w:link w:val="955"/>
    <w:uiPriority w:val="9"/>
    <w:qFormat/>
    <w:rPr>
      <w:rFonts w:ascii="Arial" w:hAnsi="Arial" w:eastAsia="Arial" w:cs="Arial"/>
      <w:sz w:val="40"/>
      <w:szCs w:val="40"/>
    </w:rPr>
  </w:style>
  <w:style w:type="character" w:styleId="995" w:customStyle="1">
    <w:name w:val="标题 2 Char1"/>
    <w:link w:val="956"/>
    <w:uiPriority w:val="9"/>
    <w:qFormat/>
    <w:rPr>
      <w:rFonts w:ascii="Arial" w:hAnsi="Arial" w:eastAsia="Arial" w:cs="Arial"/>
      <w:sz w:val="34"/>
    </w:rPr>
  </w:style>
  <w:style w:type="character" w:styleId="996" w:customStyle="1">
    <w:name w:val="Heading 3 Char"/>
    <w:link w:val="957"/>
    <w:uiPriority w:val="9"/>
    <w:qFormat/>
    <w:rPr>
      <w:rFonts w:ascii="Arial" w:hAnsi="Arial" w:eastAsia="Arial" w:cs="Arial"/>
      <w:sz w:val="30"/>
      <w:szCs w:val="30"/>
    </w:rPr>
  </w:style>
  <w:style w:type="character" w:styleId="997" w:customStyle="1">
    <w:name w:val="标题 4 Char"/>
    <w:link w:val="958"/>
    <w:uiPriority w:val="9"/>
    <w:qFormat/>
    <w:rPr>
      <w:rFonts w:ascii="Arial" w:hAnsi="Arial" w:eastAsia="Arial" w:cs="Arial"/>
      <w:b/>
      <w:bCs/>
      <w:sz w:val="26"/>
      <w:szCs w:val="26"/>
    </w:rPr>
  </w:style>
  <w:style w:type="character" w:styleId="998" w:customStyle="1">
    <w:name w:val="标题 5 Char"/>
    <w:link w:val="959"/>
    <w:uiPriority w:val="9"/>
    <w:qFormat/>
    <w:rPr>
      <w:rFonts w:ascii="Arial" w:hAnsi="Arial" w:eastAsia="Arial" w:cs="Arial"/>
      <w:b/>
      <w:bCs/>
      <w:sz w:val="24"/>
      <w:szCs w:val="24"/>
    </w:rPr>
  </w:style>
  <w:style w:type="character" w:styleId="999" w:customStyle="1">
    <w:name w:val="标题 6 Char"/>
    <w:link w:val="960"/>
    <w:uiPriority w:val="9"/>
    <w:qFormat/>
    <w:rPr>
      <w:rFonts w:ascii="Arial" w:hAnsi="Arial" w:eastAsia="Arial" w:cs="Arial"/>
      <w:b/>
      <w:bCs/>
      <w:sz w:val="22"/>
      <w:szCs w:val="22"/>
    </w:rPr>
  </w:style>
  <w:style w:type="character" w:styleId="1000" w:customStyle="1">
    <w:name w:val="标题 7 Char"/>
    <w:link w:val="961"/>
    <w:uiPriority w:val="9"/>
    <w:qFormat/>
    <w:rPr>
      <w:rFonts w:ascii="Arial" w:hAnsi="Arial" w:eastAsia="Arial" w:cs="Arial"/>
      <w:b/>
      <w:bCs/>
      <w:i/>
      <w:iCs/>
      <w:sz w:val="22"/>
      <w:szCs w:val="22"/>
    </w:rPr>
  </w:style>
  <w:style w:type="character" w:styleId="1001" w:customStyle="1">
    <w:name w:val="标题 8 Char"/>
    <w:link w:val="962"/>
    <w:uiPriority w:val="9"/>
    <w:qFormat/>
    <w:rPr>
      <w:rFonts w:ascii="Arial" w:hAnsi="Arial" w:eastAsia="Arial" w:cs="Arial"/>
      <w:i/>
      <w:iCs/>
      <w:sz w:val="22"/>
      <w:szCs w:val="22"/>
    </w:rPr>
  </w:style>
  <w:style w:type="character" w:styleId="1002" w:customStyle="1">
    <w:name w:val="标题 9 Char"/>
    <w:link w:val="963"/>
    <w:uiPriority w:val="9"/>
    <w:qFormat/>
    <w:rPr>
      <w:rFonts w:ascii="Arial" w:hAnsi="Arial" w:eastAsia="Arial" w:cs="Arial"/>
      <w:i/>
      <w:iCs/>
      <w:sz w:val="21"/>
      <w:szCs w:val="21"/>
    </w:rPr>
  </w:style>
  <w:style w:type="paragraph" w:styleId="1003">
    <w:name w:val="No Spacing"/>
    <w:uiPriority w:val="1"/>
    <w:qFormat/>
    <w:rPr>
      <w:rFonts w:ascii="Times New Roman" w:hAnsi="Times New Roman" w:eastAsia="宋体" w:cs="Times New Roman"/>
      <w:lang w:val="en-US" w:eastAsia="zh-CN" w:bidi="ar-SA"/>
    </w:rPr>
  </w:style>
  <w:style w:type="character" w:styleId="1004" w:customStyle="1">
    <w:name w:val="标题 Char1"/>
    <w:link w:val="986"/>
    <w:uiPriority w:val="10"/>
    <w:qFormat/>
    <w:rPr>
      <w:sz w:val="48"/>
      <w:szCs w:val="48"/>
    </w:rPr>
  </w:style>
  <w:style w:type="character" w:styleId="1005" w:customStyle="1">
    <w:name w:val="副标题 Char"/>
    <w:link w:val="979"/>
    <w:uiPriority w:val="11"/>
    <w:qFormat/>
    <w:rPr>
      <w:sz w:val="24"/>
      <w:szCs w:val="24"/>
    </w:rPr>
  </w:style>
  <w:style w:type="paragraph" w:styleId="1006">
    <w:name w:val="Quote"/>
    <w:basedOn w:val="954"/>
    <w:next w:val="954"/>
    <w:link w:val="1007"/>
    <w:uiPriority w:val="29"/>
    <w:qFormat/>
    <w:pPr>
      <w:ind w:left="720" w:right="720"/>
    </w:pPr>
    <w:rPr>
      <w:i/>
    </w:rPr>
  </w:style>
  <w:style w:type="character" w:styleId="1007" w:customStyle="1">
    <w:name w:val="引用 Char"/>
    <w:link w:val="1006"/>
    <w:uiPriority w:val="29"/>
    <w:qFormat/>
    <w:rPr>
      <w:i/>
    </w:rPr>
  </w:style>
  <w:style w:type="paragraph" w:styleId="1008">
    <w:name w:val="Intense Quote"/>
    <w:basedOn w:val="954"/>
    <w:next w:val="954"/>
    <w:link w:val="10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9" w:customStyle="1">
    <w:name w:val="明显引用 Char"/>
    <w:link w:val="1008"/>
    <w:uiPriority w:val="30"/>
    <w:qFormat/>
    <w:rPr>
      <w:i/>
    </w:rPr>
  </w:style>
  <w:style w:type="character" w:styleId="1010" w:customStyle="1">
    <w:name w:val="页眉 Char1"/>
    <w:link w:val="976"/>
    <w:uiPriority w:val="99"/>
    <w:qFormat/>
  </w:style>
  <w:style w:type="character" w:styleId="1011" w:customStyle="1">
    <w:name w:val="Footer Char"/>
    <w:link w:val="975"/>
    <w:uiPriority w:val="99"/>
    <w:qFormat/>
  </w:style>
  <w:style w:type="character" w:styleId="1012" w:customStyle="1">
    <w:name w:val="页脚 Char1"/>
    <w:link w:val="975"/>
    <w:uiPriority w:val="99"/>
    <w:qFormat/>
  </w:style>
  <w:style w:type="table" w:styleId="101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8" w:customStyle="1">
    <w:name w:val="脚注文本 Char"/>
    <w:link w:val="980"/>
    <w:uiPriority w:val="99"/>
    <w:qFormat/>
    <w:rPr>
      <w:sz w:val="18"/>
    </w:rPr>
  </w:style>
  <w:style w:type="character" w:styleId="1139" w:customStyle="1">
    <w:name w:val="尾注文本 Char"/>
    <w:link w:val="974"/>
    <w:uiPriority w:val="99"/>
    <w:qFormat/>
    <w:rPr>
      <w:sz w:val="20"/>
    </w:rPr>
  </w:style>
  <w:style w:type="paragraph" w:styleId="1140" w:customStyle="1">
    <w:name w:val="TOC 标题1"/>
    <w:uiPriority w:val="39"/>
    <w:unhideWhenUsed/>
    <w:qFormat/>
    <w:rPr>
      <w:rFonts w:ascii="Times New Roman" w:hAnsi="Times New Roman" w:eastAsia="宋体" w:cs="Times New Roman"/>
      <w:lang w:val="en-US" w:eastAsia="zh-CN" w:bidi="ar-SA"/>
    </w:rPr>
  </w:style>
  <w:style w:type="paragraph" w:styleId="1141" w:customStyle="1">
    <w:name w:val="标题 11"/>
    <w:basedOn w:val="954"/>
    <w:next w:val="954"/>
    <w:link w:val="1152"/>
    <w:uiPriority w:val="0"/>
    <w:qFormat/>
    <w:pPr>
      <w:jc w:val="center"/>
      <w:keepLines/>
      <w:keepNext/>
      <w:spacing w:before="240" w:after="120" w:line="300" w:lineRule="auto"/>
      <w:outlineLvl w:val="0"/>
    </w:pPr>
    <w:rPr>
      <w:rFonts w:ascii="宋体"/>
      <w:b/>
      <w:sz w:val="32"/>
      <w:szCs w:val="20"/>
    </w:rPr>
  </w:style>
  <w:style w:type="paragraph" w:styleId="1142" w:customStyle="1">
    <w:name w:val="标题 21"/>
    <w:basedOn w:val="954"/>
    <w:next w:val="954"/>
    <w:link w:val="1153"/>
    <w:uiPriority w:val="0"/>
    <w:qFormat/>
    <w:pPr>
      <w:jc w:val="center"/>
      <w:keepLines/>
      <w:keepNext/>
      <w:spacing w:before="120" w:line="300" w:lineRule="auto"/>
      <w:outlineLvl w:val="1"/>
    </w:pPr>
    <w:rPr>
      <w:rFonts w:ascii="Arial" w:hAnsi="Arial" w:eastAsia="黑体"/>
      <w:b/>
      <w:sz w:val="30"/>
      <w:szCs w:val="20"/>
    </w:rPr>
  </w:style>
  <w:style w:type="paragraph" w:styleId="1143" w:customStyle="1">
    <w:name w:val="标题 311"/>
    <w:basedOn w:val="954"/>
    <w:next w:val="954"/>
    <w:link w:val="1154"/>
    <w:uiPriority w:val="0"/>
    <w:qFormat/>
    <w:pPr>
      <w:jc w:val="left"/>
      <w:keepLines/>
      <w:keepNext/>
      <w:spacing w:before="360" w:after="120"/>
      <w:outlineLvl w:val="2"/>
    </w:pPr>
    <w:rPr>
      <w:rFonts w:ascii="宋体"/>
      <w:b/>
      <w:sz w:val="24"/>
      <w:szCs w:val="20"/>
      <w:u w:val="single"/>
    </w:rPr>
  </w:style>
  <w:style w:type="paragraph" w:styleId="1144" w:customStyle="1">
    <w:name w:val="标题 41"/>
    <w:basedOn w:val="954"/>
    <w:next w:val="954"/>
    <w:link w:val="1155"/>
    <w:uiPriority w:val="0"/>
    <w:qFormat/>
    <w:pPr>
      <w:keepLines/>
      <w:keepNext/>
      <w:spacing w:before="280" w:after="290" w:line="376" w:lineRule="atLeast"/>
      <w:outlineLvl w:val="3"/>
    </w:pPr>
    <w:rPr>
      <w:rFonts w:ascii="Arial" w:hAnsi="Arial" w:eastAsia="黑体"/>
      <w:b/>
      <w:sz w:val="28"/>
      <w:szCs w:val="20"/>
    </w:rPr>
  </w:style>
  <w:style w:type="paragraph" w:styleId="1145" w:customStyle="1">
    <w:name w:val="标题 51"/>
    <w:basedOn w:val="954"/>
    <w:next w:val="954"/>
    <w:link w:val="1156"/>
    <w:uiPriority w:val="0"/>
    <w:qFormat/>
    <w:pPr>
      <w:keepLines/>
      <w:keepNext/>
      <w:spacing w:before="280" w:after="290" w:line="376" w:lineRule="atLeast"/>
      <w:outlineLvl w:val="4"/>
    </w:pPr>
    <w:rPr>
      <w:b/>
      <w:sz w:val="28"/>
      <w:szCs w:val="20"/>
    </w:rPr>
  </w:style>
  <w:style w:type="paragraph" w:styleId="1146" w:customStyle="1">
    <w:name w:val="标题 61"/>
    <w:basedOn w:val="954"/>
    <w:next w:val="954"/>
    <w:link w:val="1157"/>
    <w:uiPriority w:val="0"/>
    <w:qFormat/>
    <w:pPr>
      <w:keepLines/>
      <w:keepNext/>
      <w:spacing w:before="240" w:after="64" w:line="320" w:lineRule="atLeast"/>
      <w:outlineLvl w:val="5"/>
    </w:pPr>
    <w:rPr>
      <w:rFonts w:ascii="Arial" w:hAnsi="Arial" w:eastAsia="黑体"/>
      <w:b/>
      <w:sz w:val="24"/>
      <w:szCs w:val="20"/>
    </w:rPr>
  </w:style>
  <w:style w:type="paragraph" w:styleId="1147" w:customStyle="1">
    <w:name w:val="标题 71"/>
    <w:basedOn w:val="954"/>
    <w:next w:val="954"/>
    <w:link w:val="1158"/>
    <w:uiPriority w:val="0"/>
    <w:qFormat/>
    <w:pPr>
      <w:keepLines/>
      <w:keepNext/>
      <w:spacing w:before="240" w:after="64" w:line="320" w:lineRule="atLeast"/>
      <w:outlineLvl w:val="6"/>
    </w:pPr>
    <w:rPr>
      <w:b/>
      <w:sz w:val="24"/>
      <w:szCs w:val="20"/>
    </w:rPr>
  </w:style>
  <w:style w:type="paragraph" w:styleId="1148" w:customStyle="1">
    <w:name w:val="标题 81"/>
    <w:basedOn w:val="954"/>
    <w:next w:val="954"/>
    <w:link w:val="1159"/>
    <w:uiPriority w:val="0"/>
    <w:qFormat/>
    <w:pPr>
      <w:keepLines/>
      <w:keepNext/>
      <w:spacing w:before="240" w:after="64" w:line="320" w:lineRule="atLeast"/>
      <w:outlineLvl w:val="7"/>
    </w:pPr>
    <w:rPr>
      <w:rFonts w:ascii="Arial" w:hAnsi="Arial" w:eastAsia="黑体"/>
      <w:sz w:val="24"/>
      <w:szCs w:val="20"/>
    </w:rPr>
  </w:style>
  <w:style w:type="paragraph" w:styleId="1149" w:customStyle="1">
    <w:name w:val="标题 91"/>
    <w:basedOn w:val="954"/>
    <w:next w:val="954"/>
    <w:link w:val="1160"/>
    <w:uiPriority w:val="0"/>
    <w:qFormat/>
    <w:pPr>
      <w:keepLines/>
      <w:keepNext/>
      <w:spacing w:before="240" w:after="64" w:line="320" w:lineRule="atLeast"/>
      <w:outlineLvl w:val="8"/>
    </w:pPr>
    <w:rPr>
      <w:rFonts w:ascii="Arial" w:hAnsi="Arial" w:eastAsia="黑体"/>
      <w:szCs w:val="20"/>
    </w:rPr>
  </w:style>
  <w:style w:type="character" w:styleId="1150" w:customStyle="1">
    <w:name w:val="默认段落字体1"/>
    <w:uiPriority w:val="1"/>
    <w:unhideWhenUsed/>
    <w:qFormat/>
  </w:style>
  <w:style w:type="table" w:styleId="1151" w:customStyle="1">
    <w:name w:val="普通表格1"/>
    <w:uiPriority w:val="99"/>
    <w:unhideWhenUsed/>
    <w:qFormat/>
    <w:tblPr>
      <w:tblCellMar>
        <w:left w:w="0" w:type="dxa"/>
        <w:top w:w="0" w:type="dxa"/>
        <w:right w:w="0" w:type="dxa"/>
        <w:bottom w:w="0" w:type="dxa"/>
      </w:tblCellMar>
    </w:tblPr>
  </w:style>
  <w:style w:type="character" w:styleId="1152" w:customStyle="1">
    <w:name w:val="标题 1 字符"/>
    <w:link w:val="1141"/>
    <w:uiPriority w:val="0"/>
    <w:qFormat/>
    <w:rPr>
      <w:rFonts w:ascii="宋体"/>
      <w:b/>
      <w:sz w:val="32"/>
    </w:rPr>
  </w:style>
  <w:style w:type="character" w:styleId="1153" w:customStyle="1">
    <w:name w:val="标题 2 字符"/>
    <w:link w:val="1142"/>
    <w:uiPriority w:val="0"/>
    <w:qFormat/>
    <w:rPr>
      <w:rFonts w:ascii="Arial" w:hAnsi="Arial" w:eastAsia="黑体"/>
      <w:b/>
      <w:sz w:val="30"/>
      <w:lang w:val="en-US" w:eastAsia="zh-CN" w:bidi="ar-SA"/>
    </w:rPr>
  </w:style>
  <w:style w:type="character" w:styleId="1154" w:customStyle="1">
    <w:name w:val="标题 3 字符"/>
    <w:link w:val="1143"/>
    <w:uiPriority w:val="0"/>
    <w:qFormat/>
    <w:rPr>
      <w:rFonts w:ascii="宋体" w:eastAsia="宋体"/>
      <w:b/>
      <w:sz w:val="24"/>
      <w:u w:val="single"/>
      <w:lang w:val="en-US" w:eastAsia="zh-CN" w:bidi="ar-SA"/>
    </w:rPr>
  </w:style>
  <w:style w:type="character" w:styleId="1155" w:customStyle="1">
    <w:name w:val="标题 4 字符"/>
    <w:link w:val="1144"/>
    <w:uiPriority w:val="0"/>
    <w:qFormat/>
    <w:rPr>
      <w:rFonts w:ascii="Arial" w:hAnsi="Arial" w:eastAsia="黑体"/>
      <w:b/>
      <w:sz w:val="28"/>
    </w:rPr>
  </w:style>
  <w:style w:type="character" w:styleId="1156" w:customStyle="1">
    <w:name w:val="标题 5 字符"/>
    <w:link w:val="1145"/>
    <w:uiPriority w:val="0"/>
    <w:qFormat/>
    <w:rPr>
      <w:b/>
      <w:sz w:val="28"/>
    </w:rPr>
  </w:style>
  <w:style w:type="character" w:styleId="1157" w:customStyle="1">
    <w:name w:val="标题 6 字符"/>
    <w:link w:val="1146"/>
    <w:uiPriority w:val="0"/>
    <w:qFormat/>
    <w:rPr>
      <w:rFonts w:ascii="Arial" w:hAnsi="Arial" w:eastAsia="黑体"/>
      <w:b/>
      <w:sz w:val="24"/>
    </w:rPr>
  </w:style>
  <w:style w:type="character" w:styleId="1158" w:customStyle="1">
    <w:name w:val="标题 7 字符"/>
    <w:link w:val="1147"/>
    <w:uiPriority w:val="0"/>
    <w:qFormat/>
    <w:rPr>
      <w:b/>
      <w:sz w:val="24"/>
    </w:rPr>
  </w:style>
  <w:style w:type="character" w:styleId="1159" w:customStyle="1">
    <w:name w:val="标题 8 字符"/>
    <w:link w:val="1148"/>
    <w:uiPriority w:val="0"/>
    <w:qFormat/>
    <w:rPr>
      <w:rFonts w:ascii="Arial" w:hAnsi="Arial" w:eastAsia="黑体"/>
      <w:sz w:val="24"/>
    </w:rPr>
  </w:style>
  <w:style w:type="character" w:styleId="1160" w:customStyle="1">
    <w:name w:val="标题 9 字符"/>
    <w:link w:val="1149"/>
    <w:uiPriority w:val="0"/>
    <w:qFormat/>
    <w:rPr>
      <w:rFonts w:ascii="Arial" w:hAnsi="Arial" w:eastAsia="黑体"/>
      <w:sz w:val="21"/>
    </w:rPr>
  </w:style>
  <w:style w:type="paragraph" w:styleId="1161" w:customStyle="1">
    <w:name w:val="目录 71"/>
    <w:basedOn w:val="954"/>
    <w:next w:val="954"/>
    <w:uiPriority w:val="0"/>
    <w:qFormat/>
    <w:pPr>
      <w:ind w:left="2520"/>
    </w:pPr>
  </w:style>
  <w:style w:type="paragraph" w:styleId="1162" w:customStyle="1">
    <w:name w:val="正文缩进11"/>
    <w:basedOn w:val="954"/>
    <w:next w:val="954"/>
    <w:link w:val="1163"/>
    <w:uiPriority w:val="0"/>
    <w:qFormat/>
    <w:pPr>
      <w:ind w:firstLine="420"/>
      <w:jc w:val="left"/>
    </w:pPr>
    <w:rPr>
      <w:rFonts w:ascii="宋体"/>
      <w:sz w:val="24"/>
    </w:rPr>
  </w:style>
  <w:style w:type="character" w:styleId="1163" w:customStyle="1">
    <w:name w:val="正文缩进 字符"/>
    <w:link w:val="1162"/>
    <w:uiPriority w:val="0"/>
    <w:qFormat/>
    <w:rPr>
      <w:rFonts w:ascii="宋体" w:eastAsia="宋体"/>
      <w:sz w:val="24"/>
      <w:szCs w:val="24"/>
      <w:lang w:val="en-US" w:eastAsia="zh-CN" w:bidi="ar-SA"/>
    </w:rPr>
  </w:style>
  <w:style w:type="paragraph" w:styleId="1164" w:customStyle="1">
    <w:name w:val="题注1"/>
    <w:basedOn w:val="954"/>
    <w:next w:val="954"/>
    <w:uiPriority w:val="0"/>
    <w:qFormat/>
    <w:pPr>
      <w:spacing w:line="480" w:lineRule="auto"/>
    </w:pPr>
    <w:rPr>
      <w:rFonts w:ascii="华文中宋" w:hAnsi="华文中宋" w:eastAsia="华文中宋"/>
      <w:sz w:val="36"/>
      <w:szCs w:val="20"/>
    </w:rPr>
  </w:style>
  <w:style w:type="paragraph" w:styleId="1165" w:customStyle="1">
    <w:name w:val="文档结构图1"/>
    <w:basedOn w:val="954"/>
    <w:link w:val="1166"/>
    <w:uiPriority w:val="0"/>
    <w:qFormat/>
    <w:pPr>
      <w:shd w:val="clear" w:color="auto" w:fill="000080"/>
    </w:pPr>
  </w:style>
  <w:style w:type="character" w:styleId="1166" w:customStyle="1">
    <w:name w:val="文档结构图 字符"/>
    <w:link w:val="1165"/>
    <w:uiPriority w:val="0"/>
    <w:qFormat/>
    <w:rPr>
      <w:sz w:val="21"/>
      <w:szCs w:val="24"/>
      <w:shd w:val="clear" w:color="auto" w:fill="000080"/>
    </w:rPr>
  </w:style>
  <w:style w:type="paragraph" w:styleId="1167" w:customStyle="1">
    <w:name w:val="批注文字1"/>
    <w:basedOn w:val="954"/>
    <w:link w:val="1168"/>
    <w:uiPriority w:val="99"/>
    <w:qFormat/>
    <w:pPr>
      <w:jc w:val="left"/>
    </w:pPr>
  </w:style>
  <w:style w:type="character" w:styleId="1168" w:customStyle="1">
    <w:name w:val="批注文字 字符1"/>
    <w:link w:val="1167"/>
    <w:uiPriority w:val="99"/>
    <w:qFormat/>
    <w:rPr>
      <w:sz w:val="21"/>
      <w:szCs w:val="24"/>
    </w:rPr>
  </w:style>
  <w:style w:type="paragraph" w:styleId="1169" w:customStyle="1">
    <w:name w:val="正文文本 31"/>
    <w:basedOn w:val="954"/>
    <w:link w:val="1170"/>
    <w:uiPriority w:val="0"/>
    <w:qFormat/>
    <w:pPr>
      <w:spacing w:after="120"/>
    </w:pPr>
    <w:rPr>
      <w:sz w:val="16"/>
      <w:szCs w:val="16"/>
    </w:rPr>
  </w:style>
  <w:style w:type="character" w:styleId="1170" w:customStyle="1">
    <w:name w:val="正文文本 3 字符"/>
    <w:link w:val="1169"/>
    <w:uiPriority w:val="0"/>
    <w:qFormat/>
    <w:rPr>
      <w:sz w:val="16"/>
      <w:szCs w:val="16"/>
    </w:rPr>
  </w:style>
  <w:style w:type="paragraph" w:styleId="1171" w:customStyle="1">
    <w:name w:val="正文文本11"/>
    <w:basedOn w:val="954"/>
    <w:next w:val="954"/>
    <w:link w:val="1172"/>
    <w:uiPriority w:val="0"/>
    <w:qFormat/>
    <w:pPr>
      <w:spacing w:before="120" w:line="22" w:lineRule="atLeast"/>
      <w:tabs>
        <w:tab w:val="left" w:pos="567" w:leader="none"/>
      </w:tabs>
    </w:pPr>
    <w:rPr>
      <w:rFonts w:ascii="宋体" w:hAnsi="宋体"/>
      <w:sz w:val="24"/>
    </w:rPr>
  </w:style>
  <w:style w:type="character" w:styleId="1172" w:customStyle="1">
    <w:name w:val="正文文本 字符"/>
    <w:link w:val="1171"/>
    <w:uiPriority w:val="0"/>
    <w:qFormat/>
    <w:rPr>
      <w:rFonts w:ascii="宋体" w:hAnsi="宋体"/>
      <w:sz w:val="24"/>
      <w:szCs w:val="24"/>
    </w:rPr>
  </w:style>
  <w:style w:type="paragraph" w:styleId="1173" w:customStyle="1">
    <w:name w:val="正文文本缩进11"/>
    <w:basedOn w:val="954"/>
    <w:link w:val="1174"/>
    <w:uiPriority w:val="0"/>
    <w:qFormat/>
    <w:pPr>
      <w:ind w:firstLine="570"/>
      <w:spacing w:line="360" w:lineRule="auto"/>
    </w:pPr>
    <w:rPr>
      <w:sz w:val="24"/>
    </w:rPr>
  </w:style>
  <w:style w:type="character" w:styleId="1174" w:customStyle="1">
    <w:name w:val="正文文本缩进 字符"/>
    <w:link w:val="1173"/>
    <w:uiPriority w:val="0"/>
    <w:qFormat/>
    <w:rPr>
      <w:rFonts w:eastAsia="宋体"/>
      <w:sz w:val="24"/>
      <w:szCs w:val="24"/>
      <w:lang w:val="en-US" w:eastAsia="zh-CN" w:bidi="ar-SA"/>
    </w:rPr>
  </w:style>
  <w:style w:type="paragraph" w:styleId="1175" w:customStyle="1">
    <w:name w:val="列表 21"/>
    <w:basedOn w:val="954"/>
    <w:uiPriority w:val="0"/>
    <w:qFormat/>
    <w:pPr>
      <w:ind w:left="100" w:hanging="200"/>
    </w:pPr>
  </w:style>
  <w:style w:type="paragraph" w:styleId="1176" w:customStyle="1">
    <w:name w:val="文本块1"/>
    <w:basedOn w:val="954"/>
    <w:uiPriority w:val="0"/>
    <w:qFormat/>
    <w:pPr>
      <w:ind w:left="480" w:right="-341" w:firstLine="513"/>
      <w:widowControl/>
    </w:pPr>
    <w:rPr>
      <w:sz w:val="24"/>
      <w:szCs w:val="20"/>
    </w:rPr>
  </w:style>
  <w:style w:type="paragraph" w:styleId="1177" w:customStyle="1">
    <w:name w:val="目录 51"/>
    <w:basedOn w:val="954"/>
    <w:next w:val="954"/>
    <w:uiPriority w:val="0"/>
    <w:qFormat/>
    <w:pPr>
      <w:ind w:left="1680"/>
    </w:pPr>
  </w:style>
  <w:style w:type="paragraph" w:styleId="1178" w:customStyle="1">
    <w:name w:val="目录 31"/>
    <w:basedOn w:val="954"/>
    <w:next w:val="954"/>
    <w:uiPriority w:val="39"/>
    <w:qFormat/>
    <w:pPr>
      <w:ind w:left="840"/>
    </w:pPr>
  </w:style>
  <w:style w:type="paragraph" w:styleId="1179" w:customStyle="1">
    <w:name w:val="纯文本1"/>
    <w:basedOn w:val="954"/>
    <w:link w:val="1180"/>
    <w:uiPriority w:val="0"/>
    <w:qFormat/>
    <w:rPr>
      <w:rFonts w:hint="eastAsia" w:ascii="宋体" w:hAnsi="Courier New"/>
      <w:szCs w:val="20"/>
    </w:rPr>
  </w:style>
  <w:style w:type="character" w:styleId="1180" w:customStyle="1">
    <w:name w:val="纯文本 字符2"/>
    <w:link w:val="1179"/>
    <w:uiPriority w:val="0"/>
    <w:qFormat/>
    <w:rPr>
      <w:rFonts w:hint="eastAsia" w:ascii="宋体" w:hAnsi="Courier New" w:eastAsia="宋体" w:cs="宋体"/>
      <w:sz w:val="21"/>
    </w:rPr>
  </w:style>
  <w:style w:type="paragraph" w:styleId="1181" w:customStyle="1">
    <w:name w:val="目录 81"/>
    <w:basedOn w:val="954"/>
    <w:next w:val="954"/>
    <w:uiPriority w:val="0"/>
    <w:qFormat/>
    <w:pPr>
      <w:ind w:left="2940"/>
    </w:pPr>
  </w:style>
  <w:style w:type="paragraph" w:styleId="1182" w:customStyle="1">
    <w:name w:val="日期1"/>
    <w:basedOn w:val="954"/>
    <w:next w:val="954"/>
    <w:link w:val="1183"/>
    <w:uiPriority w:val="0"/>
    <w:qFormat/>
    <w:pPr>
      <w:ind w:left="100"/>
    </w:pPr>
    <w:rPr>
      <w:rFonts w:ascii="仿宋_GB2312" w:hAnsi="宋体" w:eastAsia="仿宋_GB2312"/>
      <w:color w:val="000000"/>
      <w:sz w:val="24"/>
    </w:rPr>
  </w:style>
  <w:style w:type="character" w:styleId="1183" w:customStyle="1">
    <w:name w:val="日期 字符"/>
    <w:link w:val="1182"/>
    <w:uiPriority w:val="0"/>
    <w:qFormat/>
    <w:rPr>
      <w:rFonts w:ascii="仿宋_GB2312" w:hAnsi="宋体" w:eastAsia="仿宋_GB2312"/>
      <w:color w:val="000000"/>
      <w:sz w:val="24"/>
      <w:szCs w:val="24"/>
    </w:rPr>
  </w:style>
  <w:style w:type="paragraph" w:styleId="1184" w:customStyle="1">
    <w:name w:val="正文文本缩进 21"/>
    <w:basedOn w:val="954"/>
    <w:link w:val="1185"/>
    <w:uiPriority w:val="0"/>
    <w:qFormat/>
    <w:pPr>
      <w:ind w:firstLine="480"/>
    </w:pPr>
    <w:rPr>
      <w:rFonts w:ascii="仿宋_GB2312" w:eastAsia="仿宋_GB2312"/>
      <w:sz w:val="24"/>
    </w:rPr>
  </w:style>
  <w:style w:type="character" w:styleId="1185" w:customStyle="1">
    <w:name w:val="正文文本缩进 2 字符"/>
    <w:link w:val="1184"/>
    <w:uiPriority w:val="0"/>
    <w:qFormat/>
    <w:rPr>
      <w:rFonts w:ascii="仿宋_GB2312" w:eastAsia="仿宋_GB2312"/>
      <w:sz w:val="24"/>
      <w:szCs w:val="24"/>
    </w:rPr>
  </w:style>
  <w:style w:type="paragraph" w:styleId="1186" w:customStyle="1">
    <w:name w:val="批注框文本1"/>
    <w:basedOn w:val="954"/>
    <w:link w:val="1187"/>
    <w:uiPriority w:val="0"/>
    <w:qFormat/>
    <w:rPr>
      <w:sz w:val="18"/>
      <w:szCs w:val="18"/>
    </w:rPr>
  </w:style>
  <w:style w:type="character" w:styleId="1187" w:customStyle="1">
    <w:name w:val="批注框文本 字符"/>
    <w:link w:val="1186"/>
    <w:uiPriority w:val="0"/>
    <w:qFormat/>
    <w:rPr>
      <w:sz w:val="18"/>
      <w:szCs w:val="18"/>
    </w:rPr>
  </w:style>
  <w:style w:type="paragraph" w:styleId="1188" w:customStyle="1">
    <w:name w:val="页脚1"/>
    <w:basedOn w:val="954"/>
    <w:link w:val="1189"/>
    <w:uiPriority w:val="99"/>
    <w:qFormat/>
    <w:pPr>
      <w:jc w:val="left"/>
      <w:tabs>
        <w:tab w:val="center" w:pos="4153" w:leader="none"/>
        <w:tab w:val="right" w:pos="8306" w:leader="none"/>
      </w:tabs>
    </w:pPr>
    <w:rPr>
      <w:rFonts w:ascii="宋体"/>
      <w:sz w:val="18"/>
      <w:szCs w:val="20"/>
    </w:rPr>
  </w:style>
  <w:style w:type="character" w:styleId="1189" w:customStyle="1">
    <w:name w:val="页脚 字符"/>
    <w:link w:val="1188"/>
    <w:uiPriority w:val="99"/>
    <w:qFormat/>
    <w:rPr>
      <w:rFonts w:ascii="宋体" w:eastAsia="宋体"/>
      <w:sz w:val="18"/>
      <w:lang w:val="en-US" w:eastAsia="zh-CN" w:bidi="ar-SA"/>
    </w:rPr>
  </w:style>
  <w:style w:type="paragraph" w:styleId="1190" w:customStyle="1">
    <w:name w:val="页眉1"/>
    <w:basedOn w:val="954"/>
    <w:link w:val="1191"/>
    <w:uiPriority w:val="0"/>
    <w:qFormat/>
    <w:pPr>
      <w:jc w:val="center"/>
      <w:tabs>
        <w:tab w:val="center" w:pos="4153" w:leader="none"/>
        <w:tab w:val="right" w:pos="8306" w:leader="none"/>
      </w:tabs>
      <w:pBdr>
        <w:bottom w:val="single" w:color="000000" w:sz="6" w:space="1"/>
      </w:pBdr>
    </w:pPr>
    <w:rPr>
      <w:sz w:val="18"/>
      <w:szCs w:val="18"/>
    </w:rPr>
  </w:style>
  <w:style w:type="character" w:styleId="1191" w:customStyle="1">
    <w:name w:val="页眉 字符"/>
    <w:link w:val="1190"/>
    <w:uiPriority w:val="0"/>
    <w:qFormat/>
    <w:rPr>
      <w:rFonts w:eastAsia="宋体"/>
      <w:sz w:val="18"/>
      <w:szCs w:val="18"/>
      <w:lang w:val="en-US" w:eastAsia="zh-CN" w:bidi="ar-SA"/>
    </w:rPr>
  </w:style>
  <w:style w:type="paragraph" w:styleId="1192" w:customStyle="1">
    <w:name w:val="目录 11"/>
    <w:basedOn w:val="954"/>
    <w:next w:val="954"/>
    <w:uiPriority w:val="39"/>
    <w:qFormat/>
    <w:pPr>
      <w:spacing w:line="300" w:lineRule="auto"/>
      <w:tabs>
        <w:tab w:val="left" w:pos="1050" w:leader="none"/>
        <w:tab w:val="right" w:pos="8937" w:leader="dot"/>
      </w:tabs>
    </w:pPr>
    <w:rPr>
      <w:rFonts w:ascii="宋体" w:hAnsi="宋体"/>
      <w:b/>
      <w:sz w:val="24"/>
    </w:rPr>
  </w:style>
  <w:style w:type="paragraph" w:styleId="1193" w:customStyle="1">
    <w:name w:val="目录 41"/>
    <w:basedOn w:val="954"/>
    <w:next w:val="954"/>
    <w:uiPriority w:val="0"/>
    <w:qFormat/>
    <w:pPr>
      <w:ind w:left="1260"/>
    </w:pPr>
  </w:style>
  <w:style w:type="paragraph" w:styleId="1194" w:customStyle="1">
    <w:name w:val="目录 61"/>
    <w:basedOn w:val="954"/>
    <w:next w:val="954"/>
    <w:uiPriority w:val="0"/>
    <w:qFormat/>
    <w:pPr>
      <w:ind w:left="2100"/>
    </w:pPr>
  </w:style>
  <w:style w:type="paragraph" w:styleId="1195" w:customStyle="1">
    <w:name w:val="正文文本缩进 31"/>
    <w:basedOn w:val="954"/>
    <w:link w:val="1196"/>
    <w:uiPriority w:val="0"/>
    <w:qFormat/>
    <w:pPr>
      <w:ind w:left="720" w:firstLine="480"/>
      <w:jc w:val="left"/>
      <w:spacing w:before="120" w:line="22" w:lineRule="atLeast"/>
    </w:pPr>
    <w:rPr>
      <w:rFonts w:ascii="宋体"/>
      <w:sz w:val="24"/>
      <w:szCs w:val="20"/>
    </w:rPr>
  </w:style>
  <w:style w:type="character" w:styleId="1196" w:customStyle="1">
    <w:name w:val="正文文本缩进 3 字符"/>
    <w:link w:val="1195"/>
    <w:uiPriority w:val="0"/>
    <w:qFormat/>
    <w:rPr>
      <w:rFonts w:ascii="宋体"/>
      <w:sz w:val="24"/>
    </w:rPr>
  </w:style>
  <w:style w:type="paragraph" w:styleId="1197" w:customStyle="1">
    <w:name w:val="目录 21"/>
    <w:basedOn w:val="954"/>
    <w:next w:val="954"/>
    <w:uiPriority w:val="39"/>
    <w:qFormat/>
    <w:pPr>
      <w:ind w:left="420"/>
      <w:spacing w:line="312" w:lineRule="auto"/>
      <w:tabs>
        <w:tab w:val="right" w:pos="8937" w:leader="dot"/>
      </w:tabs>
    </w:pPr>
  </w:style>
  <w:style w:type="paragraph" w:styleId="1198" w:customStyle="1">
    <w:name w:val="目录 91"/>
    <w:basedOn w:val="954"/>
    <w:next w:val="954"/>
    <w:uiPriority w:val="0"/>
    <w:qFormat/>
    <w:pPr>
      <w:ind w:left="3360"/>
    </w:pPr>
  </w:style>
  <w:style w:type="paragraph" w:styleId="1199" w:customStyle="1">
    <w:name w:val="HTML 预设格式1"/>
    <w:basedOn w:val="954"/>
    <w:link w:val="12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00" w:customStyle="1">
    <w:name w:val="HTML 预设格式 字符"/>
    <w:link w:val="1199"/>
    <w:uiPriority w:val="0"/>
    <w:qFormat/>
    <w:rPr>
      <w:rFonts w:ascii="宋体" w:hAnsi="宋体" w:cs="宋体"/>
      <w:sz w:val="24"/>
      <w:szCs w:val="24"/>
    </w:rPr>
  </w:style>
  <w:style w:type="paragraph" w:styleId="1201" w:customStyle="1">
    <w:name w:val="普通(网站)11"/>
    <w:basedOn w:val="954"/>
    <w:uiPriority w:val="99"/>
    <w:unhideWhenUsed/>
    <w:qFormat/>
    <w:pPr>
      <w:jc w:val="left"/>
      <w:spacing w:before="100" w:beforeAutospacing="1" w:after="100" w:afterAutospacing="1"/>
      <w:widowControl/>
    </w:pPr>
    <w:rPr>
      <w:rFonts w:ascii="宋体" w:hAnsi="宋体" w:cs="宋体"/>
      <w:sz w:val="24"/>
    </w:rPr>
  </w:style>
  <w:style w:type="paragraph" w:styleId="1202" w:customStyle="1">
    <w:name w:val="索引 11"/>
    <w:basedOn w:val="954"/>
    <w:next w:val="954"/>
    <w:uiPriority w:val="0"/>
    <w:qFormat/>
    <w:rPr>
      <w:szCs w:val="20"/>
    </w:rPr>
  </w:style>
  <w:style w:type="paragraph" w:styleId="1203" w:customStyle="1">
    <w:name w:val="标题1"/>
    <w:basedOn w:val="954"/>
    <w:next w:val="954"/>
    <w:link w:val="1204"/>
    <w:uiPriority w:val="0"/>
    <w:qFormat/>
    <w:pPr>
      <w:jc w:val="center"/>
      <w:outlineLvl w:val="0"/>
    </w:pPr>
    <w:rPr>
      <w:b/>
      <w:sz w:val="32"/>
      <w:szCs w:val="20"/>
    </w:rPr>
  </w:style>
  <w:style w:type="character" w:styleId="1204" w:customStyle="1">
    <w:name w:val="标题 字符"/>
    <w:link w:val="1203"/>
    <w:uiPriority w:val="0"/>
    <w:qFormat/>
    <w:rPr>
      <w:b/>
      <w:sz w:val="32"/>
    </w:rPr>
  </w:style>
  <w:style w:type="paragraph" w:styleId="1205" w:customStyle="1">
    <w:name w:val="批注主题1"/>
    <w:basedOn w:val="1167"/>
    <w:next w:val="1167"/>
    <w:link w:val="1206"/>
    <w:uiPriority w:val="0"/>
    <w:qFormat/>
    <w:rPr>
      <w:b/>
      <w:bCs/>
    </w:rPr>
  </w:style>
  <w:style w:type="character" w:styleId="1206" w:customStyle="1">
    <w:name w:val="批注主题 字符"/>
    <w:link w:val="1205"/>
    <w:uiPriority w:val="0"/>
    <w:qFormat/>
    <w:rPr>
      <w:rFonts w:ascii="Times New Roman" w:hAnsi="Times New Roman" w:eastAsia="宋体" w:cs="Times New Roman"/>
      <w:b/>
      <w:bCs/>
      <w:sz w:val="21"/>
      <w:szCs w:val="24"/>
      <w:lang w:val="en-US" w:eastAsia="zh-CN" w:bidi="ar-SA"/>
    </w:rPr>
  </w:style>
  <w:style w:type="paragraph" w:styleId="1207" w:customStyle="1">
    <w:name w:val="正文首行缩进1"/>
    <w:basedOn w:val="1171"/>
    <w:next w:val="1194"/>
    <w:uiPriority w:val="0"/>
    <w:qFormat/>
    <w:pPr>
      <w:ind w:firstLine="100"/>
      <w:jc w:val="left"/>
      <w:spacing w:after="120" w:line="520" w:lineRule="exact"/>
    </w:pPr>
    <w:rPr>
      <w:sz w:val="28"/>
    </w:rPr>
  </w:style>
  <w:style w:type="paragraph" w:styleId="1208" w:customStyle="1">
    <w:name w:val="正文首行缩进 21"/>
    <w:basedOn w:val="1173"/>
    <w:link w:val="1209"/>
    <w:uiPriority w:val="0"/>
    <w:qFormat/>
    <w:pPr>
      <w:ind w:left="420" w:firstLine="420"/>
      <w:spacing w:after="120" w:line="480" w:lineRule="exact"/>
    </w:pPr>
    <w:rPr>
      <w:szCs w:val="20"/>
    </w:rPr>
  </w:style>
  <w:style w:type="character" w:styleId="1209" w:customStyle="1">
    <w:name w:val="正文文本首行缩进 2 字符"/>
    <w:link w:val="1208"/>
    <w:uiPriority w:val="0"/>
    <w:qFormat/>
    <w:rPr>
      <w:rFonts w:eastAsia="宋体"/>
      <w:sz w:val="24"/>
      <w:szCs w:val="24"/>
      <w:lang w:val="en-US" w:eastAsia="zh-CN" w:bidi="ar-SA"/>
    </w:rPr>
  </w:style>
  <w:style w:type="table" w:styleId="1210" w:customStyle="1">
    <w:name w:val="网格型1"/>
    <w:basedOn w:val="1151"/>
    <w:uiPriority w:val="39"/>
    <w:qFormat/>
    <w:tblPr>
      <w:tblCellMar>
        <w:left w:w="0" w:type="dxa"/>
        <w:top w:w="0" w:type="dxa"/>
        <w:right w:w="0" w:type="dxa"/>
        <w:bottom w:w="0" w:type="dxa"/>
      </w:tblCellMar>
    </w:tblPr>
  </w:style>
  <w:style w:type="table" w:styleId="1211" w:customStyle="1">
    <w:name w:val="中等深浅网格 1 - 强调文字颜色 21"/>
    <w:basedOn w:val="1151"/>
    <w:uiPriority w:val="0"/>
    <w:qFormat/>
    <w:rPr>
      <w:sz w:val="21"/>
      <w:szCs w:val="24"/>
    </w:rPr>
    <w:tblPr>
      <w:tblCellMar>
        <w:left w:w="0" w:type="dxa"/>
        <w:top w:w="0" w:type="dxa"/>
        <w:right w:w="0" w:type="dxa"/>
        <w:bottom w:w="0" w:type="dxa"/>
      </w:tblCellMar>
    </w:tblPr>
  </w:style>
  <w:style w:type="character" w:styleId="1212" w:customStyle="1">
    <w:name w:val="要点1"/>
    <w:uiPriority w:val="0"/>
    <w:qFormat/>
    <w:rPr>
      <w:b/>
      <w:bCs/>
    </w:rPr>
  </w:style>
  <w:style w:type="character" w:styleId="1213" w:customStyle="1">
    <w:name w:val="页码1"/>
    <w:uiPriority w:val="0"/>
    <w:qFormat/>
  </w:style>
  <w:style w:type="character" w:styleId="1214" w:customStyle="1">
    <w:name w:val="已访问的超链接1"/>
    <w:uiPriority w:val="0"/>
    <w:qFormat/>
    <w:rPr>
      <w:color w:val="771caa"/>
      <w:u w:val="none"/>
    </w:rPr>
  </w:style>
  <w:style w:type="character" w:styleId="1215" w:customStyle="1">
    <w:name w:val="强调1"/>
    <w:uiPriority w:val="0"/>
    <w:qFormat/>
    <w:rPr>
      <w:color w:val="cc0033"/>
    </w:rPr>
  </w:style>
  <w:style w:type="character" w:styleId="1216" w:customStyle="1">
    <w:name w:val="超链接1"/>
    <w:uiPriority w:val="99"/>
    <w:qFormat/>
    <w:rPr>
      <w:color w:val="2440b3"/>
      <w:u w:val="none"/>
    </w:rPr>
  </w:style>
  <w:style w:type="character" w:styleId="1217" w:customStyle="1">
    <w:name w:val="批注引用1"/>
    <w:uiPriority w:val="99"/>
    <w:qFormat/>
    <w:rPr>
      <w:sz w:val="21"/>
      <w:szCs w:val="21"/>
    </w:rPr>
  </w:style>
  <w:style w:type="character" w:styleId="1218" w:customStyle="1">
    <w:name w:val="HTML 引文1"/>
    <w:uiPriority w:val="0"/>
    <w:qFormat/>
    <w:rPr>
      <w:i/>
      <w:iCs/>
    </w:rPr>
  </w:style>
  <w:style w:type="paragraph" w:styleId="1219" w:customStyle="1">
    <w:name w:val="正文文本1"/>
    <w:basedOn w:val="954"/>
    <w:next w:val="954"/>
    <w:uiPriority w:val="0"/>
    <w:qFormat/>
    <w:pPr>
      <w:spacing w:before="120" w:line="22" w:lineRule="atLeast"/>
      <w:tabs>
        <w:tab w:val="left" w:pos="567" w:leader="none"/>
      </w:tabs>
    </w:pPr>
    <w:rPr>
      <w:rFonts w:ascii="宋体" w:hAnsi="宋体"/>
      <w:sz w:val="24"/>
    </w:rPr>
  </w:style>
  <w:style w:type="character" w:styleId="1220" w:customStyle="1">
    <w:name w:val="fontstyle01"/>
    <w:uiPriority w:val="0"/>
    <w:qFormat/>
    <w:rPr>
      <w:sz w:val="21"/>
      <w:szCs w:val="24"/>
      <w:lang w:val="en-US" w:eastAsia="zh-CN" w:bidi="ar-SA"/>
    </w:rPr>
  </w:style>
  <w:style w:type="character" w:styleId="1221" w:customStyle="1">
    <w:name w:val="批注文字 字符"/>
    <w:uiPriority w:val="99"/>
    <w:qFormat/>
    <w:rPr>
      <w:rFonts w:ascii="Times New Roman" w:hAnsi="Times New Roman" w:eastAsia="宋体" w:cs="Times New Roman"/>
      <w:sz w:val="24"/>
      <w:lang w:val="en-US" w:eastAsia="zh-CN" w:bidi="ar-SA"/>
    </w:rPr>
  </w:style>
  <w:style w:type="paragraph" w:styleId="1222" w:customStyle="1">
    <w:name w:val="标题 31"/>
    <w:basedOn w:val="954"/>
    <w:next w:val="954"/>
    <w:uiPriority w:val="0"/>
    <w:qFormat/>
    <w:pPr>
      <w:jc w:val="left"/>
      <w:keepLines/>
      <w:keepNext/>
      <w:spacing w:before="360" w:after="120"/>
      <w:outlineLvl w:val="2"/>
    </w:pPr>
    <w:rPr>
      <w:rFonts w:ascii="宋体"/>
      <w:b/>
      <w:sz w:val="24"/>
      <w:szCs w:val="20"/>
      <w:u w:val="single"/>
    </w:rPr>
  </w:style>
  <w:style w:type="character" w:styleId="1223" w:customStyle="1">
    <w:name w:val="c21"/>
    <w:uiPriority w:val="0"/>
    <w:qFormat/>
    <w:rPr>
      <w:rFonts w:ascii="ˎ̥" w:hAnsi="ˎ̥"/>
      <w:color w:val="000000"/>
      <w:sz w:val="20"/>
      <w:szCs w:val="20"/>
      <w:u w:val="none"/>
    </w:rPr>
  </w:style>
  <w:style w:type="character" w:styleId="1224" w:customStyle="1">
    <w:name w:val="title4"/>
    <w:uiPriority w:val="0"/>
    <w:qFormat/>
    <w:rPr>
      <w:b/>
      <w:bCs/>
      <w:color w:val="1d87b3"/>
      <w:sz w:val="15"/>
      <w:szCs w:val="15"/>
    </w:rPr>
  </w:style>
  <w:style w:type="character" w:styleId="1225" w:customStyle="1">
    <w:name w:val="标题 2 Char Char"/>
    <w:uiPriority w:val="0"/>
    <w:qFormat/>
    <w:rPr>
      <w:rFonts w:ascii="Arial" w:hAnsi="Arial" w:eastAsia="黑体"/>
      <w:b/>
      <w:bCs/>
      <w:sz w:val="32"/>
      <w:szCs w:val="32"/>
      <w:lang w:val="en-US" w:eastAsia="zh-CN" w:bidi="ar-SA"/>
    </w:rPr>
  </w:style>
  <w:style w:type="character" w:styleId="1226" w:customStyle="1">
    <w:name w:val="black1"/>
    <w:uiPriority w:val="0"/>
    <w:qFormat/>
    <w:rPr>
      <w:color w:val="000000"/>
    </w:rPr>
  </w:style>
  <w:style w:type="character" w:styleId="1227" w:customStyle="1">
    <w:name w:val="street-address"/>
    <w:uiPriority w:val="0"/>
    <w:qFormat/>
  </w:style>
  <w:style w:type="character" w:styleId="1228" w:customStyle="1">
    <w:name w:val="locality"/>
    <w:uiPriority w:val="0"/>
    <w:qFormat/>
  </w:style>
  <w:style w:type="character" w:styleId="1229" w:customStyle="1">
    <w:name w:val="正文文本缩进 Char1"/>
    <w:link w:val="1230"/>
    <w:uiPriority w:val="0"/>
    <w:qFormat/>
    <w:rPr>
      <w:rFonts w:ascii="宋体" w:hAnsi="宋体" w:eastAsia="宋体"/>
      <w:sz w:val="24"/>
      <w:szCs w:val="24"/>
      <w:lang w:bidi="ar-SA"/>
    </w:rPr>
  </w:style>
  <w:style w:type="paragraph" w:styleId="1230" w:customStyle="1">
    <w:name w:val="正文文本缩进1"/>
    <w:basedOn w:val="954"/>
    <w:link w:val="1229"/>
    <w:uiPriority w:val="0"/>
    <w:qFormat/>
    <w:pPr>
      <w:ind w:firstLine="480"/>
      <w:spacing w:line="480" w:lineRule="exact"/>
    </w:pPr>
    <w:rPr>
      <w:rFonts w:ascii="宋体" w:hAnsi="宋体"/>
      <w:sz w:val="24"/>
    </w:rPr>
  </w:style>
  <w:style w:type="character" w:styleId="1231" w:customStyle="1">
    <w:name w:val="Char Char11"/>
    <w:uiPriority w:val="0"/>
    <w:qFormat/>
    <w:rPr>
      <w:rFonts w:ascii="宋体" w:eastAsia="宋体"/>
      <w:b/>
      <w:sz w:val="24"/>
      <w:u w:val="single"/>
      <w:lang w:val="en-US" w:eastAsia="zh-CN" w:bidi="ar-SA"/>
    </w:rPr>
  </w:style>
  <w:style w:type="character" w:styleId="1232" w:customStyle="1">
    <w:name w:val="txt"/>
    <w:uiPriority w:val="0"/>
    <w:qFormat/>
  </w:style>
  <w:style w:type="character" w:styleId="1233" w:customStyle="1">
    <w:name w:val="正文缩进 Char Char"/>
    <w:link w:val="1234"/>
    <w:uiPriority w:val="0"/>
    <w:qFormat/>
    <w:rPr>
      <w:rFonts w:ascii="宋体" w:eastAsia="宋体"/>
      <w:color w:val="000000"/>
      <w:sz w:val="28"/>
      <w:lang w:bidi="ar-SA"/>
    </w:rPr>
  </w:style>
  <w:style w:type="paragraph" w:styleId="1234" w:customStyle="1">
    <w:name w:val="正文缩进1"/>
    <w:basedOn w:val="954"/>
    <w:link w:val="1233"/>
    <w:uiPriority w:val="0"/>
    <w:qFormat/>
    <w:pPr>
      <w:ind w:firstLine="567"/>
      <w:spacing w:line="480" w:lineRule="exact"/>
      <w:widowControl/>
    </w:pPr>
    <w:rPr>
      <w:rFonts w:ascii="宋体"/>
      <w:color w:val="000000"/>
      <w:sz w:val="28"/>
      <w:szCs w:val="20"/>
    </w:rPr>
  </w:style>
  <w:style w:type="character" w:styleId="1235" w:customStyle="1">
    <w:name w:val="普通文字1 Char1"/>
    <w:uiPriority w:val="0"/>
    <w:qFormat/>
    <w:rPr>
      <w:rFonts w:ascii="宋体" w:hAnsi="Courier New" w:eastAsia="宋体"/>
      <w:sz w:val="21"/>
      <w:lang w:val="en-US" w:eastAsia="zh-CN" w:bidi="ar-SA"/>
    </w:rPr>
  </w:style>
  <w:style w:type="character" w:styleId="1236" w:customStyle="1">
    <w:name w:val="chanpin1"/>
    <w:uiPriority w:val="0"/>
    <w:qFormat/>
    <w:rPr>
      <w:rFonts w:ascii="ˎ̥" w:hAnsi="ˎ̥"/>
      <w:color w:val="000000"/>
      <w:sz w:val="20"/>
      <w:szCs w:val="20"/>
      <w:u w:val="none"/>
    </w:rPr>
  </w:style>
  <w:style w:type="character" w:styleId="1237" w:customStyle="1">
    <w:name w:val="列表段落 字符"/>
    <w:link w:val="1238"/>
    <w:uiPriority w:val="34"/>
    <w:qFormat/>
    <w:rPr>
      <w:rFonts w:ascii="Calibri" w:hAnsi="Calibri" w:eastAsia="宋体"/>
      <w:sz w:val="21"/>
      <w:szCs w:val="22"/>
      <w:lang w:val="en-US" w:eastAsia="zh-CN" w:bidi="ar-SA"/>
    </w:rPr>
  </w:style>
  <w:style w:type="paragraph" w:styleId="1238" w:customStyle="1">
    <w:name w:val="列表段落"/>
    <w:basedOn w:val="954"/>
    <w:link w:val="1237"/>
    <w:uiPriority w:val="34"/>
    <w:qFormat/>
    <w:pPr>
      <w:ind w:firstLine="420"/>
    </w:pPr>
    <w:rPr>
      <w:rFonts w:ascii="Calibri" w:hAnsi="Calibri"/>
      <w:szCs w:val="22"/>
    </w:rPr>
  </w:style>
  <w:style w:type="character" w:styleId="1239" w:customStyle="1">
    <w:name w:val="标题 3 Char Char"/>
    <w:uiPriority w:val="0"/>
    <w:qFormat/>
    <w:rPr>
      <w:rFonts w:eastAsia="宋体"/>
      <w:b/>
      <w:bCs/>
      <w:sz w:val="32"/>
      <w:szCs w:val="32"/>
      <w:lang w:val="en-US" w:eastAsia="zh-CN" w:bidi="ar-SA"/>
    </w:rPr>
  </w:style>
  <w:style w:type="character" w:styleId="1240" w:customStyle="1">
    <w:name w:val="段1 Char"/>
    <w:uiPriority w:val="0"/>
    <w:qFormat/>
    <w:rPr>
      <w:rFonts w:ascii="宋体" w:eastAsia="宋体"/>
      <w:sz w:val="24"/>
      <w:lang w:val="en-US" w:eastAsia="zh-CN" w:bidi="ar-SA"/>
    </w:rPr>
  </w:style>
  <w:style w:type="character" w:styleId="1241" w:customStyle="1">
    <w:name w:val="chanpin拷贝"/>
    <w:uiPriority w:val="0"/>
    <w:qFormat/>
  </w:style>
  <w:style w:type="character" w:styleId="1242" w:customStyle="1">
    <w:name w:val="纯文本 Char1"/>
    <w:uiPriority w:val="0"/>
    <w:qFormat/>
    <w:rPr>
      <w:rFonts w:ascii="宋体" w:hAnsi="Courier New" w:eastAsia="宋体"/>
      <w:sz w:val="21"/>
      <w:lang w:val="en-US" w:eastAsia="zh-CN" w:bidi="ar-SA"/>
    </w:rPr>
  </w:style>
  <w:style w:type="character" w:styleId="1243" w:customStyle="1">
    <w:name w:val="apple-style-span"/>
    <w:uiPriority w:val="0"/>
    <w:qFormat/>
    <w:rPr>
      <w:rFonts w:cs="Times New Roman"/>
    </w:rPr>
  </w:style>
  <w:style w:type="paragraph" w:styleId="1244" w:customStyle="1">
    <w:name w:val="二级条标题"/>
    <w:basedOn w:val="1245"/>
    <w:next w:val="95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45" w:customStyle="1">
    <w:name w:val="一级条标题"/>
    <w:basedOn w:val="1246"/>
    <w:next w:val="954"/>
    <w:uiPriority w:val="0"/>
    <w:qFormat/>
    <w:pPr>
      <w:numPr>
        <w:ilvl w:val="1"/>
      </w:numPr>
      <w:ind w:left="0" w:hanging="840"/>
      <w:tabs>
        <w:tab w:val="left" w:pos="360" w:leader="none"/>
        <w:tab w:val="left" w:pos="840" w:leader="none"/>
      </w:tabs>
      <w:outlineLvl w:val="1"/>
    </w:pPr>
  </w:style>
  <w:style w:type="paragraph" w:styleId="1246" w:customStyle="1">
    <w:name w:val="章标题"/>
    <w:next w:val="954"/>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47" w:customStyle="1">
    <w:name w:val="font7"/>
    <w:basedOn w:val="954"/>
    <w:uiPriority w:val="0"/>
    <w:qFormat/>
    <w:pPr>
      <w:jc w:val="left"/>
      <w:spacing w:before="100" w:beforeAutospacing="1" w:after="100" w:afterAutospacing="1"/>
      <w:widowControl/>
    </w:pPr>
    <w:rPr>
      <w:rFonts w:eastAsia="Arial Unicode MS"/>
      <w:b/>
      <w:bCs/>
      <w:color w:val="000000"/>
      <w:sz w:val="20"/>
      <w:szCs w:val="20"/>
    </w:rPr>
  </w:style>
  <w:style w:type="paragraph" w:styleId="1248" w:customStyle="1">
    <w:name w:val="字元 字元"/>
    <w:basedOn w:val="954"/>
    <w:uiPriority w:val="0"/>
    <w:qFormat/>
    <w:rPr>
      <w:rFonts w:ascii="Tahoma" w:hAnsi="Tahoma"/>
      <w:sz w:val="24"/>
      <w:szCs w:val="20"/>
    </w:rPr>
  </w:style>
  <w:style w:type="paragraph" w:styleId="1249" w:customStyle="1">
    <w:name w:val="Char3 Char Char Char"/>
    <w:basedOn w:val="954"/>
    <w:uiPriority w:val="0"/>
    <w:qFormat/>
    <w:rPr>
      <w:rFonts w:ascii="Tahoma" w:hAnsi="Tahoma"/>
      <w:sz w:val="24"/>
      <w:szCs w:val="20"/>
    </w:rPr>
  </w:style>
  <w:style w:type="paragraph" w:styleId="1250" w:customStyle="1">
    <w:name w:val="font6"/>
    <w:basedOn w:val="954"/>
    <w:uiPriority w:val="0"/>
    <w:qFormat/>
    <w:pPr>
      <w:jc w:val="left"/>
      <w:spacing w:before="100" w:beforeAutospacing="1" w:after="100" w:afterAutospacing="1"/>
      <w:widowControl/>
    </w:pPr>
    <w:rPr>
      <w:rFonts w:ascii="宋体" w:hAnsi="宋体" w:cs="宋体"/>
      <w:sz w:val="20"/>
      <w:szCs w:val="20"/>
    </w:rPr>
  </w:style>
  <w:style w:type="paragraph" w:styleId="1251" w:customStyle="1">
    <w:name w:val="项目编号2"/>
    <w:basedOn w:val="1252"/>
    <w:uiPriority w:val="0"/>
    <w:qFormat/>
    <w:pPr>
      <w:numPr>
        <w:numId w:val="2"/>
      </w:numPr>
    </w:pPr>
  </w:style>
  <w:style w:type="paragraph" w:styleId="1252" w:customStyle="1">
    <w:name w:val="项目编号1"/>
    <w:basedOn w:val="954"/>
    <w:uiPriority w:val="0"/>
    <w:qFormat/>
    <w:pPr>
      <w:numPr>
        <w:ilvl w:val="0"/>
        <w:numId w:val="3"/>
      </w:numPr>
      <w:spacing w:before="100" w:beforeAutospacing="1" w:after="100" w:afterAutospacing="1" w:line="360" w:lineRule="auto"/>
    </w:pPr>
    <w:rPr>
      <w:sz w:val="24"/>
    </w:rPr>
  </w:style>
  <w:style w:type="paragraph" w:styleId="1253" w:customStyle="1">
    <w:name w:val="图中文字"/>
    <w:basedOn w:val="954"/>
    <w:uiPriority w:val="0"/>
    <w:qFormat/>
    <w:pPr>
      <w:jc w:val="center"/>
      <w:spacing w:line="0" w:lineRule="atLeast"/>
    </w:pPr>
    <w:rPr>
      <w:sz w:val="24"/>
      <w:szCs w:val="20"/>
    </w:rPr>
  </w:style>
  <w:style w:type="paragraph" w:styleId="1254" w:customStyle="1">
    <w:name w:val="xl46"/>
    <w:basedOn w:val="95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5" w:customStyle="1">
    <w:name w:val="xl25"/>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6" w:customStyle="1">
    <w:name w:val="Char2"/>
    <w:basedOn w:val="954"/>
    <w:uiPriority w:val="0"/>
    <w:qFormat/>
    <w:rPr>
      <w:rFonts w:ascii="Tahoma" w:hAnsi="Tahoma"/>
      <w:sz w:val="24"/>
      <w:szCs w:val="20"/>
    </w:rPr>
  </w:style>
  <w:style w:type="paragraph" w:styleId="1257" w:customStyle="1">
    <w:name w:val="xl35"/>
    <w:basedOn w:val="95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8" w:customStyle="1">
    <w:name w:val="xl40"/>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9" w:customStyle="1">
    <w:name w:val="xl52"/>
    <w:basedOn w:val="95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0" w:customStyle="1">
    <w:name w:val="xl43"/>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1" w:customStyle="1">
    <w:name w:val="background1"/>
    <w:basedOn w:val="954"/>
    <w:uiPriority w:val="0"/>
    <w:qFormat/>
    <w:pPr>
      <w:jc w:val="left"/>
      <w:spacing w:before="100" w:beforeAutospacing="1" w:after="100" w:afterAutospacing="1"/>
      <w:widowControl/>
    </w:pPr>
    <w:rPr>
      <w:rFonts w:ascii="宋体" w:hAnsi="宋体" w:cs="宋体"/>
      <w:sz w:val="24"/>
    </w:rPr>
  </w:style>
  <w:style w:type="paragraph" w:styleId="1262" w:customStyle="1">
    <w:name w:val="Char Char Char Char Char Char Char"/>
    <w:basedOn w:val="954"/>
    <w:uiPriority w:val="0"/>
    <w:qFormat/>
    <w:pPr>
      <w:ind w:firstLine="200"/>
      <w:spacing w:line="360" w:lineRule="auto"/>
    </w:pPr>
    <w:rPr>
      <w:rFonts w:eastAsia="仿宋_GB2312"/>
      <w:sz w:val="24"/>
    </w:rPr>
  </w:style>
  <w:style w:type="paragraph" w:styleId="1263" w:customStyle="1">
    <w:name w:val="xl38"/>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4" w:customStyle="1">
    <w:name w:val="xl36"/>
    <w:basedOn w:val="95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5" w:customStyle="1">
    <w:name w:val="正文 + 宋体"/>
    <w:basedOn w:val="954"/>
    <w:uiPriority w:val="0"/>
    <w:qFormat/>
    <w:pPr>
      <w:ind w:left="360" w:hanging="360"/>
      <w:jc w:val="left"/>
      <w:widowControl/>
    </w:pPr>
    <w:rPr>
      <w:rFonts w:ascii="宋体" w:hAnsi="宋体" w:cs="宋体"/>
      <w:b/>
      <w:bCs/>
      <w:color w:val="000000"/>
      <w:sz w:val="18"/>
      <w:szCs w:val="18"/>
    </w:rPr>
  </w:style>
  <w:style w:type="paragraph" w:styleId="1266" w:customStyle="1">
    <w:name w:val="正文列项_数字"/>
    <w:basedOn w:val="95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67" w:customStyle="1">
    <w:name w:val="xl39"/>
    <w:basedOn w:val="9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8" w:customStyle="1">
    <w:name w:val="xl37"/>
    <w:basedOn w:val="95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9" w:customStyle="1">
    <w:name w:val="xl32"/>
    <w:basedOn w:val="95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0" w:customStyle="1">
    <w:name w:val="font8"/>
    <w:basedOn w:val="954"/>
    <w:uiPriority w:val="0"/>
    <w:qFormat/>
    <w:pPr>
      <w:jc w:val="left"/>
      <w:spacing w:before="100" w:beforeAutospacing="1" w:after="100" w:afterAutospacing="1"/>
      <w:widowControl/>
    </w:pPr>
    <w:rPr>
      <w:sz w:val="36"/>
      <w:szCs w:val="36"/>
    </w:rPr>
  </w:style>
  <w:style w:type="paragraph" w:styleId="1271" w:customStyle="1">
    <w:name w:val="Char"/>
    <w:basedOn w:val="954"/>
    <w:uiPriority w:val="0"/>
    <w:qFormat/>
    <w:pPr>
      <w:tabs>
        <w:tab w:val="left" w:pos="360" w:leader="none"/>
      </w:tabs>
    </w:pPr>
    <w:rPr>
      <w:sz w:val="24"/>
    </w:rPr>
  </w:style>
  <w:style w:type="paragraph" w:styleId="1272" w:customStyle="1">
    <w:name w:val="Char Char Char Char Char Char Char Char Char Char Char Char Char Char Char Char"/>
    <w:basedOn w:val="954"/>
    <w:uiPriority w:val="0"/>
    <w:qFormat/>
    <w:pPr>
      <w:jc w:val="center"/>
      <w:spacing w:after="160" w:line="240" w:lineRule="exact"/>
      <w:widowControl/>
    </w:pPr>
    <w:rPr>
      <w:rFonts w:ascii="宋体" w:hAnsi="宋体"/>
      <w:b/>
      <w:sz w:val="30"/>
      <w:szCs w:val="30"/>
      <w:lang w:eastAsia="en-US"/>
    </w:rPr>
  </w:style>
  <w:style w:type="paragraph" w:styleId="1273" w:customStyle="1">
    <w:name w:val="xl45"/>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4" w:customStyle="1">
    <w:name w:val="Char Char1 Char Char Char Char Char Char"/>
    <w:basedOn w:val="954"/>
    <w:uiPriority w:val="0"/>
    <w:qFormat/>
    <w:pPr>
      <w:jc w:val="left"/>
      <w:spacing w:after="160" w:line="240" w:lineRule="exact"/>
      <w:widowControl/>
    </w:pPr>
    <w:rPr>
      <w:rFonts w:ascii="Verdana" w:hAnsi="Verdana" w:eastAsia="仿宋_GB2312"/>
      <w:sz w:val="24"/>
      <w:szCs w:val="20"/>
      <w:lang w:eastAsia="en-US"/>
    </w:rPr>
  </w:style>
  <w:style w:type="paragraph" w:styleId="1275" w:customStyle="1">
    <w:name w:val="Char Char1"/>
    <w:basedOn w:val="1165"/>
    <w:uiPriority w:val="0"/>
    <w:qFormat/>
    <w:rPr>
      <w:rFonts w:ascii="Tahoma" w:hAnsi="Tahoma"/>
      <w:sz w:val="24"/>
    </w:rPr>
  </w:style>
  <w:style w:type="paragraph" w:styleId="1276" w:customStyle="1">
    <w:name w:val="xl26"/>
    <w:basedOn w:val="9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77" w:customStyle="1">
    <w:name w:val="xl30"/>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8" w:customStyle="1">
    <w:name w:val="xl41"/>
    <w:basedOn w:val="95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9" w:customStyle="1">
    <w:name w:val="样式 宋体 五号 行距: 单倍行距"/>
    <w:basedOn w:val="954"/>
    <w:uiPriority w:val="0"/>
    <w:qFormat/>
    <w:pPr>
      <w:jc w:val="left"/>
    </w:pPr>
    <w:rPr>
      <w:rFonts w:ascii="宋体" w:hAnsi="宋体"/>
      <w:szCs w:val="20"/>
    </w:rPr>
  </w:style>
  <w:style w:type="paragraph" w:styleId="1280" w:customStyle="1">
    <w:name w:val="Char1 Char Char Char1"/>
    <w:basedOn w:val="954"/>
    <w:uiPriority w:val="0"/>
    <w:qFormat/>
    <w:rPr>
      <w:rFonts w:ascii="Tahoma" w:hAnsi="Tahoma" w:cs="仿宋_GB2312"/>
      <w:sz w:val="24"/>
      <w:szCs w:val="28"/>
    </w:rPr>
  </w:style>
  <w:style w:type="paragraph" w:styleId="1281" w:customStyle="1">
    <w:name w:val="四级条标题"/>
    <w:basedOn w:val="1282"/>
    <w:next w:val="954"/>
    <w:uiPriority w:val="0"/>
    <w:qFormat/>
    <w:pPr>
      <w:numPr>
        <w:ilvl w:val="4"/>
      </w:numPr>
      <w:ind w:left="0" w:hanging="840"/>
      <w:tabs>
        <w:tab w:val="left" w:pos="360" w:leader="none"/>
        <w:tab w:val="left" w:pos="840" w:leader="none"/>
      </w:tabs>
      <w:outlineLvl w:val="4"/>
    </w:pPr>
  </w:style>
  <w:style w:type="paragraph" w:styleId="1282" w:customStyle="1">
    <w:name w:val="三级条标题"/>
    <w:basedOn w:val="1244"/>
    <w:next w:val="954"/>
    <w:uiPriority w:val="0"/>
    <w:qFormat/>
    <w:pPr>
      <w:numPr>
        <w:ilvl w:val="3"/>
        <w:numId w:val="1"/>
      </w:numPr>
      <w:ind w:left="0" w:hanging="840"/>
      <w:outlineLvl w:val="3"/>
    </w:pPr>
  </w:style>
  <w:style w:type="paragraph" w:styleId="1283"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84" w:customStyle="1">
    <w:name w:val="样式 标题 2 + 宋体 五号 行距: 单倍行距"/>
    <w:basedOn w:val="1142"/>
    <w:uiPriority w:val="0"/>
    <w:qFormat/>
    <w:pPr>
      <w:numPr>
        <w:ilvl w:val="1"/>
        <w:numId w:val="4"/>
      </w:numPr>
      <w:jc w:val="left"/>
      <w:spacing w:before="260" w:after="260" w:line="240" w:lineRule="auto"/>
    </w:pPr>
    <w:rPr>
      <w:rFonts w:ascii="宋体" w:hAnsi="宋体" w:eastAsia="宋体"/>
      <w:bCs/>
      <w:sz w:val="21"/>
    </w:rPr>
  </w:style>
  <w:style w:type="paragraph" w:styleId="1285" w:customStyle="1">
    <w:name w:val="List Paragraph1"/>
    <w:basedOn w:val="954"/>
    <w:uiPriority w:val="0"/>
    <w:qFormat/>
    <w:pPr>
      <w:ind w:firstLine="420"/>
    </w:pPr>
    <w:rPr>
      <w:rFonts w:ascii="Calibri" w:hAnsi="Calibri"/>
      <w:szCs w:val="22"/>
    </w:rPr>
  </w:style>
  <w:style w:type="paragraph" w:styleId="1286" w:customStyle="1">
    <w:name w:val="项目符号1"/>
    <w:basedOn w:val="1287"/>
    <w:uiPriority w:val="0"/>
    <w:qFormat/>
    <w:pPr>
      <w:ind w:left="-25" w:firstLine="0"/>
    </w:pPr>
  </w:style>
  <w:style w:type="paragraph" w:styleId="1287" w:customStyle="1">
    <w:name w:val="正文文本样式"/>
    <w:basedOn w:val="954"/>
    <w:uiPriority w:val="0"/>
    <w:qFormat/>
    <w:pPr>
      <w:ind w:firstLine="482"/>
      <w:spacing w:line="360" w:lineRule="auto"/>
    </w:pPr>
    <w:rPr>
      <w:rFonts w:cs="宋体"/>
      <w:sz w:val="24"/>
      <w:szCs w:val="20"/>
    </w:rPr>
  </w:style>
  <w:style w:type="paragraph" w:styleId="1288" w:customStyle="1">
    <w:name w:val="xl27"/>
    <w:basedOn w:val="9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9" w:customStyle="1">
    <w:name w:val="font5"/>
    <w:basedOn w:val="954"/>
    <w:uiPriority w:val="0"/>
    <w:qFormat/>
    <w:pPr>
      <w:jc w:val="left"/>
      <w:spacing w:before="100" w:beforeAutospacing="1" w:after="100" w:afterAutospacing="1"/>
      <w:widowControl/>
    </w:pPr>
    <w:rPr>
      <w:rFonts w:ascii="宋体" w:hAnsi="宋体" w:cs="宋体"/>
      <w:sz w:val="18"/>
      <w:szCs w:val="18"/>
    </w:rPr>
  </w:style>
  <w:style w:type="paragraph" w:styleId="1290" w:customStyle="1">
    <w:name w:val="五级条标题"/>
    <w:basedOn w:val="1281"/>
    <w:next w:val="954"/>
    <w:uiPriority w:val="0"/>
    <w:qFormat/>
    <w:pPr>
      <w:numPr>
        <w:ilvl w:val="5"/>
      </w:numPr>
      <w:ind w:left="0" w:hanging="840"/>
      <w:outlineLvl w:val="5"/>
    </w:pPr>
  </w:style>
  <w:style w:type="paragraph" w:styleId="1291" w:customStyle="1">
    <w:name w:val="xl49"/>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2" w:customStyle="1">
    <w:name w:val="文档正文"/>
    <w:basedOn w:val="954"/>
    <w:uiPriority w:val="0"/>
    <w:qFormat/>
    <w:pPr>
      <w:spacing w:before="120" w:after="120" w:line="180" w:lineRule="auto"/>
    </w:pPr>
    <w:rPr>
      <w:rFonts w:ascii="Arial" w:hAnsi="Arial"/>
      <w:szCs w:val="20"/>
    </w:rPr>
  </w:style>
  <w:style w:type="paragraph" w:styleId="1293" w:customStyle="1">
    <w:name w:val="xl33"/>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4" w:customStyle="1">
    <w:name w:val="xl42"/>
    <w:basedOn w:val="9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95" w:customStyle="1">
    <w:name w:val="Char Char Char1 Char"/>
    <w:basedOn w:val="954"/>
    <w:uiPriority w:val="0"/>
    <w:qFormat/>
    <w:rPr>
      <w:rFonts w:ascii="Tahoma" w:hAnsi="Tahoma"/>
      <w:sz w:val="24"/>
      <w:szCs w:val="20"/>
    </w:rPr>
  </w:style>
  <w:style w:type="paragraph" w:styleId="1296" w:customStyle="1">
    <w:name w:val="xl44"/>
    <w:basedOn w:val="9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7" w:customStyle="1">
    <w:name w:val="1名"/>
    <w:basedOn w:val="954"/>
    <w:uiPriority w:val="0"/>
    <w:qFormat/>
    <w:pPr>
      <w:numPr>
        <w:ilvl w:val="0"/>
        <w:numId w:val="5"/>
      </w:numPr>
      <w:spacing w:before="120"/>
    </w:pPr>
    <w:rPr>
      <w:rFonts w:ascii="宋体"/>
      <w:sz w:val="28"/>
      <w:szCs w:val="20"/>
    </w:rPr>
  </w:style>
  <w:style w:type="paragraph" w:styleId="1298" w:customStyle="1">
    <w:name w:val="font9"/>
    <w:basedOn w:val="95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99" w:customStyle="1">
    <w:name w:val="Char Char Char1 Char1"/>
    <w:basedOn w:val="954"/>
    <w:uiPriority w:val="0"/>
    <w:qFormat/>
    <w:rPr>
      <w:rFonts w:ascii="Tahoma" w:hAnsi="Tahoma"/>
      <w:sz w:val="24"/>
      <w:szCs w:val="20"/>
    </w:rPr>
  </w:style>
  <w:style w:type="paragraph" w:styleId="1300" w:customStyle="1">
    <w:name w:val="Char Char Char Char Char Char Char Char Char Char"/>
    <w:basedOn w:val="954"/>
    <w:uiPriority w:val="0"/>
    <w:qFormat/>
  </w:style>
  <w:style w:type="paragraph" w:styleId="1301" w:customStyle="1">
    <w:name w:val="Char Char1 Char Char Char Char Char Char Char Char"/>
    <w:basedOn w:val="954"/>
    <w:uiPriority w:val="0"/>
    <w:qFormat/>
    <w:pPr>
      <w:jc w:val="left"/>
      <w:spacing w:after="160" w:line="240" w:lineRule="exact"/>
      <w:widowControl/>
    </w:pPr>
    <w:rPr>
      <w:rFonts w:ascii="Verdana" w:hAnsi="Verdana"/>
      <w:sz w:val="20"/>
      <w:szCs w:val="20"/>
      <w:lang w:eastAsia="en-US"/>
    </w:rPr>
  </w:style>
  <w:style w:type="paragraph" w:styleId="1302" w:customStyle="1">
    <w:name w:val="Char1"/>
    <w:basedOn w:val="954"/>
    <w:uiPriority w:val="0"/>
    <w:qFormat/>
    <w:pPr>
      <w:tabs>
        <w:tab w:val="left" w:pos="360" w:leader="none"/>
      </w:tabs>
    </w:pPr>
    <w:rPr>
      <w:sz w:val="24"/>
    </w:rPr>
  </w:style>
  <w:style w:type="paragraph" w:styleId="1303" w:customStyle="1">
    <w:name w:val="正文列项_字母"/>
    <w:basedOn w:val="95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04" w:customStyle="1">
    <w:name w:val="xl28"/>
    <w:basedOn w:val="9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5" w:customStyle="1">
    <w:name w:val="xl47"/>
    <w:basedOn w:val="9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6" w:customStyle="1">
    <w:name w:val="默认段落字体 Para Char Char Char Char"/>
    <w:basedOn w:val="954"/>
    <w:uiPriority w:val="0"/>
    <w:qFormat/>
    <w:rPr>
      <w:rFonts w:ascii="Arial" w:hAnsi="Arial" w:cs="Arial"/>
      <w:szCs w:val="21"/>
    </w:rPr>
  </w:style>
  <w:style w:type="paragraph" w:styleId="1307" w:customStyle="1">
    <w:name w:val="xl48"/>
    <w:basedOn w:val="9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8" w:customStyle="1">
    <w:name w:val="xl31"/>
    <w:basedOn w:val="95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9" w:customStyle="1">
    <w:name w:val="xl53"/>
    <w:basedOn w:val="9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0" w:customStyle="1">
    <w:name w:val="Char Char Char"/>
    <w:basedOn w:val="954"/>
    <w:uiPriority w:val="0"/>
    <w:qFormat/>
    <w:rPr>
      <w:rFonts w:ascii="Tahoma" w:hAnsi="Tahoma"/>
      <w:sz w:val="24"/>
      <w:szCs w:val="20"/>
    </w:rPr>
  </w:style>
  <w:style w:type="paragraph" w:styleId="1311" w:customStyle="1">
    <w:name w:val="xl50"/>
    <w:basedOn w:val="9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2" w:customStyle="1">
    <w:name w:val="缺省文本"/>
    <w:basedOn w:val="954"/>
    <w:uiPriority w:val="0"/>
    <w:qFormat/>
    <w:pPr>
      <w:jc w:val="left"/>
    </w:pPr>
    <w:rPr>
      <w:sz w:val="24"/>
    </w:rPr>
  </w:style>
  <w:style w:type="paragraph" w:styleId="1313" w:customStyle="1">
    <w:name w:val="Char Char Char1"/>
    <w:basedOn w:val="954"/>
    <w:uiPriority w:val="0"/>
    <w:qFormat/>
    <w:rPr>
      <w:rFonts w:ascii="Tahoma" w:hAnsi="Tahoma"/>
      <w:sz w:val="24"/>
      <w:szCs w:val="20"/>
    </w:rPr>
  </w:style>
  <w:style w:type="paragraph" w:styleId="1314" w:customStyle="1">
    <w:name w:val="Char Char Char Char Char Char Char1"/>
    <w:basedOn w:val="954"/>
    <w:uiPriority w:val="0"/>
    <w:qFormat/>
    <w:pPr>
      <w:ind w:firstLine="200"/>
      <w:spacing w:line="360" w:lineRule="auto"/>
    </w:pPr>
    <w:rPr>
      <w:rFonts w:eastAsia="仿宋_GB2312"/>
      <w:sz w:val="24"/>
    </w:rPr>
  </w:style>
  <w:style w:type="paragraph" w:styleId="1315" w:customStyle="1">
    <w:name w:val="xl51"/>
    <w:basedOn w:val="95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6" w:customStyle="1">
    <w:name w:val="样式2"/>
    <w:basedOn w:val="1202"/>
    <w:uiPriority w:val="0"/>
    <w:qFormat/>
    <w:pPr>
      <w:jc w:val="center"/>
      <w:spacing w:line="360" w:lineRule="auto"/>
    </w:pPr>
    <w:rPr>
      <w:sz w:val="24"/>
    </w:rPr>
  </w:style>
  <w:style w:type="paragraph" w:styleId="1317" w:customStyle="1">
    <w:name w:val="xl24"/>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8" w:customStyle="1">
    <w:name w:val="xl29"/>
    <w:basedOn w:val="9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9" w:customStyle="1">
    <w:name w:val="正文 + 楷体_GB2312"/>
    <w:basedOn w:val="954"/>
    <w:uiPriority w:val="0"/>
    <w:qFormat/>
    <w:pPr>
      <w:jc w:val="left"/>
      <w:widowControl/>
    </w:pPr>
    <w:rPr>
      <w:rFonts w:ascii="楷体_GB2312" w:eastAsia="楷体_GB2312" w:cs="Arial"/>
      <w:sz w:val="24"/>
    </w:rPr>
  </w:style>
  <w:style w:type="paragraph" w:styleId="1320" w:customStyle="1">
    <w:name w:val="xl34"/>
    <w:basedOn w:val="9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1" w:customStyle="1">
    <w:name w:val="1 Char Char Char Char"/>
    <w:basedOn w:val="954"/>
    <w:uiPriority w:val="0"/>
    <w:qFormat/>
    <w:rPr>
      <w:rFonts w:ascii="Tahoma" w:hAnsi="Tahoma"/>
      <w:sz w:val="24"/>
      <w:szCs w:val="20"/>
    </w:rPr>
  </w:style>
  <w:style w:type="paragraph" w:styleId="1322" w:customStyle="1">
    <w:name w:val="列出段落1"/>
    <w:basedOn w:val="954"/>
    <w:uiPriority w:val="0"/>
    <w:qFormat/>
    <w:pPr>
      <w:ind w:firstLine="420"/>
    </w:pPr>
    <w:rPr>
      <w:rFonts w:ascii="Calibri" w:hAnsi="Calibri"/>
      <w:szCs w:val="22"/>
    </w:rPr>
  </w:style>
  <w:style w:type="paragraph" w:styleId="1323" w:customStyle="1">
    <w:name w:val="default"/>
    <w:basedOn w:val="954"/>
    <w:uiPriority w:val="0"/>
    <w:qFormat/>
    <w:pPr>
      <w:jc w:val="left"/>
      <w:spacing w:before="100" w:beforeAutospacing="1" w:after="100" w:afterAutospacing="1"/>
      <w:widowControl/>
    </w:pPr>
    <w:rPr>
      <w:rFonts w:ascii="宋体" w:hAnsi="宋体" w:cs="宋体"/>
      <w:sz w:val="24"/>
    </w:rPr>
  </w:style>
  <w:style w:type="paragraph" w:styleId="1324" w:customStyle="1">
    <w:name w:val="字元 字元1"/>
    <w:basedOn w:val="954"/>
    <w:uiPriority w:val="0"/>
    <w:qFormat/>
    <w:rPr>
      <w:rFonts w:ascii="Tahoma" w:hAnsi="Tahoma"/>
      <w:sz w:val="24"/>
      <w:szCs w:val="20"/>
    </w:rPr>
  </w:style>
  <w:style w:type="paragraph" w:styleId="1325" w:customStyle="1">
    <w:name w:val="_Style 160"/>
    <w:uiPriority w:val="0"/>
    <w:qFormat/>
    <w:rPr>
      <w:rFonts w:ascii="Times New Roman" w:hAnsi="Times New Roman" w:eastAsia="宋体" w:cs="Times New Roman"/>
      <w:sz w:val="21"/>
      <w:szCs w:val="24"/>
      <w:lang w:val="en-US" w:eastAsia="zh-CN" w:bidi="ar-SA"/>
    </w:rPr>
  </w:style>
  <w:style w:type="paragraph" w:styleId="1326" w:customStyle="1">
    <w:name w:val="项目编号3"/>
    <w:basedOn w:val="1287"/>
    <w:uiPriority w:val="0"/>
    <w:qFormat/>
    <w:pPr>
      <w:numPr>
        <w:ilvl w:val="0"/>
        <w:numId w:val="6"/>
      </w:numPr>
    </w:pPr>
  </w:style>
  <w:style w:type="paragraph" w:styleId="1327" w:customStyle="1">
    <w:name w:val="Char21"/>
    <w:basedOn w:val="954"/>
    <w:uiPriority w:val="0"/>
    <w:qFormat/>
    <w:rPr>
      <w:rFonts w:ascii="Tahoma" w:hAnsi="Tahoma"/>
      <w:sz w:val="24"/>
      <w:szCs w:val="20"/>
    </w:rPr>
  </w:style>
  <w:style w:type="paragraph" w:styleId="1328" w:customStyle="1">
    <w:name w:val="表格文字"/>
    <w:basedOn w:val="1173"/>
    <w:uiPriority w:val="0"/>
    <w:qFormat/>
    <w:pPr>
      <w:ind w:firstLine="0"/>
      <w:spacing w:before="20" w:after="20" w:line="240" w:lineRule="auto"/>
    </w:pPr>
    <w:rPr>
      <w:rFonts w:ascii="Century Gothic" w:hAnsi="Century Gothic"/>
      <w:sz w:val="20"/>
      <w:szCs w:val="20"/>
    </w:rPr>
  </w:style>
  <w:style w:type="paragraph" w:styleId="1329" w:customStyle="1">
    <w:name w:val="Char Char Char Char Char Char Char Char Char Char1"/>
    <w:basedOn w:val="954"/>
    <w:uiPriority w:val="0"/>
    <w:qFormat/>
    <w:rPr>
      <w:rFonts w:ascii="宋体" w:hAnsi="宋体" w:cs="Courier New"/>
      <w:sz w:val="32"/>
      <w:szCs w:val="32"/>
    </w:rPr>
  </w:style>
  <w:style w:type="paragraph" w:styleId="1330" w:customStyle="1">
    <w:name w:val="正文文本样式 加粗"/>
    <w:basedOn w:val="1287"/>
    <w:uiPriority w:val="0"/>
    <w:qFormat/>
    <w:rPr>
      <w:b/>
    </w:rPr>
  </w:style>
  <w:style w:type="paragraph" w:styleId="1331" w:customStyle="1">
    <w:name w:val="Char2 Char Char Char Char Char Char"/>
    <w:basedOn w:val="954"/>
    <w:uiPriority w:val="0"/>
    <w:qFormat/>
    <w:pPr>
      <w:jc w:val="center"/>
      <w:spacing w:line="400" w:lineRule="exact"/>
      <w:widowControl/>
    </w:pPr>
  </w:style>
  <w:style w:type="paragraph" w:styleId="1332" w:customStyle="1">
    <w:name w:val="Char Char4"/>
    <w:basedOn w:val="954"/>
    <w:uiPriority w:val="0"/>
    <w:qFormat/>
    <w:pPr>
      <w:jc w:val="center"/>
      <w:spacing w:line="400" w:lineRule="exact"/>
      <w:widowControl/>
    </w:pPr>
  </w:style>
  <w:style w:type="paragraph" w:styleId="1333" w:customStyle="1">
    <w:name w:val="Char3 Char Char Char1"/>
    <w:basedOn w:val="954"/>
    <w:uiPriority w:val="0"/>
    <w:qFormat/>
    <w:rPr>
      <w:rFonts w:ascii="Tahoma" w:hAnsi="Tahoma"/>
      <w:sz w:val="24"/>
      <w:szCs w:val="20"/>
    </w:rPr>
  </w:style>
  <w:style w:type="paragraph" w:styleId="1334"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335" w:customStyle="1">
    <w:name w:val="22222222222222"/>
    <w:basedOn w:val="954"/>
    <w:uiPriority w:val="0"/>
    <w:qFormat/>
    <w:pPr>
      <w:ind w:firstLine="480"/>
      <w:jc w:val="left"/>
      <w:spacing w:line="360" w:lineRule="auto"/>
      <w:widowControl/>
    </w:pPr>
    <w:rPr>
      <w:color w:val="ff0000"/>
      <w:sz w:val="24"/>
      <w:szCs w:val="20"/>
    </w:rPr>
  </w:style>
  <w:style w:type="character" w:styleId="1336" w:customStyle="1">
    <w:name w:val="中等深浅网格 1 - 强调文字颜色 2 Char"/>
    <w:link w:val="1337"/>
    <w:uiPriority w:val="0"/>
    <w:qFormat/>
    <w:rPr>
      <w:sz w:val="21"/>
      <w:szCs w:val="24"/>
      <w:lang w:val="zh-CN" w:eastAsia="zh-CN" w:bidi="ar-SA"/>
    </w:rPr>
  </w:style>
  <w:style w:type="paragraph" w:styleId="1337" w:customStyle="1">
    <w:name w:val="1"/>
    <w:link w:val="1336"/>
    <w:uiPriority w:val="0"/>
    <w:qFormat/>
    <w:rPr>
      <w:rFonts w:ascii="Times New Roman" w:hAnsi="Times New Roman" w:eastAsia="宋体" w:cs="Times New Roman"/>
      <w:sz w:val="21"/>
      <w:szCs w:val="24"/>
      <w:lang w:val="zh-CN" w:eastAsia="zh-CN" w:bidi="ar-SA"/>
    </w:rPr>
  </w:style>
  <w:style w:type="paragraph" w:styleId="1338" w:customStyle="1">
    <w:name w:val="图文"/>
    <w:basedOn w:val="954"/>
    <w:uiPriority w:val="0"/>
    <w:qFormat/>
    <w:pPr>
      <w:spacing w:after="50" w:line="360" w:lineRule="auto"/>
    </w:pPr>
    <w:rPr>
      <w:sz w:val="24"/>
    </w:rPr>
  </w:style>
  <w:style w:type="paragraph" w:styleId="1339" w:customStyle="1">
    <w:name w:val="xl23"/>
    <w:basedOn w:val="954"/>
    <w:uiPriority w:val="0"/>
    <w:qFormat/>
    <w:pPr>
      <w:spacing w:before="100" w:beforeAutospacing="1" w:after="100" w:afterAutospacing="1" w:line="360" w:lineRule="auto"/>
      <w:widowControl/>
    </w:pPr>
    <w:rPr>
      <w:sz w:val="24"/>
      <w:szCs w:val="20"/>
    </w:rPr>
  </w:style>
  <w:style w:type="paragraph" w:styleId="1340" w:customStyle="1">
    <w:name w:val="正文表格"/>
    <w:basedOn w:val="954"/>
    <w:link w:val="1341"/>
    <w:uiPriority w:val="0"/>
    <w:qFormat/>
    <w:pPr>
      <w:jc w:val="left"/>
    </w:pPr>
    <w:rPr>
      <w:rFonts w:ascii="宋体" w:hAnsi="宋体"/>
      <w:color w:val="000000"/>
      <w:szCs w:val="21"/>
    </w:rPr>
  </w:style>
  <w:style w:type="character" w:styleId="1341" w:customStyle="1">
    <w:name w:val="正文表格 Char"/>
    <w:link w:val="1340"/>
    <w:uiPriority w:val="0"/>
    <w:qFormat/>
    <w:rPr>
      <w:rFonts w:ascii="宋体" w:hAnsi="宋体"/>
      <w:color w:val="000000"/>
      <w:sz w:val="21"/>
      <w:szCs w:val="21"/>
    </w:rPr>
  </w:style>
  <w:style w:type="paragraph" w:styleId="1342" w:customStyle="1">
    <w:name w:val="正文重点"/>
    <w:basedOn w:val="954"/>
    <w:link w:val="1343"/>
    <w:uiPriority w:val="0"/>
    <w:qFormat/>
    <w:pPr>
      <w:ind w:firstLine="482"/>
      <w:jc w:val="left"/>
      <w:spacing w:line="360" w:lineRule="auto"/>
    </w:pPr>
    <w:rPr>
      <w:b/>
      <w:sz w:val="24"/>
      <w:szCs w:val="20"/>
    </w:rPr>
  </w:style>
  <w:style w:type="character" w:styleId="1343" w:customStyle="1">
    <w:name w:val="正文重点 Char"/>
    <w:link w:val="1342"/>
    <w:uiPriority w:val="0"/>
    <w:qFormat/>
    <w:rPr>
      <w:b/>
      <w:sz w:val="24"/>
    </w:rPr>
  </w:style>
  <w:style w:type="paragraph" w:styleId="1344" w:customStyle="1">
    <w:name w:val="标题1-附件"/>
    <w:basedOn w:val="1141"/>
    <w:uiPriority w:val="0"/>
    <w:qFormat/>
    <w:pPr>
      <w:jc w:val="left"/>
    </w:pPr>
    <w:rPr>
      <w:sz w:val="24"/>
      <w:szCs w:val="24"/>
    </w:rPr>
  </w:style>
  <w:style w:type="paragraph" w:styleId="1345" w:customStyle="1">
    <w:name w:val="正文小标题"/>
    <w:basedOn w:val="954"/>
    <w:next w:val="1162"/>
    <w:link w:val="1346"/>
    <w:uiPriority w:val="0"/>
    <w:qFormat/>
    <w:pPr>
      <w:ind w:firstLine="482"/>
      <w:jc w:val="left"/>
      <w:spacing w:before="312" w:after="312"/>
    </w:pPr>
    <w:rPr>
      <w:rFonts w:ascii="宋体" w:hAnsi="宋体"/>
      <w:b/>
      <w:i/>
      <w:color w:val="ff0000"/>
      <w:sz w:val="24"/>
      <w:szCs w:val="20"/>
    </w:rPr>
  </w:style>
  <w:style w:type="character" w:styleId="1346" w:customStyle="1">
    <w:name w:val="正文小标题 Char"/>
    <w:link w:val="1345"/>
    <w:uiPriority w:val="0"/>
    <w:qFormat/>
    <w:rPr>
      <w:rFonts w:ascii="宋体" w:hAnsi="宋体"/>
      <w:b/>
      <w:i/>
      <w:color w:val="ff0000"/>
      <w:sz w:val="24"/>
    </w:rPr>
  </w:style>
  <w:style w:type="paragraph" w:styleId="1347" w:customStyle="1">
    <w:name w:val="正文大标题"/>
    <w:basedOn w:val="1345"/>
    <w:next w:val="1162"/>
    <w:link w:val="1348"/>
    <w:uiPriority w:val="0"/>
    <w:qFormat/>
    <w:pPr>
      <w:jc w:val="center"/>
    </w:pPr>
    <w:rPr>
      <w:i w:val="0"/>
      <w:color w:val="000000"/>
      <w:sz w:val="28"/>
      <w:szCs w:val="21"/>
    </w:rPr>
  </w:style>
  <w:style w:type="character" w:styleId="1348" w:customStyle="1">
    <w:name w:val="正文大标题 Char"/>
    <w:link w:val="1347"/>
    <w:uiPriority w:val="0"/>
    <w:qFormat/>
    <w:rPr>
      <w:rFonts w:ascii="宋体" w:hAnsi="宋体"/>
      <w:b/>
      <w:color w:val="000000"/>
      <w:sz w:val="28"/>
      <w:szCs w:val="21"/>
    </w:rPr>
  </w:style>
  <w:style w:type="paragraph" w:styleId="1349" w:customStyle="1">
    <w:name w:val="注释"/>
    <w:basedOn w:val="954"/>
    <w:link w:val="1350"/>
    <w:uiPriority w:val="0"/>
    <w:qFormat/>
    <w:pPr>
      <w:ind w:left="420" w:hanging="420"/>
      <w:jc w:val="left"/>
    </w:pPr>
    <w:rPr>
      <w:rFonts w:ascii="宋体" w:hAnsi="宋体"/>
      <w:szCs w:val="21"/>
    </w:rPr>
  </w:style>
  <w:style w:type="character" w:styleId="1350" w:customStyle="1">
    <w:name w:val="注释 Char"/>
    <w:link w:val="1349"/>
    <w:uiPriority w:val="0"/>
    <w:qFormat/>
    <w:rPr>
      <w:rFonts w:ascii="宋体" w:hAnsi="宋体"/>
      <w:sz w:val="21"/>
      <w:szCs w:val="21"/>
    </w:rPr>
  </w:style>
  <w:style w:type="paragraph" w:styleId="1351" w:customStyle="1">
    <w:name w:val="正文须知-1级"/>
    <w:basedOn w:val="954"/>
    <w:next w:val="954"/>
    <w:uiPriority w:val="0"/>
    <w:qFormat/>
    <w:pPr>
      <w:numPr>
        <w:ilvl w:val="0"/>
        <w:numId w:val="7"/>
      </w:numPr>
      <w:spacing w:line="300" w:lineRule="auto"/>
    </w:pPr>
    <w:rPr>
      <w:rFonts w:ascii="宋体" w:hAnsi="Calibri"/>
      <w:sz w:val="24"/>
      <w:szCs w:val="21"/>
    </w:rPr>
  </w:style>
  <w:style w:type="paragraph" w:styleId="1352" w:customStyle="1">
    <w:name w:val="正文须知-2级"/>
    <w:basedOn w:val="954"/>
    <w:uiPriority w:val="0"/>
    <w:qFormat/>
    <w:pPr>
      <w:numPr>
        <w:ilvl w:val="1"/>
        <w:numId w:val="7"/>
      </w:numPr>
      <w:spacing w:line="300" w:lineRule="auto"/>
    </w:pPr>
    <w:rPr>
      <w:rFonts w:ascii="宋体" w:hAnsi="Calibri"/>
      <w:sz w:val="24"/>
      <w:szCs w:val="21"/>
    </w:rPr>
  </w:style>
  <w:style w:type="paragraph" w:styleId="1353" w:customStyle="1">
    <w:name w:val="正文须知-3级"/>
    <w:basedOn w:val="954"/>
    <w:uiPriority w:val="0"/>
    <w:qFormat/>
    <w:pPr>
      <w:numPr>
        <w:ilvl w:val="2"/>
        <w:numId w:val="7"/>
      </w:numPr>
      <w:ind w:hanging="355"/>
      <w:spacing w:line="300" w:lineRule="auto"/>
    </w:pPr>
    <w:rPr>
      <w:rFonts w:ascii="宋体" w:hAnsi="Calibri"/>
      <w:sz w:val="24"/>
      <w:szCs w:val="21"/>
    </w:rPr>
  </w:style>
  <w:style w:type="character" w:styleId="1354" w:customStyle="1">
    <w:name w:val="纯文本 字符"/>
    <w:uiPriority w:val="99"/>
    <w:qFormat/>
    <w:rPr>
      <w:rFonts w:ascii="宋体" w:hAnsi="Courier New" w:eastAsia="宋体" w:cs="Times New Roman"/>
      <w:sz w:val="21"/>
      <w:szCs w:val="21"/>
      <w:lang w:val="en-US" w:eastAsia="zh-CN" w:bidi="ar-SA"/>
    </w:rPr>
  </w:style>
  <w:style w:type="paragraph" w:styleId="1355" w:customStyle="1">
    <w:name w:val="表格1"/>
    <w:basedOn w:val="954"/>
    <w:uiPriority w:val="0"/>
    <w:qFormat/>
    <w:pPr>
      <w:ind w:firstLine="480"/>
      <w:jc w:val="center"/>
    </w:pPr>
    <w:rPr>
      <w:sz w:val="24"/>
      <w:szCs w:val="20"/>
    </w:rPr>
  </w:style>
  <w:style w:type="character" w:styleId="1356" w:customStyle="1">
    <w:name w:val="纯文本 字符1"/>
    <w:uiPriority w:val="0"/>
    <w:qFormat/>
    <w:rPr>
      <w:rFonts w:ascii="宋体" w:hAnsi="Courier New"/>
    </w:rPr>
  </w:style>
  <w:style w:type="character" w:styleId="1357" w:customStyle="1">
    <w:name w:val="bjh-p"/>
    <w:uiPriority w:val="0"/>
    <w:qFormat/>
  </w:style>
  <w:style w:type="paragraph" w:styleId="1358" w:customStyle="1">
    <w:name w:val="无标题条"/>
    <w:next w:val="954"/>
    <w:uiPriority w:val="0"/>
    <w:qFormat/>
    <w:pPr>
      <w:jc w:val="both"/>
    </w:pPr>
    <w:rPr>
      <w:rFonts w:ascii="Times New Roman" w:hAnsi="Times New Roman" w:eastAsia="宋体" w:cs="Times New Roman"/>
      <w:sz w:val="21"/>
      <w:lang w:val="en-US" w:eastAsia="zh-CN" w:bidi="ar-SA"/>
    </w:rPr>
  </w:style>
  <w:style w:type="character" w:styleId="1359" w:customStyle="1">
    <w:name w:val="正文格式 Char"/>
    <w:link w:val="1360"/>
    <w:uiPriority w:val="0"/>
    <w:qFormat/>
    <w:rPr>
      <w:rFonts w:ascii="宋体" w:hAnsi="宋体"/>
      <w:sz w:val="24"/>
      <w:szCs w:val="24"/>
      <w:lang w:val="en-GB"/>
    </w:rPr>
  </w:style>
  <w:style w:type="paragraph" w:styleId="1360" w:customStyle="1">
    <w:name w:val="正文格式"/>
    <w:basedOn w:val="954"/>
    <w:link w:val="1359"/>
    <w:uiPriority w:val="0"/>
    <w:qFormat/>
    <w:pPr>
      <w:ind w:firstLine="480"/>
      <w:spacing w:line="360" w:lineRule="auto"/>
    </w:pPr>
    <w:rPr>
      <w:rFonts w:ascii="宋体" w:hAnsi="宋体"/>
      <w:sz w:val="24"/>
      <w:lang w:val="en-GB"/>
    </w:rPr>
  </w:style>
  <w:style w:type="character" w:styleId="1361" w:customStyle="1">
    <w:name w:val="标题 3 Char"/>
    <w:link w:val="957"/>
    <w:uiPriority w:val="0"/>
    <w:qFormat/>
    <w:rPr>
      <w:rFonts w:ascii="宋体" w:eastAsia="宋体"/>
      <w:b/>
      <w:sz w:val="24"/>
      <w:u w:val="single"/>
      <w:lang w:val="en-US" w:eastAsia="zh-CN" w:bidi="ar-SA"/>
    </w:rPr>
  </w:style>
  <w:style w:type="character" w:styleId="1362" w:customStyle="1">
    <w:name w:val="正文缩进 Char"/>
    <w:uiPriority w:val="0"/>
    <w:qFormat/>
    <w:rPr>
      <w:rFonts w:ascii="宋体" w:eastAsia="宋体"/>
      <w:sz w:val="24"/>
      <w:szCs w:val="24"/>
      <w:lang w:val="en-US" w:eastAsia="zh-CN" w:bidi="ar-SA"/>
    </w:rPr>
  </w:style>
  <w:style w:type="character" w:styleId="1363" w:customStyle="1">
    <w:name w:val="Char Char111"/>
    <w:uiPriority w:val="0"/>
    <w:qFormat/>
    <w:rPr>
      <w:rFonts w:ascii="宋体" w:eastAsia="宋体"/>
      <w:b/>
      <w:sz w:val="24"/>
      <w:u w:val="single"/>
      <w:lang w:val="en-US" w:eastAsia="zh-CN" w:bidi="ar-SA"/>
    </w:rPr>
  </w:style>
  <w:style w:type="character" w:styleId="1364" w:customStyle="1">
    <w:name w:val="正文文本缩进 Char"/>
    <w:uiPriority w:val="0"/>
    <w:qFormat/>
    <w:rPr>
      <w:rFonts w:eastAsia="宋体"/>
      <w:sz w:val="24"/>
      <w:szCs w:val="24"/>
      <w:lang w:val="en-US" w:eastAsia="zh-CN" w:bidi="ar-SA"/>
    </w:rPr>
  </w:style>
  <w:style w:type="character" w:styleId="1365" w:customStyle="1">
    <w:name w:val="列出段落 Char"/>
    <w:uiPriority w:val="0"/>
    <w:qFormat/>
    <w:rPr>
      <w:rFonts w:ascii="Calibri" w:hAnsi="Calibri" w:eastAsia="宋体"/>
      <w:sz w:val="21"/>
      <w:szCs w:val="22"/>
      <w:lang w:val="en-US" w:eastAsia="zh-CN" w:bidi="ar-SA"/>
    </w:rPr>
  </w:style>
  <w:style w:type="character" w:styleId="1366" w:customStyle="1">
    <w:name w:val="页眉 Char"/>
    <w:uiPriority w:val="0"/>
    <w:qFormat/>
    <w:rPr>
      <w:rFonts w:eastAsia="宋体"/>
      <w:sz w:val="18"/>
      <w:szCs w:val="18"/>
      <w:lang w:val="en-US" w:eastAsia="zh-CN" w:bidi="ar-SA"/>
    </w:rPr>
  </w:style>
  <w:style w:type="character" w:styleId="1367" w:customStyle="1">
    <w:name w:val="标题 2 Char"/>
    <w:uiPriority w:val="0"/>
    <w:qFormat/>
    <w:rPr>
      <w:rFonts w:ascii="Arial" w:hAnsi="Arial" w:eastAsia="黑体"/>
      <w:b/>
      <w:sz w:val="30"/>
      <w:lang w:val="en-US" w:eastAsia="zh-CN" w:bidi="ar-SA"/>
    </w:rPr>
  </w:style>
  <w:style w:type="paragraph" w:styleId="1368" w:customStyle="1">
    <w:name w:val="字元 字元2"/>
    <w:basedOn w:val="954"/>
    <w:uiPriority w:val="0"/>
    <w:qFormat/>
    <w:rPr>
      <w:rFonts w:ascii="Tahoma" w:hAnsi="Tahoma"/>
      <w:sz w:val="24"/>
      <w:szCs w:val="20"/>
    </w:rPr>
  </w:style>
  <w:style w:type="paragraph" w:styleId="1369" w:customStyle="1">
    <w:name w:val="Char3 Char Char Char2"/>
    <w:basedOn w:val="954"/>
    <w:uiPriority w:val="0"/>
    <w:qFormat/>
    <w:rPr>
      <w:rFonts w:ascii="Tahoma" w:hAnsi="Tahoma"/>
      <w:sz w:val="24"/>
      <w:szCs w:val="20"/>
    </w:rPr>
  </w:style>
  <w:style w:type="paragraph" w:styleId="1370" w:customStyle="1">
    <w:name w:val="正文文本缩进2"/>
    <w:basedOn w:val="954"/>
    <w:uiPriority w:val="0"/>
    <w:qFormat/>
    <w:pPr>
      <w:ind w:firstLine="480"/>
      <w:spacing w:line="480" w:lineRule="exact"/>
    </w:pPr>
    <w:rPr>
      <w:rFonts w:ascii="宋体" w:hAnsi="宋体"/>
      <w:sz w:val="24"/>
      <w:lang w:val="zh-CN"/>
    </w:rPr>
  </w:style>
  <w:style w:type="paragraph" w:styleId="1371" w:customStyle="1">
    <w:name w:val="Char3"/>
    <w:basedOn w:val="954"/>
    <w:uiPriority w:val="0"/>
    <w:qFormat/>
    <w:pPr>
      <w:tabs>
        <w:tab w:val="left" w:pos="360" w:leader="none"/>
      </w:tabs>
    </w:pPr>
    <w:rPr>
      <w:sz w:val="24"/>
    </w:rPr>
  </w:style>
  <w:style w:type="paragraph" w:styleId="1372" w:customStyle="1">
    <w:name w:val="Char Char Char Char Char Char Char Char Char Char Char Char Char Char Char Char1"/>
    <w:basedOn w:val="954"/>
    <w:uiPriority w:val="0"/>
    <w:qFormat/>
    <w:pPr>
      <w:jc w:val="center"/>
      <w:spacing w:after="160" w:line="240" w:lineRule="exact"/>
      <w:widowControl/>
    </w:pPr>
    <w:rPr>
      <w:rFonts w:ascii="宋体" w:hAnsi="宋体"/>
      <w:b/>
      <w:sz w:val="30"/>
      <w:szCs w:val="30"/>
      <w:lang w:eastAsia="en-US"/>
    </w:rPr>
  </w:style>
  <w:style w:type="paragraph" w:styleId="1373" w:customStyle="1">
    <w:name w:val="Char Char1 Char Char Char Char Char Char1"/>
    <w:basedOn w:val="954"/>
    <w:uiPriority w:val="0"/>
    <w:qFormat/>
    <w:pPr>
      <w:jc w:val="left"/>
      <w:spacing w:after="160" w:line="240" w:lineRule="exact"/>
      <w:widowControl/>
    </w:pPr>
    <w:rPr>
      <w:rFonts w:ascii="Verdana" w:hAnsi="Verdana" w:eastAsia="仿宋_GB2312"/>
      <w:sz w:val="24"/>
      <w:szCs w:val="20"/>
      <w:lang w:eastAsia="en-US"/>
    </w:rPr>
  </w:style>
  <w:style w:type="paragraph" w:styleId="1374" w:customStyle="1">
    <w:name w:val="列出段落2"/>
    <w:basedOn w:val="954"/>
    <w:uiPriority w:val="0"/>
    <w:qFormat/>
    <w:pPr>
      <w:ind w:firstLine="420"/>
    </w:pPr>
    <w:rPr>
      <w:rFonts w:ascii="Calibri" w:hAnsi="Calibri"/>
      <w:szCs w:val="22"/>
    </w:rPr>
  </w:style>
  <w:style w:type="paragraph" w:styleId="1375" w:customStyle="1">
    <w:name w:val="Char Char Char1 Char2"/>
    <w:basedOn w:val="954"/>
    <w:uiPriority w:val="0"/>
    <w:qFormat/>
    <w:rPr>
      <w:rFonts w:ascii="Tahoma" w:hAnsi="Tahoma"/>
      <w:sz w:val="24"/>
      <w:szCs w:val="20"/>
    </w:rPr>
  </w:style>
  <w:style w:type="paragraph" w:styleId="1376" w:customStyle="1">
    <w:name w:val="Char Char Char2"/>
    <w:basedOn w:val="954"/>
    <w:uiPriority w:val="0"/>
    <w:qFormat/>
    <w:rPr>
      <w:rFonts w:ascii="Tahoma" w:hAnsi="Tahoma"/>
      <w:sz w:val="24"/>
      <w:szCs w:val="20"/>
    </w:rPr>
  </w:style>
  <w:style w:type="paragraph" w:styleId="1377" w:customStyle="1">
    <w:name w:val="Char Char Char Char Char Char Char2"/>
    <w:basedOn w:val="954"/>
    <w:uiPriority w:val="0"/>
    <w:qFormat/>
    <w:pPr>
      <w:ind w:firstLine="200"/>
      <w:spacing w:line="360" w:lineRule="auto"/>
    </w:pPr>
    <w:rPr>
      <w:rFonts w:eastAsia="仿宋_GB2312"/>
      <w:sz w:val="24"/>
    </w:rPr>
  </w:style>
  <w:style w:type="paragraph" w:styleId="1378" w:customStyle="1">
    <w:name w:val="正文缩进2"/>
    <w:basedOn w:val="954"/>
    <w:uiPriority w:val="0"/>
    <w:qFormat/>
    <w:pPr>
      <w:ind w:firstLine="567"/>
      <w:spacing w:line="480" w:lineRule="exact"/>
      <w:widowControl/>
    </w:pPr>
    <w:rPr>
      <w:rFonts w:ascii="宋体"/>
      <w:color w:val="000000"/>
      <w:sz w:val="28"/>
      <w:szCs w:val="20"/>
      <w:lang w:val="zh-CN"/>
    </w:rPr>
  </w:style>
  <w:style w:type="paragraph" w:styleId="1379" w:customStyle="1">
    <w:name w:val="修订1"/>
    <w:uiPriority w:val="0"/>
    <w:qFormat/>
    <w:rPr>
      <w:rFonts w:ascii="Times New Roman" w:hAnsi="Times New Roman" w:eastAsia="宋体" w:cs="Times New Roman"/>
      <w:sz w:val="21"/>
      <w:szCs w:val="24"/>
      <w:lang w:val="en-US" w:eastAsia="zh-CN" w:bidi="ar-SA"/>
    </w:rPr>
  </w:style>
  <w:style w:type="paragraph" w:styleId="1380" w:customStyle="1">
    <w:name w:val="Char22"/>
    <w:basedOn w:val="954"/>
    <w:uiPriority w:val="0"/>
    <w:qFormat/>
    <w:rPr>
      <w:rFonts w:ascii="Tahoma" w:hAnsi="Tahoma"/>
      <w:sz w:val="24"/>
      <w:szCs w:val="20"/>
    </w:rPr>
  </w:style>
  <w:style w:type="paragraph" w:styleId="1381" w:customStyle="1">
    <w:name w:val="Char Char Char Char Char Char Char Char Char Char2"/>
    <w:basedOn w:val="954"/>
    <w:uiPriority w:val="0"/>
    <w:qFormat/>
    <w:rPr>
      <w:rFonts w:ascii="宋体" w:hAnsi="宋体" w:cs="Courier New"/>
      <w:sz w:val="32"/>
      <w:szCs w:val="32"/>
    </w:rPr>
  </w:style>
  <w:style w:type="paragraph" w:styleId="1382" w:customStyle="1">
    <w:name w:val="Char2 Char Char Char Char Char Char1"/>
    <w:basedOn w:val="954"/>
    <w:uiPriority w:val="0"/>
    <w:qFormat/>
    <w:pPr>
      <w:jc w:val="center"/>
      <w:spacing w:line="400" w:lineRule="exact"/>
      <w:widowControl/>
    </w:pPr>
  </w:style>
  <w:style w:type="character" w:styleId="1383" w:customStyle="1">
    <w:name w:val="页脚 Char"/>
    <w:uiPriority w:val="0"/>
    <w:qFormat/>
    <w:rPr>
      <w:rFonts w:ascii="宋体" w:eastAsia="宋体"/>
      <w:sz w:val="18"/>
      <w:lang w:val="en-US" w:eastAsia="zh-CN" w:bidi="ar-SA"/>
    </w:rPr>
  </w:style>
  <w:style w:type="paragraph" w:styleId="1384" w:customStyle="1">
    <w:name w:val="Char Char41"/>
    <w:basedOn w:val="954"/>
    <w:uiPriority w:val="0"/>
    <w:qFormat/>
    <w:pPr>
      <w:jc w:val="center"/>
      <w:spacing w:line="400" w:lineRule="exact"/>
      <w:widowControl/>
    </w:pPr>
  </w:style>
  <w:style w:type="character" w:styleId="1385" w:customStyle="1">
    <w:name w:val="批注文字 Char"/>
    <w:uiPriority w:val="99"/>
    <w:qFormat/>
    <w:rPr>
      <w:sz w:val="21"/>
      <w:szCs w:val="24"/>
    </w:rPr>
  </w:style>
  <w:style w:type="character" w:styleId="1386" w:customStyle="1">
    <w:name w:val="标题 Char"/>
    <w:uiPriority w:val="0"/>
    <w:qFormat/>
    <w:rPr>
      <w:b/>
      <w:sz w:val="32"/>
    </w:rPr>
  </w:style>
  <w:style w:type="paragraph" w:styleId="1387" w:customStyle="1">
    <w:name w:val="图例"/>
    <w:basedOn w:val="954"/>
    <w:uiPriority w:val="0"/>
    <w:qFormat/>
    <w:pPr>
      <w:jc w:val="center"/>
      <w:spacing w:before="120" w:after="120" w:line="360" w:lineRule="auto"/>
    </w:pPr>
    <w:rPr>
      <w:rFonts w:eastAsia="仿宋_GB2312"/>
      <w:b/>
      <w:sz w:val="24"/>
      <w:szCs w:val="20"/>
    </w:rPr>
  </w:style>
  <w:style w:type="table" w:styleId="1388"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89" w:customStyle="1">
    <w:name w:val="Table Paragraph"/>
    <w:basedOn w:val="954"/>
    <w:uiPriority w:val="1"/>
    <w:qFormat/>
    <w:pPr>
      <w:jc w:val="left"/>
    </w:pPr>
    <w:rPr>
      <w:rFonts w:ascii="宋体" w:hAnsi="宋体" w:cs="宋体"/>
      <w:sz w:val="22"/>
      <w:szCs w:val="22"/>
      <w:lang w:eastAsia="en-US"/>
    </w:rPr>
  </w:style>
  <w:style w:type="paragraph" w:styleId="1390" w:customStyle="1">
    <w:name w:val="成文日期"/>
    <w:basedOn w:val="954"/>
    <w:link w:val="1391"/>
    <w:uiPriority w:val="0"/>
    <w:qFormat/>
    <w:pPr>
      <w:ind w:right="400" w:firstLine="200"/>
      <w:jc w:val="right"/>
      <w:spacing w:line="570" w:lineRule="exact"/>
    </w:pPr>
    <w:rPr>
      <w:rFonts w:ascii="仿宋_GB2312" w:eastAsia="仿宋_GB2312"/>
      <w:sz w:val="32"/>
      <w:szCs w:val="20"/>
    </w:rPr>
  </w:style>
  <w:style w:type="character" w:styleId="1391" w:customStyle="1">
    <w:name w:val="成文日期 Char"/>
    <w:link w:val="1390"/>
    <w:uiPriority w:val="0"/>
    <w:qFormat/>
    <w:rPr>
      <w:rFonts w:ascii="仿宋_GB2312" w:eastAsia="仿宋_GB2312"/>
      <w:sz w:val="32"/>
    </w:rPr>
  </w:style>
  <w:style w:type="paragraph" w:styleId="1392" w:customStyle="1">
    <w:name w:val="修订2"/>
    <w:uiPriority w:val="99"/>
    <w:unhideWhenUsed/>
    <w:qFormat/>
    <w:rPr>
      <w:rFonts w:ascii="Times New Roman" w:hAnsi="Times New Roman" w:eastAsia="宋体" w:cs="Times New Roman"/>
      <w:sz w:val="21"/>
      <w:szCs w:val="24"/>
      <w:lang w:val="en-US" w:eastAsia="zh-CN" w:bidi="ar-SA"/>
    </w:rPr>
  </w:style>
  <w:style w:type="character" w:styleId="1393" w:customStyle="1">
    <w:name w:val="c-icon28"/>
    <w:uiPriority w:val="0"/>
    <w:qFormat/>
  </w:style>
  <w:style w:type="character" w:styleId="1394" w:customStyle="1">
    <w:name w:val="hover23"/>
    <w:uiPriority w:val="0"/>
    <w:qFormat/>
  </w:style>
  <w:style w:type="character" w:styleId="1395" w:customStyle="1">
    <w:name w:val="hover24"/>
    <w:uiPriority w:val="0"/>
    <w:qFormat/>
    <w:rPr>
      <w:color w:val="315efb"/>
    </w:rPr>
  </w:style>
  <w:style w:type="character" w:styleId="1396" w:customStyle="1">
    <w:name w:val="hover25"/>
    <w:uiPriority w:val="0"/>
    <w:qFormat/>
    <w:rPr>
      <w:color w:val="315efb"/>
    </w:rPr>
  </w:style>
  <w:style w:type="character" w:styleId="1397" w:customStyle="1">
    <w:name w:val="content-right_8zs401"/>
    <w:uiPriority w:val="0"/>
    <w:qFormat/>
  </w:style>
  <w:style w:type="character" w:styleId="1398" w:customStyle="1">
    <w:name w:val="hover26"/>
    <w:uiPriority w:val="0"/>
    <w:qFormat/>
  </w:style>
  <w:style w:type="character" w:styleId="1399" w:customStyle="1">
    <w:name w:val="hover27"/>
    <w:uiPriority w:val="0"/>
    <w:qFormat/>
    <w:rPr>
      <w:color w:val="315efb"/>
    </w:rPr>
  </w:style>
  <w:style w:type="character" w:styleId="1400" w:customStyle="1">
    <w:name w:val="hover28"/>
    <w:uiPriority w:val="0"/>
    <w:qFormat/>
    <w:rPr>
      <w:color w:val="315efb"/>
    </w:rPr>
  </w:style>
  <w:style w:type="character" w:styleId="1401" w:customStyle="1">
    <w:name w:val="c-icon26"/>
    <w:uiPriority w:val="0"/>
    <w:qFormat/>
  </w:style>
  <w:style w:type="paragraph" w:styleId="1402">
    <w:name w:val="List Paragraph"/>
    <w:basedOn w:val="954"/>
    <w:uiPriority w:val="34"/>
    <w:qFormat/>
    <w:pPr>
      <w:ind w:firstLine="420"/>
    </w:pPr>
    <w:rPr>
      <w:rFonts w:ascii="Calibri" w:hAnsi="Calibri"/>
      <w:szCs w:val="22"/>
    </w:rPr>
  </w:style>
  <w:style w:type="paragraph" w:styleId="1403" w:customStyle="1">
    <w:name w:val="申报正文"/>
    <w:basedOn w:val="954"/>
    <w:uiPriority w:val="0"/>
    <w:qFormat/>
    <w:pPr>
      <w:ind w:left="170" w:hanging="170"/>
      <w:spacing w:line="360" w:lineRule="auto"/>
      <w:tabs>
        <w:tab w:val="left" w:pos="420" w:leader="none"/>
      </w:tabs>
    </w:pPr>
    <w:rPr>
      <w:rFonts w:eastAsia="仿宋_GB2312" w:cs="宋体"/>
      <w:sz w:val="28"/>
      <w:szCs w:val="20"/>
    </w:rPr>
  </w:style>
  <w:style w:type="paragraph" w:styleId="1404" w:customStyle="1">
    <w:name w:val="☆ 正文"/>
    <w:basedOn w:val="954"/>
    <w:uiPriority w:val="0"/>
    <w:qFormat/>
    <w:rPr>
      <w:rFonts w:ascii="Calibri" w:hAnsi="Calibri"/>
      <w:szCs w:val="22"/>
      <w:lang w:val="zh-CN"/>
    </w:rPr>
  </w:style>
  <w:style w:type="paragraph" w:styleId="1405" w:customStyle="1">
    <w:name w:val="首行缩进"/>
    <w:basedOn w:val="954"/>
    <w:uiPriority w:val="0"/>
    <w:qFormat/>
    <w:pPr>
      <w:ind w:firstLine="480"/>
    </w:pPr>
    <w:rPr>
      <w:rFonts w:ascii="Calibri" w:hAnsi="Calibri"/>
      <w:lang w:val="zh-CN"/>
    </w:rPr>
  </w:style>
  <w:style w:type="paragraph" w:styleId="1406" w:customStyle="1">
    <w:name w:val="UserStyle_82"/>
    <w:uiPriority w:val="0"/>
    <w:qFormat/>
    <w:rPr>
      <w:rFonts w:ascii="宋体" w:hAnsi="Times New Roman" w:eastAsia="宋体" w:cs="Times New Roman"/>
      <w:color w:val="000000"/>
      <w:sz w:val="24"/>
      <w:szCs w:val="24"/>
      <w:lang w:val="en-US" w:eastAsia="zh-CN" w:bidi="ar-SA"/>
    </w:rPr>
  </w:style>
  <w:style w:type="character" w:styleId="1407" w:customStyle="1">
    <w:name w:val="font91"/>
    <w:uiPriority w:val="0"/>
    <w:qFormat/>
    <w:rPr>
      <w:rFonts w:hint="eastAsia" w:ascii="宋体" w:hAnsi="宋体" w:eastAsia="宋体" w:cs="宋体"/>
      <w:b/>
      <w:bCs/>
      <w:color w:val="000000"/>
      <w:sz w:val="12"/>
      <w:szCs w:val="12"/>
      <w:u w:val="none"/>
    </w:rPr>
  </w:style>
  <w:style w:type="character" w:styleId="1408" w:customStyle="1">
    <w:name w:val="font112"/>
    <w:uiPriority w:val="0"/>
    <w:qFormat/>
    <w:rPr>
      <w:rFonts w:hint="eastAsia" w:ascii="宋体" w:hAnsi="宋体" w:eastAsia="宋体" w:cs="宋体"/>
      <w:color w:val="000000"/>
      <w:sz w:val="12"/>
      <w:szCs w:val="12"/>
      <w:u w:val="none"/>
    </w:rPr>
  </w:style>
  <w:style w:type="character" w:styleId="1409" w:customStyle="1">
    <w:name w:val="font11"/>
    <w:uiPriority w:val="0"/>
    <w:qFormat/>
    <w:rPr>
      <w:rFonts w:hint="eastAsia" w:ascii="宋体" w:hAnsi="宋体" w:eastAsia="宋体" w:cs="宋体"/>
      <w:b/>
      <w:bCs/>
      <w:color w:val="000000"/>
      <w:sz w:val="12"/>
      <w:szCs w:val="12"/>
      <w:u w:val="none"/>
    </w:rPr>
  </w:style>
  <w:style w:type="character" w:styleId="1410" w:customStyle="1">
    <w:name w:val="font121"/>
    <w:uiPriority w:val="0"/>
    <w:qFormat/>
    <w:rPr>
      <w:rFonts w:hint="eastAsia" w:ascii="宋体" w:hAnsi="宋体" w:eastAsia="宋体" w:cs="宋体"/>
      <w:color w:val="000000"/>
      <w:sz w:val="12"/>
      <w:szCs w:val="12"/>
      <w:u w:val="none"/>
    </w:rPr>
  </w:style>
  <w:style w:type="character" w:styleId="1411" w:customStyle="1">
    <w:name w:val="font01"/>
    <w:uiPriority w:val="0"/>
    <w:qFormat/>
    <w:rPr>
      <w:rFonts w:hint="eastAsia" w:ascii="宋体" w:hAnsi="宋体" w:eastAsia="宋体" w:cs="宋体"/>
      <w:color w:val="000000"/>
      <w:sz w:val="12"/>
      <w:szCs w:val="12"/>
      <w:u w:val="none"/>
    </w:rPr>
  </w:style>
  <w:style w:type="character" w:styleId="1412" w:customStyle="1">
    <w:name w:val="font161"/>
    <w:uiPriority w:val="0"/>
    <w:qFormat/>
    <w:rPr>
      <w:rFonts w:hint="eastAsia" w:ascii="宋体" w:hAnsi="宋体" w:eastAsia="宋体" w:cs="宋体"/>
      <w:color w:val="000000"/>
      <w:sz w:val="12"/>
      <w:szCs w:val="12"/>
      <w:u w:val="none"/>
    </w:rPr>
  </w:style>
  <w:style w:type="character" w:styleId="1413" w:customStyle="1">
    <w:name w:val="font151"/>
    <w:uiPriority w:val="0"/>
    <w:qFormat/>
    <w:rPr>
      <w:rFonts w:ascii="Times New Roman" w:hAnsi="Times New Roman" w:cs="Times New Roman"/>
      <w:color w:val="000000"/>
      <w:sz w:val="12"/>
      <w:szCs w:val="12"/>
      <w:u w:val="none"/>
    </w:rPr>
  </w:style>
  <w:style w:type="character" w:styleId="1414" w:customStyle="1">
    <w:name w:val="NormalCharacter1"/>
    <w:uiPriority w:val="0"/>
    <w:qFormat/>
  </w:style>
  <w:style w:type="paragraph" w:styleId="1415" w:customStyle="1">
    <w:name w:val="Plain Text1"/>
    <w:next w:val="1193"/>
    <w:uiPriority w:val="0"/>
    <w:qFormat/>
    <w:pPr>
      <w:jc w:val="both"/>
      <w:widowControl w:val="off"/>
    </w:pPr>
    <w:rPr>
      <w:rFonts w:ascii="宋体" w:hAnsi="宋体" w:eastAsia="楷体_GB2312" w:cs="Times New Roman"/>
      <w:sz w:val="26"/>
      <w:szCs w:val="22"/>
      <w:lang w:val="en-US" w:eastAsia="zh-CN" w:bidi="ar-SA"/>
    </w:rPr>
  </w:style>
  <w:style w:type="paragraph" w:styleId="1416" w:customStyle="1">
    <w:name w:val="普通(网站)1"/>
    <w:basedOn w:val="954"/>
    <w:uiPriority w:val="99"/>
    <w:unhideWhenUsed/>
    <w:qFormat/>
    <w:pPr>
      <w:jc w:val="left"/>
      <w:spacing w:before="100" w:beforeAutospacing="1" w:after="100" w:afterAutospacing="1"/>
      <w:widowControl/>
    </w:pPr>
    <w:rPr>
      <w:rFonts w:ascii="宋体" w:hAnsi="宋体" w:cs="宋体"/>
      <w:sz w:val="24"/>
    </w:rPr>
  </w:style>
  <w:style w:type="paragraph" w:styleId="1417" w:customStyle="1">
    <w:name w:val="一、"/>
    <w:basedOn w:val="954"/>
    <w:uiPriority w:val="0"/>
    <w:qFormat/>
    <w:pPr>
      <w:ind w:firstLine="640"/>
    </w:pPr>
    <w:rPr>
      <w:rFonts w:eastAsia="黑体"/>
      <w:szCs w:val="32"/>
    </w:rPr>
  </w:style>
  <w:style w:type="paragraph" w:styleId="1418" w:customStyle="1">
    <w:name w:val="正文_1_0"/>
    <w:uiPriority w:val="0"/>
    <w:qFormat/>
    <w:pPr>
      <w:jc w:val="both"/>
      <w:widowControl w:val="off"/>
    </w:pPr>
    <w:rPr>
      <w:rFonts w:ascii="Times New Roman" w:hAnsi="Times New Roman" w:eastAsia="宋体" w:cs="Times New Roman"/>
      <w:sz w:val="21"/>
      <w:lang w:val="en-US" w:eastAsia="zh-CN" w:bidi="ar-SA"/>
    </w:rPr>
  </w:style>
  <w:style w:type="paragraph" w:styleId="141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20" w:customStyle="1">
    <w:name w:val="附件标题"/>
    <w:uiPriority w:val="0"/>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numbering" w:styleId="15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footer" Target="footer8.xml" /><Relationship Id="rId28" Type="http://schemas.openxmlformats.org/officeDocument/2006/relationships/footer" Target="footer9.xml" /><Relationship Id="rId29" Type="http://schemas.openxmlformats.org/officeDocument/2006/relationships/footer" Target="footer10.xml" /><Relationship Id="rId30" Type="http://schemas.openxmlformats.org/officeDocument/2006/relationships/footer" Target="footer11.xml" /><Relationship Id="rId31" Type="http://schemas.openxmlformats.org/officeDocument/2006/relationships/footer" Target="footer12.xml" /><Relationship Id="rId3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江苏华溯工程项目管理有限公司</cp:lastModifiedBy>
  <cp:revision>3</cp:revision>
  <dcterms:created xsi:type="dcterms:W3CDTF">2026-05-12T08:20:00Z</dcterms:created>
  <dcterms:modified xsi:type="dcterms:W3CDTF">2026-07-06T05:53:41Z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667E6B5565F14BBE9B3C7B099574C685_13</vt:lpwstr>
  </property>
  <property fmtid="{D5CDD505-2E9C-101B-9397-08002B2CF9AE}" pid="4" name="KSOTemplateDocerSaveRecord">
    <vt:lpwstr>eyJoZGlkIjoiMjZjNDBiNjM0MDM0NmRkYjUwNzQ0M2Q5ODMzNTEyODMiLCJ1c2VySWQiOiI0NjQyMzkwNjgifQ==</vt:lpwstr>
  </property>
</Properties>
</file>