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全自动生化免疫流水线及配套设备</w:t>
      </w:r>
      <w:r>
        <w:rPr>
          <w:rFonts w:ascii="SimSun" w:hAnsi="SimSun" w:eastAsia="SimSun" w:cs="SimSun"/>
          <w:color w:val="000000"/>
          <w:sz w:val="24"/>
        </w:rPr>
        <w:t xml:space="preserve">招标项目的潜在投标人应在苏采云系统上通过网上报名获取招标文件，并于</w:t>
      </w:r>
      <w:r>
        <w:rPr>
          <w:rFonts w:ascii="SimSun" w:hAnsi="SimSun" w:eastAsia="SimSun" w:cs="SimSun"/>
          <w:color w:val="000000"/>
          <w:sz w:val="24"/>
          <w:u w:val="single"/>
        </w:rPr>
        <w:t xml:space="preserve">2026年7月8日13点00分</w:t>
      </w:r>
      <w:r>
        <w:rPr>
          <w:rFonts w:ascii="SimSun" w:hAnsi="SimSun" w:eastAsia="SimSun" w:cs="SimSun"/>
          <w:color w:val="000000"/>
          <w:sz w:val="24"/>
        </w:rPr>
        <w:t xml:space="preserve">（北京时间）前提交电子投标文件。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1、项目编号：JSZC-320581-SZWK-G2026-0158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2、项目名称：全自动生化免疫流水线及配套设备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w:t>
      </w:r>
      <w:r>
        <w:rPr>
          <w:rFonts w:ascii="SimSun" w:hAnsi="SimSun" w:eastAsia="SimSun" w:cs="SimSun"/>
          <w:color w:val="000000"/>
          <w:sz w:val="24"/>
          <w:u w:val="none"/>
        </w:rPr>
        <w:t xml:space="preserve">人民币</w:t>
      </w:r>
      <w:r>
        <w:rPr>
          <w:rFonts w:ascii="SimSun" w:hAnsi="SimSun" w:eastAsia="SimSun" w:cs="SimSun"/>
          <w:color w:val="000000"/>
          <w:sz w:val="24"/>
        </w:rPr>
        <w:t xml:space="preserve">1000000.00元整。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最高限价：人民币1000000.00元整。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5、采购需求：全自动生化免疫流水线及配套设备主要用于</w:t>
      </w:r>
      <w:r>
        <w:rPr>
          <w:rFonts w:ascii="SimSun" w:hAnsi="SimSun" w:eastAsia="SimSun" w:cs="SimSun"/>
          <w:color w:val="000000"/>
          <w:sz w:val="24"/>
          <w:u w:val="none"/>
        </w:rPr>
        <w:t xml:space="preserve">主要用于</w:t>
      </w:r>
      <w:r>
        <w:rPr>
          <w:rFonts w:ascii="SimSun" w:hAnsi="SimSun" w:eastAsia="SimSun" w:cs="SimSun"/>
          <w:color w:val="000000"/>
          <w:sz w:val="24"/>
        </w:rPr>
        <w:t xml:space="preserve">检验科检查、诊断等使用。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全自动生化免疫流水线1套、全自动血球分析工作站1套、电解质分析仪1台、尿液分析仪（干化学）1台、显微镜1台、冰箱（双门）1台、离心机（96孔脱盖）1台、离心机1台、全自动荧光免疫分析仪1台、空气净化器（小）1台、空气净化器（大）1台，不接受进口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6.1质保期：质保期≥5年（质保期自设备经验收合格之日起计算）。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6.2交货期：合同签订生效之后，在收到采购方通知30天内交货送至指定地点并安装调试完成。</w:t>
      </w:r>
      <w:r/>
    </w:p>
    <w:p>
      <w:pPr>
        <w:ind w:left="0" w:right="0" w:firstLine="9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交货地点：医院指定地点（常熟市碧溪街道东张南大街9号）。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6.3验收标准：按采购要求进行验收。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7、本项目不接受联合体投标，不接受转包，分包。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具有所投产品生产（经营）许可资格；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本项目非专门面向中小企业采购项目，所属行业为工业。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1、提交投标文件截止时间：2026年7月8日13：00（北京时间）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2、开标时间：2026年7月8日13：00（北京时间）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3、供应商解密开始时间：2026年7月8日13：00（北京时间）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采购人：常熟市碧溪街道东张社区卫生服务中心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联系人：邵芳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联系电话：0512-52100853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联系地址：常熟市碧溪街道东张南大街9号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项目名称：全自动生化免疫流水线及配套设备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项目编号：JSZC-320581-SZWK-G2026-0158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苏州市卫康招投标咨询服务有限公司</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目录</w:t>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7920245" w:history="1">
        <w:r>
          <w:rPr>
            <w:rStyle w:val="781"/>
            <w:rFonts w:ascii="SimSun" w:hAnsi="SimSun" w:eastAsia="SimSun" w:cs="SimSun"/>
            <w:color w:val="0000ee"/>
            <w:sz w:val="30"/>
            <w:u w:val="single"/>
          </w:rPr>
          <w:t xml:space="preserve">第一章投标邀请</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87920246" w:history="1">
        <w:r>
          <w:rPr>
            <w:rStyle w:val="781"/>
            <w:rFonts w:ascii="SimSun" w:hAnsi="SimSun" w:eastAsia="SimSun" w:cs="SimSun"/>
            <w:color w:val="0000ee"/>
            <w:sz w:val="30"/>
            <w:u w:val="single"/>
          </w:rPr>
          <w:t xml:space="preserve">第二章投标人须知专用条款</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87920247" w:history="1">
        <w:r>
          <w:rPr>
            <w:rStyle w:val="781"/>
            <w:rFonts w:ascii="SimSun" w:hAnsi="SimSun" w:eastAsia="SimSun" w:cs="SimSun"/>
            <w:color w:val="0000ee"/>
            <w:sz w:val="30"/>
            <w:u w:val="single"/>
          </w:rPr>
          <w:t xml:space="preserve">第三章投标人须知通用条款</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87920248" w:history="1">
        <w:r>
          <w:rPr>
            <w:rStyle w:val="781"/>
            <w:rFonts w:ascii="SimSun" w:hAnsi="SimSun" w:eastAsia="SimSun" w:cs="SimSun"/>
            <w:color w:val="0000ee"/>
            <w:sz w:val="30"/>
            <w:u w:val="single"/>
          </w:rPr>
          <w:t xml:space="preserve">一、总则</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87920249" w:history="1">
        <w:r>
          <w:rPr>
            <w:rStyle w:val="781"/>
            <w:rFonts w:ascii="SimSun" w:hAnsi="SimSun" w:eastAsia="SimSun" w:cs="SimSun"/>
            <w:color w:val="0000ee"/>
            <w:sz w:val="30"/>
            <w:u w:val="single"/>
          </w:rPr>
          <w:t xml:space="preserve">二、招标文件的说明</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87920250" w:history="1">
        <w:r>
          <w:rPr>
            <w:rStyle w:val="781"/>
            <w:rFonts w:ascii="SimSun" w:hAnsi="SimSun" w:eastAsia="SimSun" w:cs="SimSun"/>
            <w:color w:val="0000ee"/>
            <w:sz w:val="30"/>
            <w:u w:val="single"/>
          </w:rPr>
          <w:t xml:space="preserve">三、投标文件的编制</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87920251" w:history="1">
        <w:r>
          <w:rPr>
            <w:rStyle w:val="781"/>
            <w:rFonts w:ascii="SimSun" w:hAnsi="SimSun" w:eastAsia="SimSun" w:cs="SimSun"/>
            <w:color w:val="0000ee"/>
            <w:sz w:val="30"/>
            <w:u w:val="single"/>
          </w:rPr>
          <w:t xml:space="preserve">四、投标文件的提交</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87920252" w:history="1">
        <w:r>
          <w:rPr>
            <w:rStyle w:val="781"/>
            <w:rFonts w:ascii="SimSun" w:hAnsi="SimSun" w:eastAsia="SimSun" w:cs="SimSun"/>
            <w:color w:val="0000ee"/>
            <w:sz w:val="30"/>
            <w:u w:val="single"/>
          </w:rPr>
          <w:t xml:space="preserve">五、开标与评标</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87920253" w:history="1">
        <w:r>
          <w:rPr>
            <w:rStyle w:val="781"/>
            <w:rFonts w:ascii="SimSun" w:hAnsi="SimSun" w:eastAsia="SimSun" w:cs="SimSun"/>
            <w:color w:val="0000ee"/>
            <w:sz w:val="30"/>
            <w:u w:val="single"/>
          </w:rPr>
          <w:t xml:space="preserve">六、授予合同</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87920254" w:history="1">
        <w:r>
          <w:rPr>
            <w:rStyle w:val="781"/>
            <w:rFonts w:ascii="SimSun" w:hAnsi="SimSun" w:eastAsia="SimSun" w:cs="SimSun"/>
            <w:color w:val="0000ee"/>
            <w:sz w:val="30"/>
            <w:u w:val="single"/>
          </w:rPr>
          <w:t xml:space="preserve">第四章项目需求</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87920255" w:history="1">
        <w:r>
          <w:rPr>
            <w:rStyle w:val="781"/>
            <w:rFonts w:ascii="SimSun" w:hAnsi="SimSun" w:eastAsia="SimSun" w:cs="SimSun"/>
            <w:color w:val="0000ee"/>
            <w:sz w:val="30"/>
            <w:u w:val="single"/>
          </w:rPr>
          <w:t xml:space="preserve">第五章评审因素和评分标准</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87920256" w:history="1">
        <w:r>
          <w:rPr>
            <w:rStyle w:val="781"/>
            <w:rFonts w:ascii="SimSun" w:hAnsi="SimSun" w:eastAsia="SimSun" w:cs="SimSun"/>
            <w:color w:val="0000ee"/>
            <w:sz w:val="30"/>
            <w:u w:val="single"/>
          </w:rPr>
          <w:t xml:space="preserve">第六章合同格式</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87920257" w:history="1">
        <w:r>
          <w:rPr>
            <w:rStyle w:val="781"/>
            <w:rFonts w:ascii="SimSun" w:hAnsi="SimSun" w:eastAsia="SimSun" w:cs="SimSun"/>
            <w:color w:val="0000ee"/>
            <w:sz w:val="30"/>
            <w:u w:val="single"/>
          </w:rPr>
          <w:t xml:space="preserve">第七章投标文件组成与格式</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87920258" w:history="1">
        <w:r>
          <w:rPr>
            <w:rStyle w:val="781"/>
            <w:rFonts w:ascii="SimSun" w:hAnsi="SimSun" w:eastAsia="SimSun" w:cs="SimSun"/>
            <w:color w:val="0000ee"/>
            <w:sz w:val="30"/>
            <w:u w:val="single"/>
          </w:rPr>
          <w:t xml:space="preserve">一、投标函</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87920259" w:history="1">
        <w:r>
          <w:rPr>
            <w:rStyle w:val="781"/>
            <w:rFonts w:ascii="SimSun" w:hAnsi="SimSun" w:eastAsia="SimSun" w:cs="SimSun"/>
            <w:color w:val="0000ee"/>
            <w:sz w:val="30"/>
            <w:u w:val="single"/>
          </w:rPr>
          <w:t xml:space="preserve">二、开标一览表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87920260" w:history="1">
        <w:r>
          <w:rPr>
            <w:rStyle w:val="781"/>
            <w:rFonts w:ascii="SimSun" w:hAnsi="SimSun" w:eastAsia="SimSun" w:cs="SimSun"/>
            <w:color w:val="0000ee"/>
            <w:sz w:val="30"/>
            <w:u w:val="single"/>
          </w:rPr>
          <w:t xml:space="preserve">三、报价明细表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87920261" w:history="1">
        <w:r>
          <w:rPr>
            <w:rStyle w:val="781"/>
            <w:rFonts w:ascii="SimSun" w:hAnsi="SimSun" w:eastAsia="SimSun" w:cs="SimSun"/>
            <w:color w:val="0000ee"/>
            <w:sz w:val="30"/>
            <w:u w:val="single"/>
          </w:rPr>
          <w:t xml:space="preserve">四、技术参数响应及偏离表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87920262" w:history="1">
        <w:r>
          <w:rPr>
            <w:rStyle w:val="781"/>
            <w:rFonts w:ascii="SimSun" w:hAnsi="SimSun" w:eastAsia="SimSun" w:cs="SimSun"/>
            <w:color w:val="0000ee"/>
            <w:sz w:val="30"/>
            <w:u w:val="single"/>
          </w:rPr>
          <w:t xml:space="preserve">五、投标设备详细配置表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87920263" w:history="1">
        <w:r>
          <w:rPr>
            <w:rStyle w:val="781"/>
            <w:rFonts w:ascii="SimSun" w:hAnsi="SimSun" w:eastAsia="SimSun" w:cs="SimSun"/>
            <w:color w:val="0000ee"/>
            <w:sz w:val="30"/>
            <w:u w:val="single"/>
          </w:rPr>
          <w:t xml:space="preserve">六、投标设备综合性能及规格说明</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87920264" w:history="1">
        <w:r>
          <w:rPr>
            <w:rStyle w:val="781"/>
            <w:rFonts w:ascii="SimSun" w:hAnsi="SimSun" w:eastAsia="SimSun" w:cs="SimSun"/>
            <w:color w:val="0000ee"/>
            <w:sz w:val="30"/>
            <w:u w:val="single"/>
          </w:rPr>
          <w:t xml:space="preserve">七、质量保证及售后服务承诺</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87920265" w:history="1">
        <w:r>
          <w:rPr>
            <w:rStyle w:val="781"/>
            <w:rFonts w:ascii="SimSun" w:hAnsi="SimSun" w:eastAsia="SimSun" w:cs="SimSun"/>
            <w:color w:val="0000ee"/>
            <w:sz w:val="30"/>
            <w:u w:val="single"/>
          </w:rPr>
          <w:t xml:space="preserve">八、商务条件响应及偏离表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187920266" w:history="1">
        <w:r>
          <w:rPr>
            <w:rStyle w:val="781"/>
            <w:rFonts w:ascii="SimSun" w:hAnsi="SimSun" w:eastAsia="SimSun" w:cs="SimSun"/>
            <w:color w:val="0000ee"/>
            <w:sz w:val="30"/>
            <w:u w:val="single"/>
          </w:rPr>
          <w:t xml:space="preserve">九、项目业绩一览表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87920267" w:history="1">
        <w:r>
          <w:rPr>
            <w:rStyle w:val="781"/>
            <w:rFonts w:ascii="SimSun" w:hAnsi="SimSun" w:eastAsia="SimSun" w:cs="SimSun"/>
            <w:color w:val="0000ee"/>
            <w:sz w:val="30"/>
            <w:u w:val="single"/>
          </w:rPr>
          <w:t xml:space="preserve">十、设备的安装、调试</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87920268" w:history="1">
        <w:r>
          <w:rPr>
            <w:rStyle w:val="781"/>
            <w:rFonts w:ascii="SimSun" w:hAnsi="SimSun" w:eastAsia="SimSun" w:cs="SimSun"/>
            <w:color w:val="0000ee"/>
            <w:sz w:val="30"/>
            <w:u w:val="single"/>
          </w:rPr>
          <w:t xml:space="preserve">十一、资格证明文件</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87920269" w:history="1">
        <w:r>
          <w:rPr>
            <w:rStyle w:val="781"/>
            <w:rFonts w:ascii="SimSun" w:hAnsi="SimSun" w:eastAsia="SimSun" w:cs="SimSun"/>
            <w:color w:val="0000ee"/>
            <w:sz w:val="30"/>
            <w:u w:val="single"/>
          </w:rPr>
          <w:t xml:space="preserve">附件一法定代表人授权书</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87920270" w:history="1">
        <w:r>
          <w:rPr>
            <w:rStyle w:val="781"/>
            <w:rFonts w:ascii="SimSun" w:hAnsi="SimSun" w:eastAsia="SimSun" w:cs="SimSun"/>
            <w:color w:val="0000ee"/>
            <w:sz w:val="30"/>
            <w:u w:val="single"/>
          </w:rPr>
          <w:t xml:space="preserve">附件二投标人资格声明</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87920271" w:history="1">
        <w:r>
          <w:rPr>
            <w:rStyle w:val="781"/>
            <w:rFonts w:ascii="SimSun" w:hAnsi="SimSun" w:eastAsia="SimSun" w:cs="SimSun"/>
            <w:color w:val="0000ee"/>
            <w:sz w:val="30"/>
            <w:u w:val="single"/>
          </w:rPr>
          <w:t xml:space="preserve">附件三投标保证承诺书</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87920272" w:history="1">
        <w:r>
          <w:rPr>
            <w:rStyle w:val="781"/>
            <w:rFonts w:ascii="SimSun" w:hAnsi="SimSun" w:eastAsia="SimSun" w:cs="SimSun"/>
            <w:color w:val="0000ee"/>
            <w:sz w:val="30"/>
            <w:u w:val="single"/>
          </w:rPr>
          <w:t xml:space="preserve">附件四中小企业声明函</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87920273" w:history="1">
        <w:r>
          <w:rPr>
            <w:rStyle w:val="781"/>
            <w:rFonts w:ascii="SimSun" w:hAnsi="SimSun" w:eastAsia="SimSun" w:cs="SimSun"/>
            <w:color w:val="0000ee"/>
            <w:sz w:val="30"/>
            <w:u w:val="single"/>
          </w:rPr>
          <w:t xml:space="preserve">附件五残疾人福利性单位声明函</w:t>
        </w:r>
        <w:r>
          <w:rPr>
            <w:rStyle w:val="781"/>
            <w:rFonts w:ascii="Times New Roman" w:hAnsi="Times New Roman" w:eastAsia="Times New Roman" w:cs="Times New Roman"/>
            <w:color w:val="0000ee"/>
            <w:sz w:val="30"/>
            <w:u w:val="single"/>
          </w:rPr>
          <w:tab/>
        </w:r>
      </w:hyperlink>
      <w:r/>
      <w:r/>
    </w:p>
    <w:p>
      <w:pPr>
        <w:pStyle w:val="723"/>
        <w:ind w:left="0" w:right="0" w:firstLine="0"/>
        <w:jc w:val="center"/>
        <w:spacing w:before="0" w:after="0" w:line="400"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line="400"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1、项目编号：JSZC-320581-SZWK-G2026-0158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2、项目名称：全自动生化免疫流水线及配套设备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4、预算金额：人民币1000000.00元整。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最高限价：人民币1000000.00元整。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5、采购需求：全自动生化免疫流水线及配套设备主要用于主要用于检验科检查、诊断等使用。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全自动生化免疫流水线1套、全自动血球分析工作站1套、电解质分析仪1台、尿液分析仪（干化学）1台、显微镜1台、冰箱（双门）1台、离心机（96孔脱盖）1台、离心机1台、全自动荧光免疫分析仪1台、空气净化器（小）1台、空气净化器（大）1台，不接受进口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6.1质保期：质保期≥5年（质保期自设备经验收合格之日起计算）。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6.2交货期：合同签订生效之后，在收到采购方通知30天内交货送至指定地点并安装调试完成。</w:t>
      </w:r>
      <w:r/>
    </w:p>
    <w:p>
      <w:pPr>
        <w:ind w:left="0" w:right="0" w:firstLine="9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交货地点：医院指定地点（常熟市碧溪街道东张南大街9号）。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6.3验收标准：按采购要求进行验收。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7、本项目不接受联合体投标，不接受转包，分包。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具有所投产品生产（经营）许可资格；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本项目非专门面向中小企业采购项目，所属行业为工业。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1、提交投标文件截止时间：2026年7月8日13：00（北京时间）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2、开标时间：2026年7月8日13：00（北京时间）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3、供应商解密开始时间：2026年7月8日13：00（北京时间）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采购人：常熟市碧溪街道东张社区卫生服务中心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联系人：邵芳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联系电话：0512-52100853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联系地址：常熟市碧溪街道东张南大街9号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第二章投标人须知专用条款</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8"/>
        <w:gridCol w:w="1512"/>
        <w:gridCol w:w="7155"/>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项目名称：全自动生化免疫流水线及配套设备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项目编号：JSZC-320581-SZWK-G2026-0158</w:t>
            </w:r>
            <w:r/>
          </w:p>
        </w:tc>
      </w:tr>
      <w:tr>
        <w:trPr>
          <w:trHeight w:val="2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电子投标文件解密开始时间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2026年7月8日13：00（北京时间）</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时间：2026年7月8日13：00（北京时间）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开标地点：苏采云政府采购一体化平台开标大厅（网上不见面开标）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请供应商确保电脑、系统及其他设备（视频输入输出设备等）无误，且开启直至项目结束始终保持系统在线状态。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评标地点：常熟市香山北路9号三楼公共资源交易中心开标室（投标人无需到场）</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自投标截止之日起六十（60）天</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本项目代理服务费为人民币壹万零伍佰元整，自代理服务履约完毕之日起30个工作日内由采购人向代理机构直接支付，一次性付清。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服务费交纳账户：苏州市卫康招投标咨询服务有限公司常熟分公司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账号：10524001040012341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开户银行：中国农业银行股份有限公司常熟虹桥支行</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采购代理机构将对投标人的诚信记录进行查询，如存在应依法拒绝供应商参加政府采购的失信信息的，作无效投标处理。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（2）法定代表人为同一人的不同单位，不得参加同一项目投标或未划分分包的同一投标项目投标，违反此规定的投标作无效投标处理。</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（6）具有所投产品生产（经营）许可资格。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（7）本项目非专门面向中小企业采购项目，所属行业为工业。</w:t>
            </w:r>
            <w:r/>
          </w:p>
        </w:tc>
      </w:tr>
      <w:tr>
        <w:trPr>
          <w:trHeight w:val="3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*（4）技术参数响应偏离表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*（5）投标货物的医疗器械注册证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（6）投标货物详细配置表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（7）投标货物综合性能及规格说明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（8）质量保证及售后服务承诺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*（9）商务条件响应偏离表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（10）项目业绩一览表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（11）设备的安装、调试、对接方案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*（12）资格证明文件（内容详见第七章《投标文件组成与格式》）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备注：（1）其中加“*”项目若有缺失或无效，将导致其投标无效且不允许在开标后补正。</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（2）上述所有投标内容均应包含在电子投标文件中，按规定一并上传到苏采云系统。</w:t>
            </w:r>
            <w:r/>
          </w:p>
        </w:tc>
      </w:tr>
      <w:tr>
        <w:trPr>
          <w:trHeight w:val="2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48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第三章投标人须知</w:t>
      </w:r>
      <w:r>
        <w:rPr>
          <w:rFonts w:ascii="SimSun" w:hAnsi="SimSun" w:eastAsia="SimSun" w:cs="SimSun"/>
          <w:color w:val="000000"/>
          <w:sz w:val="36"/>
        </w:rPr>
        <w:t xml:space="preserve">通用条款</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1、适用范围及解释权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本招标文件仅适用于本次投标邀请中所指定项目的招标采购活动。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本招标文件的解释权属于本项目采购代理机构（以下简称“代理机构”）。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“采购代理机构”系指组织本次招标的苏州市卫康招投标咨询服务有限公司。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“投标人”系指向代理机构提交投标文件的供应商。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2.3“采购人”系指购买本项目货物并接受相关服务的国家机关、事业单位、团体组织。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3、合格投标人的条件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合格的投标人应当符合以下条件：详见《投标人须知专用条款》中投标人资格要求。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投标人应自行承担所有与准备和参加投标有关的一切费用。不论投标的结果如何，代理机构在任何情况下均无义务和责任承担这些费用。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5、招标文件约束力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投标人一旦参加投标，即被认为接受了本招标文件中的所有条件和规定。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6、招标活动的终止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rPr>
          <w:rFonts w:ascii="SimSun" w:hAnsi="SimSun" w:eastAsia="SimSun" w:cs="SimSun"/>
          <w:b/>
          <w:color w:val="000000"/>
          <w:sz w:val="28"/>
        </w:rPr>
        <w:t xml:space="preserve">的说明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1、招标文件的构成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招标文件由下列内容组成：</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第二章投标人须知专用条款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第三章投标人须知通用条款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第四章项目需求</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第五章评审因素和评分标准</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第六章合同格式</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第七章投标文件组成与格式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请仔细检查招标文件是否齐全，如有缺漏，请立即与代理机构联系解决。</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2、招标文件的澄清、修改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代理机构可对已发出的招标文件进行必要的澄清或者修改，并将在指定媒体上发布更正公告。各投标人应在投标截止时间前关注本招标公告网站上更正公告栏，按规定获取相关信息内容，否则其投标风险由投标人承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代理机构一旦对招标文件作出了澄清、修改，即刻发生效力，有关澄清或者修改的内容为招标文件的组成部分，对所有招标文件收受人均具有约束力。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3.4供应商如对本项目提出质疑须在法定质疑期内一次性提出针对同一采购程序环节的质疑。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3.5接受质疑函的方式：当场送达或邮寄方式。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3.6联系单位：苏州市卫康招投标咨询服务有限公司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收件人：季欣怡</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联系电话：0512-65158848</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通讯地址：苏州市干将西路1296号1幢17层（深业姑苏中心）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投标文件的构成：详见《投标人须知专用条款》。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2、投标文件编写说明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2.1投标人应详细阅读招标文件的全部内容。如果投标人没有按照招标文件规定编制投标文件及提供全部资料（包括但不限于加“</w:t>
      </w:r>
      <w:r>
        <w:rPr>
          <w:rFonts w:ascii="SimSun" w:hAnsi="SimSun" w:eastAsia="SimSun" w:cs="SimSun"/>
          <w:color w:val="000000"/>
          <w:sz w:val="28"/>
        </w:rPr>
        <w:t xml:space="preserve">*</w:t>
      </w:r>
      <w:r>
        <w:rPr>
          <w:rFonts w:ascii="SimSun" w:hAnsi="SimSun" w:eastAsia="SimSun" w:cs="SimSun"/>
          <w:color w:val="000000"/>
          <w:sz w:val="24"/>
        </w:rPr>
        <w:t xml:space="preserve">”项目规定的内容），或者投标文件没有对招标文件在各方面都作出实质性响应，将可能导致其投标被拒绝。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除技术规格中另有规定外，投标文件所使用的计量单位应为中华人民共和国法定计量单位。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如无特别说明，所有报价均以人民币元为计价单位。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投标人应对本项目作整体报价，不得拆分，否则其投标无效；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代理机构不接受可选择的投标方案和报价；任何可选择的投标方案和报价将被视为非响应性投标而被拒绝。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投标人必须保证所提供的全部资料真实可靠，并接受评标委员会或代理机构对其中任何资料进一步审查的要求。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制作电子投标文件的流程详见附件。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3、电子投标文件制作</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电子投标文件：详见《投标人须知专用条款》。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4、投标文件的签署、盖章</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投标人在投标文件的投标函中请加盖电子签章，包括单位和法定代表人（或授权代表）章。如投标文件中未加盖电子签章的作无效投标处理。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由投标人授权代表签署投标文件的，应附有法定代表人授权书。授权书上应加盖电子签章，包括单位和法定代表人章。但法定代表人签署投标文件的不需提供授权书。</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1、投标文件的提交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1.1电子投标文件制作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（1）在苏采云系统中下载招标文件后，点击“客户端下载地址”，下载投标文件客户端，查看客户端使用说明。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（2）将下载的采购文件导入投标文件客户端，按照《操作手册》完成投标文件的编制和加盖电子签章。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742950"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00385" name=""/>
                        <pic:cNvPicPr>
                          <a:picLocks noChangeAspect="1"/>
                        </pic:cNvPicPr>
                        <pic:nvPr/>
                      </pic:nvPicPr>
                      <pic:blipFill>
                        <a:blip/>
                        <a:stretch/>
                      </pic:blipFill>
                      <pic:spPr bwMode="auto">
                        <a:xfrm>
                          <a:off x="0" y="0"/>
                          <a:ext cx="742950"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stroked="false">
                <v:path textboxrect="0,0,0,0"/>
              </v:shape>
            </w:pict>
          </mc:Fallback>
        </mc:AlternateConten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（4）电子投标文件中的资料应按采购文件的要求加盖投标人的电子签章或公章。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（5）未按照要求编制电子投标文件，未按照要求在电子投标文件上加盖电子签章的，均视为无效投标。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（6）投标报价（编制）要求的说明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（8）投标人应按《投标报价表》中的全部货物和服务计算单价和总价。《投标报价表》中的每一单项均应计算并填写单价和总价，并由法定代表人或代理人签章。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（10）一项投标内容只允许一个报价，采购代理机构不接受任何有选择性的投标报价。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（11）投标文件报价中的单价和总价全部采用人民币表示，除非合同的特殊条款另有规定。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（12）最低的投标报价或最高的折扣比例是中标的重要条件，但不是中标的唯一条件。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2、投标截止时间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投标人必须在招标文件规定的投标截止时间之前将电子投标文件上传到苏采云系统。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代理机构有权按照法定的要求顺延投标截止时间和开标时间。在此情况下，招标文件收受人和投标人的所有权利和义务以及投标人受制的截止时间均应以延长后新的截止时间为准。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3、投标文件的补充、修改和撤回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投标人在投标截止时间之前，可以对其已提交的投标文件进行补充、修改或者撤回。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在投标截止时间至招标文件中规定的投标有效期届满这段时间内，投标人不得撤回其投标文件。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4、投标保证金</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投标有效期为招标文件规定的投标截止之日起六十（60）天。承诺的投标有效期少于该规定期限的投标将被拒绝。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1.1远程开标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1.1.1代理机构工作人员将在招标公告中规定的时间和地点组织公开开标。投标人应当按照《操作手册》规定，参加开标活动和在苏采云系统规定的时间内对投标文件进行解密。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1.1.2进入解密环节后，投标人应在30分钟内使用CA锁完成解密，如超出该时间，作无效标处理。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1.1.3开评标过程中，如投标人因所在区域出现断电、断网或其他不可预见原因导致无法参与开评标流程的，该投标人视为无效响应。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1.2现场开标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开标仪式由代理机构组织。苏采云系统将自动对项目进行开标，并宣布各投标人名称和投标价格。</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投标人在开标过程中涉及到的投标文件解密、开标结果确认等工作，应按照《操作手册》规定执行。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1.3开标时间、解密时间均以开标大厅的时间为准。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开标后，代理机构将立即组织评标委员会（以下简称评委会）进行评标。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评委会由五人以上单数的有关技术、经济等方面的专家和采购人代表组成。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评委会独立开展工作，负责审议所有投标文件，并推荐中标人。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评委会将对投标人的商业、技术秘密等予以保密。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3、对投标文件的审查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3.1首先对投标文件进行初审，投标文件初审分为资格性检查和符合性检查。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资格审查：依据法律法规和招标文件的规定，由采购人代表对投标文件中的资格证明文件进行审查。资格审查的结论，采购人代表以书面形式向评标委员会进行反馈。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3.3如果投标文件实质上没有响应招标文件的要求，评标委员会将予以拒绝，投标人不得通过修改或撤销不合要求的偏离或保留而使其投标成为实质性响应的投标。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3.4评标委员会将对确定为实质性响应的投标进行进一步审核，看其是否有计算上或累加上的算术错误，修正错误的原则如下：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3.8投标人在开、评标全过程中应保持通讯畅通，及时登录苏采云系统查阅、答复相关信息，并安排专人与代理机构及评标委员会联系。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4、投标文件的澄清（若有）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评标期间，评标委员会对投标文件中含义不明确、同类问题表述不一致或者有明显文字和计算错误的内容，有权要求投标人作出必要的澄清、说明或者补正。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4.2澄清方式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4.2.1远程澄清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4.2.2文字澄清的内容须由投标人法定代表人或授权代表签署，并作为投标文件的补充部分，但不得改变投标文件的实质性内容。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接到评委会澄清要求的投标人如未按规定作出澄清，其风险由投标人自行承担。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5、投标文件的比较和评价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评委会将严格按照招标文件规定的评标方法和标准，对通过资格性和符合性检查的投标进行综合比较和评价。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评标采用综合评分法，具体评审因素和评分标准见招标文件“第五章 评审因素和评分标准”。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6、评标过程的保密性</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开标后，直至向中标的投标人授予合同时止，凡是与审查、澄清、比较和评价投标有关的资料以及授标建议等，均不得向投标人及与评标无关的其他人员透露。</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在评标过程中，如果投标人试图向代理机构和参与评标的人员施加任何影响，都将会导致其投标被拒绝。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评标结束后，不退还投标文件。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7、无效标及废标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7.1投标文件属下列情况之一的，在资格性、符合性检查时按照无效投标处理，应予无效标：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7.1.1投标人在苏采云系统规定的时间内未成功解密电子投标文件的。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7.1.2投标人未按照招标文件要求上传电子投标文件的。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7.1.3同一投标人提交两个（含两个）以上不同的投标报价的。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7.1.4投标人不具备招标文件中规定资格要求的。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7.1.5投标人的报价超过了采购预算或最高限价的。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7.1.6投标人未通过资格性、符合性审查的。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7.1.7不符合招标文件中规定的实质性要求和条件的。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 投标文件含有采购人不能接受的附加条件的。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7.1.10不同投标人的电子投标文件制作机器码一致；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7.1.11评审过程中出现下列情形之一的，评审委员会应当启动异常低价投标（响应）审查程序：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7.1.11.1投标（响应）报价低于全部通过符合性审查供应商投标（响应）报价平均值60%的，即投标（响应）报价&lt;全部通过符合性审查供应商投标（响应）报价平均值×60%；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7.1.11.2投标（响应）报价低于通过符合性审查的次低报价供应商投标（响应）报价60%的，即投标（响应）报价&lt;通过符合性审查的次低报价供应商投标（响应）报价×60%；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7.1.11.3投标（响应）报价低于采购项目最高限价60%的，即投标（响应）报价&lt;采购项目最高限价×60%；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7.1.11.4评审委员会基于专业判断，认为供应商报价过低，有可能影响产品质量或者不能诚信履约的其他情形。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4"/>
        </w:rPr>
        <w:t xml:space="preserve">投标（响应）处理。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7.1.12投标文件未按照招标文件要求加盖CA电子公章的。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7.1.13其他法律、法规及本招标文件规定的属无效投标的情形。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7.2废标条款</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7.2.1符合专业条件的供应商或者对招标文件作实质响应的供应商不足三家的。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7.2.2出现影响采购公正的违法、违规行为的。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7.2.3因重大变故，采购任务取消的。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7.2.4评标委员会认定招标文件存在歧义、重大缺陷导致评审工作无法进行。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7.2.5因苏采云系统系统故障原因造成开标不成功的。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投标截止时间结束后参加投标的供应商不足三家的处理：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7.3.1如出现投标截止时间结束后参加投标的供应商或者在评标期间对招标文件做出实质响应的供应商不足三家情况，按政府采购相关规定执行。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1、合同授予标准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评委会将对通过资格性和符合性检查的投标人进行综合评审，按评审后得分由高到低顺序排列。得分相同的，按投标报价由低到高顺序排列。得分且投标报价相同的并列。</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评委会根据排列情况将推荐中标人，并根据采购人委托直接确定中标人。中标人并列的，采取随机抽取的方式确定。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评标结束后，代理机构将在规定的时间内向中标人发出中标通知书。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中标通知书将成为合同的组成部分。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2.3采购代理机构对未中标人不承担解释未中标原因的义务。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3、签订合同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采购合同由中标人与采购人签订，中标人应按中标通知书规定与采购人签订合同。招标文件、中标人的投标文件和澄清内容、中标通知书等均为签订合同的依据。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如果中标人没有按照规定签订合同，其中标资格将被取消。在此情况下重新组织采购。</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合同一式四份，中标人、采购人、交易中心、代理机构各执一份，具有同等法律效力。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第四章项目需求</w:t>
      </w:r>
      <w:r/>
    </w:p>
    <w:p>
      <w:pPr>
        <w:ind w:left="408"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一、项目名称：全自动生化免疫流水线及配套设备</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二、项目编号：JSZC-320581-SZWK-G2026-0158</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三、采购项目及数量要求：</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7"/>
        <w:gridCol w:w="2341"/>
        <w:gridCol w:w="4053"/>
        <w:gridCol w:w="1983"/>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1"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常熟市碧溪街道东张社区卫生服务中心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全自动生化免疫流水线1套</w:t>
            </w:r>
            <w:r/>
          </w:p>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核心产品</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43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全自动血球分析工作站1套</w:t>
            </w:r>
            <w:r/>
          </w:p>
        </w:tc>
        <w:tc>
          <w:tcPr>
            <w:vMerge w:val="continue"/>
            <w:textDirection w:val="lrTb"/>
            <w:noWrap w:val="false"/>
          </w:tcPr>
          <w:p>
            <w:r/>
            <w:r/>
          </w:p>
        </w:tc>
      </w:tr>
      <w:tr>
        <w:trPr>
          <w:trHeight w:val="4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电解质分析仪1台</w:t>
            </w:r>
            <w:r/>
          </w:p>
        </w:tc>
        <w:tc>
          <w:tcPr>
            <w:vMerge w:val="continue"/>
            <w:textDirection w:val="lrTb"/>
            <w:noWrap w:val="false"/>
          </w:tcPr>
          <w:p>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尿液分析仪（干化学）1台</w:t>
            </w:r>
            <w:r/>
          </w:p>
        </w:tc>
        <w:tc>
          <w:tcPr>
            <w:vMerge w:val="continue"/>
            <w:textDirection w:val="lrTb"/>
            <w:noWrap w:val="false"/>
          </w:tcPr>
          <w:p>
            <w:r/>
            <w:r/>
          </w:p>
        </w:tc>
      </w:tr>
      <w:tr>
        <w:trPr>
          <w:trHeight w:val="43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显微镜1台</w:t>
            </w:r>
            <w:r/>
          </w:p>
        </w:tc>
        <w:tc>
          <w:tcPr>
            <w:vMerge w:val="continue"/>
            <w:textDirection w:val="lrTb"/>
            <w:noWrap w:val="false"/>
          </w:tcPr>
          <w:p>
            <w:r/>
            <w:r/>
          </w:p>
        </w:tc>
      </w:tr>
      <w:tr>
        <w:trPr>
          <w:trHeight w:val="47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冰箱（双门）1台</w:t>
            </w:r>
            <w:r/>
          </w:p>
        </w:tc>
        <w:tc>
          <w:tcPr>
            <w:vMerge w:val="continue"/>
            <w:textDirection w:val="lrTb"/>
            <w:noWrap w:val="false"/>
          </w:tcPr>
          <w:p>
            <w:r/>
            <w:r/>
          </w:p>
        </w:tc>
      </w:tr>
      <w:tr>
        <w:trPr>
          <w:trHeight w:val="46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离心机（96孔脱盖）1台</w:t>
            </w:r>
            <w:r/>
          </w:p>
        </w:tc>
        <w:tc>
          <w:tcPr>
            <w:vMerge w:val="continue"/>
            <w:textDirection w:val="lrTb"/>
            <w:noWrap w:val="false"/>
          </w:tcPr>
          <w:p>
            <w:r/>
            <w:r/>
          </w:p>
        </w:tc>
      </w:tr>
      <w:tr>
        <w:trPr>
          <w:trHeight w:val="4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离心机1台</w:t>
            </w:r>
            <w:r/>
          </w:p>
        </w:tc>
        <w:tc>
          <w:tcPr>
            <w:vMerge w:val="continue"/>
            <w:textDirection w:val="lrTb"/>
            <w:noWrap w:val="false"/>
          </w:tcPr>
          <w:p>
            <w:r/>
            <w:r/>
          </w:p>
        </w:tc>
      </w:tr>
      <w:tr>
        <w:trPr>
          <w:trHeight w:val="43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全自动荧光免疫分析仪1台</w:t>
            </w:r>
            <w:r/>
          </w:p>
        </w:tc>
        <w:tc>
          <w:tcPr>
            <w:vMerge w:val="continue"/>
            <w:textDirection w:val="lrTb"/>
            <w:noWrap w:val="false"/>
          </w:tcPr>
          <w:p>
            <w:r/>
            <w:r/>
          </w:p>
        </w:tc>
      </w:tr>
      <w:tr>
        <w:trPr>
          <w:trHeight w:val="43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空气净化器（小）1台</w:t>
            </w:r>
            <w:r/>
          </w:p>
        </w:tc>
        <w:tc>
          <w:tcPr>
            <w:vMerge w:val="continue"/>
            <w:textDirection w:val="lrTb"/>
            <w:noWrap w:val="false"/>
          </w:tcPr>
          <w:p>
            <w:r/>
            <w:r/>
          </w:p>
        </w:tc>
      </w:tr>
      <w:tr>
        <w:trPr>
          <w:trHeight w:val="45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空气净化器（大）1台</w:t>
            </w:r>
            <w:r/>
          </w:p>
        </w:tc>
        <w:tc>
          <w:tcPr>
            <w:vMerge w:val="continue"/>
            <w:textDirection w:val="lrTb"/>
            <w:noWrap w:val="false"/>
          </w:tcPr>
          <w:p>
            <w:r/>
            <w:r/>
          </w:p>
        </w:tc>
      </w:tr>
    </w:tbl>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四、全自动生化免疫流水线招标参数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(一)样本轨道模块基本参数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自动样品脱盖系统与线上分析仪均采用同一品牌，满足医院统一服务的需求。线上分析仪包括全自动生化分析仪、全自动化学发光免疫分析仪连接，满足后续医院实验室流水线升级的需求。（需提供相应的证明材料）</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2.样本去盖总速度＞500管/小时，便于样本及时在仪器分析；</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3.支持不同样本容器混合上样，智能识别有无管盖，有则自动去盖；</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4.采血管条码无需对齐缺口，360度旋转扫码，位置偏倚的采血管，扫码后机械手可自动矫正；</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5.具备气溶胶过滤和紫外线消毒功能以防止生物污染；</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(二)生化模块基本参数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1.检测速度：生化测试，单、双试剂项目恒速≥2000测试/小时；ISE测试≥600测试/小时，综合测试≥2400测试/小时；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2.分析方法：终点法，速率法，固定时间法；支持单/双、三/四试剂测试和双波长；</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3.检测原理：包括比色法、比浊法、间接离子选择电极法；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4.电解质分析：可选配K、Na、Cl电解质分析模块；</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5.样本容量：样本容纳位置＞500个，一次性最大加样样本数量≥300，具备样本缓冲区；</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6.急诊样本启动检测能力：有独立的急诊轨道进样，支持加样启动后一分钟立检；</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7.试剂系统：≥140个试剂位；具备24小时不间断冷藏功能，试剂仓冷藏温度2℃～8℃；</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8.最小试剂量：≤10μL，0.5μL递增，支持30分钟内补充试剂后样本自动再检测功能；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9.具有独立的试剂PAD可分屏显示及控制试剂盘；</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10.具有试剂在线装载功能，即仪器在运行过程中可随时添加试剂，具有试剂添加量智能预估功能； </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11.仪器可同时支持在线分析项目数：≥70个项目；</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12.最小样本量：≤1.5μL，0.1μL递增；</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13.样本质量分析：可定量分析脂血、溶血、黄疸指数，关联具体检测项目并给出干扰方向提示，提供仪器操作界面图片；</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▲14.样本针清洗模式：支持机内样本针超声波清洗、样本针携带污染率≤0.1ppm，提供仪器超声波清洗机构图片和样本针携带污染率第三方检测报告；</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15.样本探针功能：具有液面检测、气泡检测、空吸检测及横、堵针检测、随量跟踪功能；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16.支持样本稀释重测，具有样本自动增量、减量及预稀释重测功能；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17.支持稀释重测时预设多档稀释倍数，针对不同样本智能选择不同稀释倍数；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18.糖化血红蛋白检测功能：内置免预处理全血糖化血红蛋白检测功能；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19.前带检测功能：具备前带检测功能；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20.可与同型号生化分析仪或同品牌化学发光分析仪级联升级，支持接入自动化流水线；</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21.最小反应体积：≤80ul；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22.生化反应杯：永久性石英玻璃杯；</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23.光学系统：光栅后分光，16个波长，340～850nm；</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24.吸光度线性范围 0-3.5 Abs；</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★25.温控系统：固体直热，温度控制在37°C±0.1°C，无需添加抑菌剂等，免除日常维护保养；（提供公开发行材料证明）</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26.环境检测功能：支持水质、大气压力、测量环境中CO₂浓度监测功能，通过结果修正降低血清CO₂项目定标频率；</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27.溯源性：生产厂家参考实验室通过CNAS或CMA认证，保障结果具有准确性和溯源性，具有原厂家配套的校准品（提供注册证）；</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生化项目：钾、钠、氯、钙、血糖、尿素、肌酐、总蛋白、白蛋白、丙氨基酸基转移酶、天门冬氨酸几转移酶、碱性磷酸酶、肌酸激酶、乳酸脱氢酶、直接胆红素项目在2025年国家室间质评实验室家数大于500家，并提供相应的证明文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(三)化学发光免疫模块基本参数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1.检测原理为酶促化学发光法；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2.单机检测速度：500T/小时；单模块试剂位数量≥36个；</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▲3.分析仪主机的试剂盘处具备独立的PAD可用于监控仪器试剂及耗材余量在状态；</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4.样本针：采取钢针加样技术，无需一次性TIP吸样头耗材；</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5.具有视觉识别系统，能自动识别样本容器、样本管类型、异常液面（气泡，液滴）智能识别和报警；</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6.Anti-HBs、HBeAg及HIV等试剂效期≥18个月；</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7.原厂质控品和校准品，满足溯源性要求，能提供溯源性文件；能提供原厂校准品和质控品的SFDA注册证；</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8.混匀方式：同时具备非接触式偏心涡旋混匀和超声混匀两种技术；</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满足由国家卫生健康委临床检验中心发布的2025年第二次能力验证报告中，传染病组统计使用实验室数≥300家以上，内分泌组使用实验室数≥300家以上，心肌标志物组使用实验家数≥150家以上，肿瘤标志物A使用实验室数≥600家以上，需要有明确的证明文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五、配套设备招标参数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(一)全自动血球分析工作站招标参数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▲整体描述：血液分析工作站由五分类血球模块与糖化血红蛋白模块通过智能轨道连接组成。</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一)五分类血球模块参数：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1.检测方法及原理：血细胞分析采用半导体激光法、鞘流电阻抗法、荧光染色法和流式细胞技术原理，CRP、SAA检测采用胶乳增强免疫散射比浊法；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2.报告参数：血液分析报告参数≥37个，三维散点图≥3个；体液分析报告参数≥7个；CRP报告参数≥2个；SAA报告参数≥1个；</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3.单机检测速度：CBC＋DIFF＋NRBC ≥110个样本/小时；CBC＋DIFF＋NRBC＋CRP ≥100样本/小时；CBC＋DIFF＋NRBC＋SAA ≥100样本/小时；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4.进样方式及用血量：静脉血和末梢全血均可自动批量进样或手动进样；末梢全血检测CDR+CRP用血量≤37μl，末梢全血检测CDR+CRP+SAA用血量≤40μl，预稀释模式CDR+CRP+SAA用血量≤20μl；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5.标配自动进样器，自动进样器内轨标配回退功能，可选配开放进样或封闭进样装置；</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6.末梢全血自动批量检测模式支持以下功能：自动扫码进样、自动混匀、异常标本自动回退复检；自动混匀功能可适配主流末梢全血采血管；</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7.末梢全血预稀释模式也能进行白细胞五分类、有核红细胞、网织红细胞和CRP、SAA检测，有急诊插入功能；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8.具有全自动体液（含胸水、腹水、脑脊液和浆膜液等体液）细胞计数和对体液中的白细胞进行分类的功能；具有通过高荧光体液细胞参数对肿瘤细胞进行提示功能；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9.使用荧光染料和半导体激光检测WBC五分类，并具有有核红细胞检测功能，能自动进行对白细胞计数的校正；</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▲10.全自动网织红细胞检测，可对网织红进行分型，提供网织红成熟度指数，网织红细胞检测无需机外染色处理,需提供原厂配套网织红校准品（需提供相应的证明材料）；</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11.具有检测网织红细胞血红蛋白含量的功能，以帮助判断贫血的类型；</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12.血小板检测采用鞘流阻抗法和荧光染色法两种方法，并可转换；</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13.具有低值血小板检测功能，如遇血小板低值时通过自动增加计数颗粒数量（至少8倍）来保证血小板检测精度，也可以手动选择至少8倍进样检测模式；</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14.具有对EDTA依赖性血小板聚集标本的“自解聚”功能，如遇血小板聚集时可自动加测光学法血小板，光学法血小板对聚集血小板的解聚率≥80%（提供数据证明材料）；</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15.具有低值白细胞检测功能，如遇白细胞低值时自动增加计数颗粒数量来保证检测结果的准确性，无需二次折返检测；</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16.具有高值SAA自动稀释重测功能，如遇样本SAA结果超出线性范围，无需人工干预，可自动回退稀释重测；</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17.配备原厂中文报告及数据处理系统，血液分析仪主机自带10寸彩色液晶触摸屏；</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18.血液分析线性范围（静脉血）：白细胞：（0-500） 109/L，红细胞：（0-8.6） 1012/L，血小板：（0-5000） 109/L，血红蛋白：0-260g/L；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19.血液模式空白计数要求：白细胞≤0.1  109/L，红细胞≤0.02  1012/L，血红蛋白≤1g/L，阻抗法血小板≤5  109/L；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20.CRP线性范围：0.2~320mg/L；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21.SAA线性范围：5~350mg/L；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22.全血CRP检测时可校正红细胞、白细胞、血小板体积的干扰（提供证明文件）；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▲23.血球分析仪无需外接气源装置确保其稳定性；</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24.能提供原厂配套的CFDA注册的质控物和校准物，并提供校准物溯源性文件；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25.定期提供原厂配套的质控品：同一质控品包含 CBC、白细胞分类及网织红细胞等在内的所有报告项目；</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26.原厂免费提供实时在线网络室间质量控制系统，实现实时的仪器功能监控和远程维护功能；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二)糖化血红蛋白模块参数：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1.分析原理：离子交换HPLC；</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2.检测方法：双波长吸光度法；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3.检测参数：总糖化血红蛋白（HbA1）、糖化血红蛋白（HbA1c）、胎儿血红蛋白（HbF）、平均血糖（eAG）等；</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4.检测速度</w:t>
        <w:tab/>
        <w:t xml:space="preserve">≥120样本/小时；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5.单个样本检测时间：≤30S；</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6.层析柱测量次数≥6000次；</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7.进样模式：自动全血、封闭预稀释、封闭全血，自动进样样本容量≥50个；</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8.在变异体模式无需停机、更换试剂；</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9.变异体识别报警可分离HbD、HbS、HbC、HbE,HbA1c结果不受干扰（需提供说明书/检测报告等佐证）且变异体模式下分析速度≥60样本/小时；</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10.重复性CV%：CV≤1%；</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(二)电解质分析仪招标参数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1.测量原理：离子选择电极（直接法）；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2.进样方式：自动，内置式进样盘（24个样品位）；</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3.样品种类：血清、血浆、全血、脑脊液、稀释尿；</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4.最小样品量：60μL；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5.分析速度：≤40秒/测试（从进样到显示结果≤15秒）；</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6.测量指标：</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tab/>
        <w:t xml:space="preserve">测量范围</w:t>
        <w:tab/>
        <w:t xml:space="preserve">示值分辨率</w:t>
        <w:tab/>
        <w:t xml:space="preserve">精密度（CV）</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w:t>
        <w:tab/>
        <w:t xml:space="preserve">0.50～20.00</w:t>
        <w:tab/>
        <w:t xml:space="preserve">mmol/L</w:t>
        <w:tab/>
        <w:t xml:space="preserve">0.01</w:t>
        <w:tab/>
        <w:t xml:space="preserve">mmol/L</w:t>
        <w:tab/>
        <w:t xml:space="preserve">≤1.0%</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Na+</w:t>
        <w:tab/>
        <w:t xml:space="preserve">15.0～200.0</w:t>
        <w:tab/>
        <w:t xml:space="preserve">mmol/L</w:t>
        <w:tab/>
        <w:t xml:space="preserve">0.1</w:t>
        <w:tab/>
        <w:t xml:space="preserve">mmol/L</w:t>
        <w:tab/>
        <w:t xml:space="preserve">≤1.0%</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Cl-</w:t>
        <w:tab/>
        <w:t xml:space="preserve">15.0～200.0</w:t>
        <w:tab/>
        <w:t xml:space="preserve">mmol/L</w:t>
        <w:tab/>
        <w:t xml:space="preserve">0.1</w:t>
        <w:tab/>
        <w:t xml:space="preserve">mmol/L</w:t>
        <w:tab/>
        <w:t xml:space="preserve">≤1.0%</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Ca2+</w:t>
        <w:tab/>
        <w:t xml:space="preserve">0.10～6.00</w:t>
        <w:tab/>
        <w:t xml:space="preserve">mmol/L</w:t>
        <w:tab/>
        <w:t xml:space="preserve">0.01</w:t>
        <w:tab/>
        <w:t xml:space="preserve">mmol/L</w:t>
        <w:tab/>
        <w:t xml:space="preserve">≤1.0%</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pH</w:t>
        <w:tab/>
        <w:t xml:space="preserve">4.00～9.00</w:t>
        <w:tab/>
        <w:tab/>
        <w:t xml:space="preserve">0.01</w:t>
        <w:tab/>
        <w:t xml:space="preserve">≤1.0%</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7.定标模式：自动定标；</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(三)尿液分析仪（干化学）招标参数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1.项目选择：十四项、十三项、十一项、十项；</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2.测定原理：反射光电比色法；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3.测定速度：≥510条/h；</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4.光源系统：采用冷光源测定系统；</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5.工作方式：可选择单条测试或连续测试；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6.可测项目：白细胞、酮体、亚硝酸盐、尿胆原、胆红素、尿蛋白、葡萄糖、比重、隐血、pH、维生素C、肌酐、尿钙、微白蛋白；</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7.显示：触摸液晶显示屏，中英文操作界面，中英文测试结果并用符号单位、SI国际单位、常用单位表示；</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8.故障识别功能：能自动识别打印机错误、测试项目不正确等故障；</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9.条形码识别：可识别一维条形码；</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10.仪器能自动感应试纸条，将感应到得试纸条送入仪器内部；</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(四)显微镜招标参数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1.用途：可观察普通染色的切片观察，用于临床及教学工作；</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2.光学系统：无限远光学矫正系统，齐焦距离必须为国际标准45mm；</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3.调焦机构：有粗调限位，可以进行张力调节，避免标本或物镜的损伤；</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4.聚光镜：带有孔径光阑的阿贝聚光镜，N.A. 1.25，带有蓝色滤色片；</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5.照明系统：≥20000小时寿命LED光源；</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6.双目观察筒：瞳距调整范围48-75mm， 倾斜角度至少30°，带屈光度调节，360°可旋转，铰链式，眼点高度≥432.9 mm，视场数≥20；</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7.目镜：10X，带眼罩，视场数≥20；</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8.物镜转盘：与显微镜机身固定的内旋式4孔物镜转盘，便于放置标本等操作；</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9.物镜：平场消色差物镜4X（N.A.≥0.1 W.D≥27）、10X（N.A.≥0.25 W.D≥8）、40X（N.A.≥0.65 W.D≥0.6）、100X（N.A.≥1.25 W.D≥0.12）；</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10.防霉装置：在双目观察筒、目镜、物镜做防霉处理；</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11.所采用光学元件均为环保无铅玻璃；</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(五)冰箱（双门）招标参数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1.立式对开门，有效容积≥761L；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2.采用微电脑控制器，箱内温度范围2℃~8℃；LED温度显示，控制&amp;显示精度0.1℃；</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3.整机配备至少2个测试孔，满足用户根据实际需要检测箱内温度；</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4.标配≥12个蘸塑搁架，满足用户存放要求；标配≥10个价目条； </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5.采用三层钢化镀膜玻璃，边框电加热结构，智感除露（受环温控制），32℃、80%湿度下无凝露；</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6.全角度自关门，解除用户开门后忘记关门；</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至少4种报警方式：声音蜂鸣报警、灯光闪烁报警、远程报警、云平台报警等；报警功能至少包含：高温报警、低温报警、高环温报警、开门报警、断电报警、传感器故障报警、电池故障报警、冷凝器脏堵报警、通讯故障报警等；</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(六)离心机（96孔脱盖）招标参数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1.立式，转速≤4200rpm；相对离心力：≤826×g</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2.噪音：≤58dB（A）,转速精度：±10rpm</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3.定时范围：1～99h59min59S/连续/短时离心</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4.微电脑控制、触摸键设定工作参数、液晶显示；采用交流变频电机驱动</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5.至少20种升降速率选择；≥120种自定义工作模式选择，可自由编程调用</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6.门锁采用双锁，磁感应门锁，电动开门</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7.两种计时模式可选：运行开始计时和到达设定转速开始计时，切换方便</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8.转速/离心力互设、同步显示；运行中可更改参数，无需停机</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(七)离心机招标参数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1.转速≤6000rpm；相对离心力：≤5474×g，水平转头容量：4*100ml</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2.转速精度：±10rpm</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3.定时范围：1～99h59min59S；噪音：≤55dB（A）</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4.微电脑控制、液晶显示、触摸键设置；采用交流变频电机驱动</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5.至少20种升、降速率选择；≥120种自定义工作模式选择</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6.门盖双锁杆，磁感应门锁，电动开门</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7.两种计时模式可选：运行开始计时和到达设定转速开始计时，切换方便</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8.转速/离心力互设、同步显示；运行中可随时更改参数，无需停机</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(八)全自动荧光免疫分析仪招标参数</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1.检测方法及原理：量子点荧光免疫法</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2.综合检测速度：≥90T/H</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3.检测通道：≥24个独立通道，支持任意急诊位</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4.试剂位：≥5个试剂位</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5.样本类型：血清、全血、血浆、末梢全血、咽拭子洗脱液等</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6.支持全血、末梢全血检测降钙素原和白介素≥6项目</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7.检测功能：包括降钙素原、白介素、甲型/乙型流感病毒抗原、肺炎支原体IgM抗体、肺炎支原体IgG抗体等</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8.自动检测：支持降钙素原、白介素、甲型/乙型流感病毒抗原、肺炎支原体IgM/IgG抗体等项目检测的全自动运行，包括自动进样、自动穿刺、自动加样、自动稀释、自动孵育、自动丢卡等全自动检测</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(九)空气净化器（小）</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1.颗粒物洁净空气量（CADR）：≥400 立方米/小时及颗粒物累计净化量（CCM）：≥P4级（≥12000毫克）</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2.甲醛洁净空气量（CADR）：≥200 立方米/小时及甲醛累计净化量（CCM）：≥F4级（≥1500毫克）</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3.适用面积：≤40平方米</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(十)空气净化器（大）</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1.颗粒物洁净空气量 (CADR)：≥2000 m³/h及甲醛洁净空气量 (CADR)：≥1500 m³/h</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2.颗粒物累计净化量 (CCM)：≥P4级</w:t>
      </w:r>
      <w:r/>
    </w:p>
    <w:p>
      <w:pPr>
        <w:ind w:left="0" w:right="0" w:firstLine="48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3.适用面积：约200-280㎡ 的开放式或大空间场所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六、售后服务要求：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1、本项目设备免费质保期要求：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全自动生化免疫流水线及配套设备</w:t>
      </w:r>
      <w:r>
        <w:rPr>
          <w:rFonts w:ascii="SimSun" w:hAnsi="SimSun" w:eastAsia="SimSun" w:cs="SimSun"/>
          <w:color w:val="000000"/>
          <w:sz w:val="24"/>
        </w:rPr>
        <w:t xml:space="preserve">免费质保期≥5年。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针对所投设备提供不低于上述要求的免费质保期。自验收合格之日起，开始进入质保期。质保期内，根据采购人需要提供免费保养服务，质保期内每年提供一次免费保养，质保期自设备经验收合格之日起计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2、投标人在投标文件中须提供主要零配件价格，包括日常维保期间相关维保内容、维保时间进程、维保档案等。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质保期结束后，在设备使用寿命周期内中标人仍然要提供及时、优质、快速的设备维修服务，要保证采购人能更换到原厂正宗的零部件，确保设备正常使用。免费保修期外维修只收取零配件成本价，不收取人工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4、如设备涉及软件的，投标人应提供终生免费升级的服务。免费开放信息采集接口，配合做好信息系统接入。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6、设备安装后，采购人按国家标准及厂方标准进行质量验收。当双方对验收标准有争议时，可委托双方一致认可的国家相关权威检测中心进行检测，费用由责任人承担。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针对所投的项目提供专门的服务团队负责设备的售后、维修等服务，服务团队应具有丰富的经验，可及时应对采购人在该设备使用过程中出现的相关问题或突发状况。在设备质保期内，一旦发生质量问题，中标人在接到报修后2小时响应，12小时内到达现场，24小时内排除故障；提供详细周密的紧急维保预案。同时提供设备维修期间免费提供备品备件及详细维保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8、提供系统完整专业的培训计划，可免费提供采购人的临床医生或医技人员到有关学习单位（三级医疗单位或以上）进行学习（要求提供培训计划）。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七、报价要求：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只有一个分包，投标人须对该分包内的采购内容全部响应，只投报其中部分内容或出现选择性投报的作无效投标处理。投标总价包括全部设备、辅助材料、安装、调试、人工、机械、运输、保险、运费、各种税费、劳保、售后服务、专利技术及免费质保期间的一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2、采购预算：人民币1000000.00元整。最高限价：人民币1000000.00元整。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投标总价不得超过采购预算或最高限价，否则其将作无效投标处理。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八、综合说明：</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1、技术指标符号说明：</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招标文件“技术性能及参数要求”中</w:t>
      </w:r>
      <w:r>
        <w:rPr>
          <w:rFonts w:ascii="SimSun" w:hAnsi="SimSun" w:eastAsia="SimSun" w:cs="SimSun"/>
          <w:color w:val="000000"/>
          <w:sz w:val="24"/>
          <w:u w:val="none"/>
        </w:rPr>
        <w:t xml:space="preserve">“★”技术指标为</w:t>
      </w:r>
      <w:r>
        <w:rPr>
          <w:rFonts w:ascii="SimSun" w:hAnsi="SimSun" w:eastAsia="SimSun" w:cs="SimSun"/>
          <w:color w:val="000000"/>
          <w:sz w:val="24"/>
        </w:rPr>
        <w:t xml:space="preserve">实质性条款，如有不符或未提供佐证材料的评标委员会视为无效投标；“</w:t>
      </w:r>
      <w:r>
        <w:rPr>
          <w:rFonts w:ascii="SimSun" w:hAnsi="SimSun" w:eastAsia="SimSun" w:cs="SimSun"/>
          <w:color w:val="000000"/>
          <w:sz w:val="24"/>
          <w:u w:val="none"/>
        </w:rPr>
        <w:t xml:space="preserve">▲</w:t>
      </w:r>
      <w:r>
        <w:rPr>
          <w:rFonts w:ascii="SimSun" w:hAnsi="SimSun" w:eastAsia="SimSun" w:cs="SimSun"/>
          <w:color w:val="000000"/>
          <w:sz w:val="24"/>
        </w:rPr>
        <w:t xml:space="preserve">”技术指标为重要技术参数，如有不符或未提供佐证材料的评标委员会可视为未对此技术参数进行响应。</w:t>
      </w:r>
      <w:r/>
    </w:p>
    <w:p>
      <w:pPr>
        <w:ind w:left="0" w:right="0" w:firstLine="51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2、采购需求中所列的技术指标和性能要求均为基本参考要求，凡是等于或优于所列要求的货物均可参加投标。</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4、投标人必须承诺采购文件中提出的全部技术规格与要求，如果以其中某些条款不响应时，应在文件中逐条列出，未列出的视同响应。</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5、投标人所投设备应在市场上有一定占有率，提供合同复印件等证明文件。</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6、投标人须提供质量保证，在质量保证期内该设备或产品出现质量问题（人为除外），须无条件更换。同时对设备有可能出现的重大故障规划出合理应对措施及预案。</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7、交货时间：合同签订生效后，在收到采购人通知30天内交货送至指定地点并安装调试完成。</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8、交货地点：根据采购人要求送达指定地点（常熟市碧溪街道东张南大街9号）。</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9、付款方式：</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预付款：合同签订后的30日内，采购人向中标支付合同总价的30%作为预付款。</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货款支付方式：所有货物运至指定地点并经验收通过且收到发票后30日内，甲方向乙方付清全部款项。</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本项目所有款项允许通过数字人民币支付。</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如中标人无需预付款或主动要求降低预付款比例的，与采购人自行协商。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验收标准：设备安装后，需方按国家标准及厂方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11、凡涉及招标文件的补充说明和修改，均以江苏政府采购网、苏州市政府采购网上发布的通知为准。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九、政策执行</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w:t>
      </w:r>
      <w:r>
        <w:rPr>
          <w:rFonts w:ascii="SimSun" w:hAnsi="SimSun" w:eastAsia="SimSun" w:cs="SimSun"/>
          <w:color w:val="000000"/>
          <w:sz w:val="24"/>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根据《政府采购促进中小企业发展管理办法》（财库〔2020〕46号）及《中小企业划型标准规定》（工信部联企业〔2011〕300号），本采购项目对应的中小企业划分标准所属行业为：工业。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（3）残疾人福利性单位（若为专门面向中小企业采购的项目或者采购包，不再执行价格评审优惠的扶持政策）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（4）监狱企业（若为专门面向中小企业采购的项目或者采购包，不再执行价格评审优惠的扶持政策）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（5）绿色采购</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3、政府采购中实施本国产品标准及相关政策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（1）本项目对采购本国产品给予政策支持，具体内容见招标文件“第七章 评标方法、评分标准”。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第五章评审因素和评分标准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一、评标方法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评标采用综合评分法。即在满足招标文件实质性要求前提下，按照招标文件中规定的各项因素进行综合评审。评审因素及各比重如下：价格分值占总分值的比重为40%（权重），技术与质量及其它占60%（权重）。（保留小数点后2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3、评审过程中出现下列情形之一的，评审委员会应当启动异常低价投标审查程序：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3.1投标（响应）报价低于全部通过符合性审查供应商投标（响应）报价平均值60%的，即投标（响应）报价&lt;全部通过符合性审查供应商投标（响应）报价平均值×60%；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3.2投标（响应）报价低于通过符合性审查的次低报价供应商投标（响应）报价60%的，即投标（响应）报价&lt;通过符合性审查的次低报价供应商投标（响应）报价×60%；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3.3投标（响应）报价低于采购项目最高限价60%的，即投标（响应）报价&lt;采购项目最高限价×60%；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3.4评审委员会基于专业判断，认为供应商报价过低，有可能影响产品质量或者不能诚信履约的其他情形。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4"/>
        </w:rPr>
        <w:t xml:space="preserve">投标（响应）处理。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4、采购单位已书面授权评标委员会直接确定中标供应商。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二、评审因素、分值及评分标准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注：每部分的得分保留小数点后两位，合计得分保留小数点后两位。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满足招标文件要求且投标价格最低的投标报价为评标基准价，其价格分为40分；其他投标人的价格分按下列公式计算：投标报价得分＝（评标基准价／投标报价）×40分。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2、评分标准60分</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
        <w:gridCol w:w="1520"/>
        <w:gridCol w:w="870"/>
        <w:gridCol w:w="6060"/>
      </w:tblGrid>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24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设备配置与质量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所投设备的技术参数、性能等应满足招标文件的要求； 1、打“★”项技术参数属于实质性响应参数，负偏离视为无效投标。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2、打“▲”技术指标的为重要技术参数，出现一个负偏离扣3分；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技术参数须在投标文件中提供以下任意一项证明材料：（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否则视为负偏离。】</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3、其他技术指标出现负偏离，每一个扣0.2分；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投标文件中须提供详细的技术参数响应偏离表。</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24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满足采购文件质保期要求；每增加一年质保期得0.5分，最多得1分；（投标文件中需提供原厂质保年限书面承诺函并加盖厂家及投标人公章，提供其他或未提供的不得分。）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注：本质保期延长不足1年的不得分。</w:t>
            </w:r>
            <w:r/>
          </w:p>
        </w:tc>
      </w:tr>
      <w:tr>
        <w:trPr>
          <w:trHeight w:val="2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维保收费及维保方案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维保收费及维保方案应包括：①维保收费（包括零配件、备品、备件价格）清单及价格；②维保工作具体维保内容；③维保流程及维保规范标准等情况介绍进行评定。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能体现上述评审要点为且维保价格优惠力度大、针对性强的，每有一项得1分；体现上述评审要点但内容无法完全贴合需求的得0.5分；未能体现评审要点（或无实质性内容的），对应项得0分。</w:t>
            </w:r>
            <w:r/>
          </w:p>
        </w:tc>
      </w:tr>
      <w:tr>
        <w:trPr>
          <w:trHeight w:val="2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根据培训方案内容包括①培训内容及方法计划；②负责培训人员情况；③培训设备场地情况介绍进行评定。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能体现上述评审要点为且实施方案详细完整、针对性强的，每有一项得1分；体现上述评审要点但内容无法完全贴合需求的得0.5分；未能体现评审要点（或无实质性内容的），对应项得0分。</w:t>
            </w:r>
            <w:r/>
          </w:p>
        </w:tc>
      </w:tr>
      <w:tr>
        <w:trPr>
          <w:trHeight w:val="2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投标人根据设备有可能出现的①重大故障规划出合理应对的措施；②有关经验措施实施预案进行评定。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能体现上述评审要点为且实施方案</w:t>
            </w:r>
            <w:r>
              <w:rPr>
                <w:rFonts w:ascii="SimSun" w:hAnsi="SimSun" w:eastAsia="SimSun" w:cs="SimSun"/>
                <w:color w:val="000000"/>
                <w:sz w:val="24"/>
              </w:rPr>
              <w:t xml:space="preserve">详细完整、理解透彻、针对性强的，每有一项得1.5分；体现上述评审要点但内容无法完全贴合需求的得0.75分；未能体现评审要点（或无实质性内容的），对应项得0分。</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投标人或所投产品生产厂家2022年6月1日至今全自动生化免疫流水线及配套设备业绩（以合同签订日期为准），由评标委员会根据提供的合同业绩进行评定，每提供1个完整合同业绩的得0.5分，本项最高得2分。</w:t>
            </w:r>
            <w:r/>
          </w:p>
        </w:tc>
      </w:tr>
    </w:tbl>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三、政府采购政策的评审加分（下述政策不重复享受政策）：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（一）针对小微型企业的评审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2、中小企业划型标准详见“工信部联企业〔2011〕300号通知”。</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在本次货物采购项目中，货物由小微企业制造，即货物由小微企业生产且使用该小微企业商号或者注册商标的，可享受小微企业扶持政策。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投标人提供的货物既有小微企业制造货物，也有大中型企业制造货物的，不享受中小企业扶持政策。投标人应当出具《中小企业声明函》（见格式），否则不得享受相关中小企业扶持政策。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（二）关于政府采购促进残疾人就业政策的评审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（三）关于政府采购支持监狱企业发展政策的评审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1、在政府采购活动中，监狱企业视同小型、微型企业，享受评审中价格扣除等政府采购促进中小企业发展的政府采购政策。向监狱企业采购的金额，计入面向中小企业采购的统计数据。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（四）采购本国产品的支持政策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如投标人提供虚假材料，将按“政府采购法”相关规定处理并由政府监管部门给予严肃处理。</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四、其它须落实的政府采购政策：</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2、根据苏州市财政局《关于贯彻执行绿色采购、促进残疾人就业和支持监狱企业发展有关政策的通知》（苏财购〔2019〕10号）文件的规定：</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2.1环保与节能：</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mc:AlternateContent>
          <mc:Choice Requires="wpg">
            <w:drawing>
              <wp:inline xmlns:wp="http://schemas.openxmlformats.org/drawingml/2006/wordprocessingDrawing" distT="0" distB="0" distL="0" distR="0">
                <wp:extent cx="2000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7344" name=""/>
                        <pic:cNvPicPr>
                          <a:picLocks noChangeAspect="1"/>
                        </pic:cNvPicPr>
                        <pic:nvPr/>
                      </pic:nvPicPr>
                      <pic:blipFill>
                        <a:blip/>
                        <a:stretch/>
                      </pic:blipFill>
                      <pic:spPr bwMode="auto">
                        <a:xfrm>
                          <a:off x="0" y="0"/>
                          <a:ext cx="2000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8pt;height:11.2pt;mso-wrap-distance-left:0.0pt;mso-wrap-distance-top:0.0pt;mso-wrap-distance-right:0.0pt;mso-wrap-distance-bottom:0.0pt;" stroked="false">
                <v:path textboxrect="0,0,0,0"/>
              </v:shape>
            </w:pict>
          </mc:Fallback>
        </mc:AlternateContent>
      </w:r>
      <w:hyperlink r:id="rId42" w:tooltip="http://www.ccgp.gov.xn--cn%29%2C-yh5f38r80dwz3bxcfosbm6k4lam758a5fg/" w:history="1">
        <w:r>
          <w:rPr>
            <w:rStyle w:val="781"/>
            <w:rFonts w:ascii="SimSun" w:hAnsi="SimSun" w:eastAsia="SimSun" w:cs="SimSun"/>
            <w:color w:val="0000ee"/>
            <w:sz w:val="24"/>
            <w:u w:val="single"/>
          </w:rPr>
          <w:t xml:space="preserve">http://www.ccgp.gov.cn）查询，否则视为无效投标</w:t>
        </w:r>
      </w:hyperlink>
      <w:r>
        <w:rPr>
          <w:rFonts w:ascii="SimSun" w:hAnsi="SimSun" w:eastAsia="SimSun" w:cs="SimSun"/>
          <w:color w:val="000000"/>
          <w:sz w:val="24"/>
        </w:rPr>
        <w:t xml:space="preserve">。</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mc:AlternateContent>
          <mc:Choice Requires="wpg">
            <w:drawing>
              <wp:inline xmlns:wp="http://schemas.openxmlformats.org/drawingml/2006/wordprocessingDrawing" distT="0" distB="0" distL="0" distR="0">
                <wp:extent cx="200025"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71028" name=""/>
                        <pic:cNvPicPr>
                          <a:picLocks noChangeAspect="1"/>
                        </pic:cNvPicPr>
                        <pic:nvPr/>
                      </pic:nvPicPr>
                      <pic:blipFill>
                        <a:blip/>
                        <a:stretch/>
                      </pic:blipFill>
                      <pic:spPr bwMode="auto">
                        <a:xfrm>
                          <a:off x="0" y="0"/>
                          <a:ext cx="2000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pt;height:11.2pt;mso-wrap-distance-left:0.0pt;mso-wrap-distance-top:0.0pt;mso-wrap-distance-right:0.0pt;mso-wrap-distance-bottom:0.0pt;" stroked="false">
                <v:path textboxrect="0,0,0,0"/>
              </v:shape>
            </w:pict>
          </mc:Fallback>
        </mc:AlternateContent>
        <w:t xml:space="preserve">http://www.ccgp.gov.cn）查询。</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五、信用记录：</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（1）查询截止时点：投标截止时间以后。</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通过“信用中国”网站上查询的信用信息。</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对存在失信信息的投标人，采购代理机构工作人员应登陆到来源网站页面进行复核并打印，作为证据留存。</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评标委员会在对投标人进行符合性审查时，应根据查询结果对投标人的不良信用记录逐项甄别确认。投标人存在上述文件规定的失信行为的，其投标无效。</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第六章合同格式</w:t>
      </w:r>
      <w:r/>
    </w:p>
    <w:p>
      <w:pPr>
        <w:ind w:left="0" w:right="96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48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签订地点：常熟市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ab/>
        <w:tab/>
        <w:tab/>
        <w:t xml:space="preserve">     </w:t>
        <w:tab/>
        <w:tab/>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ab/>
        <w:tab/>
        <w:tab/>
        <w:tab/>
        <w:tab/>
        <w:tab/>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根据《中华人民共和国政府采购法》及其实施条例、《中华人民共和国民法典》等法律法规的规定，甲乙双方按照项目（项目编号：     ）政府采购结果签订本合同。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除非另有特别解释或说明，本合同有关词语应按如下定义解释：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1.1合同：甲方、乙方签署的与本项目相关的合同书、协议、附件、附录、其他文件和政府采购过程中的全部文件。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1.2甲方：购买本合同项下货物并接受相关服务的国家机关、事业单位、团体组织。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1.3乙方：提供本合同项下货物和服务的法人、其他组织或自然人。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1.4货物：根据合同规定乙方为完成本项目应向甲方提供的一切货物及备件、工具、手册、技术资料及其他材料。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组成本合同的文件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2.1下列政府采购过程文件为本合同不可分割部分：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①中标或成交通知书；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②招标文件、竞争性谈判文件、询价文件、单一来源谈判记录、竞争性磋商文件等（以下统称“采购文件”）；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③乙方的投标文件或响应文件；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④乙方在报价过程中所作的其它承诺、声明、书面澄清等。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2.2上述文件之间如果出现不一致的，以甲方文件确定的内容为准，但乙方文件的内容对甲方更有利的，适用乙方文件。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2.3乙方文件应当符合采购文件确定的原则，如果乙方文件中的表述，形式上符合招标文件原则，但具体内容对甲方不利、对乙方有利的，视为背离采购文件，不予适用。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合同货物</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合同货物清单详见采购文件；乙方负责按照合同要求向甲方提供前述清单中的货物。</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合同总价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4.1合同总价按此次采购结果执行，总金额为人民币元（大写</w:t>
      </w:r>
      <w:r>
        <w:rPr>
          <w:rFonts w:ascii="SimSun" w:hAnsi="SimSun" w:eastAsia="SimSun" w:cs="SimSun"/>
          <w:color w:val="000000"/>
          <w:sz w:val="24"/>
          <w:u w:val="single"/>
        </w:rPr>
        <w:tab/>
        <w:t xml:space="preserve">      </w:t>
        <w:tab/>
      </w:r>
      <w:r>
        <w:rPr>
          <w:rFonts w:ascii="SimSun" w:hAnsi="SimSun" w:eastAsia="SimSun" w:cs="SimSun"/>
          <w:color w:val="000000"/>
          <w:sz w:val="24"/>
        </w:rPr>
        <w:t xml:space="preserve">）。本合同为固定总价合同。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款项支付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5.1预付款：合同签订后的</w:t>
      </w:r>
      <w:r>
        <w:rPr>
          <w:rFonts w:ascii="SimSun" w:hAnsi="SimSun" w:eastAsia="SimSun" w:cs="SimSun"/>
          <w:color w:val="000000"/>
          <w:sz w:val="24"/>
          <w:u w:val="single"/>
        </w:rPr>
        <w:t xml:space="preserve">30 </w:t>
      </w:r>
      <w:r>
        <w:rPr>
          <w:rFonts w:ascii="SimSun" w:hAnsi="SimSun" w:eastAsia="SimSun" w:cs="SimSun"/>
          <w:color w:val="000000"/>
          <w:sz w:val="24"/>
        </w:rPr>
        <w:t xml:space="preserve">日内，甲方向乙方支付合同总价的</w:t>
      </w:r>
      <w:r>
        <w:rPr>
          <w:rFonts w:ascii="SimSun" w:hAnsi="SimSun" w:eastAsia="SimSun" w:cs="SimSun"/>
          <w:color w:val="000000"/>
          <w:sz w:val="24"/>
          <w:u w:val="single"/>
        </w:rPr>
        <w:t xml:space="preserve">30</w:t>
      </w:r>
      <w:r>
        <w:rPr>
          <w:rFonts w:ascii="SimSun" w:hAnsi="SimSun" w:eastAsia="SimSun" w:cs="SimSun"/>
          <w:color w:val="000000"/>
          <w:sz w:val="24"/>
        </w:rPr>
        <w:t xml:space="preserve">%作为预付款；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5.2货款支付：所有货物运至指定地点并经验收通过且收到发票后30日内，甲方向乙方付清全部款项。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5.3本合同项下所有款项允许通过数字人民币支付。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如乙方无需预付款或主动要求降低预付款比例的，与甲方自行协商。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权利保证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质量保证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7.1乙方保证货物完全符合国家相关法律法规和质量标准的规定，不会有任何三无、假冒、伪劣或违禁、走私的物品。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7.3乙方所提供货物的质量技术规格应与采购文件规定及投标或响应文件承诺的内容相一致；若技术规格中无相应说明，则按国家有关部门最新颁布的标准及规范为准。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7.4货物经甲方验收后，乙方仍应对由于质量、卫生、设计、工艺或材料、运输安全等方面产生的各类缺陷承担全部责任。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包装要求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交货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9.1乙方应按照本合同规定的时间和方式向甲方交付货物。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9.2交付时间：合同签订后，在收到采购方通知30天内交货送至指定地点并安装调试完成。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9.3本项目交货方式为现场交货。交付地点为：</w:t>
      </w:r>
      <w:r>
        <w:rPr>
          <w:rFonts w:ascii="SimSun" w:hAnsi="SimSun" w:eastAsia="SimSun" w:cs="SimSun"/>
          <w:color w:val="000000"/>
          <w:sz w:val="24"/>
          <w:u w:val="single"/>
        </w:rPr>
        <w:t xml:space="preserve">常熟市碧溪街道东张南大街9号 ，</w:t>
      </w:r>
      <w:r>
        <w:rPr>
          <w:rFonts w:ascii="SimSun" w:hAnsi="SimSun" w:eastAsia="SimSun" w:cs="SimSun"/>
          <w:color w:val="000000"/>
          <w:sz w:val="24"/>
        </w:rPr>
        <w:t xml:space="preserve">乙方负责办理货物的运输、装卸和保险，一切费用均由乙方承担。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到货验收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10.2乙方交付的货物应当完全符合本合同所约定的货物、数量和规格要求。乙方提供的货物不符合本合同约定的，甲方有权拒收货物，并由乙方承担相应的违约责任。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mc:AlternateContent>
          <mc:Choice Requires="wpg">
            <w:drawing>
              <wp:inline xmlns:wp="http://schemas.openxmlformats.org/drawingml/2006/wordprocessingDrawing" distT="0" distB="0" distL="0" distR="0">
                <wp:extent cx="5857875" cy="1714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040519" name=""/>
                        <pic:cNvPicPr>
                          <a:picLocks noChangeAspect="1"/>
                        </pic:cNvPicPr>
                        <pic:nvPr/>
                      </pic:nvPicPr>
                      <pic:blipFill>
                        <a:blip/>
                        <a:stretch/>
                      </pic:blipFill>
                      <pic:spPr bwMode="auto">
                        <a:xfrm>
                          <a:off x="0" y="0"/>
                          <a:ext cx="5857875"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2pt;height:13.5pt;mso-wrap-distance-left:0.0pt;mso-wrap-distance-top:0.0pt;mso-wrap-distance-right:0.0pt;mso-wrap-distance-bottom:0.0pt;" stroked="false">
                <v:path textboxrect="0,0,0,0"/>
              </v:shape>
            </w:pict>
          </mc:Fallback>
        </mc:AlternateConten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10.4开箱验收的内容为核对到货情况：包装符合性；型号、数量及外观；货物所附技术资料、商务资料；货物组件及配置的型号、外观、数量；零配件、随机配套工具及辅助件的型号、外观、数量。</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10.5有关货物外观、规格、数量或重量的检验不应视为最终检验。</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伴随服务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11.1乙方应提供下列伴随服务：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11.1.1货物的现场安装、施工、调试和／或启动监督；</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11.1.2就货物的安装、调试、启动、运行及维护等对甲方人员进行免费培训。</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11.2安装施工调试期间甲方责任：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11.2.1负责提供场地和有关货物的安装位置；</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11.2.2提供符合安装施工调试要求的电源和水源等；</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11.2.3负责乙方安装施工调试期间与其他施工安装单位交叉作业时的协调工作；</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11.2.4配合乙方做好与安装施工调试有关的辅助性事务；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11.2.5对乙方的安装施工调试工作进行监督管理。</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11.3安装施工调试期间乙方责任：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11.3.1负责货物运抵指定地点后的搬运及看护保管；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11.3.2在安装施工前负责派员前往安装现场进行勘测，确认施工现场条件，与甲方约定具体开工日期；</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11.3.3按照国家规定的相关安装规范和质量标准完成安装施工调试工作；</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11.3.4遵守施工现场的有关规章制度，文明施工、安全施工，接受甲方的监督管理；</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11.3.5配合甲方工作，参加现场施工协调会议；</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11.3.6负责现场施工人员的保险和一切安全责任；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11.3.7负责安装质量的自检验收，配合甲方完成验收工作及项目的移交；</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11.3.8按照有关部门要求完成质量评定和安装施工记录；</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11.3.9负责安装施工调试期间由于乙方过错所造成的一切损失。</w:t>
      </w:r>
      <w:r/>
    </w:p>
    <w:p>
      <w:pPr>
        <w:ind w:left="0" w:right="0" w:firstLine="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最终验收</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12.1货物安装调试结束后，乙方应以书面方式及时通知甲方对项目进行最终验收，验收合格的，由甲乙双方签署验收单并加盖单位公章。</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12.3甲方有权抽样送交第三方进行检测，相应的检测费用由采购文件约定的一方承担，未约定的协商确定。</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12.5验收标准应遵循国家相关标准、行业通行标准、厂方出厂标准、采购文件要求和乙方承诺、甲方要求等。</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12.6甲方有权要求乙方提供采购原材料或货物的采购合同、票据或付款凭证，以核实乙方供货来源的真实性。</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售后服务</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13.1乙方应按照国家有关法律法规、行业规定以及采购文件规定、投标文件或响应文件承诺的内容提供售后服务。具体为：</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13.1.1从乙方将货物送至甲方指定地址后应负责免费安装调试（如需）。</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13.1.2货物免费保修年，自甲方最终验收合格之日（如无需安装调试的，则自到货验收合格之日起）起计算。</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在设备质保期内，一旦发生质量问题，乙方在接到报修后2小时响应，12小时内到达现场，24小时内排除故障；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报修电话：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13.1.4免费保修期内，乙方免收甲方所有费用，包括但不限于零部件费用、人工费、交通费、住宿费等。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13.1.5若在免费保修期内，乙方拒绝维修或迟延维修的，甲方有权自行或委托第三方维修，因此产生的所有费用由乙方承担。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13.1.6免费保修期满后，若甲方要求乙方提供维修的，甲方承担维修所需更换零部件／配件费用，乙方同意按不高于市场价收费。</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违约责任</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14.1甲方无正当理由拒收货物的，甲方向乙方偿付拒收货物价款</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的违约金；甲方逾期付款的，每逾期一日，乙方有权要求甲方按照逾期付款金额的</w:t>
      </w:r>
      <w:r>
        <w:rPr>
          <w:rFonts w:ascii="SimSun" w:hAnsi="SimSun" w:eastAsia="SimSun" w:cs="SimSun"/>
          <w:color w:val="000000"/>
          <w:sz w:val="24"/>
          <w:u w:val="single"/>
        </w:rPr>
        <w:t xml:space="preserve">0.01%</w:t>
      </w:r>
      <w:r>
        <w:rPr>
          <w:rFonts w:ascii="SimSun" w:hAnsi="SimSun" w:eastAsia="SimSun" w:cs="SimSun"/>
          <w:color w:val="000000"/>
          <w:sz w:val="24"/>
        </w:rPr>
        <w:t xml:space="preserve">向乙方支付违约金，但违约金累计不得超过逾期付款金额的</w:t>
      </w:r>
      <w:r>
        <w:rPr>
          <w:rFonts w:ascii="SimSun" w:hAnsi="SimSun" w:eastAsia="SimSun" w:cs="SimSun"/>
          <w:color w:val="000000"/>
          <w:sz w:val="24"/>
          <w:u w:val="single"/>
        </w:rPr>
        <w:t xml:space="preserve"> 1 %</w:t>
      </w:r>
      <w:r>
        <w:rPr>
          <w:rFonts w:ascii="SimSun" w:hAnsi="SimSun" w:eastAsia="SimSun" w:cs="SimSun"/>
          <w:color w:val="000000"/>
          <w:sz w:val="24"/>
        </w:rPr>
        <w:t xml:space="preserve">。</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14.2乙方逾期交付货物的，每逾期一日，甲方有权要求乙方向甲方支付逾期交付货物价款</w:t>
      </w:r>
      <w:r>
        <w:rPr>
          <w:rFonts w:ascii="SimSun" w:hAnsi="SimSun" w:eastAsia="SimSun" w:cs="SimSun"/>
          <w:color w:val="000000"/>
          <w:sz w:val="24"/>
          <w:u w:val="single"/>
        </w:rPr>
        <w:t xml:space="preserve">0.5%</w:t>
      </w:r>
      <w:r>
        <w:rPr>
          <w:rFonts w:ascii="SimSun" w:hAnsi="SimSun" w:eastAsia="SimSun" w:cs="SimSun"/>
          <w:color w:val="000000"/>
          <w:sz w:val="24"/>
        </w:rPr>
        <w:t xml:space="preserve">的违约金，但违约金累计不得超过逾期交付货物价款的</w:t>
      </w:r>
      <w:r>
        <w:rPr>
          <w:rFonts w:ascii="SimSun" w:hAnsi="SimSun" w:eastAsia="SimSun" w:cs="SimSun"/>
          <w:color w:val="000000"/>
          <w:sz w:val="24"/>
          <w:u w:val="single"/>
        </w:rPr>
        <w:t xml:space="preserve">10%</w:t>
      </w:r>
      <w:r>
        <w:rPr>
          <w:rFonts w:ascii="SimSun" w:hAnsi="SimSun" w:eastAsia="SimSun" w:cs="SimSun"/>
          <w:color w:val="000000"/>
          <w:sz w:val="24"/>
        </w:rPr>
        <w:t xml:space="preserve">；一旦违约金总额累计达到逾期交付货物价款的</w:t>
      </w:r>
      <w:r>
        <w:rPr>
          <w:rFonts w:ascii="SimSun" w:hAnsi="SimSun" w:eastAsia="SimSun" w:cs="SimSun"/>
          <w:color w:val="000000"/>
          <w:sz w:val="24"/>
          <w:u w:val="single"/>
        </w:rPr>
        <w:t xml:space="preserve">8%</w:t>
      </w:r>
      <w:r>
        <w:rPr>
          <w:rFonts w:ascii="SimSun" w:hAnsi="SimSun" w:eastAsia="SimSun" w:cs="SimSun"/>
          <w:color w:val="000000"/>
          <w:sz w:val="24"/>
        </w:rPr>
        <w:t xml:space="preserve">，甲方有权解除合同。但违约金不足补偿甲方实际损失或损害的，甲方有权要求乙方赔偿甲方的实际损失或损害。</w:t>
      </w:r>
      <w:r/>
    </w:p>
    <w:p>
      <w:pPr>
        <w:ind w:left="0" w:right="0" w:firstLine="5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14.3若乙方未经甲方书面同意不能按照本合同约定交货逾期超过</w:t>
      </w:r>
      <w:r>
        <w:rPr>
          <w:rFonts w:ascii="SimSun" w:hAnsi="SimSun" w:eastAsia="SimSun" w:cs="SimSun"/>
          <w:color w:val="000000"/>
          <w:sz w:val="24"/>
          <w:u w:val="single"/>
        </w:rPr>
        <w:t xml:space="preserve">30</w:t>
      </w:r>
      <w:r>
        <w:rPr>
          <w:rFonts w:ascii="SimSun" w:hAnsi="SimSun" w:eastAsia="SimSun" w:cs="SimSun"/>
          <w:color w:val="000000"/>
          <w:sz w:val="24"/>
        </w:rPr>
        <w:t xml:space="preserve">日，将视为严重违约，甲方有权单方面解除本合同而不承担任何责任，本合同自甲方书面通知乙方解除合同之日起自动终止，同时甲方有权要求乙方在甲方书面通知之日起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日内向甲方支付本合同价款总额的</w:t>
      </w:r>
      <w:r>
        <w:rPr>
          <w:rFonts w:ascii="SimSun" w:hAnsi="SimSun" w:eastAsia="SimSun" w:cs="SimSun"/>
          <w:color w:val="000000"/>
          <w:sz w:val="24"/>
          <w:u w:val="single"/>
        </w:rPr>
        <w:t xml:space="preserve">10%</w:t>
      </w:r>
      <w:r>
        <w:rPr>
          <w:rFonts w:ascii="SimSun" w:hAnsi="SimSun" w:eastAsia="SimSun" w:cs="SimSun"/>
          <w:color w:val="000000"/>
          <w:sz w:val="24"/>
        </w:rPr>
        <w:t xml:space="preserve">，作为违约金。</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SimSun" w:hAnsi="SimSun" w:eastAsia="SimSun" w:cs="SimSun"/>
          <w:color w:val="000000"/>
          <w:sz w:val="24"/>
          <w:u w:val="single"/>
        </w:rPr>
        <w:t xml:space="preserve">30</w:t>
      </w:r>
      <w:r>
        <w:rPr>
          <w:rFonts w:ascii="SimSun" w:hAnsi="SimSun" w:eastAsia="SimSun" w:cs="SimSun"/>
          <w:color w:val="000000"/>
          <w:sz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14.4.1乙方未能在甲方书面异议中限定的时间内根据甲方的要求进行调换或采取其他甲方同意的补救措施；</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14.4.2交付的货物因交付或验收（如适用）以前的原因而产生毁损／灭失／变质／泄漏／数量或重量短缺／质量不良／不安全等物质上的缺陷；</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14.4.3交付的货物存在为他人设定担保／交易限制／权属争议／不符合法律的强制性规定等法律上的缺陷；</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14.4.5交付的货物已经或者可能侵犯甲方以及其他第三人的专利权／商标权／专有技术／互联网络域名权／商业秘密等知识产权以及其他权利；</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14.4.6乙方未按照甲方的要求及时提供诸如增值税发票之类的财务文件以及其他必要的文件；</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14.5乙方出现下列情形之一的，视为乙方出现了丧失履行本合同的能力，甲方有权单方解除合同并由乙方赔偿甲方由此产生的全部损失：</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14.5.1乙方因为涉诉被冻结账户，导致无法履行合同的，或者乙方因为未能履行生效法律文书，被列入失信被执行人名录的；</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14.5.2乙方出现转包情形的；</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14.5.3乙方不能履行合同义务的其他情况。</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不可抗力</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15.1不可抗力，是指不能预见、不能避免并不能克服的客观情况，如战争、动乱、洪水、地震、风暴等。</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15.3发生不可抗力事件，任何一方均不对因不可抗力无法履行或迟延履行本合同义务而使另一方蒙受的任何损失承担责任，法律另有规定的除外。</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15.4合同各方应根据不可抗力对本合同履行的影响程度，协商确定是否终止本合同或是继续履行本合同。</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合同的变更、中止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本合同一经签订，合同双方不得擅自变更或中止合同，除非合同的继续履行将损害国家利益和社会公共利益。</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合同的终止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17.1本合同因下列原因而终止：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17.1.1本合同正常履行完毕；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17.1.2因不可抗力导致本合同无法履行或履行不必要；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17.1.3任何一方行使解除权解除本合同；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17.1.4合同的继续履行将损害国家利益和社会公共利益且不宜变更或中止的。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17.2除上述情形外，甲乙双方不得擅自终止合同。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合同的转让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乙方不得将其合同项下的权利义务部分或全部转让给第三方。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 争议解决方式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20.1在执行本合同过程中所发生的或与本合同有关的一切争端，甲乙双方友好协商解决。如协商不能解决，则上述争端均由甲方所在地人民法院管辖。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20.2如因乙方违约，导致甲方起诉的，甲方由此产生的诉讼费用、律师费用、差旅费用等，均由乙方承担。</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 通知与送达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21.1甲乙双方因履行本合同需要向对方发送通知、文件、资料的，均以下列联系信息确定内容进行：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21.1.1甲方联系信息：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21.1.2乙方联系信息：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21.2双方同意前述联系信息作为解决争议时接受人民法院诉讼文书的送达地址和联系方式。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21.3任何一方改变前述联系信息的，应在发生变更后的3天内告知对方并做好通知到达对方前可能存在的邮件的接收。如未通知的，视为没有变更。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第二十二条 合同生效及其他</w:t>
      </w:r>
      <w:r/>
    </w:p>
    <w:p>
      <w:pPr>
        <w:ind w:left="0" w:right="0" w:firstLine="5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22.1合同在双方加盖公章或法定代表人或授权代表签字后生效。</w:t>
      </w:r>
      <w:r/>
    </w:p>
    <w:p>
      <w:pPr>
        <w:ind w:left="0" w:right="0" w:firstLine="5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22.2本合同一式四份，以简体中文书写，甲方、乙方、交易中心、代理机构各执一份。</w:t>
      </w:r>
      <w:r/>
    </w:p>
    <w:p>
      <w:pPr>
        <w:ind w:left="0" w:right="0" w:firstLine="559"/>
        <w:jc w:val="both"/>
        <w:spacing w:before="0" w:after="38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22.3.本合同应按照中华人民共和国的现行法律进行解释。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法定（授权）代表人（签字）：法定（授权）代表人（签字）：</w:t>
      </w:r>
      <w:r/>
    </w:p>
    <w:p>
      <w:pPr>
        <w:ind w:left="0" w:right="0" w:firstLine="16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w:t>
      </w:r>
      <w:r>
        <w:rPr>
          <w:rFonts w:ascii="SimSun" w:hAnsi="SimSun" w:eastAsia="SimSun" w:cs="SimSun"/>
          <w:b/>
          <w:color w:val="000000"/>
          <w:sz w:val="36"/>
        </w:rPr>
        <w:t xml:space="preserve">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pacing w:val="-12"/>
          <w:sz w:val="36"/>
        </w:rPr>
        <w:t xml:space="preserve">全自动生化免疫流水线及配套设备</w:t>
      </w:r>
      <w:r/>
    </w:p>
    <w:p>
      <w:pPr>
        <w:ind w:left="0" w:right="0" w:firstLine="280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项目编号：JSZC-320581-SZWK-G2026-0158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 标 人：</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日期：二〇二六年月日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目录</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511491848" w:history="1">
        <w:r>
          <w:rPr>
            <w:rStyle w:val="781"/>
            <w:rFonts w:ascii="SimSun" w:hAnsi="SimSun" w:eastAsia="SimSun" w:cs="SimSun"/>
            <w:color w:val="0000ee"/>
            <w:sz w:val="24"/>
            <w:u w:val="single"/>
          </w:rPr>
          <w:t xml:space="preserve">一、投标函</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511491849" w:history="1">
        <w:r>
          <w:rPr>
            <w:rStyle w:val="781"/>
            <w:rFonts w:ascii="SimSun" w:hAnsi="SimSun" w:eastAsia="SimSun" w:cs="SimSun"/>
            <w:color w:val="0000ee"/>
            <w:sz w:val="24"/>
            <w:u w:val="single"/>
          </w:rPr>
          <w:t xml:space="preserve">二、开标一览表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511491850" w:history="1">
        <w:r>
          <w:rPr>
            <w:rStyle w:val="781"/>
            <w:rFonts w:ascii="SimSun" w:hAnsi="SimSun" w:eastAsia="SimSun" w:cs="SimSun"/>
            <w:color w:val="0000ee"/>
            <w:sz w:val="24"/>
            <w:u w:val="single"/>
          </w:rPr>
          <w:t xml:space="preserve">三、报价明细表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511491851" w:history="1">
        <w:r>
          <w:rPr>
            <w:rStyle w:val="781"/>
            <w:rFonts w:ascii="SimSun" w:hAnsi="SimSun" w:eastAsia="SimSun" w:cs="SimSun"/>
            <w:color w:val="0000ee"/>
            <w:sz w:val="24"/>
            <w:u w:val="single"/>
          </w:rPr>
          <w:t xml:space="preserve">四、技术参数响应及偏离表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511491852" w:history="1">
        <w:r>
          <w:rPr>
            <w:rStyle w:val="781"/>
            <w:rFonts w:ascii="SimSun" w:hAnsi="SimSun" w:eastAsia="SimSun" w:cs="SimSun"/>
            <w:color w:val="0000ee"/>
            <w:sz w:val="24"/>
            <w:u w:val="single"/>
          </w:rPr>
          <w:t xml:space="preserve">五、投标设备详细配置表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511491853" w:history="1">
        <w:r>
          <w:rPr>
            <w:rStyle w:val="781"/>
            <w:rFonts w:ascii="SimSun" w:hAnsi="SimSun" w:eastAsia="SimSun" w:cs="SimSun"/>
            <w:color w:val="0000ee"/>
            <w:sz w:val="24"/>
            <w:u w:val="single"/>
          </w:rPr>
          <w:t xml:space="preserve">六、投标设备综合性能及规格说明</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511491856" w:history="1">
        <w:r>
          <w:rPr>
            <w:rStyle w:val="781"/>
            <w:rFonts w:ascii="SimSun" w:hAnsi="SimSun" w:eastAsia="SimSun" w:cs="SimSun"/>
            <w:color w:val="0000ee"/>
            <w:sz w:val="24"/>
            <w:u w:val="single"/>
          </w:rPr>
          <w:t xml:space="preserve">七、质量保证及售后服务承诺</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511491858" w:history="1">
        <w:r>
          <w:rPr>
            <w:rStyle w:val="781"/>
            <w:rFonts w:ascii="SimSun" w:hAnsi="SimSun" w:eastAsia="SimSun" w:cs="SimSun"/>
            <w:color w:val="0000ee"/>
            <w:sz w:val="24"/>
            <w:u w:val="single"/>
          </w:rPr>
          <w:t xml:space="preserve">八、商务条件响应及偏离表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511491858" w:history="1">
        <w:r>
          <w:rPr>
            <w:rStyle w:val="781"/>
            <w:rFonts w:ascii="SimSun" w:hAnsi="SimSun" w:eastAsia="SimSun" w:cs="SimSun"/>
            <w:color w:val="0000ee"/>
            <w:sz w:val="24"/>
            <w:u w:val="single"/>
          </w:rPr>
          <w:t xml:space="preserve">九、项目业绩一览表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511491858" w:history="1">
        <w:r>
          <w:rPr>
            <w:rStyle w:val="781"/>
            <w:rFonts w:ascii="SimSun" w:hAnsi="SimSun" w:eastAsia="SimSun" w:cs="SimSun"/>
            <w:color w:val="0000ee"/>
            <w:sz w:val="24"/>
            <w:u w:val="single"/>
          </w:rPr>
          <w:t xml:space="preserve">十、设备的安装、调试、验收方案</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511491859" w:history="1">
        <w:r>
          <w:rPr>
            <w:rStyle w:val="781"/>
            <w:rFonts w:ascii="SimSun" w:hAnsi="SimSun" w:eastAsia="SimSun" w:cs="SimSun"/>
            <w:color w:val="0000ee"/>
            <w:sz w:val="24"/>
            <w:u w:val="single"/>
          </w:rPr>
          <w:t xml:space="preserve">十一、资格证明文件</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附件一法定代表人授权书</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附件二投标人资格声明</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附件三投标保证承诺书</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附件四中小企业声明函</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附件五残疾人福利性单位声明函</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附件六关于符合本国产品标准的声明函（如符合）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一、投标函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全自动生化免疫流水线及配套设备     </w:t>
      </w:r>
      <w:r>
        <w:rPr>
          <w:rFonts w:ascii="SimSun" w:hAnsi="SimSun" w:eastAsia="SimSun" w:cs="SimSun"/>
          <w:color w:val="000000"/>
          <w:sz w:val="24"/>
        </w:rPr>
        <w:t xml:space="preserve">项目招标文件（项目编号：</w:t>
      </w:r>
      <w:r>
        <w:rPr>
          <w:rFonts w:ascii="SimSun" w:hAnsi="SimSun" w:eastAsia="SimSun" w:cs="SimSun"/>
          <w:color w:val="000000"/>
          <w:sz w:val="24"/>
          <w:u w:val="single"/>
        </w:rPr>
        <w:t xml:space="preserve">JSZC-320581-SZWK-G2026-0158号</w:t>
      </w:r>
      <w:r>
        <w:rPr>
          <w:rFonts w:ascii="SimSun" w:hAnsi="SimSun" w:eastAsia="SimSun" w:cs="SimSun"/>
          <w:color w:val="000000"/>
          <w:sz w:val="24"/>
        </w:rPr>
        <w:t xml:space="preserve">），投标人</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提交下述文件：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二、开标一览表；三、报价明细表；四、技术参数响应及偏离表；五、投标设备详细配置表；六、投标设备综合性能及规格说明；七、质量保证及售后服务承诺；八、商务条件响应及偏离表；九、项目业绩一览表；十、设备的安装、调试；十一、资格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据此函，我方宣布同意如下：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（1）我方已详细审核全部招标文件，包括其有效补充文件等，我们同意放弃对此有不明或误解的权利。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（2）我方完全理解并同意贵方所保留的一切权利。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（3）我们完全理解贵方不一定要接受最低报价的投标或收到的任何投标。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（4）我方同意按招标文件规定提供与本投标有关的一切资料及贵方可能另外要求的与本投标有关的任何资料，并保证已提供和将提供的资料是真实的。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（5）我方同意投标有效期为自规定的投标截止之日起六十（60）天。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（6）一旦我方中标，我们将根据法律法规和招标文件的规定，严格履行自己的责任和义务。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（7）与本投标有关的一切正式往来通讯请寄：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电话：                      传真：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二、开标一览表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32"/>
        <w:gridCol w:w="6422"/>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全自动生化免疫流水线及配套设备</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JSZC-320581-SZWK-G2026-0158号</w:t>
            </w:r>
            <w:r/>
          </w:p>
        </w:tc>
      </w:tr>
      <w:tr>
        <w:trPr>
          <w:trHeight w:val="2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大写：人民币</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1、“投标总价”请保留小数点后两位。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2、投标文件制作工具中手动填写的投标价格应与投标文件开标一览表中的投标总价相一致。</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w:t>
      </w:r>
      <w:r>
        <w:rPr>
          <w:rFonts w:ascii="SimSun" w:hAnsi="SimSun" w:eastAsia="SimSun" w:cs="SimSun"/>
          <w:b/>
          <w:color w:val="000000"/>
          <w:sz w:val="28"/>
        </w:rPr>
        <w:t xml:space="preserve">、报价明细表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1276"/>
        <w:gridCol w:w="1242"/>
        <w:gridCol w:w="1276"/>
        <w:gridCol w:w="850"/>
        <w:gridCol w:w="851"/>
        <w:gridCol w:w="1026"/>
        <w:gridCol w:w="992"/>
        <w:gridCol w:w="858"/>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生产厂家及品牌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gridSpan w:val="6"/>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合计总价（元）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本项目中提供的符合本国产品标准的产品成本之和占该采购包提供的全部产品成本之和的比例为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1、该表中“投标总报价”数额应当与“开标一览表”中“投标总报价”数额一致。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3、投标人需认真填写本报价表，尤其注意规格型号的准确填写。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4、合计总价请保留小数点后两位。</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w:t>
      </w:r>
      <w:r>
        <w:rPr>
          <w:rFonts w:ascii="SimSun" w:hAnsi="SimSun" w:eastAsia="SimSun" w:cs="SimSun"/>
          <w:b/>
          <w:color w:val="000000"/>
          <w:sz w:val="28"/>
        </w:rPr>
        <w:t xml:space="preserve">、技术参数响应及偏离表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502"/>
        <w:gridCol w:w="2391"/>
        <w:gridCol w:w="1767"/>
        <w:gridCol w:w="1975"/>
      </w:tblGrid>
      <w:tr>
        <w:trPr>
          <w:trHeight w:val="5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招标设备配置及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技术性能参数要求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配置及技术性能参数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注：1、投标人应根据本项目“第四章 项目需求”中的“四、技术性能及参数要求”对照所投报设备的配置及技术性能参数进行逐项评议。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 如照抄采购要求或只写“完全响应”等字样的均为无效投标。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3、表格不够可另接。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、投标设备详细配置表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2536"/>
        <w:gridCol w:w="1770"/>
        <w:gridCol w:w="330"/>
        <w:gridCol w:w="1785"/>
        <w:gridCol w:w="1680"/>
      </w:tblGrid>
      <w:tr>
        <w:trPr>
          <w:trHeight w:val="737"/>
        </w:trPr>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注：1、投标人应根据拟提供设备的配置情况据实、详细填写上述表格。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2、因表述含糊导致的评标风险将由投标人承担。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3、如有需要说明的事项，请在备注中列明。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4、表格不够可另接。</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投标设备综合性能及规格说明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1、投标设备医疗器械注册证（未提供的作无效投标处理）。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2、投标设备主要技术性能参数说明。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3、投标设备功能、性能特点说明。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4、能体现投标设备技术参数的彩色样本、图片资料等（如果有的话）。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七、质量保证及售后服务承诺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投标设备免费质保期说明。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免费质保期内具体质保维保内容说明。</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2、售后服务机构说明。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售后服务机构名称及办事地点。</w:t>
      </w:r>
      <w:r/>
    </w:p>
    <w:p>
      <w:pPr>
        <w:ind w:left="0" w:right="0" w:firstLine="1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注：服务机构如为企业，请提供企业营业执照副本及相关资质文件。</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3、质保期满后三年内备品备件、易损件报价表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1183"/>
        <w:gridCol w:w="1445"/>
        <w:gridCol w:w="1307"/>
        <w:gridCol w:w="812"/>
        <w:gridCol w:w="1618"/>
        <w:gridCol w:w="1015"/>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4、售后服务承诺说明。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投标设备具体售后服务说明，包括响应时间方式、质量回访、维修服务等。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八、商务条件响应及偏离表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80"/>
        <w:gridCol w:w="2310"/>
        <w:gridCol w:w="319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组成本合同的文件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权利保证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质量保证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包装要求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交货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到货验收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伴随服务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最终验收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付款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违约责任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不可抗力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合同的补充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合同的变更、中止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合同的终止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合同的转让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 争议解决方式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 合同生效及其他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注：1、投标人应据实、详细填写上述表格，因表述含糊导致的评标风险将由投标人承担。</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3、未提供或未做说明或有不符合（负偏离）的作无效投标处理。</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九、项目业绩一览表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1453"/>
        <w:gridCol w:w="1453"/>
        <w:gridCol w:w="1729"/>
        <w:gridCol w:w="1874"/>
        <w:gridCol w:w="961"/>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注：需提供完整合同扫描件，未提供或提供不全的不得分。</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十、</w:t>
      </w:r>
      <w:r>
        <w:rPr>
          <w:rFonts w:ascii="SimSun" w:hAnsi="SimSun" w:eastAsia="SimSun" w:cs="SimSun"/>
          <w:b/>
          <w:color w:val="000000"/>
          <w:sz w:val="28"/>
        </w:rPr>
        <w:t xml:space="preserve">设备的安装、调试</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5"/>
      </w:tblGrid>
      <w:tr>
        <w:trPr>
          <w:trHeight w:val="16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1、投标人应针对本次采购项目的特点及要求详细对设备的安装、调试方案予以说明；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2、投标人可根据自身情况编写，本页不够可另加页附后。</w:t>
            </w:r>
            <w:r/>
          </w:p>
        </w:tc>
      </w:tr>
      <w:tr>
        <w:trPr>
          <w:trHeight w:val="93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十一、资格证明文件</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法定代表人授权书（参考格式见附件一，法定代表人签署投标文件的不需提供）</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注：附授权代表居民身份证、法定代表人居民身份证</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投标人的营业执照</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具有完整财务状况报告（</w:t>
      </w:r>
      <w:r>
        <w:rPr>
          <w:rFonts w:ascii="SimSun" w:hAnsi="SimSun" w:eastAsia="SimSun" w:cs="SimSun"/>
          <w:color w:val="000000"/>
          <w:sz w:val="28"/>
        </w:rPr>
        <w:t xml:space="preserve">银行资信证明或2023年度审计报告或2024年度审计报告</w:t>
      </w:r>
      <w:r>
        <w:rPr>
          <w:rFonts w:ascii="SimSun" w:hAnsi="SimSun" w:eastAsia="SimSun" w:cs="SimSun"/>
          <w:color w:val="000000"/>
          <w:sz w:val="24"/>
        </w:rPr>
        <w:t xml:space="preserve">）、依法缴纳</w:t>
      </w:r>
      <w:r>
        <w:rPr>
          <w:rFonts w:ascii="SimSun" w:hAnsi="SimSun" w:eastAsia="SimSun" w:cs="SimSun"/>
          <w:color w:val="000000"/>
          <w:sz w:val="28"/>
        </w:rPr>
        <w:t xml:space="preserve">社保</w:t>
      </w:r>
      <w:r>
        <w:rPr>
          <w:rFonts w:ascii="SimSun" w:hAnsi="SimSun" w:eastAsia="SimSun" w:cs="SimSun"/>
          <w:color w:val="000000"/>
          <w:sz w:val="24"/>
        </w:rPr>
        <w:t xml:space="preserve">、依法</w:t>
      </w:r>
      <w:r>
        <w:rPr>
          <w:rFonts w:ascii="SimSun" w:hAnsi="SimSun" w:eastAsia="SimSun" w:cs="SimSun"/>
          <w:color w:val="000000"/>
          <w:sz w:val="28"/>
        </w:rPr>
        <w:t xml:space="preserve">纳税</w:t>
      </w:r>
      <w:r>
        <w:rPr>
          <w:rFonts w:ascii="SimSun" w:hAnsi="SimSun" w:eastAsia="SimSun" w:cs="SimSun"/>
          <w:color w:val="000000"/>
          <w:sz w:val="24"/>
        </w:rPr>
        <w:t xml:space="preserve">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具有履行合同所必需的人员和专业技术能力的证明材料；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参加政府采购活动前三年内，在经营活动中没有重大违法记录的书面承诺书；</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所投产品生产（经营）许可资格证明文件；</w:t>
      </w:r>
      <w:r/>
    </w:p>
    <w:p>
      <w:pPr>
        <w:ind w:left="0" w:right="-153"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中小企业声明函（参考格式见附件四）或残疾人福利性单位声明函（参考格式见附件五）</w:t>
      </w:r>
      <w:r/>
    </w:p>
    <w:p>
      <w:pPr>
        <w:ind w:left="0" w:right="-153"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关于符合本国产品标准的声明函（如符合）（参考格式见附件六）</w:t>
      </w:r>
      <w:r/>
    </w:p>
    <w:p>
      <w:pPr>
        <w:ind w:left="0" w:right="-153" w:firstLine="7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投标人资格声明（参考格式见附件二）</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投标保证承诺书（参考格式见附件三）</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投标人认为需要提供的其它证明文件</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其中加“</w:t>
      </w:r>
      <w:r>
        <w:rPr>
          <w:rFonts w:ascii="SimSun" w:hAnsi="SimSun" w:eastAsia="SimSun" w:cs="SimSun"/>
          <w:color w:val="000000"/>
          <w:sz w:val="28"/>
        </w:rPr>
        <w:t xml:space="preserve">*</w:t>
      </w:r>
      <w:r>
        <w:rPr>
          <w:rFonts w:ascii="SimSun" w:hAnsi="SimSun" w:eastAsia="SimSun" w:cs="SimSun"/>
          <w:color w:val="000000"/>
          <w:sz w:val="24"/>
        </w:rPr>
        <w:t xml:space="preserve">”项目若有缺失或无效，将导致其投标无效且不允许在开标后补正。</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附件一法定代表人授权书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的</w:t>
      </w:r>
      <w:r>
        <w:rPr>
          <w:rFonts w:ascii="SimSun" w:hAnsi="SimSun" w:eastAsia="SimSun" w:cs="SimSun"/>
          <w:color w:val="000000"/>
          <w:sz w:val="24"/>
          <w:u w:val="single"/>
        </w:rPr>
        <w:t xml:space="preserve">（法定代表人姓名）</w:t>
      </w:r>
      <w:r>
        <w:rPr>
          <w:rFonts w:ascii="SimSun" w:hAnsi="SimSun" w:eastAsia="SimSun" w:cs="SimSun"/>
          <w:color w:val="000000"/>
          <w:sz w:val="24"/>
        </w:rPr>
        <w:t xml:space="preserve">，代表本公司授权</w:t>
      </w:r>
      <w:r>
        <w:rPr>
          <w:rFonts w:ascii="SimSun" w:hAnsi="SimSun" w:eastAsia="SimSun" w:cs="SimSun"/>
          <w:color w:val="000000"/>
          <w:sz w:val="24"/>
          <w:u w:val="single"/>
        </w:rPr>
        <w:t xml:space="preserve">   （授权代表姓名）</w:t>
      </w:r>
      <w:r>
        <w:rPr>
          <w:rFonts w:ascii="SimSun" w:hAnsi="SimSun" w:eastAsia="SimSun" w:cs="SimSun"/>
          <w:color w:val="000000"/>
          <w:sz w:val="24"/>
        </w:rPr>
        <w:t xml:space="preserve">为本公司的合法代理人，就贵方组织的</w:t>
      </w:r>
      <w:r>
        <w:rPr>
          <w:rFonts w:ascii="SimSun" w:hAnsi="SimSun" w:eastAsia="SimSun" w:cs="SimSun"/>
          <w:color w:val="000000"/>
          <w:sz w:val="24"/>
          <w:u w:val="single"/>
        </w:rPr>
        <w:t xml:space="preserve">  全自动生化免疫流水线及配套设备   </w:t>
      </w:r>
      <w:r>
        <w:rPr>
          <w:rFonts w:ascii="SimSun" w:hAnsi="SimSun" w:eastAsia="SimSun" w:cs="SimSun"/>
          <w:color w:val="000000"/>
          <w:sz w:val="24"/>
        </w:rPr>
        <w:t xml:space="preserve">项目（项目编号：JSZC-320581-SZWK-G2026-0158号），以本公司名义处理一切与之有关的事务。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2025</w:t>
      </w:r>
      <w:r>
        <w:rPr>
          <w:rFonts w:ascii="SimSun" w:hAnsi="SimSun" w:eastAsia="SimSun" w:cs="SimSun"/>
          <w:color w:val="000000"/>
          <w:sz w:val="24"/>
        </w:rPr>
        <w:t xml:space="preserve">年月日生效，被授权人无转委权。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法定代表人姓名：（CA签章）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授权代表姓名：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附件二投标人资格声明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①名称：地址：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②成立和注册日期：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③公司（企业）性质：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④法定代表人或主要负责人：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2、投标人最近的主要财务情况：（2024年1月到12底止）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①注册资本：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②固定资产：</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净值：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③流动资产：</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④长期负债：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⑤短期负债：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⑥营业收入/主营业务收入：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⑦利润：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3、投标人已有设备情况：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4、投标人技术人员情况：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5、与投标货物的生产、销售和服务有关的情况：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6、投标人从事本行业经验（包括年限、技术力量、额定能力、已完成项目等）：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7、投标人开户银行及帐号：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就我们所知，兹证明上述声明是真实的、正确的，并提供了全部能提供资料和数据，我们同意遵照贵方要求出示此证明文件。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附件三投标保证承诺书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我（单位/本人，以下统称我单位）自愿参加（项目名称和采购编号）的投标,并做出如下承诺：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1.自投标截止时间至本项目发布中标公告为止，撤销投标；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3.中标后不按本采购文件规定向采购人提交履约保证金；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4.中标后不按本采购文件规定向贵方缴纳采购代理费。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附件四中小企业声明函</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号）的规定，本公司参加（单位名称）的（项目名称）采购活动，提供的货物</w:t>
      </w:r>
      <w:r>
        <w:rPr>
          <w:rFonts w:ascii="SimSun" w:hAnsi="SimSun" w:eastAsia="SimSun" w:cs="SimSun"/>
          <w:color w:val="000000"/>
          <w:sz w:val="32"/>
          <w:highlight w:val="none"/>
          <w:u w:val="single"/>
        </w:rPr>
        <w:t xml:space="preserve">全部</w:t>
      </w:r>
      <w:r>
        <w:rPr>
          <w:rFonts w:ascii="SimSun" w:hAnsi="SimSun" w:eastAsia="SimSun" w:cs="SimSun"/>
          <w:color w:val="000000"/>
          <w:sz w:val="24"/>
        </w:rPr>
        <w:t xml:space="preserve">由符合政策要求的中小企业制造。相关企业的具体情况如下：</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全自动生化免疫流水线</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全自动血球分析工作站</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w:t>
      </w:r>
      <w:r>
        <w:rPr>
          <w:rFonts w:ascii="SimSun" w:hAnsi="SimSun" w:eastAsia="SimSun" w:cs="SimSun"/>
          <w:color w:val="000000"/>
          <w:sz w:val="24"/>
          <w:u w:val="single"/>
        </w:rPr>
        <w:t xml:space="preserve">电解质分析仪</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rPr>
          <w:rFonts w:ascii="SimSun" w:hAnsi="SimSun" w:eastAsia="SimSun" w:cs="SimSun"/>
          <w:color w:val="000000"/>
          <w:sz w:val="24"/>
          <w:u w:val="single"/>
        </w:rPr>
        <w:t xml:space="preserve">尿液分析仪（干化学）</w:t>
      </w:r>
      <w:r>
        <w:rPr>
          <w:rFonts w:ascii="SimSun" w:hAnsi="SimSun" w:eastAsia="SimSun" w:cs="SimSun"/>
          <w:color w:val="000000"/>
          <w:sz w:val="24"/>
        </w:rPr>
        <w:t xml:space="preserve">，属于</w:t>
      </w:r>
      <w:r>
        <w:rPr>
          <w:rFonts w:ascii="SimSun" w:hAnsi="SimSun" w:eastAsia="SimSun" w:cs="SimSun"/>
          <w:color w:val="000000"/>
          <w:sz w:val="24"/>
          <w:u w:val="single"/>
        </w:rPr>
        <w:t xml:space="preserve"> 软件及信息服务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w:t>
      </w:r>
      <w:r>
        <w:rPr>
          <w:rFonts w:ascii="SimSun" w:hAnsi="SimSun" w:eastAsia="SimSun" w:cs="SimSun"/>
          <w:color w:val="000000"/>
          <w:sz w:val="24"/>
          <w:u w:val="single"/>
        </w:rPr>
        <w:t xml:space="preserve">显微镜</w:t>
      </w:r>
      <w:r>
        <w:rPr>
          <w:rFonts w:ascii="SimSun" w:hAnsi="SimSun" w:eastAsia="SimSun" w:cs="SimSun"/>
          <w:color w:val="000000"/>
          <w:sz w:val="24"/>
        </w:rPr>
        <w:t xml:space="preserve">，属于</w:t>
      </w:r>
      <w:r>
        <w:rPr>
          <w:rFonts w:ascii="SimSun" w:hAnsi="SimSun" w:eastAsia="SimSun" w:cs="SimSun"/>
          <w:color w:val="000000"/>
          <w:sz w:val="24"/>
          <w:u w:val="single"/>
        </w:rPr>
        <w:t xml:space="preserve">  软件及信息服务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w:t>
      </w:r>
      <w:r>
        <w:rPr>
          <w:rFonts w:ascii="SimSun" w:hAnsi="SimSun" w:eastAsia="SimSun" w:cs="SimSun"/>
          <w:color w:val="000000"/>
          <w:sz w:val="24"/>
          <w:u w:val="single"/>
        </w:rPr>
        <w:t xml:space="preserve">冰箱（双门）</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rPr>
          <w:rFonts w:ascii="SimSun" w:hAnsi="SimSun" w:eastAsia="SimSun" w:cs="SimSun"/>
          <w:color w:val="000000"/>
          <w:sz w:val="24"/>
          <w:u w:val="single"/>
        </w:rPr>
        <w:t xml:space="preserve">离心机（96孔脱盖）</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w:t>
      </w:r>
      <w:r>
        <w:rPr>
          <w:rFonts w:ascii="SimSun" w:hAnsi="SimSun" w:eastAsia="SimSun" w:cs="SimSun"/>
          <w:color w:val="000000"/>
          <w:sz w:val="24"/>
          <w:u w:val="single"/>
        </w:rPr>
        <w:t xml:space="preserve">离心机</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w:t>
      </w:r>
      <w:r>
        <w:rPr>
          <w:rFonts w:ascii="SimSun" w:hAnsi="SimSun" w:eastAsia="SimSun" w:cs="SimSun"/>
          <w:color w:val="000000"/>
          <w:sz w:val="24"/>
          <w:u w:val="single"/>
        </w:rPr>
        <w:t xml:space="preserve">全自动荧光免疫分析仪</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w:t>
      </w:r>
      <w:r>
        <w:rPr>
          <w:rFonts w:ascii="SimSun" w:hAnsi="SimSun" w:eastAsia="SimSun" w:cs="SimSun"/>
          <w:color w:val="000000"/>
          <w:sz w:val="24"/>
          <w:u w:val="single"/>
        </w:rPr>
        <w:t xml:space="preserve">空气净化器（小）</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u w:val="single"/>
        </w:rPr>
        <w:t xml:space="preserve"> 空气净化器（大）</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为大企业的情形，也不存在与大企业的负责人为同一人的情形。</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企业名称（投标人盖章）：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（从业人员、营业收入、资产总额填报上一年度数据；无上一年度数据的新成立企业可不填报。行业划分标准依据工信部联企业[2011]300号文的规定填写。可通过该网站查询</w:t>
      </w:r>
      <w:hyperlink r:id="rId54" w:tooltip="http://202.106.120.146/baosong/appweb/orgScale.html" w:history="1">
        <w:r>
          <w:rPr>
            <w:rStyle w:val="781"/>
            <w:rFonts w:ascii="SimSun" w:hAnsi="SimSun" w:eastAsia="SimSun" w:cs="SimSun"/>
            <w:color w:val="0000ee"/>
            <w:sz w:val="24"/>
            <w:u w:val="non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附件五残疾人福利性单位声明函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（注：残疾人福利性单位视同小型、微型企业，享受促进中小企业发展的政府采购政策）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附件六关于符合本国产品标准的声明函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全自动生化免疫流水线</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全自动血球分析工作站</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电解质分析仪</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尿液分析仪（干化学）</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显微镜</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冰箱（双门）</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single"/>
        </w:rPr>
        <w:t xml:space="preserve">离心机（96孔脱盖）</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single"/>
        </w:rPr>
        <w:t xml:space="preserve">离心机</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single"/>
        </w:rPr>
        <w:t xml:space="preserve">全自动荧光免疫分析仪</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u w:val="single"/>
        </w:rPr>
        <w:t xml:space="preserve">空气净化器（小）</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u w:val="single"/>
        </w:rPr>
        <w:t xml:space="preserve">空气净化器（大）</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14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58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rFonts w:hint="eastAsia"/>
        <w:lang w:val="en-US" w:eastAsia="zh-CN"/>
      </w:rPr>
      <w:t xml:space="preserve">68</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9"/>
      </w:rPr>
      <w:framePr w:wrap="around" w:vAnchor="text" w:hAnchor="margin" w:xAlign="right" w:y="1"/>
    </w:pPr>
    <w:r>
      <w:fldChar w:fldCharType="begin"/>
    </w:r>
    <w:r>
      <w:rPr>
        <w:rStyle w:val="779"/>
      </w:rPr>
      <w:instrText xml:space="preserve">PAGE  </w:instrText>
    </w:r>
    <w:r>
      <w:fldChar w:fldCharType="separate"/>
    </w:r>
    <w:r>
      <w:rPr>
        <w:rStyle w:val="779"/>
      </w:rPr>
      <w:t xml:space="preserve">16</w:t>
    </w:r>
    <w:r>
      <w:fldChar w:fldCharType="end"/>
    </w:r>
    <w:r/>
  </w:p>
  <w:p>
    <w:pPr>
      <w:pStyle w:val="75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7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decimal"/>
      <w:pStyle w:val="978"/>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4 Char"/>
    <w:basedOn w:val="732"/>
    <w:link w:val="726"/>
    <w:uiPriority w:val="9"/>
    <w:rPr>
      <w:rFonts w:ascii="Arial" w:hAnsi="Arial" w:eastAsia="Arial" w:cs="Arial"/>
      <w:b/>
      <w:bCs/>
      <w:sz w:val="26"/>
      <w:szCs w:val="26"/>
    </w:rPr>
  </w:style>
  <w:style w:type="character" w:styleId="689">
    <w:name w:val="Heading 5 Char"/>
    <w:basedOn w:val="732"/>
    <w:link w:val="727"/>
    <w:uiPriority w:val="9"/>
    <w:rPr>
      <w:rFonts w:ascii="Arial" w:hAnsi="Arial" w:eastAsia="Arial" w:cs="Arial"/>
      <w:b/>
      <w:bCs/>
      <w:sz w:val="24"/>
      <w:szCs w:val="24"/>
    </w:rPr>
  </w:style>
  <w:style w:type="character" w:styleId="690">
    <w:name w:val="Heading 6 Char"/>
    <w:basedOn w:val="732"/>
    <w:link w:val="728"/>
    <w:uiPriority w:val="9"/>
    <w:rPr>
      <w:rFonts w:ascii="Arial" w:hAnsi="Arial" w:eastAsia="Arial" w:cs="Arial"/>
      <w:b/>
      <w:bCs/>
      <w:sz w:val="22"/>
      <w:szCs w:val="22"/>
    </w:rPr>
  </w:style>
  <w:style w:type="character" w:styleId="691">
    <w:name w:val="Heading 7 Char"/>
    <w:basedOn w:val="732"/>
    <w:link w:val="729"/>
    <w:uiPriority w:val="9"/>
    <w:rPr>
      <w:rFonts w:ascii="Arial" w:hAnsi="Arial" w:eastAsia="Arial" w:cs="Arial"/>
      <w:b/>
      <w:bCs/>
      <w:i/>
      <w:iCs/>
      <w:sz w:val="22"/>
      <w:szCs w:val="22"/>
    </w:rPr>
  </w:style>
  <w:style w:type="character" w:styleId="692">
    <w:name w:val="Heading 8 Char"/>
    <w:basedOn w:val="732"/>
    <w:link w:val="730"/>
    <w:uiPriority w:val="9"/>
    <w:rPr>
      <w:rFonts w:ascii="Arial" w:hAnsi="Arial" w:eastAsia="Arial" w:cs="Arial"/>
      <w:i/>
      <w:iCs/>
      <w:sz w:val="22"/>
      <w:szCs w:val="22"/>
    </w:rPr>
  </w:style>
  <w:style w:type="character" w:styleId="693">
    <w:name w:val="Heading 9 Char"/>
    <w:basedOn w:val="732"/>
    <w:link w:val="731"/>
    <w:uiPriority w:val="9"/>
    <w:rPr>
      <w:rFonts w:ascii="Arial" w:hAnsi="Arial" w:eastAsia="Arial" w:cs="Arial"/>
      <w:i/>
      <w:iCs/>
      <w:sz w:val="21"/>
      <w:szCs w:val="21"/>
    </w:rPr>
  </w:style>
  <w:style w:type="character" w:styleId="694">
    <w:name w:val="Title Char"/>
    <w:basedOn w:val="732"/>
    <w:link w:val="774"/>
    <w:uiPriority w:val="10"/>
    <w:rPr>
      <w:sz w:val="48"/>
      <w:szCs w:val="48"/>
    </w:rPr>
  </w:style>
  <w:style w:type="character" w:styleId="695">
    <w:name w:val="Subtitle Char"/>
    <w:basedOn w:val="732"/>
    <w:link w:val="762"/>
    <w:uiPriority w:val="11"/>
    <w:rPr>
      <w:sz w:val="24"/>
      <w:szCs w:val="24"/>
    </w:rPr>
  </w:style>
  <w:style w:type="character" w:styleId="696">
    <w:name w:val="Quote Char"/>
    <w:link w:val="797"/>
    <w:uiPriority w:val="29"/>
    <w:rPr>
      <w:i/>
    </w:rPr>
  </w:style>
  <w:style w:type="character" w:styleId="697">
    <w:name w:val="Intense Quote Char"/>
    <w:link w:val="799"/>
    <w:uiPriority w:val="30"/>
    <w:rPr>
      <w:i/>
    </w:rPr>
  </w:style>
  <w:style w:type="character" w:styleId="698">
    <w:name w:val="Header Char"/>
    <w:basedOn w:val="732"/>
    <w:link w:val="756"/>
    <w:uiPriority w:val="99"/>
  </w:style>
  <w:style w:type="character" w:styleId="699">
    <w:name w:val="Caption Char"/>
    <w:basedOn w:val="737"/>
    <w:link w:val="755"/>
    <w:uiPriority w:val="99"/>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3"/>
    <w:uiPriority w:val="99"/>
    <w:rPr>
      <w:sz w:val="18"/>
    </w:rPr>
  </w:style>
  <w:style w:type="character" w:styleId="720">
    <w:name w:val="Endnote Text Char"/>
    <w:link w:val="753"/>
    <w:uiPriority w:val="99"/>
    <w:rPr>
      <w:sz w:val="20"/>
    </w:rPr>
  </w:style>
  <w:style w:type="paragraph" w:styleId="721">
    <w:name w:val="TOC Heading"/>
    <w:uiPriority w:val="39"/>
    <w:unhideWhenUsed/>
  </w:style>
  <w:style w:type="paragraph" w:styleId="722" w:default="1">
    <w:name w:val="Normal"/>
    <w:next w:val="723"/>
    <w:uiPriority w:val="0"/>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933"/>
    <w:uiPriority w:val="9"/>
    <w:qFormat/>
    <w:pPr>
      <w:jc w:val="center"/>
      <w:keepNext/>
      <w:tabs>
        <w:tab w:val="left" w:pos="200" w:leader="none"/>
      </w:tabs>
      <w:outlineLvl w:val="0"/>
    </w:pPr>
    <w:rPr>
      <w:rFonts w:ascii="宋体" w:hAnsi="宋体"/>
      <w:b/>
      <w:sz w:val="36"/>
    </w:rPr>
  </w:style>
  <w:style w:type="paragraph" w:styleId="724">
    <w:name w:val="Heading 2"/>
    <w:basedOn w:val="722"/>
    <w:next w:val="722"/>
    <w:link w:val="934"/>
    <w:uiPriority w:val="9"/>
    <w:qFormat/>
    <w:pPr>
      <w:jc w:val="center"/>
      <w:keepNext/>
      <w:outlineLvl w:val="1"/>
    </w:pPr>
    <w:rPr>
      <w:rFonts w:eastAsia="楷体_GB2312"/>
      <w:b/>
      <w:bCs/>
      <w:sz w:val="28"/>
      <w:szCs w:val="28"/>
    </w:rPr>
  </w:style>
  <w:style w:type="paragraph" w:styleId="725">
    <w:name w:val="Heading 3"/>
    <w:basedOn w:val="722"/>
    <w:next w:val="722"/>
    <w:link w:val="935"/>
    <w:uiPriority w:val="0"/>
    <w:qFormat/>
    <w:pPr>
      <w:jc w:val="center"/>
      <w:keepNext/>
      <w:outlineLvl w:val="2"/>
    </w:pPr>
    <w:rPr>
      <w:rFonts w:ascii="宋体" w:hAnsi="宋体"/>
      <w:sz w:val="28"/>
    </w:rPr>
  </w:style>
  <w:style w:type="paragraph" w:styleId="726">
    <w:name w:val="Heading 4"/>
    <w:basedOn w:val="722"/>
    <w:next w:val="722"/>
    <w:link w:val="787"/>
    <w:uiPriority w:val="0"/>
    <w:qFormat/>
    <w:pPr>
      <w:keepNext/>
      <w:outlineLvl w:val="3"/>
    </w:pPr>
    <w:rPr>
      <w:b/>
      <w:bCs/>
      <w:sz w:val="18"/>
    </w:rPr>
  </w:style>
  <w:style w:type="paragraph" w:styleId="727">
    <w:name w:val="Heading 5"/>
    <w:basedOn w:val="722"/>
    <w:next w:val="722"/>
    <w:link w:val="788"/>
    <w:uiPriority w:val="0"/>
    <w:qFormat/>
    <w:pPr>
      <w:jc w:val="center"/>
      <w:keepNext/>
      <w:outlineLvl w:val="4"/>
    </w:pPr>
    <w:rPr>
      <w:b/>
      <w:bCs/>
      <w:sz w:val="18"/>
    </w:rPr>
  </w:style>
  <w:style w:type="paragraph" w:styleId="728">
    <w:name w:val="Heading 6"/>
    <w:basedOn w:val="722"/>
    <w:next w:val="722"/>
    <w:link w:val="789"/>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91"/>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92"/>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index 8"/>
    <w:basedOn w:val="722"/>
    <w:next w:val="722"/>
    <w:uiPriority w:val="0"/>
    <w:semiHidden/>
    <w:qFormat/>
    <w:pPr>
      <w:ind w:left="1400"/>
    </w:pPr>
  </w:style>
  <w:style w:type="paragraph" w:styleId="736">
    <w:name w:val="Normal Indent"/>
    <w:basedOn w:val="722"/>
    <w:link w:val="937"/>
    <w:uiPriority w:val="0"/>
    <w:qFormat/>
    <w:pPr>
      <w:ind w:firstLine="420"/>
    </w:pPr>
  </w:style>
  <w:style w:type="paragraph" w:styleId="737">
    <w:name w:val="Caption"/>
    <w:basedOn w:val="722"/>
    <w:next w:val="722"/>
    <w:uiPriority w:val="35"/>
    <w:semiHidden/>
    <w:unhideWhenUsed/>
    <w:qFormat/>
    <w:pPr>
      <w:spacing w:line="276" w:lineRule="auto"/>
    </w:pPr>
    <w:rPr>
      <w:b/>
      <w:bCs/>
      <w:color w:val="4f81bd"/>
      <w:sz w:val="18"/>
      <w:szCs w:val="18"/>
    </w:rPr>
  </w:style>
  <w:style w:type="paragraph" w:styleId="738">
    <w:name w:val="index 5"/>
    <w:basedOn w:val="722"/>
    <w:next w:val="722"/>
    <w:uiPriority w:val="0"/>
    <w:semiHidden/>
    <w:qFormat/>
    <w:pPr>
      <w:ind w:left="800"/>
    </w:pPr>
  </w:style>
  <w:style w:type="paragraph" w:styleId="739">
    <w:name w:val="Document Map"/>
    <w:basedOn w:val="722"/>
    <w:uiPriority w:val="0"/>
    <w:semiHidden/>
    <w:qFormat/>
    <w:pPr>
      <w:shd w:val="clear" w:color="auto" w:fill="000080"/>
    </w:pPr>
  </w:style>
  <w:style w:type="paragraph" w:styleId="740">
    <w:name w:val="annotation text"/>
    <w:basedOn w:val="722"/>
    <w:link w:val="938"/>
    <w:uiPriority w:val="0"/>
    <w:qFormat/>
    <w:pPr>
      <w:jc w:val="left"/>
    </w:pPr>
  </w:style>
  <w:style w:type="paragraph" w:styleId="741">
    <w:name w:val="index 6"/>
    <w:basedOn w:val="722"/>
    <w:next w:val="722"/>
    <w:uiPriority w:val="0"/>
    <w:semiHidden/>
    <w:qFormat/>
    <w:pPr>
      <w:ind w:left="1000"/>
    </w:pPr>
  </w:style>
  <w:style w:type="paragraph" w:styleId="742">
    <w:name w:val="Body Text"/>
    <w:basedOn w:val="722"/>
    <w:link w:val="932"/>
    <w:uiPriority w:val="0"/>
    <w:qFormat/>
    <w:rPr>
      <w:rFonts w:ascii="楷体_GB2312" w:hAnsi="Arial" w:eastAsia="楷体_GB2312"/>
      <w:sz w:val="28"/>
    </w:rPr>
  </w:style>
  <w:style w:type="paragraph" w:styleId="743">
    <w:name w:val="Body Text Indent"/>
    <w:basedOn w:val="722"/>
    <w:next w:val="722"/>
    <w:link w:val="939"/>
    <w:uiPriority w:val="0"/>
    <w:qFormat/>
    <w:pPr>
      <w:ind w:firstLine="574"/>
      <w:spacing w:line="312" w:lineRule="atLeast"/>
    </w:pPr>
    <w:rPr>
      <w:rFonts w:ascii="宋体"/>
      <w:sz w:val="28"/>
    </w:rPr>
  </w:style>
  <w:style w:type="paragraph" w:styleId="744">
    <w:name w:val="Block Text"/>
    <w:basedOn w:val="722"/>
    <w:uiPriority w:val="0"/>
    <w:qFormat/>
    <w:pPr>
      <w:ind w:left="1890" w:right="11" w:hanging="1409"/>
      <w:spacing w:before="89"/>
      <w:tabs>
        <w:tab w:val="left" w:pos="822" w:leader="none"/>
        <w:tab w:val="left" w:pos="2205" w:leader="none"/>
        <w:tab w:val="left" w:pos="9000" w:leader="none"/>
      </w:tabs>
    </w:pPr>
    <w:rPr>
      <w:sz w:val="24"/>
    </w:rPr>
  </w:style>
  <w:style w:type="paragraph" w:styleId="745">
    <w:name w:val="index 4"/>
    <w:basedOn w:val="722"/>
    <w:next w:val="722"/>
    <w:uiPriority w:val="0"/>
    <w:semiHidden/>
    <w:qFormat/>
    <w:pPr>
      <w:ind w:left="600"/>
    </w:pPr>
  </w:style>
  <w:style w:type="paragraph" w:styleId="746">
    <w:name w:val="toc 5"/>
    <w:basedOn w:val="722"/>
    <w:next w:val="722"/>
    <w:uiPriority w:val="39"/>
    <w:unhideWhenUsed/>
    <w:qFormat/>
    <w:pPr>
      <w:ind w:left="1134"/>
      <w:spacing w:after="57"/>
    </w:pPr>
  </w:style>
  <w:style w:type="paragraph" w:styleId="747">
    <w:name w:val="toc 3"/>
    <w:basedOn w:val="722"/>
    <w:next w:val="722"/>
    <w:uiPriority w:val="39"/>
    <w:unhideWhenUsed/>
    <w:qFormat/>
    <w:pPr>
      <w:ind w:left="567"/>
      <w:spacing w:after="57"/>
    </w:pPr>
  </w:style>
  <w:style w:type="paragraph" w:styleId="748">
    <w:name w:val="Plain Text"/>
    <w:basedOn w:val="722"/>
    <w:link w:val="990"/>
    <w:uiPriority w:val="0"/>
    <w:qFormat/>
    <w:pPr>
      <w:jc w:val="left"/>
      <w:widowControl/>
    </w:pPr>
    <w:rPr>
      <w:rFonts w:ascii="宋体" w:hAnsi="Courier New" w:eastAsia="楷体_GB2312"/>
      <w:sz w:val="26"/>
    </w:rPr>
  </w:style>
  <w:style w:type="paragraph" w:styleId="749">
    <w:name w:val="toc 8"/>
    <w:basedOn w:val="722"/>
    <w:next w:val="722"/>
    <w:uiPriority w:val="39"/>
    <w:unhideWhenUsed/>
    <w:qFormat/>
    <w:pPr>
      <w:ind w:left="1984"/>
      <w:spacing w:after="57"/>
    </w:pPr>
  </w:style>
  <w:style w:type="paragraph" w:styleId="750">
    <w:name w:val="index 3"/>
    <w:basedOn w:val="722"/>
    <w:next w:val="722"/>
    <w:uiPriority w:val="0"/>
    <w:semiHidden/>
    <w:qFormat/>
    <w:pPr>
      <w:ind w:left="400"/>
    </w:pPr>
  </w:style>
  <w:style w:type="paragraph" w:styleId="751">
    <w:name w:val="Date"/>
    <w:basedOn w:val="722"/>
    <w:next w:val="722"/>
    <w:link w:val="944"/>
    <w:uiPriority w:val="0"/>
    <w:qFormat/>
    <w:pPr>
      <w:spacing w:line="312" w:lineRule="atLeast"/>
    </w:pPr>
    <w:rPr>
      <w:rFonts w:ascii="宋体"/>
      <w:sz w:val="28"/>
    </w:rPr>
  </w:style>
  <w:style w:type="paragraph" w:styleId="752">
    <w:name w:val="Body Text Indent 2"/>
    <w:basedOn w:val="722"/>
    <w:link w:val="945"/>
    <w:uiPriority w:val="0"/>
    <w:qFormat/>
    <w:pPr>
      <w:ind w:left="1890" w:hanging="1409"/>
      <w:tabs>
        <w:tab w:val="left" w:pos="1785" w:leader="none"/>
        <w:tab w:val="left" w:pos="1887" w:leader="none"/>
        <w:tab w:val="left" w:pos="2112" w:leader="none"/>
        <w:tab w:val="left" w:pos="9000" w:leader="none"/>
      </w:tabs>
    </w:pPr>
    <w:rPr>
      <w:sz w:val="24"/>
    </w:rPr>
  </w:style>
  <w:style w:type="paragraph" w:styleId="753">
    <w:name w:val="endnote text"/>
    <w:basedOn w:val="722"/>
    <w:link w:val="930"/>
    <w:uiPriority w:val="99"/>
    <w:semiHidden/>
    <w:unhideWhenUsed/>
    <w:qFormat/>
    <w:rPr>
      <w:sz w:val="20"/>
    </w:rPr>
  </w:style>
  <w:style w:type="paragraph" w:styleId="754">
    <w:name w:val="Balloon Text"/>
    <w:basedOn w:val="722"/>
    <w:link w:val="946"/>
    <w:uiPriority w:val="0"/>
    <w:qFormat/>
    <w:rPr>
      <w:sz w:val="18"/>
      <w:szCs w:val="18"/>
    </w:rPr>
  </w:style>
  <w:style w:type="paragraph" w:styleId="755">
    <w:name w:val="Footer"/>
    <w:basedOn w:val="722"/>
    <w:link w:val="803"/>
    <w:uiPriority w:val="0"/>
    <w:qFormat/>
    <w:pPr>
      <w:jc w:val="left"/>
      <w:tabs>
        <w:tab w:val="center" w:pos="4153" w:leader="none"/>
        <w:tab w:val="right" w:pos="8306" w:leader="none"/>
      </w:tabs>
    </w:pPr>
    <w:rPr>
      <w:sz w:val="18"/>
    </w:rPr>
  </w:style>
  <w:style w:type="paragraph" w:styleId="756">
    <w:name w:val="Header"/>
    <w:basedOn w:val="722"/>
    <w:link w:val="801"/>
    <w:uiPriority w:val="0"/>
    <w:qFormat/>
    <w:pPr>
      <w:jc w:val="center"/>
      <w:tabs>
        <w:tab w:val="center" w:pos="4153" w:leader="none"/>
        <w:tab w:val="right" w:pos="8306" w:leader="none"/>
      </w:tabs>
      <w:pBdr>
        <w:bottom w:val="single" w:color="000000" w:sz="6" w:space="1"/>
      </w:pBdr>
    </w:pPr>
    <w:rPr>
      <w:sz w:val="18"/>
    </w:rPr>
  </w:style>
  <w:style w:type="paragraph" w:styleId="757">
    <w:name w:val="Signature"/>
    <w:basedOn w:val="722"/>
    <w:link w:val="947"/>
    <w:uiPriority w:val="0"/>
    <w:qFormat/>
    <w:pPr>
      <w:jc w:val="center"/>
      <w:spacing w:after="600" w:line="312" w:lineRule="atLeast"/>
    </w:pPr>
    <w:rPr>
      <w:rFonts w:eastAsia="仿宋_GB2312"/>
      <w:sz w:val="24"/>
    </w:rPr>
  </w:style>
  <w:style w:type="paragraph" w:styleId="758">
    <w:name w:val="toc 1"/>
    <w:basedOn w:val="722"/>
    <w:next w:val="722"/>
    <w:uiPriority w:val="39"/>
    <w:unhideWhenUsed/>
    <w:qFormat/>
    <w:pPr>
      <w:spacing w:after="57"/>
    </w:pPr>
  </w:style>
  <w:style w:type="paragraph" w:styleId="759">
    <w:name w:val="toc 4"/>
    <w:basedOn w:val="722"/>
    <w:next w:val="722"/>
    <w:uiPriority w:val="39"/>
    <w:unhideWhenUsed/>
    <w:qFormat/>
    <w:pPr>
      <w:ind w:left="850"/>
      <w:spacing w:after="57"/>
    </w:pPr>
  </w:style>
  <w:style w:type="paragraph" w:styleId="760">
    <w:name w:val="index heading"/>
    <w:basedOn w:val="722"/>
    <w:next w:val="761"/>
    <w:uiPriority w:val="0"/>
    <w:semiHidden/>
    <w:qFormat/>
  </w:style>
  <w:style w:type="paragraph" w:styleId="761">
    <w:name w:val="index 1"/>
    <w:basedOn w:val="722"/>
    <w:next w:val="722"/>
    <w:uiPriority w:val="0"/>
    <w:semiHidden/>
    <w:qFormat/>
  </w:style>
  <w:style w:type="paragraph" w:styleId="762">
    <w:name w:val="Subtitle"/>
    <w:basedOn w:val="722"/>
    <w:next w:val="722"/>
    <w:link w:val="796"/>
    <w:uiPriority w:val="11"/>
    <w:qFormat/>
    <w:pPr>
      <w:spacing w:before="200" w:after="200"/>
    </w:pPr>
    <w:rPr>
      <w:sz w:val="24"/>
      <w:szCs w:val="24"/>
    </w:rPr>
  </w:style>
  <w:style w:type="paragraph" w:styleId="763">
    <w:name w:val="footnote text"/>
    <w:basedOn w:val="722"/>
    <w:link w:val="929"/>
    <w:uiPriority w:val="99"/>
    <w:semiHidden/>
    <w:unhideWhenUsed/>
    <w:qFormat/>
    <w:pPr>
      <w:spacing w:after="40"/>
    </w:pPr>
    <w:rPr>
      <w:sz w:val="18"/>
    </w:rPr>
  </w:style>
  <w:style w:type="paragraph" w:styleId="764">
    <w:name w:val="toc 6"/>
    <w:basedOn w:val="722"/>
    <w:next w:val="722"/>
    <w:uiPriority w:val="39"/>
    <w:unhideWhenUsed/>
    <w:qFormat/>
    <w:pPr>
      <w:ind w:left="1417"/>
      <w:spacing w:after="57"/>
    </w:pPr>
  </w:style>
  <w:style w:type="paragraph" w:styleId="765">
    <w:name w:val="Body Text Indent 3"/>
    <w:basedOn w:val="722"/>
    <w:uiPriority w:val="0"/>
    <w:qFormat/>
    <w:pPr>
      <w:ind w:firstLine="555"/>
    </w:pPr>
    <w:rPr>
      <w:b/>
      <w:bCs/>
      <w:sz w:val="28"/>
      <w:u w:val="single"/>
    </w:rPr>
  </w:style>
  <w:style w:type="paragraph" w:styleId="766">
    <w:name w:val="index 7"/>
    <w:basedOn w:val="722"/>
    <w:next w:val="722"/>
    <w:uiPriority w:val="0"/>
    <w:semiHidden/>
    <w:qFormat/>
    <w:pPr>
      <w:ind w:left="1200"/>
    </w:pPr>
  </w:style>
  <w:style w:type="paragraph" w:styleId="767">
    <w:name w:val="index 9"/>
    <w:basedOn w:val="722"/>
    <w:next w:val="722"/>
    <w:uiPriority w:val="0"/>
    <w:semiHidden/>
    <w:qFormat/>
    <w:pPr>
      <w:ind w:left="1600"/>
    </w:pPr>
  </w:style>
  <w:style w:type="paragraph" w:styleId="768">
    <w:name w:val="table of figures"/>
    <w:basedOn w:val="722"/>
    <w:next w:val="722"/>
    <w:uiPriority w:val="0"/>
    <w:semiHidden/>
    <w:qFormat/>
    <w:pPr>
      <w:ind w:left="840" w:hanging="420"/>
    </w:pPr>
  </w:style>
  <w:style w:type="paragraph" w:styleId="769">
    <w:name w:val="toc 2"/>
    <w:basedOn w:val="722"/>
    <w:next w:val="722"/>
    <w:uiPriority w:val="39"/>
    <w:unhideWhenUsed/>
    <w:qFormat/>
    <w:pPr>
      <w:ind w:left="283"/>
      <w:spacing w:after="57"/>
    </w:pPr>
  </w:style>
  <w:style w:type="paragraph" w:styleId="770">
    <w:name w:val="toc 9"/>
    <w:basedOn w:val="722"/>
    <w:next w:val="722"/>
    <w:uiPriority w:val="39"/>
    <w:unhideWhenUsed/>
    <w:qFormat/>
    <w:pPr>
      <w:ind w:left="2268"/>
      <w:spacing w:after="57"/>
    </w:pPr>
  </w:style>
  <w:style w:type="paragraph" w:styleId="771">
    <w:name w:val="HTML Preformatted"/>
    <w:basedOn w:val="722"/>
    <w:link w:val="9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72">
    <w:name w:val="Normal (Web)"/>
    <w:basedOn w:val="722"/>
    <w:uiPriority w:val="99"/>
    <w:qFormat/>
    <w:pPr>
      <w:jc w:val="left"/>
      <w:spacing w:before="100" w:beforeAutospacing="1" w:after="100" w:afterAutospacing="1"/>
      <w:widowControl/>
    </w:pPr>
    <w:rPr>
      <w:rFonts w:ascii="宋体" w:hAnsi="宋体" w:cs="宋体"/>
      <w:sz w:val="24"/>
      <w:szCs w:val="24"/>
    </w:rPr>
  </w:style>
  <w:style w:type="paragraph" w:styleId="773">
    <w:name w:val="index 2"/>
    <w:basedOn w:val="722"/>
    <w:next w:val="722"/>
    <w:uiPriority w:val="0"/>
    <w:semiHidden/>
    <w:qFormat/>
    <w:pPr>
      <w:ind w:left="200"/>
    </w:pPr>
  </w:style>
  <w:style w:type="paragraph" w:styleId="774">
    <w:name w:val="Title"/>
    <w:basedOn w:val="722"/>
    <w:next w:val="722"/>
    <w:link w:val="795"/>
    <w:uiPriority w:val="10"/>
    <w:qFormat/>
    <w:pPr>
      <w:contextualSpacing/>
      <w:spacing w:before="300" w:after="200"/>
    </w:pPr>
    <w:rPr>
      <w:sz w:val="48"/>
      <w:szCs w:val="48"/>
    </w:rPr>
  </w:style>
  <w:style w:type="paragraph" w:styleId="775">
    <w:name w:val="annotation subject"/>
    <w:basedOn w:val="740"/>
    <w:next w:val="740"/>
    <w:link w:val="954"/>
    <w:uiPriority w:val="0"/>
    <w:qFormat/>
    <w:rPr>
      <w:b/>
      <w:bCs/>
    </w:rPr>
  </w:style>
  <w:style w:type="table" w:styleId="776">
    <w:name w:val="Table Grid"/>
    <w:basedOn w:val="7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uiPriority w:val="22"/>
    <w:qFormat/>
    <w:rPr>
      <w:b/>
      <w:bCs/>
    </w:rPr>
  </w:style>
  <w:style w:type="character" w:styleId="778">
    <w:name w:val="endnote reference"/>
    <w:uiPriority w:val="99"/>
    <w:semiHidden/>
    <w:unhideWhenUsed/>
    <w:qFormat/>
    <w:rPr>
      <w:vertAlign w:val="superscript"/>
    </w:rPr>
  </w:style>
  <w:style w:type="character" w:styleId="779">
    <w:name w:val="page number"/>
    <w:uiPriority w:val="0"/>
    <w:qFormat/>
  </w:style>
  <w:style w:type="character" w:styleId="780">
    <w:name w:val="Emphasis"/>
    <w:basedOn w:val="732"/>
    <w:uiPriority w:val="20"/>
    <w:qFormat/>
    <w:rPr>
      <w:i/>
      <w:iCs/>
    </w:rPr>
  </w:style>
  <w:style w:type="character" w:styleId="781">
    <w:name w:val="Hyperlink"/>
    <w:uiPriority w:val="99"/>
    <w:qFormat/>
    <w:rPr>
      <w:color w:val="333333"/>
      <w:u w:val="none"/>
    </w:rPr>
  </w:style>
  <w:style w:type="character" w:styleId="782">
    <w:name w:val="annotation reference"/>
    <w:uiPriority w:val="0"/>
    <w:qFormat/>
    <w:rPr>
      <w:sz w:val="21"/>
      <w:szCs w:val="21"/>
    </w:rPr>
  </w:style>
  <w:style w:type="character" w:styleId="783">
    <w:name w:val="footnote reference"/>
    <w:uiPriority w:val="99"/>
    <w:unhideWhenUsed/>
    <w:qFormat/>
    <w:rPr>
      <w:vertAlign w:val="superscript"/>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标题 4 Char"/>
    <w:link w:val="726"/>
    <w:uiPriority w:val="9"/>
    <w:qFormat/>
    <w:rPr>
      <w:rFonts w:ascii="Arial" w:hAnsi="Arial" w:eastAsia="Arial" w:cs="Arial"/>
      <w:b/>
      <w:bCs/>
      <w:sz w:val="26"/>
      <w:szCs w:val="26"/>
    </w:rPr>
  </w:style>
  <w:style w:type="character" w:styleId="788" w:customStyle="1">
    <w:name w:val="标题 5 Char"/>
    <w:link w:val="727"/>
    <w:uiPriority w:val="9"/>
    <w:qFormat/>
    <w:rPr>
      <w:rFonts w:ascii="Arial" w:hAnsi="Arial" w:eastAsia="Arial" w:cs="Arial"/>
      <w:b/>
      <w:bCs/>
      <w:sz w:val="24"/>
      <w:szCs w:val="24"/>
    </w:rPr>
  </w:style>
  <w:style w:type="character" w:styleId="789" w:customStyle="1">
    <w:name w:val="标题 6 Char"/>
    <w:link w:val="728"/>
    <w:uiPriority w:val="9"/>
    <w:qFormat/>
    <w:rPr>
      <w:rFonts w:ascii="Arial" w:hAnsi="Arial" w:eastAsia="Arial" w:cs="Arial"/>
      <w:b/>
      <w:bCs/>
      <w:sz w:val="22"/>
      <w:szCs w:val="22"/>
    </w:rPr>
  </w:style>
  <w:style w:type="character" w:styleId="790" w:customStyle="1">
    <w:name w:val="标题 7 Char"/>
    <w:link w:val="729"/>
    <w:uiPriority w:val="9"/>
    <w:qFormat/>
    <w:rPr>
      <w:rFonts w:ascii="Arial" w:hAnsi="Arial" w:eastAsia="Arial" w:cs="Arial"/>
      <w:b/>
      <w:bCs/>
      <w:i/>
      <w:iCs/>
      <w:sz w:val="22"/>
      <w:szCs w:val="22"/>
    </w:rPr>
  </w:style>
  <w:style w:type="character" w:styleId="791" w:customStyle="1">
    <w:name w:val="标题 8 Char"/>
    <w:link w:val="730"/>
    <w:uiPriority w:val="9"/>
    <w:qFormat/>
    <w:rPr>
      <w:rFonts w:ascii="Arial" w:hAnsi="Arial" w:eastAsia="Arial" w:cs="Arial"/>
      <w:i/>
      <w:iCs/>
      <w:sz w:val="22"/>
      <w:szCs w:val="22"/>
    </w:rPr>
  </w:style>
  <w:style w:type="character" w:styleId="792" w:customStyle="1">
    <w:name w:val="标题 9 Char"/>
    <w:link w:val="731"/>
    <w:uiPriority w:val="9"/>
    <w:qFormat/>
    <w:rPr>
      <w:rFonts w:ascii="Arial" w:hAnsi="Arial" w:eastAsia="Arial" w:cs="Arial"/>
      <w:i/>
      <w:iCs/>
      <w:sz w:val="21"/>
      <w:szCs w:val="21"/>
    </w:rPr>
  </w:style>
  <w:style w:type="paragraph" w:styleId="793">
    <w:name w:val="List Paragraph"/>
    <w:basedOn w:val="722"/>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Char"/>
    <w:link w:val="774"/>
    <w:uiPriority w:val="10"/>
    <w:qFormat/>
    <w:rPr>
      <w:sz w:val="48"/>
      <w:szCs w:val="48"/>
    </w:rPr>
  </w:style>
  <w:style w:type="character" w:styleId="796" w:customStyle="1">
    <w:name w:val="副标题 Char"/>
    <w:link w:val="762"/>
    <w:uiPriority w:val="11"/>
    <w:qFormat/>
    <w:rPr>
      <w:sz w:val="24"/>
      <w:szCs w:val="24"/>
    </w:rPr>
  </w:style>
  <w:style w:type="paragraph" w:styleId="797">
    <w:name w:val="Quote"/>
    <w:basedOn w:val="722"/>
    <w:next w:val="722"/>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22"/>
    <w:next w:val="722"/>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
    <w:link w:val="756"/>
    <w:uiPriority w:val="99"/>
    <w:qFormat/>
  </w:style>
  <w:style w:type="character" w:styleId="802" w:customStyle="1">
    <w:name w:val="Footer Char"/>
    <w:uiPriority w:val="99"/>
    <w:qFormat/>
  </w:style>
  <w:style w:type="character" w:styleId="803" w:customStyle="1">
    <w:name w:val="页脚 Char"/>
    <w:link w:val="755"/>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无格式表格 31"/>
    <w:uiPriority w:val="99"/>
    <w:qFormat/>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qFormat/>
    <w:tblPr>
      <w:tblCellMar>
        <w:left w:w="0" w:type="dxa"/>
        <w:top w:w="0" w:type="dxa"/>
        <w:right w:w="0" w:type="dxa"/>
        <w:bottom w:w="0" w:type="dxa"/>
      </w:tblCellMar>
    </w:tblPr>
  </w:style>
  <w:style w:type="table" w:styleId="81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清单表 1 浅色1"/>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Char"/>
    <w:link w:val="763"/>
    <w:uiPriority w:val="99"/>
    <w:qFormat/>
    <w:rPr>
      <w:sz w:val="18"/>
    </w:rPr>
  </w:style>
  <w:style w:type="character" w:styleId="930" w:customStyle="1">
    <w:name w:val="尾注文本 Char"/>
    <w:link w:val="753"/>
    <w:uiPriority w:val="99"/>
    <w:qFormat/>
    <w:rPr>
      <w:sz w:val="20"/>
    </w:rPr>
  </w:style>
  <w:style w:type="paragraph" w:styleId="931" w:customStyle="1">
    <w:name w:val="TOC 标题1"/>
    <w:uiPriority w:val="39"/>
    <w:unhideWhenUsed/>
    <w:qFormat/>
    <w:rPr>
      <w:rFonts w:ascii="Times New Roman" w:hAnsi="Times New Roman" w:eastAsia="宋体" w:cs="Times New Roman"/>
      <w:lang w:val="en-US" w:eastAsia="zh-CN" w:bidi="ar-SA"/>
    </w:rPr>
  </w:style>
  <w:style w:type="character" w:styleId="932" w:customStyle="1">
    <w:name w:val="正文文本 Char1"/>
    <w:link w:val="742"/>
    <w:uiPriority w:val="0"/>
    <w:qFormat/>
    <w:rPr>
      <w:rFonts w:ascii="楷体_GB2312" w:hAnsi="Arial" w:eastAsia="楷体_GB2312"/>
      <w:sz w:val="28"/>
    </w:rPr>
  </w:style>
  <w:style w:type="character" w:styleId="933" w:customStyle="1">
    <w:name w:val="标题 1 Char"/>
    <w:link w:val="723"/>
    <w:uiPriority w:val="9"/>
    <w:qFormat/>
    <w:rPr>
      <w:rFonts w:ascii="宋体" w:hAnsi="宋体"/>
      <w:b/>
      <w:sz w:val="36"/>
    </w:rPr>
  </w:style>
  <w:style w:type="character" w:styleId="934" w:customStyle="1">
    <w:name w:val="标题 2 Char"/>
    <w:link w:val="724"/>
    <w:uiPriority w:val="9"/>
    <w:qFormat/>
    <w:rPr>
      <w:rFonts w:eastAsia="楷体_GB2312"/>
      <w:b/>
      <w:bCs/>
      <w:sz w:val="28"/>
      <w:szCs w:val="28"/>
    </w:rPr>
  </w:style>
  <w:style w:type="character" w:styleId="935" w:customStyle="1">
    <w:name w:val="标题 3 Char"/>
    <w:link w:val="725"/>
    <w:uiPriority w:val="0"/>
    <w:qFormat/>
    <w:rPr>
      <w:rFonts w:ascii="宋体" w:hAnsi="宋体"/>
      <w:sz w:val="28"/>
    </w:rPr>
  </w:style>
  <w:style w:type="paragraph" w:styleId="936" w:customStyle="1">
    <w:name w:val="目录 71"/>
    <w:basedOn w:val="722"/>
    <w:next w:val="722"/>
    <w:uiPriority w:val="0"/>
    <w:semiHidden/>
    <w:qFormat/>
    <w:pPr>
      <w:ind w:left="1260"/>
      <w:jc w:val="left"/>
    </w:pPr>
    <w:rPr>
      <w:szCs w:val="21"/>
    </w:rPr>
  </w:style>
  <w:style w:type="character" w:styleId="937" w:customStyle="1">
    <w:name w:val="正文缩进 Char"/>
    <w:link w:val="736"/>
    <w:uiPriority w:val="0"/>
    <w:qFormat/>
    <w:rPr>
      <w:sz w:val="21"/>
    </w:rPr>
  </w:style>
  <w:style w:type="character" w:styleId="938" w:customStyle="1">
    <w:name w:val="批注文字 Char1"/>
    <w:link w:val="740"/>
    <w:uiPriority w:val="0"/>
    <w:qFormat/>
    <w:rPr>
      <w:sz w:val="21"/>
    </w:rPr>
  </w:style>
  <w:style w:type="character" w:styleId="939" w:customStyle="1">
    <w:name w:val="正文文本缩进 Char"/>
    <w:link w:val="743"/>
    <w:uiPriority w:val="0"/>
    <w:qFormat/>
    <w:rPr>
      <w:rFonts w:ascii="宋体"/>
      <w:sz w:val="28"/>
    </w:rPr>
  </w:style>
  <w:style w:type="paragraph" w:styleId="940" w:customStyle="1">
    <w:name w:val="目录 51"/>
    <w:basedOn w:val="722"/>
    <w:next w:val="722"/>
    <w:uiPriority w:val="0"/>
    <w:semiHidden/>
    <w:qFormat/>
    <w:pPr>
      <w:ind w:left="840"/>
      <w:jc w:val="left"/>
    </w:pPr>
    <w:rPr>
      <w:szCs w:val="21"/>
    </w:rPr>
  </w:style>
  <w:style w:type="paragraph" w:styleId="941" w:customStyle="1">
    <w:name w:val="目录 31"/>
    <w:basedOn w:val="722"/>
    <w:next w:val="722"/>
    <w:uiPriority w:val="0"/>
    <w:semiHidden/>
    <w:qFormat/>
    <w:pPr>
      <w:ind w:left="420"/>
      <w:jc w:val="left"/>
    </w:pPr>
    <w:rPr>
      <w:i/>
      <w:iCs/>
      <w:szCs w:val="24"/>
    </w:rPr>
  </w:style>
  <w:style w:type="character" w:styleId="942" w:customStyle="1">
    <w:name w:val="纯文本 Char"/>
    <w:uiPriority w:val="0"/>
    <w:qFormat/>
    <w:rPr>
      <w:rFonts w:ascii="宋体" w:hAnsi="Courier New"/>
      <w:sz w:val="21"/>
    </w:rPr>
  </w:style>
  <w:style w:type="paragraph" w:styleId="943" w:customStyle="1">
    <w:name w:val="目录 81"/>
    <w:basedOn w:val="722"/>
    <w:next w:val="722"/>
    <w:uiPriority w:val="0"/>
    <w:semiHidden/>
    <w:qFormat/>
    <w:pPr>
      <w:ind w:left="1470"/>
      <w:jc w:val="left"/>
    </w:pPr>
    <w:rPr>
      <w:szCs w:val="21"/>
    </w:rPr>
  </w:style>
  <w:style w:type="character" w:styleId="944" w:customStyle="1">
    <w:name w:val="日期 Char"/>
    <w:link w:val="751"/>
    <w:uiPriority w:val="0"/>
    <w:qFormat/>
    <w:rPr>
      <w:rFonts w:ascii="宋体"/>
      <w:sz w:val="28"/>
    </w:rPr>
  </w:style>
  <w:style w:type="character" w:styleId="945" w:customStyle="1">
    <w:name w:val="正文文本缩进 2 Char"/>
    <w:link w:val="752"/>
    <w:uiPriority w:val="0"/>
    <w:qFormat/>
    <w:rPr>
      <w:sz w:val="24"/>
    </w:rPr>
  </w:style>
  <w:style w:type="character" w:styleId="946" w:customStyle="1">
    <w:name w:val="批注框文本 Char"/>
    <w:link w:val="754"/>
    <w:uiPriority w:val="0"/>
    <w:qFormat/>
    <w:rPr>
      <w:sz w:val="18"/>
      <w:szCs w:val="18"/>
    </w:rPr>
  </w:style>
  <w:style w:type="character" w:styleId="947" w:customStyle="1">
    <w:name w:val="签名 Char2"/>
    <w:link w:val="757"/>
    <w:uiPriority w:val="0"/>
    <w:qFormat/>
    <w:rPr>
      <w:rFonts w:eastAsia="仿宋_GB2312"/>
      <w:sz w:val="24"/>
    </w:rPr>
  </w:style>
  <w:style w:type="paragraph" w:styleId="948" w:customStyle="1">
    <w:name w:val="目录 11"/>
    <w:basedOn w:val="722"/>
    <w:next w:val="72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49" w:customStyle="1">
    <w:name w:val="目录 41"/>
    <w:basedOn w:val="722"/>
    <w:next w:val="722"/>
    <w:uiPriority w:val="0"/>
    <w:semiHidden/>
    <w:qFormat/>
    <w:pPr>
      <w:ind w:left="630"/>
      <w:jc w:val="left"/>
    </w:pPr>
    <w:rPr>
      <w:szCs w:val="21"/>
    </w:rPr>
  </w:style>
  <w:style w:type="paragraph" w:styleId="950" w:customStyle="1">
    <w:name w:val="目录 61"/>
    <w:basedOn w:val="722"/>
    <w:next w:val="722"/>
    <w:uiPriority w:val="0"/>
    <w:semiHidden/>
    <w:qFormat/>
    <w:pPr>
      <w:ind w:left="1050"/>
      <w:jc w:val="left"/>
    </w:pPr>
    <w:rPr>
      <w:szCs w:val="21"/>
    </w:rPr>
  </w:style>
  <w:style w:type="paragraph" w:styleId="951" w:customStyle="1">
    <w:name w:val="目录 21"/>
    <w:basedOn w:val="722"/>
    <w:next w:val="722"/>
    <w:uiPriority w:val="39"/>
    <w:qFormat/>
    <w:pPr>
      <w:ind w:left="250"/>
      <w:jc w:val="left"/>
      <w:spacing w:line="400" w:lineRule="exact"/>
      <w:tabs>
        <w:tab w:val="right" w:pos="9450" w:leader="dot"/>
      </w:tabs>
    </w:pPr>
    <w:rPr>
      <w:bCs/>
      <w:smallCaps/>
      <w:sz w:val="24"/>
      <w:szCs w:val="24"/>
    </w:rPr>
  </w:style>
  <w:style w:type="paragraph" w:styleId="952" w:customStyle="1">
    <w:name w:val="目录 91"/>
    <w:basedOn w:val="722"/>
    <w:next w:val="722"/>
    <w:uiPriority w:val="0"/>
    <w:semiHidden/>
    <w:qFormat/>
    <w:pPr>
      <w:ind w:left="1680"/>
      <w:jc w:val="left"/>
    </w:pPr>
    <w:rPr>
      <w:szCs w:val="21"/>
    </w:rPr>
  </w:style>
  <w:style w:type="character" w:styleId="953" w:customStyle="1">
    <w:name w:val="HTML 预设格式 Char"/>
    <w:link w:val="771"/>
    <w:uiPriority w:val="0"/>
    <w:qFormat/>
    <w:rPr>
      <w:rFonts w:ascii="Arial" w:hAnsi="Arial" w:cs="Arial"/>
      <w:sz w:val="24"/>
      <w:szCs w:val="24"/>
    </w:rPr>
  </w:style>
  <w:style w:type="character" w:styleId="954" w:customStyle="1">
    <w:name w:val="批注主题 Char"/>
    <w:link w:val="775"/>
    <w:uiPriority w:val="0"/>
    <w:qFormat/>
    <w:rPr>
      <w:b/>
      <w:bCs/>
      <w:sz w:val="21"/>
    </w:rPr>
  </w:style>
  <w:style w:type="character" w:styleId="955" w:customStyle="1">
    <w:name w:val="已访问的超链接1"/>
    <w:uiPriority w:val="0"/>
    <w:qFormat/>
    <w:rPr>
      <w:color w:val="333333"/>
      <w:u w:val="none"/>
    </w:rPr>
  </w:style>
  <w:style w:type="character" w:styleId="956" w:customStyle="1">
    <w:name w:val="font31"/>
    <w:uiPriority w:val="0"/>
    <w:qFormat/>
    <w:rPr>
      <w:rFonts w:hint="eastAsia" w:ascii="宋体" w:hAnsi="宋体" w:eastAsia="宋体" w:cs="宋体"/>
      <w:color w:val="000000"/>
      <w:sz w:val="21"/>
      <w:szCs w:val="21"/>
      <w:u w:val="none"/>
    </w:rPr>
  </w:style>
  <w:style w:type="character" w:styleId="957" w:customStyle="1">
    <w:name w:val="font21"/>
    <w:uiPriority w:val="0"/>
    <w:qFormat/>
    <w:rPr>
      <w:rFonts w:ascii="Arial" w:hAnsi="Arial" w:cs="Arial"/>
      <w:color w:val="000000"/>
      <w:sz w:val="22"/>
      <w:szCs w:val="22"/>
      <w:u w:val="none"/>
    </w:rPr>
  </w:style>
  <w:style w:type="character" w:styleId="958" w:customStyle="1">
    <w:name w:val="font91"/>
    <w:uiPriority w:val="0"/>
    <w:qFormat/>
    <w:rPr>
      <w:rFonts w:ascii="Times New Roman" w:hAnsi="Times New Roman" w:cs="Times New Roman"/>
      <w:color w:val="000000"/>
      <w:sz w:val="24"/>
      <w:szCs w:val="24"/>
      <w:u w:val="none"/>
    </w:rPr>
  </w:style>
  <w:style w:type="character" w:styleId="959" w:customStyle="1">
    <w:name w:val="标2 Char"/>
    <w:link w:val="960"/>
    <w:uiPriority w:val="0"/>
    <w:qFormat/>
    <w:rPr>
      <w:rFonts w:ascii="Arial Narrow" w:hAnsi="Arial Narrow" w:eastAsia="仿宋_GB2312"/>
      <w:sz w:val="24"/>
      <w:szCs w:val="24"/>
    </w:rPr>
  </w:style>
  <w:style w:type="paragraph" w:styleId="960" w:customStyle="1">
    <w:name w:val="标2"/>
    <w:basedOn w:val="722"/>
    <w:link w:val="959"/>
    <w:uiPriority w:val="0"/>
    <w:qFormat/>
    <w:pPr>
      <w:outlineLvl w:val="1"/>
    </w:pPr>
    <w:rPr>
      <w:rFonts w:ascii="Arial Narrow" w:hAnsi="Arial Narrow" w:eastAsia="仿宋_GB2312"/>
      <w:sz w:val="24"/>
      <w:szCs w:val="24"/>
    </w:rPr>
  </w:style>
  <w:style w:type="character" w:styleId="961" w:customStyle="1">
    <w:name w:val="font81"/>
    <w:uiPriority w:val="0"/>
    <w:qFormat/>
    <w:rPr>
      <w:rFonts w:hint="eastAsia" w:ascii="宋体" w:hAnsi="宋体" w:eastAsia="宋体" w:cs="宋体"/>
      <w:color w:val="000000"/>
      <w:sz w:val="22"/>
      <w:szCs w:val="22"/>
      <w:u w:val="none"/>
    </w:rPr>
  </w:style>
  <w:style w:type="character" w:styleId="962" w:customStyle="1">
    <w:name w:val="签名 字符"/>
    <w:uiPriority w:val="0"/>
    <w:qFormat/>
    <w:rPr>
      <w:rFonts w:eastAsia="仿宋_GB2312"/>
      <w:sz w:val="24"/>
    </w:rPr>
  </w:style>
  <w:style w:type="character" w:styleId="963" w:customStyle="1">
    <w:name w:val="正文缩进 字符"/>
    <w:uiPriority w:val="0"/>
    <w:qFormat/>
    <w:rPr>
      <w:sz w:val="21"/>
    </w:rPr>
  </w:style>
  <w:style w:type="character" w:styleId="964" w:customStyle="1">
    <w:name w:val="font01"/>
    <w:uiPriority w:val="0"/>
    <w:qFormat/>
    <w:rPr>
      <w:rFonts w:ascii="Verdana" w:hAnsi="Verdana" w:cs="Verdana"/>
      <w:color w:val="000000"/>
      <w:sz w:val="21"/>
      <w:szCs w:val="21"/>
      <w:u w:val="none"/>
    </w:rPr>
  </w:style>
  <w:style w:type="character" w:styleId="965" w:customStyle="1">
    <w:name w:val="正文文本 字符"/>
    <w:uiPriority w:val="0"/>
    <w:qFormat/>
    <w:rPr>
      <w:rFonts w:ascii="楷体_GB2312" w:hAnsi="Arial" w:eastAsia="楷体_GB2312"/>
      <w:sz w:val="28"/>
    </w:rPr>
  </w:style>
  <w:style w:type="character" w:styleId="966" w:customStyle="1">
    <w:name w:val="批注文字 Char"/>
    <w:uiPriority w:val="0"/>
    <w:qFormat/>
    <w:rPr>
      <w:sz w:val="21"/>
    </w:rPr>
  </w:style>
  <w:style w:type="character" w:styleId="967" w:customStyle="1">
    <w:name w:val="签名 字符1"/>
    <w:uiPriority w:val="0"/>
    <w:qFormat/>
    <w:rPr>
      <w:rFonts w:eastAsia="仿宋_GB2312"/>
      <w:sz w:val="24"/>
    </w:rPr>
  </w:style>
  <w:style w:type="character" w:styleId="968" w:customStyle="1">
    <w:name w:val="纯文本 字符1"/>
    <w:uiPriority w:val="0"/>
    <w:qFormat/>
    <w:rPr>
      <w:rFonts w:ascii="宋体" w:hAnsi="Courier New"/>
    </w:rPr>
  </w:style>
  <w:style w:type="character" w:styleId="969" w:customStyle="1">
    <w:name w:val="font11"/>
    <w:uiPriority w:val="0"/>
    <w:qFormat/>
    <w:rPr>
      <w:rFonts w:hint="eastAsia" w:ascii="宋体" w:hAnsi="宋体" w:eastAsia="宋体" w:cs="宋体"/>
      <w:color w:val="000000"/>
      <w:sz w:val="24"/>
      <w:szCs w:val="24"/>
      <w:u w:val="none"/>
    </w:rPr>
  </w:style>
  <w:style w:type="character" w:styleId="970" w:customStyle="1">
    <w:name w:val="font71"/>
    <w:uiPriority w:val="0"/>
    <w:qFormat/>
    <w:rPr>
      <w:rFonts w:hint="eastAsia" w:ascii="宋体" w:hAnsi="宋体" w:eastAsia="宋体" w:cs="宋体"/>
      <w:color w:val="000000"/>
      <w:sz w:val="22"/>
      <w:szCs w:val="22"/>
      <w:u w:val="none"/>
    </w:rPr>
  </w:style>
  <w:style w:type="character" w:styleId="971" w:customStyle="1">
    <w:name w:val="font101"/>
    <w:uiPriority w:val="0"/>
    <w:qFormat/>
    <w:rPr>
      <w:rFonts w:ascii="Verdana" w:hAnsi="Verdana" w:cs="Verdana"/>
      <w:color w:val="000000"/>
      <w:sz w:val="21"/>
      <w:szCs w:val="21"/>
      <w:u w:val="none"/>
    </w:rPr>
  </w:style>
  <w:style w:type="paragraph" w:styleId="972" w:customStyle="1">
    <w:name w:val="Char Char Char Char"/>
    <w:basedOn w:val="739"/>
    <w:uiPriority w:val="0"/>
    <w:qFormat/>
    <w:pPr>
      <w:spacing w:line="360" w:lineRule="auto"/>
    </w:pPr>
    <w:rPr>
      <w:rFonts w:ascii="Tahoma" w:hAnsi="Tahoma"/>
      <w:sz w:val="24"/>
      <w:szCs w:val="24"/>
    </w:rPr>
  </w:style>
  <w:style w:type="paragraph" w:styleId="973" w:customStyle="1">
    <w:name w:val="Char Char1 Char Char Char Char Char Char Char"/>
    <w:basedOn w:val="722"/>
    <w:uiPriority w:val="0"/>
    <w:qFormat/>
    <w:rPr>
      <w:rFonts w:ascii="Tahoma" w:hAnsi="Tahoma"/>
      <w:sz w:val="24"/>
    </w:rPr>
  </w:style>
  <w:style w:type="paragraph" w:styleId="974" w:customStyle="1">
    <w:name w:val="列出段落1"/>
    <w:basedOn w:val="722"/>
    <w:uiPriority w:val="34"/>
    <w:qFormat/>
    <w:pPr>
      <w:ind w:firstLine="420"/>
      <w:spacing w:line="360" w:lineRule="auto"/>
    </w:pPr>
    <w:rPr>
      <w:sz w:val="24"/>
      <w:szCs w:val="21"/>
    </w:rPr>
  </w:style>
  <w:style w:type="paragraph" w:styleId="975" w:customStyle="1">
    <w:name w:val="_Style 12"/>
    <w:basedOn w:val="739"/>
    <w:uiPriority w:val="0"/>
    <w:qFormat/>
    <w:pPr>
      <w:jc w:val="left"/>
      <w:spacing w:line="360" w:lineRule="auto"/>
      <w:widowControl/>
    </w:pPr>
    <w:rPr>
      <w:sz w:val="24"/>
      <w:szCs w:val="24"/>
    </w:rPr>
  </w:style>
  <w:style w:type="paragraph" w:styleId="976" w:customStyle="1">
    <w:name w:val="Char Char Char"/>
    <w:basedOn w:val="722"/>
    <w:uiPriority w:val="0"/>
    <w:qFormat/>
    <w:pPr>
      <w:numPr>
        <w:ilvl w:val="0"/>
        <w:numId w:val="1"/>
      </w:numPr>
      <w:tabs>
        <w:tab w:val="left" w:pos="1545" w:leader="none"/>
      </w:tabs>
    </w:pPr>
  </w:style>
  <w:style w:type="paragraph" w:styleId="977" w:customStyle="1">
    <w:name w:val="Char Char Char1"/>
    <w:basedOn w:val="722"/>
    <w:uiPriority w:val="0"/>
    <w:qFormat/>
    <w:pPr>
      <w:ind w:left="375" w:hanging="375"/>
      <w:tabs>
        <w:tab w:val="left" w:pos="375" w:leader="none"/>
        <w:tab w:val="left" w:pos="1545" w:leader="none"/>
      </w:tabs>
    </w:pPr>
  </w:style>
  <w:style w:type="paragraph" w:styleId="978" w:customStyle="1">
    <w:name w:val="head 1.1"/>
    <w:basedOn w:val="974"/>
    <w:uiPriority w:val="0"/>
    <w:qFormat/>
    <w:pPr>
      <w:numPr>
        <w:ilvl w:val="1"/>
        <w:numId w:val="2"/>
      </w:numPr>
      <w:contextualSpacing/>
      <w:ind w:firstLine="0"/>
      <w:spacing w:before="260" w:after="260" w:line="240" w:lineRule="auto"/>
    </w:pPr>
    <w:rPr>
      <w:rFonts w:ascii="宋体" w:hAnsi="宋体"/>
      <w:bCs/>
      <w:sz w:val="21"/>
      <w:szCs w:val="24"/>
    </w:rPr>
  </w:style>
  <w:style w:type="paragraph" w:styleId="979" w:customStyle="1">
    <w:name w:val="Char1 Char Char Char"/>
    <w:basedOn w:val="722"/>
    <w:uiPriority w:val="0"/>
    <w:qFormat/>
    <w:rPr>
      <w:rFonts w:ascii="Tahoma" w:hAnsi="Tahoma"/>
      <w:sz w:val="24"/>
    </w:rPr>
  </w:style>
  <w:style w:type="paragraph" w:styleId="980" w:customStyle="1">
    <w:name w:val="Table Paragraph"/>
    <w:basedOn w:val="722"/>
    <w:uiPriority w:val="1"/>
    <w:qFormat/>
    <w:pPr>
      <w:ind w:left="107"/>
    </w:pPr>
    <w:rPr>
      <w:rFonts w:ascii="宋体" w:hAnsi="宋体" w:cs="宋体"/>
      <w:szCs w:val="24"/>
    </w:rPr>
  </w:style>
  <w:style w:type="paragraph" w:styleId="981" w:customStyle="1">
    <w:name w:val="样式1"/>
    <w:basedOn w:val="722"/>
    <w:uiPriority w:val="0"/>
    <w:qFormat/>
    <w:pPr>
      <w:numPr>
        <w:ilvl w:val="0"/>
        <w:numId w:val="3"/>
      </w:numPr>
    </w:pPr>
    <w:rPr>
      <w:rFonts w:ascii="宋体" w:hAnsi="宋体"/>
      <w:szCs w:val="21"/>
    </w:rPr>
  </w:style>
  <w:style w:type="paragraph" w:styleId="982" w:customStyle="1">
    <w:name w:val="Plain Text1"/>
    <w:basedOn w:val="722"/>
    <w:uiPriority w:val="0"/>
    <w:qFormat/>
    <w:rPr>
      <w:rFonts w:ascii="宋体" w:hAnsi="Courier New" w:eastAsia="楷体_GB2312"/>
      <w:sz w:val="28"/>
    </w:rPr>
  </w:style>
  <w:style w:type="paragraph" w:styleId="983" w:customStyle="1">
    <w:name w:val="Char"/>
    <w:basedOn w:val="722"/>
    <w:uiPriority w:val="0"/>
    <w:qFormat/>
    <w:pPr>
      <w:numPr>
        <w:ilvl w:val="0"/>
        <w:numId w:val="4"/>
      </w:numPr>
    </w:pPr>
    <w:rPr>
      <w:sz w:val="24"/>
      <w:szCs w:val="24"/>
    </w:rPr>
  </w:style>
  <w:style w:type="paragraph" w:styleId="984" w:customStyle="1">
    <w:name w:val="Char Char1 Char Char Char Char Char Char Char1"/>
    <w:basedOn w:val="722"/>
    <w:uiPriority w:val="0"/>
    <w:qFormat/>
    <w:rPr>
      <w:rFonts w:ascii="Calibri Light" w:hAnsi="Calibri Light" w:cs="Berlin Sans FB Demi"/>
      <w:sz w:val="24"/>
    </w:rPr>
  </w:style>
  <w:style w:type="paragraph" w:styleId="985" w:customStyle="1">
    <w:name w:val="Char Char"/>
    <w:basedOn w:val="722"/>
    <w:uiPriority w:val="0"/>
    <w:qFormat/>
    <w:rPr>
      <w:szCs w:val="21"/>
    </w:rPr>
  </w:style>
  <w:style w:type="paragraph" w:styleId="98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87" w:customStyle="1">
    <w:name w:val="网格型1"/>
    <w:basedOn w:val="733"/>
    <w:uiPriority w:val="39"/>
    <w:qFormat/>
    <w:rPr>
      <w:rFonts w:ascii="Calibri" w:hAnsi="Calibri"/>
      <w:sz w:val="21"/>
      <w:szCs w:val="22"/>
    </w:rPr>
    <w:tblPr>
      <w:tblCellMar>
        <w:left w:w="108" w:type="dxa"/>
        <w:top w:w="0" w:type="dxa"/>
        <w:right w:w="108" w:type="dxa"/>
        <w:bottom w:w="0" w:type="dxa"/>
      </w:tblCellMar>
    </w:tblPr>
  </w:style>
  <w:style w:type="character" w:styleId="988" w:customStyle="1">
    <w:name w:val="long_text"/>
    <w:uiPriority w:val="0"/>
    <w:qFormat/>
  </w:style>
  <w:style w:type="paragraph" w:styleId="989" w:customStyle="1">
    <w:name w:val="Char1"/>
    <w:basedOn w:val="722"/>
    <w:uiPriority w:val="0"/>
    <w:qFormat/>
    <w:rPr>
      <w:rFonts w:ascii="Tahoma" w:hAnsi="Tahoma"/>
      <w:sz w:val="24"/>
    </w:rPr>
  </w:style>
  <w:style w:type="character" w:styleId="990" w:customStyle="1">
    <w:name w:val="纯文本 Char2"/>
    <w:link w:val="748"/>
    <w:uiPriority w:val="0"/>
    <w:qFormat/>
    <w:rPr>
      <w:rFonts w:ascii="宋体" w:hAnsi="Courier New" w:eastAsia="楷体_GB2312"/>
      <w:sz w:val="26"/>
    </w:rPr>
  </w:style>
  <w:style w:type="paragraph" w:styleId="991" w:customStyle="1">
    <w:name w:val="表格文字"/>
    <w:basedOn w:val="722"/>
    <w:uiPriority w:val="0"/>
    <w:qFormat/>
    <w:pPr>
      <w:spacing w:before="25" w:after="25"/>
    </w:pPr>
    <w:rPr>
      <w:bCs/>
      <w:spacing w:val="10"/>
      <w:sz w:val="24"/>
    </w:rPr>
  </w:style>
  <w:style w:type="paragraph" w:styleId="992" w:customStyle="1">
    <w:name w:val="修订1"/>
    <w:uiPriority w:val="99"/>
    <w:unhideWhenUsed/>
    <w:qFormat/>
    <w:rPr>
      <w:rFonts w:ascii="Times New Roman" w:hAnsi="Times New Roman" w:eastAsia="宋体" w:cs="Times New Roman"/>
      <w:sz w:val="21"/>
      <w:lang w:val="en-US" w:eastAsia="zh-CN" w:bidi="ar-SA"/>
    </w:rPr>
  </w:style>
  <w:style w:type="character" w:styleId="993" w:customStyle="1">
    <w:name w:val="签名 Char"/>
    <w:uiPriority w:val="99"/>
    <w:qFormat/>
    <w:rPr>
      <w:rFonts w:ascii="Times New Roman" w:hAnsi="Times New Roman" w:eastAsia="仿宋_GB2312" w:cs="Times New Roman"/>
      <w:sz w:val="24"/>
      <w:szCs w:val="20"/>
      <w:lang w:val="zh-CN" w:eastAsia="zh-CN"/>
    </w:rPr>
  </w:style>
  <w:style w:type="paragraph" w:styleId="994" w:customStyle="1">
    <w:name w:val="纯文本2"/>
    <w:basedOn w:val="722"/>
    <w:uiPriority w:val="0"/>
    <w:qFormat/>
    <w:pPr>
      <w:jc w:val="left"/>
      <w:widowControl/>
    </w:pPr>
    <w:rPr>
      <w:rFonts w:hint="eastAsia" w:ascii="宋体" w:hAnsi="Courier New" w:eastAsia="楷体_GB2312" w:cs="宋体"/>
      <w:sz w:val="26"/>
      <w:szCs w:val="22"/>
    </w:rPr>
  </w:style>
  <w:style w:type="character" w:styleId="995" w:customStyle="1">
    <w:name w:val="font51"/>
    <w:uiPriority w:val="0"/>
    <w:qFormat/>
    <w:rPr>
      <w:rFonts w:ascii="Arial" w:hAnsi="Arial" w:cs="Arial"/>
      <w:color w:val="000000"/>
      <w:sz w:val="22"/>
      <w:szCs w:val="22"/>
      <w:u w:val="none"/>
    </w:rPr>
  </w:style>
  <w:style w:type="character" w:styleId="996" w:customStyle="1">
    <w:name w:val="font41"/>
    <w:uiPriority w:val="0"/>
    <w:qFormat/>
    <w:rPr>
      <w:rFonts w:hint="eastAsia" w:ascii="宋体" w:hAnsi="宋体" w:eastAsia="宋体" w:cs="宋体"/>
      <w:color w:val="000000"/>
      <w:sz w:val="22"/>
      <w:szCs w:val="22"/>
      <w:u w:val="none"/>
    </w:rPr>
  </w:style>
  <w:style w:type="character" w:styleId="997" w:customStyle="1">
    <w:name w:val="font61"/>
    <w:uiPriority w:val="0"/>
    <w:qFormat/>
    <w:rPr>
      <w:rFonts w:hint="eastAsia" w:ascii="宋体" w:hAnsi="宋体" w:eastAsia="宋体" w:cs="宋体"/>
      <w:color w:val="000000"/>
      <w:sz w:val="22"/>
      <w:szCs w:val="22"/>
      <w:u w:val="none"/>
    </w:rPr>
  </w:style>
  <w:style w:type="character" w:styleId="998" w:customStyle="1">
    <w:name w:val="font121"/>
    <w:uiPriority w:val="0"/>
    <w:qFormat/>
    <w:rPr>
      <w:rFonts w:hint="eastAsia" w:ascii="宋体" w:hAnsi="宋体" w:eastAsia="宋体" w:cs="宋体"/>
      <w:color w:val="000000"/>
      <w:sz w:val="22"/>
      <w:szCs w:val="22"/>
      <w:u w:val="none"/>
      <w:vertAlign w:val="superscript"/>
    </w:rPr>
  </w:style>
  <w:style w:type="character" w:styleId="999" w:customStyle="1">
    <w:name w:val="font131"/>
    <w:uiPriority w:val="0"/>
    <w:qFormat/>
    <w:rPr>
      <w:rFonts w:hint="eastAsia" w:ascii="宋体" w:hAnsi="宋体" w:eastAsia="宋体" w:cs="宋体"/>
      <w:color w:val="000000"/>
      <w:sz w:val="22"/>
      <w:szCs w:val="22"/>
      <w:u w:val="none"/>
      <w:vertAlign w:val="superscript"/>
    </w:rPr>
  </w:style>
  <w:style w:type="character" w:styleId="1000" w:customStyle="1">
    <w:name w:val="font141"/>
    <w:uiPriority w:val="0"/>
    <w:qFormat/>
    <w:rPr>
      <w:rFonts w:ascii="Arial" w:hAnsi="Arial" w:cs="Arial"/>
      <w:color w:val="000000"/>
      <w:sz w:val="22"/>
      <w:szCs w:val="22"/>
      <w:u w:val="none"/>
    </w:rPr>
  </w:style>
  <w:style w:type="character" w:styleId="1001" w:customStyle="1">
    <w:name w:val="签名 Char1"/>
    <w:uiPriority w:val="0"/>
    <w:qFormat/>
    <w:rPr>
      <w:rFonts w:eastAsia="仿宋_GB2312"/>
      <w:sz w:val="24"/>
    </w:rPr>
  </w:style>
  <w:style w:type="character" w:styleId="1002" w:customStyle="1">
    <w:name w:val="纯文本 Char1"/>
    <w:uiPriority w:val="0"/>
    <w:semiHidden/>
    <w:qFormat/>
    <w:rPr>
      <w:rFonts w:ascii="宋体" w:hAnsi="Courier New"/>
      <w:sz w:val="21"/>
    </w:rPr>
  </w:style>
  <w:style w:type="character" w:styleId="1003" w:customStyle="1">
    <w:name w:val="正文文本 Char"/>
    <w:uiPriority w:val="99"/>
    <w:semiHidden/>
    <w:qFormat/>
    <w:rPr>
      <w:sz w:val="21"/>
    </w:rPr>
  </w:style>
  <w:style w:type="paragraph" w:styleId="1004" w:customStyle="1">
    <w:name w:val="纯文本1"/>
    <w:basedOn w:val="722"/>
    <w:uiPriority w:val="0"/>
    <w:qFormat/>
    <w:rPr>
      <w:rFonts w:ascii="宋体" w:hAnsi="Courier New" w:eastAsia="楷体_GB2312"/>
      <w:sz w:val="28"/>
      <w:szCs w:val="20"/>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8"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9"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1"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2"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3"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4"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5"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6"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7"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8"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9"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0"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1"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2"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3"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4"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5"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6"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7"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8"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9"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0"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1"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2"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3" TargetMode="External"/><Relationship Id="rId42" Type="http://schemas.openxmlformats.org/officeDocument/2006/relationships/hyperlink" Target="http://www.ccgp.gov.xn--cn%29%2C-yh5f38r80dwz3bxcfosbm6k4lam758a5fg/"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48"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49"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0"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1"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2"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3"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6"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9" TargetMode="External"/><Relationship Id="rId54"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5</cp:revision>
  <dcterms:created xsi:type="dcterms:W3CDTF">2026-03-20T00:10:00Z</dcterms:created>
  <dcterms:modified xsi:type="dcterms:W3CDTF">2026-06-15T06:28:59Z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2052-12.1.0.26895</vt:lpwstr>
  </property>
  <property fmtid="{D5CDD505-2E9C-101B-9397-08002B2CF9AE}" pid="4" name="ICV">
    <vt:lpwstr>26746A24FB304EAEB151896EEF1451AE_13</vt:lpwstr>
  </property>
</Properties>
</file>