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ind w:firstLine="1285"/>
        <w:jc w:val="left"/>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项目名称：湖滨新区排水管网零星更新改造</w:t>
      </w:r>
      <w:r>
        <w:rPr>
          <w:rFonts w:hint="eastAsia" w:ascii="Times New Roman" w:hAnsi="Times New Roman"/>
          <w:b/>
          <w:bCs/>
          <w:sz w:val="32"/>
          <w:szCs w:val="24"/>
        </w:rPr>
        <w:t xml:space="preserve">工程</w:t>
      </w:r>
      <w:r/>
    </w:p>
    <w:p>
      <w:pPr>
        <w:ind w:firstLine="1285"/>
        <w:jc w:val="left"/>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编号：JSZC-321392-DYGC-C2026-0001</w:t>
      </w:r>
      <w:r/>
    </w:p>
    <w:p>
      <w:pPr>
        <w:ind w:firstLine="1285"/>
        <w:jc w:val="left"/>
        <w:spacing w:before="120" w:after="120" w:line="360" w:lineRule="auto"/>
        <w:rPr>
          <w:rFonts w:ascii="Times New Roman" w:hAnsi="Times New Roman"/>
          <w:b/>
          <w:sz w:val="30"/>
          <w:szCs w:val="30"/>
        </w:rPr>
      </w:pPr>
      <w:r>
        <w:rPr>
          <w:rFonts w:hint="eastAsia" w:ascii="Times New Roman" w:hAnsi="Times New Roman"/>
          <w:b/>
          <w:bCs/>
          <w:sz w:val="32"/>
          <w:szCs w:val="24"/>
        </w:rPr>
        <w:t xml:space="preserve">（</w:t>
      </w:r>
      <w:r>
        <w:rPr>
          <w:rFonts w:hint="eastAsia" w:ascii="Times New Roman" w:hAnsi="Times New Roman"/>
          <w:b/>
          <w:bCs/>
          <w:sz w:val="32"/>
          <w:szCs w:val="24"/>
          <w:u w:val="single"/>
        </w:rPr>
        <w:t xml:space="preserve">工程</w:t>
      </w:r>
      <w:r>
        <w:rPr>
          <w:rFonts w:hint="eastAsia" w:ascii="Times New Roman" w:hAnsi="Times New Roman"/>
          <w:b/>
          <w:bCs/>
          <w:sz w:val="32"/>
          <w:szCs w:val="24"/>
        </w:rPr>
        <w:t xml:space="preserve">类项目，本项目专门面向中小企业）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spacing w:line="360" w:lineRule="auto"/>
        <w:rPr>
          <w:rFonts w:ascii="Times New Roman" w:hAnsi="Times New Roman"/>
          <w:sz w:val="24"/>
          <w:szCs w:val="24"/>
        </w:rPr>
      </w:pPr>
      <w:r>
        <w:rPr>
          <w:rFonts w:ascii="Times New Roman" w:hAnsi="Times New Roman"/>
          <w:sz w:val="24"/>
          <w:szCs w:val="24"/>
        </w:rPr>
      </w:r>
      <w:r/>
    </w:p>
    <w:p>
      <w:pPr>
        <w:spacing w:line="360" w:lineRule="auto"/>
        <w:rPr>
          <w:rFonts w:ascii="Times New Roman" w:hAnsi="Times New Roman"/>
          <w:sz w:val="24"/>
          <w:szCs w:val="24"/>
        </w:rPr>
      </w:pPr>
      <w:r>
        <w:rPr>
          <w:rFonts w:ascii="Times New Roman" w:hAnsi="Times New Roman"/>
          <w:sz w:val="24"/>
          <w:szCs w:val="24"/>
        </w:rPr>
      </w:r>
      <w:r/>
    </w:p>
    <w:p>
      <w:pPr>
        <w:jc w:val="center"/>
        <w:spacing w:line="360" w:lineRule="auto"/>
        <w:rPr>
          <w:rFonts w:ascii="Times New Roman" w:hAnsi="Times New Roman"/>
          <w:sz w:val="24"/>
          <w:szCs w:val="24"/>
        </w:rPr>
      </w:pPr>
      <w:r>
        <w:rPr>
          <w:rFonts w:ascii="Times New Roman" w:hAnsi="Times New Roman"/>
          <w:sz w:val="24"/>
          <w:szCs w:val="24"/>
        </w:rPr>
      </w:r>
      <w:r/>
    </w:p>
    <w:p>
      <w:pPr>
        <w:jc w:val="center"/>
        <w:spacing w:line="360" w:lineRule="auto"/>
        <w:rPr>
          <w:rFonts w:ascii="Times New Roman" w:hAnsi="Times New Roman"/>
          <w:sz w:val="24"/>
          <w:szCs w:val="24"/>
        </w:rPr>
      </w:pPr>
      <w:r>
        <w:rPr>
          <w:rFonts w:ascii="Times New Roman" w:hAnsi="Times New Roman"/>
          <w:sz w:val="24"/>
          <w:szCs w:val="24"/>
        </w:rPr>
      </w:r>
      <w:r/>
    </w:p>
    <w:p>
      <w:pPr>
        <w:pStyle w:val="1088"/>
        <w:jc w:val="center"/>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宿迁市湖滨新区住房和城乡建设局</w:t>
      </w:r>
      <w:r/>
    </w:p>
    <w:p>
      <w:pPr>
        <w:pStyle w:val="1088"/>
        <w:jc w:val="center"/>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江苏大业工程管理咨询有限公司</w:t>
      </w:r>
      <w:r/>
    </w:p>
    <w:p>
      <w:pPr>
        <w:pStyle w:val="1088"/>
        <w:ind w:firstLine="0"/>
        <w:jc w:val="center"/>
        <w:rPr>
          <w:rFonts w:ascii="Times New Roman" w:hAnsi="Times New Roman"/>
          <w:u w:val="single"/>
        </w:rPr>
      </w:pPr>
      <w:r>
        <w:rPr>
          <w:rFonts w:hint="eastAsia" w:ascii="Times New Roman" w:hAnsi="Times New Roman"/>
          <w:b/>
          <w:bCs/>
          <w:sz w:val="32"/>
        </w:rPr>
        <w:t xml:space="preserve">2026年6月</w:t>
      </w:r>
      <w:r>
        <w:rPr>
          <w:rFonts w:hint="eastAsia" w:ascii="Times New Roman" w:hAnsi="Times New Roman"/>
          <w:b/>
          <w:bCs/>
          <w:sz w:val="32"/>
          <w:lang w:val="en-US" w:eastAsia="zh-CN"/>
        </w:rPr>
        <w:t xml:space="preserve">17</w:t>
      </w:r>
      <w:r>
        <w:rPr>
          <w:rFonts w:hint="eastAsia" w:ascii="Times New Roman" w:hAnsi="Times New Roman"/>
          <w:b/>
          <w:bCs/>
          <w:sz w:val="32"/>
        </w:rPr>
        <w:t xml:space="preserve">日</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pStyle w:val="1088"/>
        <w:ind w:firstLine="1262"/>
        <w:jc w:val="center"/>
        <w:rPr>
          <w:rFonts w:ascii="Times New Roman" w:hAnsi="Times New Roman"/>
          <w:b/>
          <w:bCs/>
          <w:sz w:val="32"/>
        </w:rPr>
        <w:sectPr>
          <w:foot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pPr>
      <w:r/>
      <w:bookmarkStart w:id="0" w:name="_Toc120614210"/>
      <w:r/>
      <w:bookmarkStart w:id="1" w:name="_Toc479757206"/>
      <w:r/>
      <w:bookmarkStart w:id="2" w:name="_Toc16938516"/>
      <w:r/>
      <w:bookmarkStart w:id="3" w:name="_Toc523127445"/>
      <w:r/>
      <w:bookmarkStart w:id="4" w:name="_Toc20823272"/>
      <w:r/>
      <w:bookmarkStart w:id="5" w:name="_Toc513029200"/>
      <w:r/>
      <w:r/>
    </w:p>
    <w:p>
      <w:pPr>
        <w:pStyle w:val="1088"/>
        <w:ind w:firstLine="1262"/>
        <w:jc w:val="center"/>
        <w:rPr>
          <w:rFonts w:ascii="Times New Roman" w:hAnsi="Times New Roman"/>
          <w:b/>
          <w:bCs/>
          <w:sz w:val="32"/>
        </w:rPr>
      </w:pPr>
      <w:r>
        <w:rPr>
          <w:rFonts w:ascii="Times New Roman" w:hAnsi="Times New Roman"/>
          <w:b/>
          <w:bCs/>
          <w:sz w:val="32"/>
        </w:rPr>
        <w:t xml:space="preserve">目</w:t>
      </w:r>
      <w:r>
        <w:rPr>
          <w:rFonts w:hint="eastAsia" w:ascii="Times New Roman" w:hAnsi="Times New Roman"/>
          <w:b/>
          <w:bCs/>
          <w:sz w:val="32"/>
        </w:rPr>
        <w:t xml:space="preserve"> </w:t>
      </w:r>
      <w:r>
        <w:rPr>
          <w:rFonts w:ascii="Times New Roman" w:hAnsi="Times New Roman"/>
          <w:b/>
          <w:bCs/>
          <w:sz w:val="32"/>
        </w:rPr>
        <w:t xml:space="preserve"> 录</w:t>
      </w:r>
      <w:r/>
    </w:p>
    <w:p>
      <w:pPr>
        <w:pStyle w:val="838"/>
        <w:tabs>
          <w:tab w:val="clear" w:pos="8943" w:leader="none"/>
          <w:tab w:val="right" w:pos="8953" w:leader="dot"/>
        </w:tabs>
        <w:rPr>
          <w:rFonts w:hint="eastAsia"/>
        </w:rPr>
      </w:pPr>
      <w:r>
        <w:fldChar w:fldCharType="begin"/>
      </w:r>
      <w:r>
        <w:instrText xml:space="preserve"> TOC \o "1-3" \h \z \u </w:instrText>
      </w:r>
      <w:r>
        <w:fldChar w:fldCharType="separate"/>
      </w:r>
      <w:r>
        <w:fldChar w:fldCharType="begin"/>
      </w:r>
      <w:r>
        <w:instrText xml:space="preserve"> HYPERLINK \l "_Toc15483" </w:instrText>
      </w:r>
      <w:r>
        <w:fldChar w:fldCharType="separate"/>
      </w:r>
      <w:r>
        <w:rPr>
          <w:rFonts w:hint="eastAsia" w:ascii="Times New Roman" w:hAnsi="Times New Roman" w:eastAsia="黑体"/>
          <w:szCs w:val="44"/>
        </w:rPr>
        <w:t xml:space="preserve">第一章  磋商邀请</w:t>
      </w:r>
      <w:r>
        <w:tab/>
      </w:r>
      <w:r>
        <w:fldChar w:fldCharType="begin"/>
      </w:r>
      <w:r>
        <w:instrText xml:space="preserve"> PAGEREF _Toc15483 \h </w:instrText>
      </w:r>
      <w:r>
        <w:fldChar w:fldCharType="separate"/>
      </w:r>
      <w:r>
        <w:t xml:space="preserve">1</w:t>
      </w:r>
      <w:r>
        <w:fldChar w:fldCharType="end"/>
      </w:r>
      <w:r>
        <w:fldChar w:fldCharType="end"/>
      </w:r>
      <w:r/>
    </w:p>
    <w:p>
      <w:pPr>
        <w:pStyle w:val="833"/>
        <w:tabs>
          <w:tab w:val="clear" w:pos="8943" w:leader="none"/>
          <w:tab w:val="right" w:pos="8953" w:leader="dot"/>
        </w:tabs>
      </w:pPr>
      <w:r>
        <w:fldChar w:fldCharType="begin"/>
      </w:r>
      <w:r>
        <w:instrText xml:space="preserve"> HYPERLINK \l "_Toc1923" </w:instrText>
      </w:r>
      <w:r>
        <w:fldChar w:fldCharType="separate"/>
      </w:r>
      <w:r>
        <w:rPr>
          <w:rFonts w:hint="eastAsia"/>
          <w:bCs/>
          <w:szCs w:val="32"/>
        </w:rPr>
        <w:t xml:space="preserve">一、项目基本情况</w:t>
      </w:r>
      <w:r>
        <w:tab/>
      </w:r>
      <w:r>
        <w:fldChar w:fldCharType="begin"/>
      </w:r>
      <w:r>
        <w:instrText xml:space="preserve"> PAGEREF _Toc1923 \h </w:instrText>
      </w:r>
      <w:r>
        <w:fldChar w:fldCharType="separate"/>
      </w:r>
      <w:r>
        <w:t xml:space="preserve">1</w:t>
      </w:r>
      <w:r>
        <w:fldChar w:fldCharType="end"/>
      </w:r>
      <w:r>
        <w:fldChar w:fldCharType="end"/>
      </w:r>
      <w:r/>
    </w:p>
    <w:p>
      <w:pPr>
        <w:pStyle w:val="833"/>
        <w:tabs>
          <w:tab w:val="clear" w:pos="8943" w:leader="none"/>
          <w:tab w:val="right" w:pos="8953" w:leader="dot"/>
        </w:tabs>
      </w:pPr>
      <w:r>
        <w:fldChar w:fldCharType="begin"/>
      </w:r>
      <w:r>
        <w:instrText xml:space="preserve"> HYPERLINK \l "_Toc19891" </w:instrText>
      </w:r>
      <w:r>
        <w:fldChar w:fldCharType="separate"/>
      </w:r>
      <w:r>
        <w:rPr>
          <w:rFonts w:hint="eastAsia"/>
          <w:bCs/>
          <w:szCs w:val="32"/>
        </w:rPr>
        <w:t xml:space="preserve">二、申请人的资格要求：</w:t>
      </w:r>
      <w:r>
        <w:tab/>
      </w:r>
      <w:r>
        <w:fldChar w:fldCharType="begin"/>
      </w:r>
      <w:r>
        <w:instrText xml:space="preserve"> PAGEREF _Toc19891 \h </w:instrText>
      </w:r>
      <w:r>
        <w:fldChar w:fldCharType="separate"/>
      </w:r>
      <w:r>
        <w:t xml:space="preserve">1</w:t>
      </w:r>
      <w:r>
        <w:fldChar w:fldCharType="end"/>
      </w:r>
      <w:r>
        <w:fldChar w:fldCharType="end"/>
      </w:r>
      <w:r/>
    </w:p>
    <w:p>
      <w:pPr>
        <w:pStyle w:val="833"/>
        <w:tabs>
          <w:tab w:val="clear" w:pos="8943" w:leader="none"/>
          <w:tab w:val="right" w:pos="8953" w:leader="dot"/>
        </w:tabs>
      </w:pPr>
      <w:r>
        <w:fldChar w:fldCharType="begin"/>
      </w:r>
      <w:r>
        <w:instrText xml:space="preserve"> HYPERLINK \l "_Toc16193" </w:instrText>
      </w:r>
      <w:r>
        <w:fldChar w:fldCharType="separate"/>
      </w:r>
      <w:r>
        <w:rPr>
          <w:rFonts w:hint="eastAsia"/>
          <w:bCs/>
          <w:szCs w:val="32"/>
        </w:rPr>
        <w:t xml:space="preserve">三、获取磋商文件</w:t>
      </w:r>
      <w:r>
        <w:tab/>
      </w:r>
      <w:r>
        <w:fldChar w:fldCharType="begin"/>
      </w:r>
      <w:r>
        <w:instrText xml:space="preserve"> PAGEREF _Toc16193 \h </w:instrText>
      </w:r>
      <w:r>
        <w:fldChar w:fldCharType="separate"/>
      </w:r>
      <w:r>
        <w:t xml:space="preserve">2</w:t>
      </w:r>
      <w:r>
        <w:fldChar w:fldCharType="end"/>
      </w:r>
      <w:r>
        <w:fldChar w:fldCharType="end"/>
      </w:r>
      <w:r/>
    </w:p>
    <w:p>
      <w:pPr>
        <w:pStyle w:val="833"/>
        <w:tabs>
          <w:tab w:val="clear" w:pos="8943" w:leader="none"/>
          <w:tab w:val="right" w:pos="8953" w:leader="dot"/>
        </w:tabs>
      </w:pPr>
      <w:r>
        <w:fldChar w:fldCharType="begin"/>
      </w:r>
      <w:r>
        <w:instrText xml:space="preserve"> HYPERLINK \l "_Toc12393" </w:instrText>
      </w:r>
      <w:r>
        <w:fldChar w:fldCharType="separate"/>
      </w:r>
      <w:r>
        <w:rPr>
          <w:rFonts w:hint="eastAsia"/>
          <w:bCs/>
          <w:szCs w:val="32"/>
        </w:rPr>
        <w:t xml:space="preserve">四、提交响应文件截止时间</w:t>
      </w:r>
      <w:r>
        <w:tab/>
      </w:r>
      <w:r>
        <w:fldChar w:fldCharType="begin"/>
      </w:r>
      <w:r>
        <w:instrText xml:space="preserve"> PAGEREF _Toc12393 \h </w:instrText>
      </w:r>
      <w:r>
        <w:fldChar w:fldCharType="separate"/>
      </w:r>
      <w:r>
        <w:t xml:space="preserve">2</w:t>
      </w:r>
      <w:r>
        <w:fldChar w:fldCharType="end"/>
      </w:r>
      <w:r>
        <w:fldChar w:fldCharType="end"/>
      </w:r>
      <w:r/>
    </w:p>
    <w:p>
      <w:pPr>
        <w:pStyle w:val="833"/>
        <w:tabs>
          <w:tab w:val="clear" w:pos="8943" w:leader="none"/>
          <w:tab w:val="right" w:pos="8953" w:leader="dot"/>
        </w:tabs>
      </w:pPr>
      <w:r>
        <w:fldChar w:fldCharType="begin"/>
      </w:r>
      <w:r>
        <w:instrText xml:space="preserve"> HYPERLINK \l "_Toc5352" </w:instrText>
      </w:r>
      <w:r>
        <w:fldChar w:fldCharType="separate"/>
      </w:r>
      <w:r>
        <w:rPr>
          <w:rFonts w:hint="eastAsia"/>
          <w:bCs/>
          <w:szCs w:val="32"/>
        </w:rPr>
        <w:t xml:space="preserve">五、公告期限</w:t>
      </w:r>
      <w:r>
        <w:tab/>
      </w:r>
      <w:r>
        <w:fldChar w:fldCharType="begin"/>
      </w:r>
      <w:r>
        <w:instrText xml:space="preserve"> PAGEREF _Toc5352 \h </w:instrText>
      </w:r>
      <w:r>
        <w:fldChar w:fldCharType="separate"/>
      </w:r>
      <w:r>
        <w:t xml:space="preserve">2</w:t>
      </w:r>
      <w:r>
        <w:fldChar w:fldCharType="end"/>
      </w:r>
      <w:r>
        <w:fldChar w:fldCharType="end"/>
      </w:r>
      <w:r/>
    </w:p>
    <w:p>
      <w:pPr>
        <w:pStyle w:val="833"/>
        <w:tabs>
          <w:tab w:val="clear" w:pos="8943" w:leader="none"/>
          <w:tab w:val="right" w:pos="8953" w:leader="dot"/>
        </w:tabs>
      </w:pPr>
      <w:r>
        <w:fldChar w:fldCharType="begin"/>
      </w:r>
      <w:r>
        <w:instrText xml:space="preserve"> HYPERLINK \l "_Toc25402" </w:instrText>
      </w:r>
      <w:r>
        <w:fldChar w:fldCharType="separate"/>
      </w:r>
      <w:r>
        <w:rPr>
          <w:rFonts w:hint="eastAsia" w:cs="仿宋_GB2312"/>
          <w:szCs w:val="28"/>
        </w:rPr>
        <w:t xml:space="preserve">自本公告发布之日起3个工作日。</w:t>
      </w:r>
      <w:r>
        <w:tab/>
      </w:r>
      <w:r>
        <w:fldChar w:fldCharType="begin"/>
      </w:r>
      <w:r>
        <w:instrText xml:space="preserve"> PAGEREF _Toc25402 \h </w:instrText>
      </w:r>
      <w:r>
        <w:fldChar w:fldCharType="separate"/>
      </w:r>
      <w:r>
        <w:t xml:space="preserve">2</w:t>
      </w:r>
      <w:r>
        <w:fldChar w:fldCharType="end"/>
      </w:r>
      <w:r>
        <w:fldChar w:fldCharType="end"/>
      </w:r>
      <w:r/>
    </w:p>
    <w:p>
      <w:pPr>
        <w:pStyle w:val="833"/>
        <w:tabs>
          <w:tab w:val="clear" w:pos="8943" w:leader="none"/>
          <w:tab w:val="right" w:pos="8953" w:leader="dot"/>
        </w:tabs>
      </w:pPr>
      <w:r>
        <w:fldChar w:fldCharType="begin"/>
      </w:r>
      <w:r>
        <w:instrText xml:space="preserve"> HYPERLINK \l "_Toc22978" </w:instrText>
      </w:r>
      <w:r>
        <w:fldChar w:fldCharType="separate"/>
      </w:r>
      <w:r>
        <w:rPr>
          <w:rFonts w:hint="eastAsia"/>
          <w:bCs/>
          <w:szCs w:val="32"/>
        </w:rPr>
        <w:t xml:space="preserve">六、其他补充事宜</w:t>
      </w:r>
      <w:r>
        <w:tab/>
      </w:r>
      <w:r>
        <w:fldChar w:fldCharType="begin"/>
      </w:r>
      <w:r>
        <w:instrText xml:space="preserve"> PAGEREF _Toc22978 \h </w:instrText>
      </w:r>
      <w:r>
        <w:fldChar w:fldCharType="separate"/>
      </w:r>
      <w:r>
        <w:t xml:space="preserve">2</w:t>
      </w:r>
      <w:r>
        <w:fldChar w:fldCharType="end"/>
      </w:r>
      <w:r>
        <w:fldChar w:fldCharType="end"/>
      </w:r>
      <w:r/>
    </w:p>
    <w:p>
      <w:pPr>
        <w:pStyle w:val="833"/>
        <w:tabs>
          <w:tab w:val="clear" w:pos="8943" w:leader="none"/>
          <w:tab w:val="right" w:pos="8953" w:leader="dot"/>
        </w:tabs>
      </w:pPr>
      <w:r>
        <w:fldChar w:fldCharType="begin"/>
      </w:r>
      <w:r>
        <w:instrText xml:space="preserve"> HYPERLINK \l "_Toc4832" </w:instrText>
      </w:r>
      <w:r>
        <w:fldChar w:fldCharType="separate"/>
      </w:r>
      <w:r>
        <w:rPr>
          <w:rFonts w:hint="eastAsia"/>
          <w:bCs/>
          <w:szCs w:val="32"/>
        </w:rPr>
        <w:t xml:space="preserve">七、本次磋商联系方式</w:t>
      </w:r>
      <w:r>
        <w:tab/>
      </w:r>
      <w:r>
        <w:fldChar w:fldCharType="begin"/>
      </w:r>
      <w:r>
        <w:instrText xml:space="preserve"> PAGEREF _Toc4832 \h </w:instrText>
      </w:r>
      <w:r>
        <w:fldChar w:fldCharType="separate"/>
      </w:r>
      <w:r>
        <w:t xml:space="preserve">3</w:t>
      </w:r>
      <w:r>
        <w:fldChar w:fldCharType="end"/>
      </w:r>
      <w:r>
        <w:fldChar w:fldCharType="end"/>
      </w:r>
      <w:r/>
    </w:p>
    <w:p>
      <w:pPr>
        <w:pStyle w:val="833"/>
        <w:tabs>
          <w:tab w:val="clear" w:pos="8943" w:leader="none"/>
          <w:tab w:val="right" w:pos="8953" w:leader="dot"/>
        </w:tabs>
      </w:pPr>
      <w:r>
        <w:fldChar w:fldCharType="begin"/>
      </w:r>
      <w:r>
        <w:instrText xml:space="preserve"> HYPERLINK \l "_Toc3545" </w:instrText>
      </w:r>
      <w:r>
        <w:fldChar w:fldCharType="separate"/>
      </w:r>
      <w:r>
        <w:rPr>
          <w:rFonts w:hint="eastAsia"/>
          <w:bCs/>
          <w:szCs w:val="32"/>
        </w:rPr>
        <w:t xml:space="preserve">八、其他</w:t>
      </w:r>
      <w:r>
        <w:tab/>
      </w:r>
      <w:r>
        <w:fldChar w:fldCharType="begin"/>
      </w:r>
      <w:r>
        <w:instrText xml:space="preserve"> PAGEREF _Toc3545 \h </w:instrText>
      </w:r>
      <w:r>
        <w:fldChar w:fldCharType="separate"/>
      </w:r>
      <w:r>
        <w:t xml:space="preserve">3</w:t>
      </w:r>
      <w:r>
        <w:fldChar w:fldCharType="end"/>
      </w:r>
      <w:r>
        <w:fldChar w:fldCharType="end"/>
      </w:r>
      <w:r/>
    </w:p>
    <w:p>
      <w:pPr>
        <w:pStyle w:val="838"/>
        <w:tabs>
          <w:tab w:val="clear" w:pos="8943" w:leader="none"/>
          <w:tab w:val="right" w:pos="8953" w:leader="dot"/>
        </w:tabs>
        <w:rPr>
          <w:rFonts w:hint="eastAsia"/>
        </w:rPr>
      </w:pPr>
      <w:r>
        <w:fldChar w:fldCharType="begin"/>
      </w:r>
      <w:r>
        <w:instrText xml:space="preserve"> HYPERLINK \l "_Toc29859" </w:instrText>
      </w:r>
      <w:r>
        <w:fldChar w:fldCharType="separate"/>
      </w:r>
      <w:r>
        <w:rPr>
          <w:rFonts w:hint="eastAsia" w:ascii="Times New Roman" w:hAnsi="Times New Roman" w:eastAsia="黑体"/>
          <w:szCs w:val="44"/>
        </w:rPr>
        <w:t xml:space="preserve">第二章  供应商须知</w:t>
      </w:r>
      <w:r>
        <w:tab/>
      </w:r>
      <w:r>
        <w:fldChar w:fldCharType="begin"/>
      </w:r>
      <w:r>
        <w:instrText xml:space="preserve"> PAGEREF _Toc29859 \h </w:instrText>
      </w:r>
      <w:r>
        <w:fldChar w:fldCharType="separate"/>
      </w:r>
      <w:r>
        <w:t xml:space="preserve">4</w:t>
      </w:r>
      <w:r>
        <w:fldChar w:fldCharType="end"/>
      </w:r>
      <w:r>
        <w:fldChar w:fldCharType="end"/>
      </w:r>
      <w:r/>
    </w:p>
    <w:p>
      <w:pPr>
        <w:pStyle w:val="844"/>
        <w:tabs>
          <w:tab w:val="right" w:pos="8953" w:leader="dot"/>
        </w:tabs>
      </w:pPr>
      <w:r>
        <w:fldChar w:fldCharType="begin"/>
      </w:r>
      <w:r>
        <w:instrText xml:space="preserve"> HYPERLINK \l "_Toc6415" </w:instrText>
      </w:r>
      <w:r>
        <w:fldChar w:fldCharType="separate"/>
      </w:r>
      <w:r>
        <w:rPr>
          <w:rFonts w:hint="eastAsia" w:ascii="Arial" w:hAnsi="Arial" w:cs="Arial"/>
          <w:bCs/>
          <w:szCs w:val="22"/>
        </w:rPr>
        <w:t xml:space="preserve">供应商须知前附表：</w:t>
      </w:r>
      <w:r>
        <w:tab/>
      </w:r>
      <w:r>
        <w:fldChar w:fldCharType="begin"/>
      </w:r>
      <w:r>
        <w:instrText xml:space="preserve"> PAGEREF _Toc6415 \h </w:instrText>
      </w:r>
      <w:r>
        <w:fldChar w:fldCharType="separate"/>
      </w:r>
      <w:r>
        <w:t xml:space="preserve">4</w:t>
      </w:r>
      <w:r>
        <w:fldChar w:fldCharType="end"/>
      </w:r>
      <w:r>
        <w:fldChar w:fldCharType="end"/>
      </w:r>
      <w:r/>
    </w:p>
    <w:p>
      <w:pPr>
        <w:pStyle w:val="844"/>
        <w:tabs>
          <w:tab w:val="right" w:pos="8953" w:leader="dot"/>
        </w:tabs>
      </w:pPr>
      <w:r>
        <w:fldChar w:fldCharType="begin"/>
      </w:r>
      <w:r>
        <w:instrText xml:space="preserve"> HYPERLINK \l "_Toc16797" </w:instrText>
      </w:r>
      <w:r>
        <w:fldChar w:fldCharType="separate"/>
      </w:r>
      <w:r>
        <w:rPr>
          <w:rFonts w:hint="eastAsia" w:ascii="黑体" w:hAnsi="黑体" w:eastAsia="黑体" w:cs="黑体"/>
          <w:szCs w:val="22"/>
        </w:rPr>
        <w:t xml:space="preserve">一、总 则</w:t>
      </w:r>
      <w:r>
        <w:tab/>
      </w:r>
      <w:r>
        <w:fldChar w:fldCharType="begin"/>
      </w:r>
      <w:r>
        <w:instrText xml:space="preserve"> PAGEREF _Toc16797 \h </w:instrText>
      </w:r>
      <w:r>
        <w:fldChar w:fldCharType="separate"/>
      </w:r>
      <w:r>
        <w:t xml:space="preserve">5</w:t>
      </w:r>
      <w:r>
        <w:fldChar w:fldCharType="end"/>
      </w:r>
      <w:r>
        <w:fldChar w:fldCharType="end"/>
      </w:r>
      <w:r/>
    </w:p>
    <w:p>
      <w:pPr>
        <w:pStyle w:val="844"/>
        <w:tabs>
          <w:tab w:val="right" w:pos="8953" w:leader="dot"/>
        </w:tabs>
      </w:pPr>
      <w:r>
        <w:fldChar w:fldCharType="begin"/>
      </w:r>
      <w:r>
        <w:instrText xml:space="preserve"> HYPERLINK \l "_Toc26096" </w:instrText>
      </w:r>
      <w:r>
        <w:fldChar w:fldCharType="separate"/>
      </w:r>
      <w:r>
        <w:rPr>
          <w:rFonts w:hint="eastAsia" w:ascii="黑体" w:hAnsi="黑体" w:eastAsia="黑体" w:cs="黑体"/>
          <w:szCs w:val="22"/>
        </w:rPr>
        <w:t xml:space="preserve">二、竞争性磋商文件</w:t>
      </w:r>
      <w:r>
        <w:tab/>
      </w:r>
      <w:r>
        <w:fldChar w:fldCharType="begin"/>
      </w:r>
      <w:r>
        <w:instrText xml:space="preserve"> PAGEREF _Toc26096 \h </w:instrText>
      </w:r>
      <w:r>
        <w:fldChar w:fldCharType="separate"/>
      </w:r>
      <w:r>
        <w:t xml:space="preserve">5</w:t>
      </w:r>
      <w:r>
        <w:fldChar w:fldCharType="end"/>
      </w:r>
      <w:r>
        <w:fldChar w:fldCharType="end"/>
      </w:r>
      <w:r/>
    </w:p>
    <w:p>
      <w:pPr>
        <w:pStyle w:val="844"/>
        <w:tabs>
          <w:tab w:val="right" w:pos="8953" w:leader="dot"/>
        </w:tabs>
      </w:pPr>
      <w:r>
        <w:fldChar w:fldCharType="begin"/>
      </w:r>
      <w:r>
        <w:instrText xml:space="preserve"> HYPERLINK \l "_Toc16563" </w:instrText>
      </w:r>
      <w:r>
        <w:fldChar w:fldCharType="separate"/>
      </w:r>
      <w:r>
        <w:rPr>
          <w:rFonts w:hint="eastAsia" w:ascii="黑体" w:hAnsi="黑体" w:eastAsia="黑体" w:cs="黑体"/>
          <w:szCs w:val="22"/>
        </w:rPr>
        <w:t xml:space="preserve">三、响应文件的编制</w:t>
      </w:r>
      <w:r>
        <w:tab/>
      </w:r>
      <w:r>
        <w:fldChar w:fldCharType="begin"/>
      </w:r>
      <w:r>
        <w:instrText xml:space="preserve"> PAGEREF _Toc16563 \h </w:instrText>
      </w:r>
      <w:r>
        <w:fldChar w:fldCharType="separate"/>
      </w:r>
      <w:r>
        <w:t xml:space="preserve">9</w:t>
      </w:r>
      <w:r>
        <w:fldChar w:fldCharType="end"/>
      </w:r>
      <w:r>
        <w:fldChar w:fldCharType="end"/>
      </w:r>
      <w:r/>
    </w:p>
    <w:p>
      <w:pPr>
        <w:pStyle w:val="844"/>
        <w:tabs>
          <w:tab w:val="right" w:pos="8953" w:leader="dot"/>
        </w:tabs>
      </w:pPr>
      <w:r>
        <w:fldChar w:fldCharType="begin"/>
      </w:r>
      <w:r>
        <w:instrText xml:space="preserve"> HYPERLINK \l "_Toc13355" </w:instrText>
      </w:r>
      <w:r>
        <w:fldChar w:fldCharType="separate"/>
      </w:r>
      <w:r>
        <w:rPr>
          <w:rFonts w:hint="eastAsia" w:ascii="黑体" w:hAnsi="黑体" w:eastAsia="黑体" w:cs="黑体"/>
          <w:szCs w:val="22"/>
        </w:rPr>
        <w:t xml:space="preserve">四、响应文件的提交</w:t>
      </w:r>
      <w:r>
        <w:tab/>
      </w:r>
      <w:r>
        <w:fldChar w:fldCharType="begin"/>
      </w:r>
      <w:r>
        <w:instrText xml:space="preserve"> PAGEREF _Toc13355 \h </w:instrText>
      </w:r>
      <w:r>
        <w:fldChar w:fldCharType="separate"/>
      </w:r>
      <w:r>
        <w:t xml:space="preserve">11</w:t>
      </w:r>
      <w:r>
        <w:fldChar w:fldCharType="end"/>
      </w:r>
      <w:r>
        <w:fldChar w:fldCharType="end"/>
      </w:r>
      <w:r/>
    </w:p>
    <w:p>
      <w:pPr>
        <w:pStyle w:val="844"/>
        <w:tabs>
          <w:tab w:val="right" w:pos="8953" w:leader="dot"/>
        </w:tabs>
      </w:pPr>
      <w:r>
        <w:fldChar w:fldCharType="begin"/>
      </w:r>
      <w:r>
        <w:instrText xml:space="preserve"> HYPERLINK \l "_Toc32171" </w:instrText>
      </w:r>
      <w:r>
        <w:fldChar w:fldCharType="separate"/>
      </w:r>
      <w:r>
        <w:rPr>
          <w:rFonts w:hint="eastAsia" w:ascii="黑体" w:hAnsi="黑体" w:eastAsia="黑体" w:cs="黑体"/>
          <w:szCs w:val="22"/>
        </w:rPr>
        <w:t xml:space="preserve">五、磋商程序及最后报价</w:t>
      </w:r>
      <w:r>
        <w:tab/>
      </w:r>
      <w:r>
        <w:fldChar w:fldCharType="begin"/>
      </w:r>
      <w:r>
        <w:instrText xml:space="preserve"> PAGEREF _Toc32171 \h </w:instrText>
      </w:r>
      <w:r>
        <w:fldChar w:fldCharType="separate"/>
      </w:r>
      <w:r>
        <w:t xml:space="preserve">12</w:t>
      </w:r>
      <w:r>
        <w:fldChar w:fldCharType="end"/>
      </w:r>
      <w:r>
        <w:fldChar w:fldCharType="end"/>
      </w:r>
      <w:r/>
    </w:p>
    <w:p>
      <w:pPr>
        <w:pStyle w:val="844"/>
        <w:tabs>
          <w:tab w:val="right" w:pos="8953" w:leader="dot"/>
        </w:tabs>
      </w:pPr>
      <w:r>
        <w:fldChar w:fldCharType="begin"/>
      </w:r>
      <w:r>
        <w:instrText xml:space="preserve"> HYPERLINK \l "_Toc26591" </w:instrText>
      </w:r>
      <w:r>
        <w:fldChar w:fldCharType="separate"/>
      </w:r>
      <w:r>
        <w:rPr>
          <w:rFonts w:hint="eastAsia" w:ascii="黑体" w:hAnsi="黑体" w:eastAsia="黑体" w:cs="黑体"/>
          <w:szCs w:val="22"/>
        </w:rPr>
        <w:t xml:space="preserve">六、无效响应、采购活动终止、恶意串通及取消成交候选资格情形</w:t>
      </w:r>
      <w:r>
        <w:tab/>
      </w:r>
      <w:r>
        <w:fldChar w:fldCharType="begin"/>
      </w:r>
      <w:r>
        <w:instrText xml:space="preserve"> PAGEREF _Toc26591 \h </w:instrText>
      </w:r>
      <w:r>
        <w:fldChar w:fldCharType="separate"/>
      </w:r>
      <w:r>
        <w:t xml:space="preserve">15</w:t>
      </w:r>
      <w:r>
        <w:fldChar w:fldCharType="end"/>
      </w:r>
      <w:r>
        <w:fldChar w:fldCharType="end"/>
      </w:r>
      <w:r/>
    </w:p>
    <w:p>
      <w:pPr>
        <w:pStyle w:val="844"/>
        <w:tabs>
          <w:tab w:val="right" w:pos="8953" w:leader="dot"/>
        </w:tabs>
      </w:pPr>
      <w:r>
        <w:fldChar w:fldCharType="begin"/>
      </w:r>
      <w:r>
        <w:instrText xml:space="preserve"> HYPERLINK \l "_Toc32219" </w:instrText>
      </w:r>
      <w:r>
        <w:fldChar w:fldCharType="separate"/>
      </w:r>
      <w:r>
        <w:rPr>
          <w:rFonts w:hint="eastAsia" w:ascii="黑体" w:hAnsi="黑体" w:eastAsia="黑体" w:cs="黑体"/>
          <w:szCs w:val="22"/>
        </w:rPr>
        <w:t xml:space="preserve">七、成交及合同签订</w:t>
      </w:r>
      <w:r>
        <w:tab/>
      </w:r>
      <w:r>
        <w:fldChar w:fldCharType="begin"/>
      </w:r>
      <w:r>
        <w:instrText xml:space="preserve"> PAGEREF _Toc32219 \h </w:instrText>
      </w:r>
      <w:r>
        <w:fldChar w:fldCharType="separate"/>
      </w:r>
      <w:r>
        <w:t xml:space="preserve">17</w:t>
      </w:r>
      <w:r>
        <w:fldChar w:fldCharType="end"/>
      </w:r>
      <w:r>
        <w:fldChar w:fldCharType="end"/>
      </w:r>
      <w:r/>
    </w:p>
    <w:p>
      <w:pPr>
        <w:pStyle w:val="844"/>
        <w:tabs>
          <w:tab w:val="right" w:pos="8953" w:leader="dot"/>
        </w:tabs>
      </w:pPr>
      <w:r>
        <w:fldChar w:fldCharType="begin"/>
      </w:r>
      <w:r>
        <w:instrText xml:space="preserve"> HYPERLINK \l "_Toc1038" </w:instrText>
      </w:r>
      <w:r>
        <w:fldChar w:fldCharType="separate"/>
      </w:r>
      <w:r>
        <w:rPr>
          <w:rFonts w:hint="eastAsia" w:ascii="黑体" w:hAnsi="黑体" w:eastAsia="黑体" w:cs="黑体"/>
          <w:szCs w:val="22"/>
        </w:rPr>
        <w:t xml:space="preserve">八、质疑与投诉</w:t>
      </w:r>
      <w:r>
        <w:tab/>
      </w:r>
      <w:r>
        <w:fldChar w:fldCharType="begin"/>
      </w:r>
      <w:r>
        <w:instrText xml:space="preserve"> PAGEREF _Toc1038 \h </w:instrText>
      </w:r>
      <w:r>
        <w:fldChar w:fldCharType="separate"/>
      </w:r>
      <w:r>
        <w:t xml:space="preserve">19</w:t>
      </w:r>
      <w:r>
        <w:fldChar w:fldCharType="end"/>
      </w:r>
      <w:r>
        <w:fldChar w:fldCharType="end"/>
      </w:r>
      <w:r/>
    </w:p>
    <w:p>
      <w:pPr>
        <w:pStyle w:val="838"/>
        <w:tabs>
          <w:tab w:val="clear" w:pos="8943" w:leader="none"/>
          <w:tab w:val="right" w:pos="8953" w:leader="dot"/>
        </w:tabs>
        <w:rPr>
          <w:rFonts w:hint="eastAsia"/>
        </w:rPr>
      </w:pPr>
      <w:r>
        <w:fldChar w:fldCharType="begin"/>
      </w:r>
      <w:r>
        <w:instrText xml:space="preserve"> HYPERLINK \l "_Toc1842" </w:instrText>
      </w:r>
      <w:r>
        <w:fldChar w:fldCharType="separate"/>
      </w:r>
      <w:r>
        <w:rPr>
          <w:rFonts w:hint="eastAsia" w:ascii="Times New Roman" w:hAnsi="Times New Roman" w:eastAsia="黑体"/>
          <w:szCs w:val="44"/>
        </w:rPr>
        <w:t xml:space="preserve">第三章  合同文本</w:t>
      </w:r>
      <w:r>
        <w:tab/>
      </w:r>
      <w:r>
        <w:fldChar w:fldCharType="begin"/>
      </w:r>
      <w:r>
        <w:instrText xml:space="preserve"> PAGEREF _Toc1842 \h </w:instrText>
      </w:r>
      <w:r>
        <w:fldChar w:fldCharType="separate"/>
      </w:r>
      <w:r>
        <w:t xml:space="preserve">22</w:t>
      </w:r>
      <w:r>
        <w:fldChar w:fldCharType="end"/>
      </w:r>
      <w:r>
        <w:fldChar w:fldCharType="end"/>
      </w:r>
      <w:r/>
    </w:p>
    <w:p>
      <w:pPr>
        <w:pStyle w:val="838"/>
        <w:tabs>
          <w:tab w:val="clear" w:pos="8943" w:leader="none"/>
          <w:tab w:val="right" w:pos="8953" w:leader="dot"/>
        </w:tabs>
        <w:rPr>
          <w:rFonts w:hint="eastAsia"/>
        </w:rPr>
      </w:pPr>
      <w:r>
        <w:fldChar w:fldCharType="begin"/>
      </w:r>
      <w:r>
        <w:instrText xml:space="preserve"> HYPERLINK \l "_Toc12796" </w:instrText>
      </w:r>
      <w:r>
        <w:fldChar w:fldCharType="separate"/>
      </w:r>
      <w:r>
        <w:rPr>
          <w:rFonts w:hint="eastAsia" w:ascii="Times New Roman" w:hAnsi="Times New Roman" w:eastAsia="黑体"/>
          <w:szCs w:val="44"/>
        </w:rPr>
        <w:t xml:space="preserve">第四章  采购需求</w:t>
      </w:r>
      <w:r>
        <w:tab/>
      </w:r>
      <w:r>
        <w:fldChar w:fldCharType="begin"/>
      </w:r>
      <w:r>
        <w:instrText xml:space="preserve"> PAGEREF _Toc12796 \h </w:instrText>
      </w:r>
      <w:r>
        <w:fldChar w:fldCharType="separate"/>
      </w:r>
      <w:r>
        <w:t xml:space="preserve">49</w:t>
      </w:r>
      <w:r>
        <w:fldChar w:fldCharType="end"/>
      </w:r>
      <w:r>
        <w:fldChar w:fldCharType="end"/>
      </w:r>
      <w:r/>
    </w:p>
    <w:p>
      <w:pPr>
        <w:pStyle w:val="844"/>
        <w:tabs>
          <w:tab w:val="right" w:pos="8953" w:leader="dot"/>
        </w:tabs>
      </w:pPr>
      <w:r>
        <w:fldChar w:fldCharType="begin"/>
      </w:r>
      <w:r>
        <w:instrText xml:space="preserve"> HYPERLINK \l "_Toc29872" </w:instrText>
      </w:r>
      <w:r>
        <w:fldChar w:fldCharType="separate"/>
      </w:r>
      <w:r>
        <w:rPr>
          <w:rFonts w:hint="eastAsia" w:ascii="宋体" w:hAnsi="宋体" w:cs="宋体"/>
          <w:szCs w:val="28"/>
        </w:rPr>
        <w:t xml:space="preserve">一、采购标的清单</w:t>
      </w:r>
      <w:r>
        <w:tab/>
      </w:r>
      <w:r>
        <w:fldChar w:fldCharType="begin"/>
      </w:r>
      <w:r>
        <w:instrText xml:space="preserve"> PAGEREF _Toc29872 \h </w:instrText>
      </w:r>
      <w:r>
        <w:fldChar w:fldCharType="separate"/>
      </w:r>
      <w:r>
        <w:t xml:space="preserve">49</w:t>
      </w:r>
      <w:r>
        <w:fldChar w:fldCharType="end"/>
      </w:r>
      <w:r>
        <w:fldChar w:fldCharType="end"/>
      </w:r>
      <w:r/>
    </w:p>
    <w:p>
      <w:pPr>
        <w:pStyle w:val="844"/>
        <w:tabs>
          <w:tab w:val="right" w:pos="8953" w:leader="dot"/>
        </w:tabs>
      </w:pPr>
      <w:r>
        <w:fldChar w:fldCharType="begin"/>
      </w:r>
      <w:r>
        <w:instrText xml:space="preserve"> HYPERLINK \l "_Toc1097" </w:instrText>
      </w:r>
      <w:r>
        <w:fldChar w:fldCharType="separate"/>
      </w:r>
      <w:r>
        <w:rPr>
          <w:rFonts w:hint="eastAsia" w:ascii="宋体" w:hAnsi="宋体" w:cs="宋体"/>
          <w:szCs w:val="28"/>
        </w:rPr>
        <w:t xml:space="preserve">二、项目概况</w:t>
      </w:r>
      <w:r>
        <w:tab/>
      </w:r>
      <w:r>
        <w:fldChar w:fldCharType="begin"/>
      </w:r>
      <w:r>
        <w:instrText xml:space="preserve"> PAGEREF _Toc1097 \h </w:instrText>
      </w:r>
      <w:r>
        <w:fldChar w:fldCharType="separate"/>
      </w:r>
      <w:r>
        <w:t xml:space="preserve">49</w:t>
      </w:r>
      <w:r>
        <w:fldChar w:fldCharType="end"/>
      </w:r>
      <w:r>
        <w:fldChar w:fldCharType="end"/>
      </w:r>
      <w:r/>
    </w:p>
    <w:p>
      <w:pPr>
        <w:pStyle w:val="844"/>
        <w:tabs>
          <w:tab w:val="right" w:pos="8953" w:leader="dot"/>
        </w:tabs>
      </w:pPr>
      <w:r>
        <w:fldChar w:fldCharType="begin"/>
      </w:r>
      <w:r>
        <w:instrText xml:space="preserve"> HYPERLINK \l "_Toc11152" </w:instrText>
      </w:r>
      <w:r>
        <w:fldChar w:fldCharType="separate"/>
      </w:r>
      <w:r>
        <w:rPr>
          <w:rFonts w:hint="eastAsia" w:ascii="宋体" w:hAnsi="宋体" w:cs="宋体"/>
          <w:szCs w:val="28"/>
        </w:rPr>
        <w:t xml:space="preserve">三、商务要求</w:t>
      </w:r>
      <w:r>
        <w:tab/>
      </w:r>
      <w:r>
        <w:fldChar w:fldCharType="begin"/>
      </w:r>
      <w:r>
        <w:instrText xml:space="preserve"> PAGEREF _Toc11152 \h </w:instrText>
      </w:r>
      <w:r>
        <w:fldChar w:fldCharType="separate"/>
      </w:r>
      <w:r>
        <w:t xml:space="preserve">49</w:t>
      </w:r>
      <w:r>
        <w:fldChar w:fldCharType="end"/>
      </w:r>
      <w:r>
        <w:fldChar w:fldCharType="end"/>
      </w:r>
      <w:r/>
    </w:p>
    <w:p>
      <w:pPr>
        <w:pStyle w:val="844"/>
        <w:tabs>
          <w:tab w:val="right" w:pos="8953" w:leader="dot"/>
        </w:tabs>
      </w:pPr>
      <w:r>
        <w:fldChar w:fldCharType="begin"/>
      </w:r>
      <w:r>
        <w:instrText xml:space="preserve"> HYPERLINK \l "_Toc23549" </w:instrText>
      </w:r>
      <w:r>
        <w:fldChar w:fldCharType="separate"/>
      </w:r>
      <w:r>
        <w:rPr>
          <w:rFonts w:hint="eastAsia" w:ascii="宋体" w:hAnsi="宋体" w:cs="宋体"/>
          <w:szCs w:val="28"/>
        </w:rPr>
        <w:t xml:space="preserve">四、图纸、工程量清单</w:t>
      </w:r>
      <w:r>
        <w:tab/>
      </w:r>
      <w:r>
        <w:fldChar w:fldCharType="begin"/>
      </w:r>
      <w:r>
        <w:instrText xml:space="preserve"> PAGEREF _Toc23549 \h </w:instrText>
      </w:r>
      <w:r>
        <w:fldChar w:fldCharType="separate"/>
      </w:r>
      <w:r>
        <w:t xml:space="preserve">50</w:t>
      </w:r>
      <w:r>
        <w:fldChar w:fldCharType="end"/>
      </w:r>
      <w:r>
        <w:fldChar w:fldCharType="end"/>
      </w:r>
      <w:r/>
    </w:p>
    <w:p>
      <w:pPr>
        <w:pStyle w:val="844"/>
        <w:tabs>
          <w:tab w:val="right" w:pos="8953" w:leader="dot"/>
        </w:tabs>
      </w:pPr>
      <w:r>
        <w:fldChar w:fldCharType="begin"/>
      </w:r>
      <w:r>
        <w:instrText xml:space="preserve"> HYPERLINK \l "_Toc7840" </w:instrText>
      </w:r>
      <w:r>
        <w:fldChar w:fldCharType="separate"/>
      </w:r>
      <w:r>
        <w:rPr>
          <w:rFonts w:hint="eastAsia" w:ascii="宋体" w:hAnsi="宋体" w:cs="宋体"/>
          <w:szCs w:val="28"/>
        </w:rPr>
        <w:t xml:space="preserve">五、技术要求</w:t>
      </w:r>
      <w:r>
        <w:tab/>
      </w:r>
      <w:r>
        <w:fldChar w:fldCharType="begin"/>
      </w:r>
      <w:r>
        <w:instrText xml:space="preserve"> PAGEREF _Toc7840 \h </w:instrText>
      </w:r>
      <w:r>
        <w:fldChar w:fldCharType="separate"/>
      </w:r>
      <w:r>
        <w:t xml:space="preserve">50</w:t>
      </w:r>
      <w:r>
        <w:fldChar w:fldCharType="end"/>
      </w:r>
      <w:r>
        <w:fldChar w:fldCharType="end"/>
      </w:r>
      <w:r/>
    </w:p>
    <w:p>
      <w:pPr>
        <w:pStyle w:val="844"/>
        <w:tabs>
          <w:tab w:val="right" w:pos="8953" w:leader="dot"/>
        </w:tabs>
      </w:pPr>
      <w:r>
        <w:fldChar w:fldCharType="begin"/>
      </w:r>
      <w:r>
        <w:instrText xml:space="preserve"> HYPERLINK \l "_Toc18152" </w:instrText>
      </w:r>
      <w:r>
        <w:fldChar w:fldCharType="separate"/>
      </w:r>
      <w:r>
        <w:rPr>
          <w:rFonts w:hint="eastAsia" w:ascii="宋体" w:hAnsi="宋体" w:cs="宋体"/>
          <w:szCs w:val="28"/>
        </w:rPr>
        <w:t xml:space="preserve">六、施工配合</w:t>
      </w:r>
      <w:r>
        <w:tab/>
      </w:r>
      <w:r>
        <w:fldChar w:fldCharType="begin"/>
      </w:r>
      <w:r>
        <w:instrText xml:space="preserve"> PAGEREF _Toc18152 \h </w:instrText>
      </w:r>
      <w:r>
        <w:fldChar w:fldCharType="separate"/>
      </w:r>
      <w:r>
        <w:t xml:space="preserve">50</w:t>
      </w:r>
      <w:r>
        <w:fldChar w:fldCharType="end"/>
      </w:r>
      <w:r>
        <w:fldChar w:fldCharType="end"/>
      </w:r>
      <w:r/>
    </w:p>
    <w:p>
      <w:pPr>
        <w:pStyle w:val="844"/>
        <w:tabs>
          <w:tab w:val="right" w:pos="8953" w:leader="dot"/>
        </w:tabs>
      </w:pPr>
      <w:r>
        <w:fldChar w:fldCharType="begin"/>
      </w:r>
      <w:r>
        <w:instrText xml:space="preserve"> HYPERLINK \l "_Toc31146" </w:instrText>
      </w:r>
      <w:r>
        <w:fldChar w:fldCharType="separate"/>
      </w:r>
      <w:r>
        <w:rPr>
          <w:rFonts w:hint="eastAsia" w:ascii="宋体" w:hAnsi="宋体" w:cs="宋体"/>
          <w:szCs w:val="28"/>
        </w:rPr>
        <w:t xml:space="preserve">七、项目实施方案</w:t>
      </w:r>
      <w:r>
        <w:tab/>
      </w:r>
      <w:r>
        <w:fldChar w:fldCharType="begin"/>
      </w:r>
      <w:r>
        <w:instrText xml:space="preserve"> PAGEREF _Toc31146 \h </w:instrText>
      </w:r>
      <w:r>
        <w:fldChar w:fldCharType="separate"/>
      </w:r>
      <w:r>
        <w:t xml:space="preserve">51</w:t>
      </w:r>
      <w:r>
        <w:fldChar w:fldCharType="end"/>
      </w:r>
      <w:r>
        <w:fldChar w:fldCharType="end"/>
      </w:r>
      <w:r/>
    </w:p>
    <w:p>
      <w:pPr>
        <w:pStyle w:val="844"/>
        <w:tabs>
          <w:tab w:val="right" w:pos="8953" w:leader="dot"/>
        </w:tabs>
      </w:pPr>
      <w:r>
        <w:fldChar w:fldCharType="begin"/>
      </w:r>
      <w:r>
        <w:instrText xml:space="preserve"> HYPERLINK \l "_Toc10751" </w:instrText>
      </w:r>
      <w:r>
        <w:fldChar w:fldCharType="separate"/>
      </w:r>
      <w:r>
        <w:rPr>
          <w:rFonts w:hint="eastAsia" w:ascii="宋体" w:hAnsi="宋体" w:cs="宋体"/>
          <w:szCs w:val="28"/>
        </w:rPr>
        <w:t xml:space="preserve">八、报价及其他要求</w:t>
      </w:r>
      <w:r>
        <w:tab/>
      </w:r>
      <w:r>
        <w:fldChar w:fldCharType="begin"/>
      </w:r>
      <w:r>
        <w:instrText xml:space="preserve"> PAGEREF _Toc10751 \h </w:instrText>
      </w:r>
      <w:r>
        <w:fldChar w:fldCharType="separate"/>
      </w:r>
      <w:r>
        <w:t xml:space="preserve">51</w:t>
      </w:r>
      <w:r>
        <w:fldChar w:fldCharType="end"/>
      </w:r>
      <w:r>
        <w:fldChar w:fldCharType="end"/>
      </w:r>
      <w:r/>
    </w:p>
    <w:p>
      <w:pPr>
        <w:pStyle w:val="844"/>
        <w:tabs>
          <w:tab w:val="right" w:pos="8953" w:leader="dot"/>
        </w:tabs>
      </w:pPr>
      <w:r>
        <w:fldChar w:fldCharType="begin"/>
      </w:r>
      <w:r>
        <w:instrText xml:space="preserve"> HYPERLINK \l "_Toc7389" </w:instrText>
      </w:r>
      <w:r>
        <w:fldChar w:fldCharType="separate"/>
      </w:r>
      <w:r>
        <w:rPr>
          <w:rFonts w:hint="eastAsia" w:ascii="宋体" w:hAnsi="宋体" w:cs="宋体"/>
          <w:szCs w:val="28"/>
        </w:rPr>
        <w:t xml:space="preserve">九、快递包装环保要求</w:t>
      </w:r>
      <w:r>
        <w:tab/>
      </w:r>
      <w:r>
        <w:fldChar w:fldCharType="begin"/>
      </w:r>
      <w:r>
        <w:instrText xml:space="preserve"> PAGEREF _Toc7389 \h </w:instrText>
      </w:r>
      <w:r>
        <w:fldChar w:fldCharType="separate"/>
      </w:r>
      <w:r>
        <w:t xml:space="preserve">52</w:t>
      </w:r>
      <w:r>
        <w:fldChar w:fldCharType="end"/>
      </w:r>
      <w:r>
        <w:fldChar w:fldCharType="end"/>
      </w:r>
      <w:r/>
    </w:p>
    <w:p>
      <w:pPr>
        <w:pStyle w:val="838"/>
        <w:tabs>
          <w:tab w:val="clear" w:pos="8943" w:leader="none"/>
          <w:tab w:val="right" w:pos="8953" w:leader="dot"/>
        </w:tabs>
        <w:rPr>
          <w:rFonts w:hint="eastAsia"/>
        </w:rPr>
      </w:pPr>
      <w:r>
        <w:fldChar w:fldCharType="begin"/>
      </w:r>
      <w:r>
        <w:instrText xml:space="preserve"> HYPERLINK \l "_Toc24476" </w:instrText>
      </w:r>
      <w:r>
        <w:fldChar w:fldCharType="separate"/>
      </w:r>
      <w:r>
        <w:rPr>
          <w:rFonts w:hint="eastAsia" w:ascii="Times New Roman" w:hAnsi="Times New Roman" w:eastAsia="黑体"/>
          <w:szCs w:val="44"/>
        </w:rPr>
        <w:t xml:space="preserve">第五章  评审方法与评审标准</w:t>
      </w:r>
      <w:r>
        <w:tab/>
      </w:r>
      <w:r>
        <w:fldChar w:fldCharType="begin"/>
      </w:r>
      <w:r>
        <w:instrText xml:space="preserve"> PAGEREF _Toc24476 \h </w:instrText>
      </w:r>
      <w:r>
        <w:fldChar w:fldCharType="separate"/>
      </w:r>
      <w:r>
        <w:t xml:space="preserve">54</w:t>
      </w:r>
      <w:r>
        <w:fldChar w:fldCharType="end"/>
      </w:r>
      <w:r>
        <w:fldChar w:fldCharType="end"/>
      </w:r>
      <w:r/>
    </w:p>
    <w:p>
      <w:pPr>
        <w:pStyle w:val="838"/>
        <w:tabs>
          <w:tab w:val="clear" w:pos="8943" w:leader="none"/>
          <w:tab w:val="right" w:pos="8953" w:leader="dot"/>
        </w:tabs>
        <w:rPr>
          <w:rFonts w:hint="eastAsia"/>
        </w:rPr>
      </w:pPr>
      <w:r>
        <w:fldChar w:fldCharType="begin"/>
      </w:r>
      <w:r>
        <w:instrText xml:space="preserve"> HYPERLINK \l "_Toc4228" </w:instrText>
      </w:r>
      <w:r>
        <w:fldChar w:fldCharType="separate"/>
      </w:r>
      <w:r>
        <w:rPr>
          <w:rFonts w:hint="eastAsia" w:ascii="Times New Roman" w:hAnsi="Times New Roman" w:eastAsia="黑体"/>
          <w:szCs w:val="44"/>
        </w:rPr>
        <w:t xml:space="preserve">第六章  响应文件格式</w:t>
      </w:r>
      <w:r>
        <w:tab/>
      </w:r>
      <w:r>
        <w:fldChar w:fldCharType="begin"/>
      </w:r>
      <w:r>
        <w:instrText xml:space="preserve"> PAGEREF _Toc4228 \h </w:instrText>
      </w:r>
      <w:r>
        <w:fldChar w:fldCharType="separate"/>
      </w:r>
      <w:r>
        <w:t xml:space="preserve">58</w:t>
      </w:r>
      <w:r>
        <w:fldChar w:fldCharType="end"/>
      </w:r>
      <w:r>
        <w:fldChar w:fldCharType="end"/>
      </w:r>
      <w:r/>
    </w:p>
    <w:p>
      <w:pPr>
        <w:pStyle w:val="833"/>
        <w:tabs>
          <w:tab w:val="clear" w:pos="8943" w:leader="none"/>
          <w:tab w:val="right" w:pos="8953" w:leader="dot"/>
        </w:tabs>
      </w:pPr>
      <w:r>
        <w:fldChar w:fldCharType="begin"/>
      </w:r>
      <w:r>
        <w:instrText xml:space="preserve"> HYPERLINK \l "_Toc28878" </w:instrText>
      </w:r>
      <w:r>
        <w:fldChar w:fldCharType="separate"/>
      </w:r>
      <w:r>
        <w:rPr>
          <w:rFonts w:hint="eastAsia" w:ascii="宋体" w:hAnsi="宋体" w:cs="宋体"/>
          <w:bCs/>
          <w:szCs w:val="32"/>
        </w:rPr>
        <w:t xml:space="preserve">一、磋商响应函</w:t>
      </w:r>
      <w:r>
        <w:tab/>
      </w:r>
      <w:r>
        <w:fldChar w:fldCharType="begin"/>
      </w:r>
      <w:r>
        <w:instrText xml:space="preserve"> PAGEREF _Toc28878 \h </w:instrText>
      </w:r>
      <w:r>
        <w:fldChar w:fldCharType="separate"/>
      </w:r>
      <w:r>
        <w:t xml:space="preserve">60</w:t>
      </w:r>
      <w:r>
        <w:fldChar w:fldCharType="end"/>
      </w:r>
      <w:r>
        <w:fldChar w:fldCharType="end"/>
      </w:r>
      <w:r/>
    </w:p>
    <w:p>
      <w:pPr>
        <w:pStyle w:val="833"/>
        <w:tabs>
          <w:tab w:val="clear" w:pos="8943" w:leader="none"/>
          <w:tab w:val="right" w:pos="8953" w:leader="dot"/>
        </w:tabs>
      </w:pPr>
      <w:r>
        <w:fldChar w:fldCharType="begin"/>
      </w:r>
      <w:r>
        <w:instrText xml:space="preserve"> HYPERLINK \l "_Toc7070" </w:instrText>
      </w:r>
      <w:r>
        <w:fldChar w:fldCharType="separate"/>
      </w:r>
      <w:r>
        <w:rPr>
          <w:rFonts w:hint="eastAsia" w:ascii="宋体" w:hAnsi="宋体" w:cs="宋体"/>
          <w:bCs/>
          <w:szCs w:val="32"/>
        </w:rPr>
        <w:t xml:space="preserve">二、特定资格要求的证明文件</w:t>
      </w:r>
      <w:r>
        <w:tab/>
      </w:r>
      <w:r>
        <w:fldChar w:fldCharType="begin"/>
      </w:r>
      <w:r>
        <w:instrText xml:space="preserve"> PAGEREF _Toc7070 \h </w:instrText>
      </w:r>
      <w:r>
        <w:fldChar w:fldCharType="separate"/>
      </w:r>
      <w:r>
        <w:t xml:space="preserve">61</w:t>
      </w:r>
      <w:r>
        <w:fldChar w:fldCharType="end"/>
      </w:r>
      <w:r>
        <w:fldChar w:fldCharType="end"/>
      </w:r>
      <w:r/>
    </w:p>
    <w:p>
      <w:pPr>
        <w:pStyle w:val="833"/>
        <w:tabs>
          <w:tab w:val="clear" w:pos="8943" w:leader="none"/>
          <w:tab w:val="right" w:pos="8953" w:leader="dot"/>
        </w:tabs>
      </w:pPr>
      <w:r>
        <w:fldChar w:fldCharType="begin"/>
      </w:r>
      <w:r>
        <w:instrText xml:space="preserve"> HYPERLINK \l "_Toc2586" </w:instrText>
      </w:r>
      <w:r>
        <w:fldChar w:fldCharType="separate"/>
      </w:r>
      <w:r>
        <w:rPr>
          <w:rFonts w:hint="eastAsia" w:ascii="宋体" w:hAnsi="宋体" w:cs="宋体"/>
          <w:bCs/>
          <w:szCs w:val="32"/>
        </w:rPr>
        <w:t xml:space="preserve">三、法人授权书</w:t>
      </w:r>
      <w:r>
        <w:tab/>
      </w:r>
      <w:r>
        <w:fldChar w:fldCharType="begin"/>
      </w:r>
      <w:r>
        <w:instrText xml:space="preserve"> PAGEREF _Toc2586 \h </w:instrText>
      </w:r>
      <w:r>
        <w:fldChar w:fldCharType="separate"/>
      </w:r>
      <w:r>
        <w:t xml:space="preserve">62</w:t>
      </w:r>
      <w:r>
        <w:fldChar w:fldCharType="end"/>
      </w:r>
      <w:r>
        <w:fldChar w:fldCharType="end"/>
      </w:r>
      <w:r/>
    </w:p>
    <w:p>
      <w:pPr>
        <w:pStyle w:val="833"/>
        <w:tabs>
          <w:tab w:val="clear" w:pos="8943" w:leader="none"/>
          <w:tab w:val="right" w:pos="8953" w:leader="dot"/>
        </w:tabs>
      </w:pPr>
      <w:r>
        <w:fldChar w:fldCharType="begin"/>
      </w:r>
      <w:r>
        <w:instrText xml:space="preserve"> HYPERLINK \l "_Toc15376" </w:instrText>
      </w:r>
      <w:r>
        <w:fldChar w:fldCharType="separate"/>
      </w:r>
      <w:r>
        <w:rPr>
          <w:rFonts w:hint="eastAsia" w:ascii="宋体" w:hAnsi="宋体" w:cs="宋体"/>
          <w:bCs/>
          <w:szCs w:val="32"/>
        </w:rPr>
        <w:t xml:space="preserve">四、中小企业或残疾人福利性单位声明函</w:t>
      </w:r>
      <w:r>
        <w:tab/>
      </w:r>
      <w:r>
        <w:fldChar w:fldCharType="begin"/>
      </w:r>
      <w:r>
        <w:instrText xml:space="preserve"> PAGEREF _Toc15376 \h </w:instrText>
      </w:r>
      <w:r>
        <w:fldChar w:fldCharType="separate"/>
      </w:r>
      <w:r>
        <w:t xml:space="preserve">63</w:t>
      </w:r>
      <w:r>
        <w:fldChar w:fldCharType="end"/>
      </w:r>
      <w:r>
        <w:fldChar w:fldCharType="end"/>
      </w:r>
      <w:r/>
    </w:p>
    <w:p>
      <w:pPr>
        <w:pStyle w:val="833"/>
        <w:tabs>
          <w:tab w:val="clear" w:pos="8943" w:leader="none"/>
          <w:tab w:val="right" w:pos="8953" w:leader="dot"/>
        </w:tabs>
      </w:pPr>
      <w:r>
        <w:fldChar w:fldCharType="begin"/>
      </w:r>
      <w:r>
        <w:instrText xml:space="preserve"> HYPERLINK \l "_Toc3936" </w:instrText>
      </w:r>
      <w:r>
        <w:fldChar w:fldCharType="separate"/>
      </w:r>
      <w:r>
        <w:rPr>
          <w:rFonts w:hint="eastAsia" w:ascii="宋体" w:hAnsi="宋体" w:cs="宋体"/>
          <w:bCs/>
          <w:szCs w:val="32"/>
        </w:rPr>
        <w:t xml:space="preserve">五、已标价的工程量清单</w:t>
      </w:r>
      <w:r>
        <w:tab/>
      </w:r>
      <w:r>
        <w:fldChar w:fldCharType="begin"/>
      </w:r>
      <w:r>
        <w:instrText xml:space="preserve"> PAGEREF _Toc3936 \h </w:instrText>
      </w:r>
      <w:r>
        <w:fldChar w:fldCharType="separate"/>
      </w:r>
      <w:r>
        <w:t xml:space="preserve">65</w:t>
      </w:r>
      <w:r>
        <w:fldChar w:fldCharType="end"/>
      </w:r>
      <w:r>
        <w:fldChar w:fldCharType="end"/>
      </w:r>
      <w:r/>
    </w:p>
    <w:p>
      <w:pPr>
        <w:pStyle w:val="833"/>
        <w:tabs>
          <w:tab w:val="clear" w:pos="8943" w:leader="none"/>
          <w:tab w:val="right" w:pos="8953" w:leader="dot"/>
        </w:tabs>
      </w:pPr>
      <w:r>
        <w:fldChar w:fldCharType="begin"/>
      </w:r>
      <w:r>
        <w:instrText xml:space="preserve"> HYPERLINK \l "_Toc30087" </w:instrText>
      </w:r>
      <w:r>
        <w:fldChar w:fldCharType="separate"/>
      </w:r>
      <w:r>
        <w:rPr>
          <w:rFonts w:hint="eastAsia" w:ascii="宋体" w:hAnsi="宋体" w:cs="宋体"/>
          <w:bCs/>
          <w:szCs w:val="32"/>
        </w:rPr>
        <w:t xml:space="preserve">六、项目实施方案</w:t>
      </w:r>
      <w:r>
        <w:tab/>
      </w:r>
      <w:r>
        <w:fldChar w:fldCharType="begin"/>
      </w:r>
      <w:r>
        <w:instrText xml:space="preserve"> PAGEREF _Toc30087 \h </w:instrText>
      </w:r>
      <w:r>
        <w:fldChar w:fldCharType="separate"/>
      </w:r>
      <w:r>
        <w:t xml:space="preserve">68</w:t>
      </w:r>
      <w:r>
        <w:fldChar w:fldCharType="end"/>
      </w:r>
      <w:r>
        <w:fldChar w:fldCharType="end"/>
      </w:r>
      <w:r/>
    </w:p>
    <w:p>
      <w:pPr>
        <w:pStyle w:val="833"/>
        <w:tabs>
          <w:tab w:val="clear" w:pos="8943" w:leader="none"/>
          <w:tab w:val="right" w:pos="8953" w:leader="dot"/>
        </w:tabs>
      </w:pPr>
      <w:r>
        <w:fldChar w:fldCharType="begin"/>
      </w:r>
      <w:r>
        <w:instrText xml:space="preserve"> HYPERLINK \l "_Toc4030" </w:instrText>
      </w:r>
      <w:r>
        <w:fldChar w:fldCharType="separate"/>
      </w:r>
      <w:r>
        <w:rPr>
          <w:rFonts w:hint="eastAsia" w:ascii="宋体" w:hAnsi="宋体" w:cs="宋体"/>
          <w:bCs/>
          <w:szCs w:val="32"/>
        </w:rPr>
        <w:t xml:space="preserve">七、项目组人员</w:t>
      </w:r>
      <w:r>
        <w:tab/>
      </w:r>
      <w:r>
        <w:fldChar w:fldCharType="begin"/>
      </w:r>
      <w:r>
        <w:instrText xml:space="preserve"> PAGEREF _Toc4030 \h </w:instrText>
      </w:r>
      <w:r>
        <w:fldChar w:fldCharType="separate"/>
      </w:r>
      <w:r>
        <w:t xml:space="preserve">69</w:t>
      </w:r>
      <w:r>
        <w:fldChar w:fldCharType="end"/>
      </w:r>
      <w:r>
        <w:fldChar w:fldCharType="end"/>
      </w:r>
      <w:r/>
    </w:p>
    <w:p>
      <w:pPr>
        <w:pStyle w:val="833"/>
        <w:tabs>
          <w:tab w:val="clear" w:pos="8943" w:leader="none"/>
          <w:tab w:val="right" w:pos="8953" w:leader="dot"/>
        </w:tabs>
      </w:pPr>
      <w:r>
        <w:fldChar w:fldCharType="begin"/>
      </w:r>
      <w:r>
        <w:instrText xml:space="preserve"> HYPERLINK \l "_Toc21572" </w:instrText>
      </w:r>
      <w:r>
        <w:fldChar w:fldCharType="separate"/>
      </w:r>
      <w:r>
        <w:rPr>
          <w:rFonts w:hint="eastAsia" w:ascii="宋体" w:hAnsi="宋体" w:cs="宋体"/>
          <w:bCs/>
          <w:szCs w:val="32"/>
        </w:rPr>
        <w:t xml:space="preserve">八、企业业绩</w:t>
      </w:r>
      <w:r>
        <w:tab/>
      </w:r>
      <w:r>
        <w:fldChar w:fldCharType="begin"/>
      </w:r>
      <w:r>
        <w:instrText xml:space="preserve"> PAGEREF _Toc21572 \h </w:instrText>
      </w:r>
      <w:r>
        <w:fldChar w:fldCharType="separate"/>
      </w:r>
      <w:r>
        <w:t xml:space="preserve">72</w:t>
      </w:r>
      <w:r>
        <w:fldChar w:fldCharType="end"/>
      </w:r>
      <w:r>
        <w:fldChar w:fldCharType="end"/>
      </w:r>
      <w:r/>
    </w:p>
    <w:p>
      <w:pPr>
        <w:pStyle w:val="833"/>
        <w:tabs>
          <w:tab w:val="clear" w:pos="8943" w:leader="none"/>
          <w:tab w:val="right" w:pos="8953" w:leader="dot"/>
        </w:tabs>
      </w:pPr>
      <w:r>
        <w:fldChar w:fldCharType="begin"/>
      </w:r>
      <w:r>
        <w:instrText xml:space="preserve"> HYPERLINK \l "_Toc8610" </w:instrText>
      </w:r>
      <w:r>
        <w:fldChar w:fldCharType="separate"/>
      </w:r>
      <w:r>
        <w:rPr>
          <w:rFonts w:hint="eastAsia" w:ascii="宋体" w:hAnsi="宋体" w:cs="宋体"/>
          <w:bCs/>
          <w:szCs w:val="32"/>
        </w:rPr>
        <w:t xml:space="preserve">九、磋商所需其他材料</w:t>
      </w:r>
      <w:r>
        <w:tab/>
      </w:r>
      <w:r>
        <w:fldChar w:fldCharType="begin"/>
      </w:r>
      <w:r>
        <w:instrText xml:space="preserve"> PAGEREF _Toc8610 \h </w:instrText>
      </w:r>
      <w:r>
        <w:fldChar w:fldCharType="separate"/>
      </w:r>
      <w:r>
        <w:t xml:space="preserve">73</w:t>
      </w:r>
      <w:r>
        <w:fldChar w:fldCharType="end"/>
      </w:r>
      <w:r>
        <w:fldChar w:fldCharType="end"/>
      </w:r>
      <w:r/>
    </w:p>
    <w:p>
      <w:r>
        <w:rPr>
          <w:rFonts w:ascii="宋体" w:hAnsi="宋体"/>
          <w:szCs w:val="24"/>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Times New Roman" w:hAnsi="Times New Roman" w:eastAsia="黑体"/>
          <w:sz w:val="44"/>
          <w:szCs w:val="44"/>
        </w:rPr>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59" w:name="_GoBack"/>
      <w:r/>
      <w:bookmarkEnd w:id="759"/>
      <w:r/>
      <w:r/>
    </w:p>
    <w:p>
      <w:pPr>
        <w:jc w:val="center"/>
        <w:keepNext/>
        <w:rPr>
          <w:rFonts w:ascii="Times New Roman" w:hAnsi="Times New Roman" w:eastAsia="黑体"/>
          <w:sz w:val="44"/>
          <w:szCs w:val="44"/>
        </w:rPr>
        <w:outlineLvl w:val="0"/>
      </w:pPr>
      <w:r/>
      <w:bookmarkStart w:id="6" w:name="_Toc15483"/>
      <w:r>
        <w:rPr>
          <w:rFonts w:hint="eastAsia" w:ascii="Times New Roman" w:hAnsi="Times New Roman" w:eastAsia="黑体"/>
          <w:sz w:val="44"/>
          <w:szCs w:val="44"/>
        </w:rPr>
        <w:t xml:space="preserve">第一章  </w:t>
      </w:r>
      <w:bookmarkEnd w:id="0"/>
      <w:r>
        <w:rPr>
          <w:rFonts w:hint="eastAsia" w:ascii="Times New Roman" w:hAnsi="Times New Roman" w:eastAsia="黑体"/>
          <w:sz w:val="44"/>
          <w:szCs w:val="44"/>
        </w:rPr>
        <w:t xml:space="preserve">磋商邀请</w:t>
      </w:r>
      <w:bookmarkEnd w:id="6"/>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受</w:t>
      </w:r>
      <w:r>
        <w:rPr>
          <w:rFonts w:hint="eastAsia" w:ascii="Times New Roman" w:hAnsi="Times New Roman"/>
          <w:sz w:val="24"/>
          <w:szCs w:val="24"/>
          <w:u w:val="single"/>
        </w:rPr>
        <w:t xml:space="preserve">宿迁市湖滨新区住房和城乡建设局</w:t>
      </w:r>
      <w:r>
        <w:rPr>
          <w:rFonts w:hint="eastAsia" w:ascii="Times New Roman" w:hAnsi="Times New Roman"/>
          <w:sz w:val="24"/>
          <w:szCs w:val="24"/>
        </w:rPr>
        <w:t xml:space="preserve">的委托，</w:t>
      </w:r>
      <w:r>
        <w:rPr>
          <w:rFonts w:hint="eastAsia" w:ascii="Times New Roman" w:hAnsi="Times New Roman"/>
          <w:sz w:val="24"/>
          <w:szCs w:val="24"/>
          <w:u w:val="single"/>
        </w:rPr>
        <w:t xml:space="preserve">江苏大业工程管理咨询有限公司</w:t>
      </w:r>
      <w:r>
        <w:rPr>
          <w:rFonts w:hint="eastAsia" w:ascii="Times New Roman" w:hAnsi="Times New Roman"/>
          <w:sz w:val="24"/>
          <w:szCs w:val="24"/>
        </w:rPr>
        <w:t xml:space="preserve">就</w:t>
      </w:r>
      <w:r>
        <w:rPr>
          <w:rFonts w:hint="eastAsia" w:ascii="Times New Roman" w:hAnsi="Times New Roman"/>
          <w:sz w:val="24"/>
          <w:szCs w:val="24"/>
          <w:u w:val="single"/>
        </w:rPr>
        <w:t xml:space="preserve">湖滨新区排水管网零星更新改造</w:t>
      </w:r>
      <w:r>
        <w:rPr>
          <w:rFonts w:hint="eastAsia" w:ascii="Times New Roman" w:hAnsi="Times New Roman"/>
          <w:sz w:val="24"/>
          <w:szCs w:val="24"/>
          <w:u w:val="single"/>
        </w:rPr>
        <w:t xml:space="preserve">工程</w:t>
      </w:r>
      <w:r>
        <w:rPr>
          <w:rFonts w:hint="eastAsia" w:ascii="Times New Roman" w:hAnsi="Times New Roman"/>
          <w:sz w:val="24"/>
          <w:szCs w:val="24"/>
          <w:highlight w:val="none"/>
        </w:rPr>
        <w:t xml:space="preserve">（JSZC-321392-DYGC-C2026-0001）</w:t>
      </w:r>
      <w:r>
        <w:rPr>
          <w:rFonts w:hint="eastAsia" w:ascii="Times New Roman" w:hAnsi="Times New Roman"/>
          <w:sz w:val="24"/>
          <w:szCs w:val="24"/>
        </w:rPr>
        <w:t xml:space="preserve">进行竞争性磋商采购，欢迎符合条件的供应商参加磋商。</w:t>
      </w:r>
      <w:r/>
    </w:p>
    <w:p>
      <w:pPr>
        <w:ind w:firstLine="480"/>
        <w:spacing w:line="500" w:lineRule="exact"/>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rPr>
        <w:t xml:space="preserve">项目概况</w:t>
      </w:r>
      <w:r/>
    </w:p>
    <w:p>
      <w:pPr>
        <w:ind w:firstLine="480"/>
        <w:spacing w:line="500" w:lineRule="exact"/>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u w:val="single"/>
        </w:rPr>
        <w:t xml:space="preserve">湖滨新区排水管网零星更新改造</w:t>
      </w:r>
      <w:r>
        <w:rPr>
          <w:rFonts w:hint="eastAsia" w:ascii="Times New Roman" w:hAnsi="Times New Roman"/>
          <w:sz w:val="24"/>
          <w:szCs w:val="24"/>
          <w:u w:val="single"/>
        </w:rPr>
        <w:t xml:space="preserve">工程</w:t>
      </w:r>
      <w:r>
        <w:rPr>
          <w:rFonts w:hint="eastAsia" w:ascii="Times New Roman" w:hAnsi="Times New Roman"/>
          <w:sz w:val="24"/>
          <w:szCs w:val="24"/>
        </w:rPr>
        <w:t xml:space="preserve">的潜在供应商可在</w:t>
      </w:r>
      <w:r>
        <w:rPr>
          <w:rFonts w:hint="eastAsia" w:ascii="Times New Roman" w:hAnsi="Times New Roman"/>
          <w:sz w:val="24"/>
          <w:szCs w:val="24"/>
          <w:u w:val="none"/>
        </w:rPr>
        <w:t xml:space="preserve">“江苏政府采购网”、“宿迁市政府采购网”自行免费</w:t>
      </w:r>
      <w:r>
        <w:rPr>
          <w:rFonts w:hint="eastAsia" w:ascii="Times New Roman" w:hAnsi="Times New Roman"/>
          <w:sz w:val="24"/>
          <w:szCs w:val="24"/>
          <w:u w:val="none"/>
          <w:lang w:val="en-US" w:eastAsia="zh-CN"/>
        </w:rPr>
        <w:t xml:space="preserve">获取</w:t>
      </w:r>
      <w:r>
        <w:rPr>
          <w:rFonts w:hint="eastAsia" w:ascii="Times New Roman" w:hAnsi="Times New Roman"/>
          <w:sz w:val="24"/>
          <w:szCs w:val="24"/>
          <w:u w:val="none"/>
        </w:rPr>
        <w:t xml:space="preserve">磋商文件</w:t>
      </w:r>
      <w:r>
        <w:rPr>
          <w:rFonts w:hint="eastAsia" w:ascii="Times New Roman" w:hAnsi="Times New Roman"/>
          <w:sz w:val="24"/>
          <w:szCs w:val="24"/>
        </w:rPr>
        <w:t xml:space="preserve">，并于</w:t>
      </w:r>
      <w:r>
        <w:rPr>
          <w:rFonts w:hint="eastAsia" w:ascii="Times New Roman" w:hAnsi="Times New Roman"/>
          <w:sz w:val="24"/>
          <w:szCs w:val="24"/>
          <w:highlight w:val="none"/>
          <w:u w:val="single"/>
        </w:rPr>
        <w:t xml:space="preserve">2026年</w:t>
      </w:r>
      <w:r>
        <w:rPr>
          <w:rFonts w:hint="eastAsia" w:ascii="Times New Roman" w:hAnsi="Times New Roman"/>
          <w:bCs/>
          <w:sz w:val="24"/>
          <w:szCs w:val="24"/>
          <w:highlight w:val="none"/>
          <w:u w:val="single"/>
          <w:lang w:val="en-US" w:eastAsia="zh-CN"/>
        </w:rPr>
        <w:t xml:space="preserve">7</w:t>
      </w:r>
      <w:r>
        <w:rPr>
          <w:rFonts w:hint="eastAsia" w:ascii="Times New Roman" w:hAnsi="Times New Roman"/>
          <w:bCs/>
          <w:sz w:val="24"/>
          <w:szCs w:val="24"/>
          <w:highlight w:val="none"/>
          <w:u w:val="single"/>
        </w:rPr>
        <w:t xml:space="preserve">月</w:t>
      </w:r>
      <w:r>
        <w:rPr>
          <w:rFonts w:hint="eastAsia" w:ascii="Times New Roman" w:hAnsi="Times New Roman"/>
          <w:bCs/>
          <w:sz w:val="24"/>
          <w:szCs w:val="24"/>
          <w:highlight w:val="none"/>
          <w:u w:val="single"/>
          <w:lang w:val="en-US" w:eastAsia="zh-CN"/>
        </w:rPr>
        <w:t xml:space="preserve">2</w:t>
      </w:r>
      <w:r>
        <w:rPr>
          <w:rFonts w:hint="eastAsia" w:ascii="Times New Roman" w:hAnsi="Times New Roman"/>
          <w:bCs/>
          <w:sz w:val="24"/>
          <w:szCs w:val="24"/>
          <w:highlight w:val="none"/>
          <w:u w:val="single"/>
        </w:rPr>
        <w:t xml:space="preserve">日</w:t>
      </w:r>
      <w:r>
        <w:rPr>
          <w:rFonts w:ascii="Times New Roman" w:hAnsi="Times New Roman"/>
          <w:bCs/>
          <w:sz w:val="24"/>
          <w:szCs w:val="24"/>
          <w:highlight w:val="none"/>
          <w:u w:val="single"/>
        </w:rPr>
        <w:t xml:space="preserve">9</w:t>
      </w:r>
      <w:r>
        <w:rPr>
          <w:rFonts w:hint="eastAsia" w:ascii="Times New Roman" w:hAnsi="Times New Roman"/>
          <w:bCs/>
          <w:sz w:val="24"/>
          <w:szCs w:val="24"/>
          <w:highlight w:val="none"/>
          <w:u w:val="single"/>
        </w:rPr>
        <w:t xml:space="preserve">点3</w:t>
      </w:r>
      <w:r>
        <w:rPr>
          <w:rFonts w:ascii="Times New Roman" w:hAnsi="Times New Roman"/>
          <w:bCs/>
          <w:sz w:val="24"/>
          <w:szCs w:val="24"/>
          <w:highlight w:val="none"/>
          <w:u w:val="single"/>
        </w:rPr>
        <w:t xml:space="preserve">0</w:t>
      </w:r>
      <w:r>
        <w:rPr>
          <w:rFonts w:hint="eastAsia" w:ascii="Times New Roman" w:hAnsi="Times New Roman"/>
          <w:bCs/>
          <w:sz w:val="24"/>
          <w:szCs w:val="24"/>
          <w:highlight w:val="none"/>
          <w:u w:val="single"/>
        </w:rPr>
        <w:t xml:space="preserve">分</w:t>
      </w:r>
      <w:r>
        <w:rPr>
          <w:rFonts w:hint="eastAsia" w:ascii="Times New Roman" w:hAnsi="Times New Roman"/>
          <w:bCs/>
          <w:sz w:val="24"/>
          <w:szCs w:val="24"/>
          <w:u w:val="single"/>
        </w:rPr>
        <w:t xml:space="preserve">（</w:t>
      </w:r>
      <w:r>
        <w:rPr>
          <w:rFonts w:hint="eastAsia" w:ascii="Times New Roman" w:hAnsi="Times New Roman"/>
          <w:bCs/>
          <w:sz w:val="24"/>
          <w:szCs w:val="24"/>
        </w:rPr>
        <w:t xml:space="preserve">北京时间）前递交响应文件</w:t>
      </w:r>
      <w:r>
        <w:rPr>
          <w:rFonts w:hint="eastAsia" w:ascii="Times New Roman" w:hAnsi="Times New Roman"/>
          <w:sz w:val="24"/>
          <w:szCs w:val="24"/>
        </w:rPr>
        <w:t xml:space="preserve">。</w:t>
      </w:r>
      <w:r/>
    </w:p>
    <w:p>
      <w:pPr>
        <w:ind w:firstLine="498"/>
        <w:keepLines/>
        <w:keepNext/>
        <w:spacing w:line="500" w:lineRule="exact"/>
        <w:rPr>
          <w:rFonts w:ascii="Times New Roman" w:hAnsi="Times New Roman"/>
          <w:b/>
          <w:bCs/>
          <w:sz w:val="32"/>
          <w:szCs w:val="32"/>
        </w:rPr>
        <w:outlineLvl w:val="2"/>
      </w:pPr>
      <w:r/>
      <w:bookmarkStart w:id="7" w:name="_Toc35393621"/>
      <w:r/>
      <w:bookmarkStart w:id="8" w:name="_Toc28359079"/>
      <w:r/>
      <w:bookmarkStart w:id="9" w:name="_Toc28359002"/>
      <w:r/>
      <w:bookmarkStart w:id="10" w:name="_Toc35393790"/>
      <w:r/>
      <w:bookmarkStart w:id="11" w:name="_Toc1923"/>
      <w:r/>
      <w:bookmarkStart w:id="12" w:name="_Toc38985263"/>
      <w:r/>
      <w:bookmarkStart w:id="13"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bookmarkEnd w:id="12"/>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1.项目编号：JSZC-321392-DYGC-C2026-0001</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2.项目名称：</w:t>
      </w:r>
      <w:bookmarkEnd w:id="13"/>
      <w:r>
        <w:rPr>
          <w:rFonts w:hint="eastAsia" w:ascii="Times New Roman" w:hAnsi="Times New Roman"/>
          <w:sz w:val="24"/>
          <w:szCs w:val="24"/>
        </w:rPr>
        <w:t xml:space="preserve">湖滨新区排水管网零星更新改造</w:t>
      </w:r>
      <w:r>
        <w:rPr>
          <w:rFonts w:hint="eastAsia" w:ascii="Times New Roman" w:hAnsi="Times New Roman"/>
          <w:sz w:val="24"/>
          <w:szCs w:val="24"/>
        </w:rPr>
        <w:t xml:space="preserve">工程</w:t>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3.预算金额：</w:t>
      </w:r>
      <w:r>
        <w:rPr>
          <w:rFonts w:hint="eastAsia" w:ascii="Times New Roman" w:hAnsi="Times New Roman"/>
          <w:sz w:val="24"/>
          <w:szCs w:val="24"/>
          <w:highlight w:val="none"/>
          <w:lang w:val="en-US" w:eastAsia="zh-CN"/>
        </w:rPr>
        <w:t xml:space="preserve">369.02</w:t>
      </w:r>
      <w:r>
        <w:rPr>
          <w:rFonts w:hint="eastAsia" w:ascii="Times New Roman" w:hAnsi="Times New Roman"/>
          <w:sz w:val="24"/>
          <w:szCs w:val="24"/>
          <w:highlight w:val="none"/>
        </w:rPr>
        <w:t xml:space="preserve">万元</w:t>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本项目设定最高限价，最高限价为3690049.86元。</w:t>
      </w:r>
      <w:r/>
    </w:p>
    <w:p>
      <w:pPr>
        <w:ind w:firstLine="480"/>
        <w:spacing w:line="500" w:lineRule="exact"/>
        <w:rPr>
          <w:rFonts w:ascii="Times New Roman" w:hAnsi="Times New Roman"/>
          <w:sz w:val="24"/>
          <w:szCs w:val="24"/>
          <w:u w:val="single"/>
        </w:rPr>
      </w:pPr>
      <w:r>
        <w:rPr>
          <w:rFonts w:ascii="Times New Roman" w:hAnsi="Times New Roman"/>
          <w:sz w:val="24"/>
          <w:szCs w:val="24"/>
        </w:rPr>
        <w:t xml:space="preserve">5</w:t>
      </w:r>
      <w:r>
        <w:rPr>
          <w:rFonts w:hint="eastAsia" w:ascii="Times New Roman" w:hAnsi="Times New Roman"/>
          <w:sz w:val="24"/>
          <w:szCs w:val="24"/>
        </w:rPr>
        <w:t xml:space="preserve">.采购需求：湖滨新区排水管网零星更新改造</w:t>
      </w:r>
      <w:r>
        <w:rPr>
          <w:rFonts w:hint="eastAsia" w:ascii="Times New Roman" w:hAnsi="Times New Roman"/>
          <w:sz w:val="24"/>
          <w:szCs w:val="24"/>
        </w:rPr>
        <w:t xml:space="preserve">工程</w:t>
      </w:r>
      <w:r>
        <w:rPr>
          <w:rFonts w:hint="eastAsia" w:ascii="宋体" w:hAnsi="宋体"/>
          <w:sz w:val="24"/>
          <w:szCs w:val="24"/>
        </w:rPr>
        <w:t xml:space="preserve">，</w:t>
      </w:r>
      <w:r>
        <w:rPr>
          <w:rFonts w:hint="eastAsia" w:ascii="宋体" w:hAnsi="宋体"/>
          <w:sz w:val="24"/>
          <w:szCs w:val="24"/>
          <w:lang w:val="en-US" w:eastAsia="zh-CN"/>
        </w:rPr>
        <w:t xml:space="preserve">包括但不限于</w:t>
      </w:r>
      <w:r>
        <w:rPr>
          <w:rFonts w:hint="eastAsia" w:ascii="宋体" w:hAnsi="宋体"/>
          <w:sz w:val="24"/>
          <w:szCs w:val="24"/>
        </w:rPr>
        <w:t xml:space="preserve">雨污水管网清淤、疏通，管道部位机动车车道、非机动车道、人行道拆除面层及基层、基层及面层恢复、排水管及检查井拆除及恢复等</w:t>
      </w:r>
      <w:r>
        <w:rPr>
          <w:rFonts w:hint="eastAsia" w:ascii="宋体" w:hAnsi="宋体"/>
          <w:sz w:val="24"/>
          <w:szCs w:val="24"/>
          <w:lang w:eastAsia="zh-CN"/>
        </w:rPr>
        <w:t xml:space="preserve">，</w:t>
      </w:r>
      <w:r>
        <w:rPr>
          <w:rFonts w:hint="eastAsia" w:ascii="Times New Roman" w:hAnsi="Times New Roman"/>
          <w:sz w:val="24"/>
          <w:szCs w:val="24"/>
        </w:rPr>
        <w:t xml:space="preserve">具体详见工程量清单及图纸</w:t>
      </w:r>
      <w:r>
        <w:rPr>
          <w:rFonts w:hint="eastAsia" w:ascii="Times New Roman" w:hAnsi="Times New Roman" w:cs="宋体"/>
          <w:sz w:val="24"/>
          <w:szCs w:val="24"/>
        </w:rPr>
        <w:t xml:space="preserve">。 </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6.合同履行期限：60日历天。</w:t>
      </w:r>
      <w:r/>
    </w:p>
    <w:p>
      <w:pPr>
        <w:ind w:firstLine="480"/>
        <w:spacing w:line="500" w:lineRule="exact"/>
        <w:rPr>
          <w:rFonts w:ascii="Times New Roman" w:hAnsi="Times New Roman"/>
          <w:sz w:val="24"/>
          <w:szCs w:val="24"/>
          <w:u w:val="single"/>
        </w:rPr>
      </w:pPr>
      <w:r>
        <w:rPr>
          <w:rFonts w:hint="eastAsia" w:ascii="Times New Roman" w:hAnsi="Times New Roman"/>
          <w:sz w:val="24"/>
          <w:szCs w:val="24"/>
        </w:rPr>
        <w:t xml:space="preserve">7.本项目</w:t>
      </w:r>
      <w:r>
        <w:rPr>
          <w:rFonts w:hint="eastAsia" w:ascii="Times New Roman" w:hAnsi="Times New Roman"/>
          <w:sz w:val="24"/>
          <w:szCs w:val="24"/>
          <w:u w:val="single"/>
        </w:rPr>
        <w:t xml:space="preserve">不接受</w:t>
      </w:r>
      <w:r>
        <w:rPr>
          <w:rFonts w:hint="eastAsia" w:ascii="Times New Roman" w:hAnsi="Times New Roman"/>
          <w:sz w:val="24"/>
          <w:szCs w:val="24"/>
        </w:rPr>
        <w:t xml:space="preserve">联合体参与磋商。</w:t>
      </w:r>
      <w:r/>
    </w:p>
    <w:p>
      <w:pPr>
        <w:ind w:firstLine="498"/>
        <w:keepLines/>
        <w:keepNext/>
        <w:spacing w:line="500" w:lineRule="exact"/>
        <w:rPr>
          <w:rFonts w:ascii="Times New Roman" w:hAnsi="Times New Roman"/>
          <w:b/>
          <w:bCs/>
          <w:sz w:val="32"/>
          <w:szCs w:val="32"/>
        </w:rPr>
        <w:outlineLvl w:val="2"/>
      </w:pPr>
      <w:r/>
      <w:bookmarkStart w:id="14" w:name="_Toc19891"/>
      <w:r/>
      <w:bookmarkStart w:id="15" w:name="_Toc35393791"/>
      <w:r/>
      <w:bookmarkStart w:id="16" w:name="_Toc28359003"/>
      <w:r/>
      <w:bookmarkStart w:id="17" w:name="_Toc35393622"/>
      <w:r/>
      <w:bookmarkStart w:id="18" w:name="_Toc28359080"/>
      <w:r/>
      <w:bookmarkStart w:id="19" w:name="_Toc38985264"/>
      <w:r>
        <w:rPr>
          <w:rFonts w:hint="eastAsia" w:ascii="Times New Roman" w:hAnsi="Times New Roman"/>
          <w:b/>
          <w:bCs/>
          <w:sz w:val="32"/>
          <w:szCs w:val="32"/>
        </w:rPr>
        <w:t xml:space="preserve">二、申请人的资格要求：</w:t>
      </w:r>
      <w:bookmarkEnd w:id="14"/>
      <w:r/>
      <w:bookmarkEnd w:id="15"/>
      <w:r/>
      <w:bookmarkEnd w:id="16"/>
      <w:r/>
      <w:bookmarkEnd w:id="17"/>
      <w:r/>
      <w:bookmarkEnd w:id="18"/>
      <w:r/>
      <w:bookmarkEnd w:id="19"/>
      <w:r/>
      <w:r/>
    </w:p>
    <w:p>
      <w:pPr>
        <w:ind w:firstLine="480"/>
        <w:spacing w:line="500" w:lineRule="exact"/>
        <w:rPr>
          <w:rFonts w:ascii="Times New Roman" w:hAnsi="Times New Roman"/>
          <w:sz w:val="24"/>
          <w:szCs w:val="24"/>
        </w:rPr>
      </w:pPr>
      <w:r/>
      <w:bookmarkStart w:id="20" w:name="_Toc28359004"/>
      <w:r/>
      <w:bookmarkStart w:id="21" w:name="_Toc28359081"/>
      <w:r/>
      <w:bookmarkStart w:id="22" w:name="_Toc38985265"/>
      <w:r/>
      <w:bookmarkStart w:id="23" w:name="_Toc35393623"/>
      <w:r/>
      <w:bookmarkStart w:id="24" w:name="_Toc35393792"/>
      <w:r>
        <w:rPr>
          <w:rFonts w:hint="eastAsia" w:ascii="Times New Roman" w:hAnsi="Times New Roman"/>
          <w:sz w:val="24"/>
          <w:szCs w:val="24"/>
        </w:rPr>
        <w:t xml:space="preserve">（一</w:t>
      </w:r>
      <w:r>
        <w:rPr>
          <w:rFonts w:ascii="Times New Roman" w:hAnsi="Times New Roman"/>
          <w:sz w:val="24"/>
          <w:szCs w:val="24"/>
        </w:rPr>
        <w:t xml:space="preserve">）</w:t>
      </w:r>
      <w:r>
        <w:rPr>
          <w:rFonts w:hint="eastAsia" w:ascii="Times New Roman" w:hAnsi="Times New Roman"/>
          <w:sz w:val="24"/>
          <w:szCs w:val="24"/>
        </w:rPr>
        <w:t xml:space="preserve">通用</w:t>
      </w:r>
      <w:r>
        <w:rPr>
          <w:rFonts w:ascii="Times New Roman" w:hAnsi="Times New Roman"/>
          <w:sz w:val="24"/>
          <w:szCs w:val="24"/>
        </w:rPr>
        <w:t xml:space="preserve">资格要求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1.具备《中华人民共和国政府采购法》第二十二条第一款规定的6项条件（按要求提供磋商响应函）；</w:t>
      </w:r>
      <w:r/>
    </w:p>
    <w:p>
      <w:pPr>
        <w:ind w:firstLine="480"/>
        <w:spacing w:line="500" w:lineRule="exact"/>
        <w:rPr>
          <w:sz w:val="24"/>
          <w:szCs w:val="24"/>
        </w:rPr>
      </w:pPr>
      <w:r>
        <w:rPr>
          <w:rFonts w:hint="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ascii="Times New Roman" w:hAnsi="Times New Roman" w:cs="宋体"/>
          <w:sz w:val="24"/>
          <w:szCs w:val="24"/>
        </w:rPr>
      </w:pPr>
      <w:r>
        <w:rPr>
          <w:rFonts w:hint="eastAsia"/>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（二）本项目的特定资格要求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w:t>
      </w:r>
      <w:r>
        <w:rPr>
          <w:rFonts w:hint="eastAsia"/>
          <w:sz w:val="24"/>
          <w:szCs w:val="24"/>
        </w:rPr>
        <w:t xml:space="preserve">供应商</w:t>
      </w:r>
      <w:r>
        <w:rPr>
          <w:rFonts w:hint="eastAsia" w:ascii="Times New Roman" w:hAnsi="Times New Roman"/>
          <w:sz w:val="24"/>
          <w:szCs w:val="24"/>
        </w:rPr>
        <w:t xml:space="preserve">的资质类别、等级：具备市政公用工程施工总承包三级及以上资质；</w:t>
      </w:r>
      <w:r/>
    </w:p>
    <w:p>
      <w:pPr>
        <w:ind w:firstLine="480"/>
        <w:spacing w:line="500" w:lineRule="exact"/>
        <w:rPr>
          <w:sz w:val="24"/>
          <w:szCs w:val="24"/>
        </w:rPr>
      </w:pPr>
      <w:r>
        <w:rPr>
          <w:rFonts w:hint="eastAsia"/>
          <w:sz w:val="24"/>
          <w:szCs w:val="24"/>
        </w:rPr>
        <w:t xml:space="preserve">2、供应商具备安全生产条件，并取得有效的安全生产许可证</w:t>
      </w:r>
      <w:r>
        <w:rPr>
          <w:rFonts w:hint="eastAsia"/>
          <w:sz w:val="24"/>
          <w:szCs w:val="24"/>
        </w:rPr>
        <w:t xml:space="preserve">；</w:t>
      </w:r>
      <w:r/>
    </w:p>
    <w:p>
      <w:pPr>
        <w:ind w:firstLine="480"/>
        <w:spacing w:line="500" w:lineRule="exact"/>
        <w:rPr>
          <w:sz w:val="24"/>
          <w:szCs w:val="24"/>
        </w:rPr>
      </w:pPr>
      <w:r>
        <w:rPr>
          <w:rFonts w:hint="eastAsia"/>
          <w:sz w:val="24"/>
          <w:szCs w:val="24"/>
        </w:rPr>
        <w:t xml:space="preserve">3、项目负责人注册专业、资格等级：具备</w:t>
      </w:r>
      <w:r>
        <w:rPr>
          <w:rFonts w:hint="eastAsia" w:ascii="Times New Roman" w:hAnsi="Times New Roman"/>
          <w:sz w:val="24"/>
          <w:szCs w:val="24"/>
        </w:rPr>
        <w:t xml:space="preserve">市政公用工程专业二级及以上注册建造师资格，且同时具有建筑施工企业项目负责人安全生产考核合格证书（B类证）</w:t>
      </w:r>
      <w:r>
        <w:rPr>
          <w:rFonts w:hint="eastAsia"/>
          <w:sz w:val="24"/>
          <w:szCs w:val="24"/>
        </w:rPr>
        <w:t xml:space="preserve">；</w:t>
      </w:r>
      <w:r/>
    </w:p>
    <w:p>
      <w:pPr>
        <w:ind w:firstLine="480"/>
        <w:spacing w:line="500" w:lineRule="exact"/>
        <w:rPr>
          <w:sz w:val="24"/>
          <w:szCs w:val="24"/>
        </w:rPr>
      </w:pPr>
      <w:r>
        <w:rPr>
          <w:rFonts w:hint="eastAsia"/>
          <w:sz w:val="24"/>
          <w:szCs w:val="24"/>
        </w:rPr>
        <w:t xml:space="preserve">4、供应商拟派的项目负责人必须为本单位人员，提供磋商前6个月内本单位为其办理的任意一个月社会养老保险或医疗保险缴纳证明材料。</w:t>
      </w:r>
      <w:r/>
    </w:p>
    <w:p>
      <w:pPr>
        <w:ind w:firstLine="498"/>
        <w:keepLines/>
        <w:keepNext/>
        <w:spacing w:line="500" w:lineRule="exact"/>
        <w:rPr>
          <w:rFonts w:ascii="Times New Roman" w:hAnsi="Times New Roman"/>
          <w:b/>
          <w:bCs/>
          <w:sz w:val="32"/>
          <w:szCs w:val="32"/>
        </w:rPr>
        <w:outlineLvl w:val="2"/>
      </w:pPr>
      <w:r/>
      <w:bookmarkStart w:id="25" w:name="_Toc16193"/>
      <w:r>
        <w:rPr>
          <w:rFonts w:hint="eastAsia" w:ascii="Times New Roman" w:hAnsi="Times New Roman"/>
          <w:b/>
          <w:bCs/>
          <w:sz w:val="32"/>
          <w:szCs w:val="32"/>
        </w:rPr>
        <w:t xml:space="preserve">三、获取</w:t>
      </w:r>
      <w:bookmarkEnd w:id="20"/>
      <w:r/>
      <w:bookmarkEnd w:id="21"/>
      <w:r/>
      <w:bookmarkEnd w:id="22"/>
      <w:r/>
      <w:bookmarkEnd w:id="23"/>
      <w:r/>
      <w:bookmarkEnd w:id="24"/>
      <w:r>
        <w:rPr>
          <w:rFonts w:hint="eastAsia" w:ascii="Times New Roman" w:hAnsi="Times New Roman"/>
          <w:b/>
          <w:bCs/>
          <w:sz w:val="32"/>
          <w:szCs w:val="32"/>
        </w:rPr>
        <w:t xml:space="preserve">磋商文件</w:t>
      </w:r>
      <w:bookmarkEnd w:id="25"/>
      <w:r/>
      <w:r/>
    </w:p>
    <w:p>
      <w:pPr>
        <w:ind w:firstLine="480"/>
        <w:spacing w:line="500" w:lineRule="exact"/>
        <w:rPr>
          <w:rFonts w:ascii="Times New Roman" w:hAnsi="Times New Roman"/>
          <w:bCs/>
          <w:sz w:val="24"/>
          <w:szCs w:val="24"/>
          <w:highlight w:val="none"/>
        </w:rPr>
      </w:pPr>
      <w:r/>
      <w:bookmarkStart w:id="26" w:name="_Toc35393793"/>
      <w:r/>
      <w:bookmarkStart w:id="27" w:name="_Toc35393624"/>
      <w:r/>
      <w:bookmarkStart w:id="28" w:name="_Toc28359005"/>
      <w:r/>
      <w:bookmarkStart w:id="29" w:name="_Toc28359082"/>
      <w:r/>
      <w:bookmarkStart w:id="30" w:name="_Toc38985266"/>
      <w:r>
        <w:rPr>
          <w:rFonts w:hint="eastAsia" w:ascii="Times New Roman" w:hAnsi="Times New Roman" w:cs="宋体"/>
          <w:sz w:val="24"/>
          <w:szCs w:val="24"/>
          <w:highlight w:val="none"/>
        </w:rPr>
        <w:t xml:space="preserve">1.时间：自磋商文件公告发布之日起5个工作日</w:t>
      </w:r>
      <w:r>
        <w:rPr>
          <w:rFonts w:hint="eastAsia" w:ascii="Times New Roman" w:hAnsi="Times New Roman"/>
          <w:bCs/>
          <w:sz w:val="24"/>
          <w:szCs w:val="24"/>
          <w:highlight w:val="none"/>
        </w:rPr>
        <w:t xml:space="preserve">。</w:t>
      </w:r>
      <w:r/>
    </w:p>
    <w:p>
      <w:pPr>
        <w:ind w:firstLine="480"/>
        <w:spacing w:line="500" w:lineRule="exact"/>
        <w:rPr>
          <w:rFonts w:ascii="Times New Roman" w:hAnsi="Times New Roman" w:cs="宋体"/>
          <w:sz w:val="24"/>
          <w:szCs w:val="24"/>
        </w:rPr>
      </w:pPr>
      <w:r>
        <w:rPr>
          <w:rFonts w:hint="eastAsia" w:ascii="Times New Roman" w:hAnsi="Times New Roman" w:cs="宋体"/>
          <w:sz w:val="24"/>
          <w:szCs w:val="24"/>
        </w:rPr>
        <w:t xml:space="preserve">2.方式：供应商应在采购文件提供的时间内，通过“苏采云”系统（网址： http://jszfcg.jsczt.cn/），使用CA锁登录系统后，找到本项目获取磋商文件（后缀名为“kedt”）。</w:t>
      </w:r>
      <w:r/>
    </w:p>
    <w:p>
      <w:pPr>
        <w:ind w:firstLine="540"/>
        <w:spacing w:line="500" w:lineRule="exact"/>
        <w:rPr>
          <w:rFonts w:ascii="Times New Roman" w:hAnsi="Times New Roman" w:cs="宋体"/>
          <w:sz w:val="24"/>
          <w:szCs w:val="24"/>
          <w:u w:val="single"/>
        </w:rPr>
      </w:pPr>
      <w:r/>
      <w:bookmarkStart w:id="31" w:name="EB0c44ff4da61f4af989d119fe214be450"/>
      <w:r>
        <w:rPr>
          <w:rFonts w:hint="eastAsia" w:ascii="Times New Roman" w:hAnsi="Times New Roman" w:cs="仿宋_GB2312"/>
          <w:sz w:val="24"/>
          <w:szCs w:val="28"/>
        </w:rPr>
        <w:t xml:space="preserve">3.</w:t>
      </w:r>
      <w:bookmarkEnd w:id="31"/>
      <w:r>
        <w:rPr>
          <w:rFonts w:hint="eastAsia" w:ascii="Times New Roman" w:hAnsi="Times New Roman" w:cs="仿宋_GB2312"/>
          <w:sz w:val="24"/>
          <w:szCs w:val="28"/>
        </w:rPr>
        <w:t xml:space="preserve">本项目共分一个采购包。供应商参与多个采购包磋商的，应按采购包分别上传对应响应文件。否则，后果自负。</w:t>
      </w:r>
      <w:r/>
    </w:p>
    <w:p>
      <w:pPr>
        <w:ind w:firstLine="498"/>
        <w:keepLines/>
        <w:keepNext/>
        <w:spacing w:line="500" w:lineRule="exact"/>
        <w:rPr>
          <w:rFonts w:ascii="Times New Roman" w:hAnsi="Times New Roman"/>
          <w:b/>
          <w:bCs/>
          <w:sz w:val="32"/>
          <w:szCs w:val="32"/>
        </w:rPr>
        <w:outlineLvl w:val="2"/>
      </w:pPr>
      <w:r/>
      <w:bookmarkStart w:id="32" w:name="_Toc12393"/>
      <w:r>
        <w:rPr>
          <w:rFonts w:hint="eastAsia" w:ascii="Times New Roman" w:hAnsi="Times New Roman"/>
          <w:b/>
          <w:bCs/>
          <w:sz w:val="32"/>
          <w:szCs w:val="32"/>
        </w:rPr>
        <w:t xml:space="preserve">四、</w:t>
      </w:r>
      <w:bookmarkEnd w:id="26"/>
      <w:r/>
      <w:bookmarkEnd w:id="27"/>
      <w:r/>
      <w:bookmarkEnd w:id="28"/>
      <w:r/>
      <w:bookmarkEnd w:id="29"/>
      <w:r/>
      <w:bookmarkEnd w:id="30"/>
      <w:r/>
      <w:bookmarkEnd w:id="32"/>
      <w:r>
        <w:rPr>
          <w:rFonts w:hint="eastAsia" w:ascii="Times New Roman" w:hAnsi="Times New Roman"/>
          <w:b/>
          <w:bCs/>
          <w:sz w:val="32"/>
          <w:szCs w:val="32"/>
        </w:rPr>
        <w:t xml:space="preserve">提交响应文件截止时间、磋商时间及地点</w:t>
      </w:r>
      <w:r/>
    </w:p>
    <w:p>
      <w:pPr>
        <w:ind w:firstLine="480"/>
        <w:spacing w:line="500" w:lineRule="exact"/>
        <w:rPr>
          <w:rFonts w:ascii="Times New Roman" w:hAnsi="Times New Roman" w:cs="宋体"/>
          <w:sz w:val="24"/>
          <w:szCs w:val="24"/>
        </w:rPr>
      </w:pPr>
      <w:r>
        <w:rPr>
          <w:rFonts w:hint="eastAsia" w:ascii="Times New Roman" w:hAnsi="Times New Roman"/>
          <w:bCs/>
          <w:sz w:val="24"/>
          <w:szCs w:val="24"/>
        </w:rPr>
        <w:t xml:space="preserve">1.提交响应文件截止时间、磋商时间：</w:t>
      </w:r>
      <w:r>
        <w:rPr>
          <w:rFonts w:hint="eastAsia" w:ascii="Times New Roman" w:hAnsi="Times New Roman"/>
          <w:bCs/>
          <w:sz w:val="24"/>
          <w:szCs w:val="24"/>
          <w:highlight w:val="none"/>
          <w:u w:val="single"/>
        </w:rPr>
        <w:t xml:space="preserve">2026年</w:t>
      </w:r>
      <w:r>
        <w:rPr>
          <w:rFonts w:hint="eastAsia" w:ascii="Times New Roman" w:hAnsi="Times New Roman"/>
          <w:bCs/>
          <w:sz w:val="24"/>
          <w:szCs w:val="24"/>
          <w:highlight w:val="none"/>
          <w:u w:val="single"/>
          <w:lang w:val="en-US" w:eastAsia="zh-CN"/>
        </w:rPr>
        <w:t xml:space="preserve">7</w:t>
      </w:r>
      <w:r>
        <w:rPr>
          <w:rFonts w:hint="eastAsia" w:ascii="Times New Roman" w:hAnsi="Times New Roman"/>
          <w:bCs/>
          <w:sz w:val="24"/>
          <w:szCs w:val="24"/>
          <w:highlight w:val="none"/>
          <w:u w:val="single"/>
        </w:rPr>
        <w:t xml:space="preserve">月</w:t>
      </w:r>
      <w:r>
        <w:rPr>
          <w:rFonts w:hint="eastAsia" w:ascii="Times New Roman" w:hAnsi="Times New Roman"/>
          <w:bCs/>
          <w:sz w:val="24"/>
          <w:szCs w:val="24"/>
          <w:highlight w:val="none"/>
          <w:u w:val="single"/>
          <w:lang w:val="en-US" w:eastAsia="zh-CN"/>
        </w:rPr>
        <w:t xml:space="preserve">2</w:t>
      </w:r>
      <w:r>
        <w:rPr>
          <w:rFonts w:hint="eastAsia" w:ascii="Times New Roman" w:hAnsi="Times New Roman"/>
          <w:bCs/>
          <w:sz w:val="24"/>
          <w:szCs w:val="24"/>
          <w:highlight w:val="none"/>
          <w:u w:val="single"/>
        </w:rPr>
        <w:t xml:space="preserve">日0</w:t>
      </w:r>
      <w:r>
        <w:rPr>
          <w:rFonts w:ascii="Times New Roman" w:hAnsi="Times New Roman"/>
          <w:bCs/>
          <w:sz w:val="24"/>
          <w:szCs w:val="24"/>
          <w:highlight w:val="none"/>
          <w:u w:val="single"/>
        </w:rPr>
        <w:t xml:space="preserve">9</w:t>
      </w:r>
      <w:r>
        <w:rPr>
          <w:rFonts w:hint="eastAsia" w:ascii="Times New Roman" w:hAnsi="Times New Roman"/>
          <w:bCs/>
          <w:sz w:val="24"/>
          <w:szCs w:val="24"/>
          <w:highlight w:val="none"/>
          <w:u w:val="single"/>
        </w:rPr>
        <w:t xml:space="preserve">点3</w:t>
      </w:r>
      <w:r>
        <w:rPr>
          <w:rFonts w:ascii="Times New Roman" w:hAnsi="Times New Roman"/>
          <w:bCs/>
          <w:sz w:val="24"/>
          <w:szCs w:val="24"/>
          <w:highlight w:val="none"/>
          <w:u w:val="single"/>
        </w:rPr>
        <w:t xml:space="preserve">0</w:t>
      </w:r>
      <w:r>
        <w:rPr>
          <w:rFonts w:hint="eastAsia" w:ascii="Times New Roman" w:hAnsi="Times New Roman"/>
          <w:bCs/>
          <w:sz w:val="24"/>
          <w:szCs w:val="24"/>
          <w:highlight w:val="none"/>
          <w:u w:val="single"/>
        </w:rPr>
        <w:t xml:space="preserve">分</w:t>
      </w:r>
      <w:r>
        <w:rPr>
          <w:rFonts w:hint="eastAsia" w:ascii="Times New Roman" w:hAnsi="Times New Roman"/>
          <w:bCs/>
          <w:sz w:val="24"/>
          <w:szCs w:val="24"/>
        </w:rPr>
        <w:t xml:space="preserve">（北京时间）。</w:t>
      </w:r>
      <w:r/>
    </w:p>
    <w:p>
      <w:pPr>
        <w:ind w:firstLine="540"/>
        <w:spacing w:line="500" w:lineRule="exact"/>
        <w:rPr>
          <w:rFonts w:ascii="Times New Roman" w:hAnsi="Times New Roman" w:cs="仿宋_GB2312"/>
          <w:sz w:val="24"/>
          <w:szCs w:val="28"/>
        </w:rPr>
      </w:pPr>
      <w:r>
        <w:rPr>
          <w:rFonts w:hint="eastAsia" w:ascii="Times New Roman" w:hAnsi="Times New Roman" w:cs="仿宋_GB2312"/>
          <w:sz w:val="24"/>
          <w:szCs w:val="28"/>
        </w:rPr>
        <w:t xml:space="preserve">2.地点：“苏采云”政府采购交易系统网上开标大厅。</w:t>
      </w:r>
      <w:r/>
    </w:p>
    <w:p>
      <w:pPr>
        <w:ind w:firstLine="498"/>
        <w:keepLines/>
        <w:keepNext/>
        <w:spacing w:line="500" w:lineRule="exact"/>
        <w:rPr>
          <w:rFonts w:ascii="Times New Roman" w:hAnsi="Times New Roman"/>
          <w:b/>
          <w:bCs/>
          <w:sz w:val="32"/>
          <w:szCs w:val="32"/>
        </w:rPr>
        <w:outlineLvl w:val="2"/>
      </w:pPr>
      <w:r/>
      <w:bookmarkStart w:id="33" w:name="_Toc28359007"/>
      <w:r/>
      <w:bookmarkStart w:id="34" w:name="_Toc35393794"/>
      <w:r/>
      <w:bookmarkStart w:id="35" w:name="_Toc28359084"/>
      <w:r/>
      <w:bookmarkStart w:id="36" w:name="_Toc5352"/>
      <w:r/>
      <w:bookmarkStart w:id="37" w:name="_Toc38985267"/>
      <w:r/>
      <w:bookmarkStart w:id="38" w:name="_Toc35393625"/>
      <w:r>
        <w:rPr>
          <w:rFonts w:hint="eastAsia" w:ascii="Times New Roman" w:hAnsi="Times New Roman"/>
          <w:b/>
          <w:bCs/>
          <w:sz w:val="32"/>
          <w:szCs w:val="32"/>
        </w:rPr>
        <w:t xml:space="preserve">五、公告期限</w:t>
      </w:r>
      <w:bookmarkEnd w:id="33"/>
      <w:r/>
      <w:bookmarkEnd w:id="34"/>
      <w:r/>
      <w:bookmarkEnd w:id="35"/>
      <w:r/>
      <w:bookmarkEnd w:id="36"/>
      <w:r/>
      <w:bookmarkEnd w:id="37"/>
      <w:r/>
      <w:bookmarkEnd w:id="38"/>
      <w:r/>
      <w:r/>
    </w:p>
    <w:p>
      <w:pPr>
        <w:ind w:firstLine="498"/>
        <w:keepLines/>
        <w:keepNext/>
        <w:spacing w:line="500" w:lineRule="exact"/>
        <w:rPr>
          <w:rFonts w:ascii="Times New Roman" w:hAnsi="Times New Roman" w:cs="仿宋_GB2312"/>
          <w:sz w:val="24"/>
          <w:szCs w:val="28"/>
        </w:rPr>
        <w:outlineLvl w:val="2"/>
      </w:pPr>
      <w:r/>
      <w:bookmarkStart w:id="39" w:name="_Toc25402"/>
      <w:r/>
      <w:bookmarkStart w:id="40" w:name="_Toc35393626"/>
      <w:r/>
      <w:bookmarkStart w:id="41" w:name="_Toc38985268"/>
      <w:r/>
      <w:bookmarkStart w:id="42" w:name="_Toc35393795"/>
      <w:r>
        <w:rPr>
          <w:rFonts w:hint="eastAsia" w:ascii="Times New Roman" w:hAnsi="Times New Roman" w:cs="仿宋_GB2312"/>
          <w:sz w:val="24"/>
          <w:szCs w:val="28"/>
        </w:rPr>
        <w:t xml:space="preserve">自本公告发布之日起3个工作日。</w:t>
      </w:r>
      <w:bookmarkEnd w:id="39"/>
      <w:r/>
      <w:r/>
    </w:p>
    <w:p>
      <w:pPr>
        <w:ind w:firstLine="498"/>
        <w:keepLines/>
        <w:keepNext/>
        <w:spacing w:line="500" w:lineRule="exact"/>
        <w:rPr>
          <w:rFonts w:ascii="Times New Roman" w:hAnsi="Times New Roman"/>
          <w:b/>
          <w:bCs/>
          <w:sz w:val="32"/>
          <w:szCs w:val="32"/>
        </w:rPr>
        <w:outlineLvl w:val="2"/>
      </w:pPr>
      <w:r/>
      <w:bookmarkStart w:id="43" w:name="_Toc22978"/>
      <w:r>
        <w:rPr>
          <w:rFonts w:hint="eastAsia" w:ascii="Times New Roman" w:hAnsi="Times New Roman"/>
          <w:b/>
          <w:bCs/>
          <w:sz w:val="32"/>
          <w:szCs w:val="32"/>
        </w:rPr>
        <w:t xml:space="preserve">六、其他补充事宜</w:t>
      </w:r>
      <w:bookmarkEnd w:id="40"/>
      <w:r/>
      <w:bookmarkEnd w:id="41"/>
      <w:r/>
      <w:bookmarkEnd w:id="42"/>
      <w:r/>
      <w:bookmarkEnd w:id="43"/>
      <w:r/>
      <w:r/>
    </w:p>
    <w:p>
      <w:pPr>
        <w:ind w:firstLine="480"/>
        <w:spacing w:line="500" w:lineRule="exact"/>
        <w:rPr>
          <w:rFonts w:ascii="Times New Roman" w:hAnsi="Times New Roman"/>
          <w:sz w:val="24"/>
        </w:rPr>
      </w:pPr>
      <w:r/>
      <w:bookmarkStart w:id="44" w:name="EB64e1f522fd8c43fcb4d3ba471386b3e7"/>
      <w:r>
        <w:rPr>
          <w:rFonts w:hint="eastAsia" w:ascii="Times New Roman" w:hAnsi="Times New Roman"/>
          <w:sz w:val="24"/>
        </w:rPr>
        <w:t xml:space="preserve">1. 磋商公告发布媒体：江苏政府采购网、宿迁市政府采购网等。</w:t>
      </w:r>
      <w:bookmarkEnd w:id="44"/>
      <w:r/>
      <w:bookmarkStart w:id="45" w:name="_Toc35393627"/>
      <w:r/>
      <w:bookmarkStart w:id="46" w:name="_Toc35393796"/>
      <w:r/>
      <w:bookmarkStart w:id="47" w:name="_Toc28359085"/>
      <w:r/>
      <w:bookmarkStart w:id="48" w:name="_Toc38985269"/>
      <w:r/>
      <w:bookmarkStart w:id="49" w:name="_Toc28359008"/>
      <w:r/>
      <w:r/>
    </w:p>
    <w:p>
      <w:pPr>
        <w:ind w:firstLine="480"/>
        <w:spacing w:line="500" w:lineRule="exact"/>
        <w:rPr>
          <w:rFonts w:ascii="Times New Roman" w:hAnsi="Times New Roman"/>
          <w:sz w:val="24"/>
        </w:rPr>
      </w:pPr>
      <w:r>
        <w:rPr>
          <w:rFonts w:hint="eastAsia" w:ascii="Times New Roman" w:hAnsi="Times New Roman"/>
          <w:sz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500" w:lineRule="exact"/>
        <w:rPr>
          <w:rFonts w:ascii="Times New Roman" w:hAnsi="Times New Roman"/>
          <w:sz w:val="24"/>
        </w:rPr>
      </w:pPr>
      <w:r>
        <w:rPr>
          <w:rFonts w:hint="eastAsia" w:ascii="Times New Roman" w:hAnsi="Times New Roman"/>
          <w:sz w:val="24"/>
        </w:rPr>
        <w:t xml:space="preserve">3.宿迁地区“苏采云”系统技术支持客服电话：0527-84363067、0519-86722806。</w:t>
      </w:r>
      <w:r/>
    </w:p>
    <w:p>
      <w:pPr>
        <w:ind w:firstLine="498"/>
        <w:keepLines/>
        <w:keepNext/>
        <w:spacing w:line="500" w:lineRule="exact"/>
        <w:rPr>
          <w:rFonts w:ascii="Times New Roman" w:hAnsi="Times New Roman"/>
          <w:sz w:val="24"/>
        </w:rPr>
      </w:pPr>
      <w:r>
        <w:rPr>
          <w:rFonts w:hint="eastAsia" w:ascii="Times New Roman" w:hAnsi="Times New Roman"/>
          <w:sz w:val="24"/>
        </w:rPr>
        <w:t xml:space="preserve">4.质疑渠道：供应商登录“苏采云”系统“项目质疑申请”模块向采购人提出，质疑处理联系方式详见“采购人信息”；财政部门投诉受理电话：0527-84837919。</w:t>
      </w:r>
      <w:r/>
    </w:p>
    <w:p>
      <w:pPr>
        <w:ind w:firstLine="498"/>
        <w:keepLines/>
        <w:keepNext/>
        <w:spacing w:line="500" w:lineRule="exact"/>
        <w:rPr>
          <w:rFonts w:ascii="Times New Roman" w:hAnsi="Times New Roman"/>
          <w:b/>
          <w:bCs/>
          <w:sz w:val="32"/>
          <w:szCs w:val="32"/>
        </w:rPr>
        <w:outlineLvl w:val="2"/>
      </w:pPr>
      <w:r/>
      <w:bookmarkStart w:id="50" w:name="_Toc4832"/>
      <w:r>
        <w:rPr>
          <w:rFonts w:hint="eastAsia" w:ascii="Times New Roman" w:hAnsi="Times New Roman"/>
          <w:b/>
          <w:bCs/>
          <w:sz w:val="32"/>
          <w:szCs w:val="32"/>
        </w:rPr>
        <w:t xml:space="preserve">七、本次磋商联系方式</w:t>
      </w:r>
      <w:bookmarkEnd w:id="45"/>
      <w:r/>
      <w:bookmarkEnd w:id="46"/>
      <w:r/>
      <w:bookmarkEnd w:id="47"/>
      <w:r/>
      <w:bookmarkEnd w:id="48"/>
      <w:r/>
      <w:bookmarkEnd w:id="49"/>
      <w:r/>
      <w:bookmarkEnd w:id="50"/>
      <w:r/>
      <w:r/>
    </w:p>
    <w:p>
      <w:pPr>
        <w:ind w:firstLine="560"/>
        <w:jc w:val="left"/>
        <w:keepLines w:val="0"/>
        <w:keepNext w:val="0"/>
        <w:pageBreakBefore w:val="0"/>
        <w:spacing w:line="500" w:lineRule="exact"/>
        <w:widowControl/>
        <w:rPr>
          <w:rFonts w:ascii="Times New Roman" w:hAnsi="Times New Roman" w:cs="宋体"/>
          <w:sz w:val="28"/>
          <w:szCs w:val="28"/>
        </w:rPr>
      </w:pPr>
      <w:r>
        <w:rPr>
          <w:rFonts w:hint="eastAsia" w:ascii="Times New Roman" w:hAnsi="Times New Roman" w:cs="宋体"/>
          <w:sz w:val="28"/>
          <w:szCs w:val="28"/>
        </w:rPr>
        <w:t xml:space="preserve">1.采购人信息</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名称：宿迁市湖滨新区住房和城乡建设局</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地址：宿迁市湖滨新区嘉创大厦13楼</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联系人：李冬</w:t>
      </w:r>
      <w:r/>
    </w:p>
    <w:p>
      <w:pPr>
        <w:ind w:firstLine="480"/>
        <w:jc w:val="left"/>
        <w:keepLines w:val="0"/>
        <w:keepNext w:val="0"/>
        <w:pageBreakBefore w:val="0"/>
        <w:spacing w:line="50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联系方式：</w:t>
      </w:r>
      <w:bookmarkStart w:id="51" w:name="_Toc28359086"/>
      <w:r/>
      <w:bookmarkStart w:id="52" w:name="_Toc28359009"/>
      <w:r>
        <w:rPr>
          <w:rFonts w:hint="eastAsia" w:ascii="Times New Roman" w:hAnsi="Times New Roman"/>
          <w:sz w:val="24"/>
          <w:szCs w:val="24"/>
          <w:highlight w:val="none"/>
          <w:lang w:val="en-US" w:eastAsia="zh-CN"/>
        </w:rPr>
        <w:t xml:space="preserve">18000122619</w:t>
      </w:r>
      <w:r/>
    </w:p>
    <w:p>
      <w:pPr>
        <w:ind w:firstLine="560"/>
        <w:jc w:val="left"/>
        <w:keepLines w:val="0"/>
        <w:keepNext w:val="0"/>
        <w:pageBreakBefore w:val="0"/>
        <w:spacing w:line="500" w:lineRule="exact"/>
        <w:widowControl/>
        <w:rPr>
          <w:rFonts w:ascii="Times New Roman" w:hAnsi="Times New Roman" w:cs="宋体"/>
          <w:sz w:val="28"/>
          <w:szCs w:val="28"/>
        </w:rPr>
      </w:pPr>
      <w:r>
        <w:rPr>
          <w:rFonts w:hint="eastAsia" w:ascii="Times New Roman" w:hAnsi="Times New Roman" w:cs="宋体"/>
          <w:sz w:val="28"/>
          <w:szCs w:val="28"/>
        </w:rPr>
        <w:t xml:space="preserve">2.采购代理机构信息</w:t>
      </w:r>
      <w:bookmarkEnd w:id="51"/>
      <w:r/>
      <w:bookmarkEnd w:id="52"/>
      <w:r/>
      <w:r/>
    </w:p>
    <w:p>
      <w:pPr>
        <w:ind w:firstLine="480"/>
        <w:jc w:val="left"/>
        <w:keepLines w:val="0"/>
        <w:keepNext w:val="0"/>
        <w:pageBreakBefore w:val="0"/>
        <w:spacing w:line="500" w:lineRule="exact"/>
        <w:rPr>
          <w:rFonts w:ascii="Times New Roman" w:hAnsi="Times New Roman"/>
          <w:sz w:val="24"/>
          <w:szCs w:val="24"/>
        </w:rPr>
      </w:pPr>
      <w:r/>
      <w:bookmarkStart w:id="53" w:name="_Toc28359010"/>
      <w:r/>
      <w:bookmarkStart w:id="54" w:name="_Toc28359087"/>
      <w:r>
        <w:rPr>
          <w:rFonts w:hint="eastAsia" w:ascii="Times New Roman" w:hAnsi="Times New Roman"/>
          <w:sz w:val="24"/>
          <w:szCs w:val="24"/>
        </w:rPr>
        <w:t xml:space="preserve">名称：江苏大业工程管理咨询有限公司</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地址：宿迁市宿城区千百美商务广场1号楼9层913室</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联系人：司玉春</w:t>
      </w:r>
      <w:r/>
    </w:p>
    <w:p>
      <w:pPr>
        <w:ind w:firstLine="480"/>
        <w:jc w:val="left"/>
        <w:keepLines w:val="0"/>
        <w:keepNext w:val="0"/>
        <w:pageBreakBefore w:val="0"/>
        <w:spacing w:line="500" w:lineRule="exact"/>
        <w:rPr>
          <w:rFonts w:ascii="Times New Roman" w:hAnsi="Times New Roman"/>
          <w:sz w:val="24"/>
          <w:szCs w:val="24"/>
        </w:rPr>
      </w:pPr>
      <w:r>
        <w:rPr>
          <w:rFonts w:hint="eastAsia" w:ascii="Times New Roman" w:hAnsi="Times New Roman"/>
          <w:sz w:val="24"/>
          <w:szCs w:val="24"/>
        </w:rPr>
        <w:t xml:space="preserve">联系方式：</w:t>
      </w:r>
      <w:bookmarkEnd w:id="53"/>
      <w:r/>
      <w:bookmarkEnd w:id="54"/>
      <w:r>
        <w:rPr>
          <w:rFonts w:hint="eastAsia" w:ascii="Times New Roman" w:hAnsi="Times New Roman"/>
          <w:sz w:val="24"/>
          <w:szCs w:val="24"/>
        </w:rPr>
        <w:t xml:space="preserve">0527-82860322、18851590220</w:t>
      </w:r>
      <w:r/>
    </w:p>
    <w:p>
      <w:pPr>
        <w:ind w:firstLine="498"/>
        <w:keepLines/>
        <w:keepNext/>
        <w:spacing w:line="500" w:lineRule="exact"/>
        <w:rPr>
          <w:rFonts w:ascii="Times New Roman" w:hAnsi="Times New Roman"/>
          <w:b/>
          <w:bCs/>
          <w:sz w:val="32"/>
          <w:szCs w:val="32"/>
        </w:rPr>
        <w:outlineLvl w:val="2"/>
      </w:pPr>
      <w:r/>
      <w:bookmarkStart w:id="55" w:name="_Toc3545"/>
      <w:r>
        <w:rPr>
          <w:rFonts w:hint="eastAsia" w:ascii="Times New Roman" w:hAnsi="Times New Roman"/>
          <w:b/>
          <w:bCs/>
          <w:sz w:val="32"/>
          <w:szCs w:val="32"/>
        </w:rPr>
        <w:t xml:space="preserve">八、其他</w:t>
      </w:r>
      <w:bookmarkEnd w:id="55"/>
      <w:r/>
      <w:r/>
    </w:p>
    <w:p>
      <w:pPr>
        <w:ind w:firstLine="480"/>
        <w:spacing w:line="500" w:lineRule="exact"/>
        <w:tabs>
          <w:tab w:val="left" w:pos="900" w:leader="none"/>
        </w:tabs>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.有关本次采购的事项若存在变动或修改，敬请及时关注“宿迁市政府采购网”更正公告。</w:t>
      </w:r>
      <w:r/>
    </w:p>
    <w:p>
      <w:pPr>
        <w:ind w:firstLine="480"/>
        <w:spacing w:line="500" w:lineRule="exact"/>
        <w:tabs>
          <w:tab w:val="left" w:pos="900" w:leader="none"/>
        </w:tabs>
        <w:rPr>
          <w:rFonts w:ascii="Times New Roman" w:hAnsi="Times New Roman"/>
          <w:bCs/>
          <w:sz w:val="24"/>
          <w:szCs w:val="24"/>
        </w:rPr>
      </w:pPr>
      <w:r>
        <w:rPr>
          <w:rFonts w:hint="eastAsia" w:ascii="Times New Roman" w:hAnsi="Times New Roman"/>
          <w:bCs/>
          <w:sz w:val="24"/>
          <w:szCs w:val="24"/>
        </w:rPr>
        <w:t xml:space="preserve">2.本次磋商不收取磋商保证金。</w:t>
      </w:r>
      <w:r/>
    </w:p>
    <w:p>
      <w:pPr>
        <w:ind w:right="840"/>
        <w:rPr>
          <w:rFonts w:ascii="Times New Roman" w:hAnsi="Times New Roman"/>
          <w:sz w:val="24"/>
          <w:szCs w:val="24"/>
        </w:rPr>
      </w:pPr>
      <w:r>
        <w:rPr>
          <w:rFonts w:ascii="Times New Roman" w:hAnsi="Times New Roman"/>
          <w:sz w:val="24"/>
          <w:szCs w:val="24"/>
        </w:rPr>
      </w:r>
      <w:r/>
    </w:p>
    <w:p>
      <w:pPr>
        <w:rPr>
          <w:rFonts w:ascii="Times New Roman" w:hAnsi="Times New Roman" w:eastAsia="黑体"/>
          <w:sz w:val="44"/>
          <w:szCs w:val="44"/>
        </w:rPr>
      </w:pPr>
      <w:r/>
      <w:bookmarkStart w:id="56" w:name="_Toc120614211"/>
      <w:r>
        <w:rPr>
          <w:rFonts w:hint="eastAsia" w:ascii="Times New Roman" w:hAnsi="Times New Roman" w:eastAsia="黑体"/>
          <w:sz w:val="44"/>
          <w:szCs w:val="44"/>
        </w:rPr>
        <w:br w:type="page" w:clear="all"/>
      </w:r>
      <w:r/>
    </w:p>
    <w:p>
      <w:pPr>
        <w:jc w:val="center"/>
        <w:keepNext/>
        <w:rPr>
          <w:rFonts w:ascii="Times New Roman" w:hAnsi="Times New Roman" w:eastAsia="黑体"/>
          <w:sz w:val="44"/>
          <w:szCs w:val="44"/>
        </w:rPr>
        <w:outlineLvl w:val="0"/>
      </w:pPr>
      <w:r/>
      <w:bookmarkStart w:id="57" w:name="_Toc29859"/>
      <w:r>
        <w:rPr>
          <w:rFonts w:hint="eastAsia" w:ascii="Times New Roman" w:hAnsi="Times New Roman" w:eastAsia="黑体"/>
          <w:sz w:val="44"/>
          <w:szCs w:val="44"/>
        </w:rPr>
        <w:t xml:space="preserve">第二章  </w:t>
      </w:r>
      <w:bookmarkEnd w:id="1"/>
      <w:r/>
      <w:bookmarkEnd w:id="2"/>
      <w:r/>
      <w:bookmarkEnd w:id="3"/>
      <w:r/>
      <w:bookmarkEnd w:id="4"/>
      <w:r/>
      <w:bookmarkEnd w:id="5"/>
      <w:r/>
      <w:bookmarkEnd w:id="56"/>
      <w:r>
        <w:rPr>
          <w:rFonts w:hint="eastAsia" w:ascii="Times New Roman" w:hAnsi="Times New Roman" w:eastAsia="黑体"/>
          <w:sz w:val="44"/>
          <w:szCs w:val="44"/>
        </w:rPr>
        <w:t xml:space="preserve">供应商须知</w:t>
      </w:r>
      <w:bookmarkEnd w:id="57"/>
      <w:r/>
      <w:r/>
    </w:p>
    <w:p>
      <w:pPr>
        <w:keepLines/>
        <w:keepNext/>
        <w:spacing w:after="200" w:line="520" w:lineRule="exact"/>
        <w:rPr>
          <w:rFonts w:ascii="Arial" w:hAnsi="Arial" w:cs="Arial"/>
          <w:b/>
          <w:bCs/>
          <w:sz w:val="32"/>
        </w:rPr>
        <w:outlineLvl w:val="1"/>
      </w:pPr>
      <w:r/>
      <w:bookmarkStart w:id="58" w:name="_Toc141869961"/>
      <w:r/>
      <w:bookmarkStart w:id="59" w:name="_Toc6415"/>
      <w:r/>
      <w:bookmarkStart w:id="60" w:name="_Toc5970"/>
      <w:r/>
      <w:bookmarkStart w:id="61" w:name="_Toc20823275"/>
      <w:r/>
      <w:bookmarkStart w:id="62" w:name="_Toc120614214"/>
      <w:r/>
      <w:bookmarkStart w:id="63" w:name="_Toc513029203"/>
      <w:r/>
      <w:bookmarkStart w:id="64" w:name="_Toc16938519"/>
      <w:r>
        <w:rPr>
          <w:rFonts w:hint="eastAsia" w:ascii="Arial" w:hAnsi="Arial" w:cs="Arial"/>
          <w:b/>
          <w:bCs/>
          <w:sz w:val="32"/>
        </w:rPr>
        <w:t xml:space="preserve">供应商须知前附表：</w:t>
      </w:r>
      <w:bookmarkEnd w:id="58"/>
      <w:r/>
      <w:bookmarkEnd w:id="59"/>
      <w:r/>
      <w:bookmarkEnd w:id="60"/>
      <w:r/>
      <w:r/>
    </w:p>
    <w:tbl>
      <w:tblPr>
        <w:tblStyle w:val="82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3</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ascii="Times New Roman" w:hAnsi="Times New Roman" w:cs="仿宋"/>
                <w:sz w:val="24"/>
                <w:szCs w:val="24"/>
              </w:rPr>
              <w:t xml:space="preserve">1</w:t>
            </w:r>
            <w:bookmarkEnd w:id="65"/>
            <w:r>
              <w:rPr>
                <w:rFonts w:ascii="Times New Roman" w:hAnsi="Times New Roman" w:cs="仿宋"/>
                <w:sz w:val="24"/>
                <w:szCs w:val="24"/>
              </w:rPr>
              <w:t xml:space="preserve">.</w:t>
            </w:r>
            <w:r>
              <w:rPr>
                <w:rFonts w:hint="eastAsia" w:ascii="Times New Roman" w:hAnsi="Times New Roman" w:cs="仿宋"/>
                <w:sz w:val="24"/>
                <w:szCs w:val="24"/>
              </w:rPr>
              <w:t xml:space="preserve">货物</w:t>
            </w:r>
            <w:bookmarkStart w:id="66" w:name="EBd5c6c026f9674c39b21b31ecd0c1e7fa"/>
            <w:r>
              <w:rPr>
                <w:rFonts w:hint="eastAsia" w:ascii="Times New Roman" w:hAnsi="Times New Roman" w:cs="仿宋"/>
                <w:sz w:val="24"/>
                <w:szCs w:val="24"/>
              </w:rPr>
              <w:t xml:space="preserve">采购；</w:t>
            </w:r>
            <w:r>
              <w:rPr>
                <w:rFonts w:ascii="Times New Roman" w:hAnsi="Times New Roman" w:cs="仿宋"/>
                <w:sz w:val="24"/>
                <w:szCs w:val="24"/>
              </w:rPr>
              <w:t xml:space="preserve">2.</w:t>
            </w:r>
            <w:bookmarkEnd w:id="66"/>
            <w:r>
              <w:rPr>
                <w:rFonts w:hint="eastAsia" w:ascii="Times New Roman" w:hAnsi="Times New Roman" w:cs="仿宋"/>
                <w:sz w:val="24"/>
                <w:szCs w:val="24"/>
              </w:rPr>
              <w:t xml:space="preserve">服务</w:t>
            </w:r>
            <w:bookmarkStart w:id="67" w:name="EBf7d2a4f44ecb4166a93ea852e73be69f"/>
            <w:r>
              <w:rPr>
                <w:rFonts w:hint="eastAsia" w:ascii="Times New Roman" w:hAnsi="Times New Roman" w:cs="仿宋"/>
                <w:sz w:val="24"/>
                <w:szCs w:val="24"/>
              </w:rPr>
              <w:t xml:space="preserve">采购；</w:t>
            </w:r>
            <w:r>
              <w:rPr>
                <w:rFonts w:ascii="Times New Roman" w:hAnsi="Times New Roman" w:cs="仿宋"/>
                <w:sz w:val="24"/>
                <w:szCs w:val="24"/>
              </w:rPr>
              <w:t xml:space="preserve">3.</w:t>
            </w:r>
            <w:bookmarkEnd w:id="67"/>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rPr>
            </w:pPr>
            <w:r>
              <w:rPr>
                <w:rFonts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68" w:name="OLE_LINK8"/>
            <w:r>
              <w:rPr>
                <w:rFonts w:hint="eastAsia" w:ascii="Times New Roman" w:hAnsi="Times New Roman" w:cs="仿宋"/>
                <w:sz w:val="24"/>
              </w:rPr>
              <w:t xml:space="preserve">应当符合《政</w:t>
            </w:r>
            <w:bookmarkStart w:id="69" w:name="OLE_LINK1"/>
            <w:r>
              <w:rPr>
                <w:rFonts w:hint="eastAsia" w:ascii="Times New Roman" w:hAnsi="Times New Roman" w:cs="仿宋"/>
                <w:sz w:val="24"/>
              </w:rPr>
              <w:t xml:space="preserve">府采购进口产品管理办法</w:t>
            </w:r>
            <w:bookmarkEnd w:id="69"/>
            <w:r>
              <w:rPr>
                <w:rFonts w:hint="eastAsia" w:ascii="Times New Roman" w:hAnsi="Times New Roman" w:cs="仿宋"/>
                <w:sz w:val="24"/>
              </w:rPr>
              <w:t xml:space="preserve">》（财库〔</w:t>
            </w:r>
            <w:r>
              <w:rPr>
                <w:rFonts w:ascii="Times New Roman" w:hAnsi="Times New Roman" w:cs="仿宋"/>
                <w:sz w:val="24"/>
              </w:rPr>
              <w:t xml:space="preserve">2007</w:t>
            </w:r>
            <w:r>
              <w:rPr>
                <w:rFonts w:hint="eastAsia" w:ascii="Times New Roman" w:hAnsi="Times New Roman" w:cs="仿宋"/>
                <w:sz w:val="24"/>
              </w:rPr>
              <w:t xml:space="preserve">〕</w:t>
            </w:r>
            <w:r>
              <w:rPr>
                <w:rFonts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ascii="Times New Roman" w:hAnsi="Times New Roman" w:cs="仿宋"/>
                <w:sz w:val="24"/>
              </w:rPr>
              <w:t xml:space="preserve">2008</w:t>
            </w:r>
            <w:r>
              <w:rPr>
                <w:rFonts w:hint="eastAsia" w:ascii="Times New Roman" w:hAnsi="Times New Roman" w:cs="仿宋"/>
                <w:sz w:val="24"/>
              </w:rPr>
              <w:t xml:space="preserve">〕</w:t>
            </w:r>
            <w:r>
              <w:rPr>
                <w:rFonts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68"/>
            <w:r/>
            <w:r/>
          </w:p>
          <w:p>
            <w:pPr>
              <w:jc w:val="left"/>
              <w:spacing w:line="360" w:lineRule="exact"/>
              <w:widowControl/>
              <w:rPr>
                <w:rFonts w:ascii="Times New Roman" w:hAnsi="Times New Roman" w:cs="仿宋"/>
                <w:sz w:val="24"/>
                <w:szCs w:val="24"/>
              </w:rPr>
            </w:pPr>
            <w:r>
              <w:rPr>
                <w:rFonts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0"/>
              </w:rPr>
            </w:pPr>
            <w:r>
              <w:rPr>
                <w:rFonts w:hint="eastAsia" w:ascii="Times New Roman" w:hAnsi="Times New Roman" w:cs="仿宋"/>
                <w:sz w:val="24"/>
                <w:szCs w:val="24"/>
              </w:rPr>
              <w:t xml:space="preserve">综合评分法。具体细则详见磋商文件评审方法和评审标准部分。</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1.</w:t>
            </w:r>
            <w:r>
              <w:rPr>
                <w:rFonts w:hint="eastAsia" w:ascii="Times New Roman" w:hAnsi="Times New Roman" w:cs="仿宋"/>
                <w:sz w:val="24"/>
                <w:szCs w:val="24"/>
              </w:rPr>
              <w:t xml:space="preserve">磋商小组根据综合评分情况，按照评审得分由高到低顺序推荐3名成交候选供应商。</w:t>
            </w:r>
            <w:r/>
          </w:p>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2.评标委员会在推荐成交候选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前应按得分由高到低查询供应商下列信息，直至推荐出成交候选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：按照磋商文件规定的企业资质，登录企业注册地省级住建部门指定的查询平台查询成交候选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的资质并截图保存，该资质动态监管结果处于不合格状态的不得推荐为成交候选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Times New Roman" w:hAnsi="Times New Roman" w:cs="仿宋"/>
                <w:sz w:val="24"/>
                <w:szCs w:val="24"/>
              </w:rPr>
            </w:pPr>
            <w:r/>
            <w:bookmarkStart w:id="70" w:name="EBebac1462c5d9459fbda8a75065c2455d"/>
            <w:r>
              <w:rPr>
                <w:rFonts w:hint="eastAsia" w:ascii="Times New Roman" w:hAnsi="Times New Roman" w:cs="仿宋"/>
                <w:sz w:val="24"/>
                <w:szCs w:val="24"/>
              </w:rPr>
              <w:t xml:space="preserve">本项目的非主体、非关键性工作是否允许分包按以下第 2种方式确定：</w:t>
            </w:r>
            <w:r/>
          </w:p>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1.</w:t>
            </w:r>
            <w:bookmarkEnd w:id="70"/>
            <w:r>
              <w:rPr>
                <w:rFonts w:hint="eastAsia" w:ascii="Times New Roman" w:hAnsi="Times New Roman" w:cs="仿宋"/>
                <w:sz w:val="24"/>
                <w:szCs w:val="24"/>
              </w:rPr>
              <w:t xml:space="preserve">允许分包，</w:t>
            </w:r>
            <w:bookmarkStart w:id="7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1"/>
            <w:r>
              <w:rPr>
                <w:rFonts w:hint="eastAsia" w:ascii="Times New Roman" w:hAnsi="Times New Roman" w:cs="仿宋"/>
                <w:sz w:val="24"/>
                <w:szCs w:val="24"/>
              </w:rPr>
              <w:t xml:space="preserve">无</w:t>
            </w:r>
            <w:r/>
          </w:p>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参照苏招协[2022]002号规定标准向代理单位支付代理服务费。</w:t>
            </w:r>
            <w:r/>
          </w:p>
        </w:tc>
      </w:tr>
      <w:tr>
        <w:trPr>
          <w:trHeight w:val="604"/>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numPr>
                <w:ilvl w:val="0"/>
                <w:numId w:val="0"/>
              </w:numPr>
              <w:jc w:val="center"/>
              <w:spacing w:line="36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numPr>
                <w:ilvl w:val="0"/>
                <w:numId w:val="0"/>
              </w:numPr>
              <w:jc w:val="left"/>
              <w:spacing w:line="36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1.</w:t>
            </w:r>
            <w:r>
              <w:rPr>
                <w:rFonts w:hint="eastAsia" w:ascii="Times New Roman" w:hAnsi="Times New Roman" w:eastAsia="宋体" w:cs="仿宋"/>
                <w:sz w:val="24"/>
                <w:szCs w:val="24"/>
              </w:rPr>
              <w:t xml:space="preserve">供应商可对项目现场进行踏勘，踏勘现场可直接与采购单位联系。但费用由供应商自行承担。供应商在投标时应充分考虑现场实际情况，采购人不负担因供应商对项目现场情况考虑不周而产生的其他任何费用。</w:t>
            </w:r>
            <w:r/>
          </w:p>
          <w:p>
            <w:pPr>
              <w:numPr>
                <w:ilvl w:val="0"/>
                <w:numId w:val="0"/>
              </w:numPr>
              <w:jc w:val="left"/>
              <w:spacing w:line="36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2.</w:t>
            </w:r>
            <w:r>
              <w:rPr>
                <w:rFonts w:hint="eastAsia" w:ascii="Times New Roman" w:hAnsi="Times New Roman" w:eastAsia="宋体" w:cs="仿宋"/>
                <w:sz w:val="24"/>
                <w:szCs w:val="24"/>
              </w:rPr>
              <w:t xml:space="preserve">友情提醒：</w:t>
            </w:r>
            <w:r>
              <w:rPr>
                <w:rFonts w:hint="eastAsia" w:ascii="Times New Roman" w:hAnsi="Times New Roman" w:eastAsia="宋体" w:cs="仿宋"/>
                <w:sz w:val="24"/>
                <w:szCs w:val="24"/>
                <w:lang w:val="en-US" w:eastAsia="zh-CN"/>
              </w:rPr>
              <w:t xml:space="preserve">如供应商</w:t>
            </w:r>
            <w:r>
              <w:rPr>
                <w:rFonts w:hint="eastAsia" w:ascii="Times New Roman" w:hAnsi="Times New Roman" w:eastAsia="宋体" w:cs="仿宋"/>
                <w:sz w:val="24"/>
                <w:szCs w:val="24"/>
              </w:rPr>
              <w:t xml:space="preserve">拟选派项目负责人为一级建造师，请</w:t>
            </w:r>
            <w:r>
              <w:rPr>
                <w:rFonts w:hint="eastAsia" w:ascii="Times New Roman" w:hAnsi="Times New Roman" w:eastAsia="宋体" w:cs="仿宋"/>
                <w:sz w:val="24"/>
                <w:szCs w:val="24"/>
                <w:lang w:eastAsia="zh-CN"/>
              </w:rPr>
              <w:t xml:space="preserve">供应商</w:t>
            </w:r>
            <w:r>
              <w:rPr>
                <w:rFonts w:hint="eastAsia" w:ascii="Times New Roman" w:hAnsi="Times New Roman" w:eastAsia="宋体" w:cs="仿宋"/>
                <w:sz w:val="24"/>
                <w:szCs w:val="24"/>
              </w:rPr>
              <w:t xml:space="preserve">按照《住房和城乡建设部办公厅关于全面实行一级建造师电子注册证书的通知》(建办市〔2021〕40 号)自查，避免电子证书无效。</w:t>
            </w:r>
            <w:r/>
          </w:p>
        </w:tc>
      </w:tr>
    </w:tbl>
    <w:p>
      <w:pPr>
        <w:rPr>
          <w:rFonts w:ascii="Times New Roman" w:hAnsi="Times New Roman"/>
          <w:b/>
          <w:bCs/>
          <w:sz w:val="32"/>
          <w:szCs w:val="32"/>
        </w:rPr>
      </w:pPr>
      <w:r>
        <w:rPr>
          <w:rFonts w:ascii="Times New Roman" w:hAnsi="Times New Roman"/>
          <w:b/>
          <w:bCs/>
          <w:sz w:val="32"/>
          <w:szCs w:val="32"/>
        </w:rPr>
      </w:r>
      <w:bookmarkEnd w:id="61"/>
      <w:r/>
      <w:bookmarkEnd w:id="62"/>
      <w:r/>
      <w:bookmarkEnd w:id="63"/>
      <w:r/>
      <w:bookmarkEnd w:id="64"/>
      <w:r/>
      <w:r/>
    </w:p>
    <w:p>
      <w:pPr>
        <w:ind w:firstLine="320"/>
        <w:keepLines/>
        <w:keepNext/>
        <w:spacing w:line="520" w:lineRule="exact"/>
        <w:rPr>
          <w:rFonts w:hint="eastAsia" w:ascii="黑体" w:hAnsi="黑体" w:eastAsia="黑体" w:cs="黑体"/>
          <w:sz w:val="32"/>
        </w:rPr>
        <w:outlineLvl w:val="1"/>
      </w:pPr>
      <w:r/>
      <w:bookmarkStart w:id="72" w:name="_Toc25078"/>
      <w:r/>
      <w:bookmarkStart w:id="73" w:name="_Toc16797"/>
      <w:r>
        <w:rPr>
          <w:rFonts w:hint="eastAsia" w:ascii="黑体" w:hAnsi="黑体" w:eastAsia="黑体" w:cs="黑体"/>
          <w:sz w:val="32"/>
        </w:rPr>
        <w:t xml:space="preserve">一、总 则</w:t>
      </w:r>
      <w:bookmarkEnd w:id="72"/>
      <w:r/>
      <w:bookmarkEnd w:id="73"/>
      <w:r/>
      <w:r/>
    </w:p>
    <w:p>
      <w:pPr>
        <w:ind w:firstLine="482"/>
        <w:spacing w:line="480" w:lineRule="exact"/>
        <w:rPr>
          <w:rFonts w:ascii="Times New Roman" w:hAnsi="Times New Roman" w:cs="仿宋"/>
          <w:b/>
          <w:sz w:val="24"/>
        </w:rPr>
      </w:pPr>
      <w:r>
        <w:rPr>
          <w:rFonts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hint="eastAsia" w:ascii="宋体" w:hAnsi="宋体"/>
          <w:b/>
          <w:sz w:val="24"/>
        </w:rPr>
      </w:pPr>
      <w:r>
        <w:rPr>
          <w:rFonts w:hint="eastAsia" w:ascii="宋体" w:hAnsi="宋体"/>
          <w:b/>
          <w:sz w:val="24"/>
        </w:rPr>
        <w:t xml:space="preserve">3、适用法律和标准</w:t>
      </w:r>
      <w:r/>
    </w:p>
    <w:p>
      <w:pPr>
        <w:ind w:firstLine="480"/>
        <w:spacing w:line="480" w:lineRule="exact"/>
        <w:rPr>
          <w:rFonts w:ascii="Times New Roman" w:hAnsi="Times New Roman" w:cs="仿宋"/>
          <w:sz w:val="24"/>
        </w:rPr>
      </w:pPr>
      <w:r>
        <w:rPr>
          <w:rFonts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4.2代理费用收取方式及标准：按以下第</w:t>
      </w:r>
      <w:r>
        <w:rPr>
          <w:rFonts w:ascii="Times New Roman" w:hAnsi="Times New Roman"/>
          <w:sz w:val="24"/>
          <w:szCs w:val="21"/>
          <w:u w:val="single"/>
        </w:rPr>
        <w:t xml:space="preserve">4.2.2</w:t>
      </w:r>
      <w:r>
        <w:rPr>
          <w:rFonts w:hint="eastAsia" w:ascii="Times New Roman" w:hAnsi="Times New Roman"/>
          <w:sz w:val="24"/>
          <w:szCs w:val="21"/>
        </w:rPr>
        <w:t xml:space="preserve"> 种方式执行。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4.2.1无需支付；</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4.2.2具体方式及标准为：</w:t>
      </w:r>
      <w:bookmarkStart w:id="74" w:name="EB494c0bc35e674ba8ba0c8d892ff35fa5"/>
      <w:r>
        <w:rPr>
          <w:rFonts w:hint="eastAsia" w:ascii="Times New Roman" w:hAnsi="Times New Roman"/>
          <w:sz w:val="24"/>
          <w:szCs w:val="21"/>
          <w:highlight w:val="none"/>
          <w:lang w:val="zh-CN"/>
        </w:rPr>
        <w:t xml:space="preserve">参照苏招协[2022]002号规定标准向代理单位支付代理服务费，</w:t>
      </w:r>
      <w:r>
        <w:rPr>
          <w:rFonts w:hint="eastAsia" w:ascii="Times New Roman" w:hAnsi="Times New Roman" w:eastAsia="宋体"/>
          <w:sz w:val="24"/>
          <w:szCs w:val="21"/>
          <w:highlight w:val="none"/>
          <w:lang w:val="zh-CN"/>
        </w:rPr>
        <w:t xml:space="preserve">由成交供应商支付</w:t>
      </w:r>
      <w:r>
        <w:rPr>
          <w:rFonts w:hint="eastAsia" w:ascii="Times New Roman" w:hAnsi="Times New Roman"/>
          <w:sz w:val="24"/>
          <w:szCs w:val="21"/>
          <w:highlight w:val="none"/>
        </w:rPr>
        <w:t xml:space="preserve">，本项费用包含在投标报价中，无需在投标报价表中单列。供应商应综合考虑在投标报价中</w:t>
      </w:r>
      <w:r>
        <w:rPr>
          <w:rFonts w:hint="eastAsia" w:ascii="Times New Roman" w:hAnsi="Times New Roman"/>
          <w:sz w:val="24"/>
          <w:szCs w:val="21"/>
          <w:lang w:val="zh-CN"/>
        </w:rPr>
        <w:t xml:space="preserve">。</w:t>
      </w:r>
      <w:bookmarkEnd w:id="74"/>
      <w:r>
        <w:rPr>
          <w:rFonts w:hint="eastAsia" w:ascii="Times New Roman" w:hAnsi="Times New Roman"/>
          <w:sz w:val="24"/>
          <w:szCs w:val="21"/>
          <w:lang w:val="zh-CN"/>
        </w:rPr>
        <w:t xml:space="preserve">支付方式可以通过转账或数字人民币等方式。</w:t>
      </w:r>
      <w:r/>
    </w:p>
    <w:p>
      <w:pPr>
        <w:ind w:firstLine="320"/>
        <w:keepLines/>
        <w:keepNext/>
        <w:spacing w:line="520" w:lineRule="exact"/>
        <w:rPr>
          <w:rFonts w:hint="eastAsia" w:ascii="黑体" w:hAnsi="黑体" w:eastAsia="黑体" w:cs="黑体"/>
          <w:sz w:val="32"/>
        </w:rPr>
        <w:outlineLvl w:val="1"/>
      </w:pPr>
      <w:r/>
      <w:bookmarkStart w:id="75" w:name="_Toc141869963"/>
      <w:r/>
      <w:bookmarkStart w:id="76" w:name="_Toc26096"/>
      <w:r/>
      <w:bookmarkStart w:id="77" w:name="_Toc7844"/>
      <w:r/>
      <w:bookmarkStart w:id="78" w:name="_Toc462564070"/>
      <w:r/>
      <w:bookmarkStart w:id="79" w:name="_Toc513029211"/>
      <w:r/>
      <w:bookmarkStart w:id="80" w:name="_Toc16938527"/>
      <w:r/>
      <w:bookmarkStart w:id="81" w:name="_Toc20823283"/>
      <w:r>
        <w:rPr>
          <w:rFonts w:hint="eastAsia" w:ascii="黑体" w:hAnsi="黑体" w:eastAsia="黑体" w:cs="黑体"/>
          <w:sz w:val="32"/>
        </w:rPr>
        <w:t xml:space="preserve">二、竞争性磋商文件</w:t>
      </w:r>
      <w:bookmarkEnd w:id="75"/>
      <w:r/>
      <w:bookmarkEnd w:id="76"/>
      <w:r/>
      <w:bookmarkEnd w:id="77"/>
      <w:r/>
      <w:r/>
    </w:p>
    <w:p>
      <w:pPr>
        <w:ind w:firstLine="482"/>
        <w:spacing w:line="480" w:lineRule="exact"/>
        <w:rPr>
          <w:rFonts w:ascii="Times New Roman" w:hAnsi="Times New Roman" w:cs="仿宋"/>
          <w:b/>
          <w:sz w:val="24"/>
        </w:rPr>
      </w:pPr>
      <w:r>
        <w:rPr>
          <w:rFonts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ascii="Times New Roman" w:hAnsi="Times New Roman" w:cs="仿宋"/>
          <w:b/>
          <w:bCs/>
          <w:sz w:val="24"/>
          <w:u w:val="single"/>
        </w:rPr>
        <w:t xml:space="preserve">6.1</w:t>
      </w:r>
      <w:r>
        <w:rPr>
          <w:rFonts w:hint="eastAsia" w:ascii="Times New Roman" w:hAnsi="Times New Roman" w:cs="仿宋"/>
          <w:b/>
          <w:bCs/>
          <w:sz w:val="24"/>
          <w:u w:val="single"/>
        </w:rPr>
        <w:t xml:space="preserve">、6.3、6.4.1、6.5</w:t>
      </w:r>
      <w:r/>
    </w:p>
    <w:p>
      <w:pPr>
        <w:ind w:firstLine="480"/>
        <w:spacing w:line="480" w:lineRule="exact"/>
        <w:rPr>
          <w:rFonts w:ascii="Times New Roman" w:hAnsi="Times New Roman" w:cs="仿宋"/>
          <w:sz w:val="24"/>
        </w:rPr>
      </w:pPr>
      <w:r>
        <w:rPr>
          <w:rFonts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在工程采购项目中，工程由中小企业承建，即工程施工单位为中小企业。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ascii="Times New Roman" w:hAnsi="Times New Roman" w:cs="仿宋"/>
          <w:sz w:val="24"/>
        </w:rPr>
        <w:t xml:space="preserve">2020</w:t>
      </w:r>
      <w:r>
        <w:rPr>
          <w:rFonts w:hint="eastAsia" w:ascii="Times New Roman" w:hAnsi="Times New Roman" w:cs="仿宋"/>
          <w:sz w:val="24"/>
        </w:rPr>
        <w:t xml:space="preserve">〕</w:t>
      </w:r>
      <w:r>
        <w:rPr>
          <w:rFonts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ascii="Times New Roman" w:hAnsi="Times New Roman" w:cs="仿宋"/>
          <w:sz w:val="24"/>
        </w:rPr>
        <w:t xml:space="preserve">2011</w:t>
      </w:r>
      <w:r>
        <w:rPr>
          <w:rFonts w:hint="eastAsia" w:ascii="Times New Roman" w:hAnsi="Times New Roman" w:cs="仿宋"/>
          <w:sz w:val="24"/>
        </w:rPr>
        <w:t xml:space="preserve">〕</w:t>
      </w:r>
      <w:r>
        <w:rPr>
          <w:rFonts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ascii="Times New Roman" w:hAnsi="Times New Roman" w:cs="仿宋"/>
          <w:sz w:val="24"/>
        </w:rPr>
        <w:t xml:space="preserve">2014</w:t>
      </w:r>
      <w:r>
        <w:rPr>
          <w:rFonts w:hint="eastAsia" w:ascii="Times New Roman" w:hAnsi="Times New Roman" w:cs="仿宋"/>
          <w:sz w:val="24"/>
        </w:rPr>
        <w:t xml:space="preserve">〕</w:t>
      </w:r>
      <w:r>
        <w:rPr>
          <w:rFonts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ascii="Times New Roman" w:hAnsi="Times New Roman" w:cs="仿宋"/>
          <w:sz w:val="24"/>
        </w:rPr>
        <w:t xml:space="preserve">(</w:t>
      </w:r>
      <w:r>
        <w:rPr>
          <w:rFonts w:hint="eastAsia" w:ascii="Times New Roman" w:hAnsi="Times New Roman" w:cs="仿宋"/>
          <w:sz w:val="24"/>
        </w:rPr>
        <w:t xml:space="preserve">含新疆生产建设兵团</w:t>
      </w:r>
      <w:r>
        <w:rPr>
          <w:rFonts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ascii="Times New Roman" w:hAnsi="Times New Roman" w:cs="仿宋"/>
          <w:sz w:val="24"/>
        </w:rPr>
        <w:t xml:space="preserve"> </w:t>
      </w:r>
      <w:r>
        <w:rPr>
          <w:rFonts w:hint="eastAsia" w:ascii="Times New Roman" w:hAnsi="Times New Roman" w:cs="仿宋"/>
          <w:sz w:val="24"/>
        </w:rPr>
        <w:t xml:space="preserve">民政部</w:t>
      </w:r>
      <w:r>
        <w:rPr>
          <w:rFonts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ascii="Times New Roman" w:hAnsi="Times New Roman" w:cs="仿宋"/>
          <w:sz w:val="24"/>
        </w:rPr>
        <w:t xml:space="preserve">2017</w:t>
      </w:r>
      <w:r>
        <w:rPr>
          <w:rFonts w:hint="eastAsia" w:ascii="Times New Roman" w:hAnsi="Times New Roman" w:cs="仿宋"/>
          <w:sz w:val="24"/>
        </w:rPr>
        <w:t xml:space="preserve">〕</w:t>
      </w:r>
      <w:r>
        <w:rPr>
          <w:rFonts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ascii="Times New Roman" w:hAnsi="Times New Roman" w:cs="仿宋"/>
          <w:sz w:val="24"/>
        </w:rPr>
        <w:t xml:space="preserve">6</w:t>
      </w:r>
      <w:r>
        <w:rPr>
          <w:rFonts w:hint="eastAsia" w:ascii="Times New Roman" w:hAnsi="Times New Roman" w:cs="仿宋"/>
          <w:sz w:val="24"/>
        </w:rPr>
        <w:t xml:space="preserve">.</w:t>
      </w:r>
      <w:r>
        <w:rPr>
          <w:rFonts w:ascii="Times New Roman" w:hAnsi="Times New Roman" w:cs="仿宋"/>
          <w:sz w:val="24"/>
        </w:rPr>
        <w:t xml:space="preserve">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rPr>
          <w:rFonts w:hint="eastAsia" w:ascii="Times New Roman" w:hAnsi="Times New Roman" w:cs="仿宋_GB2312"/>
          <w:b/>
          <w:bCs/>
          <w:color w:val="auto"/>
          <w:sz w:val="24"/>
        </w:rPr>
        <w:t xml:space="preserve">（本项目工程量清单中涉及材料：商品混凝土属于政府优先采购的环保品目清单范围内）</w:t>
      </w:r>
      <w:r/>
    </w:p>
    <w:p>
      <w:pPr>
        <w:ind w:firstLine="480"/>
        <w:spacing w:line="480" w:lineRule="exact"/>
        <w:rPr>
          <w:rFonts w:ascii="Times New Roman" w:hAnsi="Times New Roman" w:cs="仿宋"/>
          <w:sz w:val="24"/>
        </w:rPr>
      </w:pPr>
      <w:r>
        <w:rPr>
          <w:rFonts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ascii="Times New Roman" w:hAnsi="Times New Roman" w:cs="仿宋"/>
          <w:sz w:val="24"/>
        </w:rPr>
        <w:t xml:space="preserve"> </w:t>
      </w:r>
      <w:r>
        <w:rPr>
          <w:rFonts w:hint="eastAsia" w:ascii="Times New Roman" w:hAnsi="Times New Roman" w:cs="仿宋"/>
          <w:sz w:val="24"/>
        </w:rPr>
        <w:t xml:space="preserve">生态环境部</w:t>
      </w:r>
      <w:r>
        <w:rPr>
          <w:rFonts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按照财政部住房和城乡建设部</w:t>
      </w:r>
      <w:r>
        <w:rPr>
          <w:rFonts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bookmarkEnd w:id="78"/>
      <w:r/>
      <w:bookmarkEnd w:id="79"/>
      <w:r/>
      <w:bookmarkEnd w:id="80"/>
      <w:r/>
      <w:bookmarkEnd w:id="81"/>
      <w:r/>
      <w:r/>
    </w:p>
    <w:p>
      <w:pPr>
        <w:ind w:firstLine="482"/>
        <w:spacing w:line="480" w:lineRule="exact"/>
        <w:rPr>
          <w:rFonts w:ascii="Times New Roman" w:hAnsi="Times New Roman" w:cs="仿宋"/>
          <w:b/>
          <w:sz w:val="24"/>
        </w:rPr>
      </w:pPr>
      <w:r/>
      <w:bookmarkStart w:id="82" w:name="_Toc462564072"/>
      <w:r/>
      <w:bookmarkStart w:id="83" w:name="_Toc16938529"/>
      <w:r/>
      <w:bookmarkStart w:id="84" w:name="_Toc120614216"/>
      <w:r/>
      <w:bookmarkStart w:id="85" w:name="_Toc20823285"/>
      <w:r/>
      <w:bookmarkStart w:id="86" w:name="_Toc513029213"/>
      <w:r>
        <w:rPr>
          <w:rFonts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cs="仿宋"/>
          <w:sz w:val="24"/>
        </w:rPr>
        <w:t xml:space="preserve">5</w:t>
      </w:r>
      <w:r>
        <w:rPr>
          <w:rFonts w:hint="eastAsia" w:ascii="Times New Roman" w:hAnsi="Times New Roman" w:cs="仿宋"/>
          <w:sz w:val="24"/>
        </w:rPr>
        <w:t xml:space="preserve">日前，以书面形式通知所有获取磋商文件的供应商；不足</w:t>
      </w:r>
      <w:r>
        <w:rPr>
          <w:rFonts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ascii="Times New Roman" w:hAnsi="Times New Roman" w:cs="仿宋"/>
          <w:sz w:val="24"/>
        </w:rPr>
        <w:t xml:space="preserve">7.3</w:t>
      </w:r>
      <w:r>
        <w:rPr>
          <w:rFonts w:hint="eastAsia" w:ascii="Times New Roman" w:hAnsi="Times New Roman" w:cs="仿宋"/>
          <w:sz w:val="24"/>
        </w:rPr>
        <w:t xml:space="preserve">供应商应及时登录“苏采云”系统获取、查看澄清答疑文件（修改后磋商文件），否则造成的相关责任由供应商承担。</w:t>
      </w:r>
      <w:bookmarkEnd w:id="82"/>
      <w:r/>
      <w:bookmarkEnd w:id="83"/>
      <w:r/>
      <w:bookmarkEnd w:id="84"/>
      <w:r/>
      <w:bookmarkEnd w:id="85"/>
      <w:r/>
      <w:bookmarkEnd w:id="86"/>
      <w:r/>
      <w:r/>
    </w:p>
    <w:p>
      <w:pPr>
        <w:ind w:firstLine="320"/>
        <w:keepLines/>
        <w:keepNext/>
        <w:spacing w:line="520" w:lineRule="exact"/>
        <w:rPr>
          <w:rFonts w:hint="eastAsia" w:ascii="黑体" w:hAnsi="黑体" w:eastAsia="黑体" w:cs="黑体"/>
          <w:sz w:val="32"/>
        </w:rPr>
        <w:outlineLvl w:val="1"/>
      </w:pPr>
      <w:r/>
      <w:bookmarkStart w:id="87" w:name="_Toc141869964"/>
      <w:r/>
      <w:bookmarkStart w:id="88" w:name="_Toc16563"/>
      <w:r/>
      <w:bookmarkStart w:id="89" w:name="_Toc2039"/>
      <w:r/>
      <w:bookmarkStart w:id="90" w:name="_Toc513029242"/>
      <w:r/>
      <w:bookmarkStart w:id="91" w:name="_Toc16938558"/>
      <w:r/>
      <w:bookmarkStart w:id="92" w:name="_Toc120614221"/>
      <w:r/>
      <w:bookmarkStart w:id="93" w:name="_Toc20823314"/>
      <w:r/>
      <w:bookmarkStart w:id="94" w:name="_Toc479757207"/>
      <w:r>
        <w:rPr>
          <w:rFonts w:hint="eastAsia" w:ascii="黑体" w:hAnsi="黑体" w:eastAsia="黑体" w:cs="黑体"/>
          <w:sz w:val="32"/>
        </w:rPr>
        <w:t xml:space="preserve">三、响应文件的编制</w:t>
      </w:r>
      <w:bookmarkEnd w:id="87"/>
      <w:r/>
      <w:bookmarkEnd w:id="88"/>
      <w:r/>
      <w:bookmarkEnd w:id="89"/>
      <w:r/>
      <w:r/>
    </w:p>
    <w:p>
      <w:pPr>
        <w:ind w:firstLine="482"/>
        <w:spacing w:line="480" w:lineRule="exact"/>
        <w:rPr>
          <w:rFonts w:ascii="Times New Roman" w:hAnsi="Times New Roman" w:cs="仿宋"/>
          <w:b/>
          <w:sz w:val="24"/>
        </w:rPr>
      </w:pPr>
      <w:r>
        <w:rPr>
          <w:rFonts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hint="eastAsia" w:ascii="Times New Roman" w:hAnsi="Times New Roman"/>
          <w:b/>
          <w:sz w:val="24"/>
        </w:rPr>
        <w:t xml:space="preserve">、响应文件构成</w:t>
      </w:r>
      <w:r/>
    </w:p>
    <w:p>
      <w:pPr>
        <w:ind w:firstLine="482"/>
        <w:spacing w:line="480" w:lineRule="exact"/>
        <w:rPr>
          <w:rFonts w:ascii="Times New Roman" w:hAnsi="Times New Roman"/>
          <w:b/>
          <w:sz w:val="24"/>
        </w:rPr>
      </w:pPr>
      <w:r/>
      <w:bookmarkStart w:id="95" w:name="EBd2e6df6607b447c7a4370e6531238d19"/>
      <w:r>
        <w:rPr>
          <w:rFonts w:ascii="Times New Roman" w:hAnsi="Times New Roman"/>
          <w:sz w:val="24"/>
          <w:szCs w:val="21"/>
        </w:rPr>
        <w:t xml:space="preserve">9.1</w:t>
      </w:r>
      <w:r>
        <w:rPr>
          <w:rFonts w:hint="eastAsia" w:ascii="Times New Roman" w:hAnsi="Times New Roman"/>
          <w:sz w:val="24"/>
          <w:szCs w:val="21"/>
        </w:rPr>
        <w:t xml:space="preserve">响应文件包括磋商响应函、资格证明文件、分项报价表、响应及偏离表、其他证明文件等部分。</w:t>
      </w:r>
      <w:r>
        <w:rPr>
          <w:rFonts w:hint="eastAsia"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hint="eastAsia"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hint="eastAsia" w:ascii="Times New Roman" w:hAnsi="Times New Roman"/>
          <w:b/>
          <w:bCs/>
          <w:sz w:val="24"/>
        </w:rPr>
        <w:t xml:space="preserve">苏采云</w:t>
      </w:r>
      <w:r>
        <w:rPr>
          <w:rFonts w:ascii="Times New Roman" w:hAnsi="Times New Roman"/>
          <w:b/>
          <w:bCs/>
          <w:sz w:val="24"/>
        </w:rPr>
        <w:t xml:space="preserve">”</w:t>
      </w:r>
      <w:r>
        <w:rPr>
          <w:rFonts w:hint="eastAsia"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95"/>
      <w:r/>
      <w:r/>
    </w:p>
    <w:p>
      <w:pPr>
        <w:ind w:firstLine="482"/>
        <w:spacing w:line="480" w:lineRule="exact"/>
        <w:rPr>
          <w:rFonts w:ascii="Times New Roman" w:hAnsi="Times New Roman" w:cs="仿宋"/>
          <w:b/>
          <w:sz w:val="24"/>
        </w:rPr>
      </w:pPr>
      <w:r>
        <w:rPr>
          <w:rFonts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的一切相关费用。</w:t>
      </w:r>
      <w:r/>
    </w:p>
    <w:p>
      <w:pPr>
        <w:ind w:firstLine="480"/>
        <w:spacing w:line="480" w:lineRule="exact"/>
        <w:rPr>
          <w:rFonts w:ascii="Times New Roman" w:hAnsi="Times New Roman" w:cs="仿宋"/>
          <w:sz w:val="24"/>
        </w:rPr>
      </w:pPr>
      <w:r>
        <w:rPr>
          <w:rFonts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10.3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10.4报价编制的参考依据：</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①《建设工程工程量清单计价标准》（GB/T50500-2024)；②《市政工程工程量计算标准》（GB/T50857-2024）；③《江苏省市政工程消耗量》(2026年)；</w:t>
      </w:r>
      <w:r>
        <w:rPr>
          <w:rFonts w:hint="eastAsia" w:ascii="Times New Roman" w:hAnsi="Times New Roman" w:eastAsia="宋体" w:cs="仿宋"/>
          <w:color w:val="auto"/>
          <w:sz w:val="24"/>
          <w:highlight w:val="none"/>
          <w:lang w:val="en-US" w:eastAsia="zh-CN"/>
        </w:rPr>
        <w:t xml:space="preserve">④</w:t>
      </w:r>
      <w:r>
        <w:rPr>
          <w:rFonts w:hint="eastAsia" w:ascii="Times New Roman" w:hAnsi="Times New Roman" w:eastAsia="宋体" w:cs="仿宋"/>
          <w:color w:val="auto"/>
          <w:sz w:val="24"/>
          <w:highlight w:val="none"/>
          <w:lang w:eastAsia="zh-CN"/>
        </w:rPr>
        <w:t xml:space="preserve">《江苏省建设工程施工机具台班费用参考表》（</w:t>
      </w:r>
      <w:r>
        <w:rPr>
          <w:rFonts w:hint="eastAsia" w:ascii="Times New Roman" w:hAnsi="Times New Roman" w:eastAsia="宋体" w:cs="仿宋"/>
          <w:color w:val="auto"/>
          <w:sz w:val="24"/>
          <w:highlight w:val="none"/>
          <w:lang w:val="en-US" w:eastAsia="zh-CN"/>
        </w:rPr>
        <w:t xml:space="preserve">2026</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rPr>
        <w:t xml:space="preserve">；</w:t>
      </w:r>
      <w:r>
        <w:rPr>
          <w:rFonts w:hint="eastAsia" w:ascii="Times New Roman" w:hAnsi="Times New Roman" w:cs="仿宋"/>
          <w:color w:val="auto"/>
          <w:sz w:val="24"/>
          <w:highlight w:val="none"/>
          <w:lang w:val="en-US" w:eastAsia="zh-CN"/>
        </w:rPr>
        <w:t xml:space="preserve">⑤</w:t>
      </w:r>
      <w:r>
        <w:rPr>
          <w:rFonts w:hint="eastAsia" w:ascii="Times New Roman" w:hAnsi="Times New Roman" w:eastAsia="宋体" w:cs="仿宋"/>
          <w:color w:val="auto"/>
          <w:sz w:val="24"/>
          <w:highlight w:val="none"/>
        </w:rPr>
        <w:t xml:space="preserve">《江苏省建设工程费用参考》（2026）及其配套文件；</w:t>
      </w:r>
      <w:r>
        <w:rPr>
          <w:rFonts w:hint="eastAsia" w:ascii="Times New Roman" w:hAnsi="Times New Roman" w:cs="仿宋"/>
          <w:color w:val="auto"/>
          <w:sz w:val="24"/>
          <w:highlight w:val="none"/>
          <w:lang w:val="en-US" w:eastAsia="zh-CN"/>
        </w:rPr>
        <w:t xml:space="preserve">⑥苏建函价〔2019〕178号文件《</w:t>
      </w:r>
      <w:r>
        <w:rPr>
          <w:rFonts w:hint="eastAsia" w:ascii="Times New Roman" w:hAnsi="Times New Roman" w:eastAsia="宋体" w:cs="仿宋"/>
          <w:color w:val="auto"/>
          <w:sz w:val="24"/>
          <w:highlight w:val="none"/>
          <w:lang w:val="en-US" w:eastAsia="zh-CN"/>
        </w:rPr>
        <w:t xml:space="preserve">省住房城乡建设厅关于建筑业增值税计价政策调整的通知》；⑦</w:t>
      </w:r>
      <w:r>
        <w:rPr>
          <w:rFonts w:hint="eastAsia" w:ascii="Times New Roman" w:hAnsi="Times New Roman" w:eastAsia="宋体" w:cs="仿宋"/>
          <w:color w:val="auto"/>
          <w:sz w:val="24"/>
          <w:highlight w:val="none"/>
        </w:rPr>
        <w:t xml:space="preserve">苏建价〔2016〕154号文件《省住房城乡建设厅关于建筑业实施营改增后江苏省建设工程计价依据调整的通知》</w:t>
      </w:r>
      <w:r>
        <w:rPr>
          <w:rFonts w:hint="eastAsia" w:ascii="Times New Roman" w:hAnsi="Times New Roman" w:eastAsia="宋体" w:cs="仿宋"/>
          <w:color w:val="auto"/>
          <w:sz w:val="24"/>
          <w:highlight w:val="none"/>
          <w:lang w:val="en-US" w:eastAsia="zh-CN"/>
        </w:rPr>
        <w:t xml:space="preserve">⑧</w:t>
      </w:r>
      <w:r>
        <w:rPr>
          <w:rFonts w:hint="eastAsia" w:ascii="Times New Roman" w:hAnsi="Times New Roman" w:eastAsia="宋体" w:cs="仿宋"/>
          <w:color w:val="auto"/>
          <w:sz w:val="24"/>
          <w:highlight w:val="none"/>
        </w:rPr>
        <w:t xml:space="preserve">苏建函价〔2025〕2号文件《省住房城乡建设厅关于建筑业增值税计价政策调整的通知》</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⑨其他相关规范。</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10.5供应商不得改变下列不可竞争费用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lang w:val="en-US" w:eastAsia="zh-CN"/>
        </w:rPr>
        <w:t xml:space="preserve">详见工程量清单</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：①安全生产措施费；②增值税</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③暂列金额、暂估价（材料暂估价与专业工程暂估价）。</w:t>
      </w:r>
      <w:r/>
    </w:p>
    <w:p>
      <w:pPr>
        <w:ind w:firstLine="480"/>
        <w:spacing w:line="480" w:lineRule="exact"/>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10.6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ind w:firstLine="482"/>
        <w:spacing w:line="480" w:lineRule="exact"/>
        <w:rPr>
          <w:rFonts w:ascii="Times New Roman" w:hAnsi="Times New Roman" w:cs="仿宋"/>
          <w:b/>
          <w:sz w:val="24"/>
        </w:rPr>
      </w:pPr>
      <w:r>
        <w:rPr>
          <w:rFonts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96" w:name="EB2c6535ca97b046d89f956e109e785ae2"/>
      <w:r>
        <w:rPr>
          <w:rFonts w:hint="eastAsia" w:ascii="Times New Roman" w:hAnsi="Times New Roman" w:cs="仿宋"/>
          <w:sz w:val="24"/>
        </w:rPr>
        <w:t xml:space="preserve">本项目不收取磋商保证金。</w:t>
      </w:r>
      <w:bookmarkEnd w:id="96"/>
      <w:r/>
      <w:r/>
    </w:p>
    <w:p>
      <w:pPr>
        <w:ind w:firstLine="482"/>
        <w:spacing w:line="480" w:lineRule="exact"/>
        <w:rPr>
          <w:rFonts w:ascii="Times New Roman" w:hAnsi="Times New Roman" w:cs="仿宋"/>
          <w:b/>
          <w:sz w:val="24"/>
        </w:rPr>
      </w:pPr>
      <w:r>
        <w:rPr>
          <w:rFonts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97" w:name="_Toc141869965"/>
      <w:r>
        <w:rPr>
          <w:rFonts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320"/>
        <w:keepLines/>
        <w:keepNext/>
        <w:spacing w:line="520" w:lineRule="exact"/>
        <w:rPr>
          <w:rFonts w:hint="eastAsia" w:ascii="黑体" w:hAnsi="黑体" w:eastAsia="黑体" w:cs="黑体"/>
          <w:sz w:val="32"/>
        </w:rPr>
        <w:outlineLvl w:val="1"/>
      </w:pPr>
      <w:r/>
      <w:bookmarkStart w:id="98" w:name="_Toc20054"/>
      <w:r/>
      <w:bookmarkStart w:id="99" w:name="_Toc13355"/>
      <w:r>
        <w:rPr>
          <w:rFonts w:hint="eastAsia" w:ascii="黑体" w:hAnsi="黑体" w:eastAsia="黑体" w:cs="黑体"/>
          <w:sz w:val="32"/>
        </w:rPr>
        <w:t xml:space="preserve">四、响应文件的提交</w:t>
      </w:r>
      <w:bookmarkEnd w:id="97"/>
      <w:r/>
      <w:bookmarkEnd w:id="98"/>
      <w:r/>
      <w:bookmarkEnd w:id="99"/>
      <w:r/>
      <w:r/>
    </w:p>
    <w:p>
      <w:pPr>
        <w:ind w:firstLine="482"/>
        <w:spacing w:line="480" w:lineRule="exact"/>
        <w:rPr>
          <w:rFonts w:ascii="Times New Roman" w:hAnsi="Times New Roman" w:cs="仿宋"/>
          <w:b/>
          <w:sz w:val="24"/>
        </w:rPr>
      </w:pPr>
      <w:r>
        <w:rPr>
          <w:rFonts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ind w:firstLine="320"/>
        <w:keepLines/>
        <w:keepNext/>
        <w:spacing w:line="520" w:lineRule="exact"/>
        <w:rPr>
          <w:rFonts w:hint="eastAsia" w:ascii="黑体" w:hAnsi="黑体" w:eastAsia="黑体" w:cs="黑体"/>
          <w:sz w:val="32"/>
        </w:rPr>
        <w:outlineLvl w:val="1"/>
      </w:pPr>
      <w:r/>
      <w:bookmarkStart w:id="100" w:name="_Toc32171"/>
      <w:r/>
      <w:bookmarkStart w:id="101" w:name="_Toc141869967"/>
      <w:r/>
      <w:bookmarkStart w:id="102" w:name="_Toc4834"/>
      <w:r>
        <w:rPr>
          <w:rFonts w:hint="eastAsia" w:ascii="黑体" w:hAnsi="黑体" w:eastAsia="黑体" w:cs="黑体"/>
          <w:sz w:val="32"/>
        </w:rPr>
        <w:t xml:space="preserve">五、磋商程序及最后报价</w:t>
      </w:r>
      <w:bookmarkEnd w:id="100"/>
      <w:r/>
      <w:bookmarkEnd w:id="101"/>
      <w:r/>
      <w:bookmarkEnd w:id="102"/>
      <w:r/>
      <w:r/>
    </w:p>
    <w:p>
      <w:pPr>
        <w:ind w:firstLine="482"/>
        <w:spacing w:line="480" w:lineRule="exact"/>
        <w:rPr>
          <w:rFonts w:ascii="Times New Roman" w:hAnsi="Times New Roman" w:cs="仿宋"/>
          <w:b/>
          <w:sz w:val="24"/>
        </w:rPr>
      </w:pPr>
      <w:r>
        <w:rPr>
          <w:rFonts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ascii="Times New Roman" w:hAnsi="Times New Roman" w:cs="仿宋"/>
          <w:b/>
          <w:sz w:val="24"/>
        </w:rPr>
        <w:t xml:space="preserve">15.2</w:t>
      </w:r>
      <w:r>
        <w:rPr>
          <w:rFonts w:hint="eastAsia" w:ascii="Times New Roman" w:hAnsi="Times New Roman" w:cs="仿宋"/>
          <w:b/>
          <w:sz w:val="24"/>
        </w:rPr>
        <w:t xml:space="preserve">供应商用于解密的</w:t>
      </w:r>
      <w:r>
        <w:rPr>
          <w:rFonts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ascii="Times New Roman" w:hAnsi="Times New Roman" w:cs="仿宋"/>
          <w:b/>
          <w:sz w:val="24"/>
        </w:rPr>
        <w:t xml:space="preserve">CA</w:t>
      </w:r>
      <w:r>
        <w:rPr>
          <w:rFonts w:hint="eastAsia" w:ascii="Times New Roman" w:hAnsi="Times New Roman" w:cs="仿宋"/>
          <w:b/>
          <w:sz w:val="24"/>
        </w:rPr>
        <w:t xml:space="preserve">证书。供应商应登录“苏采云”系统进入“开标大厅”，在系统约定时间内使用</w:t>
      </w:r>
      <w:r>
        <w:rPr>
          <w:rFonts w:ascii="Times New Roman" w:hAnsi="Times New Roman" w:cs="仿宋"/>
          <w:b/>
          <w:sz w:val="24"/>
        </w:rPr>
        <w:t xml:space="preserve">CA</w:t>
      </w:r>
      <w:r>
        <w:rPr>
          <w:rFonts w:hint="eastAsia" w:ascii="Times New Roman" w:hAnsi="Times New Roman" w:cs="仿宋"/>
          <w:b/>
          <w:sz w:val="24"/>
        </w:rPr>
        <w:t xml:space="preserve">证书解密，未成功解密的，视为其放弃磋商。</w:t>
      </w:r>
      <w:r/>
    </w:p>
    <w:p>
      <w:pPr>
        <w:ind w:firstLine="480"/>
        <w:spacing w:line="480" w:lineRule="exact"/>
        <w:rPr>
          <w:rFonts w:ascii="Times New Roman" w:hAnsi="Times New Roman" w:cs="仿宋"/>
          <w:sz w:val="24"/>
        </w:rPr>
      </w:pPr>
      <w:r>
        <w:rPr>
          <w:rFonts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ascii="Times New Roman" w:hAnsi="Times New Roman" w:cs="仿宋"/>
          <w:b/>
          <w:sz w:val="24"/>
        </w:rPr>
        <w:t xml:space="preserve">16</w:t>
      </w:r>
      <w:r>
        <w:rPr>
          <w:rFonts w:hint="eastAsia" w:ascii="Times New Roman" w:hAnsi="Times New Roman" w:cs="仿宋"/>
          <w:b/>
          <w:sz w:val="24"/>
        </w:rPr>
        <w:t xml:space="preserve">、磋商小组</w:t>
      </w:r>
      <w:bookmarkStart w:id="103"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103"/>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无。</w:t>
      </w:r>
      <w:r/>
    </w:p>
    <w:p>
      <w:pPr>
        <w:ind w:firstLine="480"/>
        <w:spacing w:line="480" w:lineRule="exact"/>
        <w:rPr>
          <w:rFonts w:ascii="Times New Roman" w:hAnsi="Times New Roman" w:cs="仿宋"/>
          <w:sz w:val="24"/>
        </w:rPr>
      </w:pPr>
      <w:r>
        <w:rPr>
          <w:rFonts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ascii="Times New Roman" w:hAnsi="Times New Roman" w:cs="仿宋"/>
          <w:sz w:val="24"/>
        </w:rPr>
        <w:t xml:space="preserve">17.8.1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104" w:name="EB7c676092b0b54336b4f7c76350bf2f81"/>
      <w:r/>
      <w:r/>
    </w:p>
    <w:p>
      <w:pPr>
        <w:ind w:firstLine="482"/>
        <w:spacing w:line="480" w:lineRule="exact"/>
        <w:tabs>
          <w:tab w:val="left" w:pos="900" w:leader="none"/>
        </w:tabs>
        <w:rPr>
          <w:rFonts w:ascii="Times New Roman" w:hAnsi="Times New Roman"/>
          <w:sz w:val="24"/>
          <w:szCs w:val="24"/>
        </w:rPr>
      </w:pPr>
      <w:r>
        <w:rPr>
          <w:rFonts w:ascii="Times New Roman" w:hAnsi="Times New Roman" w:cs="仿宋"/>
          <w:b/>
          <w:sz w:val="24"/>
        </w:rPr>
        <w:t xml:space="preserve">17.8.2</w:t>
      </w:r>
      <w:r>
        <w:rPr>
          <w:rFonts w:hint="eastAsia" w:ascii="Times New Roman" w:hAnsi="Times New Roman" w:cs="仿宋"/>
          <w:b/>
          <w:sz w:val="24"/>
        </w:rPr>
        <w:t xml:space="preserve">最后报价在“苏采云”系统内进行，供应商应使用内含电子印章（企业公章、法定代表人或授权代表签章）的</w:t>
      </w:r>
      <w:r>
        <w:rPr>
          <w:rFonts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104"/>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17.8.6</w:t>
      </w:r>
      <w:r>
        <w:rPr>
          <w:rFonts w:hint="eastAsia" w:ascii="Times New Roman" w:hAnsi="Times New Roman" w:cs="仿宋"/>
          <w:sz w:val="24"/>
        </w:rPr>
        <w:t xml:space="preserve">符合《政府采购竞争性磋商采购方式管理暂行办法》第三条第一款第四项及《财政部关于竞争性磋商采购方式管理暂行办法有关问题的补充通知》（财库</w:t>
      </w:r>
      <w:r>
        <w:rPr>
          <w:rFonts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b/>
          <w:bCs/>
          <w:color w:val="auto"/>
          <w:sz w:val="24"/>
          <w:szCs w:val="24"/>
        </w:rPr>
      </w:pPr>
      <w:r/>
      <w:bookmarkStart w:id="105" w:name="_Hlk204074773"/>
      <w:r>
        <w:rPr>
          <w:rFonts w:ascii="Times New Roman" w:hAnsi="Times New Roman"/>
          <w:b/>
          <w:bCs/>
          <w:color w:val="auto"/>
          <w:sz w:val="24"/>
          <w:szCs w:val="24"/>
        </w:rPr>
        <w:t xml:space="preserve">17.9 </w:t>
      </w:r>
      <w:r>
        <w:rPr>
          <w:rFonts w:hint="eastAsia" w:ascii="Times New Roman" w:hAnsi="Times New Roman"/>
          <w:b/>
          <w:bCs/>
          <w:color w:val="auto"/>
          <w:sz w:val="24"/>
          <w:szCs w:val="24"/>
        </w:rPr>
        <w:t xml:space="preserve">异常低价响应审查</w:t>
      </w:r>
      <w:r/>
    </w:p>
    <w:p>
      <w:pPr>
        <w:ind w:firstLine="480"/>
        <w:spacing w:line="480" w:lineRule="exact"/>
        <w:rPr>
          <w:rFonts w:ascii="Times New Roman" w:hAnsi="Times New Roman"/>
          <w:b/>
          <w:bCs/>
          <w:sz w:val="24"/>
          <w:szCs w:val="24"/>
        </w:rPr>
      </w:pPr>
      <w:r>
        <w:rPr>
          <w:rFonts w:ascii="Times New Roman" w:hAnsi="Times New Roman"/>
          <w:b/>
          <w:bCs/>
          <w:sz w:val="24"/>
          <w:szCs w:val="24"/>
        </w:rPr>
        <w:t xml:space="preserve">17.9.1</w:t>
      </w:r>
      <w:r>
        <w:rPr>
          <w:rFonts w:hint="eastAsia" w:ascii="Times New Roman" w:hAnsi="Times New Roman"/>
          <w:b/>
          <w:bCs/>
          <w:sz w:val="24"/>
          <w:szCs w:val="24"/>
        </w:rPr>
        <w:t xml:space="preserve">评审过程中出现下列情形之一的，评审委员会应当启动异常低价响应审查程序：</w:t>
      </w:r>
      <w:r/>
    </w:p>
    <w:p>
      <w:pPr>
        <w:ind w:firstLine="480"/>
        <w:spacing w:line="480" w:lineRule="exact"/>
        <w:rPr>
          <w:rFonts w:ascii="Times New Roman" w:hAnsi="Times New Roman"/>
          <w:b/>
          <w:bCs/>
          <w:color w:val="auto"/>
          <w:sz w:val="24"/>
          <w:szCs w:val="24"/>
        </w:rPr>
      </w:pPr>
      <w:r>
        <w:rPr>
          <w:rFonts w:hint="eastAsia" w:ascii="Times New Roman" w:hAnsi="Times New Roman"/>
          <w:b/>
          <w:bCs/>
          <w:color w:val="auto"/>
          <w:sz w:val="24"/>
          <w:szCs w:val="24"/>
        </w:rPr>
        <w:t xml:space="preserve">（</w:t>
      </w:r>
      <w:r>
        <w:rPr>
          <w:rFonts w:ascii="Times New Roman" w:hAnsi="Times New Roman"/>
          <w:b/>
          <w:bCs/>
          <w:color w:val="auto"/>
          <w:sz w:val="24"/>
          <w:szCs w:val="24"/>
        </w:rPr>
        <w:t xml:space="preserve">1</w:t>
      </w:r>
      <w:r>
        <w:rPr>
          <w:rFonts w:hint="eastAsia" w:ascii="Times New Roman" w:hAnsi="Times New Roman"/>
          <w:b/>
          <w:bCs/>
          <w:color w:val="auto"/>
          <w:sz w:val="24"/>
          <w:szCs w:val="24"/>
        </w:rPr>
        <w:t xml:space="preserve">）响应报价低于全部通过符合性审查供应商响应报价平均值</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的，即响应报价</w:t>
      </w:r>
      <w:r>
        <w:rPr>
          <w:rFonts w:ascii="Times New Roman" w:hAnsi="Times New Roman"/>
          <w:b/>
          <w:bCs/>
          <w:color w:val="auto"/>
          <w:sz w:val="24"/>
          <w:szCs w:val="24"/>
        </w:rPr>
        <w:t xml:space="preserve">&lt;</w:t>
      </w:r>
      <w:r>
        <w:rPr>
          <w:rFonts w:hint="eastAsia" w:ascii="Times New Roman" w:hAnsi="Times New Roman"/>
          <w:b/>
          <w:bCs/>
          <w:color w:val="auto"/>
          <w:sz w:val="24"/>
          <w:szCs w:val="24"/>
        </w:rPr>
        <w:t xml:space="preserve">全部通过符合性审查供应商响应报价平均值×</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w:t>
      </w:r>
      <w:r/>
    </w:p>
    <w:p>
      <w:pPr>
        <w:ind w:firstLine="480"/>
        <w:spacing w:line="480" w:lineRule="exact"/>
        <w:rPr>
          <w:rFonts w:ascii="Times New Roman" w:hAnsi="Times New Roman"/>
          <w:b/>
          <w:bCs/>
          <w:color w:val="auto"/>
          <w:sz w:val="24"/>
          <w:szCs w:val="24"/>
        </w:rPr>
      </w:pPr>
      <w:r>
        <w:rPr>
          <w:rFonts w:hint="eastAsia" w:ascii="Times New Roman" w:hAnsi="Times New Roman"/>
          <w:b/>
          <w:bCs/>
          <w:color w:val="auto"/>
          <w:sz w:val="24"/>
          <w:szCs w:val="24"/>
        </w:rPr>
        <w:t xml:space="preserve">（</w:t>
      </w:r>
      <w:r>
        <w:rPr>
          <w:rFonts w:ascii="Times New Roman" w:hAnsi="Times New Roman"/>
          <w:b/>
          <w:bCs/>
          <w:color w:val="auto"/>
          <w:sz w:val="24"/>
          <w:szCs w:val="24"/>
        </w:rPr>
        <w:t xml:space="preserve">2</w:t>
      </w:r>
      <w:r>
        <w:rPr>
          <w:rFonts w:hint="eastAsia" w:ascii="Times New Roman" w:hAnsi="Times New Roman"/>
          <w:b/>
          <w:bCs/>
          <w:color w:val="auto"/>
          <w:sz w:val="24"/>
          <w:szCs w:val="24"/>
        </w:rPr>
        <w:t xml:space="preserve">）响应报价低于通过符合性审查的次低报价供应商响应报价</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的，即响应报价</w:t>
      </w:r>
      <w:r>
        <w:rPr>
          <w:rFonts w:ascii="Times New Roman" w:hAnsi="Times New Roman"/>
          <w:b/>
          <w:bCs/>
          <w:color w:val="auto"/>
          <w:sz w:val="24"/>
          <w:szCs w:val="24"/>
        </w:rPr>
        <w:t xml:space="preserve">&lt;</w:t>
      </w:r>
      <w:r>
        <w:rPr>
          <w:rFonts w:hint="eastAsia" w:ascii="Times New Roman" w:hAnsi="Times New Roman"/>
          <w:b/>
          <w:bCs/>
          <w:color w:val="auto"/>
          <w:sz w:val="24"/>
          <w:szCs w:val="24"/>
        </w:rPr>
        <w:t xml:space="preserve">通过符合性审查的次低报价供应商响应报价×</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w:t>
      </w:r>
      <w:r/>
    </w:p>
    <w:p>
      <w:pPr>
        <w:ind w:firstLine="480"/>
        <w:spacing w:line="480" w:lineRule="exact"/>
        <w:rPr>
          <w:rFonts w:ascii="Times New Roman" w:hAnsi="Times New Roman"/>
          <w:b/>
          <w:bCs/>
          <w:color w:val="auto"/>
          <w:sz w:val="24"/>
          <w:szCs w:val="24"/>
        </w:rPr>
      </w:pPr>
      <w:r>
        <w:rPr>
          <w:rFonts w:hint="eastAsia" w:ascii="Times New Roman" w:hAnsi="Times New Roman"/>
          <w:b/>
          <w:bCs/>
          <w:color w:val="auto"/>
          <w:sz w:val="24"/>
          <w:szCs w:val="24"/>
        </w:rPr>
        <w:t xml:space="preserve">（</w:t>
      </w:r>
      <w:r>
        <w:rPr>
          <w:rFonts w:ascii="Times New Roman" w:hAnsi="Times New Roman"/>
          <w:b/>
          <w:bCs/>
          <w:color w:val="auto"/>
          <w:sz w:val="24"/>
          <w:szCs w:val="24"/>
        </w:rPr>
        <w:t xml:space="preserve">3</w:t>
      </w:r>
      <w:r>
        <w:rPr>
          <w:rFonts w:hint="eastAsia" w:ascii="Times New Roman" w:hAnsi="Times New Roman"/>
          <w:b/>
          <w:bCs/>
          <w:color w:val="auto"/>
          <w:sz w:val="24"/>
          <w:szCs w:val="24"/>
        </w:rPr>
        <w:t xml:space="preserve">）响应报价低于采购项目最高限价</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的，即响应报价</w:t>
      </w:r>
      <w:r>
        <w:rPr>
          <w:rFonts w:ascii="Times New Roman" w:hAnsi="Times New Roman"/>
          <w:b/>
          <w:bCs/>
          <w:color w:val="auto"/>
          <w:sz w:val="24"/>
          <w:szCs w:val="24"/>
        </w:rPr>
        <w:t xml:space="preserve">&lt;</w:t>
      </w:r>
      <w:r>
        <w:rPr>
          <w:rFonts w:hint="eastAsia" w:ascii="Times New Roman" w:hAnsi="Times New Roman"/>
          <w:b/>
          <w:bCs/>
          <w:color w:val="auto"/>
          <w:sz w:val="24"/>
          <w:szCs w:val="24"/>
        </w:rPr>
        <w:t xml:space="preserve">采购项目最高限价×</w:t>
      </w:r>
      <w:r>
        <w:rPr>
          <w:rFonts w:hint="eastAsia" w:ascii="Times New Roman" w:hAnsi="Times New Roman"/>
          <w:b/>
          <w:bCs/>
          <w:color w:val="auto"/>
          <w:sz w:val="24"/>
          <w:szCs w:val="24"/>
          <w:lang w:val="en-US" w:eastAsia="zh-CN"/>
        </w:rPr>
        <w:t xml:space="preserve">65</w:t>
      </w:r>
      <w:r>
        <w:rPr>
          <w:rFonts w:ascii="Times New Roman" w:hAnsi="Times New Roman"/>
          <w:b/>
          <w:bCs/>
          <w:color w:val="auto"/>
          <w:sz w:val="24"/>
          <w:szCs w:val="24"/>
        </w:rPr>
        <w:t xml:space="preserve">%</w:t>
      </w:r>
      <w:r>
        <w:rPr>
          <w:rFonts w:hint="eastAsia" w:ascii="Times New Roman" w:hAnsi="Times New Roman"/>
          <w:b/>
          <w:bCs/>
          <w:color w:val="auto"/>
          <w:sz w:val="24"/>
          <w:szCs w:val="24"/>
        </w:rPr>
        <w:t xml:space="preserve">；</w:t>
      </w:r>
      <w:r/>
    </w:p>
    <w:p>
      <w:pPr>
        <w:ind w:firstLine="480"/>
        <w:spacing w:line="480" w:lineRule="exact"/>
        <w:rPr>
          <w:rFonts w:ascii="Times New Roman" w:hAnsi="Times New Roman"/>
          <w:b/>
          <w:bCs/>
          <w:sz w:val="24"/>
          <w:szCs w:val="24"/>
        </w:rPr>
      </w:pPr>
      <w:r>
        <w:rPr>
          <w:rFonts w:hint="eastAsia" w:ascii="Times New Roman" w:hAnsi="Times New Roman"/>
          <w:b/>
          <w:bCs/>
          <w:color w:val="auto"/>
          <w:sz w:val="24"/>
          <w:szCs w:val="24"/>
        </w:rPr>
        <w:t xml:space="preserve">（</w:t>
      </w:r>
      <w:r>
        <w:rPr>
          <w:rFonts w:ascii="Times New Roman" w:hAnsi="Times New Roman"/>
          <w:b/>
          <w:bCs/>
          <w:color w:val="auto"/>
          <w:sz w:val="24"/>
          <w:szCs w:val="24"/>
        </w:rPr>
        <w:t xml:space="preserve">4</w:t>
      </w:r>
      <w:r>
        <w:rPr>
          <w:rFonts w:hint="eastAsia" w:ascii="Times New Roman" w:hAnsi="Times New Roman"/>
          <w:b/>
          <w:bCs/>
          <w:color w:val="auto"/>
          <w:sz w:val="24"/>
          <w:szCs w:val="24"/>
        </w:rPr>
        <w:t xml:space="preserve">）评审委员会基于专业判断，认为供应商报价过</w:t>
      </w:r>
      <w:r>
        <w:rPr>
          <w:rFonts w:hint="eastAsia" w:ascii="Times New Roman" w:hAnsi="Times New Roman"/>
          <w:b/>
          <w:bCs/>
          <w:sz w:val="24"/>
          <w:szCs w:val="24"/>
        </w:rPr>
        <w:t xml:space="preserve">低，有可能影响产品质量或者不能诚信履约的其他情形。</w:t>
      </w:r>
      <w:r/>
    </w:p>
    <w:p>
      <w:pPr>
        <w:ind w:firstLine="480"/>
        <w:spacing w:line="480" w:lineRule="exact"/>
        <w:rPr>
          <w:rFonts w:ascii="Times New Roman" w:hAnsi="Times New Roman"/>
          <w:sz w:val="24"/>
          <w:szCs w:val="24"/>
        </w:rPr>
      </w:pPr>
      <w:r>
        <w:rPr>
          <w:rFonts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ascii="Times New Roman" w:hAnsi="Times New Roman"/>
          <w:sz w:val="24"/>
          <w:szCs w:val="24"/>
        </w:rPr>
        <w:t xml:space="preserve">1</w:t>
      </w:r>
      <w:r>
        <w:rPr>
          <w:rFonts w:hint="eastAsia" w:ascii="Times New Roman" w:hAnsi="Times New Roman"/>
          <w:sz w:val="24"/>
          <w:szCs w:val="24"/>
        </w:rPr>
        <w:t xml:space="preserve">）项至第（</w:t>
      </w:r>
      <w:r>
        <w:rPr>
          <w:rFonts w:ascii="Times New Roman" w:hAnsi="Times New Roman"/>
          <w:sz w:val="24"/>
          <w:szCs w:val="24"/>
        </w:rPr>
        <w:t xml:space="preserve">4</w:t>
      </w:r>
      <w:r>
        <w:rPr>
          <w:rFonts w:hint="eastAsia" w:ascii="Times New Roman" w:hAnsi="Times New Roman"/>
          <w:sz w:val="24"/>
          <w:szCs w:val="24"/>
        </w:rPr>
        <w:t xml:space="preserve">）项情形的，应当要求相关供应商在评审现</w:t>
      </w:r>
      <w:r>
        <w:rPr>
          <w:rFonts w:hint="eastAsia" w:ascii="Times New Roman" w:hAnsi="Times New Roman"/>
          <w:color w:val="auto"/>
          <w:sz w:val="24"/>
          <w:szCs w:val="24"/>
        </w:rPr>
        <w:t xml:space="preserve">场合理的时间内对</w:t>
      </w:r>
      <w:r>
        <w:rPr>
          <w:rFonts w:hint="eastAsia" w:ascii="Times New Roman" w:hAnsi="Times New Roman"/>
          <w:sz w:val="24"/>
          <w:szCs w:val="24"/>
        </w:rPr>
        <w:t xml:space="preserve">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auto"/>
          <w:sz w:val="24"/>
          <w:szCs w:val="24"/>
          <w:lang w:val="en-US" w:eastAsia="zh-CN"/>
        </w:rPr>
        <w:t xml:space="preserve">为</w:t>
      </w:r>
      <w:r>
        <w:rPr>
          <w:rFonts w:ascii="Times New Roman" w:hAnsi="Times New Roman"/>
          <w:color w:val="auto"/>
          <w:sz w:val="24"/>
          <w:szCs w:val="24"/>
        </w:rPr>
        <w:t xml:space="preserve">30</w:t>
      </w:r>
      <w:r>
        <w:rPr>
          <w:rFonts w:hint="eastAsia" w:ascii="Times New Roman" w:hAnsi="Times New Roman"/>
          <w:color w:val="auto"/>
          <w:sz w:val="24"/>
          <w:szCs w:val="24"/>
        </w:rPr>
        <w:t xml:space="preserve">分钟</w:t>
      </w:r>
      <w:r>
        <w:rPr>
          <w:rFonts w:hint="eastAsia" w:ascii="Times New Roman" w:hAnsi="Times New Roman"/>
          <w:sz w:val="24"/>
          <w:szCs w:val="24"/>
        </w:rPr>
        <w:t xml:space="preserve">。其中，属于第（</w:t>
      </w:r>
      <w:r>
        <w:rPr>
          <w:rFonts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105"/>
      <w:r/>
      <w:r/>
    </w:p>
    <w:p>
      <w:pPr>
        <w:ind w:firstLine="480"/>
        <w:spacing w:line="4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ff0000"/>
          <w:sz w:val="24"/>
          <w:szCs w:val="24"/>
          <w:lang w:val="en-US" w:eastAsia="zh-CN"/>
        </w:rPr>
        <w:t xml:space="preserve"> </w:t>
      </w:r>
      <w:r>
        <w:rPr>
          <w:rFonts w:hint="eastAsia" w:ascii="Times New Roman" w:hAnsi="Times New Roman" w:eastAsia="宋体" w:cs="Times New Roman"/>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80" w:lineRule="exact"/>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tabs>
          <w:tab w:val="left" w:pos="900" w:leader="none"/>
        </w:tabs>
        <w:rPr>
          <w:rFonts w:ascii="Times New Roman" w:hAnsi="Times New Roman"/>
          <w:sz w:val="24"/>
          <w:szCs w:val="24"/>
        </w:rPr>
      </w:pPr>
      <w:r/>
      <w:bookmarkStart w:id="106" w:name="_Toc141869966"/>
      <w:r>
        <w:rPr>
          <w:rFonts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107" w:name="OLE_LINK5"/>
      <w:r>
        <w:rPr>
          <w:rFonts w:hint="eastAsia" w:ascii="Times New Roman" w:hAnsi="Times New Roman" w:cs="仿宋"/>
          <w:sz w:val="24"/>
        </w:rPr>
        <w:t xml:space="preserve">磋商小组根据综合评分情况，按照评审得分由高到低顺序推荐</w:t>
      </w:r>
      <w:r>
        <w:rPr>
          <w:rFonts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107"/>
      <w:r>
        <w:rPr>
          <w:rFonts w:hint="eastAsia" w:ascii="Times New Roman" w:hAnsi="Times New Roman" w:cs="仿宋"/>
          <w:sz w:val="24"/>
        </w:rPr>
        <w:t xml:space="preserve">。符合本磋商文件</w:t>
      </w:r>
      <w:r>
        <w:rPr>
          <w:rFonts w:ascii="Times New Roman" w:hAnsi="Times New Roman" w:cs="仿宋"/>
          <w:sz w:val="24"/>
        </w:rPr>
        <w:t xml:space="preserve">17.8.6</w:t>
      </w:r>
      <w:r>
        <w:rPr>
          <w:rFonts w:hint="eastAsia" w:ascii="Times New Roman" w:hAnsi="Times New Roman" w:cs="仿宋"/>
          <w:sz w:val="24"/>
        </w:rPr>
        <w:t xml:space="preserve">情形的，可以推荐</w:t>
      </w:r>
      <w:r>
        <w:rPr>
          <w:rFonts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ind w:firstLine="320"/>
        <w:keepLines/>
        <w:keepNext/>
        <w:spacing w:line="520" w:lineRule="exact"/>
        <w:rPr>
          <w:rFonts w:hint="eastAsia" w:ascii="黑体" w:hAnsi="黑体" w:eastAsia="黑体" w:cs="黑体"/>
          <w:sz w:val="32"/>
        </w:rPr>
        <w:outlineLvl w:val="1"/>
      </w:pPr>
      <w:r/>
      <w:bookmarkStart w:id="108" w:name="_Toc26591"/>
      <w:r/>
      <w:bookmarkStart w:id="109" w:name="_Toc25143"/>
      <w:r>
        <w:rPr>
          <w:rFonts w:hint="eastAsia" w:ascii="黑体" w:hAnsi="黑体" w:eastAsia="黑体" w:cs="黑体"/>
          <w:sz w:val="32"/>
        </w:rPr>
        <w:t xml:space="preserve">六、无效响应、采购活动终止、</w:t>
      </w:r>
      <w:bookmarkEnd w:id="106"/>
      <w:r>
        <w:rPr>
          <w:rFonts w:hint="eastAsia" w:ascii="黑体" w:hAnsi="黑体" w:eastAsia="黑体" w:cs="黑体"/>
          <w:sz w:val="32"/>
        </w:rPr>
        <w:t xml:space="preserve">恶意串通及取消成交候选资格情形</w:t>
      </w:r>
      <w:bookmarkEnd w:id="108"/>
      <w:r/>
      <w:bookmarkEnd w:id="109"/>
      <w:r/>
      <w:r/>
    </w:p>
    <w:p>
      <w:pPr>
        <w:ind w:firstLine="482"/>
        <w:spacing w:line="480" w:lineRule="exact"/>
        <w:rPr>
          <w:rFonts w:ascii="Times New Roman" w:hAnsi="Times New Roman" w:cs="仿宋"/>
          <w:b/>
          <w:sz w:val="24"/>
        </w:rPr>
      </w:pPr>
      <w:r>
        <w:rPr>
          <w:rFonts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110" w:name="_Hlk204074427"/>
      <w:r>
        <w:rPr>
          <w:rFonts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110"/>
      <w:r/>
      <w:r/>
    </w:p>
    <w:p>
      <w:pPr>
        <w:ind w:firstLine="482"/>
        <w:spacing w:line="480" w:lineRule="exact"/>
        <w:rPr>
          <w:rFonts w:ascii="Times New Roman" w:hAnsi="Times New Roman" w:cs="仿宋"/>
          <w:sz w:val="24"/>
        </w:rPr>
      </w:pPr>
      <w:r>
        <w:rPr>
          <w:rFonts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18.10</w:t>
      </w:r>
      <w:r>
        <w:rPr>
          <w:rFonts w:hint="eastAsia" w:ascii="Times New Roman" w:hAnsi="Times New Roman" w:eastAsia="宋体" w:cs="仿宋"/>
          <w:color w:val="auto"/>
          <w:sz w:val="24"/>
        </w:rPr>
        <w:t xml:space="preserve">响应文件中已标价工程量清单与</w:t>
      </w:r>
      <w:r>
        <w:rPr>
          <w:rFonts w:hint="eastAsia" w:ascii="Times New Roman" w:hAnsi="Times New Roman" w:eastAsia="宋体" w:cs="仿宋"/>
          <w:color w:val="auto"/>
          <w:sz w:val="24"/>
          <w:lang w:val="en-US" w:eastAsia="zh-CN"/>
        </w:rPr>
        <w:t xml:space="preserve">磋商文件</w:t>
      </w:r>
      <w:r>
        <w:rPr>
          <w:rFonts w:hint="eastAsia" w:ascii="Times New Roman" w:hAnsi="Times New Roman" w:eastAsia="宋体" w:cs="仿宋"/>
          <w:color w:val="auto"/>
          <w:sz w:val="24"/>
        </w:rPr>
        <w:t xml:space="preserve">规定的暂估价、暂列金额及甲供材料价格不一致的；</w:t>
      </w:r>
      <w:r/>
    </w:p>
    <w:p>
      <w:pPr>
        <w:ind w:firstLine="482"/>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18.11</w:t>
      </w:r>
      <w:r>
        <w:rPr>
          <w:rFonts w:hint="eastAsia" w:ascii="Times New Roman" w:hAnsi="Times New Roman" w:eastAsia="宋体" w:cs="仿宋"/>
          <w:color w:val="auto"/>
          <w:sz w:val="24"/>
        </w:rPr>
        <w:t xml:space="preserve">响应文件中已标价工程量清单与</w:t>
      </w:r>
      <w:r>
        <w:rPr>
          <w:rFonts w:hint="eastAsia" w:ascii="Times New Roman" w:hAnsi="Times New Roman" w:eastAsia="宋体" w:cs="仿宋"/>
          <w:color w:val="auto"/>
          <w:sz w:val="24"/>
          <w:lang w:val="en-US" w:eastAsia="zh-CN"/>
        </w:rPr>
        <w:t xml:space="preserve">磋商文件</w:t>
      </w:r>
      <w:r>
        <w:rPr>
          <w:rFonts w:hint="eastAsia" w:ascii="Times New Roman" w:hAnsi="Times New Roman" w:eastAsia="宋体" w:cs="仿宋"/>
          <w:color w:val="auto"/>
          <w:sz w:val="24"/>
        </w:rPr>
        <w:t xml:space="preserve">明确列出的不可竞争费用项目或费率或计算基础不一致的；</w:t>
      </w:r>
      <w:r/>
    </w:p>
    <w:p>
      <w:pPr>
        <w:ind w:firstLine="482"/>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18.12</w:t>
      </w:r>
      <w:r>
        <w:rPr>
          <w:rFonts w:hint="eastAsia" w:ascii="Times New Roman" w:hAnsi="Times New Roman" w:eastAsia="宋体" w:cs="仿宋"/>
          <w:color w:val="auto"/>
          <w:sz w:val="24"/>
        </w:rPr>
        <w:t xml:space="preserve">响应文件的已标价工程量清单与</w:t>
      </w:r>
      <w:r>
        <w:rPr>
          <w:rFonts w:hint="eastAsia" w:ascii="Times New Roman" w:hAnsi="Times New Roman" w:eastAsia="宋体" w:cs="仿宋"/>
          <w:color w:val="auto"/>
          <w:sz w:val="24"/>
          <w:lang w:val="en-US" w:eastAsia="zh-CN"/>
        </w:rPr>
        <w:t xml:space="preserve">磋商文件</w:t>
      </w:r>
      <w:r>
        <w:rPr>
          <w:rFonts w:hint="eastAsia" w:ascii="Times New Roman" w:hAnsi="Times New Roman" w:eastAsia="宋体" w:cs="仿宋"/>
          <w:color w:val="auto"/>
          <w:sz w:val="24"/>
        </w:rPr>
        <w:t xml:space="preserve">提供的工程量清单中的项目编码、项目名称、项目特征、计量单位、工程量不一致的。</w:t>
      </w:r>
      <w:r/>
    </w:p>
    <w:p>
      <w:pPr>
        <w:ind w:firstLine="482"/>
        <w:spacing w:line="480" w:lineRule="exact"/>
        <w:rPr>
          <w:rFonts w:ascii="Times New Roman" w:hAnsi="Times New Roman" w:cs="仿宋"/>
          <w:sz w:val="24"/>
        </w:rPr>
      </w:pPr>
      <w:r>
        <w:rPr>
          <w:rFonts w:ascii="Times New Roman" w:hAnsi="Times New Roman" w:cs="仿宋"/>
          <w:sz w:val="24"/>
        </w:rPr>
        <w:t xml:space="preserve">18.1</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ascii="Times New Roman" w:hAnsi="Times New Roman" w:cs="仿宋"/>
          <w:sz w:val="24"/>
        </w:rPr>
        <w:t xml:space="preserve">3</w:t>
      </w:r>
      <w:r>
        <w:rPr>
          <w:rFonts w:hint="eastAsia" w:ascii="Times New Roman" w:hAnsi="Times New Roman" w:cs="仿宋"/>
          <w:sz w:val="24"/>
        </w:rPr>
        <w:t xml:space="preserve">家的（符合</w:t>
      </w:r>
      <w:r>
        <w:rPr>
          <w:rFonts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ascii="Times New Roman" w:hAnsi="Times New Roman" w:cs="仿宋"/>
          <w:b/>
          <w:sz w:val="24"/>
        </w:rPr>
        <w:t xml:space="preserve">21</w:t>
      </w:r>
      <w:r>
        <w:rPr>
          <w:rFonts w:hint="eastAsia" w:ascii="Times New Roman" w:hAnsi="Times New Roman" w:cs="仿宋"/>
          <w:b/>
          <w:sz w:val="24"/>
        </w:rPr>
        <w:t xml:space="preserve">、</w:t>
      </w:r>
      <w:bookmarkStart w:id="111" w:name="OLE_LINK2"/>
      <w:r>
        <w:rPr>
          <w:rFonts w:hint="eastAsia" w:ascii="Times New Roman" w:hAnsi="Times New Roman" w:cs="仿宋"/>
          <w:b/>
          <w:sz w:val="24"/>
        </w:rPr>
        <w:t xml:space="preserve">取消成交（候选）供应商资格</w:t>
      </w:r>
      <w:bookmarkEnd w:id="111"/>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ascii="Times New Roman" w:hAnsi="Times New Roman" w:cs="仿宋"/>
          <w:sz w:val="24"/>
        </w:rPr>
        <w:t xml:space="preserve">21.6</w:t>
      </w:r>
      <w:r>
        <w:rPr>
          <w:rFonts w:hint="eastAsia" w:ascii="Times New Roman" w:hAnsi="Times New Roman" w:cs="仿宋"/>
          <w:sz w:val="24"/>
        </w:rPr>
        <w:t xml:space="preserve">法律、法规规定的其它情况。</w:t>
      </w:r>
      <w:r/>
    </w:p>
    <w:p>
      <w:pPr>
        <w:ind w:firstLine="320"/>
        <w:keepLines/>
        <w:keepNext/>
        <w:spacing w:line="520" w:lineRule="exact"/>
        <w:rPr>
          <w:rFonts w:hint="eastAsia" w:ascii="黑体" w:hAnsi="黑体" w:eastAsia="黑体" w:cs="黑体"/>
          <w:sz w:val="32"/>
        </w:rPr>
        <w:outlineLvl w:val="1"/>
      </w:pPr>
      <w:r/>
      <w:bookmarkStart w:id="112" w:name="_Toc32219"/>
      <w:r/>
      <w:bookmarkStart w:id="113" w:name="_Toc141869968"/>
      <w:r/>
      <w:bookmarkStart w:id="114" w:name="_Toc12673"/>
      <w:r>
        <w:rPr>
          <w:rFonts w:hint="eastAsia" w:ascii="黑体" w:hAnsi="黑体" w:eastAsia="黑体" w:cs="黑体"/>
          <w:sz w:val="32"/>
        </w:rPr>
        <w:t xml:space="preserve">七、成交及合同签订</w:t>
      </w:r>
      <w:bookmarkEnd w:id="112"/>
      <w:r/>
      <w:bookmarkEnd w:id="113"/>
      <w:r/>
      <w:bookmarkEnd w:id="114"/>
      <w:r/>
      <w:r/>
    </w:p>
    <w:p>
      <w:pPr>
        <w:ind w:firstLine="482"/>
        <w:spacing w:line="480" w:lineRule="exact"/>
        <w:rPr>
          <w:rFonts w:ascii="Times New Roman" w:hAnsi="Times New Roman" w:cs="仿宋"/>
          <w:b/>
          <w:sz w:val="24"/>
        </w:rPr>
      </w:pPr>
      <w:r>
        <w:rPr>
          <w:rFonts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ascii="Times New Roman" w:hAnsi="Times New Roman" w:cs="仿宋"/>
          <w:sz w:val="24"/>
        </w:rPr>
        <w:t xml:space="preserve">22.2</w:t>
      </w:r>
      <w:r>
        <w:rPr>
          <w:rFonts w:hint="eastAsia" w:ascii="Times New Roman" w:hAnsi="Times New Roman" w:cs="仿宋"/>
          <w:sz w:val="24"/>
        </w:rPr>
        <w:t xml:space="preserve">在成交供应商确定后</w:t>
      </w:r>
      <w:r>
        <w:rPr>
          <w:rFonts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ascii="Times New Roman" w:hAnsi="Times New Roman" w:cs="仿宋"/>
          <w:sz w:val="24"/>
        </w:rPr>
        <w:t xml:space="preserve">24.3</w:t>
      </w:r>
      <w:r>
        <w:rPr>
          <w:rFonts w:hint="eastAsia" w:ascii="Times New Roman" w:hAnsi="Times New Roman" w:cs="仿宋"/>
          <w:sz w:val="24"/>
        </w:rPr>
        <w:t xml:space="preserve">采购人在自合同签订之日起</w:t>
      </w:r>
      <w:r>
        <w:rPr>
          <w:rFonts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0"/>
        <w:spacing w:line="480" w:lineRule="exact"/>
        <w:rPr>
          <w:rFonts w:hint="eastAsia" w:ascii="Times New Roman" w:hAnsi="Times New Roman" w:eastAsia="宋体" w:cs="仿宋"/>
          <w:sz w:val="24"/>
          <w:lang w:val="zh-CN"/>
        </w:rPr>
      </w:pPr>
      <w:r/>
      <w:bookmarkStart w:id="115" w:name="_Toc141869969"/>
      <w:r>
        <w:rPr>
          <w:rFonts w:hint="eastAsia" w:ascii="Times New Roman" w:hAnsi="Times New Roman" w:eastAsia="宋体" w:cs="仿宋"/>
          <w:sz w:val="24"/>
          <w:lang w:val="zh-CN"/>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ascii="Times New Roman" w:hAnsi="Times New Roman" w:cs="仿宋"/>
          <w:sz w:val="24"/>
          <w:u w:val="single"/>
        </w:rPr>
        <w:t xml:space="preserve"> / </w:t>
      </w:r>
      <w:r>
        <w:rPr>
          <w:rFonts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ascii="Times New Roman" w:hAnsi="Times New Roman" w:cs="仿宋"/>
          <w:sz w:val="24"/>
          <w:u w:val="single"/>
        </w:rPr>
        <w:t xml:space="preserve"> / </w:t>
      </w:r>
      <w:r>
        <w:rPr>
          <w:rFonts w:ascii="Times New Roman" w:hAnsi="Times New Roman" w:cs="仿宋"/>
          <w:sz w:val="24"/>
        </w:rPr>
        <w:t xml:space="preserve">%</w:t>
      </w:r>
      <w:r>
        <w:rPr>
          <w:rFonts w:hint="eastAsia" w:ascii="Times New Roman" w:hAnsi="Times New Roman" w:cs="仿宋"/>
          <w:sz w:val="24"/>
        </w:rPr>
        <w:t xml:space="preserve">提交。</w:t>
      </w:r>
      <w:bookmarkStart w:id="116" w:name="_Hlk187842952"/>
      <w:r>
        <w:rPr>
          <w:rFonts w:hint="eastAsia" w:ascii="Times New Roman" w:hAnsi="Times New Roman" w:cs="仿宋"/>
          <w:sz w:val="24"/>
        </w:rPr>
        <w:t xml:space="preserve">办理流程、偿付等内容见江苏政府采购网“保险保函”模块。</w:t>
      </w:r>
      <w:bookmarkEnd w:id="116"/>
      <w:r/>
      <w:r/>
    </w:p>
    <w:p>
      <w:pPr>
        <w:ind w:firstLine="480"/>
        <w:spacing w:line="480" w:lineRule="exact"/>
        <w:rPr>
          <w:rFonts w:ascii="Times New Roman" w:hAnsi="Times New Roman" w:cs="仿宋"/>
          <w:sz w:val="24"/>
        </w:rPr>
      </w:pPr>
      <w:r>
        <w:rPr>
          <w:rFonts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cs="仿宋"/>
          <w:sz w:val="24"/>
        </w:rPr>
        <w:t xml:space="preserve">10%</w:t>
      </w:r>
      <w:r>
        <w:rPr>
          <w:rFonts w:hint="eastAsia" w:ascii="Times New Roman" w:hAnsi="Times New Roman" w:cs="仿宋"/>
          <w:sz w:val="24"/>
        </w:rPr>
        <w:t xml:space="preserve">。</w:t>
      </w:r>
      <w:bookmarkEnd w:id="115"/>
      <w:r/>
      <w:r/>
    </w:p>
    <w:p>
      <w:pPr>
        <w:ind w:firstLine="320"/>
        <w:keepLines/>
        <w:keepNext/>
        <w:spacing w:line="520" w:lineRule="exact"/>
        <w:rPr>
          <w:rFonts w:hint="eastAsia" w:ascii="黑体" w:hAnsi="黑体" w:eastAsia="黑体" w:cs="黑体"/>
          <w:sz w:val="32"/>
        </w:rPr>
        <w:outlineLvl w:val="1"/>
      </w:pPr>
      <w:r/>
      <w:bookmarkStart w:id="117" w:name="_Toc141869970"/>
      <w:r/>
      <w:bookmarkStart w:id="118" w:name="_Toc1038"/>
      <w:r/>
      <w:bookmarkStart w:id="119" w:name="_Toc3891"/>
      <w:r>
        <w:rPr>
          <w:rFonts w:hint="eastAsia" w:ascii="黑体" w:hAnsi="黑体" w:eastAsia="黑体" w:cs="黑体"/>
          <w:sz w:val="32"/>
        </w:rPr>
        <w:t xml:space="preserve">八、质疑与投诉</w:t>
      </w:r>
      <w:bookmarkEnd w:id="117"/>
      <w:r/>
      <w:bookmarkEnd w:id="118"/>
      <w:r/>
      <w:bookmarkEnd w:id="119"/>
      <w:r/>
      <w:r/>
    </w:p>
    <w:p>
      <w:pPr>
        <w:ind w:firstLine="482"/>
        <w:spacing w:line="480" w:lineRule="exact"/>
        <w:rPr>
          <w:rFonts w:ascii="Times New Roman" w:hAnsi="Times New Roman" w:cs="仿宋"/>
          <w:b/>
          <w:sz w:val="24"/>
        </w:rPr>
      </w:pPr>
      <w:r>
        <w:rPr>
          <w:rFonts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具体起算时间见28.2），以书面形式向采购代理机构或采购人提出质疑。质疑超出采购机构代理范围的，投标人应当向采购人提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本项目接收质疑函的方式：现场接收或邮寄接收。</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联系部门：宿迁市湖滨新区住房和城乡建设局或江苏大业工程管理咨询有限公司</w:t>
      </w:r>
      <w:r/>
    </w:p>
    <w:p>
      <w:pPr>
        <w:ind w:firstLine="480"/>
        <w:spacing w:line="480" w:lineRule="exact"/>
        <w:rPr>
          <w:rFonts w:hint="default" w:ascii="Times New Roman" w:hAnsi="Times New Roman" w:eastAsia="宋体" w:cs="仿宋"/>
          <w:sz w:val="24"/>
          <w:highlight w:val="none"/>
          <w:lang w:val="en-US" w:eastAsia="zh-CN"/>
        </w:rPr>
      </w:pPr>
      <w:r>
        <w:rPr>
          <w:rFonts w:hint="eastAsia" w:ascii="Times New Roman" w:hAnsi="Times New Roman" w:cs="仿宋"/>
          <w:sz w:val="24"/>
          <w:highlight w:val="none"/>
        </w:rPr>
        <w:t xml:space="preserve">联系电话：</w:t>
      </w:r>
      <w:r>
        <w:rPr>
          <w:rFonts w:hint="eastAsia" w:ascii="Times New Roman" w:hAnsi="Times New Roman" w:cs="仿宋"/>
          <w:sz w:val="24"/>
          <w:highlight w:val="none"/>
          <w:lang w:val="en-US" w:eastAsia="zh-CN"/>
        </w:rPr>
        <w:t xml:space="preserve">详见竞争性磋商公告</w:t>
      </w:r>
      <w:r/>
    </w:p>
    <w:p>
      <w:pPr>
        <w:ind w:firstLine="480"/>
        <w:spacing w:line="480" w:lineRule="exact"/>
        <w:rPr>
          <w:rFonts w:hint="eastAsia" w:ascii="Times New Roman" w:hAnsi="Times New Roman" w:cs="仿宋"/>
          <w:sz w:val="24"/>
          <w:highlight w:val="none"/>
          <w:lang w:val="en-US" w:eastAsia="zh-CN"/>
        </w:rPr>
      </w:pPr>
      <w:r>
        <w:rPr>
          <w:rFonts w:hint="eastAsia" w:ascii="Times New Roman" w:hAnsi="Times New Roman" w:cs="仿宋"/>
          <w:sz w:val="24"/>
          <w:highlight w:val="none"/>
        </w:rPr>
        <w:t xml:space="preserve">通讯地址：</w:t>
      </w:r>
      <w:r>
        <w:rPr>
          <w:rFonts w:hint="eastAsia" w:ascii="Times New Roman" w:hAnsi="Times New Roman" w:cs="仿宋"/>
          <w:sz w:val="24"/>
          <w:highlight w:val="none"/>
          <w:lang w:val="en-US" w:eastAsia="zh-CN"/>
        </w:rPr>
        <w:t xml:space="preserve">详见竞争性磋商公告</w:t>
      </w:r>
      <w:r/>
    </w:p>
    <w:p>
      <w:pPr>
        <w:ind w:firstLine="480"/>
        <w:spacing w:line="480" w:lineRule="exact"/>
        <w:rPr>
          <w:rFonts w:ascii="Times New Roman" w:hAnsi="Times New Roman" w:cs="仿宋"/>
          <w:sz w:val="24"/>
        </w:rPr>
      </w:pPr>
      <w:r>
        <w:rPr>
          <w:rFonts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ascii="Times New Roman" w:hAnsi="Times New Roman" w:cs="仿宋"/>
          <w:sz w:val="24"/>
        </w:rPr>
        <w:t xml:space="preserve">7</w:t>
      </w:r>
      <w:r>
        <w:rPr>
          <w:rFonts w:hint="eastAsia" w:ascii="Times New Roman" w:hAnsi="Times New Roman" w:cs="仿宋"/>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hint="eastAsia"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w:t>
      </w:r>
      <w:r>
        <w:rPr>
          <w:rFonts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2"/>
        <w:jc w:val="center"/>
        <w:spacing w:line="480" w:lineRule="exact"/>
        <w:rPr>
          <w:rFonts w:ascii="Times New Roman" w:hAnsi="Times New Roman" w:eastAsia="黑体"/>
          <w:sz w:val="44"/>
          <w:szCs w:val="44"/>
        </w:rPr>
      </w:pPr>
      <w:r>
        <w:rPr>
          <w:rFonts w:hint="eastAsia" w:ascii="Times New Roman" w:hAnsi="Times New Roman" w:eastAsia="黑体"/>
          <w:bCs/>
          <w:sz w:val="44"/>
          <w:szCs w:val="28"/>
        </w:rPr>
        <w:br w:type="page" w:clear="all"/>
      </w:r>
      <w:bookmarkStart w:id="120" w:name="_Toc1842"/>
      <w:r>
        <w:rPr>
          <w:rFonts w:hint="eastAsia" w:ascii="Times New Roman" w:hAnsi="Times New Roman" w:eastAsia="黑体"/>
          <w:sz w:val="44"/>
          <w:szCs w:val="44"/>
        </w:rPr>
        <w:t xml:space="preserve">第三章  合同</w:t>
      </w:r>
      <w:bookmarkEnd w:id="90"/>
      <w:r/>
      <w:bookmarkEnd w:id="91"/>
      <w:r/>
      <w:bookmarkEnd w:id="92"/>
      <w:r/>
      <w:bookmarkEnd w:id="93"/>
      <w:r/>
      <w:bookmarkEnd w:id="94"/>
      <w:r>
        <w:rPr>
          <w:rFonts w:hint="eastAsia" w:ascii="Times New Roman" w:hAnsi="Times New Roman" w:eastAsia="黑体"/>
          <w:sz w:val="44"/>
          <w:szCs w:val="44"/>
        </w:rPr>
        <w:t xml:space="preserve">文本</w:t>
      </w:r>
      <w:bookmarkEnd w:id="120"/>
      <w:r/>
      <w:r/>
    </w:p>
    <w:p>
      <w:pPr>
        <w:ind w:firstLine="480"/>
        <w:spacing w:line="500" w:lineRule="exact"/>
        <w:rPr>
          <w:rFonts w:hint="eastAsia" w:ascii="宋体" w:hAnsi="宋体" w:cs="宋体"/>
          <w:b/>
          <w:sz w:val="30"/>
          <w:szCs w:val="21"/>
        </w:rPr>
      </w:pPr>
      <w:r/>
      <w:bookmarkStart w:id="121" w:name="_Toc16938559"/>
      <w:r/>
      <w:bookmarkStart w:id="122" w:name="_Toc513029243"/>
      <w:r/>
      <w:bookmarkStart w:id="123" w:name="_Toc20823315"/>
      <w:r>
        <w:rPr>
          <w:rFonts w:hint="eastAsia" w:ascii="宋体" w:hAnsi="宋体" w:cs="宋体"/>
          <w:bCs/>
          <w:sz w:val="24"/>
          <w:szCs w:val="21"/>
        </w:rPr>
        <w:t xml:space="preserve">以下为成交后签订本项目合同的通用条款，成交供应商不得提出实质性的修改。</w:t>
      </w:r>
      <w:bookmarkEnd w:id="121"/>
      <w:r/>
      <w:bookmarkEnd w:id="122"/>
      <w:r/>
      <w:bookmarkEnd w:id="123"/>
      <w:r/>
      <w:r/>
    </w:p>
    <w:p>
      <w:pPr>
        <w:jc w:val="left"/>
        <w:spacing w:line="360" w:lineRule="exact"/>
        <w:widowControl/>
        <w:rPr>
          <w:rFonts w:hint="eastAsia" w:ascii="宋体" w:hAnsi="宋体" w:cs="宋体"/>
          <w:szCs w:val="21"/>
        </w:rPr>
      </w:pPr>
      <w:r/>
      <w:bookmarkStart w:id="124" w:name="_Toc296890982"/>
      <w:r/>
      <w:bookmarkEnd w:id="124"/>
      <w:r/>
      <w:bookmarkStart w:id="125" w:name="_Toc296503025"/>
      <w:r/>
      <w:bookmarkEnd w:id="125"/>
      <w:r/>
      <w:r/>
    </w:p>
    <w:p>
      <w:pPr>
        <w:jc w:val="left"/>
        <w:spacing w:line="360" w:lineRule="exact"/>
        <w:rPr>
          <w:rFonts w:ascii="宋体" w:hAnsi="宋体" w:eastAsia="宋体" w:cs="Times New Roman"/>
          <w:bCs/>
          <w:color w:val="000000"/>
          <w:sz w:val="32"/>
          <w:szCs w:val="32"/>
          <w:highlight w:val="none"/>
        </w:rPr>
      </w:pPr>
      <w:r>
        <w:rPr>
          <w:rFonts w:hint="eastAsia" w:ascii="宋体" w:hAnsi="宋体" w:cs="宋体"/>
          <w:szCs w:val="21"/>
        </w:rPr>
        <w:t xml:space="preserve">    </w:t>
      </w:r>
      <w:r>
        <w:rPr>
          <w:rFonts w:hint="eastAsia" w:ascii="宋体" w:hAnsi="宋体" w:eastAsia="宋体" w:cs="Times New Roman"/>
          <w:bCs/>
          <w:color w:val="000000"/>
          <w:sz w:val="32"/>
          <w:szCs w:val="32"/>
          <w:highlight w:val="none"/>
        </w:rPr>
        <w:t xml:space="preserve">（</w:t>
      </w:r>
      <w:r>
        <w:rPr>
          <w:rFonts w:ascii="宋体" w:hAnsi="宋体" w:eastAsia="宋体" w:cs="Times New Roman"/>
          <w:bCs/>
          <w:color w:val="000000"/>
          <w:sz w:val="32"/>
          <w:szCs w:val="32"/>
          <w:highlight w:val="none"/>
        </w:rPr>
        <w:t xml:space="preserve">GF—2017—0201</w:t>
      </w:r>
      <w:r>
        <w:rPr>
          <w:rFonts w:hint="eastAsia" w:ascii="宋体" w:hAnsi="宋体" w:eastAsia="宋体" w:cs="Times New Roman"/>
          <w:bCs/>
          <w:color w:val="000000"/>
          <w:sz w:val="32"/>
          <w:szCs w:val="32"/>
          <w:highlight w:val="none"/>
        </w:rPr>
        <w:t xml:space="preserve">）</w:t>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rPr>
          <w:rFonts w:ascii="宋体" w:hAnsi="宋体" w:eastAsia="宋体" w:cs="Times New Roman"/>
          <w:b/>
          <w:color w:val="000000"/>
          <w:sz w:val="52"/>
          <w:szCs w:val="52"/>
          <w:highlight w:val="none"/>
        </w:rPr>
      </w:pPr>
      <w:r>
        <w:rPr>
          <w:rFonts w:hint="eastAsia" w:ascii="宋体" w:hAnsi="宋体" w:eastAsia="宋体" w:cs="Times New Roman"/>
          <w:b/>
          <w:color w:val="000000"/>
          <w:sz w:val="72"/>
          <w:szCs w:val="52"/>
          <w:highlight w:val="none"/>
        </w:rPr>
        <w:t xml:space="preserve">建设工程施工合同</w:t>
      </w:r>
      <w:r>
        <w:rPr>
          <w:rFonts w:ascii="宋体" w:hAnsi="宋体" w:eastAsia="宋体" w:cs="Times New Roman"/>
          <w:b/>
          <w:color w:val="000000"/>
          <w:sz w:val="52"/>
          <w:szCs w:val="52"/>
          <w:highlight w:val="none"/>
        </w:rPr>
        <w:br/>
      </w:r>
      <w:r>
        <w:rPr>
          <w:rFonts w:hint="eastAsia" w:ascii="宋体" w:hAnsi="宋体" w:eastAsia="宋体" w:cs="Times New Roman"/>
          <w:b/>
          <w:color w:val="000000"/>
          <w:sz w:val="52"/>
          <w:szCs w:val="52"/>
          <w:highlight w:val="none"/>
        </w:rPr>
        <w:t xml:space="preserve">（示范文本）</w:t>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exact"/>
        <w:rPr>
          <w:rFonts w:ascii="宋体" w:hAnsi="宋体" w:eastAsia="宋体" w:cs="Times New Roman"/>
          <w:b/>
          <w:color w:val="000000"/>
          <w:sz w:val="72"/>
          <w:szCs w:val="72"/>
          <w:highlight w:val="none"/>
        </w:rPr>
      </w:pPr>
      <w:r>
        <w:rPr>
          <w:rFonts w:ascii="宋体" w:hAnsi="宋体" w:eastAsia="宋体" w:cs="Times New Roman"/>
          <w:b/>
          <w:color w:val="000000"/>
          <w:sz w:val="72"/>
          <w:szCs w:val="72"/>
          <w:highlight w:val="none"/>
        </w:rPr>
      </w:r>
      <w:r/>
    </w:p>
    <w:p>
      <w:pPr>
        <w:jc w:val="center"/>
        <w:spacing w:line="360" w:lineRule="exact"/>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p>
      <w:pPr>
        <w:spacing w:line="36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r>
      <w:r/>
    </w:p>
    <w:tbl>
      <w:tblPr>
        <w:tblStyle w:val="827"/>
        <w:tblW w:w="4794" w:type="dxa"/>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shd w:val="clear" w:color="auto" w:fill="auto"/>
            <w:tcW w:w="3518" w:type="dxa"/>
            <w:textDirection w:val="lrTb"/>
            <w:noWrap w:val="false"/>
          </w:tcPr>
          <w:p>
            <w:pPr>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住 房 城 乡 建 设 部</w:t>
            </w:r>
            <w:r/>
          </w:p>
        </w:tc>
        <w:tc>
          <w:tcPr>
            <w:shd w:val="clear" w:color="auto" w:fill="auto"/>
            <w:tcW w:w="1276" w:type="dxa"/>
            <w:vAlign w:val="center"/>
            <w:vMerge w:val="restart"/>
            <w:textDirection w:val="lrTb"/>
            <w:noWrap w:val="false"/>
          </w:tcPr>
          <w:p>
            <w:pPr>
              <w:jc w:val="center"/>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制定</w:t>
            </w:r>
            <w:r/>
          </w:p>
        </w:tc>
      </w:tr>
      <w:tr>
        <w:trPr>
          <w:jc w:val="center"/>
        </w:trPr>
        <w:tc>
          <w:tcPr>
            <w:shd w:val="clear" w:color="auto" w:fill="auto"/>
            <w:tcW w:w="3518" w:type="dxa"/>
            <w:textDirection w:val="lrTb"/>
            <w:noWrap w:val="false"/>
          </w:tcPr>
          <w:p>
            <w:pPr>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国家工商行政管理总局</w:t>
            </w:r>
            <w:r/>
          </w:p>
        </w:tc>
        <w:tc>
          <w:tcPr>
            <w:shd w:val="clear" w:color="auto" w:fill="auto"/>
            <w:tcW w:w="1276" w:type="dxa"/>
            <w:vMerge w:val="continue"/>
            <w:textDirection w:val="lrTb"/>
            <w:noWrap w:val="false"/>
          </w:tcPr>
          <w:p>
            <w:pPr>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tc>
      </w:tr>
    </w:tbl>
    <w:p>
      <w:pPr>
        <w:rPr>
          <w:rFonts w:ascii="宋体" w:hAnsi="宋体" w:eastAsia="宋体" w:cs="Times New Roman"/>
          <w:b/>
          <w:color w:val="000000"/>
          <w:highlight w:val="none"/>
        </w:rPr>
      </w:pPr>
      <w:r>
        <w:rPr>
          <w:rFonts w:ascii="宋体" w:hAnsi="宋体" w:eastAsia="宋体" w:cs="Times New Roman"/>
          <w:b/>
          <w:color w:val="000000"/>
          <w:highlight w:val="none"/>
        </w:rPr>
      </w:r>
      <w:r/>
    </w:p>
    <w:p>
      <w:pPr>
        <w:rPr>
          <w:rFonts w:ascii="宋体" w:hAnsi="宋体" w:eastAsia="宋体" w:cs="Times New Roman"/>
          <w:color w:val="000000"/>
          <w:highlight w:val="none"/>
        </w:rPr>
      </w:pPr>
      <w:r/>
      <w:bookmarkStart w:id="126" w:name="_Toc351203480"/>
      <w:r/>
      <w:bookmarkEnd w:id="126"/>
      <w:r/>
      <w:r/>
    </w:p>
    <w:p>
      <w:pPr>
        <w:jc w:val="center"/>
        <w:keepLines/>
        <w:keepNext/>
        <w:pageBreakBefore w:val="0"/>
        <w:spacing w:line="440" w:lineRule="exact"/>
        <w:widowControl w:val="off"/>
        <w:rPr>
          <w:rFonts w:hint="eastAsia" w:ascii="仿宋" w:hAnsi="仿宋" w:eastAsia="仿宋" w:cs="仿宋"/>
          <w:b/>
          <w:color w:val="000000"/>
          <w:sz w:val="36"/>
          <w:szCs w:val="36"/>
          <w:highlight w:val="none"/>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outlineLvl w:val="2"/>
      </w:pPr>
      <w:r/>
      <w:bookmarkStart w:id="127" w:name="_Toc4792"/>
      <w:r/>
      <w:bookmarkStart w:id="128" w:name="_Toc19171"/>
      <w:r/>
      <w:bookmarkStart w:id="129" w:name="_Toc6647"/>
      <w:r/>
      <w:bookmarkStart w:id="130" w:name="_Toc24563"/>
      <w:r/>
      <w:bookmarkStart w:id="131" w:name="_Toc256000059"/>
      <w:r/>
      <w:bookmarkStart w:id="132" w:name="_Toc5483"/>
      <w:r/>
      <w:r/>
    </w:p>
    <w:p>
      <w:pPr>
        <w:jc w:val="center"/>
        <w:keepLines/>
        <w:keepNext/>
        <w:pageBreakBefore w:val="0"/>
        <w:spacing w:line="440" w:lineRule="exact"/>
        <w:widowControl w:val="off"/>
        <w:rPr>
          <w:rFonts w:hint="eastAsia" w:ascii="仿宋" w:hAnsi="仿宋" w:eastAsia="仿宋" w:cs="仿宋"/>
          <w:b/>
          <w:color w:val="000000"/>
          <w:sz w:val="36"/>
          <w:szCs w:val="36"/>
          <w:highlight w:val="none"/>
          <w:lang w:val="en-US" w:eastAsia="zh-CN" w:bidi="ar-SA"/>
        </w:rPr>
        <w:outlineLvl w:val="2"/>
      </w:pPr>
      <w:r>
        <w:rPr>
          <w:rFonts w:hint="eastAsia" w:ascii="仿宋" w:hAnsi="仿宋" w:eastAsia="仿宋" w:cs="仿宋"/>
          <w:b/>
          <w:color w:val="000000"/>
          <w:sz w:val="36"/>
          <w:szCs w:val="36"/>
          <w:highlight w:val="none"/>
          <w:lang w:val="en-US" w:eastAsia="zh-CN" w:bidi="ar-SA"/>
        </w:rPr>
        <w:t xml:space="preserve">第一部分 合同协议书</w:t>
      </w:r>
      <w:bookmarkEnd w:id="127"/>
      <w:r/>
      <w:bookmarkEnd w:id="128"/>
      <w:r/>
      <w:bookmarkEnd w:id="129"/>
      <w:r/>
      <w:bookmarkEnd w:id="130"/>
      <w:r/>
      <w:bookmarkEnd w:id="131"/>
      <w:r/>
      <w:bookmarkEnd w:id="132"/>
      <w:r/>
      <w:r/>
    </w:p>
    <w:p>
      <w:pPr>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发包人（全称）：</w:t>
      </w:r>
      <w:r>
        <w:rPr>
          <w:rFonts w:hint="eastAsia" w:ascii="宋体" w:hAnsi="宋体" w:eastAsia="宋体" w:cs="宋体"/>
          <w:b w:val="0"/>
          <w:bCs/>
          <w:color w:val="000000"/>
          <w:sz w:val="21"/>
          <w:szCs w:val="21"/>
          <w:highlight w:val="none"/>
          <w:u w:val="single"/>
          <w:lang w:val="en-US" w:eastAsia="zh-CN" w:bidi="ar-SA"/>
        </w:rPr>
        <w:t xml:space="preserve">宿迁市湖滨新区住房和城乡建设局</w:t>
      </w:r>
      <w:r/>
    </w:p>
    <w:p>
      <w:pPr>
        <w:ind w:left="0" w:firstLine="422"/>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lang w:val="en-US" w:eastAsia="zh-CN" w:bidi="ar-SA"/>
        </w:rPr>
        <w:t xml:space="preserve">承包人（全称）：</w:t>
      </w:r>
      <w:r>
        <w:rPr>
          <w:rFonts w:hint="eastAsia" w:ascii="宋体" w:hAnsi="宋体" w:eastAsia="宋体" w:cs="宋体"/>
          <w:b w:val="0"/>
          <w:bCs/>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lang w:val="en-US" w:eastAsia="zh-CN" w:bidi="ar-SA"/>
        </w:rPr>
        <w:t xml:space="preserve">湖滨新区排水管网零星更新改造</w:t>
      </w:r>
      <w:r>
        <w:rPr>
          <w:rFonts w:hint="eastAsia" w:ascii="宋体" w:hAnsi="宋体" w:eastAsia="宋体" w:cs="宋体"/>
          <w:color w:val="000000"/>
          <w:sz w:val="21"/>
          <w:szCs w:val="21"/>
          <w:highlight w:val="none"/>
          <w:u w:val="single"/>
          <w:lang w:val="en-US" w:eastAsia="zh-CN" w:bidi="ar-SA"/>
        </w:rPr>
        <w:t xml:space="preserve">工程</w:t>
      </w:r>
      <w:r>
        <w:rPr>
          <w:rFonts w:hint="eastAsia" w:ascii="宋体" w:hAnsi="宋体" w:eastAsia="宋体" w:cs="宋体"/>
          <w:color w:val="000000"/>
          <w:sz w:val="21"/>
          <w:szCs w:val="21"/>
          <w:highlight w:val="none"/>
          <w:lang w:val="en-US" w:eastAsia="zh-CN" w:bidi="ar-SA"/>
        </w:rPr>
        <w:t xml:space="preserve">及有关事项协商一致，共同达成如下协议：</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33" w:name="_Toc351203481"/>
      <w:r>
        <w:rPr>
          <w:rFonts w:hint="eastAsia" w:ascii="宋体" w:hAnsi="宋体" w:eastAsia="宋体" w:cs="宋体"/>
          <w:b/>
          <w:color w:val="000000"/>
          <w:sz w:val="21"/>
          <w:szCs w:val="21"/>
          <w:highlight w:val="none"/>
          <w:lang w:val="en-US" w:eastAsia="zh-CN" w:bidi="ar-SA"/>
        </w:rPr>
        <w:t xml:space="preserve">一、 工程概况</w:t>
      </w:r>
      <w:bookmarkEnd w:id="133"/>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1.工程名称：</w:t>
      </w:r>
      <w:r>
        <w:rPr>
          <w:rFonts w:hint="eastAsia" w:ascii="宋体" w:hAnsi="宋体" w:eastAsia="宋体" w:cs="宋体"/>
          <w:sz w:val="21"/>
          <w:szCs w:val="22"/>
          <w:highlight w:val="none"/>
          <w:u w:val="single"/>
          <w:lang w:val="en-US" w:eastAsia="zh-CN" w:bidi="ar-SA"/>
        </w:rPr>
        <w:t xml:space="preserve">湖滨新区排水管网零星更新改造</w:t>
      </w:r>
      <w:r>
        <w:rPr>
          <w:rFonts w:hint="eastAsia" w:ascii="宋体" w:hAnsi="宋体" w:eastAsia="宋体" w:cs="宋体"/>
          <w:sz w:val="21"/>
          <w:szCs w:val="22"/>
          <w:highlight w:val="none"/>
          <w:u w:val="single"/>
          <w:lang w:val="en-US" w:eastAsia="zh-CN" w:bidi="ar-SA"/>
        </w:rPr>
        <w:t xml:space="preserve">工程</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2.工程地点：</w:t>
      </w:r>
      <w:r>
        <w:rPr>
          <w:rFonts w:hint="eastAsia" w:ascii="宋体" w:hAnsi="宋体" w:eastAsia="宋体" w:cs="宋体"/>
          <w:color w:val="000000"/>
          <w:sz w:val="21"/>
          <w:szCs w:val="21"/>
          <w:highlight w:val="none"/>
          <w:u w:val="single"/>
          <w:lang w:val="en-US" w:eastAsia="zh-CN" w:bidi="ar-SA"/>
        </w:rPr>
        <w:t xml:space="preserve">宿迁市湖滨新区</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3.资金来源：</w:t>
      </w:r>
      <w:r>
        <w:rPr>
          <w:rFonts w:hint="eastAsia" w:ascii="宋体" w:hAnsi="宋体" w:eastAsia="宋体" w:cs="宋体"/>
          <w:color w:val="000000"/>
          <w:sz w:val="21"/>
          <w:szCs w:val="21"/>
          <w:highlight w:val="none"/>
          <w:u w:val="single"/>
          <w:lang w:val="en-US" w:eastAsia="zh-CN" w:bidi="ar-SA"/>
        </w:rPr>
        <w:t xml:space="preserve">财政资金</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4.工程内容：</w:t>
      </w:r>
      <w:r>
        <w:rPr>
          <w:rFonts w:hint="eastAsia" w:ascii="宋体" w:hAnsi="宋体" w:eastAsia="宋体" w:cs="宋体"/>
          <w:color w:val="000000"/>
          <w:sz w:val="21"/>
          <w:szCs w:val="21"/>
          <w:highlight w:val="none"/>
          <w:u w:val="single"/>
          <w:lang w:val="en-US" w:eastAsia="zh-CN" w:bidi="ar-SA"/>
        </w:rPr>
        <w:t xml:space="preserve">湖滨新区排水管网零星更新改造</w:t>
      </w:r>
      <w:r>
        <w:rPr>
          <w:rFonts w:hint="eastAsia" w:ascii="宋体" w:hAnsi="宋体" w:eastAsia="宋体" w:cs="宋体"/>
          <w:color w:val="000000"/>
          <w:sz w:val="21"/>
          <w:szCs w:val="21"/>
          <w:highlight w:val="none"/>
          <w:u w:val="single"/>
          <w:lang w:val="en-US" w:eastAsia="zh-CN" w:bidi="ar-SA"/>
        </w:rPr>
        <w:t xml:space="preserve">工程</w:t>
      </w:r>
      <w:r>
        <w:rPr>
          <w:rFonts w:hint="eastAsia" w:ascii="宋体" w:hAnsi="宋体" w:eastAsia="宋体" w:cs="宋体"/>
          <w:color w:val="000000"/>
          <w:sz w:val="21"/>
          <w:szCs w:val="21"/>
          <w:highlight w:val="none"/>
          <w:u w:val="single"/>
          <w:lang w:val="en-US" w:eastAsia="zh-CN" w:bidi="ar-SA"/>
        </w:rPr>
        <w:t xml:space="preserve">施工</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5.工程承包范围：</w:t>
      </w:r>
      <w:r>
        <w:rPr>
          <w:rFonts w:hint="eastAsia" w:ascii="宋体" w:hAnsi="宋体" w:eastAsia="宋体" w:cs="宋体"/>
          <w:color w:val="000000"/>
          <w:sz w:val="21"/>
          <w:szCs w:val="21"/>
          <w:highlight w:val="none"/>
          <w:u w:val="single"/>
          <w:lang w:val="en-US" w:eastAsia="zh-CN" w:bidi="ar-SA"/>
        </w:rPr>
        <w:t xml:space="preserve">湖滨新区排水管网零星更新改造</w:t>
      </w:r>
      <w:r>
        <w:rPr>
          <w:rFonts w:hint="eastAsia" w:ascii="宋体" w:hAnsi="宋体" w:eastAsia="宋体" w:cs="宋体"/>
          <w:color w:val="000000"/>
          <w:sz w:val="21"/>
          <w:szCs w:val="21"/>
          <w:highlight w:val="none"/>
          <w:u w:val="single"/>
          <w:lang w:val="en-US" w:eastAsia="zh-CN" w:bidi="ar-SA"/>
        </w:rPr>
        <w:t xml:space="preserve">工程</w:t>
      </w:r>
      <w:r>
        <w:rPr>
          <w:rFonts w:hint="eastAsia" w:ascii="宋体" w:hAnsi="宋体" w:eastAsia="宋体" w:cs="宋体"/>
          <w:color w:val="000000"/>
          <w:sz w:val="21"/>
          <w:szCs w:val="21"/>
          <w:highlight w:val="none"/>
          <w:u w:val="single"/>
          <w:lang w:val="en-US" w:eastAsia="zh-CN" w:bidi="ar-SA"/>
        </w:rPr>
        <w:t xml:space="preserve">施工，具体内容详见工程量清单所有内容</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bookmarkStart w:id="134" w:name="_Toc351203482"/>
      <w:r>
        <w:rPr>
          <w:rFonts w:hint="eastAsia" w:ascii="宋体" w:hAnsi="宋体" w:eastAsia="宋体" w:cs="宋体"/>
          <w:b/>
          <w:color w:val="000000"/>
          <w:sz w:val="21"/>
          <w:szCs w:val="21"/>
          <w:highlight w:val="none"/>
          <w:lang w:val="en-US" w:eastAsia="zh-CN" w:bidi="ar-SA"/>
        </w:rPr>
        <w:t xml:space="preserve">二、合同工期</w:t>
      </w:r>
      <w:bookmarkEnd w:id="134"/>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工期总日历天数：</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日历天。工期总日历天数与根据前述计划开竣工日期计算的工期天数不一致的，以工期总日历天数为准。</w:t>
      </w:r>
      <w:bookmarkStart w:id="135" w:name="_Toc351203483"/>
      <w:r/>
      <w:r/>
    </w:p>
    <w:p>
      <w:pPr>
        <w:ind w:left="0" w:firstLine="422"/>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三、质量标准</w:t>
      </w:r>
      <w:bookmarkEnd w:id="135"/>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工程质量符合</w:t>
      </w:r>
      <w:r>
        <w:rPr>
          <w:rFonts w:hint="eastAsia" w:ascii="宋体" w:hAnsi="宋体" w:eastAsia="宋体" w:cs="宋体"/>
          <w:color w:val="000000"/>
          <w:sz w:val="21"/>
          <w:szCs w:val="21"/>
          <w:highlight w:val="none"/>
          <w:u w:val="single"/>
          <w:lang w:val="en-US" w:eastAsia="zh-CN" w:bidi="ar-SA"/>
        </w:rPr>
        <w:t xml:space="preserve"> 合格  </w:t>
      </w:r>
      <w:r>
        <w:rPr>
          <w:rFonts w:hint="eastAsia" w:ascii="宋体" w:hAnsi="宋体" w:eastAsia="宋体" w:cs="宋体"/>
          <w:color w:val="000000"/>
          <w:sz w:val="21"/>
          <w:szCs w:val="21"/>
          <w:highlight w:val="none"/>
          <w:lang w:val="en-US" w:eastAsia="zh-CN" w:bidi="ar-SA"/>
        </w:rPr>
        <w:t xml:space="preserve">标准。</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36" w:name="_Toc351203484"/>
      <w:r>
        <w:rPr>
          <w:rFonts w:hint="eastAsia" w:ascii="宋体" w:hAnsi="宋体" w:eastAsia="宋体" w:cs="宋体"/>
          <w:b/>
          <w:color w:val="000000"/>
          <w:sz w:val="21"/>
          <w:szCs w:val="21"/>
          <w:highlight w:val="none"/>
          <w:lang w:val="en-US" w:eastAsia="zh-CN" w:bidi="ar-SA"/>
        </w:rPr>
        <w:t xml:space="preserve">四、签约合同价与合同价格形式</w:t>
      </w:r>
      <w:bookmarkEnd w:id="136"/>
      <w:r>
        <w:rPr>
          <w:rFonts w:hint="eastAsia" w:ascii="宋体" w:hAnsi="宋体" w:eastAsia="宋体" w:cs="宋体"/>
          <w:b/>
          <w:color w:val="000000"/>
          <w:sz w:val="21"/>
          <w:szCs w:val="21"/>
          <w:highlight w:val="none"/>
          <w:lang w:val="en-US" w:eastAsia="zh-CN" w:bidi="ar-SA"/>
        </w:rPr>
        <w:tab/>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1.签约合同价为：</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人民币（大写）</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元)。</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2.合同价格形式：</w:t>
      </w:r>
      <w:r>
        <w:rPr>
          <w:rFonts w:hint="eastAsia" w:ascii="宋体" w:hAnsi="宋体" w:eastAsia="宋体" w:cs="宋体"/>
          <w:color w:val="000000"/>
          <w:sz w:val="21"/>
          <w:szCs w:val="21"/>
          <w:highlight w:val="none"/>
          <w:u w:val="single"/>
          <w:lang w:val="en-US" w:eastAsia="zh-CN" w:bidi="ar-SA"/>
        </w:rPr>
        <w:t xml:space="preserve">单价合同</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37" w:name="_Toc351203485"/>
      <w:r>
        <w:rPr>
          <w:rFonts w:hint="eastAsia" w:ascii="宋体" w:hAnsi="宋体" w:eastAsia="宋体" w:cs="宋体"/>
          <w:b/>
          <w:color w:val="000000"/>
          <w:sz w:val="21"/>
          <w:szCs w:val="21"/>
          <w:highlight w:val="none"/>
          <w:lang w:val="en-US" w:eastAsia="zh-CN" w:bidi="ar-SA"/>
        </w:rPr>
        <w:t xml:space="preserve">五、</w:t>
      </w:r>
      <w:bookmarkEnd w:id="137"/>
      <w:r>
        <w:rPr>
          <w:rFonts w:hint="eastAsia" w:ascii="宋体" w:hAnsi="宋体" w:eastAsia="宋体" w:cs="宋体"/>
          <w:b/>
          <w:color w:val="000000"/>
          <w:sz w:val="21"/>
          <w:szCs w:val="21"/>
          <w:highlight w:val="none"/>
          <w:lang w:val="en-US" w:eastAsia="zh-CN" w:bidi="ar-SA"/>
        </w:rPr>
        <w:t xml:space="preserve">项目经理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承包人项目经理：</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38" w:name="_Toc351203486"/>
      <w:r>
        <w:rPr>
          <w:rFonts w:hint="eastAsia" w:ascii="宋体" w:hAnsi="宋体" w:eastAsia="宋体" w:cs="宋体"/>
          <w:b/>
          <w:color w:val="000000"/>
          <w:sz w:val="21"/>
          <w:szCs w:val="21"/>
          <w:highlight w:val="none"/>
          <w:lang w:val="en-US" w:eastAsia="zh-CN" w:bidi="ar-SA"/>
        </w:rPr>
        <w:t xml:space="preserve">六、合同文件构成</w:t>
      </w:r>
      <w:bookmarkEnd w:id="138"/>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本协议书与下列文件一起构成合同文件：</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（1）中标通知书（如果有）；</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（2）投标函及其附录（如果有）； </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（3）专用合同条款及其附件；</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（4）通用合同条款；</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（5）技术标准和要求；</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（6）图纸；</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（7）已标价工程量清单或预算书；</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（8）其他合同文件。</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在合同订立及履行过程中形成的与合同有关的文件均构成合同文件组成部分。</w:t>
      </w:r>
      <w:r/>
    </w:p>
    <w:p>
      <w:pPr>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bookmarkStart w:id="139" w:name="_Toc351203487"/>
      <w:r/>
      <w:r/>
    </w:p>
    <w:p>
      <w:pPr>
        <w:ind w:left="0" w:firstLine="422"/>
        <w:jc w:val="left"/>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七、承诺</w:t>
      </w:r>
      <w:bookmarkEnd w:id="139"/>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1.发包人承诺按照法律规定履行项目审批手续、筹集工程建设资金并按照合同约定的期限和方式支付合同价款。</w:t>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3.发包人和承包人通过招投标形式签订合同的，双方理解并承诺不再就同一工程另行签订与合同实质性内容相背离的协议。</w:t>
      </w:r>
      <w:bookmarkStart w:id="140" w:name="_Toc351203488"/>
      <w:r/>
      <w:r/>
    </w:p>
    <w:p>
      <w:pPr>
        <w:ind w:left="0" w:firstLine="422"/>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八、词语含义</w:t>
      </w:r>
      <w:bookmarkEnd w:id="140"/>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本协议书中词语含义与第二部分通用合同条款中赋予的含义相同。</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41" w:name="_Toc351203489"/>
      <w:r>
        <w:rPr>
          <w:rFonts w:hint="eastAsia" w:ascii="宋体" w:hAnsi="宋体" w:eastAsia="宋体" w:cs="宋体"/>
          <w:b/>
          <w:color w:val="000000"/>
          <w:sz w:val="21"/>
          <w:szCs w:val="21"/>
          <w:highlight w:val="none"/>
          <w:lang w:val="en-US" w:eastAsia="zh-CN" w:bidi="ar-SA"/>
        </w:rPr>
        <w:t xml:space="preserve">九、签订时间</w:t>
      </w:r>
      <w:bookmarkEnd w:id="141"/>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本合同于</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年</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月</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日签订。</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42" w:name="_Toc351203490"/>
      <w:r>
        <w:rPr>
          <w:rFonts w:hint="eastAsia" w:ascii="宋体" w:hAnsi="宋体" w:eastAsia="宋体" w:cs="宋体"/>
          <w:b/>
          <w:color w:val="000000"/>
          <w:sz w:val="21"/>
          <w:szCs w:val="21"/>
          <w:highlight w:val="none"/>
          <w:lang w:val="en-US" w:eastAsia="zh-CN" w:bidi="ar-SA"/>
        </w:rPr>
        <w:t xml:space="preserve">十、签订地点</w:t>
      </w:r>
      <w:bookmarkEnd w:id="142"/>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本合同在</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签订。</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43" w:name="_Toc351203491"/>
      <w:r>
        <w:rPr>
          <w:rFonts w:hint="eastAsia" w:ascii="宋体" w:hAnsi="宋体" w:eastAsia="宋体" w:cs="宋体"/>
          <w:b/>
          <w:color w:val="000000"/>
          <w:sz w:val="21"/>
          <w:szCs w:val="21"/>
          <w:highlight w:val="none"/>
          <w:lang w:val="en-US" w:eastAsia="zh-CN" w:bidi="ar-SA"/>
        </w:rPr>
        <w:t xml:space="preserve">十一、补充协议</w:t>
      </w:r>
      <w:bookmarkEnd w:id="143"/>
      <w:r/>
      <w:r/>
    </w:p>
    <w:p>
      <w:pPr>
        <w:ind w:left="0" w:firstLine="420"/>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合同未尽事宜，合同当事人另行签订补充协议，补充协议是合同的组成部分。</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44" w:name="_Toc351203492"/>
      <w:r>
        <w:rPr>
          <w:rFonts w:hint="eastAsia" w:ascii="宋体" w:hAnsi="宋体" w:eastAsia="宋体" w:cs="宋体"/>
          <w:b/>
          <w:color w:val="000000"/>
          <w:sz w:val="21"/>
          <w:szCs w:val="21"/>
          <w:highlight w:val="none"/>
          <w:lang w:val="en-US" w:eastAsia="zh-CN" w:bidi="ar-SA"/>
        </w:rPr>
        <w:t xml:space="preserve">十二、合同生效</w:t>
      </w:r>
      <w:bookmarkEnd w:id="144"/>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本合同自</w:t>
      </w:r>
      <w:r>
        <w:rPr>
          <w:rFonts w:hint="eastAsia" w:ascii="宋体" w:hAnsi="宋体" w:eastAsia="宋体" w:cs="宋体"/>
          <w:color w:val="000000"/>
          <w:sz w:val="21"/>
          <w:szCs w:val="21"/>
          <w:highlight w:val="none"/>
          <w:u w:val="single"/>
          <w:lang w:val="en-US" w:eastAsia="zh-CN" w:bidi="ar-SA"/>
        </w:rPr>
        <w:t xml:space="preserve">双方签字并盖章时 </w:t>
      </w:r>
      <w:r>
        <w:rPr>
          <w:rFonts w:hint="eastAsia" w:ascii="宋体" w:hAnsi="宋体" w:eastAsia="宋体" w:cs="宋体"/>
          <w:bCs/>
          <w:color w:val="000000"/>
          <w:sz w:val="21"/>
          <w:szCs w:val="21"/>
          <w:highlight w:val="none"/>
          <w:lang w:val="en-US" w:eastAsia="zh-CN" w:bidi="ar-SA"/>
        </w:rPr>
        <w:t xml:space="preserve">生效。</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bookmarkStart w:id="145" w:name="_Toc351203493"/>
      <w:r>
        <w:rPr>
          <w:rFonts w:hint="eastAsia" w:ascii="宋体" w:hAnsi="宋体" w:eastAsia="宋体" w:cs="宋体"/>
          <w:b/>
          <w:color w:val="000000"/>
          <w:sz w:val="21"/>
          <w:szCs w:val="21"/>
          <w:highlight w:val="none"/>
          <w:lang w:val="en-US" w:eastAsia="zh-CN" w:bidi="ar-SA"/>
        </w:rPr>
        <w:t xml:space="preserve">十三、合同份数</w:t>
      </w:r>
      <w:bookmarkEnd w:id="145"/>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本合同一式</w:t>
      </w:r>
      <w:r>
        <w:rPr>
          <w:rFonts w:hint="eastAsia" w:ascii="宋体" w:hAnsi="宋体" w:eastAsia="宋体" w:cs="宋体"/>
          <w:bCs/>
          <w:color w:val="000000"/>
          <w:sz w:val="21"/>
          <w:szCs w:val="21"/>
          <w:highlight w:val="none"/>
          <w:u w:val="single"/>
          <w:lang w:val="en-US" w:eastAsia="zh-CN" w:bidi="ar-SA"/>
        </w:rPr>
        <w:t xml:space="preserve">7</w:t>
      </w:r>
      <w:r>
        <w:rPr>
          <w:rFonts w:hint="eastAsia" w:ascii="宋体" w:hAnsi="宋体" w:eastAsia="宋体" w:cs="宋体"/>
          <w:bCs/>
          <w:color w:val="000000"/>
          <w:sz w:val="21"/>
          <w:szCs w:val="21"/>
          <w:highlight w:val="none"/>
          <w:lang w:val="en-US" w:eastAsia="zh-CN" w:bidi="ar-SA"/>
        </w:rPr>
        <w:t xml:space="preserve">份，均具有同等法律效力，发包人执</w:t>
      </w:r>
      <w:r>
        <w:rPr>
          <w:rFonts w:hint="eastAsia" w:ascii="宋体" w:hAnsi="宋体" w:eastAsia="宋体" w:cs="宋体"/>
          <w:bCs/>
          <w:color w:val="000000"/>
          <w:sz w:val="21"/>
          <w:szCs w:val="21"/>
          <w:highlight w:val="none"/>
          <w:u w:val="single"/>
          <w:lang w:val="en-US" w:eastAsia="zh-CN" w:bidi="ar-SA"/>
        </w:rPr>
        <w:t xml:space="preserve">4</w:t>
      </w:r>
      <w:r>
        <w:rPr>
          <w:rFonts w:hint="eastAsia" w:ascii="宋体" w:hAnsi="宋体" w:eastAsia="宋体" w:cs="宋体"/>
          <w:bCs/>
          <w:color w:val="000000"/>
          <w:sz w:val="21"/>
          <w:szCs w:val="21"/>
          <w:highlight w:val="none"/>
          <w:lang w:val="en-US" w:eastAsia="zh-CN" w:bidi="ar-SA"/>
        </w:rPr>
        <w:t xml:space="preserve">份，承包人执</w:t>
      </w:r>
      <w:r>
        <w:rPr>
          <w:rFonts w:hint="eastAsia" w:ascii="宋体" w:hAnsi="宋体" w:eastAsia="宋体" w:cs="宋体"/>
          <w:bCs/>
          <w:color w:val="000000"/>
          <w:sz w:val="21"/>
          <w:szCs w:val="21"/>
          <w:highlight w:val="none"/>
          <w:u w:val="single"/>
          <w:lang w:val="en-US" w:eastAsia="zh-CN" w:bidi="ar-SA"/>
        </w:rPr>
        <w:t xml:space="preserve">2</w:t>
      </w:r>
      <w:r>
        <w:rPr>
          <w:rFonts w:hint="eastAsia" w:ascii="宋体" w:hAnsi="宋体" w:eastAsia="宋体" w:cs="宋体"/>
          <w:bCs/>
          <w:color w:val="000000"/>
          <w:sz w:val="21"/>
          <w:szCs w:val="21"/>
          <w:highlight w:val="none"/>
          <w:lang w:val="en-US" w:eastAsia="zh-CN" w:bidi="ar-SA"/>
        </w:rPr>
        <w:t xml:space="preserve">份，招标代理</w:t>
      </w:r>
      <w:r>
        <w:rPr>
          <w:rFonts w:hint="eastAsia" w:ascii="宋体" w:hAnsi="宋体" w:eastAsia="宋体" w:cs="宋体"/>
          <w:bCs/>
          <w:color w:val="000000"/>
          <w:sz w:val="21"/>
          <w:szCs w:val="21"/>
          <w:highlight w:val="none"/>
          <w:u w:val="single"/>
          <w:lang w:val="en-US" w:eastAsia="zh-CN" w:bidi="ar-SA"/>
        </w:rPr>
        <w:t xml:space="preserve">1</w:t>
      </w:r>
      <w:r>
        <w:rPr>
          <w:rFonts w:hint="eastAsia" w:ascii="宋体" w:hAnsi="宋体" w:eastAsia="宋体" w:cs="宋体"/>
          <w:bCs/>
          <w:color w:val="000000"/>
          <w:sz w:val="21"/>
          <w:szCs w:val="21"/>
          <w:highlight w:val="none"/>
          <w:lang w:val="en-US" w:eastAsia="zh-CN" w:bidi="ar-SA"/>
        </w:rPr>
        <w:t xml:space="preserve">份。</w:t>
      </w:r>
      <w:r/>
    </w:p>
    <w:p>
      <w:pPr>
        <w:ind w:left="0" w:firstLine="420"/>
        <w:jc w:val="both"/>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发包人：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承包人：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(公章)                                 (公章)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法定代表人或其委托代理人：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法定代表人或其委托代理人：</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（签字）                              （签字）</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组织机构代码：</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组织机构代码：</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地  址：</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地  址：</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邮政编码：</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邮政编码：</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法定代表人：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法定代表人：</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委托代理人：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委托代理人：</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电  话：</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电  话：</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传  真：</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传  真：</w:t>
      </w:r>
      <w:r>
        <w:rPr>
          <w:rFonts w:hint="eastAsia" w:ascii="宋体" w:hAnsi="宋体" w:eastAsia="宋体" w:cs="宋体"/>
          <w:color w:val="000000"/>
          <w:sz w:val="21"/>
          <w:szCs w:val="21"/>
          <w:highlight w:val="none"/>
          <w:u w:val="single"/>
          <w:lang w:val="en-US" w:eastAsia="zh-CN" w:bidi="ar-SA"/>
        </w:rPr>
        <w:t xml:space="preserve">         /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开户银行：</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开户银行：</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账  号：</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账  号：</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p>
    <w:p>
      <w:pPr>
        <w:jc w:val="center"/>
        <w:keepLines/>
        <w:keepNext/>
        <w:pageBreakBefore w:val="0"/>
        <w:spacing w:line="440" w:lineRule="exact"/>
        <w:widowControl w:val="off"/>
        <w:rPr>
          <w:rFonts w:hint="eastAsia" w:ascii="宋体" w:hAnsi="宋体" w:eastAsia="宋体" w:cs="宋体"/>
          <w:b/>
          <w:color w:val="000000"/>
          <w:sz w:val="21"/>
          <w:szCs w:val="21"/>
          <w:highlight w:val="none"/>
          <w:lang w:val="en-US" w:eastAsia="zh-CN" w:bidi="ar-SA"/>
        </w:rPr>
        <w:outlineLvl w:val="2"/>
      </w:pPr>
      <w:r/>
      <w:bookmarkStart w:id="146" w:name="_Toc22007"/>
      <w:r/>
      <w:bookmarkStart w:id="147" w:name="_Toc351203494"/>
      <w:r/>
      <w:bookmarkStart w:id="148" w:name="_Toc18588"/>
      <w:r/>
      <w:bookmarkStart w:id="149" w:name="_Toc5778"/>
      <w:r/>
      <w:bookmarkStart w:id="150" w:name="_Toc23715"/>
      <w:r/>
      <w:bookmarkStart w:id="151" w:name="_Toc11907"/>
      <w:r/>
      <w:bookmarkStart w:id="152" w:name="_Toc256000060"/>
      <w:r>
        <w:rPr>
          <w:rFonts w:hint="eastAsia" w:ascii="宋体" w:hAnsi="宋体" w:eastAsia="宋体" w:cs="宋体"/>
          <w:b/>
          <w:color w:val="000000"/>
          <w:sz w:val="21"/>
          <w:szCs w:val="21"/>
          <w:highlight w:val="none"/>
          <w:lang w:val="en-US" w:eastAsia="zh-CN" w:bidi="ar-SA"/>
        </w:rPr>
        <w:t xml:space="preserve">第二部分 通用合同条款</w:t>
      </w:r>
      <w:bookmarkEnd w:id="146"/>
      <w:r/>
      <w:bookmarkEnd w:id="147"/>
      <w:r/>
      <w:bookmarkEnd w:id="148"/>
      <w:r/>
      <w:bookmarkEnd w:id="149"/>
      <w:r/>
      <w:bookmarkEnd w:id="150"/>
      <w:r/>
      <w:bookmarkEnd w:id="151"/>
      <w:r/>
      <w:bookmarkEnd w:id="152"/>
      <w:r/>
      <w:bookmarkStart w:id="153" w:name="_Toc337558727"/>
      <w:r/>
      <w:r/>
    </w:p>
    <w:p>
      <w:pPr>
        <w:ind w:firstLine="420"/>
        <w:jc w:val="left"/>
        <w:pageBreakBefore w:val="0"/>
        <w:spacing w:line="440" w:lineRule="exact"/>
        <w:widowControl w:val="off"/>
        <w:rPr>
          <w:rFonts w:hint="eastAsia" w:ascii="宋体" w:hAnsi="宋体" w:eastAsia="宋体" w:cs="宋体"/>
          <w:color w:val="000000"/>
          <w:sz w:val="21"/>
          <w:szCs w:val="21"/>
          <w:highlight w:val="none"/>
          <w:lang w:val="en-US" w:eastAsia="zh-CN" w:bidi="ar-SA"/>
        </w:rPr>
      </w:pPr>
      <w:r/>
      <w:bookmarkStart w:id="154" w:name="_Toc351203495"/>
      <w:r>
        <w:rPr>
          <w:rFonts w:hint="eastAsia" w:ascii="宋体" w:hAnsi="宋体" w:eastAsia="宋体" w:cs="宋体"/>
          <w:color w:val="000000"/>
          <w:sz w:val="21"/>
          <w:szCs w:val="21"/>
          <w:highlight w:val="none"/>
          <w:lang w:val="en-US" w:eastAsia="zh-CN" w:bidi="ar-SA"/>
        </w:rPr>
        <w:t xml:space="preserve">执行《建设工程施工合同（示范文本）》（GF-2017-0201）第二部分通用合同条款。</w:t>
      </w:r>
      <w:bookmarkEnd w:id="153"/>
      <w:r/>
      <w:bookmarkEnd w:id="154"/>
      <w:r/>
      <w:r/>
    </w:p>
    <w:p>
      <w:pPr>
        <w:jc w:val="center"/>
        <w:pageBreakBefore w:val="0"/>
        <w:spacing w:line="440" w:lineRule="exact"/>
        <w:widowControl w:val="off"/>
        <w:rPr>
          <w:rFonts w:hint="eastAsia" w:ascii="宋体" w:hAnsi="宋体" w:eastAsia="宋体" w:cs="宋体"/>
          <w:b/>
          <w:color w:val="000000"/>
          <w:sz w:val="21"/>
          <w:szCs w:val="21"/>
          <w:highlight w:val="none"/>
          <w:lang w:val="en-US" w:eastAsia="zh-CN" w:bidi="ar-SA"/>
        </w:rPr>
      </w:pPr>
      <w:r/>
      <w:bookmarkStart w:id="155" w:name="_Toc448"/>
      <w:r/>
      <w:bookmarkStart w:id="156" w:name="_Toc256000061"/>
      <w:r/>
      <w:bookmarkStart w:id="157" w:name="_Toc22806"/>
      <w:r/>
      <w:bookmarkStart w:id="158" w:name="_Toc3519"/>
      <w:r/>
      <w:bookmarkStart w:id="159" w:name="_Toc15221"/>
      <w:r/>
      <w:bookmarkStart w:id="160" w:name="_Toc351203632"/>
      <w:r/>
      <w:bookmarkStart w:id="161" w:name="_Toc9876"/>
      <w:r>
        <w:rPr>
          <w:rFonts w:hint="eastAsia" w:ascii="宋体" w:hAnsi="宋体" w:eastAsia="宋体" w:cs="宋体"/>
          <w:b/>
          <w:color w:val="000000"/>
          <w:sz w:val="21"/>
          <w:szCs w:val="21"/>
          <w:highlight w:val="none"/>
          <w:lang w:val="en-US" w:eastAsia="zh-CN" w:bidi="ar-SA"/>
        </w:rPr>
        <w:t xml:space="preserve">第三部分 专用合同条款</w:t>
      </w:r>
      <w:bookmarkEnd w:id="155"/>
      <w:r/>
      <w:bookmarkEnd w:id="156"/>
      <w:r/>
      <w:bookmarkEnd w:id="157"/>
      <w:r/>
      <w:bookmarkEnd w:id="158"/>
      <w:r/>
      <w:bookmarkEnd w:id="159"/>
      <w:r/>
      <w:bookmarkEnd w:id="160"/>
      <w:r/>
      <w:bookmarkEnd w:id="161"/>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162" w:name="_Toc351203633"/>
      <w:r>
        <w:rPr>
          <w:rFonts w:hint="eastAsia" w:ascii="宋体" w:hAnsi="宋体" w:eastAsia="宋体" w:cs="宋体"/>
          <w:b/>
          <w:bCs/>
          <w:color w:val="000000"/>
          <w:sz w:val="21"/>
          <w:szCs w:val="21"/>
          <w:highlight w:val="none"/>
          <w:lang w:val="en-US" w:eastAsia="zh-CN" w:bidi="ar-SA"/>
        </w:rPr>
        <w:t xml:space="preserve">1</w:t>
      </w:r>
      <w:bookmarkStart w:id="163" w:name="_Toc296890984"/>
      <w:r/>
      <w:bookmarkStart w:id="164" w:name="_Toc297048342"/>
      <w:r/>
      <w:bookmarkStart w:id="165" w:name="_Toc292559866"/>
      <w:r/>
      <w:bookmarkStart w:id="166" w:name="_Toc296944495"/>
      <w:r/>
      <w:bookmarkStart w:id="167" w:name="_Toc292559361"/>
      <w:r/>
      <w:bookmarkStart w:id="168" w:name="_Toc297120456"/>
      <w:r/>
      <w:bookmarkStart w:id="169" w:name="_Toc296347155"/>
      <w:r/>
      <w:bookmarkStart w:id="170" w:name="_Toc296503156"/>
      <w:r/>
      <w:bookmarkStart w:id="171" w:name="_Toc296346657"/>
      <w:r/>
      <w:bookmarkStart w:id="172" w:name="_Toc296891196"/>
      <w:r>
        <w:rPr>
          <w:rFonts w:hint="eastAsia" w:ascii="宋体" w:hAnsi="宋体" w:eastAsia="宋体" w:cs="宋体"/>
          <w:b/>
          <w:bCs/>
          <w:color w:val="000000"/>
          <w:sz w:val="21"/>
          <w:szCs w:val="21"/>
          <w:highlight w:val="none"/>
          <w:lang w:val="en-US" w:eastAsia="zh-CN" w:bidi="ar-SA"/>
        </w:rPr>
        <w:t xml:space="preserve">. 一般约定</w:t>
      </w:r>
      <w:bookmarkEnd w:id="162"/>
      <w:r/>
      <w:bookmarkEnd w:id="163"/>
      <w:r/>
      <w:bookmarkEnd w:id="164"/>
      <w:r/>
      <w:bookmarkEnd w:id="165"/>
      <w:r/>
      <w:bookmarkEnd w:id="166"/>
      <w:r/>
      <w:bookmarkEnd w:id="167"/>
      <w:r/>
      <w:bookmarkEnd w:id="168"/>
      <w:r/>
      <w:bookmarkEnd w:id="169"/>
      <w:r/>
      <w:bookmarkEnd w:id="170"/>
      <w:r/>
      <w:bookmarkEnd w:id="171"/>
      <w:r/>
      <w:bookmarkEnd w:id="172"/>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1.1 词语定义</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1.1.1合同</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1.1.1.10其他合同文件包括：</w:t>
      </w:r>
      <w:r>
        <w:rPr>
          <w:rFonts w:hint="eastAsia" w:ascii="宋体" w:hAnsi="宋体" w:eastAsia="宋体" w:cs="宋体"/>
          <w:color w:val="000000"/>
          <w:sz w:val="21"/>
          <w:szCs w:val="21"/>
          <w:highlight w:val="none"/>
          <w:u w:val="single"/>
          <w:lang w:val="en-US" w:eastAsia="zh-CN" w:bidi="ar-SA"/>
        </w:rPr>
        <w:t xml:space="preserve">(1) 施工招标文件（包括修改澄清通知）及答疑、投标文件及附件；(2)明确双方权利、义务的纪要、协议；（3）双方有关工程的合同洽商、变更等书面协议或文件等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 合同当事人及其他相关方</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1.1.2.4监理人：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资质类别和等级：</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1.1.2.5 设计人：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资质类别和等级：</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 工程和设备</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1.1.3.7 作为施工现场组成部分的其他场所包括：</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1.1.3.9 永久占地包括：</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1.1.3.10 临时占地包括：</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1.2法律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适用于合同的其他规范性文件：</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1.3 标准和规范</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1.3.1适用于工程的标准规范包括：</w:t>
      </w:r>
      <w:r>
        <w:rPr>
          <w:rFonts w:hint="eastAsia" w:ascii="宋体" w:hAnsi="宋体" w:eastAsia="宋体" w:cs="宋体"/>
          <w:color w:val="000000"/>
          <w:sz w:val="21"/>
          <w:szCs w:val="21"/>
          <w:highlight w:val="none"/>
          <w:u w:val="single"/>
          <w:lang w:val="en-US" w:eastAsia="zh-CN" w:bidi="ar-SA"/>
        </w:rPr>
        <w:t xml:space="preserve">《建设工程工程量清单计价标准》（GB/T50500-2024）及对应的专业工程2024版工程量计算标准（如GB/T50854-2024等），以及国家、省、市现行其他相关标准、规范。</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发包人提供国外标准、规范的名称：</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发包人提供国外标准、规范的份数：</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发包人提供国外标准、规范的名称：</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1.3.3发包人对工程的技术标准和功能要求的特殊要求：</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left"/>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1.4 合同文件的优先顺序</w:t>
      </w:r>
      <w:r/>
    </w:p>
    <w:p>
      <w:pPr>
        <w:ind w:left="0" w:firstLine="420"/>
        <w:jc w:val="left"/>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合同文件组成及优先顺序为：</w:t>
      </w:r>
      <w:r>
        <w:rPr>
          <w:rFonts w:hint="eastAsia" w:ascii="宋体" w:hAnsi="宋体" w:eastAsia="宋体" w:cs="宋体"/>
          <w:color w:val="000000"/>
          <w:sz w:val="21"/>
          <w:szCs w:val="21"/>
          <w:highlight w:val="none"/>
          <w:u w:val="single"/>
          <w:lang w:val="en-US" w:eastAsia="zh-CN" w:bidi="ar-SA"/>
        </w:rPr>
        <w:t xml:space="preserve">1、合同协议书；2、中标通知书；3、投标函及其投标函附录；4、施工合同专用条款；5、施工合同通用条款；6、标准、规范及有关技术文件；7、图纸；8、已标价工程量清单；9、其他合同文件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1.5 图纸和承包人文件</w:t>
      </w:r>
      <w:r>
        <w:rPr>
          <w:rFonts w:hint="eastAsia" w:ascii="宋体" w:hAnsi="宋体" w:eastAsia="宋体" w:cs="宋体"/>
          <w:bCs/>
          <w:color w:val="000000"/>
          <w:sz w:val="21"/>
          <w:szCs w:val="21"/>
          <w:highlight w:val="none"/>
          <w:lang w:val="en-US" w:eastAsia="zh-CN" w:bidi="ar-SA"/>
        </w:rPr>
        <w:tab/>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图纸的提供</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发包人向承包人提供图纸的期限：</w:t>
      </w:r>
      <w:r>
        <w:rPr>
          <w:rFonts w:hint="eastAsia" w:ascii="宋体" w:hAnsi="宋体" w:eastAsia="宋体" w:cs="宋体"/>
          <w:color w:val="000000"/>
          <w:sz w:val="21"/>
          <w:szCs w:val="21"/>
          <w:highlight w:val="none"/>
          <w:u w:val="single"/>
          <w:lang w:val="en-US" w:eastAsia="zh-CN" w:bidi="ar-SA"/>
        </w:rPr>
        <w:t xml:space="preserve">开工前提供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发包人向承包人提供图纸的数量：</w:t>
      </w:r>
      <w:r>
        <w:rPr>
          <w:rFonts w:hint="eastAsia" w:ascii="宋体" w:hAnsi="宋体" w:eastAsia="宋体" w:cs="宋体"/>
          <w:color w:val="000000"/>
          <w:sz w:val="21"/>
          <w:szCs w:val="21"/>
          <w:highlight w:val="none"/>
          <w:u w:val="single"/>
          <w:lang w:val="en-US" w:eastAsia="zh-CN" w:bidi="ar-SA"/>
        </w:rPr>
        <w:t xml:space="preserve">全套施工图贰套</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发包人向承包人提供图纸的内容：</w:t>
      </w:r>
      <w:r>
        <w:rPr>
          <w:rFonts w:hint="eastAsia" w:ascii="宋体" w:hAnsi="宋体" w:eastAsia="宋体" w:cs="宋体"/>
          <w:color w:val="000000"/>
          <w:sz w:val="21"/>
          <w:szCs w:val="21"/>
          <w:highlight w:val="none"/>
          <w:u w:val="single"/>
          <w:lang w:val="en-US" w:eastAsia="zh-CN" w:bidi="ar-SA"/>
        </w:rPr>
        <w:t xml:space="preserve">与本合同工程内容相关的图纸，承包人收到图纸后应认真核对，如发现有明显错误或遗漏，应立即以书面形式报告发包人，否则应承担全部责任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 承包人文件</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需要由承包人提供的文件，包括：</w:t>
      </w:r>
      <w:r>
        <w:rPr>
          <w:rFonts w:hint="eastAsia" w:ascii="宋体" w:hAnsi="宋体" w:eastAsia="宋体" w:cs="宋体"/>
          <w:color w:val="000000"/>
          <w:sz w:val="21"/>
          <w:szCs w:val="21"/>
          <w:highlight w:val="none"/>
          <w:u w:val="single"/>
          <w:lang w:val="en-US" w:eastAsia="zh-CN" w:bidi="ar-SA"/>
        </w:rPr>
        <w:t xml:space="preserve">工程进度计划、材料进场总计划、设备进场计划。进场施工前提供材料计划，材料投标品牌，按发包方及监理方要求提供详细的施工进度计划、已完工程量报表（含工程变更、承包人购材料清单、材料进场计划等资料）。分项的施工组织设计在开工前向发包人提供</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承包人提供的文件的期限为：</w:t>
      </w:r>
      <w:r>
        <w:rPr>
          <w:rFonts w:hint="eastAsia" w:ascii="宋体" w:hAnsi="宋体" w:eastAsia="宋体" w:cs="宋体"/>
          <w:color w:val="000000"/>
          <w:sz w:val="21"/>
          <w:szCs w:val="21"/>
          <w:highlight w:val="none"/>
          <w:u w:val="single"/>
          <w:lang w:val="en-US" w:eastAsia="zh-CN" w:bidi="ar-SA"/>
        </w:rPr>
        <w:t xml:space="preserve">开工前15天</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承包人提供的文件的数量为：</w:t>
      </w:r>
      <w:r>
        <w:rPr>
          <w:rFonts w:hint="eastAsia" w:ascii="宋体" w:hAnsi="宋体" w:eastAsia="宋体" w:cs="宋体"/>
          <w:color w:val="000000"/>
          <w:sz w:val="21"/>
          <w:szCs w:val="21"/>
          <w:highlight w:val="none"/>
          <w:u w:val="single"/>
          <w:lang w:val="en-US" w:eastAsia="zh-CN" w:bidi="ar-SA"/>
        </w:rPr>
        <w:t xml:space="preserve">贰套</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承包人提供的文件的形式为：</w:t>
      </w:r>
      <w:r>
        <w:rPr>
          <w:rFonts w:hint="eastAsia" w:ascii="宋体" w:hAnsi="宋体" w:eastAsia="宋体" w:cs="宋体"/>
          <w:color w:val="000000"/>
          <w:sz w:val="21"/>
          <w:szCs w:val="21"/>
          <w:highlight w:val="none"/>
          <w:u w:val="single"/>
          <w:lang w:val="en-US" w:eastAsia="zh-CN" w:bidi="ar-SA"/>
        </w:rPr>
        <w:t xml:space="preserve">纸质加盖承包人公章</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发包人审批承包人文件的期限：</w:t>
      </w:r>
      <w:r>
        <w:rPr>
          <w:rFonts w:hint="eastAsia" w:ascii="宋体" w:hAnsi="宋体" w:eastAsia="宋体" w:cs="宋体"/>
          <w:color w:val="000000"/>
          <w:sz w:val="21"/>
          <w:szCs w:val="21"/>
          <w:highlight w:val="none"/>
          <w:u w:val="single"/>
          <w:lang w:val="en-US" w:eastAsia="zh-CN" w:bidi="ar-SA"/>
        </w:rPr>
        <w:t xml:space="preserve">承包人提交文件（文件需齐全、有效），上报发包人后 7 日内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1.5.5 现场图纸准备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关于现场图纸准备的约定：</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1.6 联络</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1.6.1发包人和承包人应当在</w:t>
      </w:r>
      <w:r>
        <w:rPr>
          <w:rFonts w:hint="eastAsia" w:ascii="宋体" w:hAnsi="宋体" w:eastAsia="宋体" w:cs="宋体"/>
          <w:color w:val="000000"/>
          <w:sz w:val="21"/>
          <w:szCs w:val="21"/>
          <w:highlight w:val="none"/>
          <w:u w:val="single"/>
          <w:lang w:val="en-US" w:eastAsia="zh-CN" w:bidi="ar-SA"/>
        </w:rPr>
        <w:t xml:space="preserve">五</w:t>
      </w:r>
      <w:r>
        <w:rPr>
          <w:rFonts w:hint="eastAsia" w:ascii="宋体" w:hAnsi="宋体" w:eastAsia="宋体" w:cs="宋体"/>
          <w:color w:val="000000"/>
          <w:sz w:val="21"/>
          <w:szCs w:val="21"/>
          <w:highlight w:val="none"/>
          <w:lang w:val="en-US" w:eastAsia="zh-CN" w:bidi="ar-SA"/>
        </w:rPr>
        <w:t xml:space="preserve">天内将与合同有关的通知、批准、证明、证书、指示、指令、要求、请求、同意、意见、确定和决定等书面函件送达对方当事人。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发包人接收文件的地点：</w:t>
      </w:r>
      <w:r>
        <w:rPr>
          <w:rFonts w:hint="eastAsia" w:ascii="宋体" w:hAnsi="宋体" w:eastAsia="宋体" w:cs="宋体"/>
          <w:color w:val="000000"/>
          <w:sz w:val="21"/>
          <w:szCs w:val="21"/>
          <w:highlight w:val="none"/>
          <w:u w:val="single"/>
          <w:lang w:val="en-US" w:eastAsia="zh-CN" w:bidi="ar-SA"/>
        </w:rPr>
        <w:t xml:space="preserve">  发包人指定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发包人指定的接收人为：</w:t>
      </w:r>
      <w:r>
        <w:rPr>
          <w:rFonts w:hint="eastAsia" w:ascii="宋体" w:hAnsi="宋体" w:eastAsia="宋体" w:cs="宋体"/>
          <w:color w:val="000000"/>
          <w:sz w:val="21"/>
          <w:szCs w:val="21"/>
          <w:highlight w:val="none"/>
          <w:u w:val="single"/>
          <w:lang w:val="en-US" w:eastAsia="zh-CN" w:bidi="ar-SA"/>
        </w:rPr>
        <w:t xml:space="preserve">  发包人指定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承包人接收文件的地点：</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承包人指定的接收人为：</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监理人接收文件的地点：</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监理人指定的接收人为：</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1.7 交通运输</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bookmarkStart w:id="173" w:name="_Toc300934943"/>
      <w:r/>
      <w:bookmarkStart w:id="174" w:name="_Toc304295521"/>
      <w:r/>
      <w:bookmarkStart w:id="175" w:name="_Toc312677986"/>
      <w:r/>
      <w:bookmarkStart w:id="176" w:name="_Toc318581155"/>
      <w:r/>
      <w:bookmarkStart w:id="177" w:name="_Toc303539100"/>
      <w:r>
        <w:rPr>
          <w:rFonts w:hint="eastAsia" w:ascii="宋体" w:hAnsi="宋体" w:eastAsia="宋体" w:cs="宋体"/>
          <w:color w:val="000000"/>
          <w:sz w:val="21"/>
          <w:szCs w:val="21"/>
          <w:highlight w:val="none"/>
          <w:lang w:val="en-US" w:eastAsia="zh-CN" w:bidi="ar-SA"/>
        </w:rPr>
        <w:t xml:space="preserve">.7.1 出入现场的权利</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关于出入现场的权利的约定</w:t>
      </w:r>
      <w:bookmarkEnd w:id="173"/>
      <w:r/>
      <w:bookmarkEnd w:id="174"/>
      <w:r/>
      <w:bookmarkEnd w:id="175"/>
      <w:r/>
      <w:bookmarkEnd w:id="176"/>
      <w:r/>
      <w:bookmarkEnd w:id="177"/>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发包人应根据施工需要，负责取得出入施工现场所需的批准手续和全部权利，以及取得因施工所需修建道路及其他基础设施的权利，并承担相关费用和建设费用。承包人应协助发包人办理修建场内外道路及其他基础设施的手续。只有项目施工人员办理许可证才能进入施工现场，其他无关人员一律不能进入施工现场，如果擅自进入现场，由此而产生的后果由承包人自行负责</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bookmarkStart w:id="178" w:name="_Toc312677987"/>
      <w:r/>
      <w:bookmarkStart w:id="179" w:name="_Toc303539101"/>
      <w:r/>
      <w:bookmarkStart w:id="180" w:name="_Toc300934944"/>
      <w:r/>
      <w:bookmarkStart w:id="181" w:name="_Toc304295522"/>
      <w:r/>
      <w:bookmarkStart w:id="182" w:name="_Toc318581156"/>
      <w:r>
        <w:rPr>
          <w:rFonts w:hint="eastAsia" w:ascii="宋体" w:hAnsi="宋体" w:eastAsia="宋体" w:cs="宋体"/>
          <w:color w:val="000000"/>
          <w:sz w:val="21"/>
          <w:szCs w:val="21"/>
          <w:highlight w:val="none"/>
          <w:lang w:val="en-US" w:eastAsia="zh-CN" w:bidi="ar-SA"/>
        </w:rPr>
        <w:t xml:space="preserve">.7.2 场内交通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关于场外交通和场内交通的边界的约定：</w:t>
      </w:r>
      <w:r>
        <w:rPr>
          <w:rFonts w:hint="eastAsia" w:ascii="宋体" w:hAnsi="宋体" w:eastAsia="宋体" w:cs="宋体"/>
          <w:color w:val="000000"/>
          <w:sz w:val="21"/>
          <w:szCs w:val="21"/>
          <w:highlight w:val="none"/>
          <w:u w:val="single"/>
          <w:lang w:val="en-US" w:eastAsia="zh-CN" w:bidi="ar-SA"/>
        </w:rPr>
        <w:t xml:space="preserve">发包人在计算工期前负责公共道路的畅通，场内交通由承包人负责</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lang w:val="en-US" w:eastAsia="zh-CN" w:bidi="ar-SA"/>
        </w:rPr>
        <w:t xml:space="preserve">承包人自行解决</w:t>
      </w:r>
      <w:r>
        <w:rPr>
          <w:rFonts w:hint="eastAsia" w:ascii="宋体" w:hAnsi="宋体" w:eastAsia="宋体" w:cs="宋体"/>
          <w:color w:val="000000"/>
          <w:sz w:val="21"/>
          <w:szCs w:val="21"/>
          <w:highlight w:val="none"/>
          <w:lang w:val="en-US" w:eastAsia="zh-CN" w:bidi="ar-SA"/>
        </w:rPr>
        <w:t xml:space="preserve">。</w:t>
      </w:r>
      <w:bookmarkEnd w:id="178"/>
      <w:r/>
      <w:bookmarkEnd w:id="179"/>
      <w:r/>
      <w:bookmarkEnd w:id="180"/>
      <w:r/>
      <w:bookmarkEnd w:id="181"/>
      <w:r/>
      <w:bookmarkEnd w:id="182"/>
      <w:r>
        <w:rPr>
          <w:rFonts w:hint="eastAsia" w:ascii="宋体" w:hAnsi="宋体" w:eastAsia="宋体" w:cs="宋体"/>
          <w:color w:val="000000"/>
          <w:sz w:val="21"/>
          <w:szCs w:val="21"/>
          <w:highlight w:val="none"/>
          <w:lang w:val="en-US" w:eastAsia="zh-CN" w:bidi="ar-SA"/>
        </w:rPr>
        <w:t xml:space="preserve">  </w:t>
      </w:r>
      <w:bookmarkStart w:id="183" w:name="_Toc318581157"/>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1.7.3超大件和超重件的运输</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运输超大件或超重件所需的道路和桥梁临时加固改造费用和其他相关费用由</w:t>
      </w:r>
      <w:r>
        <w:rPr>
          <w:rFonts w:hint="eastAsia" w:ascii="宋体" w:hAnsi="宋体" w:eastAsia="宋体" w:cs="宋体"/>
          <w:color w:val="000000"/>
          <w:sz w:val="21"/>
          <w:szCs w:val="21"/>
          <w:highlight w:val="none"/>
          <w:u w:val="single"/>
          <w:lang w:val="en-US" w:eastAsia="zh-CN" w:bidi="ar-SA"/>
        </w:rPr>
        <w:t xml:space="preserve">承包人</w:t>
      </w:r>
      <w:r>
        <w:rPr>
          <w:rFonts w:hint="eastAsia" w:ascii="宋体" w:hAnsi="宋体" w:eastAsia="宋体" w:cs="宋体"/>
          <w:color w:val="000000"/>
          <w:sz w:val="21"/>
          <w:szCs w:val="21"/>
          <w:highlight w:val="none"/>
          <w:lang w:val="en-US" w:eastAsia="zh-CN" w:bidi="ar-SA"/>
        </w:rPr>
        <w:t xml:space="preserve">承担。</w:t>
      </w:r>
      <w:bookmarkEnd w:id="183"/>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1.8 知识产权</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lang w:val="en-US" w:eastAsia="zh-CN" w:bidi="ar-SA"/>
        </w:rPr>
        <w:t xml:space="preserve">归发包人所有</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关于发包人提供的上述文件的使用限制的要求：</w:t>
      </w:r>
      <w:r>
        <w:rPr>
          <w:rFonts w:hint="eastAsia" w:ascii="宋体" w:hAnsi="宋体" w:eastAsia="宋体" w:cs="宋体"/>
          <w:color w:val="000000"/>
          <w:sz w:val="21"/>
          <w:szCs w:val="21"/>
          <w:highlight w:val="none"/>
          <w:u w:val="single"/>
          <w:lang w:val="en-US" w:eastAsia="zh-CN" w:bidi="ar-SA"/>
        </w:rPr>
        <w:t xml:space="preserve"> 未经发包人同意不得复制，不得向承包人以外的人员泄漏有关图纸内容，不得将本项目图纸挪作他用或提供给第三方，工程竣工后，原图全部收回，否则承担违约金 2 万元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1.8.2 关于承包人为实施工程所编制文件的著作权的归属：</w:t>
      </w:r>
      <w:r>
        <w:rPr>
          <w:rFonts w:hint="eastAsia" w:ascii="宋体" w:hAnsi="宋体" w:eastAsia="宋体" w:cs="宋体"/>
          <w:color w:val="000000"/>
          <w:sz w:val="21"/>
          <w:szCs w:val="21"/>
          <w:highlight w:val="none"/>
          <w:u w:val="single"/>
          <w:lang w:val="en-US" w:eastAsia="zh-CN" w:bidi="ar-SA"/>
        </w:rPr>
        <w:t xml:space="preserve"> 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1.8.3关于承包人提供的上述文件的使用限制的要求：</w:t>
      </w:r>
      <w:r>
        <w:rPr>
          <w:rFonts w:hint="eastAsia" w:ascii="宋体" w:hAnsi="宋体" w:eastAsia="宋体" w:cs="宋体"/>
          <w:color w:val="000000"/>
          <w:sz w:val="21"/>
          <w:szCs w:val="21"/>
          <w:highlight w:val="none"/>
          <w:u w:val="single"/>
          <w:lang w:val="en-US" w:eastAsia="zh-CN" w:bidi="ar-SA"/>
        </w:rPr>
        <w:t xml:space="preserve"> 不得用于与本工程无关的一切事宜</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1.8.4 承包人在施工过程中所采用的专利、专有技术、技术秘密的使用费的承担方式：</w:t>
      </w:r>
      <w:r>
        <w:rPr>
          <w:rFonts w:hint="eastAsia" w:ascii="宋体" w:hAnsi="宋体" w:eastAsia="宋体" w:cs="宋体"/>
          <w:color w:val="000000"/>
          <w:sz w:val="21"/>
          <w:szCs w:val="21"/>
          <w:highlight w:val="none"/>
          <w:u w:val="single"/>
          <w:lang w:val="en-US" w:eastAsia="zh-CN" w:bidi="ar-SA"/>
        </w:rPr>
        <w:t xml:space="preserve">由承包人承担</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1.9工程量清单错误的修正</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出现工程量清单错误时，是否调整合同价格：</w:t>
      </w:r>
      <w:r>
        <w:rPr>
          <w:rFonts w:hint="eastAsia" w:ascii="宋体" w:hAnsi="宋体" w:eastAsia="宋体" w:cs="宋体"/>
          <w:color w:val="000000"/>
          <w:sz w:val="21"/>
          <w:szCs w:val="21"/>
          <w:highlight w:val="none"/>
          <w:u w:val="single"/>
          <w:lang w:val="en-US" w:eastAsia="zh-CN" w:bidi="ar-SA"/>
        </w:rPr>
        <w:t xml:space="preserve">是</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允许调整合同价格的工程量偏差范围：</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（1）缺项、漏项或项目特征不符：按专用条款（变更估价原则）的规定确定综合单价。</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（2）工程量偏差超过15%： 对于任一按单价计价的清单项目，当最终完成的合格工程量与招标工程量偏差超过15%（不含15%）时，工程量增加超过15%的，其超出部分的综合单价应予调低；工程量减少超过15%的，其最终实际完成的全部工程量综合单价应予调高；偏差在15%以内（含15%）的，单价不予调整。</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（3）措施项目费：因工程量清单缺陷导致措施项目发生实质性变化的，按GB/T50500-2024第8.2节及第8.9.4条执行。除此之外，按项计价的措施项目费实行总价包干。</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184" w:name="_Toc351203634"/>
      <w:r>
        <w:rPr>
          <w:rFonts w:hint="eastAsia" w:ascii="宋体" w:hAnsi="宋体" w:eastAsia="宋体" w:cs="宋体"/>
          <w:b/>
          <w:bCs/>
          <w:color w:val="000000"/>
          <w:sz w:val="21"/>
          <w:szCs w:val="21"/>
          <w:highlight w:val="none"/>
          <w:lang w:val="en-US" w:eastAsia="zh-CN" w:bidi="ar-SA"/>
        </w:rPr>
        <w:t xml:space="preserve">2</w:t>
      </w:r>
      <w:bookmarkStart w:id="185" w:name="_Toc297048343"/>
      <w:r/>
      <w:bookmarkStart w:id="186" w:name="_Toc296944496"/>
      <w:r/>
      <w:bookmarkStart w:id="187" w:name="_Toc296346658"/>
      <w:r/>
      <w:bookmarkStart w:id="188" w:name="_Toc296347156"/>
      <w:r/>
      <w:bookmarkStart w:id="189" w:name="_Toc296890985"/>
      <w:r/>
      <w:bookmarkStart w:id="190" w:name="_Toc296891197"/>
      <w:r/>
      <w:bookmarkStart w:id="191" w:name="_Toc292559362"/>
      <w:r/>
      <w:bookmarkStart w:id="192" w:name="_Toc292559867"/>
      <w:r/>
      <w:bookmarkStart w:id="193" w:name="_Toc296503157"/>
      <w:r/>
      <w:bookmarkStart w:id="194" w:name="_Toc297120457"/>
      <w:r>
        <w:rPr>
          <w:rFonts w:hint="eastAsia" w:ascii="宋体" w:hAnsi="宋体" w:eastAsia="宋体" w:cs="宋体"/>
          <w:b/>
          <w:bCs/>
          <w:color w:val="000000"/>
          <w:sz w:val="21"/>
          <w:szCs w:val="21"/>
          <w:highlight w:val="none"/>
          <w:lang w:val="en-US" w:eastAsia="zh-CN" w:bidi="ar-SA"/>
        </w:rPr>
        <w:t xml:space="preserve">. 发包人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2.1发包人代表</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发包人代表：</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    名：</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    务：</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发包人对发包人代表的授权范围如下：</w:t>
      </w:r>
      <w:r>
        <w:rPr>
          <w:rFonts w:hint="eastAsia" w:ascii="宋体" w:hAnsi="宋体" w:eastAsia="宋体" w:cs="宋体"/>
          <w:color w:val="000000"/>
          <w:sz w:val="21"/>
          <w:szCs w:val="21"/>
          <w:highlight w:val="none"/>
          <w:u w:val="single"/>
          <w:lang w:val="en-US" w:eastAsia="zh-CN" w:bidi="ar-SA"/>
        </w:rPr>
        <w:t xml:space="preserve">施工组织设计和总进度计划的审批权；工程变更的确认权；发布开工令、停工令、复工令权；工程款的审查权和支付权；特殊及重要施工工艺和材料发包；建筑材料价格的确认权；合同的解释；等等</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2.2 施工现场、施工条件和基础资料的提供</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 提供施工现场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关于发包人移交施工现场的期限要求：</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2.2.2 提供施工条件</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关于发包人应负责提供施工所需要的条件，包括：</w:t>
      </w:r>
      <w:r>
        <w:rPr>
          <w:rFonts w:hint="eastAsia" w:ascii="宋体" w:hAnsi="宋体" w:eastAsia="宋体" w:cs="宋体"/>
          <w:color w:val="000000"/>
          <w:sz w:val="21"/>
          <w:szCs w:val="21"/>
          <w:highlight w:val="none"/>
          <w:u w:val="single"/>
          <w:lang w:val="en-US" w:eastAsia="zh-CN" w:bidi="ar-SA"/>
        </w:rPr>
        <w:t xml:space="preserve">1.提供施工所需的红线内场地，如施工现场有障碍物，承包人应当避开。其他具备施工条件的地</w:t>
      </w:r>
      <w:r>
        <w:rPr>
          <w:rFonts w:hint="eastAsia" w:ascii="宋体" w:hAnsi="宋体" w:eastAsia="宋体" w:cs="宋体"/>
          <w:color w:val="000000"/>
          <w:sz w:val="21"/>
          <w:szCs w:val="21"/>
          <w:highlight w:val="none"/>
          <w:u w:val="single"/>
          <w:lang w:val="en-US" w:eastAsia="zh-CN" w:bidi="ar-SA"/>
        </w:rPr>
        <w:t xml:space="preserve">方必须施工。关于材料场地及办公用地由承包人自行解决。2.将所需的水、电、电讯线路接至施工现场的时间、地点和供应要求：水、电等均由承包人自行解决。3.水准点与坐标控制点交验要求：开工前提供水准点与坐标控制点，按施工图由发包人、承包人、监理现场书面交验，交验后，承包人应妥善保护场内水准点与控制点，任意破坏或遗失应由承包人负责恢复的费用。4.协调处理施工场地周围地下管线和邻近建筑物、构筑物（含文物保护建筑）、古树名木的保护工作：督促承包人做好保护工作。费用由承包人负责。5.双方约定发包人应做的其他工作：协商处理。</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2.3 资金来源证明及支付担保</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发包人提供资金来源证明的期限要求：</w:t>
      </w:r>
      <w:r>
        <w:rPr>
          <w:rFonts w:hint="eastAsia" w:ascii="宋体" w:hAnsi="宋体" w:eastAsia="宋体" w:cs="宋体"/>
          <w:color w:val="000000"/>
          <w:sz w:val="21"/>
          <w:szCs w:val="21"/>
          <w:highlight w:val="none"/>
          <w:u w:val="single"/>
          <w:lang w:val="en-US" w:eastAsia="zh-CN" w:bidi="ar-SA"/>
        </w:rPr>
        <w:t xml:space="preserve">否</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发包人是否提供支付担保：</w:t>
      </w:r>
      <w:r>
        <w:rPr>
          <w:rFonts w:hint="eastAsia" w:ascii="宋体" w:hAnsi="宋体" w:eastAsia="宋体" w:cs="宋体"/>
          <w:color w:val="000000"/>
          <w:sz w:val="21"/>
          <w:szCs w:val="21"/>
          <w:highlight w:val="none"/>
          <w:u w:val="single"/>
          <w:lang w:val="en-US" w:eastAsia="zh-CN" w:bidi="ar-SA"/>
        </w:rPr>
        <w:t xml:space="preserve">否</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发包人提供支付担保的形式：</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195" w:name="_Toc351203635"/>
      <w:r>
        <w:rPr>
          <w:rFonts w:hint="eastAsia" w:ascii="宋体" w:hAnsi="宋体" w:eastAsia="宋体" w:cs="宋体"/>
          <w:b/>
          <w:bCs/>
          <w:color w:val="000000"/>
          <w:sz w:val="21"/>
          <w:szCs w:val="21"/>
          <w:highlight w:val="none"/>
          <w:lang w:val="en-US" w:eastAsia="zh-CN" w:bidi="ar-SA"/>
        </w:rPr>
        <w:t xml:space="preserve">3</w:t>
      </w:r>
      <w:bookmarkStart w:id="196" w:name="_Toc292559363"/>
      <w:r/>
      <w:bookmarkStart w:id="197" w:name="_Toc296346659"/>
      <w:r/>
      <w:bookmarkStart w:id="198" w:name="_Toc296347157"/>
      <w:r/>
      <w:bookmarkStart w:id="199" w:name="_Toc297120458"/>
      <w:r/>
      <w:bookmarkStart w:id="200" w:name="_Toc296944497"/>
      <w:r/>
      <w:bookmarkStart w:id="201" w:name="_Toc296503158"/>
      <w:r/>
      <w:bookmarkStart w:id="202" w:name="_Toc296890986"/>
      <w:r/>
      <w:bookmarkStart w:id="203" w:name="_Toc296891198"/>
      <w:r/>
      <w:bookmarkStart w:id="204" w:name="_Toc297048344"/>
      <w:r/>
      <w:bookmarkStart w:id="205" w:name="_Toc292559868"/>
      <w:r>
        <w:rPr>
          <w:rFonts w:hint="eastAsia" w:ascii="宋体" w:hAnsi="宋体" w:eastAsia="宋体" w:cs="宋体"/>
          <w:b/>
          <w:bCs/>
          <w:color w:val="000000"/>
          <w:sz w:val="21"/>
          <w:szCs w:val="21"/>
          <w:highlight w:val="none"/>
          <w:lang w:val="en-US" w:eastAsia="zh-CN" w:bidi="ar-SA"/>
        </w:rPr>
        <w:t xml:space="preserve">. 承包人</w:t>
      </w:r>
      <w:bookmarkEnd w:id="195"/>
      <w:r/>
      <w:bookmarkEnd w:id="196"/>
      <w:r/>
      <w:bookmarkEnd w:id="197"/>
      <w:r/>
      <w:bookmarkEnd w:id="198"/>
      <w:r/>
      <w:bookmarkEnd w:id="199"/>
      <w:r/>
      <w:bookmarkEnd w:id="200"/>
      <w:r/>
      <w:bookmarkEnd w:id="201"/>
      <w:r/>
      <w:bookmarkEnd w:id="202"/>
      <w:r/>
      <w:bookmarkEnd w:id="203"/>
      <w:r/>
      <w:bookmarkEnd w:id="204"/>
      <w:r/>
      <w:bookmarkEnd w:id="205"/>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3.1 承包人的一般义务</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t xml:space="preserve">承包人提交的竣工资料的内容：</w:t>
      </w:r>
      <w:r>
        <w:rPr>
          <w:rFonts w:hint="eastAsia" w:ascii="宋体" w:hAnsi="宋体" w:eastAsia="宋体" w:cs="宋体"/>
          <w:bCs/>
          <w:color w:val="000000"/>
          <w:sz w:val="21"/>
          <w:szCs w:val="21"/>
          <w:highlight w:val="none"/>
          <w:u w:val="single"/>
          <w:lang w:val="en-US" w:eastAsia="zh-CN" w:bidi="ar-SA"/>
        </w:rPr>
        <w:t xml:space="preserve">工程建设项目竣工验收前，承包人应根据合同工</w:t>
      </w:r>
      <w:r>
        <w:rPr>
          <w:rFonts w:hint="eastAsia" w:ascii="宋体" w:hAnsi="宋体" w:eastAsia="宋体" w:cs="宋体"/>
          <w:bCs/>
          <w:color w:val="000000"/>
          <w:sz w:val="21"/>
          <w:szCs w:val="21"/>
          <w:highlight w:val="none"/>
          <w:u w:val="single"/>
          <w:lang w:val="en-US" w:eastAsia="zh-CN" w:bidi="ar-SA"/>
        </w:rPr>
        <w:br/>
      </w:r>
      <w:r>
        <w:rPr>
          <w:rFonts w:hint="eastAsia" w:ascii="宋体" w:hAnsi="宋体" w:eastAsia="宋体" w:cs="宋体"/>
          <w:bCs/>
          <w:color w:val="000000"/>
          <w:sz w:val="21"/>
          <w:szCs w:val="21"/>
          <w:highlight w:val="none"/>
          <w:u w:val="single"/>
          <w:lang w:val="en-US" w:eastAsia="zh-CN" w:bidi="ar-SA"/>
        </w:rPr>
        <w:t xml:space="preserve">作内容要求，分别整理竣工验收资料（ 含竣工图）， 竣工图纸和资料必须符合城建档案馆要求，汇总为完整的建设项目竣工资料一式五套报发包人。否则每迟一天，处罚5000元/天</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承包人需要提交的竣工资料套数：</w:t>
      </w:r>
      <w:r>
        <w:rPr>
          <w:rFonts w:hint="eastAsia" w:ascii="宋体" w:hAnsi="宋体" w:eastAsia="宋体" w:cs="宋体"/>
          <w:color w:val="000000"/>
          <w:sz w:val="21"/>
          <w:szCs w:val="21"/>
          <w:highlight w:val="none"/>
          <w:u w:val="single"/>
          <w:lang w:val="en-US" w:eastAsia="zh-CN" w:bidi="ar-SA"/>
        </w:rPr>
        <w:t xml:space="preserve">按发包人统一要求提供完整的竣工资料（含竣工图）及竣工验收报告，竣工资料原件不少于三套、复印件不少于四套，竣工图六套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承包人提交的竣工资料的费用承担：</w:t>
      </w:r>
      <w:r>
        <w:rPr>
          <w:rFonts w:hint="eastAsia" w:ascii="宋体" w:hAnsi="宋体" w:eastAsia="宋体" w:cs="宋体"/>
          <w:color w:val="000000"/>
          <w:sz w:val="21"/>
          <w:szCs w:val="21"/>
          <w:highlight w:val="none"/>
          <w:u w:val="single"/>
          <w:lang w:val="en-US" w:eastAsia="zh-CN" w:bidi="ar-SA"/>
        </w:rPr>
        <w:t xml:space="preserve">由承包人承担,包含在合同价格中（包括向城建档案馆缴纳的竣工档案管理费、整理费）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承包人提交的竣工资料移交时间：</w:t>
      </w:r>
      <w:r>
        <w:rPr>
          <w:rFonts w:hint="eastAsia" w:ascii="宋体" w:hAnsi="宋体" w:eastAsia="宋体" w:cs="宋体"/>
          <w:color w:val="000000"/>
          <w:sz w:val="21"/>
          <w:szCs w:val="21"/>
          <w:highlight w:val="none"/>
          <w:u w:val="single"/>
          <w:lang w:val="en-US" w:eastAsia="zh-CN" w:bidi="ar-SA"/>
        </w:rPr>
        <w:t xml:space="preserve">竣工验收后30 日内</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承包人提交的竣工资料形式要求：</w:t>
      </w:r>
      <w:r>
        <w:rPr>
          <w:rFonts w:hint="eastAsia" w:ascii="宋体" w:hAnsi="宋体" w:eastAsia="宋体" w:cs="宋体"/>
          <w:color w:val="000000"/>
          <w:sz w:val="21"/>
          <w:szCs w:val="21"/>
          <w:highlight w:val="none"/>
          <w:u w:val="single"/>
          <w:lang w:val="en-US" w:eastAsia="zh-CN" w:bidi="ar-SA"/>
        </w:rPr>
        <w:t xml:space="preserve">书面形式及电子形式（均有）</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（10）承包人应履行的其他义务：</w:t>
      </w:r>
      <w:r>
        <w:rPr>
          <w:rFonts w:hint="eastAsia" w:ascii="宋体" w:hAnsi="宋体" w:eastAsia="宋体" w:cs="宋体"/>
          <w:color w:val="000000"/>
          <w:sz w:val="21"/>
          <w:szCs w:val="21"/>
          <w:highlight w:val="none"/>
          <w:u w:val="single"/>
          <w:lang w:val="en-US" w:eastAsia="zh-CN" w:bidi="ar-SA"/>
        </w:rPr>
        <w:t xml:space="preserve"> 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3.2 项目经理</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3.2.1 </w:t>
      </w:r>
      <w:r>
        <w:rPr>
          <w:rFonts w:hint="eastAsia" w:ascii="宋体" w:hAnsi="宋体" w:eastAsia="宋体" w:cs="宋体"/>
          <w:color w:val="000000"/>
          <w:sz w:val="21"/>
          <w:szCs w:val="21"/>
          <w:highlight w:val="none"/>
          <w:lang w:val="en-US" w:eastAsia="zh-CN" w:bidi="ar-SA"/>
        </w:rPr>
        <w:t xml:space="preserve">项目经理：</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    名：</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建造师执业资格等级：</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建造师注册证书号：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建造师执业印章号：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安全生产考核合格证书号：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承包人对项目经理的授权范围如下：</w:t>
      </w:r>
      <w:r>
        <w:rPr>
          <w:rFonts w:hint="eastAsia" w:ascii="宋体" w:hAnsi="宋体" w:eastAsia="宋体" w:cs="宋体"/>
          <w:color w:val="000000"/>
          <w:sz w:val="21"/>
          <w:szCs w:val="21"/>
          <w:highlight w:val="none"/>
          <w:u w:val="single"/>
          <w:lang w:val="en-US" w:eastAsia="zh-CN" w:bidi="ar-SA"/>
        </w:rPr>
        <w:t xml:space="preserve">代表承包人行使合同约定的承包人权利和义务，履行合同约定的承包人职责</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关于项目经理每月在施工现场的时间要求：</w:t>
      </w:r>
      <w:r>
        <w:rPr>
          <w:rFonts w:hint="eastAsia" w:ascii="宋体" w:hAnsi="宋体" w:eastAsia="宋体" w:cs="宋体"/>
          <w:color w:val="000000"/>
          <w:sz w:val="21"/>
          <w:szCs w:val="21"/>
          <w:highlight w:val="none"/>
          <w:u w:val="single"/>
          <w:lang w:val="en-US" w:eastAsia="zh-CN" w:bidi="ar-SA"/>
        </w:rPr>
        <w:t xml:space="preserve">保证本工程的项目经理及本工程项目施工管理人员全部在工地现场，每周在工地工作时间不低于6日，每天在工地工作时间不低于8 个小时，特殊情况下需离开时需事先征得发包人同意。并遵守发包人考勤、考核制度</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3.2.2 承包人擅自更换项目经理的违约责任：</w:t>
      </w:r>
      <w:r>
        <w:rPr>
          <w:rFonts w:hint="eastAsia" w:ascii="宋体" w:hAnsi="宋体" w:eastAsia="宋体" w:cs="宋体"/>
          <w:color w:val="000000"/>
          <w:sz w:val="21"/>
          <w:szCs w:val="21"/>
          <w:highlight w:val="none"/>
          <w:u w:val="single"/>
          <w:lang w:val="en-US" w:eastAsia="zh-CN" w:bidi="ar-SA"/>
        </w:rPr>
        <w:t xml:space="preserve">发包人有权解除合同，承包人应按每人次 5 万元人民币支付违约金，并追究由此给发包人造成的一切损失</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3.3 承包人人员</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3.3.1 承包人提交项目管理机构及施工现场管理人员安排报告的期限：</w:t>
      </w:r>
      <w:r>
        <w:rPr>
          <w:rFonts w:hint="eastAsia" w:ascii="宋体" w:hAnsi="宋体" w:eastAsia="宋体" w:cs="宋体"/>
          <w:color w:val="000000"/>
          <w:sz w:val="21"/>
          <w:szCs w:val="21"/>
          <w:highlight w:val="none"/>
          <w:u w:val="single"/>
          <w:lang w:val="en-US" w:eastAsia="zh-CN" w:bidi="ar-SA"/>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3.3.3 承包人无正当理由拒绝撤换主要施工管理人员的违约责任：</w:t>
      </w:r>
      <w:r>
        <w:rPr>
          <w:rFonts w:hint="eastAsia" w:ascii="宋体" w:hAnsi="宋体" w:eastAsia="宋体" w:cs="宋体"/>
          <w:color w:val="000000"/>
          <w:sz w:val="21"/>
          <w:szCs w:val="21"/>
          <w:highlight w:val="none"/>
          <w:u w:val="single"/>
          <w:lang w:val="en-US" w:eastAsia="zh-CN" w:bidi="ar-SA"/>
        </w:rPr>
        <w:t xml:space="preserve">自愿承担每人每次1 万元的违约金。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3.3.4 承包人主要施工管理人员离开施工现场的批准要求：</w:t>
      </w:r>
      <w:r>
        <w:rPr>
          <w:rFonts w:hint="eastAsia" w:ascii="宋体" w:hAnsi="宋体" w:eastAsia="宋体" w:cs="宋体"/>
          <w:color w:val="000000"/>
          <w:sz w:val="21"/>
          <w:szCs w:val="21"/>
          <w:highlight w:val="none"/>
          <w:u w:val="single"/>
          <w:lang w:val="en-US" w:eastAsia="zh-CN" w:bidi="ar-SA"/>
        </w:rPr>
        <w:t xml:space="preserve">由发包人和总监理工程师书面批准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3.3.5承包人擅自更换主要施工管理人员的违约责任：</w:t>
      </w:r>
      <w:r>
        <w:rPr>
          <w:rFonts w:hint="eastAsia" w:ascii="宋体" w:hAnsi="宋体" w:eastAsia="宋体" w:cs="宋体"/>
          <w:color w:val="000000"/>
          <w:sz w:val="21"/>
          <w:szCs w:val="21"/>
          <w:highlight w:val="none"/>
          <w:u w:val="single"/>
          <w:lang w:val="en-US" w:eastAsia="zh-CN" w:bidi="ar-SA"/>
        </w:rPr>
        <w:t xml:space="preserve">中标人在投标时承诺拟派本工程的主要施工管理人员不得更换，否则发包人有权解除合同并处承包人</w:t>
      </w:r>
      <w:r>
        <w:rPr>
          <w:rFonts w:hint="eastAsia" w:ascii="宋体" w:hAnsi="宋体" w:cs="宋体"/>
          <w:color w:val="000000"/>
          <w:sz w:val="21"/>
          <w:szCs w:val="21"/>
          <w:highlight w:val="none"/>
          <w:u w:val="single"/>
          <w:lang w:val="en-US" w:eastAsia="zh-CN" w:bidi="ar-SA"/>
        </w:rPr>
        <w:t xml:space="preserve">5</w:t>
      </w:r>
      <w:r>
        <w:rPr>
          <w:rFonts w:hint="eastAsia" w:ascii="宋体" w:hAnsi="宋体" w:eastAsia="宋体" w:cs="宋体"/>
          <w:color w:val="000000"/>
          <w:sz w:val="21"/>
          <w:szCs w:val="21"/>
          <w:highlight w:val="none"/>
          <w:u w:val="single"/>
          <w:lang w:val="en-US" w:eastAsia="zh-CN" w:bidi="ar-SA"/>
        </w:rPr>
        <w:t xml:space="preserve">万元人民币的违约金；发包人可从当期应付合同价款中直接扣除承包人违约金。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承包人主要施工管理人员擅自离开施工现场的违约责任：</w:t>
      </w:r>
      <w:r>
        <w:rPr>
          <w:rFonts w:hint="eastAsia" w:ascii="宋体" w:hAnsi="宋体" w:eastAsia="宋体" w:cs="宋体"/>
          <w:color w:val="000000"/>
          <w:sz w:val="21"/>
          <w:szCs w:val="21"/>
          <w:highlight w:val="none"/>
          <w:u w:val="single"/>
          <w:lang w:val="en-US" w:eastAsia="zh-CN" w:bidi="ar-SA"/>
        </w:rPr>
        <w:t xml:space="preserve">本工程的项目经理及本工程项目施工管理人员全部在工地现场，每周在工地工作时间不低于6日，每天在工地工作时间不低于8 个小时，特殊情况下需离开时需事先征得发包人同意。并遵守发包人考勤、考核制度。承包人应当遵守发包人考勤、考核制度，凡项目部每次现场考勤、考核点名施工人员不在场的，每人每次罚款 2000 元/次，凡领导莅临施工现场考勤、考核点名施工人员不在场的，每人每次罚款 5000 元/次。情节严重的，发包人有权终止合同、停止支付工程款。</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w:t>
      </w:r>
      <w:bookmarkStart w:id="206" w:name="_Toc296503159"/>
      <w:r/>
      <w:bookmarkStart w:id="207" w:name="_Toc292559869"/>
      <w:r/>
      <w:bookmarkStart w:id="208" w:name="_Toc296891199"/>
      <w:r/>
      <w:bookmarkStart w:id="209" w:name="_Toc296347158"/>
      <w:r/>
      <w:bookmarkStart w:id="210" w:name="_Toc297123492"/>
      <w:r/>
      <w:bookmarkStart w:id="211" w:name="_Toc296944498"/>
      <w:r/>
      <w:bookmarkStart w:id="212" w:name="_Toc296890987"/>
      <w:r/>
      <w:bookmarkStart w:id="213" w:name="_Toc300934945"/>
      <w:r/>
      <w:bookmarkStart w:id="214" w:name="_Toc297048345"/>
      <w:r/>
      <w:bookmarkStart w:id="215" w:name="_Toc304295523"/>
      <w:r/>
      <w:bookmarkStart w:id="216" w:name="_Toc303539102"/>
      <w:r/>
      <w:bookmarkStart w:id="217" w:name="_Toc297120459"/>
      <w:r/>
      <w:bookmarkStart w:id="218" w:name="_Toc292559364"/>
      <w:r/>
      <w:bookmarkStart w:id="219" w:name="_Toc296346660"/>
      <w:r/>
      <w:bookmarkStart w:id="220" w:name="_Toc297216151"/>
      <w:r/>
      <w:bookmarkStart w:id="221" w:name="_Toc312677988"/>
      <w:r>
        <w:rPr>
          <w:rFonts w:hint="eastAsia" w:ascii="宋体" w:hAnsi="宋体" w:eastAsia="宋体" w:cs="宋体"/>
          <w:bCs/>
          <w:color w:val="000000"/>
          <w:sz w:val="21"/>
          <w:szCs w:val="21"/>
          <w:highlight w:val="none"/>
          <w:lang w:val="en-US" w:eastAsia="zh-CN" w:bidi="ar-SA"/>
        </w:rPr>
        <w:t xml:space="preserve">.4分包</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bookmarkStart w:id="222" w:name="_Toc296503160"/>
      <w:r/>
      <w:bookmarkStart w:id="223" w:name="_Toc296346661"/>
      <w:r/>
      <w:bookmarkStart w:id="224" w:name="_Toc297123493"/>
      <w:r/>
      <w:bookmarkStart w:id="225" w:name="_Toc300934946"/>
      <w:r/>
      <w:bookmarkStart w:id="226" w:name="_Toc297120460"/>
      <w:r/>
      <w:bookmarkStart w:id="227" w:name="_Toc292559870"/>
      <w:r/>
      <w:bookmarkStart w:id="228" w:name="_Toc297216152"/>
      <w:r/>
      <w:bookmarkStart w:id="229" w:name="_Toc296347159"/>
      <w:r/>
      <w:bookmarkStart w:id="230" w:name="_Toc296890988"/>
      <w:r/>
      <w:bookmarkStart w:id="231" w:name="_Toc297048346"/>
      <w:r/>
      <w:bookmarkStart w:id="232" w:name="_Toc296944499"/>
      <w:r/>
      <w:bookmarkStart w:id="233" w:name="_Toc303539103"/>
      <w:r/>
      <w:bookmarkStart w:id="234" w:name="_Toc296891200"/>
      <w:r/>
      <w:bookmarkStart w:id="235" w:name="_Toc292559365"/>
      <w:r/>
      <w:bookmarkStart w:id="236" w:name="_Toc304295524"/>
      <w:r/>
      <w:bookmarkStart w:id="237" w:name="_Toc312677989"/>
      <w:r/>
      <w:bookmarkStart w:id="238" w:name="_Toc318581158"/>
      <w:r>
        <w:rPr>
          <w:rFonts w:hint="eastAsia" w:ascii="宋体" w:hAnsi="宋体" w:eastAsia="宋体" w:cs="宋体"/>
          <w:color w:val="000000"/>
          <w:sz w:val="21"/>
          <w:szCs w:val="21"/>
          <w:highlight w:val="none"/>
          <w:lang w:val="en-US" w:eastAsia="zh-CN" w:bidi="ar-SA"/>
        </w:rPr>
        <w:t xml:space="preserve">.4.1 分包的一般约定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禁止分包的工程包括：</w:t>
      </w:r>
      <w:r>
        <w:rPr>
          <w:rFonts w:hint="eastAsia" w:ascii="宋体" w:hAnsi="宋体" w:eastAsia="宋体" w:cs="宋体"/>
          <w:color w:val="000000"/>
          <w:sz w:val="21"/>
          <w:szCs w:val="21"/>
          <w:highlight w:val="none"/>
          <w:u w:val="single"/>
          <w:lang w:val="en-US" w:eastAsia="zh-CN" w:bidi="ar-SA"/>
        </w:rPr>
        <w:t xml:space="preserve">本工程不允许分包。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主体结构、关键性工作的范围：</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Start w:id="239" w:name="_Toc296891201"/>
      <w:r/>
      <w:bookmarkStart w:id="240" w:name="_Toc297048347"/>
      <w:r/>
      <w:bookmarkStart w:id="241" w:name="_Toc296503161"/>
      <w:r/>
      <w:bookmarkStart w:id="242" w:name="_Toc296347160"/>
      <w:r/>
      <w:bookmarkStart w:id="243" w:name="_Toc296890989"/>
      <w:r/>
      <w:bookmarkStart w:id="244" w:name="_Toc304295525"/>
      <w:r/>
      <w:bookmarkStart w:id="245" w:name="_Toc297123494"/>
      <w:r/>
      <w:bookmarkStart w:id="246" w:name="_Toc296944500"/>
      <w:r/>
      <w:bookmarkStart w:id="247" w:name="_Toc297216153"/>
      <w:r/>
      <w:bookmarkStart w:id="248" w:name="_Toc297120461"/>
      <w:r/>
      <w:bookmarkStart w:id="249" w:name="_Toc300934947"/>
      <w:r/>
      <w:bookmarkStart w:id="250" w:name="_Toc296346662"/>
      <w:r/>
      <w:bookmarkStart w:id="251" w:name="_Toc30353910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bookmarkStart w:id="252" w:name="_Toc312677990"/>
      <w:r/>
      <w:bookmarkStart w:id="253" w:name="_Toc318581159"/>
      <w:r>
        <w:rPr>
          <w:rFonts w:hint="eastAsia" w:ascii="宋体" w:hAnsi="宋体" w:eastAsia="宋体" w:cs="宋体"/>
          <w:color w:val="000000"/>
          <w:sz w:val="21"/>
          <w:szCs w:val="21"/>
          <w:highlight w:val="none"/>
          <w:lang w:val="en-US" w:eastAsia="zh-CN" w:bidi="ar-SA"/>
        </w:rPr>
        <w:t xml:space="preserve">.4.2分包的确定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允许分包的专业工程包括：</w:t>
      </w:r>
      <w:r>
        <w:rPr>
          <w:rFonts w:hint="eastAsia" w:ascii="宋体" w:hAnsi="宋体" w:eastAsia="宋体" w:cs="宋体"/>
          <w:color w:val="000000"/>
          <w:sz w:val="21"/>
          <w:szCs w:val="21"/>
          <w:highlight w:val="none"/>
          <w:u w:val="single"/>
          <w:lang w:val="en-US" w:eastAsia="zh-CN" w:bidi="ar-SA"/>
        </w:rPr>
        <w:t xml:space="preserve">本工程不允许分包</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其他关于分包的约定：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3.4.3 分包合同价款</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关于分包合同价款支付的约定：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bookmarkEnd w:id="252"/>
      <w:r/>
      <w:bookmarkEnd w:id="253"/>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3.5 工程照管与成品、半成品保护</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承包人负责照管工程及工程相关的材料、工程设备的起始时间：</w:t>
      </w:r>
      <w:r>
        <w:rPr>
          <w:rFonts w:hint="eastAsia" w:ascii="宋体" w:hAnsi="宋体" w:eastAsia="宋体" w:cs="宋体"/>
          <w:color w:val="000000"/>
          <w:sz w:val="21"/>
          <w:szCs w:val="21"/>
          <w:highlight w:val="none"/>
          <w:u w:val="single"/>
          <w:lang w:val="en-US" w:eastAsia="zh-CN" w:bidi="ar-SA"/>
        </w:rPr>
        <w:t xml:space="preserve">自发包人向承包人移交施工现场之日起，直到颁发工程竣工验收证书之日止。</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3.6履约担保</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承包人是否提供履约担保：</w:t>
      </w:r>
      <w:r>
        <w:rPr>
          <w:rFonts w:hint="eastAsia" w:ascii="宋体" w:hAnsi="宋体" w:eastAsia="宋体" w:cs="宋体"/>
          <w:color w:val="000000"/>
          <w:sz w:val="21"/>
          <w:szCs w:val="21"/>
          <w:highlight w:val="none"/>
          <w:u w:val="single"/>
          <w:lang w:val="en-US" w:eastAsia="zh-CN" w:bidi="ar-SA"/>
        </w:rPr>
        <w:t xml:space="preserve">否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承包人提供履约担保的形式、金额及期限的：</w:t>
      </w:r>
      <w:r>
        <w:rPr>
          <w:rFonts w:hint="eastAsia" w:ascii="宋体" w:hAnsi="宋体" w:eastAsia="宋体" w:cs="宋体"/>
          <w:color w:val="000000"/>
          <w:sz w:val="21"/>
          <w:szCs w:val="21"/>
          <w:highlight w:val="none"/>
          <w:u w:val="single"/>
          <w:lang w:val="en-US" w:eastAsia="zh-CN" w:bidi="ar-SA"/>
        </w:rPr>
        <w:t xml:space="preserve">/。</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254" w:name="_Toc351203636"/>
      <w:r>
        <w:rPr>
          <w:rFonts w:hint="eastAsia" w:ascii="宋体" w:hAnsi="宋体" w:eastAsia="宋体" w:cs="宋体"/>
          <w:b/>
          <w:bCs/>
          <w:color w:val="000000"/>
          <w:sz w:val="21"/>
          <w:szCs w:val="21"/>
          <w:highlight w:val="none"/>
          <w:lang w:val="en-US" w:eastAsia="zh-CN" w:bidi="ar-SA"/>
        </w:rPr>
        <w:t xml:space="preserve">4</w:t>
      </w:r>
      <w:bookmarkStart w:id="255" w:name="_Toc296891202"/>
      <w:r/>
      <w:bookmarkStart w:id="256" w:name="_Toc297048348"/>
      <w:r/>
      <w:bookmarkStart w:id="257" w:name="_Toc296503162"/>
      <w:r/>
      <w:bookmarkStart w:id="258" w:name="_Toc267251413"/>
      <w:r/>
      <w:bookmarkStart w:id="259" w:name="_Toc296944501"/>
      <w:r/>
      <w:bookmarkStart w:id="260" w:name="_Toc292559871"/>
      <w:r/>
      <w:bookmarkStart w:id="261" w:name="_Toc296347161"/>
      <w:r/>
      <w:bookmarkStart w:id="262" w:name="_Toc296346663"/>
      <w:r/>
      <w:bookmarkStart w:id="263" w:name="_Toc297120462"/>
      <w:r/>
      <w:bookmarkStart w:id="264" w:name="_Toc296890990"/>
      <w:r/>
      <w:bookmarkStart w:id="265" w:name="_Toc292559366"/>
      <w:r>
        <w:rPr>
          <w:rFonts w:hint="eastAsia" w:ascii="宋体" w:hAnsi="宋体" w:eastAsia="宋体" w:cs="宋体"/>
          <w:b/>
          <w:bCs/>
          <w:color w:val="000000"/>
          <w:sz w:val="21"/>
          <w:szCs w:val="21"/>
          <w:highlight w:val="none"/>
          <w:lang w:val="en-US" w:eastAsia="zh-CN" w:bidi="ar-SA"/>
        </w:rPr>
        <w:t xml:space="preserve">. 监</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bCs/>
          <w:color w:val="000000"/>
          <w:sz w:val="21"/>
          <w:szCs w:val="21"/>
          <w:highlight w:val="none"/>
          <w:lang w:val="en-US" w:eastAsia="zh-CN" w:bidi="ar-SA"/>
        </w:rPr>
        <w:t xml:space="preserve">理人</w:t>
      </w:r>
      <w:bookmarkEnd w:id="254"/>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4.1监理人的一般规定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关于监理人的监理内容：</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关于监理人的监理权限：</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4.2 监理人员</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总监理工程师：</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    名：</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    务：</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监理工程师执业资格证书号：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电子信箱：</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关于监理人的其他约定：</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4.3 商定或确定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bookmarkStart w:id="266" w:name="_Toc267251418"/>
      <w:r>
        <w:rPr>
          <w:rFonts w:hint="eastAsia" w:ascii="宋体" w:hAnsi="宋体" w:eastAsia="宋体" w:cs="宋体"/>
          <w:color w:val="000000"/>
          <w:sz w:val="21"/>
          <w:szCs w:val="21"/>
          <w:highlight w:val="none"/>
          <w:lang w:val="en-US" w:eastAsia="zh-CN" w:bidi="ar-SA"/>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267" w:name="_Toc351203637"/>
      <w:r>
        <w:rPr>
          <w:rFonts w:hint="eastAsia" w:ascii="宋体" w:hAnsi="宋体" w:eastAsia="宋体" w:cs="宋体"/>
          <w:b/>
          <w:bCs/>
          <w:color w:val="000000"/>
          <w:sz w:val="21"/>
          <w:szCs w:val="21"/>
          <w:highlight w:val="none"/>
          <w:lang w:val="en-US" w:eastAsia="zh-CN" w:bidi="ar-SA"/>
        </w:rPr>
        <w:t xml:space="preserve">5</w:t>
      </w:r>
      <w:bookmarkEnd w:id="266"/>
      <w:r/>
      <w:bookmarkStart w:id="268" w:name="_Toc292559367"/>
      <w:r/>
      <w:bookmarkStart w:id="269" w:name="_Toc296890991"/>
      <w:r/>
      <w:bookmarkStart w:id="270" w:name="_Toc296347162"/>
      <w:r/>
      <w:bookmarkStart w:id="271" w:name="_Toc296891203"/>
      <w:r/>
      <w:bookmarkStart w:id="272" w:name="_Toc296944502"/>
      <w:r/>
      <w:bookmarkStart w:id="273" w:name="_Toc297120463"/>
      <w:r/>
      <w:bookmarkStart w:id="274" w:name="_Toc297048349"/>
      <w:r/>
      <w:bookmarkStart w:id="275" w:name="_Toc296346664"/>
      <w:r/>
      <w:bookmarkStart w:id="276" w:name="_Toc296503163"/>
      <w:r/>
      <w:bookmarkStart w:id="277" w:name="_Toc292559872"/>
      <w:r>
        <w:rPr>
          <w:rFonts w:hint="eastAsia" w:ascii="宋体" w:hAnsi="宋体" w:eastAsia="宋体" w:cs="宋体"/>
          <w:b/>
          <w:bCs/>
          <w:color w:val="000000"/>
          <w:sz w:val="21"/>
          <w:szCs w:val="21"/>
          <w:highlight w:val="none"/>
          <w:lang w:val="en-US" w:eastAsia="zh-CN" w:bidi="ar-SA"/>
        </w:rPr>
        <w:t xml:space="preserve">. 工程质量</w:t>
      </w:r>
      <w:bookmarkEnd w:id="267"/>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5.1 质量要求</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bookmarkStart w:id="278" w:name="_Toc300934949"/>
      <w:r/>
      <w:bookmarkStart w:id="279" w:name="_Toc303539106"/>
      <w:r/>
      <w:bookmarkStart w:id="280" w:name="_Toc304295527"/>
      <w:r/>
      <w:bookmarkStart w:id="281" w:name="_Toc297216155"/>
      <w:r/>
      <w:bookmarkStart w:id="282" w:name="_Toc312677997"/>
      <w:r/>
      <w:bookmarkStart w:id="283" w:name="_Toc297123496"/>
      <w:r/>
      <w:bookmarkStart w:id="284" w:name="_Toc318581164"/>
      <w:r>
        <w:rPr>
          <w:rFonts w:hint="eastAsia" w:ascii="宋体" w:hAnsi="宋体" w:eastAsia="宋体" w:cs="宋体"/>
          <w:color w:val="000000"/>
          <w:sz w:val="21"/>
          <w:szCs w:val="21"/>
          <w:highlight w:val="none"/>
          <w:lang w:val="en-US" w:eastAsia="zh-CN" w:bidi="ar-SA"/>
        </w:rPr>
        <w:t xml:space="preserve">.1.1 特殊质量标准和要求：</w:t>
      </w:r>
      <w:r>
        <w:rPr>
          <w:rFonts w:hint="eastAsia" w:ascii="宋体" w:hAnsi="宋体" w:eastAsia="宋体" w:cs="宋体"/>
          <w:color w:val="000000"/>
          <w:sz w:val="21"/>
          <w:szCs w:val="21"/>
          <w:highlight w:val="none"/>
          <w:u w:val="single"/>
          <w:lang w:val="en-US" w:eastAsia="zh-CN" w:bidi="ar-SA"/>
        </w:rPr>
        <w:t xml:space="preserve">1、符合现行国家有关验收标准（GB 50300—2001），并达到招标要求的质量等级标准。2、材料质量要求：符合国际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设计的施工图纸施工时，设计引起的质量责任由承包人承担。无论工程</w:t>
      </w:r>
      <w:r>
        <w:rPr>
          <w:rFonts w:hint="eastAsia" w:ascii="宋体" w:hAnsi="宋体" w:eastAsia="宋体" w:cs="宋体"/>
          <w:color w:val="000000"/>
          <w:sz w:val="21"/>
          <w:szCs w:val="21"/>
          <w:highlight w:val="none"/>
          <w:u w:val="single"/>
          <w:lang w:val="en-US" w:eastAsia="zh-CN" w:bidi="ar-SA"/>
        </w:rPr>
        <w:t xml:space="preserve">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工艺试验等必须按规定实施，由承包人提供法定检测机构出具的试验合格证书或报告，所需费用包含在合同价中，由承包人承担，发包人不另外支付。4、招标文件和有关规范规定的各种材料，发包人有权对材料进行抽样送检（第三方检测机构），所需费用由承包人承担。</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5.2 隐蔽工程检查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5.2.1承包人提前通知监理人隐蔽工程检查的期限的约定：</w:t>
      </w:r>
      <w:r>
        <w:rPr>
          <w:rFonts w:hint="eastAsia" w:ascii="宋体" w:hAnsi="宋体" w:eastAsia="宋体" w:cs="宋体"/>
          <w:color w:val="000000"/>
          <w:sz w:val="21"/>
          <w:szCs w:val="21"/>
          <w:highlight w:val="none"/>
          <w:u w:val="single"/>
          <w:lang w:val="en-US" w:eastAsia="zh-CN" w:bidi="ar-SA"/>
        </w:rPr>
        <w:t xml:space="preserve"> 工程具备隐蔽条件或达到中间验收部位时，承包人自检合格后，在隐蔽和中间验收 48 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监理人不能按时进行检查时，应提前</w:t>
      </w:r>
      <w:r>
        <w:rPr>
          <w:rFonts w:hint="eastAsia" w:ascii="宋体" w:hAnsi="宋体" w:eastAsia="宋体" w:cs="宋体"/>
          <w:color w:val="000000"/>
          <w:sz w:val="21"/>
          <w:szCs w:val="21"/>
          <w:highlight w:val="none"/>
          <w:u w:val="single"/>
          <w:lang w:val="en-US" w:eastAsia="zh-CN" w:bidi="ar-SA"/>
        </w:rPr>
        <w:t xml:space="preserve"> 24 </w:t>
      </w:r>
      <w:r>
        <w:rPr>
          <w:rFonts w:hint="eastAsia" w:ascii="宋体" w:hAnsi="宋体" w:eastAsia="宋体" w:cs="宋体"/>
          <w:color w:val="000000"/>
          <w:sz w:val="21"/>
          <w:szCs w:val="21"/>
          <w:highlight w:val="none"/>
          <w:lang w:val="en-US" w:eastAsia="zh-CN" w:bidi="ar-SA"/>
        </w:rPr>
        <w:t xml:space="preserve">小时提交书面延期要求。</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关于延期最长不得超过：</w:t>
      </w:r>
      <w:r>
        <w:rPr>
          <w:rFonts w:hint="eastAsia" w:ascii="宋体" w:hAnsi="宋体" w:eastAsia="宋体" w:cs="宋体"/>
          <w:color w:val="000000"/>
          <w:sz w:val="21"/>
          <w:szCs w:val="21"/>
          <w:highlight w:val="none"/>
          <w:u w:val="single"/>
          <w:lang w:val="en-US" w:eastAsia="zh-CN" w:bidi="ar-SA"/>
        </w:rPr>
        <w:t xml:space="preserve">24</w:t>
      </w:r>
      <w:r>
        <w:rPr>
          <w:rFonts w:hint="eastAsia" w:ascii="宋体" w:hAnsi="宋体" w:eastAsia="宋体" w:cs="宋体"/>
          <w:color w:val="000000"/>
          <w:sz w:val="21"/>
          <w:szCs w:val="21"/>
          <w:highlight w:val="none"/>
          <w:lang w:val="en-US" w:eastAsia="zh-CN" w:bidi="ar-SA"/>
        </w:rPr>
        <w:t xml:space="preserve">小时。</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285" w:name="_Toc351203638"/>
      <w:r>
        <w:rPr>
          <w:rFonts w:hint="eastAsia" w:ascii="宋体" w:hAnsi="宋体" w:eastAsia="宋体" w:cs="宋体"/>
          <w:b/>
          <w:bCs/>
          <w:color w:val="000000"/>
          <w:sz w:val="21"/>
          <w:szCs w:val="21"/>
          <w:highlight w:val="none"/>
          <w:lang w:val="en-US" w:eastAsia="zh-CN" w:bidi="ar-SA"/>
        </w:rPr>
        <w:t xml:space="preserve">6. 安全文明施工与环境保护</w:t>
      </w:r>
      <w:bookmarkEnd w:id="285"/>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6.1安全文明施工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6.1.1 项目安全生产的达标目标及相应事项的约定：</w:t>
      </w:r>
      <w:r>
        <w:rPr>
          <w:rFonts w:hint="eastAsia" w:ascii="宋体" w:hAnsi="宋体" w:eastAsia="宋体" w:cs="宋体"/>
          <w:color w:val="000000"/>
          <w:sz w:val="21"/>
          <w:szCs w:val="21"/>
          <w:highlight w:val="none"/>
          <w:u w:val="single"/>
          <w:lang w:val="en-US" w:eastAsia="zh-CN" w:bidi="ar-SA"/>
        </w:rPr>
        <w:t xml:space="preserve"> 1、进入施工现场的各类安全防护由承包人统一协调管理，安全责任由承包人承担，费用含在投标报价中；2、承包人负责进入施工现场施工人员及财物安全， 发生任何伤亡事故与发包人无关，承包人自行解决； 3、承包人应合理安排、安全使用水、电设施，否则引起的一切责任由承包人承担。承包人应负责保管水、电设施，若发生丢失或损坏，由承包人赔偿。4、严格执行《</w:t>
      </w:r>
      <w:r>
        <w:rPr>
          <w:rFonts w:hint="eastAsia" w:ascii="宋体" w:hAnsi="宋体" w:eastAsia="宋体" w:cs="宋体"/>
          <w:color w:val="000000"/>
          <w:sz w:val="21"/>
          <w:szCs w:val="21"/>
          <w:highlight w:val="none"/>
          <w:u w:val="single"/>
          <w:lang w:val="en-US" w:eastAsia="zh-CN" w:bidi="ar-SA"/>
        </w:rPr>
        <w:t xml:space="preserve">中华人民共和国安全生产法》、《建设工程安全生产管理条例》（国务院第 393 号令）等相关法律法规、双方签订的《安全施工协议》。承包人在施工现场的安全管理、安全教育和安全事故责任及所发生的费用均由承包方承担。 由承包人按规范施工并对安全生产负全责， 除执行通用条款的相关规定外，承包人应严格按照施工组织设计组织施工，在安全管理方面除正常进行安全学习，安全教育外，同时应高度重视全部施工期间的安全工作，安全措施要落实到位，应急措施要跟上， 并配备专职安全人员， 全面负责施工现场的安全及周边设施的安全和第三方人身安全</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并承担所有责任及相应地赔偿费用。 5、承包人应当遵守工程建设安全生产有关管理规定，严格按安全标准组织施工，并随时接受发包人及行业安全检查人员依法实施的监督检查， 采取必要</w:t>
      </w:r>
      <w:r>
        <w:rPr>
          <w:rFonts w:hint="eastAsia" w:ascii="宋体" w:hAnsi="宋体" w:eastAsia="宋体" w:cs="宋体"/>
          <w:color w:val="000000"/>
          <w:sz w:val="21"/>
          <w:szCs w:val="21"/>
          <w:highlight w:val="none"/>
          <w:u w:val="single"/>
          <w:lang w:val="en-US" w:eastAsia="zh-CN" w:bidi="ar-SA"/>
        </w:rPr>
        <w:t xml:space="preserve">的安全防护措施，消除事故隐患，安全防护费用已含在合同价款内。承包人在施工现场的安全管理、 教育和安全事故责任由承包方承担。在承包人施工范围内发生或因承包人施工活动有关的安全事故由承包人负责处理并承担责任。6、承包人应合理安全使用水、 电设施，否则引起的一切责任由承包人承担。7、在工程移交之前，承包人应当从施工现场清除所有工程设备、多余材料、各种临时工程以及其他各种垃圾等，并保持施工现场清洁整齐。经发包人书面同意， 承包人可在发包人指定的地点保留承包人履行保修期内的各项义务所需要的材料、 施工设备和临时工程。</w:t>
      </w:r>
      <w:r>
        <w:rPr>
          <w:rFonts w:hint="eastAsia" w:ascii="宋体" w:hAnsi="宋体" w:eastAsia="宋体" w:cs="宋体"/>
          <w:color w:val="000000"/>
          <w:sz w:val="21"/>
          <w:szCs w:val="21"/>
          <w:highlight w:val="none"/>
          <w:lang w:val="en-US" w:eastAsia="zh-CN" w:bidi="ar-SA"/>
        </w:rPr>
        <w:t xml:space="preserve">上述情形给发包人造成的一切损失由承包人承担。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6.1.2 关于治安保卫的特别约定：</w:t>
      </w:r>
      <w:r>
        <w:rPr>
          <w:rFonts w:hint="eastAsia" w:ascii="宋体" w:hAnsi="宋体" w:eastAsia="宋体" w:cs="宋体"/>
          <w:color w:val="000000"/>
          <w:sz w:val="21"/>
          <w:szCs w:val="21"/>
          <w:highlight w:val="none"/>
          <w:u w:val="single"/>
          <w:lang w:val="en-US" w:eastAsia="zh-CN" w:bidi="ar-SA"/>
        </w:rPr>
        <w:t xml:space="preserve">满足发包人、城管、卫生防疫、环保及有关部门的相关要求。</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关于编制施工场地治安管理计划的约定：</w:t>
      </w:r>
      <w:r>
        <w:rPr>
          <w:rFonts w:hint="eastAsia" w:ascii="宋体" w:hAnsi="宋体" w:eastAsia="宋体" w:cs="宋体"/>
          <w:color w:val="000000"/>
          <w:sz w:val="21"/>
          <w:szCs w:val="21"/>
          <w:highlight w:val="none"/>
          <w:u w:val="single"/>
          <w:lang w:val="en-US" w:eastAsia="zh-CN" w:bidi="ar-SA"/>
        </w:rPr>
        <w:t xml:space="preserve">另行协商</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6.1.3 文明施工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合同当事人对文明施工的要求：</w:t>
      </w:r>
      <w:r>
        <w:rPr>
          <w:rFonts w:hint="eastAsia" w:ascii="宋体" w:hAnsi="宋体" w:eastAsia="宋体" w:cs="宋体"/>
          <w:color w:val="000000"/>
          <w:sz w:val="21"/>
          <w:szCs w:val="21"/>
          <w:highlight w:val="none"/>
          <w:u w:val="single"/>
          <w:lang w:val="en-US" w:eastAsia="zh-CN" w:bidi="ar-SA"/>
        </w:rPr>
        <w:t xml:space="preserve"> 合同当事人对文明施工的要求：一、施工安全：⑴承包人报请监理工程师和发包人代表审批的施工组织设计中应有安全施工方案，要有安全施工管理系统，</w:t>
      </w:r>
      <w:r>
        <w:rPr>
          <w:rFonts w:hint="eastAsia" w:ascii="宋体" w:hAnsi="宋体" w:eastAsia="宋体" w:cs="宋体"/>
          <w:color w:val="000000"/>
          <w:sz w:val="21"/>
          <w:szCs w:val="21"/>
          <w:highlight w:val="none"/>
          <w:u w:val="single"/>
          <w:lang w:val="en-US" w:eastAsia="zh-CN" w:bidi="ar-SA"/>
        </w:rPr>
        <w:t xml:space="preserve">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 ：工程施工期间，噪声对环境的影响必须满足国家和宿迁市有关法规要求。施工噪声遵守《建筑施工场界噪声限值》（GB12523－2011）。在选择施工设备及施工方法时，承包人必须考虑由此产生的噪声标准及对施工人员和周围单位和居民的影响。 在工程施工过程中，若发生施工噪声超标扰民事件，由承包人负责解决，发</w:t>
      </w:r>
      <w:r>
        <w:rPr>
          <w:rFonts w:hint="eastAsia" w:ascii="宋体" w:hAnsi="宋体" w:eastAsia="宋体" w:cs="宋体"/>
          <w:color w:val="000000"/>
          <w:sz w:val="21"/>
          <w:szCs w:val="21"/>
          <w:highlight w:val="none"/>
          <w:u w:val="single"/>
          <w:lang w:val="en-US" w:eastAsia="zh-CN" w:bidi="ar-SA"/>
        </w:rPr>
        <w:t xml:space="preserve">包人予以配合。三、污水排放：所有的废水、污水应按批准的方法处理后排入排污系统，不得污染环境，由此而引起的后果由承包人自行负责。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承包人应严格执行宿建发〔2018〕125号文件、宿迁市住房和城乡建设局“关于印发宿迁市建设工地扬尘防治指导意见的通知”、宿迁市城市管理委员会办公室文件（宿城管办【2020】28号）“市城管委办公室关于印发市区扬尘专项整治实施方案的通知”相关要求（如有冲突，以最新文件为准）做好大气污染防控措施，因环境污染或大气管控不力造成被相关部门责令整改的，承包人同意向发包人支付10000 元/次的违约金。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6.1.4 关于安全文明施工费支付比例和支付期限的约定：</w:t>
      </w:r>
      <w:r>
        <w:rPr>
          <w:rFonts w:hint="eastAsia" w:ascii="宋体" w:hAnsi="宋体" w:eastAsia="宋体" w:cs="宋体"/>
          <w:color w:val="000000"/>
          <w:sz w:val="21"/>
          <w:szCs w:val="21"/>
          <w:highlight w:val="none"/>
          <w:u w:val="single"/>
          <w:lang w:val="en-US" w:eastAsia="zh-CN" w:bidi="ar-SA"/>
        </w:rPr>
        <w:t xml:space="preserve"> 工程付款按合同约定执行</w:t>
      </w:r>
      <w:r>
        <w:rPr>
          <w:rFonts w:hint="eastAsia" w:ascii="宋体" w:hAnsi="宋体" w:eastAsia="宋体" w:cs="宋体"/>
          <w:color w:val="000000"/>
          <w:sz w:val="21"/>
          <w:szCs w:val="21"/>
          <w:highlight w:val="none"/>
          <w:lang w:val="en-US" w:eastAsia="zh-CN" w:bidi="ar-SA"/>
        </w:rPr>
        <w:t xml:space="preserve">。</w:t>
      </w:r>
      <w:bookmarkEnd w:id="278"/>
      <w:r/>
      <w:bookmarkEnd w:id="279"/>
      <w:r/>
      <w:bookmarkEnd w:id="280"/>
      <w:r/>
      <w:bookmarkEnd w:id="281"/>
      <w:r/>
      <w:bookmarkEnd w:id="282"/>
      <w:r/>
      <w:bookmarkEnd w:id="283"/>
      <w:r/>
      <w:bookmarkEnd w:id="284"/>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286" w:name="_Toc351203639"/>
      <w:r>
        <w:rPr>
          <w:rFonts w:hint="eastAsia" w:ascii="宋体" w:hAnsi="宋体" w:eastAsia="宋体" w:cs="宋体"/>
          <w:b/>
          <w:bCs/>
          <w:color w:val="000000"/>
          <w:sz w:val="21"/>
          <w:szCs w:val="21"/>
          <w:highlight w:val="none"/>
          <w:lang w:val="en-US" w:eastAsia="zh-CN" w:bidi="ar-SA"/>
        </w:rPr>
        <w:t xml:space="preserve">7. 工期和进度</w:t>
      </w:r>
      <w:bookmarkEnd w:id="286"/>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7.1 施工组织设计</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7.1.1 合</w:t>
      </w:r>
      <w:r>
        <w:rPr>
          <w:rFonts w:hint="eastAsia" w:ascii="宋体" w:hAnsi="宋体" w:eastAsia="宋体" w:cs="宋体"/>
          <w:color w:val="000000"/>
          <w:sz w:val="21"/>
          <w:szCs w:val="21"/>
          <w:highlight w:val="none"/>
          <w:lang w:val="en-US" w:eastAsia="zh-CN" w:bidi="ar-SA"/>
        </w:rPr>
        <w:t xml:space="preserve">同当事人约定的施工组织设计应包括的其他内容：</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7.1.2 </w:t>
      </w:r>
      <w:r>
        <w:rPr>
          <w:rFonts w:hint="eastAsia" w:ascii="宋体" w:hAnsi="宋体" w:eastAsia="宋体" w:cs="宋体"/>
          <w:color w:val="000000"/>
          <w:sz w:val="21"/>
          <w:szCs w:val="21"/>
          <w:highlight w:val="none"/>
          <w:lang w:val="en-US" w:eastAsia="zh-CN" w:bidi="ar-SA"/>
        </w:rPr>
        <w:t xml:space="preserve">施工组织设计的提交和修改</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承包人提交详细施工组织设计的期限的约定：</w:t>
      </w:r>
      <w:r>
        <w:rPr>
          <w:rFonts w:hint="eastAsia" w:ascii="宋体" w:hAnsi="宋体" w:eastAsia="宋体" w:cs="宋体"/>
          <w:color w:val="000000"/>
          <w:sz w:val="21"/>
          <w:szCs w:val="21"/>
          <w:highlight w:val="none"/>
          <w:u w:val="single"/>
          <w:lang w:val="en-US" w:eastAsia="zh-CN" w:bidi="ar-SA"/>
        </w:rPr>
        <w:t xml:space="preserve"> 承包人在中标结果公告结束后7日内，向监理人提交4份其格式和内容符合监理工程师要求规定的主体工程组织设计，对于工程的关键部位和环节，于施工7日前按监理工程师要求提交专项施工方案，以备审查批准</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lang w:val="en-US" w:eastAsia="zh-CN" w:bidi="ar-SA"/>
        </w:rPr>
        <w:t xml:space="preserve"> 收到承包人资料三天内予以确认，逾期不批复，可视为该施工组织设计（施工方案）已经批准。承包人必须按照批准的组织设计施工，接受发包人代表对进度的检查、监督</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w:t>
      </w:r>
      <w:bookmarkStart w:id="287" w:name="_Toc297216173"/>
      <w:r/>
      <w:bookmarkStart w:id="288" w:name="_Toc297123514"/>
      <w:r/>
      <w:bookmarkStart w:id="289" w:name="_Toc304295541"/>
      <w:r/>
      <w:bookmarkStart w:id="290" w:name="_Toc312677479"/>
      <w:r/>
      <w:bookmarkStart w:id="291" w:name="_Toc300934966"/>
      <w:r/>
      <w:bookmarkStart w:id="292" w:name="_Toc303539123"/>
      <w:r/>
      <w:bookmarkStart w:id="293" w:name="_Toc312678005"/>
      <w:r>
        <w:rPr>
          <w:rFonts w:hint="eastAsia" w:ascii="宋体" w:hAnsi="宋体" w:eastAsia="宋体" w:cs="宋体"/>
          <w:bCs/>
          <w:color w:val="000000"/>
          <w:sz w:val="21"/>
          <w:szCs w:val="21"/>
          <w:highlight w:val="none"/>
          <w:lang w:val="en-US" w:eastAsia="zh-CN" w:bidi="ar-SA"/>
        </w:rPr>
        <w:t xml:space="preserve">.2 施工进度计划</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7.2.1 施工进度计划的修订</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lang w:val="en-US" w:eastAsia="zh-CN" w:bidi="ar-SA"/>
        </w:rPr>
        <w:t xml:space="preserve"> 收到承包人资料三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7.3 开工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7.3.1 开工准备</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关于承包人提交</w:t>
      </w:r>
      <w:r>
        <w:rPr>
          <w:rFonts w:hint="eastAsia" w:ascii="宋体" w:hAnsi="宋体" w:eastAsia="宋体" w:cs="宋体"/>
          <w:color w:val="000000"/>
          <w:sz w:val="21"/>
          <w:szCs w:val="21"/>
          <w:highlight w:val="none"/>
          <w:lang w:val="en-US" w:eastAsia="zh-CN" w:bidi="ar-SA"/>
        </w:rPr>
        <w:t xml:space="preserve">工程开工报审表的期限：</w:t>
      </w:r>
      <w:r>
        <w:rPr>
          <w:rFonts w:hint="eastAsia" w:ascii="宋体" w:hAnsi="宋体" w:eastAsia="宋体" w:cs="宋体"/>
          <w:color w:val="000000"/>
          <w:sz w:val="21"/>
          <w:szCs w:val="21"/>
          <w:highlight w:val="none"/>
          <w:u w:val="single"/>
          <w:lang w:val="en-US" w:eastAsia="zh-CN" w:bidi="ar-SA"/>
        </w:rPr>
        <w:t xml:space="preserve"> 工程开工前向监理人提交工程开工报审表，经监理人报发包人批准后执行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关于发包人应完成的其他开工准备工作及期限：</w:t>
      </w:r>
      <w:r>
        <w:rPr>
          <w:rFonts w:hint="eastAsia" w:ascii="宋体" w:hAnsi="宋体" w:eastAsia="宋体" w:cs="宋体"/>
          <w:color w:val="000000"/>
          <w:sz w:val="21"/>
          <w:szCs w:val="21"/>
          <w:highlight w:val="none"/>
          <w:u w:val="single"/>
          <w:lang w:val="en-US" w:eastAsia="zh-CN" w:bidi="ar-SA"/>
        </w:rPr>
        <w:t xml:space="preserve"> 开工前获得工程施工所需的许可</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关于承包人应完成的其他开工准备工作及期限：</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7.3.2开工通知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因发包人原因造成监理人未能在计划开工日期之日起</w:t>
      </w:r>
      <w:r>
        <w:rPr>
          <w:rFonts w:hint="eastAsia" w:ascii="宋体" w:hAnsi="宋体" w:eastAsia="宋体" w:cs="宋体"/>
          <w:color w:val="000000"/>
          <w:sz w:val="21"/>
          <w:szCs w:val="21"/>
          <w:highlight w:val="none"/>
          <w:u w:val="single"/>
          <w:lang w:val="en-US" w:eastAsia="zh-CN" w:bidi="ar-SA"/>
        </w:rPr>
        <w:t xml:space="preserve"> 90 </w:t>
      </w:r>
      <w:r>
        <w:rPr>
          <w:rFonts w:hint="eastAsia" w:ascii="宋体" w:hAnsi="宋体" w:eastAsia="宋体" w:cs="宋体"/>
          <w:color w:val="000000"/>
          <w:sz w:val="21"/>
          <w:szCs w:val="21"/>
          <w:highlight w:val="none"/>
          <w:lang w:val="en-US" w:eastAsia="zh-CN" w:bidi="ar-SA"/>
        </w:rPr>
        <w:t xml:space="preserve">天内发出开工通知的，承包人有权提出价格调整要求，或者解除合同。</w:t>
      </w:r>
      <w:bookmarkEnd w:id="287"/>
      <w:r/>
      <w:bookmarkEnd w:id="288"/>
      <w:r/>
      <w:bookmarkEnd w:id="289"/>
      <w:r/>
      <w:bookmarkEnd w:id="290"/>
      <w:r/>
      <w:bookmarkEnd w:id="291"/>
      <w:r/>
      <w:bookmarkEnd w:id="292"/>
      <w:r/>
      <w:bookmarkEnd w:id="293"/>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7.4 测量放线</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lang w:val="en-US" w:eastAsia="zh-CN" w:bidi="ar-SA"/>
        </w:rPr>
        <w:t xml:space="preserve">按通用条款执行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w:t>
      </w:r>
      <w:bookmarkStart w:id="294" w:name="_Toc304295546"/>
      <w:r/>
      <w:bookmarkStart w:id="295" w:name="_Toc312678010"/>
      <w:r/>
      <w:bookmarkStart w:id="296" w:name="_Toc312677484"/>
      <w:r/>
      <w:bookmarkStart w:id="297" w:name="_Toc297216175"/>
      <w:r/>
      <w:bookmarkStart w:id="298" w:name="_Toc300934968"/>
      <w:r/>
      <w:bookmarkStart w:id="299" w:name="_Toc297123516"/>
      <w:r/>
      <w:bookmarkStart w:id="300" w:name="_Toc303539125"/>
      <w:r>
        <w:rPr>
          <w:rFonts w:hint="eastAsia" w:ascii="宋体" w:hAnsi="宋体" w:eastAsia="宋体" w:cs="宋体"/>
          <w:bCs/>
          <w:color w:val="000000"/>
          <w:sz w:val="21"/>
          <w:szCs w:val="21"/>
          <w:highlight w:val="none"/>
          <w:lang w:val="en-US" w:eastAsia="zh-CN" w:bidi="ar-SA"/>
        </w:rPr>
        <w:t xml:space="preserve">.5 工期延误</w:t>
      </w:r>
      <w:bookmarkEnd w:id="294"/>
      <w:r/>
      <w:bookmarkEnd w:id="295"/>
      <w:r/>
      <w:bookmarkEnd w:id="296"/>
      <w:r/>
      <w:bookmarkEnd w:id="297"/>
      <w:r/>
      <w:bookmarkEnd w:id="298"/>
      <w:r/>
      <w:bookmarkEnd w:id="299"/>
      <w:r/>
      <w:bookmarkEnd w:id="300"/>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7.5.1 因发包人原因导致工期延误</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（7）因发包人原因导致工期延误的其他情形：</w:t>
      </w:r>
      <w:r>
        <w:rPr>
          <w:rFonts w:hint="eastAsia" w:ascii="宋体" w:hAnsi="宋体" w:eastAsia="宋体" w:cs="宋体"/>
          <w:color w:val="000000"/>
          <w:sz w:val="21"/>
          <w:szCs w:val="21"/>
          <w:highlight w:val="none"/>
          <w:u w:val="single"/>
          <w:lang w:val="en-US" w:eastAsia="zh-CN" w:bidi="ar-SA"/>
        </w:rPr>
        <w:t xml:space="preserve"> 由于发包人的原因和非承包人的责任停工的，工期顺延。虽有雨、雪、大风等不利的气候条件及不利的施工条件，视为有经验的承包人能合理预见到、不足以导致停工的，工期不得顺延且费用不得增加。</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bookmarkStart w:id="301" w:name="_Toc318581169"/>
      <w:r/>
      <w:bookmarkStart w:id="302" w:name="_Toc312677486"/>
      <w:r/>
      <w:bookmarkStart w:id="303" w:name="_Toc312678012"/>
      <w:r/>
      <w:bookmarkStart w:id="304" w:name="_Toc297216177"/>
      <w:r/>
      <w:bookmarkStart w:id="305" w:name="_Toc303539127"/>
      <w:r/>
      <w:bookmarkStart w:id="306" w:name="_Toc297123518"/>
      <w:r/>
      <w:bookmarkStart w:id="307" w:name="_Toc300934970"/>
      <w:r/>
      <w:bookmarkStart w:id="308" w:name="_Toc304295548"/>
      <w:r>
        <w:rPr>
          <w:rFonts w:hint="eastAsia" w:ascii="宋体" w:hAnsi="宋体" w:eastAsia="宋体" w:cs="宋体"/>
          <w:color w:val="000000"/>
          <w:sz w:val="21"/>
          <w:szCs w:val="21"/>
          <w:highlight w:val="none"/>
          <w:lang w:val="en-US" w:eastAsia="zh-CN" w:bidi="ar-SA"/>
        </w:rPr>
        <w:t xml:space="preserve">.5.2 因承包人原因导致工期延误</w:t>
      </w:r>
      <w:bookmarkEnd w:id="301"/>
      <w:r/>
      <w:bookmarkEnd w:id="302"/>
      <w:r/>
      <w:bookmarkEnd w:id="303"/>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w:t>
      </w:r>
      <w:bookmarkStart w:id="309" w:name="_Toc312677487"/>
      <w:r/>
      <w:bookmarkStart w:id="310" w:name="_Toc312678013"/>
      <w:r/>
      <w:bookmarkStart w:id="311" w:name="_Toc318581170"/>
      <w:r>
        <w:rPr>
          <w:rFonts w:hint="eastAsia" w:ascii="宋体" w:hAnsi="宋体" w:eastAsia="宋体" w:cs="宋体"/>
          <w:color w:val="000000"/>
          <w:sz w:val="21"/>
          <w:szCs w:val="21"/>
          <w:highlight w:val="none"/>
          <w:lang w:val="en-US" w:eastAsia="zh-CN" w:bidi="ar-SA"/>
        </w:rPr>
        <w:t xml:space="preserve">承包人原因造成工期延误，逾期竣工违约金的计算方法为：</w:t>
      </w:r>
      <w:r>
        <w:rPr>
          <w:rFonts w:hint="eastAsia" w:ascii="宋体" w:hAnsi="宋体" w:eastAsia="宋体" w:cs="宋体"/>
          <w:color w:val="000000"/>
          <w:sz w:val="21"/>
          <w:szCs w:val="21"/>
          <w:highlight w:val="none"/>
          <w:u w:val="single"/>
          <w:lang w:val="en-US" w:eastAsia="zh-CN" w:bidi="ar-SA"/>
        </w:rPr>
        <w:t xml:space="preserve">工期结束是指竣收验收完成，逾期违约每天支付违约金10000元/天，此违约金的支付不能免除承包人应完成工程的责任和合同规定的其他责任</w:t>
      </w:r>
      <w:r>
        <w:rPr>
          <w:rFonts w:hint="eastAsia" w:ascii="宋体" w:hAnsi="宋体" w:eastAsia="宋体" w:cs="宋体"/>
          <w:color w:val="000000"/>
          <w:sz w:val="21"/>
          <w:szCs w:val="21"/>
          <w:highlight w:val="none"/>
          <w:lang w:val="en-US" w:eastAsia="zh-CN" w:bidi="ar-SA"/>
        </w:rPr>
        <w:t xml:space="preserve">。</w:t>
      </w:r>
      <w:bookmarkEnd w:id="304"/>
      <w:r/>
      <w:bookmarkEnd w:id="305"/>
      <w:r/>
      <w:bookmarkEnd w:id="306"/>
      <w:r/>
      <w:bookmarkEnd w:id="307"/>
      <w:r/>
      <w:bookmarkEnd w:id="308"/>
      <w:r/>
      <w:bookmarkEnd w:id="309"/>
      <w:r/>
      <w:bookmarkEnd w:id="310"/>
      <w:r/>
      <w:bookmarkEnd w:id="31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因承包人原因造成工期延误，逾</w:t>
      </w:r>
      <w:bookmarkStart w:id="312" w:name="_Toc318581171"/>
      <w:r/>
      <w:bookmarkStart w:id="313" w:name="_Toc312678014"/>
      <w:r>
        <w:rPr>
          <w:rFonts w:hint="eastAsia" w:ascii="宋体" w:hAnsi="宋体" w:eastAsia="宋体" w:cs="宋体"/>
          <w:color w:val="000000"/>
          <w:sz w:val="21"/>
          <w:szCs w:val="21"/>
          <w:highlight w:val="none"/>
          <w:lang w:val="en-US" w:eastAsia="zh-CN" w:bidi="ar-SA"/>
        </w:rPr>
        <w:t xml:space="preserve">期竣工违约金的上限：</w:t>
      </w:r>
      <w:r>
        <w:rPr>
          <w:rFonts w:hint="eastAsia" w:ascii="宋体" w:hAnsi="宋体" w:eastAsia="宋体" w:cs="宋体"/>
          <w:color w:val="000000"/>
          <w:sz w:val="21"/>
          <w:szCs w:val="21"/>
          <w:highlight w:val="none"/>
          <w:u w:val="single"/>
          <w:lang w:val="en-US" w:eastAsia="zh-CN" w:bidi="ar-SA"/>
        </w:rPr>
        <w:t xml:space="preserve">逾期竣工违约金限额为合同价款的 20% </w:t>
      </w:r>
      <w:r>
        <w:rPr>
          <w:rFonts w:hint="eastAsia" w:ascii="宋体" w:hAnsi="宋体" w:eastAsia="宋体" w:cs="宋体"/>
          <w:color w:val="000000"/>
          <w:sz w:val="21"/>
          <w:szCs w:val="21"/>
          <w:highlight w:val="none"/>
          <w:lang w:val="en-US" w:eastAsia="zh-CN" w:bidi="ar-SA"/>
        </w:rPr>
        <w:t xml:space="preserve">。</w:t>
      </w:r>
      <w:bookmarkEnd w:id="312"/>
      <w:r/>
      <w:bookmarkEnd w:id="313"/>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w:t>
      </w:r>
      <w:bookmarkStart w:id="314" w:name="_Toc312678015"/>
      <w:r/>
      <w:bookmarkStart w:id="315" w:name="_Toc297123519"/>
      <w:r/>
      <w:bookmarkStart w:id="316" w:name="_Toc300934971"/>
      <w:r/>
      <w:bookmarkStart w:id="317" w:name="_Toc297216178"/>
      <w:r/>
      <w:bookmarkStart w:id="318" w:name="_Toc304295549"/>
      <w:r/>
      <w:bookmarkStart w:id="319" w:name="_Toc303539128"/>
      <w:r>
        <w:rPr>
          <w:rFonts w:hint="eastAsia" w:ascii="宋体" w:hAnsi="宋体" w:eastAsia="宋体" w:cs="宋体"/>
          <w:bCs/>
          <w:color w:val="000000"/>
          <w:sz w:val="21"/>
          <w:szCs w:val="21"/>
          <w:highlight w:val="none"/>
          <w:lang w:val="en-US" w:eastAsia="zh-CN" w:bidi="ar-SA"/>
        </w:rPr>
        <w:t xml:space="preserve">.6 不</w:t>
      </w:r>
      <w:bookmarkEnd w:id="314"/>
      <w:r/>
      <w:bookmarkEnd w:id="315"/>
      <w:r/>
      <w:bookmarkEnd w:id="316"/>
      <w:r/>
      <w:bookmarkEnd w:id="317"/>
      <w:r/>
      <w:bookmarkEnd w:id="318"/>
      <w:r/>
      <w:bookmarkEnd w:id="319"/>
      <w:r>
        <w:rPr>
          <w:rFonts w:hint="eastAsia" w:ascii="宋体" w:hAnsi="宋体" w:eastAsia="宋体" w:cs="宋体"/>
          <w:bCs/>
          <w:color w:val="000000"/>
          <w:sz w:val="21"/>
          <w:szCs w:val="21"/>
          <w:highlight w:val="none"/>
          <w:lang w:val="en-US" w:eastAsia="zh-CN" w:bidi="ar-SA"/>
        </w:rPr>
        <w:t xml:space="preserve">利物质条件</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bookmarkStart w:id="320" w:name="_Toc297216179"/>
      <w:r/>
      <w:bookmarkStart w:id="321" w:name="_Toc318581172"/>
      <w:r/>
      <w:bookmarkStart w:id="322" w:name="_Toc303539129"/>
      <w:r/>
      <w:bookmarkStart w:id="323" w:name="_Toc312678016"/>
      <w:r/>
      <w:bookmarkStart w:id="324" w:name="_Toc297123520"/>
      <w:r/>
      <w:bookmarkStart w:id="325" w:name="_Toc304295550"/>
      <w:r/>
      <w:bookmarkStart w:id="326" w:name="_Toc300934972"/>
      <w:r>
        <w:rPr>
          <w:rFonts w:hint="eastAsia" w:ascii="宋体" w:hAnsi="宋体" w:eastAsia="宋体" w:cs="宋体"/>
          <w:color w:val="000000"/>
          <w:sz w:val="21"/>
          <w:szCs w:val="21"/>
          <w:highlight w:val="none"/>
          <w:lang w:val="en-US" w:eastAsia="zh-CN" w:bidi="ar-SA"/>
        </w:rPr>
        <w:t xml:space="preserve">不利物质条件的其他情形和有关约定:</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bookmarkEnd w:id="320"/>
      <w:r/>
      <w:bookmarkEnd w:id="321"/>
      <w:r/>
      <w:bookmarkEnd w:id="322"/>
      <w:r/>
      <w:bookmarkEnd w:id="323"/>
      <w:r/>
      <w:bookmarkEnd w:id="324"/>
      <w:r/>
      <w:bookmarkEnd w:id="325"/>
      <w:r/>
      <w:bookmarkEnd w:id="326"/>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w:t>
      </w:r>
      <w:bookmarkStart w:id="327" w:name="_Toc312678017"/>
      <w:r/>
      <w:bookmarkStart w:id="328" w:name="_Toc297123521"/>
      <w:r/>
      <w:bookmarkStart w:id="329" w:name="_Toc303539130"/>
      <w:r/>
      <w:bookmarkStart w:id="330" w:name="_Toc300934973"/>
      <w:r/>
      <w:bookmarkStart w:id="331" w:name="_Toc304295551"/>
      <w:r/>
      <w:bookmarkStart w:id="332" w:name="_Toc297216180"/>
      <w:r>
        <w:rPr>
          <w:rFonts w:hint="eastAsia" w:ascii="宋体" w:hAnsi="宋体" w:eastAsia="宋体" w:cs="宋体"/>
          <w:bCs/>
          <w:color w:val="000000"/>
          <w:sz w:val="21"/>
          <w:szCs w:val="21"/>
          <w:highlight w:val="none"/>
          <w:lang w:val="en-US" w:eastAsia="zh-CN" w:bidi="ar-SA"/>
        </w:rPr>
        <w:t xml:space="preserve">.7异常恶劣的气候条件</w:t>
      </w:r>
      <w:bookmarkEnd w:id="327"/>
      <w:r/>
      <w:bookmarkEnd w:id="328"/>
      <w:r/>
      <w:bookmarkEnd w:id="329"/>
      <w:r/>
      <w:bookmarkEnd w:id="330"/>
      <w:r/>
      <w:bookmarkEnd w:id="331"/>
      <w:r/>
      <w:bookmarkEnd w:id="332"/>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发包人和承包人同意以下情形视为异常恶劣的气候条件：</w:t>
      </w:r>
      <w:r/>
    </w:p>
    <w:p>
      <w:pPr>
        <w:numPr>
          <w:ilvl w:val="0"/>
          <w:numId w:val="4"/>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风力达到或超过8级的天气现象；地震震级达到5 级及以上的自然现象等；</w:t>
      </w:r>
      <w:r/>
    </w:p>
    <w:p>
      <w:pPr>
        <w:numPr>
          <w:ilvl w:val="0"/>
          <w:numId w:val="4"/>
        </w:num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u w:val="single"/>
          <w:lang w:val="en-US" w:eastAsia="zh-CN" w:bidi="ar-SA"/>
        </w:rPr>
        <w:t xml:space="preserve">日降水量大于80mm 且降水持续三日的天气现象</w:t>
      </w:r>
      <w:r>
        <w:rPr>
          <w:rFonts w:hint="eastAsia" w:ascii="宋体" w:hAnsi="宋体" w:eastAsia="宋体" w:cs="宋体"/>
          <w:color w:val="000000"/>
          <w:sz w:val="21"/>
          <w:szCs w:val="21"/>
          <w:highlight w:val="none"/>
          <w:lang w:val="en-US" w:eastAsia="zh-CN" w:bidi="ar-SA"/>
        </w:rPr>
        <w:t xml:space="preserve">；</w:t>
      </w:r>
      <w:r/>
    </w:p>
    <w:p>
      <w:pPr>
        <w:numPr>
          <w:ilvl w:val="0"/>
          <w:numId w:val="4"/>
        </w:num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u w:val="single"/>
          <w:lang w:val="en-US" w:eastAsia="zh-CN" w:bidi="ar-SA"/>
        </w:rPr>
        <w:t xml:space="preserve">日降雪量大于10mm 且降雪持续三日的天气现象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 </w:t>
      </w:r>
      <w:r>
        <w:rPr>
          <w:rFonts w:hint="eastAsia" w:ascii="宋体" w:hAnsi="宋体" w:eastAsia="宋体" w:cs="宋体"/>
          <w:color w:val="000000"/>
          <w:sz w:val="21"/>
          <w:szCs w:val="21"/>
          <w:highlight w:val="none"/>
          <w:u w:val="single"/>
          <w:lang w:val="en-US" w:eastAsia="zh-CN" w:bidi="ar-SA"/>
        </w:rPr>
        <w:t xml:space="preserve">地震震级达到5 级及以上的自然现象等；</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7.8 提前竣工的奖励</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7.8.2提前竣工的奖励：</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333" w:name="_Toc351203640"/>
      <w:r>
        <w:rPr>
          <w:rFonts w:hint="eastAsia" w:ascii="宋体" w:hAnsi="宋体" w:eastAsia="宋体" w:cs="宋体"/>
          <w:b/>
          <w:bCs/>
          <w:color w:val="000000"/>
          <w:sz w:val="21"/>
          <w:szCs w:val="21"/>
          <w:highlight w:val="none"/>
          <w:lang w:val="en-US" w:eastAsia="zh-CN" w:bidi="ar-SA"/>
        </w:rPr>
        <w:t xml:space="preserve">8. 材料与设备</w:t>
      </w:r>
      <w:bookmarkEnd w:id="333"/>
      <w:r/>
      <w:bookmarkEnd w:id="268"/>
      <w:r/>
      <w:bookmarkEnd w:id="269"/>
      <w:r/>
      <w:bookmarkEnd w:id="270"/>
      <w:r/>
      <w:bookmarkEnd w:id="271"/>
      <w:r/>
      <w:bookmarkEnd w:id="272"/>
      <w:r/>
      <w:bookmarkEnd w:id="273"/>
      <w:r/>
      <w:bookmarkEnd w:id="274"/>
      <w:r/>
      <w:bookmarkEnd w:id="275"/>
      <w:r/>
      <w:bookmarkEnd w:id="276"/>
      <w:r/>
      <w:bookmarkEnd w:id="277"/>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8</w:t>
      </w:r>
      <w:bookmarkStart w:id="334" w:name="_Toc296891207"/>
      <w:r/>
      <w:bookmarkStart w:id="335" w:name="_Toc304295556"/>
      <w:r/>
      <w:bookmarkStart w:id="336" w:name="_Toc297123527"/>
      <w:r/>
      <w:bookmarkStart w:id="337" w:name="_Toc297048353"/>
      <w:r/>
      <w:bookmarkStart w:id="338" w:name="_Toc296944506"/>
      <w:r/>
      <w:bookmarkStart w:id="339" w:name="_Toc296890995"/>
      <w:r/>
      <w:bookmarkStart w:id="340" w:name="_Toc297216186"/>
      <w:r/>
      <w:bookmarkStart w:id="341" w:name="_Toc292559877"/>
      <w:r/>
      <w:bookmarkStart w:id="342" w:name="_Toc312677493"/>
      <w:r/>
      <w:bookmarkStart w:id="343" w:name="_Toc280868654"/>
      <w:r/>
      <w:bookmarkStart w:id="344" w:name="_Toc297120467"/>
      <w:r/>
      <w:bookmarkStart w:id="345" w:name="_Toc292559372"/>
      <w:r/>
      <w:bookmarkStart w:id="346" w:name="_Toc300934979"/>
      <w:r/>
      <w:bookmarkStart w:id="347" w:name="_Toc312678019"/>
      <w:r/>
      <w:bookmarkStart w:id="348" w:name="_Toc296347166"/>
      <w:r/>
      <w:bookmarkStart w:id="349" w:name="_Toc296503167"/>
      <w:r/>
      <w:bookmarkStart w:id="350" w:name="_Toc296346668"/>
      <w:r/>
      <w:bookmarkStart w:id="351" w:name="_Toc303539136"/>
      <w:r/>
      <w:bookmarkStart w:id="352" w:name="_Toc280868656"/>
      <w:r/>
      <w:bookmarkStart w:id="353" w:name="_Toc267251424"/>
      <w:r/>
      <w:bookmarkStart w:id="354" w:name="_Toc280868655"/>
      <w:r>
        <w:rPr>
          <w:rFonts w:hint="eastAsia" w:ascii="宋体" w:hAnsi="宋体" w:eastAsia="宋体" w:cs="宋体"/>
          <w:bCs/>
          <w:color w:val="000000"/>
          <w:sz w:val="21"/>
          <w:szCs w:val="21"/>
          <w:highlight w:val="none"/>
          <w:lang w:val="en-US" w:eastAsia="zh-CN" w:bidi="ar-SA"/>
        </w:rPr>
        <w:t xml:space="preserve">.1材料与工程设备的保管与使用</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bookmarkStart w:id="355" w:name="_Toc292559373"/>
      <w:r/>
      <w:bookmarkStart w:id="356" w:name="_Toc292559878"/>
      <w:r/>
      <w:bookmarkStart w:id="357" w:name="_Toc300934980"/>
      <w:r/>
      <w:bookmarkStart w:id="358" w:name="_Toc296503168"/>
      <w:r/>
      <w:bookmarkStart w:id="359" w:name="_Toc297216187"/>
      <w:r/>
      <w:bookmarkStart w:id="360" w:name="_Toc296891208"/>
      <w:r/>
      <w:bookmarkStart w:id="361" w:name="_Toc318581173"/>
      <w:r/>
      <w:bookmarkStart w:id="362" w:name="_Toc297123528"/>
      <w:r/>
      <w:bookmarkStart w:id="363" w:name="_Toc296944507"/>
      <w:r/>
      <w:bookmarkStart w:id="364" w:name="_Toc312677494"/>
      <w:r/>
      <w:bookmarkStart w:id="365" w:name="_Toc312678020"/>
      <w:r/>
      <w:bookmarkStart w:id="366" w:name="_Toc296346669"/>
      <w:r/>
      <w:bookmarkStart w:id="367" w:name="_Toc296890996"/>
      <w:r/>
      <w:bookmarkStart w:id="368" w:name="_Toc304295557"/>
      <w:r/>
      <w:bookmarkStart w:id="369" w:name="_Toc296347167"/>
      <w:r/>
      <w:bookmarkStart w:id="370" w:name="_Toc297048354"/>
      <w:r/>
      <w:bookmarkStart w:id="371" w:name="_Toc303539137"/>
      <w:r/>
      <w:bookmarkStart w:id="372" w:name="_Toc297120468"/>
      <w:r>
        <w:rPr>
          <w:rFonts w:hint="eastAsia" w:ascii="宋体" w:hAnsi="宋体" w:eastAsia="宋体" w:cs="宋体"/>
          <w:color w:val="000000"/>
          <w:sz w:val="21"/>
          <w:szCs w:val="21"/>
          <w:highlight w:val="none"/>
          <w:lang w:val="en-US" w:eastAsia="zh-CN" w:bidi="ar-SA"/>
        </w:rPr>
        <w:t xml:space="preserve">.1.1发包人供应的材料设备的保管费用的承担：</w:t>
      </w:r>
      <w:r>
        <w:rPr>
          <w:rFonts w:hint="eastAsia" w:ascii="宋体" w:hAnsi="宋体" w:eastAsia="宋体" w:cs="宋体"/>
          <w:color w:val="000000"/>
          <w:sz w:val="21"/>
          <w:szCs w:val="21"/>
          <w:highlight w:val="none"/>
          <w:u w:val="single"/>
          <w:lang w:val="en-US" w:eastAsia="zh-CN" w:bidi="ar-SA"/>
        </w:rPr>
        <w:t xml:space="preserve">由承包人负责</w:t>
      </w:r>
      <w:r>
        <w:rPr>
          <w:rFonts w:hint="eastAsia" w:ascii="宋体" w:hAnsi="宋体" w:eastAsia="宋体" w:cs="宋体"/>
          <w:color w:val="000000"/>
          <w:sz w:val="21"/>
          <w:szCs w:val="21"/>
          <w:highlight w:val="none"/>
          <w:lang w:val="en-US" w:eastAsia="zh-CN" w:bidi="ar-SA"/>
        </w:rPr>
        <w:t xml:space="preserve">。</w:t>
      </w:r>
      <w:bookmarkEnd w:id="355"/>
      <w:r/>
      <w:bookmarkEnd w:id="356"/>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8.2 样品</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8.2.1样品的报送与封存</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8.3 施工设备和临时设施</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8.3.1 承包人提供的施工设备和临时设施</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关于修建临时设施费用承担的约定：</w:t>
      </w:r>
      <w:r>
        <w:rPr>
          <w:rFonts w:hint="eastAsia" w:ascii="宋体" w:hAnsi="宋体" w:eastAsia="宋体" w:cs="宋体"/>
          <w:color w:val="000000"/>
          <w:sz w:val="21"/>
          <w:szCs w:val="21"/>
          <w:highlight w:val="none"/>
          <w:u w:val="single"/>
          <w:lang w:val="en-US" w:eastAsia="zh-CN" w:bidi="ar-SA"/>
        </w:rPr>
        <w:t xml:space="preserve"> 承包人应自行承担修建临时设施的费用，需要临时占地的，应由发包人办理申请手续并承担相应费用  </w:t>
      </w:r>
      <w:r>
        <w:rPr>
          <w:rFonts w:hint="eastAsia" w:ascii="宋体" w:hAnsi="宋体" w:eastAsia="宋体" w:cs="宋体"/>
          <w:color w:val="000000"/>
          <w:sz w:val="21"/>
          <w:szCs w:val="21"/>
          <w:highlight w:val="none"/>
          <w:lang w:val="en-US" w:eastAsia="zh-CN" w:bidi="ar-SA"/>
        </w:rPr>
        <w:t xml:space="preserve">。</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left="0" w:firstLine="422"/>
        <w:jc w:val="both"/>
        <w:keepLines/>
        <w:keepNext/>
        <w:pageBreakBefore w:val="0"/>
        <w:spacing w:line="400" w:lineRule="exact"/>
        <w:widowControl w:val="off"/>
        <w:rPr>
          <w:rFonts w:hint="eastAsia" w:ascii="宋体" w:hAnsi="宋体" w:eastAsia="宋体" w:cs="宋体"/>
          <w:b/>
          <w:bCs/>
          <w:color w:val="000000"/>
          <w:sz w:val="21"/>
          <w:szCs w:val="21"/>
          <w:highlight w:val="none"/>
          <w:lang w:val="en-US" w:eastAsia="zh-CN" w:bidi="ar-SA"/>
        </w:rPr>
        <w:outlineLvl w:val="3"/>
      </w:pPr>
      <w:r/>
      <w:bookmarkStart w:id="373" w:name="_Toc351203641"/>
      <w:r>
        <w:rPr>
          <w:rFonts w:hint="eastAsia" w:ascii="宋体" w:hAnsi="宋体" w:eastAsia="宋体" w:cs="宋体"/>
          <w:b/>
          <w:bCs/>
          <w:color w:val="000000"/>
          <w:sz w:val="21"/>
          <w:szCs w:val="21"/>
          <w:highlight w:val="none"/>
          <w:lang w:val="en-US" w:eastAsia="zh-CN" w:bidi="ar-SA"/>
        </w:rPr>
        <w:t xml:space="preserve">9</w:t>
      </w:r>
      <w:bookmarkEnd w:id="352"/>
      <w:r/>
      <w:bookmarkEnd w:id="353"/>
      <w:r/>
      <w:bookmarkEnd w:id="354"/>
      <w:r/>
      <w:bookmarkStart w:id="374" w:name="_Toc304295559"/>
      <w:r/>
      <w:bookmarkStart w:id="375" w:name="_Toc297123533"/>
      <w:r/>
      <w:bookmarkStart w:id="376" w:name="_Toc312678021"/>
      <w:r/>
      <w:bookmarkStart w:id="377" w:name="_Toc297216192"/>
      <w:r/>
      <w:bookmarkStart w:id="378" w:name="_Toc312677495"/>
      <w:r/>
      <w:bookmarkStart w:id="379" w:name="_Toc303539139"/>
      <w:r/>
      <w:bookmarkStart w:id="380" w:name="_Toc300934982"/>
      <w:r/>
      <w:bookmarkStart w:id="381" w:name="_Toc296891213"/>
      <w:r/>
      <w:bookmarkStart w:id="382" w:name="_Toc296891001"/>
      <w:r/>
      <w:bookmarkStart w:id="383" w:name="_Toc296503173"/>
      <w:r/>
      <w:bookmarkStart w:id="384" w:name="_Toc297120473"/>
      <w:r/>
      <w:bookmarkStart w:id="385" w:name="_Toc267251428"/>
      <w:r/>
      <w:bookmarkStart w:id="386" w:name="_Toc292559883"/>
      <w:r/>
      <w:bookmarkStart w:id="387" w:name="_Toc267251427"/>
      <w:r/>
      <w:bookmarkStart w:id="388" w:name="_Toc297048359"/>
      <w:r/>
      <w:bookmarkStart w:id="389" w:name="_Toc292559378"/>
      <w:r/>
      <w:bookmarkStart w:id="390" w:name="_Toc296944512"/>
      <w:r/>
      <w:bookmarkStart w:id="391" w:name="_Toc296347172"/>
      <w:r/>
      <w:bookmarkStart w:id="392" w:name="_Toc296346674"/>
      <w:r>
        <w:rPr>
          <w:rFonts w:hint="eastAsia" w:ascii="宋体" w:hAnsi="宋体" w:eastAsia="宋体" w:cs="宋体"/>
          <w:b/>
          <w:bCs/>
          <w:color w:val="000000"/>
          <w:sz w:val="21"/>
          <w:szCs w:val="21"/>
          <w:highlight w:val="none"/>
          <w:lang w:val="en-US" w:eastAsia="zh-CN" w:bidi="ar-SA"/>
        </w:rPr>
        <w:t xml:space="preserve">. 试验与检验</w:t>
      </w:r>
      <w:bookmarkEnd w:id="373"/>
      <w:r/>
      <w:bookmarkEnd w:id="374"/>
      <w:r/>
      <w:bookmarkEnd w:id="375"/>
      <w:r/>
      <w:bookmarkEnd w:id="376"/>
      <w:r/>
      <w:bookmarkEnd w:id="377"/>
      <w:r/>
      <w:bookmarkEnd w:id="378"/>
      <w:r/>
      <w:bookmarkEnd w:id="379"/>
      <w:r/>
      <w:bookmarkEnd w:id="380"/>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9</w:t>
      </w:r>
      <w:bookmarkStart w:id="393" w:name="_Toc304295560"/>
      <w:r/>
      <w:bookmarkStart w:id="394" w:name="_Toc312677496"/>
      <w:r/>
      <w:bookmarkStart w:id="395" w:name="_Toc303539140"/>
      <w:r/>
      <w:bookmarkStart w:id="396" w:name="_Toc297123534"/>
      <w:r/>
      <w:bookmarkStart w:id="397" w:name="_Toc312678022"/>
      <w:r/>
      <w:bookmarkStart w:id="398" w:name="_Toc300934983"/>
      <w:r/>
      <w:bookmarkStart w:id="399" w:name="_Toc297216193"/>
      <w:r>
        <w:rPr>
          <w:rFonts w:hint="eastAsia" w:ascii="宋体" w:hAnsi="宋体" w:eastAsia="宋体" w:cs="宋体"/>
          <w:bCs/>
          <w:color w:val="000000"/>
          <w:sz w:val="21"/>
          <w:szCs w:val="21"/>
          <w:highlight w:val="none"/>
          <w:lang w:val="en-US" w:eastAsia="zh-CN" w:bidi="ar-SA"/>
        </w:rPr>
        <w:t xml:space="preserve">.1试验设备与试验人员</w:t>
      </w:r>
      <w:bookmarkEnd w:id="393"/>
      <w:r/>
      <w:bookmarkEnd w:id="394"/>
      <w:r/>
      <w:bookmarkEnd w:id="395"/>
      <w:r/>
      <w:bookmarkEnd w:id="396"/>
      <w:r/>
      <w:bookmarkEnd w:id="397"/>
      <w:r/>
      <w:bookmarkEnd w:id="398"/>
      <w:r/>
      <w:bookmarkEnd w:id="399"/>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bookmarkStart w:id="400" w:name="_Toc300934984"/>
      <w:r/>
      <w:bookmarkStart w:id="401" w:name="_Toc304295561"/>
      <w:r/>
      <w:bookmarkStart w:id="402" w:name="_Toc297123535"/>
      <w:r/>
      <w:bookmarkStart w:id="403" w:name="_Toc297216194"/>
      <w:r/>
      <w:bookmarkStart w:id="404" w:name="_Toc303539141"/>
      <w:r/>
      <w:bookmarkStart w:id="405" w:name="_Toc312678023"/>
      <w:r/>
      <w:bookmarkStart w:id="406" w:name="_Toc312677497"/>
      <w:r/>
      <w:bookmarkStart w:id="407" w:name="_Toc318581174"/>
      <w:r>
        <w:rPr>
          <w:rFonts w:hint="eastAsia" w:ascii="宋体" w:hAnsi="宋体" w:eastAsia="宋体" w:cs="宋体"/>
          <w:color w:val="000000"/>
          <w:sz w:val="21"/>
          <w:szCs w:val="21"/>
          <w:highlight w:val="none"/>
          <w:lang w:val="en-US" w:eastAsia="zh-CN" w:bidi="ar-SA"/>
        </w:rPr>
        <w:t xml:space="preserve">.1.1 试验设备</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施工现场需要配置的试验场所：</w:t>
      </w:r>
      <w:bookmarkEnd w:id="400"/>
      <w:r/>
      <w:bookmarkEnd w:id="401"/>
      <w:r/>
      <w:bookmarkEnd w:id="402"/>
      <w:r/>
      <w:bookmarkEnd w:id="403"/>
      <w:r/>
      <w:bookmarkEnd w:id="404"/>
      <w:r/>
      <w:bookmarkEnd w:id="405"/>
      <w:r/>
      <w:bookmarkEnd w:id="406"/>
      <w:r/>
      <w:bookmarkStart w:id="408" w:name="_Toc304295562"/>
      <w:r/>
      <w:bookmarkStart w:id="409" w:name="_Toc312678024"/>
      <w:r/>
      <w:bookmarkStart w:id="410" w:name="_Toc312677498"/>
      <w:r/>
      <w:bookmarkStart w:id="411" w:name="_Toc297123536"/>
      <w:r/>
      <w:bookmarkStart w:id="412" w:name="_Toc297216195"/>
      <w:r/>
      <w:bookmarkStart w:id="413" w:name="_Toc303539142"/>
      <w:r/>
      <w:bookmarkStart w:id="414" w:name="_Toc300934985"/>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施工现场需要配备的试验设备：</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施工现场需要具备的其他试验条件：</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9.2 现场工艺试验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现场工艺试验的有关约定：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bookmarkEnd w:id="407"/>
      <w:r/>
      <w:bookmarkEnd w:id="408"/>
      <w:r/>
      <w:bookmarkEnd w:id="409"/>
      <w:r/>
      <w:bookmarkEnd w:id="410"/>
      <w:r/>
      <w:bookmarkEnd w:id="411"/>
      <w:r/>
      <w:bookmarkEnd w:id="412"/>
      <w:r/>
      <w:bookmarkEnd w:id="413"/>
      <w:r/>
      <w:bookmarkEnd w:id="414"/>
      <w:r/>
      <w:bookmarkStart w:id="415" w:name="_Toc351203642"/>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numPr>
          <w:ilvl w:val="0"/>
          <w:numId w:val="5"/>
        </w:numPr>
        <w:ind w:left="0" w:firstLine="422"/>
        <w:jc w:val="both"/>
        <w:pageBreakBefore w:val="0"/>
        <w:spacing w:line="400" w:lineRule="exact"/>
        <w:widowControl w:val="off"/>
        <w:rPr>
          <w:rFonts w:hint="eastAsia" w:ascii="宋体" w:hAnsi="宋体" w:eastAsia="宋体" w:cs="宋体"/>
          <w:b/>
          <w:bCs/>
          <w:color w:val="000000"/>
          <w:sz w:val="21"/>
          <w:szCs w:val="21"/>
          <w:highlight w:val="none"/>
          <w:lang w:val="en-US" w:eastAsia="zh-CN" w:bidi="ar-SA"/>
        </w:rPr>
      </w:pPr>
      <w:r/>
      <w:bookmarkStart w:id="416" w:name="_Toc296503193"/>
      <w:r/>
      <w:bookmarkStart w:id="417" w:name="_Toc296346694"/>
      <w:r/>
      <w:bookmarkStart w:id="418" w:name="_Toc296891021"/>
      <w:r/>
      <w:bookmarkStart w:id="419" w:name="_Toc296891233"/>
      <w:r/>
      <w:bookmarkStart w:id="420" w:name="_Toc312677499"/>
      <w:r/>
      <w:bookmarkStart w:id="421" w:name="_Toc297123540"/>
      <w:r/>
      <w:bookmarkStart w:id="422" w:name="_Toc292559903"/>
      <w:r/>
      <w:bookmarkStart w:id="423" w:name="_Toc297120493"/>
      <w:r/>
      <w:bookmarkStart w:id="424" w:name="_Toc292559398"/>
      <w:r/>
      <w:bookmarkStart w:id="425" w:name="_Toc297216199"/>
      <w:r/>
      <w:bookmarkStart w:id="426" w:name="_Toc304295566"/>
      <w:r/>
      <w:bookmarkStart w:id="427" w:name="_Toc296944532"/>
      <w:r/>
      <w:bookmarkStart w:id="428" w:name="_Toc303539146"/>
      <w:r/>
      <w:bookmarkStart w:id="429" w:name="_Toc297048379"/>
      <w:r/>
      <w:bookmarkStart w:id="430" w:name="_Toc300934989"/>
      <w:r/>
      <w:bookmarkStart w:id="431" w:name="_Toc312678025"/>
      <w:r/>
      <w:bookmarkStart w:id="432" w:name="_Toc296347192"/>
      <w:r/>
      <w:bookmarkStart w:id="433" w:name="_Toc267251439"/>
      <w:r/>
      <w:bookmarkStart w:id="434" w:name="_Toc267251433"/>
      <w:r/>
      <w:bookmarkStart w:id="435" w:name="_Toc267251441"/>
      <w:r/>
      <w:bookmarkStart w:id="436" w:name="_Toc267251437"/>
      <w:r/>
      <w:bookmarkStart w:id="437" w:name="_Toc267251440"/>
      <w:r/>
      <w:bookmarkStart w:id="438" w:name="_Toc267251435"/>
      <w:r/>
      <w:bookmarkStart w:id="439" w:name="_Toc267251442"/>
      <w:r>
        <w:rPr>
          <w:rFonts w:hint="eastAsia" w:ascii="宋体" w:hAnsi="宋体" w:eastAsia="宋体" w:cs="宋体"/>
          <w:b/>
          <w:bCs/>
          <w:color w:val="000000"/>
          <w:sz w:val="21"/>
          <w:szCs w:val="21"/>
          <w:highlight w:val="none"/>
          <w:lang w:val="en-US" w:eastAsia="zh-CN" w:bidi="ar-SA"/>
        </w:rPr>
        <w:t xml:space="preserve">变更</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0"/>
          <w:numId w:val="0"/>
        </w:numPr>
        <w:ind w:left="0" w:firstLine="420"/>
        <w:jc w:val="both"/>
        <w:pageBreakBefore w:val="0"/>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bookmarkStart w:id="440" w:name="_Toc304295567"/>
      <w:r/>
      <w:bookmarkStart w:id="441" w:name="_Toc296891022"/>
      <w:r/>
      <w:bookmarkStart w:id="442" w:name="_Toc296503194"/>
      <w:r/>
      <w:bookmarkStart w:id="443" w:name="_Toc297123541"/>
      <w:r/>
      <w:bookmarkStart w:id="444" w:name="_Toc296944533"/>
      <w:r/>
      <w:bookmarkStart w:id="445" w:name="_Toc296891234"/>
      <w:r/>
      <w:bookmarkStart w:id="446" w:name="_Toc303539147"/>
      <w:r/>
      <w:bookmarkStart w:id="447" w:name="_Toc297120494"/>
      <w:r/>
      <w:bookmarkStart w:id="448" w:name="_Toc296346695"/>
      <w:r/>
      <w:bookmarkStart w:id="449" w:name="_Toc296347193"/>
      <w:r/>
      <w:bookmarkStart w:id="450" w:name="_Toc312678026"/>
      <w:r/>
      <w:bookmarkStart w:id="451" w:name="_Toc292559399"/>
      <w:r/>
      <w:bookmarkStart w:id="452" w:name="_Toc297048380"/>
      <w:r/>
      <w:bookmarkStart w:id="453" w:name="_Toc297216200"/>
      <w:r/>
      <w:bookmarkStart w:id="454" w:name="_Toc300934990"/>
      <w:r/>
      <w:bookmarkStart w:id="455" w:name="_Toc312677500"/>
      <w:r/>
      <w:bookmarkStart w:id="456" w:name="_Toc292559904"/>
      <w:r>
        <w:rPr>
          <w:rFonts w:hint="eastAsia" w:ascii="宋体" w:hAnsi="宋体" w:eastAsia="宋体" w:cs="宋体"/>
          <w:bCs/>
          <w:color w:val="000000"/>
          <w:sz w:val="21"/>
          <w:szCs w:val="21"/>
          <w:highlight w:val="none"/>
          <w:lang w:val="en-US" w:eastAsia="zh-CN" w:bidi="ar-SA"/>
        </w:rPr>
        <w:t xml:space="preserve">0.1变更的范围</w:t>
      </w:r>
      <w:r/>
    </w:p>
    <w:p>
      <w:pPr>
        <w:numPr>
          <w:ilvl w:val="0"/>
          <w:numId w:val="0"/>
        </w:numPr>
        <w:ind w:left="0" w:firstLine="420"/>
        <w:jc w:val="both"/>
        <w:pageBreakBefore w:val="0"/>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关于变更的范围的约定：</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1、设计变更需有设计部门的设计变更通知单，并经发包人现场负责人签字并由发包人单位盖章确认。</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2、承包人不得对原有工程设计进行变更，因承包人自身原因导致的工程变更，承包人无权要求追加合同价款，并承担由此给发包人带来的一切损失。</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3、因工程设计变更和工程量的增加，承包人提出顺延工期的申请，将不予批准。</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10.2 变更估价</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10.2.1 变更估价原则</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关于变更估价的约定，按以下情形确定综合单价：</w:t>
      </w:r>
      <w:r/>
    </w:p>
    <w:p>
      <w:pPr>
        <w:numPr>
          <w:ilvl w:val="0"/>
          <w:numId w:val="0"/>
        </w:num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（1）相同施工条件下实施相同项目特征的清单项目，直接采用相应的合同单价。</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（2）相同施工条件下实施类似项目特征的清单项目，或类似施工条件下实施相同项目特征的</w:t>
      </w:r>
      <w:r>
        <w:rPr>
          <w:rFonts w:hint="eastAsia" w:ascii="宋体" w:hAnsi="宋体" w:eastAsia="宋体" w:cs="宋体"/>
          <w:color w:val="auto"/>
          <w:sz w:val="21"/>
          <w:szCs w:val="21"/>
          <w:highlight w:val="none"/>
          <w:u w:val="single"/>
          <w:lang w:val="en-US" w:eastAsia="zh-CN" w:bidi="ar-SA"/>
        </w:rPr>
        <w:t xml:space="preserve">清单项目，采用换算调整后的综合单价。换算公式：调整后综合单价=类似项目合同单价－类似项目主材价格＋变更后主材价格。</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3）相同施工条件下实施不同项目特征的清单项目，或不同施工条件下实施相同项目特征的清单项目，或不同施工条件下实施不同项目特征的清单项目，依据GB/T50500-2024及苏建价〔2026〕76号文发布的《江苏省建筑与装饰工程消耗量》《江苏省市政工程消耗量》《江苏省通用安装工程消耗量》《江苏省建设工程费用参考》《江苏建设工程施工机具台班费用参考表》进行组价。组价后乘以中标下浮率作为结算单价。下浮率=(1-中标价/最高投标限价)×100%，不含暂列金额、专业工程暂估价、材料暂估价。</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上述（2）（3）条款中材料价格按以下顺序确定：</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①优先采用施工同期项目所在地设区市工程造价管理机构发布的市场价格信息；</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②若上述信息价未发布，则采用周边城市（徐州市、连云港市、淮安市）工程造价管理机构发布的市场价格信息，以上述城市中实际发布了有效数据的城市为基准，取其中的最低值；</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③若上述信息价均未发布，则按变更实施当期项目所在地同类材料的市场平均交易价格确定，具体以发包人（或其委托的造价咨询人）同期市场询价结果为准。</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（4）因减少或取消清单项目的工程变更，按以下方式处理：</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①被取消或减少的工作：按已标价工程量清单中的合同单价扣减。</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②取消或减少不调整合同单价，受影响的剩余项目仍按原合同单价执行。</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（5）因变更引起工程量偏差超过15%的，按专用条款1.13第（2）项的规定调整综合单价。</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10.4.2措施项目费的调整</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因工程变更引起合同工期实质性延长或缩短的，按GB/T50500-2024第8.9.4条执行，其中“措施项目中期运行费用”以承包人投标时提交的《措施项目费用分拆表》（表E.3.3）中“2.中期运行费用”列的合计金额为准。</w:t>
      </w:r>
      <w:r/>
    </w:p>
    <w:p>
      <w:pPr>
        <w:numPr>
          <w:ilvl w:val="0"/>
          <w:numId w:val="0"/>
        </w:num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为完成工程变更而需增加的额外措施项目，且该费用未包括在GB/T50500-2024第8.9.1条至第8.9.4条规定计价范围的，按GB/T50500-2024第8.9.5条的规定执行。</w:t>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Start w:id="457" w:name="_Toc297216203"/>
      <w:r/>
      <w:bookmarkStart w:id="458" w:name="_Toc292559907"/>
      <w:r/>
      <w:bookmarkStart w:id="459" w:name="_Toc296891237"/>
      <w:r/>
      <w:bookmarkStart w:id="460" w:name="_Toc297048383"/>
      <w:r/>
      <w:bookmarkStart w:id="461" w:name="_Toc297120497"/>
      <w:r/>
      <w:bookmarkStart w:id="462" w:name="_Toc296347196"/>
      <w:r/>
      <w:bookmarkStart w:id="463" w:name="_Toc297123544"/>
      <w:r/>
      <w:bookmarkStart w:id="464" w:name="_Toc296503197"/>
      <w:r/>
      <w:bookmarkStart w:id="465" w:name="_Toc292559402"/>
      <w:r/>
      <w:bookmarkStart w:id="466" w:name="_Toc296346698"/>
      <w:r/>
      <w:bookmarkStart w:id="467" w:name="_Toc296944536"/>
      <w:r/>
      <w:bookmarkStart w:id="468" w:name="_Toc303539150"/>
      <w:r/>
      <w:bookmarkStart w:id="469" w:name="_Toc296891025"/>
      <w:r/>
      <w:bookmarkStart w:id="470" w:name="_Toc300934993"/>
      <w:r/>
      <w:bookmarkStart w:id="471" w:name="_Toc312678029"/>
      <w:r/>
      <w:bookmarkStart w:id="472" w:name="_Toc312677503"/>
      <w:r/>
      <w:bookmarkStart w:id="473" w:name="_Toc304295570"/>
      <w:r>
        <w:rPr>
          <w:rFonts w:hint="eastAsia" w:ascii="宋体" w:hAnsi="宋体" w:eastAsia="宋体" w:cs="宋体"/>
          <w:bCs/>
          <w:color w:val="auto"/>
          <w:sz w:val="21"/>
          <w:szCs w:val="21"/>
          <w:highlight w:val="none"/>
          <w:lang w:val="en-US" w:eastAsia="zh-CN" w:bidi="ar-SA"/>
        </w:rPr>
        <w:t xml:space="preserve">0.3承</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74" w:name="_Toc292559913"/>
      <w:r/>
      <w:bookmarkStart w:id="475" w:name="_Toc296347202"/>
      <w:r/>
      <w:bookmarkStart w:id="476" w:name="_Toc297048389"/>
      <w:r/>
      <w:bookmarkStart w:id="477" w:name="_Toc296891031"/>
      <w:r/>
      <w:bookmarkStart w:id="478" w:name="_Toc292559408"/>
      <w:r/>
      <w:bookmarkStart w:id="479" w:name="_Toc296891243"/>
      <w:r/>
      <w:bookmarkStart w:id="480" w:name="_Toc296503203"/>
      <w:r/>
      <w:bookmarkStart w:id="481" w:name="_Toc296944542"/>
      <w:r/>
      <w:bookmarkStart w:id="482" w:name="_Toc300934994"/>
      <w:r/>
      <w:bookmarkStart w:id="483" w:name="_Toc296346704"/>
      <w:r/>
      <w:bookmarkStart w:id="484" w:name="_Toc297216204"/>
      <w:r/>
      <w:bookmarkStart w:id="485" w:name="_Toc297120503"/>
      <w:r/>
      <w:bookmarkStart w:id="486" w:name="_Toc297123545"/>
      <w:r/>
      <w:bookmarkStart w:id="487" w:name="_Toc303539151"/>
      <w:r>
        <w:rPr>
          <w:rFonts w:hint="eastAsia" w:ascii="宋体" w:hAnsi="宋体" w:eastAsia="宋体" w:cs="宋体"/>
          <w:bCs/>
          <w:color w:val="auto"/>
          <w:sz w:val="21"/>
          <w:szCs w:val="21"/>
          <w:highlight w:val="none"/>
          <w:lang w:val="en-US" w:eastAsia="zh-CN" w:bidi="ar-SA"/>
        </w:rPr>
        <w:t xml:space="preserve">包人的合理化建议</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监理人审查承包人合理化建议的期限：</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发包人审批承包人合理化建议的期限：</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w:t>
      </w:r>
      <w:bookmarkStart w:id="488" w:name="_Toc318581175"/>
      <w:r/>
      <w:bookmarkStart w:id="489" w:name="_Toc296891244"/>
      <w:r/>
      <w:bookmarkStart w:id="490" w:name="_Toc297120504"/>
      <w:r/>
      <w:bookmarkStart w:id="491" w:name="_Toc296503204"/>
      <w:r/>
      <w:bookmarkStart w:id="492" w:name="_Toc292559409"/>
      <w:r/>
      <w:bookmarkStart w:id="493" w:name="_Toc312677504"/>
      <w:r/>
      <w:bookmarkStart w:id="494" w:name="_Toc296346705"/>
      <w:r/>
      <w:bookmarkStart w:id="495" w:name="_Toc297216205"/>
      <w:r/>
      <w:bookmarkStart w:id="496" w:name="_Toc296891032"/>
      <w:r/>
      <w:bookmarkStart w:id="497" w:name="_Toc303539152"/>
      <w:r/>
      <w:bookmarkStart w:id="498" w:name="_Toc296347203"/>
      <w:r/>
      <w:bookmarkStart w:id="499" w:name="_Toc300934995"/>
      <w:r/>
      <w:bookmarkStart w:id="500" w:name="_Toc296944543"/>
      <w:r/>
      <w:bookmarkStart w:id="501" w:name="_Toc297048390"/>
      <w:r/>
      <w:bookmarkStart w:id="502" w:name="_Toc292559914"/>
      <w:r/>
      <w:bookmarkStart w:id="503" w:name="_Toc304295571"/>
      <w:r/>
      <w:bookmarkStart w:id="504" w:name="_Toc297123546"/>
      <w:r/>
      <w:bookmarkStart w:id="505" w:name="_Toc312678030"/>
      <w:r>
        <w:rPr>
          <w:rFonts w:hint="eastAsia" w:ascii="宋体" w:hAnsi="宋体" w:eastAsia="宋体" w:cs="宋体"/>
          <w:color w:val="auto"/>
          <w:sz w:val="21"/>
          <w:szCs w:val="21"/>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w:t>
      </w:r>
      <w:bookmarkStart w:id="506" w:name="_Toc296347198"/>
      <w:r/>
      <w:bookmarkStart w:id="507" w:name="_Toc312678033"/>
      <w:r/>
      <w:bookmarkStart w:id="508" w:name="_Toc296891239"/>
      <w:r/>
      <w:bookmarkStart w:id="509" w:name="_Toc300934997"/>
      <w:r/>
      <w:bookmarkStart w:id="510" w:name="_Toc303539154"/>
      <w:r/>
      <w:bookmarkStart w:id="511" w:name="_Toc292559404"/>
      <w:r/>
      <w:bookmarkStart w:id="512" w:name="_Toc297123548"/>
      <w:r/>
      <w:bookmarkStart w:id="513" w:name="_Toc304295574"/>
      <w:r/>
      <w:bookmarkStart w:id="514" w:name="_Toc296503199"/>
      <w:r/>
      <w:bookmarkStart w:id="515" w:name="_Toc297048385"/>
      <w:r/>
      <w:bookmarkStart w:id="516" w:name="_Toc296346700"/>
      <w:r/>
      <w:bookmarkStart w:id="517" w:name="_Toc312677507"/>
      <w:r/>
      <w:bookmarkStart w:id="518" w:name="_Toc296944538"/>
      <w:r/>
      <w:bookmarkStart w:id="519" w:name="_Toc297120499"/>
      <w:r/>
      <w:bookmarkStart w:id="520" w:name="_Toc296891027"/>
      <w:r/>
      <w:bookmarkStart w:id="521" w:name="_Toc292559909"/>
      <w:r/>
      <w:bookmarkStart w:id="522" w:name="_Toc297216207"/>
      <w:r>
        <w:rPr>
          <w:rFonts w:hint="eastAsia" w:ascii="宋体" w:hAnsi="宋体" w:eastAsia="宋体" w:cs="宋体"/>
          <w:bCs/>
          <w:color w:val="auto"/>
          <w:sz w:val="21"/>
          <w:szCs w:val="21"/>
          <w:highlight w:val="none"/>
          <w:lang w:val="en-US" w:eastAsia="zh-CN" w:bidi="ar-SA"/>
        </w:rPr>
        <w:t xml:space="preserve">0.4 暂估价</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暂</w:t>
      </w:r>
      <w:bookmarkStart w:id="523" w:name="_Toc318581176"/>
      <w:r/>
      <w:bookmarkStart w:id="524" w:name="_Toc312677508"/>
      <w:r/>
      <w:bookmarkStart w:id="525" w:name="_Toc312678034"/>
      <w:r>
        <w:rPr>
          <w:rFonts w:hint="eastAsia" w:ascii="宋体" w:hAnsi="宋体" w:eastAsia="宋体" w:cs="宋体"/>
          <w:color w:val="auto"/>
          <w:sz w:val="21"/>
          <w:szCs w:val="21"/>
          <w:highlight w:val="none"/>
          <w:lang w:val="en-US" w:eastAsia="zh-CN" w:bidi="ar-SA"/>
        </w:rPr>
        <w:t xml:space="preserve">估价材料和工程设备的明细详见附件11：《</w:t>
      </w:r>
      <w:r>
        <w:rPr>
          <w:rFonts w:hint="eastAsia" w:ascii="宋体" w:hAnsi="宋体" w:eastAsia="宋体" w:cs="宋体"/>
          <w:color w:val="auto"/>
          <w:sz w:val="21"/>
          <w:szCs w:val="21"/>
          <w:highlight w:val="none"/>
          <w:lang w:val="en-US" w:eastAsia="zh-CN" w:bidi="ar-SA"/>
        </w:rPr>
        <w:t xml:space="preserve">暂估价一览表》</w:t>
      </w:r>
      <w:r>
        <w:rPr>
          <w:rFonts w:hint="eastAsia" w:ascii="宋体" w:hAnsi="宋体" w:eastAsia="宋体" w:cs="宋体"/>
          <w:color w:val="auto"/>
          <w:sz w:val="21"/>
          <w:szCs w:val="21"/>
          <w:highlight w:val="none"/>
          <w:lang w:val="en-US" w:eastAsia="zh-CN" w:bidi="ar-SA"/>
        </w:rPr>
        <w:t xml:space="preserve">。</w:t>
      </w:r>
      <w:bookmarkEnd w:id="523"/>
      <w:r/>
      <w:bookmarkEnd w:id="524"/>
      <w:r/>
      <w:bookmarkEnd w:id="525"/>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526" w:name="_Toc318581177"/>
      <w:r/>
      <w:bookmarkStart w:id="527" w:name="_Toc312677509"/>
      <w:r/>
      <w:bookmarkStart w:id="528" w:name="_Toc312678035"/>
      <w:r>
        <w:rPr>
          <w:rFonts w:hint="eastAsia" w:ascii="宋体" w:hAnsi="宋体" w:eastAsia="宋体" w:cs="宋体"/>
          <w:color w:val="auto"/>
          <w:sz w:val="21"/>
          <w:szCs w:val="21"/>
          <w:highlight w:val="none"/>
          <w:lang w:val="en-US" w:eastAsia="zh-CN" w:bidi="ar-SA"/>
        </w:rPr>
        <w:t xml:space="preserve">0.4.1 依法必须招标的暂估价项目</w:t>
      </w:r>
      <w:bookmarkEnd w:id="526"/>
      <w:r/>
      <w:bookmarkEnd w:id="527"/>
      <w:r/>
      <w:bookmarkEnd w:id="528"/>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种方式确定。</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10.4.2 不属于依法必须招标的暂估价项目</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对于不属于依法必须招标的暂估价项目的确认和批准采取第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种方式确定。</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第3种方式：</w:t>
      </w:r>
      <w:r>
        <w:rPr>
          <w:rFonts w:hint="eastAsia" w:ascii="宋体" w:hAnsi="宋体" w:eastAsia="宋体" w:cs="宋体"/>
          <w:color w:val="auto"/>
          <w:sz w:val="21"/>
          <w:szCs w:val="21"/>
          <w:highlight w:val="none"/>
          <w:lang w:val="en-US" w:eastAsia="zh-CN" w:bidi="ar-SA"/>
        </w:rPr>
        <w:t xml:space="preserve">承包人直接实施的暂估价项目</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承包人直接实施的暂估价项目的约定：</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10.5 暂列金额</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合同当事人关于暂列金额使用的约定：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0" w:firstLine="422"/>
        <w:jc w:val="both"/>
        <w:keepLines/>
        <w:keepNext/>
        <w:pageBreakBefore w:val="0"/>
        <w:spacing w:line="400" w:lineRule="exact"/>
        <w:widowControl w:val="off"/>
        <w:rPr>
          <w:rFonts w:hint="eastAsia" w:ascii="宋体" w:hAnsi="宋体" w:eastAsia="宋体" w:cs="宋体"/>
          <w:b/>
          <w:bCs/>
          <w:color w:val="auto"/>
          <w:sz w:val="21"/>
          <w:szCs w:val="21"/>
          <w:highlight w:val="none"/>
          <w:lang w:val="en-US" w:eastAsia="zh-CN" w:bidi="ar-SA"/>
        </w:rPr>
        <w:outlineLvl w:val="3"/>
      </w:pPr>
      <w:r/>
      <w:bookmarkStart w:id="529" w:name="_Toc351203643"/>
      <w:r>
        <w:rPr>
          <w:rFonts w:hint="eastAsia" w:ascii="宋体" w:hAnsi="宋体" w:eastAsia="宋体" w:cs="宋体"/>
          <w:b/>
          <w:bCs/>
          <w:color w:val="auto"/>
          <w:sz w:val="21"/>
          <w:szCs w:val="21"/>
          <w:highlight w:val="none"/>
          <w:lang w:val="en-US" w:eastAsia="zh-CN" w:bidi="ar-SA"/>
        </w:rPr>
        <w:t xml:space="preserve">11. 价格调整</w:t>
      </w:r>
      <w:bookmarkEnd w:id="529"/>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bookmarkStart w:id="530" w:name="_Toc292559911"/>
      <w:r/>
      <w:bookmarkStart w:id="531" w:name="_Toc297123550"/>
      <w:r/>
      <w:bookmarkStart w:id="532" w:name="_Toc297048387"/>
      <w:r/>
      <w:bookmarkStart w:id="533" w:name="_Toc297216209"/>
      <w:r/>
      <w:bookmarkStart w:id="534" w:name="_Toc303539157"/>
      <w:r/>
      <w:bookmarkStart w:id="535" w:name="_Toc300935000"/>
      <w:r/>
      <w:bookmarkStart w:id="536" w:name="_Toc296944540"/>
      <w:r/>
      <w:bookmarkStart w:id="537" w:name="_Toc296891029"/>
      <w:r/>
      <w:bookmarkStart w:id="538" w:name="_Toc296346702"/>
      <w:r/>
      <w:bookmarkStart w:id="539" w:name="_Toc304295577"/>
      <w:r/>
      <w:bookmarkStart w:id="540" w:name="_Toc297120501"/>
      <w:r/>
      <w:bookmarkStart w:id="541" w:name="_Toc292559406"/>
      <w:r/>
      <w:bookmarkStart w:id="542" w:name="_Toc296891241"/>
      <w:r/>
      <w:bookmarkStart w:id="543" w:name="_Toc296347200"/>
      <w:r/>
      <w:bookmarkStart w:id="544" w:name="_Toc296503201"/>
      <w:r/>
      <w:bookmarkStart w:id="545" w:name="_Toc312678039"/>
      <w:r>
        <w:rPr>
          <w:rFonts w:hint="eastAsia" w:ascii="宋体" w:hAnsi="宋体" w:eastAsia="宋体" w:cs="宋体"/>
          <w:bCs/>
          <w:color w:val="auto"/>
          <w:sz w:val="21"/>
          <w:szCs w:val="21"/>
          <w:highlight w:val="none"/>
          <w:lang w:val="en-US" w:eastAsia="zh-CN" w:bidi="ar-SA"/>
        </w:rPr>
        <w:t xml:space="preserve">11.1 市场价格波动引起的调整</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市场价格波动是否调整合同价格的约定：</w:t>
      </w:r>
      <w:r>
        <w:rPr>
          <w:rFonts w:hint="eastAsia" w:ascii="宋体" w:hAnsi="宋体" w:eastAsia="宋体" w:cs="宋体"/>
          <w:color w:val="auto"/>
          <w:sz w:val="21"/>
          <w:szCs w:val="21"/>
          <w:highlight w:val="none"/>
          <w:u w:val="single"/>
          <w:lang w:val="en-US" w:eastAsia="zh-CN" w:bidi="ar-SA"/>
        </w:rPr>
        <w:t xml:space="preserve">不调整</w:t>
      </w:r>
      <w:r>
        <w:rPr>
          <w:rFonts w:hint="eastAsia" w:ascii="宋体" w:hAnsi="宋体" w:eastAsia="宋体" w:cs="宋体"/>
          <w:color w:val="auto"/>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本合同约定，因人工、主要材料、施工机具燃料动力费等市场物价波动引起的合同价格调整，均不予调整。上述物价风险已由承包人在投标报价中综合考虑，包含在综合单价及投标总价中，合同履行期间不因任何市场价格波动而调整合同价格。</w:t>
      </w:r>
      <w:bookmarkEnd w:id="433"/>
      <w:r/>
      <w:bookmarkEnd w:id="434"/>
      <w:r/>
      <w:bookmarkEnd w:id="435"/>
      <w:r/>
      <w:bookmarkEnd w:id="436"/>
      <w:r/>
      <w:bookmarkEnd w:id="437"/>
      <w:r/>
      <w:bookmarkEnd w:id="438"/>
      <w:r/>
      <w:r/>
    </w:p>
    <w:p>
      <w:pPr>
        <w:ind w:left="0" w:firstLine="422"/>
        <w:jc w:val="both"/>
        <w:keepLines/>
        <w:keepNext/>
        <w:pageBreakBefore w:val="0"/>
        <w:spacing w:line="400" w:lineRule="exact"/>
        <w:widowControl w:val="off"/>
        <w:rPr>
          <w:rFonts w:hint="eastAsia" w:ascii="宋体" w:hAnsi="宋体" w:eastAsia="宋体" w:cs="宋体"/>
          <w:b/>
          <w:bCs/>
          <w:color w:val="auto"/>
          <w:sz w:val="21"/>
          <w:szCs w:val="21"/>
          <w:highlight w:val="none"/>
          <w:lang w:val="en-US" w:eastAsia="zh-CN" w:bidi="ar-SA"/>
        </w:rPr>
        <w:outlineLvl w:val="3"/>
      </w:pPr>
      <w:r/>
      <w:bookmarkStart w:id="546" w:name="_Toc296503205"/>
      <w:r/>
      <w:bookmarkStart w:id="547" w:name="_Toc296891245"/>
      <w:r/>
      <w:bookmarkStart w:id="548" w:name="_Toc296891033"/>
      <w:r/>
      <w:bookmarkStart w:id="549" w:name="_Toc292559410"/>
      <w:r/>
      <w:bookmarkStart w:id="550" w:name="_Toc296347204"/>
      <w:r/>
      <w:bookmarkStart w:id="551" w:name="_Toc296346706"/>
      <w:r/>
      <w:bookmarkStart w:id="552" w:name="_Toc297048391"/>
      <w:r/>
      <w:bookmarkStart w:id="553" w:name="_Toc297120505"/>
      <w:r/>
      <w:bookmarkStart w:id="554" w:name="_Toc296944544"/>
      <w:r/>
      <w:bookmarkStart w:id="555" w:name="_Toc292559915"/>
      <w:r/>
      <w:bookmarkStart w:id="556" w:name="_Toc351203644"/>
      <w:r/>
      <w:bookmarkStart w:id="557" w:name="_Toc303539159"/>
      <w:r/>
      <w:bookmarkStart w:id="558" w:name="_Toc297216211"/>
      <w:r/>
      <w:bookmarkStart w:id="559" w:name="_Toc304295579"/>
      <w:r/>
      <w:bookmarkStart w:id="560" w:name="_Toc300935002"/>
      <w:r/>
      <w:bookmarkStart w:id="561" w:name="_Toc297123552"/>
      <w:r/>
      <w:bookmarkStart w:id="562" w:name="_Toc312678040"/>
      <w:r>
        <w:rPr>
          <w:rFonts w:hint="eastAsia" w:ascii="宋体" w:hAnsi="宋体" w:eastAsia="宋体" w:cs="宋体"/>
          <w:b/>
          <w:bCs/>
          <w:color w:val="auto"/>
          <w:sz w:val="21"/>
          <w:szCs w:val="21"/>
          <w:highlight w:val="none"/>
          <w:lang w:val="en-US" w:eastAsia="zh-CN" w:bidi="ar-SA"/>
        </w:rPr>
        <w:t xml:space="preserve">12. </w:t>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b/>
          <w:bCs/>
          <w:color w:val="auto"/>
          <w:sz w:val="21"/>
          <w:szCs w:val="21"/>
          <w:highlight w:val="none"/>
          <w:lang w:val="en-US" w:eastAsia="zh-CN" w:bidi="ar-SA"/>
        </w:rPr>
        <w:t xml:space="preserve">合同价格、计量与支付</w:t>
      </w:r>
      <w:bookmarkEnd w:id="556"/>
      <w:r/>
      <w:bookmarkEnd w:id="557"/>
      <w:r/>
      <w:bookmarkEnd w:id="558"/>
      <w:r/>
      <w:bookmarkEnd w:id="559"/>
      <w:r/>
      <w:bookmarkEnd w:id="560"/>
      <w:r/>
      <w:bookmarkEnd w:id="561"/>
      <w:r/>
      <w:bookmarkEnd w:id="562"/>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bookmarkStart w:id="563" w:name="_Toc292559916"/>
      <w:r/>
      <w:bookmarkStart w:id="564" w:name="_Toc267251461"/>
      <w:r/>
      <w:bookmarkStart w:id="565" w:name="_Toc292559411"/>
      <w:r/>
      <w:bookmarkStart w:id="566" w:name="_Toc296891034"/>
      <w:r/>
      <w:bookmarkStart w:id="567" w:name="_Toc297120506"/>
      <w:r/>
      <w:bookmarkStart w:id="568" w:name="_Toc297048392"/>
      <w:r/>
      <w:bookmarkStart w:id="569" w:name="_Toc296346707"/>
      <w:r/>
      <w:bookmarkStart w:id="570" w:name="_Toc296891246"/>
      <w:r/>
      <w:bookmarkStart w:id="571" w:name="_Toc296347205"/>
      <w:r/>
      <w:bookmarkStart w:id="572" w:name="_Toc296503206"/>
      <w:r/>
      <w:bookmarkStart w:id="573" w:name="_Toc296944545"/>
      <w:r/>
      <w:bookmarkStart w:id="574" w:name="_Toc303539160"/>
      <w:r/>
      <w:bookmarkStart w:id="575" w:name="_Toc297216212"/>
      <w:r/>
      <w:bookmarkStart w:id="576" w:name="_Toc312678041"/>
      <w:r/>
      <w:bookmarkStart w:id="577" w:name="_Toc304295580"/>
      <w:r/>
      <w:bookmarkStart w:id="578" w:name="_Toc300935003"/>
      <w:r/>
      <w:bookmarkStart w:id="579" w:name="_Toc297123553"/>
      <w:r>
        <w:rPr>
          <w:rFonts w:hint="eastAsia" w:ascii="宋体" w:hAnsi="宋体" w:eastAsia="宋体" w:cs="宋体"/>
          <w:bCs/>
          <w:color w:val="auto"/>
          <w:sz w:val="21"/>
          <w:szCs w:val="21"/>
          <w:highlight w:val="none"/>
          <w:lang w:val="en-US" w:eastAsia="zh-CN" w:bidi="ar-SA"/>
        </w:rPr>
        <w:t xml:space="preserve">12.1 合</w:t>
      </w:r>
      <w:bookmarkEnd w:id="563"/>
      <w:r/>
      <w:bookmarkEnd w:id="564"/>
      <w:r/>
      <w:bookmarkEnd w:id="565"/>
      <w:r>
        <w:rPr>
          <w:rFonts w:hint="eastAsia" w:ascii="宋体" w:hAnsi="宋体" w:eastAsia="宋体" w:cs="宋体"/>
          <w:bCs/>
          <w:color w:val="auto"/>
          <w:sz w:val="21"/>
          <w:szCs w:val="21"/>
          <w:highlight w:val="none"/>
          <w:lang w:val="en-US" w:eastAsia="zh-CN" w:bidi="ar-SA"/>
        </w:rPr>
        <w:t xml:space="preserve">同价</w:t>
      </w:r>
      <w:bookmarkEnd w:id="566"/>
      <w:r/>
      <w:bookmarkEnd w:id="567"/>
      <w:r/>
      <w:bookmarkEnd w:id="568"/>
      <w:r/>
      <w:bookmarkEnd w:id="569"/>
      <w:r/>
      <w:bookmarkEnd w:id="570"/>
      <w:r/>
      <w:bookmarkEnd w:id="571"/>
      <w:r/>
      <w:bookmarkEnd w:id="572"/>
      <w:r/>
      <w:bookmarkEnd w:id="573"/>
      <w:r>
        <w:rPr>
          <w:rFonts w:hint="eastAsia" w:ascii="宋体" w:hAnsi="宋体" w:eastAsia="宋体" w:cs="宋体"/>
          <w:bCs/>
          <w:color w:val="auto"/>
          <w:sz w:val="21"/>
          <w:szCs w:val="21"/>
          <w:highlight w:val="none"/>
          <w:lang w:val="en-US" w:eastAsia="zh-CN" w:bidi="ar-SA"/>
        </w:rPr>
        <w:t xml:space="preserve">格形式</w:t>
      </w:r>
      <w:bookmarkEnd w:id="574"/>
      <w:r/>
      <w:bookmarkEnd w:id="575"/>
      <w:r/>
      <w:bookmarkEnd w:id="576"/>
      <w:r/>
      <w:bookmarkEnd w:id="577"/>
      <w:r/>
      <w:bookmarkEnd w:id="578"/>
      <w:r/>
      <w:bookmarkEnd w:id="579"/>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w:t>
      </w:r>
      <w:r/>
    </w:p>
    <w:p>
      <w:pPr>
        <w:ind w:left="0" w:firstLine="420"/>
        <w:jc w:val="both"/>
        <w:pageBreakBefore w:val="0"/>
        <w:spacing w:line="400" w:lineRule="exact"/>
        <w:widowControl w:val="off"/>
        <w:rPr>
          <w:rFonts w:hint="eastAsia" w:ascii="Calibri" w:hAnsi="Calibri" w:eastAsia="Times New Roman" w:cs="Times New Roman"/>
          <w:color w:val="auto"/>
          <w:sz w:val="21"/>
          <w:szCs w:val="22"/>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综合单价包含的风险范围：</w:t>
      </w:r>
      <w:r>
        <w:rPr>
          <w:rFonts w:hint="eastAsia" w:ascii="Calibri" w:hAnsi="Calibri" w:eastAsia="Times New Roman" w:cs="Times New Roman"/>
          <w:color w:val="auto"/>
          <w:sz w:val="21"/>
          <w:szCs w:val="22"/>
          <w:highlight w:val="none"/>
          <w:u w:val="single"/>
          <w:lang w:val="en-US" w:eastAsia="zh-CN" w:bidi="ar-SA"/>
        </w:rPr>
        <w:t xml:space="preserve">包括但不限于合同履行期间人工、材料、机械等全部市场价格波动，以及措施项目费用包干、施工方案调整等所有可预见的风险。风险费用已包含在综合单价中。</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风险费用的计算方法：</w:t>
      </w:r>
      <w:r>
        <w:rPr>
          <w:rFonts w:hint="eastAsia" w:ascii="宋体" w:hAnsi="宋体" w:eastAsia="宋体" w:cs="宋体"/>
          <w:color w:val="auto"/>
          <w:sz w:val="21"/>
          <w:szCs w:val="21"/>
          <w:highlight w:val="none"/>
          <w:u w:val="single"/>
          <w:lang w:val="en-US" w:eastAsia="zh-CN" w:bidi="ar-SA"/>
        </w:rPr>
        <w:t xml:space="preserve">风险费用已包含在投标报价的综合单价及总价中，不单独列项</w:t>
      </w:r>
      <w:r>
        <w:rPr>
          <w:rFonts w:hint="eastAsia" w:ascii="宋体" w:hAnsi="宋体" w:eastAsia="宋体" w:cs="宋体"/>
          <w:color w:val="auto"/>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color w:val="auto"/>
          <w:sz w:val="21"/>
          <w:szCs w:val="21"/>
          <w:highlight w:val="none"/>
          <w:u w:val="single"/>
          <w:lang w:val="en-US" w:eastAsia="zh-CN" w:bidi="ar-SA"/>
        </w:rPr>
        <w:outlineLvl w:val="4"/>
      </w:pPr>
      <w:r>
        <w:rPr>
          <w:rFonts w:hint="eastAsia" w:ascii="宋体" w:hAnsi="宋体" w:eastAsia="宋体" w:cs="宋体"/>
          <w:color w:val="auto"/>
          <w:sz w:val="21"/>
          <w:szCs w:val="21"/>
          <w:highlight w:val="none"/>
          <w:lang w:val="en-US" w:eastAsia="zh-CN" w:bidi="ar-SA"/>
        </w:rPr>
        <w:t xml:space="preserve">风险范围以外合同价格的调整方法：</w:t>
      </w:r>
      <w:bookmarkStart w:id="580" w:name="_Toc304295581"/>
      <w:r/>
      <w:bookmarkStart w:id="581" w:name="_Toc312678042"/>
      <w:r/>
      <w:bookmarkStart w:id="582" w:name="_Toc300935004"/>
      <w:r/>
      <w:bookmarkStart w:id="583" w:name="_Toc297216213"/>
      <w:r/>
      <w:bookmarkStart w:id="584" w:name="_Toc297123554"/>
      <w:r/>
      <w:bookmarkStart w:id="585" w:name="_Toc303539161"/>
      <w:r/>
      <w:bookmarkStart w:id="586" w:name="_Toc297120507"/>
      <w:r/>
      <w:bookmarkStart w:id="587" w:name="_Toc296347206"/>
      <w:r/>
      <w:bookmarkStart w:id="588" w:name="_Toc297048393"/>
      <w:r/>
      <w:bookmarkStart w:id="589" w:name="_Toc296891247"/>
      <w:r/>
      <w:bookmarkStart w:id="590" w:name="_Toc296503207"/>
      <w:r/>
      <w:bookmarkStart w:id="591" w:name="_Toc296891035"/>
      <w:r/>
      <w:bookmarkStart w:id="592" w:name="_Toc292559917"/>
      <w:r/>
      <w:bookmarkStart w:id="593" w:name="_Toc296346708"/>
      <w:r/>
      <w:bookmarkStart w:id="594" w:name="_Toc296944546"/>
      <w:r/>
      <w:bookmarkStart w:id="595" w:name="_Toc292559412"/>
      <w:r>
        <w:rPr>
          <w:rFonts w:hint="eastAsia" w:ascii="宋体" w:hAnsi="宋体" w:eastAsia="宋体" w:cs="宋体"/>
          <w:color w:val="auto"/>
          <w:sz w:val="21"/>
          <w:szCs w:val="21"/>
          <w:highlight w:val="none"/>
          <w:u w:val="single"/>
          <w:lang w:val="en-US" w:eastAsia="zh-CN" w:bidi="ar-SA"/>
        </w:rPr>
        <w:t xml:space="preserve">除工程变更、工程量清单缺陷外，合同价格不予调整。按项计价的措施项目实行总价包干。</w:t>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12.2 预付款</w:t>
      </w:r>
      <w:bookmarkEnd w:id="580"/>
      <w:r/>
      <w:bookmarkEnd w:id="581"/>
      <w:r/>
      <w:bookmarkEnd w:id="582"/>
      <w:r/>
      <w:bookmarkEnd w:id="583"/>
      <w:r/>
      <w:bookmarkEnd w:id="584"/>
      <w:r/>
      <w:bookmarkEnd w:id="585"/>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12.2.2 预付款担保</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承包人提交预付款担保的期限：</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预付款担保的形式为：</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bookmarkEnd w:id="586"/>
      <w:r/>
      <w:bookmarkEnd w:id="587"/>
      <w:r/>
      <w:bookmarkEnd w:id="588"/>
      <w:r/>
      <w:bookmarkEnd w:id="589"/>
      <w:r/>
      <w:bookmarkEnd w:id="590"/>
      <w:r/>
      <w:bookmarkEnd w:id="591"/>
      <w:r/>
      <w:bookmarkEnd w:id="592"/>
      <w:r/>
      <w:bookmarkEnd w:id="593"/>
      <w:r/>
      <w:bookmarkEnd w:id="594"/>
      <w:r/>
      <w:bookmarkEnd w:id="595"/>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12.3 计量</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12.3.1 计量原则</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工程量计算规则：</w:t>
      </w:r>
      <w:r>
        <w:rPr>
          <w:rFonts w:hint="eastAsia" w:ascii="宋体" w:hAnsi="宋体" w:eastAsia="宋体" w:cs="宋体"/>
          <w:color w:val="auto"/>
          <w:sz w:val="21"/>
          <w:szCs w:val="21"/>
          <w:highlight w:val="none"/>
          <w:u w:val="single"/>
          <w:lang w:val="en-US" w:eastAsia="zh-CN" w:bidi="ar-SA"/>
        </w:rPr>
        <w:t xml:space="preserve">按规范要求执行</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12.3.2 计量周期</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关于计量周期的约定：</w:t>
      </w:r>
      <w:r>
        <w:rPr>
          <w:rFonts w:hint="eastAsia" w:ascii="宋体" w:hAnsi="宋体" w:eastAsia="宋体" w:cs="宋体"/>
          <w:color w:val="auto"/>
          <w:sz w:val="21"/>
          <w:szCs w:val="21"/>
          <w:highlight w:val="none"/>
          <w:u w:val="single"/>
          <w:lang w:val="en-US" w:eastAsia="zh-CN" w:bidi="ar-SA"/>
        </w:rPr>
        <w:t xml:space="preserve">按通用条款</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12.3.3 单价合同的计量</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关于单价合同计量的约定：</w:t>
      </w:r>
      <w:r>
        <w:rPr>
          <w:rFonts w:hint="eastAsia" w:ascii="宋体" w:hAnsi="宋体" w:eastAsia="宋体" w:cs="宋体"/>
          <w:color w:val="auto"/>
          <w:sz w:val="21"/>
          <w:szCs w:val="21"/>
          <w:highlight w:val="none"/>
          <w:u w:val="single"/>
          <w:lang w:val="en-US" w:eastAsia="zh-CN" w:bidi="ar-SA"/>
        </w:rPr>
        <w:t xml:space="preserve">按通用条款</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12.3.4 总价合同的计量</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关于总价合同计量的约定：</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12.3.5总价合同采用支付分解表计量支付的，是否适用第</w:t>
      </w:r>
      <w:r>
        <w:rPr>
          <w:rFonts w:hint="eastAsia" w:ascii="宋体" w:hAnsi="宋体" w:eastAsia="宋体" w:cs="宋体"/>
          <w:color w:val="auto"/>
          <w:sz w:val="21"/>
          <w:szCs w:val="21"/>
          <w:highlight w:val="none"/>
          <w:lang w:val="en-US" w:eastAsia="zh-CN" w:bidi="ar-SA"/>
        </w:rPr>
        <w:t xml:space="preserve">12.3.4 </w:t>
      </w:r>
      <w:r>
        <w:rPr>
          <w:rFonts w:hint="eastAsia" w:ascii="宋体" w:hAnsi="宋体" w:eastAsia="宋体" w:cs="宋体"/>
          <w:color w:val="auto"/>
          <w:sz w:val="21"/>
          <w:szCs w:val="21"/>
          <w:highlight w:val="none"/>
          <w:lang w:val="en-US" w:eastAsia="zh-CN" w:bidi="ar-SA"/>
        </w:rPr>
        <w:t xml:space="preserve">项</w:t>
      </w:r>
      <w:r>
        <w:rPr>
          <w:rFonts w:hint="eastAsia" w:ascii="宋体" w:hAnsi="宋体" w:eastAsia="宋体" w:cs="宋体"/>
          <w:color w:val="auto"/>
          <w:sz w:val="21"/>
          <w:szCs w:val="21"/>
          <w:highlight w:val="none"/>
          <w:lang w:val="en-US" w:eastAsia="zh-CN" w:bidi="ar-SA"/>
        </w:rPr>
        <w:t xml:space="preserve">〔总价合同的计量〕</w:t>
      </w:r>
      <w:r>
        <w:rPr>
          <w:rFonts w:hint="eastAsia" w:ascii="宋体" w:hAnsi="宋体" w:eastAsia="宋体" w:cs="宋体"/>
          <w:color w:val="auto"/>
          <w:sz w:val="21"/>
          <w:szCs w:val="21"/>
          <w:highlight w:val="none"/>
          <w:lang w:val="en-US" w:eastAsia="zh-CN" w:bidi="ar-SA"/>
        </w:rPr>
        <w:t xml:space="preserve">约定进行计量：</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12.3.6 其他价格形式合同的计量</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其他价格形式的计量方式和程序：</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auto"/>
          <w:sz w:val="21"/>
          <w:szCs w:val="21"/>
          <w:highlight w:val="none"/>
          <w:lang w:val="en-US" w:eastAsia="zh-CN" w:bidi="ar-SA"/>
        </w:rPr>
        <w:outlineLvl w:val="4"/>
      </w:pPr>
      <w:r>
        <w:rPr>
          <w:rFonts w:hint="eastAsia" w:ascii="宋体" w:hAnsi="宋体" w:eastAsia="宋体" w:cs="宋体"/>
          <w:bCs/>
          <w:color w:val="auto"/>
          <w:sz w:val="21"/>
          <w:szCs w:val="21"/>
          <w:highlight w:val="none"/>
          <w:lang w:val="en-US" w:eastAsia="zh-CN" w:bidi="ar-SA"/>
        </w:rPr>
        <w:t xml:space="preserve">12.4 工程进度款支付</w:t>
      </w:r>
      <w:r/>
    </w:p>
    <w:p>
      <w:pPr>
        <w:ind w:left="0" w:firstLine="420"/>
        <w:pageBreakBefore w:val="0"/>
        <w:spacing w:line="400" w:lineRule="exact"/>
        <w:widowControl/>
        <w:rPr>
          <w:rFonts w:hint="eastAsia" w:ascii="宋体" w:hAnsi="宋体" w:eastAsia="宋体" w:cs="宋体"/>
          <w:bCs/>
          <w:color w:val="auto"/>
          <w:sz w:val="21"/>
          <w:szCs w:val="21"/>
          <w:highlight w:val="none"/>
          <w:lang w:eastAsia="zh-CN"/>
        </w:rPr>
      </w:pPr>
      <w:r/>
      <w:bookmarkStart w:id="596" w:name="_Toc297120511"/>
      <w:r/>
      <w:bookmarkStart w:id="597" w:name="_Toc296891251"/>
      <w:r/>
      <w:bookmarkStart w:id="598" w:name="_Toc292559416"/>
      <w:r/>
      <w:bookmarkStart w:id="599" w:name="_Toc296346712"/>
      <w:r/>
      <w:bookmarkStart w:id="600" w:name="_Toc296944550"/>
      <w:r/>
      <w:bookmarkStart w:id="601" w:name="_Toc300935006"/>
      <w:r/>
      <w:bookmarkStart w:id="602" w:name="_Toc297216215"/>
      <w:r/>
      <w:bookmarkStart w:id="603" w:name="_Toc303539163"/>
      <w:r/>
      <w:bookmarkStart w:id="604" w:name="_Toc292559921"/>
      <w:r/>
      <w:bookmarkStart w:id="605" w:name="_Toc296891039"/>
      <w:r/>
      <w:bookmarkStart w:id="606" w:name="_Toc297123556"/>
      <w:r/>
      <w:bookmarkStart w:id="607" w:name="_Toc296503211"/>
      <w:r/>
      <w:bookmarkStart w:id="608" w:name="_Toc297048397"/>
      <w:r/>
      <w:bookmarkStart w:id="609" w:name="_Toc296347210"/>
      <w:r>
        <w:rPr>
          <w:rFonts w:hint="eastAsia" w:ascii="宋体" w:hAnsi="宋体" w:eastAsia="宋体" w:cs="宋体"/>
          <w:bCs/>
          <w:color w:val="auto"/>
          <w:sz w:val="21"/>
          <w:szCs w:val="21"/>
          <w:highlight w:val="none"/>
        </w:rPr>
        <w:t xml:space="preserve">12.4.1 付款周期</w:t>
      </w:r>
      <w:r>
        <w:rPr>
          <w:rFonts w:hint="eastAsia" w:ascii="宋体" w:hAnsi="宋体" w:eastAsia="宋体" w:cs="宋体"/>
          <w:bCs/>
          <w:color w:val="auto"/>
          <w:sz w:val="21"/>
          <w:szCs w:val="21"/>
          <w:highlight w:val="none"/>
          <w:lang w:eastAsia="zh-CN"/>
        </w:rPr>
        <w:t xml:space="preserve">：</w:t>
      </w:r>
      <w:r/>
    </w:p>
    <w:p>
      <w:pPr>
        <w:ind w:left="0" w:firstLine="420"/>
        <w:pageBreakBefore w:val="0"/>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预付款：合同金额的10%，合同签订后按规定支付；（成交人向采购人提供等额的银行保函）</w:t>
      </w:r>
      <w:r/>
    </w:p>
    <w:p>
      <w:pPr>
        <w:ind w:left="0" w:firstLine="420"/>
        <w:pageBreakBefore w:val="0"/>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进度款：工程完工且竣工验收合格后付至合同价款的80%，工程审计结束后付至审定价的97%，缺陷责任期满且无质量问题付清余款（无息）。</w:t>
      </w:r>
      <w:r/>
    </w:p>
    <w:p>
      <w:pPr>
        <w:ind w:left="0" w:firstLine="420"/>
        <w:pageBreakBefore w:val="0"/>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注：在签订合同时，成交人明确表示无需预付款或者主动要求降低预付款比例的金额，采购人可不适用预付款规定。</w:t>
      </w:r>
      <w:r/>
    </w:p>
    <w:p>
      <w:pPr>
        <w:ind w:left="0" w:firstLine="420"/>
        <w:pageBreakBefore w:val="0"/>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对于满足合同约定支付条件的，自收到发票后10个工作日内将资金支付到合同约定的供应商账户或供应商数字人民币账户。</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12.4.2 进度付款申请单的编制</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关于进度付款申请单编制的约定：</w:t>
      </w:r>
      <w:r>
        <w:rPr>
          <w:rFonts w:hint="eastAsia" w:ascii="宋体" w:hAnsi="宋体" w:eastAsia="宋体" w:cs="宋体"/>
          <w:color w:val="auto"/>
          <w:sz w:val="21"/>
          <w:szCs w:val="21"/>
          <w:highlight w:val="none"/>
          <w:u w:val="single"/>
          <w:lang w:val="en-US" w:eastAsia="zh-CN" w:bidi="ar-SA"/>
        </w:rPr>
        <w:t xml:space="preserve">每月 25 日前将当月完成的合格的工程量和工程造价报送发包方、监理人</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hint="eastAsia" w:ascii="宋体" w:hAnsi="宋体" w:eastAsia="宋体" w:cs="宋体"/>
          <w:color w:val="auto"/>
          <w:sz w:val="21"/>
          <w:szCs w:val="21"/>
          <w:highlight w:val="none"/>
          <w:lang w:val="en-US" w:eastAsia="zh-CN" w:bidi="ar-SA"/>
        </w:rPr>
        <w:t xml:space="preserve">2.4.3 进度付款申请单的提交</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（1）单价合同进度付款申请单提交的约定：</w:t>
      </w:r>
      <w:r>
        <w:rPr>
          <w:rFonts w:hint="eastAsia" w:ascii="宋体" w:hAnsi="宋体" w:eastAsia="宋体" w:cs="宋体"/>
          <w:color w:val="auto"/>
          <w:sz w:val="21"/>
          <w:szCs w:val="21"/>
          <w:highlight w:val="none"/>
          <w:u w:val="single"/>
          <w:lang w:val="en-US" w:eastAsia="zh-CN" w:bidi="ar-SA"/>
        </w:rPr>
        <w:t xml:space="preserve">按通用条款</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（2）总价合同进度付款申请单提交的约定：</w:t>
      </w:r>
      <w:r>
        <w:rPr>
          <w:rFonts w:hint="eastAsia" w:ascii="宋体" w:hAnsi="宋体" w:eastAsia="宋体" w:cs="宋体"/>
          <w:color w:val="auto"/>
          <w:sz w:val="21"/>
          <w:szCs w:val="21"/>
          <w:highlight w:val="none"/>
          <w:u w:val="single"/>
          <w:lang w:val="en-US" w:eastAsia="zh-CN" w:bidi="ar-SA"/>
        </w:rPr>
        <w:t xml:space="preserve">按通用条款</w:t>
      </w:r>
      <w:r>
        <w:rPr>
          <w:rFonts w:hint="eastAsia" w:ascii="宋体" w:hAnsi="宋体" w:eastAsia="宋体" w:cs="宋体"/>
          <w:color w:val="auto"/>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（3）其他价格形式合同进度付款申请单提交的约定：</w:t>
      </w:r>
      <w:r>
        <w:rPr>
          <w:rFonts w:hint="eastAsia" w:ascii="宋体" w:hAnsi="宋体" w:eastAsia="宋体" w:cs="宋体"/>
          <w:color w:val="000000"/>
          <w:sz w:val="21"/>
          <w:szCs w:val="21"/>
          <w:highlight w:val="none"/>
          <w:u w:val="single"/>
          <w:lang w:val="en-US" w:eastAsia="zh-CN" w:bidi="ar-SA"/>
        </w:rPr>
        <w:t xml:space="preserve">按通用条款</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12.4.4 进度款审核和支付</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（1）监理人审查并报送发包人的期限：</w:t>
      </w:r>
      <w:r>
        <w:rPr>
          <w:rFonts w:hint="eastAsia" w:ascii="宋体" w:hAnsi="宋体" w:eastAsia="宋体" w:cs="宋体"/>
          <w:color w:val="000000"/>
          <w:sz w:val="21"/>
          <w:szCs w:val="21"/>
          <w:highlight w:val="none"/>
          <w:u w:val="single"/>
          <w:lang w:val="en-US" w:eastAsia="zh-CN" w:bidi="ar-SA"/>
        </w:rPr>
        <w:t xml:space="preserve">收到申请单并审核后3 日内</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发包人完成审批并签发进度款支付证书的期限：</w:t>
      </w:r>
      <w:r>
        <w:rPr>
          <w:rFonts w:hint="eastAsia" w:ascii="宋体" w:hAnsi="宋体" w:eastAsia="宋体" w:cs="宋体"/>
          <w:color w:val="000000"/>
          <w:sz w:val="21"/>
          <w:szCs w:val="21"/>
          <w:highlight w:val="none"/>
          <w:u w:val="single"/>
          <w:lang w:val="en-US" w:eastAsia="zh-CN" w:bidi="ar-SA"/>
        </w:rPr>
        <w:t xml:space="preserve">收到申请单并经发包人审核后15 日内</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（2）发包人支付进度款的期限：</w:t>
      </w:r>
      <w:r>
        <w:rPr>
          <w:rFonts w:hint="eastAsia" w:ascii="宋体" w:hAnsi="宋体" w:eastAsia="宋体" w:cs="宋体"/>
          <w:color w:val="000000"/>
          <w:sz w:val="21"/>
          <w:szCs w:val="21"/>
          <w:highlight w:val="none"/>
          <w:u w:val="single"/>
          <w:lang w:val="en-US" w:eastAsia="zh-CN" w:bidi="ar-SA"/>
        </w:rPr>
        <w:t xml:space="preserve">按合同约定</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发包人逾期支付进度款的违约金的计算方式：</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12.4.5 支付分解表的编制</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2、总价合同支付分解表的编制与审批：</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3、单价合同的总价项目支付分解表的编制与审批：</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bookmarkEnd w:id="439"/>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10" w:name="_Toc351203645"/>
      <w:r/>
      <w:bookmarkStart w:id="611" w:name="_Toc296503219"/>
      <w:r/>
      <w:bookmarkStart w:id="612" w:name="_Toc292559424"/>
      <w:r/>
      <w:bookmarkStart w:id="613" w:name="_Toc297120519"/>
      <w:r/>
      <w:bookmarkStart w:id="614" w:name="_Toc296346720"/>
      <w:r/>
      <w:bookmarkStart w:id="615" w:name="_Toc304295593"/>
      <w:r/>
      <w:bookmarkStart w:id="616" w:name="_Toc297216223"/>
      <w:r/>
      <w:bookmarkStart w:id="617" w:name="_Toc296944558"/>
      <w:r/>
      <w:bookmarkStart w:id="618" w:name="_Toc296891047"/>
      <w:r/>
      <w:bookmarkStart w:id="619" w:name="_Toc297123564"/>
      <w:r/>
      <w:bookmarkStart w:id="620" w:name="_Toc300935015"/>
      <w:r/>
      <w:bookmarkStart w:id="621" w:name="_Toc296347218"/>
      <w:r/>
      <w:bookmarkStart w:id="622" w:name="_Toc297048405"/>
      <w:r/>
      <w:bookmarkStart w:id="623" w:name="_Toc312678053"/>
      <w:r/>
      <w:bookmarkStart w:id="624" w:name="_Toc303539172"/>
      <w:r/>
      <w:bookmarkStart w:id="625" w:name="_Toc296891259"/>
      <w:r/>
      <w:bookmarkStart w:id="626" w:name="_Toc292559929"/>
      <w:r>
        <w:rPr>
          <w:rFonts w:hint="eastAsia" w:ascii="宋体" w:hAnsi="宋体" w:eastAsia="宋体" w:cs="宋体"/>
          <w:bCs/>
          <w:color w:val="000000"/>
          <w:sz w:val="21"/>
          <w:szCs w:val="21"/>
          <w:highlight w:val="none"/>
          <w:lang w:val="en-US" w:eastAsia="zh-CN" w:bidi="ar-SA"/>
        </w:rPr>
        <w:t xml:space="preserve">13. 验收和工程试车</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13.1 分部分项工程验收</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13.1.2监理人不能按时进行验收时，应提前</w:t>
      </w:r>
      <w:r>
        <w:rPr>
          <w:rFonts w:hint="eastAsia" w:ascii="宋体" w:hAnsi="宋体" w:eastAsia="宋体" w:cs="宋体"/>
          <w:color w:val="000000"/>
          <w:sz w:val="21"/>
          <w:szCs w:val="21"/>
          <w:highlight w:val="none"/>
          <w:u w:val="single"/>
          <w:lang w:val="en-US" w:eastAsia="zh-CN" w:bidi="ar-SA"/>
        </w:rPr>
        <w:t xml:space="preserve">24</w:t>
      </w:r>
      <w:r>
        <w:rPr>
          <w:rFonts w:hint="eastAsia" w:ascii="宋体" w:hAnsi="宋体" w:eastAsia="宋体" w:cs="宋体"/>
          <w:color w:val="000000"/>
          <w:sz w:val="21"/>
          <w:szCs w:val="21"/>
          <w:highlight w:val="none"/>
          <w:lang w:val="en-US" w:eastAsia="zh-CN" w:bidi="ar-SA"/>
        </w:rPr>
        <w:t xml:space="preserve">小时提交书面延期要求。</w:t>
      </w:r>
      <w:r/>
    </w:p>
    <w:p>
      <w:pPr>
        <w:ind w:left="0" w:firstLine="420"/>
        <w:jc w:val="both"/>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关于延期最长不得超过：</w:t>
      </w:r>
      <w:r>
        <w:rPr>
          <w:rFonts w:hint="eastAsia" w:ascii="宋体" w:hAnsi="宋体" w:eastAsia="宋体" w:cs="宋体"/>
          <w:color w:val="000000"/>
          <w:sz w:val="21"/>
          <w:szCs w:val="21"/>
          <w:highlight w:val="none"/>
          <w:u w:val="single"/>
          <w:lang w:val="en-US" w:eastAsia="zh-CN" w:bidi="ar-SA"/>
        </w:rPr>
        <w:t xml:space="preserve">48  </w:t>
      </w:r>
      <w:r>
        <w:rPr>
          <w:rFonts w:hint="eastAsia" w:ascii="宋体" w:hAnsi="宋体" w:eastAsia="宋体" w:cs="宋体"/>
          <w:color w:val="000000"/>
          <w:sz w:val="21"/>
          <w:szCs w:val="21"/>
          <w:highlight w:val="none"/>
          <w:lang w:val="en-US" w:eastAsia="zh-CN" w:bidi="ar-SA"/>
        </w:rPr>
        <w:t xml:space="preserve">小时。</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bookmarkStart w:id="627" w:name="_Toc296944562"/>
      <w:r/>
      <w:bookmarkStart w:id="628" w:name="_Toc296891051"/>
      <w:r/>
      <w:bookmarkStart w:id="629" w:name="_Toc303539173"/>
      <w:r/>
      <w:bookmarkStart w:id="630" w:name="_Toc297123565"/>
      <w:r/>
      <w:bookmarkStart w:id="631" w:name="_Toc297216224"/>
      <w:r/>
      <w:bookmarkStart w:id="632" w:name="_Toc292559428"/>
      <w:r/>
      <w:bookmarkStart w:id="633" w:name="_Toc296346724"/>
      <w:r/>
      <w:bookmarkStart w:id="634" w:name="_Toc297120523"/>
      <w:r/>
      <w:bookmarkStart w:id="635" w:name="_Toc304295596"/>
      <w:r/>
      <w:bookmarkStart w:id="636" w:name="_Toc312678056"/>
      <w:r/>
      <w:bookmarkStart w:id="637" w:name="_Toc292559933"/>
      <w:r/>
      <w:bookmarkStart w:id="638" w:name="_Toc296347222"/>
      <w:r/>
      <w:bookmarkStart w:id="639" w:name="_Toc300935016"/>
      <w:r/>
      <w:bookmarkStart w:id="640" w:name="_Toc296891263"/>
      <w:r/>
      <w:bookmarkStart w:id="641" w:name="_Toc297048409"/>
      <w:r/>
      <w:bookmarkStart w:id="642" w:name="_Toc296503223"/>
      <w:r/>
      <w:bookmarkStart w:id="643" w:name="_Toc267251473"/>
      <w:r/>
      <w:bookmarkStart w:id="644" w:name="_Toc267251476"/>
      <w:r/>
      <w:bookmarkStart w:id="645" w:name="_Toc267251470"/>
      <w:r/>
      <w:bookmarkStart w:id="646" w:name="_Toc267251471"/>
      <w:r/>
      <w:bookmarkStart w:id="647" w:name="_Toc267251474"/>
      <w:r/>
      <w:bookmarkStart w:id="648" w:name="_Toc267251475"/>
      <w:r/>
      <w:bookmarkStart w:id="649" w:name="_Toc267251472"/>
      <w:r>
        <w:rPr>
          <w:rFonts w:hint="eastAsia" w:ascii="宋体" w:hAnsi="宋体" w:eastAsia="宋体" w:cs="宋体"/>
          <w:bCs/>
          <w:color w:val="000000"/>
          <w:sz w:val="21"/>
          <w:szCs w:val="21"/>
          <w:highlight w:val="none"/>
          <w:lang w:val="en-US" w:eastAsia="zh-CN" w:bidi="ar-SA"/>
        </w:rPr>
        <w:t xml:space="preserve">13.2 竣工验收</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bookmarkStart w:id="650" w:name="_Toc280868704"/>
      <w:r/>
      <w:bookmarkStart w:id="651" w:name="_Toc280868705"/>
      <w:r/>
      <w:bookmarkStart w:id="652" w:name="_Toc280868706"/>
      <w:r/>
      <w:bookmarkStart w:id="653" w:name="_Toc280868707"/>
      <w:r/>
      <w:bookmarkStart w:id="654" w:name="_Toc280868708"/>
      <w:r/>
      <w:bookmarkStart w:id="655" w:name="_Toc280868709"/>
      <w:r>
        <w:rPr>
          <w:rFonts w:hint="eastAsia" w:ascii="宋体" w:hAnsi="宋体" w:eastAsia="宋体" w:cs="宋体"/>
          <w:color w:val="000000"/>
          <w:sz w:val="21"/>
          <w:szCs w:val="21"/>
          <w:highlight w:val="none"/>
          <w:lang w:val="en-US" w:eastAsia="zh-CN" w:bidi="ar-SA"/>
        </w:rPr>
        <w:t xml:space="preserve">13.2.2竣工验收程序</w:t>
      </w:r>
      <w:bookmarkEnd w:id="650"/>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关于竣工验收程序的约定：</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bookmarkEnd w:id="65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13.2.5移交、接收全部与部分工程</w:t>
      </w:r>
      <w:bookmarkEnd w:id="652"/>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承包人向发包人移交工程的期限：</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bookmarkEnd w:id="653"/>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13.3 工程试车</w:t>
      </w:r>
      <w:bookmarkEnd w:id="654"/>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13.3.1 试车程序</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工程试车内容：</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（1）单机无负荷试车费用由</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承担；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（2）无负荷联动试车费用由</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承担。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13.3.3 投料试车</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关于投料试车相关事项的约定：</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13.4 竣工退场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13.4.1 竣工退场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承包人完成竣工退场的期限：</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56" w:name="_Toc351203646"/>
      <w:r>
        <w:rPr>
          <w:rFonts w:hint="eastAsia" w:ascii="宋体" w:hAnsi="宋体" w:eastAsia="宋体" w:cs="宋体"/>
          <w:bCs/>
          <w:color w:val="000000"/>
          <w:sz w:val="21"/>
          <w:szCs w:val="21"/>
          <w:highlight w:val="none"/>
          <w:lang w:val="en-US" w:eastAsia="zh-CN" w:bidi="ar-SA"/>
        </w:rPr>
        <w:t xml:space="preserve">14. 竣工结算</w:t>
      </w:r>
      <w:bookmarkEnd w:id="656"/>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14.1 竣工结算申请</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承包人提交竣工结算申请单的期限：</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竣工结算申请单应包括的内容：</w:t>
      </w:r>
      <w:r>
        <w:rPr>
          <w:rFonts w:hint="eastAsia" w:ascii="宋体" w:hAnsi="宋体" w:eastAsia="宋体" w:cs="宋体"/>
          <w:color w:val="000000"/>
          <w:sz w:val="21"/>
          <w:szCs w:val="21"/>
          <w:highlight w:val="none"/>
          <w:u w:val="single"/>
          <w:lang w:val="en-US" w:eastAsia="zh-CN" w:bidi="ar-SA"/>
        </w:rPr>
        <w:t xml:space="preserve">竣工结算合同总价、 发包人已支付承包人的工程价款、</w:t>
      </w:r>
      <w:r>
        <w:rPr>
          <w:rFonts w:hint="eastAsia" w:ascii="宋体" w:hAnsi="宋体" w:eastAsia="宋体" w:cs="宋体"/>
          <w:color w:val="000000"/>
          <w:sz w:val="21"/>
          <w:szCs w:val="21"/>
          <w:highlight w:val="none"/>
          <w:u w:val="single"/>
          <w:lang w:val="en-US" w:eastAsia="zh-CN" w:bidi="ar-SA"/>
        </w:rPr>
        <w:br/>
      </w:r>
      <w:r>
        <w:rPr>
          <w:rFonts w:hint="eastAsia" w:ascii="宋体" w:hAnsi="宋体" w:eastAsia="宋体" w:cs="宋体"/>
          <w:color w:val="000000"/>
          <w:sz w:val="21"/>
          <w:szCs w:val="21"/>
          <w:highlight w:val="none"/>
          <w:u w:val="single"/>
          <w:lang w:val="en-US" w:eastAsia="zh-CN" w:bidi="ar-SA"/>
        </w:rPr>
        <w:t xml:space="preserve">应扣留的质量保证金、 应支付的竣工付款金额 。</w:t>
      </w:r>
      <w:r/>
    </w:p>
    <w:p>
      <w:pPr>
        <w:ind w:left="0" w:firstLine="420"/>
        <w:jc w:val="both"/>
        <w:pageBreakBefore w:val="0"/>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14.2 竣工结算审核</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发包人审批竣工付款申请单的期限：</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发包人完成竣工付款的期限：</w:t>
      </w:r>
      <w:r>
        <w:rPr>
          <w:rFonts w:hint="eastAsia" w:ascii="宋体" w:hAnsi="宋体" w:eastAsia="宋体" w:cs="宋体"/>
          <w:color w:val="000000"/>
          <w:sz w:val="21"/>
          <w:szCs w:val="21"/>
          <w:highlight w:val="none"/>
          <w:u w:val="single"/>
          <w:lang w:val="en-US" w:eastAsia="zh-CN" w:bidi="ar-SA"/>
        </w:rPr>
        <w:t xml:space="preserve">按通用条款执行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关于竣工付款证书异议部分复核的方式和程序：</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14.3 最终结清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14.3.1 最终结清申请单</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承包人提交最终结清申请单的份数：</w:t>
      </w:r>
      <w:r>
        <w:rPr>
          <w:rFonts w:hint="eastAsia" w:ascii="宋体" w:hAnsi="宋体" w:eastAsia="宋体" w:cs="宋体"/>
          <w:color w:val="000000"/>
          <w:sz w:val="21"/>
          <w:szCs w:val="21"/>
          <w:highlight w:val="none"/>
          <w:u w:val="single"/>
          <w:lang w:val="en-US" w:eastAsia="zh-CN" w:bidi="ar-SA"/>
        </w:rPr>
        <w:t xml:space="preserve"> 五份</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承包人提交最终结算申请单的期限：</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14.3.2 最终结清证书和支付</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（1）发包人完成最终结清申请单的审批并颁发最终结清证书的期限：</w:t>
      </w:r>
      <w:r>
        <w:rPr>
          <w:rFonts w:hint="eastAsia" w:ascii="宋体" w:hAnsi="宋体" w:eastAsia="宋体" w:cs="宋体"/>
          <w:color w:val="000000"/>
          <w:sz w:val="21"/>
          <w:szCs w:val="21"/>
          <w:highlight w:val="none"/>
          <w:u w:val="single"/>
          <w:lang w:val="en-US" w:eastAsia="zh-CN" w:bidi="ar-SA"/>
        </w:rPr>
        <w:t xml:space="preserve"> 承包人同意工程竣工验收合格后，由审计局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审计费用由承包人承担。</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（2）发包人完成支付的期限：</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bookmarkEnd w:id="643"/>
      <w:r/>
      <w:bookmarkEnd w:id="644"/>
      <w:r/>
      <w:bookmarkEnd w:id="645"/>
      <w:r/>
      <w:bookmarkEnd w:id="646"/>
      <w:r/>
      <w:bookmarkEnd w:id="647"/>
      <w:r/>
      <w:bookmarkEnd w:id="648"/>
      <w:r/>
      <w:bookmarkEnd w:id="649"/>
      <w:r/>
      <w:bookmarkEnd w:id="655"/>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57" w:name="_Toc351203647"/>
      <w:r/>
      <w:bookmarkStart w:id="658" w:name="_Toc267251483"/>
      <w:r/>
      <w:bookmarkStart w:id="659" w:name="_Toc267251482"/>
      <w:r/>
      <w:bookmarkStart w:id="660" w:name="_Toc267251484"/>
      <w:r/>
      <w:bookmarkStart w:id="661" w:name="_Toc267251485"/>
      <w:r/>
      <w:bookmarkStart w:id="662" w:name="_Toc267251489"/>
      <w:r/>
      <w:bookmarkStart w:id="663" w:name="_Toc267251490"/>
      <w:r/>
      <w:bookmarkStart w:id="664" w:name="_Toc267251486"/>
      <w:r/>
      <w:bookmarkStart w:id="665" w:name="_Toc267251488"/>
      <w:r/>
      <w:bookmarkStart w:id="666" w:name="_Toc267251496"/>
      <w:r/>
      <w:bookmarkStart w:id="667" w:name="_Toc267251493"/>
      <w:r/>
      <w:bookmarkStart w:id="668" w:name="_Toc267251497"/>
      <w:r/>
      <w:bookmarkStart w:id="669" w:name="_Toc267251491"/>
      <w:r/>
      <w:bookmarkStart w:id="670" w:name="_Toc267251498"/>
      <w:r/>
      <w:bookmarkStart w:id="671" w:name="_Toc267251502"/>
      <w:r/>
      <w:bookmarkStart w:id="672" w:name="_Toc267251494"/>
      <w:r/>
      <w:bookmarkStart w:id="673" w:name="_Toc267251495"/>
      <w:r/>
      <w:bookmarkStart w:id="674" w:name="_Toc267251499"/>
      <w:r/>
      <w:bookmarkStart w:id="675" w:name="_Toc267251492"/>
      <w:r/>
      <w:bookmarkStart w:id="676" w:name="_Toc267251503"/>
      <w:r/>
      <w:bookmarkStart w:id="677" w:name="_Toc267251501"/>
      <w:r/>
      <w:bookmarkStart w:id="678" w:name="_Toc267251504"/>
      <w:r/>
      <w:bookmarkStart w:id="679" w:name="_Toc267251506"/>
      <w:r/>
      <w:bookmarkStart w:id="680" w:name="_Toc267251507"/>
      <w:r/>
      <w:bookmarkStart w:id="681" w:name="_Toc267251508"/>
      <w:r/>
      <w:bookmarkStart w:id="682" w:name="_Toc267251509"/>
      <w:r/>
      <w:bookmarkStart w:id="683" w:name="_Toc267251515"/>
      <w:r/>
      <w:bookmarkStart w:id="684" w:name="_Toc267251513"/>
      <w:r/>
      <w:bookmarkStart w:id="685" w:name="_Toc267251510"/>
      <w:r/>
      <w:bookmarkStart w:id="686" w:name="_Toc267251511"/>
      <w:r/>
      <w:bookmarkStart w:id="687" w:name="_Toc267251514"/>
      <w:r>
        <w:rPr>
          <w:rFonts w:hint="eastAsia" w:ascii="宋体" w:hAnsi="宋体" w:eastAsia="宋体" w:cs="宋体"/>
          <w:bCs/>
          <w:color w:val="000000"/>
          <w:sz w:val="21"/>
          <w:szCs w:val="21"/>
          <w:highlight w:val="none"/>
          <w:lang w:val="en-US" w:eastAsia="zh-CN" w:bidi="ar-SA"/>
        </w:rPr>
        <w:t xml:space="preserve">15. 缺陷责任期与保修</w:t>
      </w:r>
      <w:bookmarkEnd w:id="657"/>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15.1缺陷责任期</w:t>
      </w:r>
      <w:bookmarkEnd w:id="658"/>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缺陷责任期的具体期限：</w:t>
      </w:r>
      <w:r>
        <w:rPr>
          <w:rFonts w:hint="eastAsia" w:ascii="宋体" w:hAnsi="宋体" w:eastAsia="宋体" w:cs="宋体"/>
          <w:color w:val="000000"/>
          <w:sz w:val="21"/>
          <w:szCs w:val="21"/>
          <w:highlight w:val="none"/>
          <w:u w:val="single"/>
          <w:lang w:val="en-US" w:eastAsia="zh-CN" w:bidi="ar-SA"/>
        </w:rPr>
        <w:t xml:space="preserve"> 按通用条款执行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15.2 质量保证金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关于是否扣留质量保证金的约定：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。在工程项目竣工前，承包人按专用合同条款第3.7条提供履约担保的，发包人不得同时预留工程质量保证金。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15.2.1 承包人提供质量保证金的方式</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质量保证金采用以下第</w:t>
      </w:r>
      <w:r>
        <w:rPr>
          <w:rFonts w:hint="eastAsia" w:ascii="宋体" w:hAnsi="宋体" w:eastAsia="宋体" w:cs="宋体"/>
          <w:color w:val="000000"/>
          <w:sz w:val="21"/>
          <w:szCs w:val="21"/>
          <w:highlight w:val="none"/>
          <w:u w:val="single"/>
          <w:lang w:val="en-US" w:eastAsia="zh-CN" w:bidi="ar-SA"/>
        </w:rPr>
        <w:t xml:space="preserve">（2）</w:t>
      </w:r>
      <w:r>
        <w:rPr>
          <w:rFonts w:hint="eastAsia" w:ascii="宋体" w:hAnsi="宋体" w:eastAsia="宋体" w:cs="宋体"/>
          <w:color w:val="000000"/>
          <w:sz w:val="21"/>
          <w:szCs w:val="21"/>
          <w:highlight w:val="none"/>
          <w:lang w:val="en-US" w:eastAsia="zh-CN" w:bidi="ar-SA"/>
        </w:rPr>
        <w:t xml:space="preserve">种方式：</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（1）质量保证金保函，保证金额为：</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u w:val="single"/>
          <w:lang w:val="en-US" w:eastAsia="zh-CN" w:bidi="ar-SA"/>
        </w:rPr>
        <w:t xml:space="preserve"> 3 </w:t>
      </w:r>
      <w:r>
        <w:rPr>
          <w:rFonts w:hint="eastAsia" w:ascii="宋体" w:hAnsi="宋体" w:eastAsia="宋体" w:cs="宋体"/>
          <w:color w:val="000000"/>
          <w:sz w:val="21"/>
          <w:szCs w:val="21"/>
          <w:highlight w:val="none"/>
          <w:lang w:val="en-US" w:eastAsia="zh-CN" w:bidi="ar-SA"/>
        </w:rPr>
        <w:t xml:space="preserve">%的工程款；</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（3）其他方式:</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15.2.2 质量保证金的扣留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质量保证金的扣留采取以下第</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种方式：</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（1）在支付工程进度款时逐次扣留，在此情形下，质量保证金的计算基数不包括预付款的支付、扣回以及价格调整的金额；</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（2）工程竣工结算时一次性扣留质量保证金；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（3）其他扣留方式: </w:t>
      </w:r>
      <w:r>
        <w:rPr>
          <w:rFonts w:hint="eastAsia" w:ascii="宋体" w:hAnsi="宋体" w:eastAsia="宋体" w:cs="宋体"/>
          <w:color w:val="000000"/>
          <w:sz w:val="21"/>
          <w:szCs w:val="21"/>
          <w:highlight w:val="none"/>
          <w:u w:val="singl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关于质量保证金的补充约定：</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bookmarkEnd w:id="659"/>
      <w:r/>
      <w:bookmarkEnd w:id="660"/>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15.3保修</w:t>
      </w:r>
      <w:bookmarkEnd w:id="66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15.3.1 保修责任</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工程保修期为：</w:t>
      </w:r>
      <w:r>
        <w:rPr>
          <w:rFonts w:hint="eastAsia" w:ascii="宋体" w:hAnsi="宋体" w:eastAsia="宋体" w:cs="宋体"/>
          <w:color w:val="000000"/>
          <w:sz w:val="21"/>
          <w:szCs w:val="21"/>
          <w:highlight w:val="none"/>
          <w:u w:val="single"/>
          <w:lang w:val="en-US" w:eastAsia="zh-CN" w:bidi="ar-SA"/>
        </w:rPr>
        <w:t xml:space="preserve"> 详见质量保修书</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15.3.2 修复通知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承包人收到保修通知并到达工程现场的合理时间：</w:t>
      </w:r>
      <w:r>
        <w:rPr>
          <w:rFonts w:hint="eastAsia" w:ascii="宋体" w:hAnsi="宋体" w:eastAsia="宋体" w:cs="宋体"/>
          <w:color w:val="000000"/>
          <w:sz w:val="21"/>
          <w:szCs w:val="21"/>
          <w:highlight w:val="none"/>
          <w:u w:val="single"/>
          <w:lang w:val="en-US" w:eastAsia="zh-CN" w:bidi="ar-SA"/>
        </w:rPr>
        <w:t xml:space="preserve">24小时内</w:t>
      </w:r>
      <w:r>
        <w:rPr>
          <w:rFonts w:hint="eastAsia" w:ascii="宋体" w:hAnsi="宋体" w:eastAsia="宋体" w:cs="宋体"/>
          <w:color w:val="000000"/>
          <w:sz w:val="21"/>
          <w:szCs w:val="21"/>
          <w:highlight w:val="none"/>
          <w:lang w:val="en-US" w:eastAsia="zh-CN" w:bidi="ar-SA"/>
        </w:rPr>
        <w:t xml:space="preserve">。</w:t>
      </w:r>
      <w:bookmarkEnd w:id="662"/>
      <w:r/>
      <w:bookmarkEnd w:id="663"/>
      <w:r/>
      <w:bookmarkEnd w:id="664"/>
      <w:r/>
      <w:bookmarkEnd w:id="665"/>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88" w:name="_Toc351203648"/>
      <w:r/>
      <w:bookmarkStart w:id="689" w:name="_Toc280868717"/>
      <w:r/>
      <w:bookmarkStart w:id="690" w:name="_Toc280868718"/>
      <w:r>
        <w:rPr>
          <w:rFonts w:hint="eastAsia" w:ascii="宋体" w:hAnsi="宋体" w:eastAsia="宋体" w:cs="宋体"/>
          <w:bCs/>
          <w:color w:val="000000"/>
          <w:sz w:val="21"/>
          <w:szCs w:val="21"/>
          <w:highlight w:val="none"/>
          <w:lang w:val="en-US" w:eastAsia="zh-CN" w:bidi="ar-SA"/>
        </w:rPr>
        <w:t xml:space="preserve">16. 违约</w:t>
      </w:r>
      <w:bookmarkEnd w:id="688"/>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16.1 发包人违约</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16.1.1发包人违约的情形</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发包人违约的其他情形：</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16.1.2 发包人违约的责任</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发包人违约责任的承担方式和计算方法：</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（1）因发包人原因未能在计划开工日期前7天内下达开工通知的违约责任：</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（2）因发包人原因未能按合同约定支付合同价款的违约责任：</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（5）因发包人违反合同约定造成暂停施工的违约责任：</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（7）其他：</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16.1.3 因发包人违约解除合同</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承包人按16.1.1项〔发包人违约的情形〕约定暂停施工满</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天后发包人仍不纠正其违约行为并致使合同目的不能实现的，承包人有权解除合同。</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16.2 承包人违约</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16.2.1 承包人违约的情形</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承包人违约的其他情形：</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1）承包人在施工中对规定现场的已完工工程的成品造成损毁及污染的；（2）经查实，承包人在本工程上有出借资质或挂靠施工现象，视为承包人违约；（3）在施工期间由于承包人原因发生安全及质量事故；（4）承包人未能在竣工验收合格后及时清理垃圾、平整场地的；</w:t>
      </w:r>
      <w:r>
        <w:rPr>
          <w:rFonts w:hint="eastAsia" w:ascii="宋体" w:hAnsi="宋体" w:eastAsia="宋体" w:cs="宋体"/>
          <w:color w:val="000000"/>
          <w:sz w:val="21"/>
          <w:szCs w:val="21"/>
          <w:highlight w:val="none"/>
          <w:u w:val="single"/>
          <w:lang w:val="en-US" w:eastAsia="zh-CN" w:bidi="ar-SA"/>
        </w:rPr>
        <w:t xml:space="preserve">（5）承包人原因，导致周边住户和单位投诉或被新闻媒体给予负面曝光的；（6）承包人原因发生保险事故给发包人造成影响的；（7）承包人现场施工人员未佩戴安全帽及违规操作的； （8）承包人用电安全、污水（泥浆）排放未按规定要求执行的；（9）承包方自检资料完整、规范，数据真实、准确，检查频率达不到规范设计和相关要求。（10）进场的原材料检测频率不符合要求 ；（11）工程相关试验频率不符合要求，未能全面反映工程总体质量状况，实验数据虚假或错误较多、偏差较大。（12）承包人未能采取有效措施来控制、降低施工现场的扬尘、噪音</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16.2.2承包人违约的责任</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承包人违约责任的承担方式和计算方法：</w:t>
      </w:r>
      <w:r>
        <w:rPr>
          <w:rFonts w:hint="eastAsia" w:ascii="宋体" w:hAnsi="宋体" w:eastAsia="宋体" w:cs="宋体"/>
          <w:color w:val="000000"/>
          <w:sz w:val="21"/>
          <w:szCs w:val="21"/>
          <w:highlight w:val="none"/>
          <w:u w:val="single"/>
          <w:lang w:val="en-US" w:eastAsia="zh-CN" w:bidi="ar-SA"/>
        </w:rPr>
        <w:t xml:space="preserve">（1）承包人在施工中对规定现场的已完工工程的成品造成损毁及污染的；需负责整改并承担所发生的一切费用，同时承包人同意向发包人支付 3000 元/次的违约金。（2）经查实，承包人在本工程上有出借资质或挂靠施工现象，视为承包人违约；承包人需立即进行纠正的同时还需向发包人支付 </w:t>
      </w:r>
      <w:r>
        <w:rPr>
          <w:rFonts w:hint="eastAsia" w:ascii="宋体" w:hAnsi="宋体" w:eastAsia="宋体" w:cs="宋体"/>
          <w:color w:val="000000"/>
          <w:sz w:val="21"/>
          <w:szCs w:val="21"/>
          <w:highlight w:val="none"/>
          <w:u w:val="single"/>
          <w:lang w:val="en-US" w:eastAsia="zh-CN" w:bidi="ar-SA"/>
        </w:rPr>
        <w:t xml:space="preserve">20 万元的违约金。发包人还有权采取终止合同、停止支付工程款，并要求承包人赔偿一切损失。（3）在施工期间由于承包人原因发生安全及质量事故；每发生一次，根据事故的影响程度，承包人还须向发包人支付100000 元的违约金；（4）如承包人未能按本合同约定在工程竣工后及时清理垃圾、平整场地，则发包人有权自行清理垃圾、平整场地，承包人除应负担发包人因此而发生的费用外，还应按本合同总价款 2%的标准向发包人支付违约金。（5）如因承包人原因，导致周边住户和单位投诉或被新闻媒体给予负面曝光的；承包人需承担由此造成的一切后果</w:t>
      </w:r>
      <w:r>
        <w:rPr>
          <w:rFonts w:hint="eastAsia" w:ascii="宋体" w:hAnsi="宋体" w:eastAsia="宋体" w:cs="宋体"/>
          <w:color w:val="000000"/>
          <w:sz w:val="21"/>
          <w:szCs w:val="21"/>
          <w:highlight w:val="none"/>
          <w:u w:val="single"/>
          <w:lang w:val="en-US" w:eastAsia="zh-CN" w:bidi="ar-SA"/>
        </w:rPr>
        <w:t xml:space="preserve">并承担由此产生的相关费用，同时承包人同意向发包人支付3000 元/次的违约金。（6）如因承包人原因发生保险事故给发包人造成影响的；承包人承担违约责任，需向发包人支付保险赔付金 10%的违约金。（7）承包人现场施工人员未佩戴安全帽及违规操作的；承包人同意向发包人支付 200元/人·次的违约金。（8）承包人用电安全、施工围挡未按规定要求执行的；承包人同意向发包人支付 2000元/次的违约金；承包人施工围挡应内外整洁，至少每周清理一次，对未予及时处理的污垢，承包人同意向发包人支付 1000 元/处的违约金。（9）</w:t>
      </w:r>
      <w:r>
        <w:rPr>
          <w:rFonts w:hint="eastAsia" w:ascii="宋体" w:hAnsi="宋体" w:eastAsia="宋体" w:cs="宋体"/>
          <w:color w:val="000000"/>
          <w:sz w:val="21"/>
          <w:szCs w:val="21"/>
          <w:highlight w:val="none"/>
          <w:u w:val="single"/>
          <w:lang w:val="en-US" w:eastAsia="zh-CN" w:bidi="ar-SA"/>
        </w:rPr>
        <w:t xml:space="preserve">如承包人未能采取有效措施来控制、降低施工现场的扬尘、噪音等环境污染，或因环境污染造成被相关部门责令停工的，承包人同意向发包人支付 10000 元/次的违约金；因环境污染造成被相关部门责令整改的，承包人同意向发包人支付 3000 元/次的违约金。（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w:t>
      </w:r>
      <w:r>
        <w:rPr>
          <w:rFonts w:hint="eastAsia" w:ascii="宋体" w:hAnsi="宋体" w:eastAsia="宋体" w:cs="宋体"/>
          <w:color w:val="000000"/>
          <w:sz w:val="21"/>
          <w:szCs w:val="21"/>
          <w:highlight w:val="none"/>
          <w:u w:val="single"/>
          <w:lang w:val="en-US" w:eastAsia="zh-CN" w:bidi="ar-SA"/>
        </w:rPr>
        <w:t xml:space="preserve">支付 100000 元的违约金；（11）如承包人未经发包人同意擅自将其在施工过程中获悉的发包人商业秘密向第三人泄露（如发包人提供的图纸内容），发包人有权单方终止合同，同时发包人有权要求承包人按本合同总价款的 10%标准支付违约金。如承包人支付了违约金后仍不能弥补因其泄露发包人商业秘密给发包人造成的经济损失的，承包人还应赔偿发包人的实际经济损失。（12）为加强工期、质量、安全、文明方面的控制，确保工程顺利进行，便于发包人定期对工程建设情况进行考核，对考核不合格的将要求限期整改，并按相关要求对承包人收取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质量方面： ①承包</w:t>
      </w:r>
      <w:r>
        <w:rPr>
          <w:rFonts w:hint="eastAsia" w:ascii="宋体" w:hAnsi="宋体" w:eastAsia="宋体" w:cs="宋体"/>
          <w:color w:val="000000"/>
          <w:sz w:val="21"/>
          <w:szCs w:val="21"/>
          <w:highlight w:val="none"/>
          <w:u w:val="single"/>
          <w:lang w:val="en-US" w:eastAsia="zh-CN" w:bidi="ar-SA"/>
        </w:rPr>
        <w:t xml:space="preserve">方应保证每次自检资料完整、规范，数据真实、准确，检查频率必须符合规范设计和相关要求。达不到要求的，视同承包人违约，承包方应按 500 元/次的标准向发包方支付违约金。②承包方应及时、准确对分项工程质量进行自验评定。监理方和指挥部定期抽查，每次抽查合格率达不到 100%的，视同承包人违约，承包方应按 1000 元/次的标准向发包方支付违约金。③施工抽查中需确保无质量问题。如存在质量问题，每发现一处，承包方按相关要求整改外并按 500 元/处的标准向发包方支付违约金； 造成局部返工时，承包方应按2000元/处的</w:t>
      </w:r>
      <w:r>
        <w:rPr>
          <w:rFonts w:hint="eastAsia" w:ascii="宋体" w:hAnsi="宋体" w:eastAsia="宋体" w:cs="宋体"/>
          <w:color w:val="000000"/>
          <w:sz w:val="21"/>
          <w:szCs w:val="21"/>
          <w:highlight w:val="none"/>
          <w:u w:val="single"/>
          <w:lang w:val="en-US" w:eastAsia="zh-CN" w:bidi="ar-SA"/>
        </w:rPr>
        <w:t xml:space="preserve">标准向发包方支付违约金；问题较严重且因返工影响工程整体进度时，根据实际情况，承包方应按5000 元/处的标准向发包方支付违约金。④原材料进场前应经监理工程师检查认可，同意后方可进场，检测频率应符合要求，不合格的材料不得用于工程施工。违反上述规定的，发包人将责令清退出场，承包方应按 1000 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w:t>
      </w:r>
      <w:r>
        <w:rPr>
          <w:rFonts w:hint="eastAsia" w:ascii="宋体" w:hAnsi="宋体" w:eastAsia="宋体" w:cs="宋体"/>
          <w:color w:val="000000"/>
          <w:sz w:val="21"/>
          <w:szCs w:val="21"/>
          <w:highlight w:val="none"/>
          <w:u w:val="single"/>
          <w:lang w:val="en-US" w:eastAsia="zh-CN" w:bidi="ar-SA"/>
        </w:rPr>
        <w:t xml:space="preserve">承包方应按 1000 元/页的标准向发包方支付违约金。⑥承包人因工程质量和规范管理问题，受到质量监督等行政主管部门查处和通报的，承包方应按 2000 元/次的标准向发包方支付违约金。安全文明施工方面：①对承包人违反安全规范要求进行施工的，或现场存在安全施工隐患的，每发现一处，扣除 1000 元的安全措施费，并限期整改。②如因安全文明问题受到质量监督等行政主管部门查处和通报的，按2000 元/次的标准扣除安全措施费。现场出现施工安全事故的，根据程度和影响，发包人将及时报行政主管部门并依法追究施工单位相关责任。</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工程进度方面：①承包人应根据施工合同工期的约定，制定切实可行的施工组织计划，并形成工期进度计划表，报监理和发包人审核后予以公开，接受考核。②承包人和监理人根据工期进度计划对每天应完成的工作量及在岗人员数量进行考核备案，分部分项的工程量不能按时完成的，承包方应按 2000 元/天的标准向发包方支付违约金；人员未到岗的，承包方应按 500 元/人•天的</w:t>
      </w:r>
      <w:r>
        <w:rPr>
          <w:rFonts w:hint="eastAsia" w:ascii="宋体" w:hAnsi="宋体" w:eastAsia="宋体" w:cs="宋体"/>
          <w:color w:val="000000"/>
          <w:sz w:val="21"/>
          <w:szCs w:val="21"/>
          <w:highlight w:val="none"/>
          <w:u w:val="single"/>
          <w:lang w:val="en-US" w:eastAsia="zh-CN" w:bidi="ar-SA"/>
        </w:rPr>
        <w:t xml:space="preserve">标准向发包方支付违约金。③以每周为一个节点，工期延误超过 7 天的将对施工单位进行双倍收取违约金，并发包人可根据工程需要， 另行安排其他施工队伍替换承包人赶工期，所需费用双倍从总包单位的工程进度款中扣除。④施工单位施工进度按照施工计划如有超前的，每超前一天，可按工期滞后违约金的相同标准抵扣违约金。（13）本工程应达到发包人要求的质量标准，承包人应按照现行的国家施工验收规范和资料评定标准施工。如第一次工程竣工验收时工程质量达不到合格标准时，承包人应向发包人支付违约金为履约保证金的 20%；第二次工程竣工验收时</w:t>
      </w:r>
      <w:r>
        <w:rPr>
          <w:rFonts w:hint="eastAsia" w:ascii="宋体" w:hAnsi="宋体" w:eastAsia="宋体" w:cs="宋体"/>
          <w:color w:val="000000"/>
          <w:sz w:val="21"/>
          <w:szCs w:val="21"/>
          <w:highlight w:val="none"/>
          <w:u w:val="single"/>
          <w:lang w:val="en-US" w:eastAsia="zh-CN" w:bidi="ar-SA"/>
        </w:rPr>
        <w:t xml:space="preserve">工程质量仍达不到合格标准时，发包人有权解除合同并不再支付剩余工程款，承包人还应当另行承担因此给发包人造成的实际损失。因承包人自身原因，达不到合格标准，承包人必须进行整改，其整改所需时间计算在合同总工期内。因此造成的工期延误按前述有关条款向发包人支付违约金。（14）如承包人在本工程投标期间弄虚作假、相互串通投标，在工程实施期间被查证属实的，视同承包人违约，发包人将采取终止施工合同并不再支付剩余工程款、向招投标管理部门报告等措施。（15）承包人同意违约赔偿金在每次付工程款中扣除，且承包人不存在任何异议。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16.2.3 因承包人违约解除合同</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关于承包人违约解除合同的特别约定：</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在本合同解除后，承包人必须在 5 日内无条件退场并完成清理工作。发包人将按承包人已完成合格工程量给予结算，承包人并承担由此而给发包方造成的一切损失 </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91" w:name="_Toc351203649"/>
      <w:r>
        <w:rPr>
          <w:rFonts w:hint="eastAsia" w:ascii="宋体" w:hAnsi="宋体" w:eastAsia="宋体" w:cs="宋体"/>
          <w:bCs/>
          <w:color w:val="000000"/>
          <w:sz w:val="21"/>
          <w:szCs w:val="21"/>
          <w:highlight w:val="none"/>
          <w:lang w:val="en-US" w:eastAsia="zh-CN" w:bidi="ar-SA"/>
        </w:rPr>
        <w:t xml:space="preserve">17. 不可抗力</w:t>
      </w:r>
      <w:bookmarkEnd w:id="691"/>
      <w:r>
        <w:rPr>
          <w:rFonts w:hint="eastAsia" w:ascii="宋体" w:hAnsi="宋体" w:eastAsia="宋体" w:cs="宋体"/>
          <w:bCs/>
          <w:color w:val="000000"/>
          <w:sz w:val="21"/>
          <w:szCs w:val="21"/>
          <w:highlight w:val="none"/>
          <w:lang w:val="en-US" w:eastAsia="zh-CN" w:bidi="ar-SA"/>
        </w:rPr>
        <w:t xml:space="preserve"> </w:t>
      </w:r>
      <w:bookmarkEnd w:id="689"/>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17.1 不可抗力的确认</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除通用合同条款约定的不可抗力事件之外，视为不可抗力的其他情形：</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17.2 因不可抗力解除合同</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合同解除后，发包人应在商定或确定发包人应支付款项后</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天内完成款项的支付。</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92" w:name="_Toc351203650"/>
      <w:r>
        <w:rPr>
          <w:rFonts w:hint="eastAsia" w:ascii="宋体" w:hAnsi="宋体" w:eastAsia="宋体" w:cs="宋体"/>
          <w:bCs/>
          <w:color w:val="000000"/>
          <w:sz w:val="21"/>
          <w:szCs w:val="21"/>
          <w:highlight w:val="none"/>
          <w:lang w:val="en-US" w:eastAsia="zh-CN" w:bidi="ar-SA"/>
        </w:rPr>
        <w:t xml:space="preserve">18. 保险</w:t>
      </w:r>
      <w:bookmarkEnd w:id="692"/>
      <w:r/>
      <w:bookmarkEnd w:id="690"/>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18.1 工程保险</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关于工程保险的特别约定：</w:t>
      </w:r>
      <w:r>
        <w:rPr>
          <w:rFonts w:hint="eastAsia" w:ascii="宋体" w:hAnsi="宋体" w:eastAsia="宋体" w:cs="宋体"/>
          <w:color w:val="000000"/>
          <w:sz w:val="21"/>
          <w:szCs w:val="21"/>
          <w:highlight w:val="none"/>
          <w:u w:val="single"/>
          <w:lang w:val="en-US" w:eastAsia="zh-CN" w:bidi="ar-SA"/>
        </w:rPr>
        <w:t xml:space="preserve"> 承包人承担合同履行期间所有按规定由甲乙双方投保的内容。承包人应依照法律规定投保建筑安装工程一切险（附加第三方责任险）等，并为在施工现场的全部员工办理工伤保险及人身意外伤害险。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承包人须对与本工程有关或本工程进行期间发生或本工程引致的人身伤亡及财产损坏负费用、损失、索偿或诉讼等法律责任，并须保障发包人免负该等责任，除非有关伤亡是发包人所引致的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u w:val="single"/>
          <w:lang w:val="en-US" w:eastAsia="zh-CN" w:bidi="ar-SA"/>
        </w:rPr>
        <w:t xml:space="preserve">承包人须按国家有关规定为从事危险作业的职工办理意外伤害保险、第三方人身险以及国家其他相关文件规定的必须要办理的保险。</w:t>
      </w:r>
      <w:r>
        <w:rPr>
          <w:rFonts w:hint="eastAsia" w:ascii="宋体" w:hAnsi="宋体" w:eastAsia="宋体" w:cs="宋体"/>
          <w:color w:val="000000"/>
          <w:sz w:val="21"/>
          <w:szCs w:val="21"/>
          <w:highlight w:val="none"/>
          <w:u w:val="single"/>
          <w:lang w:val="en-US" w:eastAsia="zh-CN" w:bidi="ar-SA"/>
        </w:rPr>
        <w:t xml:space="preserve"> </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18.2 其他保险</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关于其他保险的约定：</w:t>
      </w:r>
      <w:r>
        <w:rPr>
          <w:rFonts w:hint="eastAsia" w:ascii="宋体" w:hAnsi="宋体" w:eastAsia="宋体" w:cs="宋体"/>
          <w:color w:val="000000"/>
          <w:sz w:val="21"/>
          <w:szCs w:val="21"/>
          <w:highlight w:val="none"/>
          <w:u w:val="single"/>
          <w:lang w:val="en-US" w:eastAsia="zh-CN" w:bidi="ar-SA"/>
        </w:rPr>
        <w:t xml:space="preserve">按通用条款执行</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承包人是否应为其施工设备等办理财产保险：</w:t>
      </w:r>
      <w:r>
        <w:rPr>
          <w:rFonts w:hint="eastAsia" w:ascii="宋体" w:hAnsi="宋体" w:eastAsia="宋体" w:cs="宋体"/>
          <w:color w:val="000000"/>
          <w:sz w:val="21"/>
          <w:szCs w:val="21"/>
          <w:highlight w:val="none"/>
          <w:u w:val="single"/>
          <w:lang w:val="en-US" w:eastAsia="zh-CN" w:bidi="ar-SA"/>
        </w:rPr>
        <w:t xml:space="preserve">承包人必须为其施工设备办理保险</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18.3 通知义务</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关于变更保险合同时的通知义务的约定：</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按通用条款执行 </w:t>
      </w:r>
      <w:r>
        <w:rPr>
          <w:rFonts w:hint="eastAsia" w:ascii="宋体" w:hAnsi="宋体" w:eastAsia="宋体" w:cs="宋体"/>
          <w:color w:val="000000"/>
          <w:sz w:val="21"/>
          <w:szCs w:val="21"/>
          <w:highlight w:val="none"/>
          <w:lang w:val="en-US" w:eastAsia="zh-CN" w:bidi="ar-SA"/>
        </w:rPr>
        <w:t xml:space="preserve">。</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bookmarkStart w:id="693" w:name="_Toc351203651"/>
      <w:r>
        <w:rPr>
          <w:rFonts w:hint="eastAsia" w:ascii="宋体" w:hAnsi="宋体" w:eastAsia="宋体" w:cs="宋体"/>
          <w:bCs/>
          <w:color w:val="000000"/>
          <w:sz w:val="21"/>
          <w:szCs w:val="21"/>
          <w:highlight w:val="none"/>
          <w:lang w:val="en-US" w:eastAsia="zh-CN" w:bidi="ar-SA"/>
        </w:rPr>
        <w:t xml:space="preserve">19. 争议解决</w:t>
      </w:r>
      <w:bookmarkEnd w:id="693"/>
      <w:r/>
      <w:bookmarkEnd w:id="678"/>
      <w:r/>
      <w:bookmarkEnd w:id="679"/>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19.1 争</w:t>
      </w:r>
      <w:bookmarkEnd w:id="680"/>
      <w:r>
        <w:rPr>
          <w:rFonts w:hint="eastAsia" w:ascii="宋体" w:hAnsi="宋体" w:eastAsia="宋体" w:cs="宋体"/>
          <w:bCs/>
          <w:color w:val="000000"/>
          <w:sz w:val="21"/>
          <w:szCs w:val="21"/>
          <w:highlight w:val="none"/>
          <w:lang w:val="en-US" w:eastAsia="zh-CN" w:bidi="ar-SA"/>
        </w:rPr>
        <w:t xml:space="preserve">议评审</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合同当事人是否同意将工程争议提交争议评审小组决定：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19.1.1 争议评审小组的确定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争议评审小组成员的确定：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选定争议评审员的期限：</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争议评审小组成员的报酬承担方式：</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其他事项的约定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pageBreakBefore w:val="0"/>
        <w:spacing w:line="4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19.1.2 争议评审小组的决定</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合同当事人关于本项的约定：</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19.2仲裁或诉讼</w:t>
      </w:r>
      <w:bookmarkEnd w:id="681"/>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因合同及合同有关事项发生的争议，按下列第</w:t>
      </w:r>
      <w:r>
        <w:rPr>
          <w:rFonts w:hint="eastAsia"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lang w:val="en-US" w:eastAsia="zh-CN" w:bidi="ar-SA"/>
        </w:rPr>
        <w:t xml:space="preserve">种方式解决：</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（1）向</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仲裁委员会申请仲裁；</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（2）向</w:t>
      </w:r>
      <w:r>
        <w:rPr>
          <w:rFonts w:hint="eastAsia" w:ascii="宋体" w:hAnsi="宋体" w:eastAsia="宋体" w:cs="宋体"/>
          <w:color w:val="000000"/>
          <w:sz w:val="21"/>
          <w:szCs w:val="21"/>
          <w:highlight w:val="none"/>
          <w:u w:val="single"/>
          <w:lang w:val="en-US" w:eastAsia="zh-CN" w:bidi="ar-SA"/>
        </w:rPr>
        <w:t xml:space="preserve">宿迁市</w:t>
      </w:r>
      <w:r>
        <w:rPr>
          <w:rFonts w:hint="eastAsia" w:ascii="宋体" w:hAnsi="宋体" w:eastAsia="宋体" w:cs="宋体"/>
          <w:color w:val="000000"/>
          <w:sz w:val="21"/>
          <w:szCs w:val="21"/>
          <w:highlight w:val="none"/>
          <w:lang w:val="en-US" w:eastAsia="zh-CN" w:bidi="ar-SA"/>
        </w:rPr>
        <w:t xml:space="preserve">人民法院起诉。</w:t>
      </w:r>
      <w:bookmarkEnd w:id="682"/>
      <w:r/>
      <w:bookmarkEnd w:id="683"/>
      <w:r/>
      <w:bookmarkEnd w:id="684"/>
      <w:r/>
      <w:bookmarkEnd w:id="685"/>
      <w:r/>
      <w:bookmarkEnd w:id="686"/>
      <w:r/>
      <w:bookmarkEnd w:id="687"/>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3"/>
      </w:pPr>
      <w:r>
        <w:rPr>
          <w:rFonts w:hint="eastAsia" w:ascii="宋体" w:hAnsi="宋体" w:eastAsia="宋体" w:cs="宋体"/>
          <w:bCs/>
          <w:color w:val="000000"/>
          <w:sz w:val="21"/>
          <w:szCs w:val="21"/>
          <w:highlight w:val="none"/>
          <w:lang w:val="en-US" w:eastAsia="zh-CN" w:bidi="ar-SA"/>
        </w:rPr>
        <w:t xml:space="preserve">20、补充条款</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20.1串通投标行为合同管理实施细则：</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（一）承包人被举报或经核查发现其存在法律法规所列串通投标或弄虚作假情形的，发包人应书面告知承包人。</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日内，向发包人提供相关举证材料。如承包人未能在规定时间内举证或其举证材料不足以排除其存在串通投标和弄虚作假行为的，均视同承包人存在违约责任，承包人应向发包人支付不低于合同金额10%的违约金。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（五）实行承包人项目管理机构主要成员现场签到考勤制度。项目管理机构主要成员每月出勤率不低于80%，否则，应向发包人支付不少于合同金额 5%的违约金。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20.2拖欠农民工工资问题合同管理实施细则，主要内容包括：</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（二）施工企业应在工程项目所在地银行开设农民工工资专用账户，专项用于支付农民工工资。</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（三）施工企业保证不克扣和拖欠工资，不以发包人拖欠工程款为由拖欠农民工工资。</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20.3转包违法分包行为合同管理实施细则：</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（二）转包、违法分包违约责任。承包人不得将承包工程进行转包或违法分包。经核查，发现承包人存在法律法规及《建筑工程施工转包违法分包等违法行为认定查处管理办法（试行）》</w:t>
      </w:r>
      <w:r>
        <w:rPr>
          <w:rFonts w:hint="eastAsia" w:ascii="宋体" w:hAnsi="宋体" w:eastAsia="宋体" w:cs="宋体"/>
          <w:color w:val="000000"/>
          <w:sz w:val="21"/>
          <w:szCs w:val="21"/>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left="0" w:firstLine="420"/>
        <w:jc w:val="both"/>
        <w:keepLines/>
        <w:keepNext/>
        <w:pageBreakBefore w:val="0"/>
        <w:spacing w:line="400" w:lineRule="exact"/>
        <w:widowControl w:val="off"/>
        <w:rPr>
          <w:rFonts w:hint="eastAsia" w:ascii="宋体" w:hAnsi="宋体" w:eastAsia="宋体" w:cs="宋体"/>
          <w:bCs/>
          <w:color w:val="000000"/>
          <w:sz w:val="21"/>
          <w:szCs w:val="21"/>
          <w:highlight w:val="none"/>
          <w:lang w:val="en-US" w:eastAsia="zh-CN" w:bidi="ar-SA"/>
        </w:rPr>
        <w:outlineLvl w:val="4"/>
      </w:pPr>
      <w:r>
        <w:rPr>
          <w:rFonts w:hint="eastAsia" w:ascii="宋体" w:hAnsi="宋体" w:eastAsia="宋体" w:cs="宋体"/>
          <w:bCs/>
          <w:color w:val="000000"/>
          <w:sz w:val="21"/>
          <w:szCs w:val="21"/>
          <w:highlight w:val="none"/>
          <w:lang w:val="en-US" w:eastAsia="zh-CN" w:bidi="ar-SA"/>
        </w:rPr>
        <w:t xml:space="preserve">20.4环境污染行为合同管理实施细则，主要包括以下内容：</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（一）项目开工前，施工方（承包人）主动履行污染物排放申报制度，积极完善各项申报手续。</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（二）禁止违法夜间施工，杜绝噪声扰民现象发生。</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（三）施工、作业现场采取隔离洒水、围挡、场地硬化、料场遮盖等措施，防止扬尘污染。</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（四）商品混凝土、建筑物料、垃圾、渣土运输车辆密闭、进出施工现场进行冲洗，严防沿途抛洒、扬散。</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ind w:left="0" w:firstLine="420"/>
        <w:jc w:val="both"/>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ind w:firstLine="420"/>
        <w:jc w:val="both"/>
        <w:spacing w:line="4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20.5赔偿、违约金及处罚等承包人应支付的款项承包人逾期支付的，发包人有权直接从应付工程款中扣除。</w:t>
      </w:r>
      <w:r/>
    </w:p>
    <w:p>
      <w:pPr>
        <w:ind w:firstLine="420"/>
        <w:jc w:val="both"/>
        <w:spacing w:line="42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ind w:firstLine="420"/>
        <w:jc w:val="both"/>
        <w:spacing w:after="2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both"/>
        <w:spacing w:after="2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both"/>
        <w:keepLines/>
        <w:keepNext/>
        <w:spacing w:before="260" w:after="260" w:line="413" w:lineRule="auto"/>
        <w:widowControl w:val="off"/>
        <w:rPr>
          <w:rFonts w:hint="eastAsia" w:ascii="宋体" w:hAnsi="宋体" w:eastAsia="宋体" w:cs="宋体"/>
          <w:b/>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r>
      <w:r/>
    </w:p>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left="840"/>
        <w:jc w:val="both"/>
        <w:spacing w:after="12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left="840"/>
        <w:jc w:val="both"/>
        <w:spacing w:after="12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left="840"/>
        <w:jc w:val="both"/>
        <w:spacing w:after="120"/>
        <w:widowControl w:val="off"/>
        <w:rPr>
          <w:rFonts w:hint="eastAsia" w:ascii="Calibri" w:hAnsi="Calibri" w:eastAsia="Times New Roman" w:cs="Times New Roman"/>
          <w:sz w:val="21"/>
          <w:szCs w:val="22"/>
          <w:highlight w:val="none"/>
          <w:lang w:val="en-US" w:eastAsia="zh-CN" w:bidi="ar-SA"/>
        </w:rPr>
      </w:pPr>
      <w:r>
        <w:rPr>
          <w:rFonts w:hint="eastAsia" w:ascii="Calibri" w:hAnsi="Calibri" w:eastAsia="Times New Roman" w:cs="Times New Roman"/>
          <w:sz w:val="21"/>
          <w:szCs w:val="22"/>
          <w:highlight w:val="none"/>
          <w:lang w:val="en-US" w:eastAsia="zh-CN" w:bidi="ar-SA"/>
        </w:rPr>
      </w:r>
      <w:r/>
    </w:p>
    <w:p>
      <w:pPr>
        <w:jc w:val="both"/>
        <w:widowControl w:val="off"/>
        <w:rPr>
          <w:rFonts w:hint="eastAsia" w:ascii="Calibri" w:hAnsi="Calibri" w:eastAsia="宋体" w:cs="Times New Roman"/>
          <w:sz w:val="21"/>
          <w:szCs w:val="22"/>
          <w:highlight w:val="none"/>
          <w:lang w:val="en-US" w:eastAsia="zh-CN" w:bidi="ar-SA"/>
        </w:rPr>
      </w:pPr>
      <w:r>
        <w:rPr>
          <w:rFonts w:hint="eastAsia" w:ascii="Calibri" w:hAnsi="Calibri" w:eastAsia="宋体" w:cs="Times New Roman"/>
          <w:sz w:val="21"/>
          <w:szCs w:val="22"/>
          <w:highlight w:val="none"/>
          <w:lang w:val="en-US" w:eastAsia="zh-CN" w:bidi="ar-SA"/>
        </w:rPr>
      </w:r>
      <w:r/>
    </w:p>
    <w:p>
      <w:pPr>
        <w:jc w:val="both"/>
        <w:spacing w:after="2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附</w:t>
      </w:r>
      <w:bookmarkStart w:id="694" w:name="_Toc296891054"/>
      <w:r/>
      <w:bookmarkStart w:id="695" w:name="_Toc296347225"/>
      <w:r/>
      <w:bookmarkStart w:id="696" w:name="_Toc296346727"/>
      <w:r/>
      <w:bookmarkStart w:id="697" w:name="_Toc267261693"/>
      <w:r/>
      <w:bookmarkStart w:id="698" w:name="_Toc296891266"/>
      <w:r/>
      <w:bookmarkStart w:id="699" w:name="_Toc296503226"/>
      <w:r/>
      <w:bookmarkStart w:id="700" w:name="_Toc296944565"/>
      <w:r>
        <w:rPr>
          <w:rFonts w:hint="eastAsia" w:ascii="宋体" w:hAnsi="宋体" w:eastAsia="宋体" w:cs="宋体"/>
          <w:color w:val="000000"/>
          <w:sz w:val="21"/>
          <w:szCs w:val="21"/>
          <w:highlight w:val="none"/>
          <w:lang w:val="en-US" w:eastAsia="zh-CN" w:bidi="ar-SA"/>
        </w:rPr>
        <w:t xml:space="preserve">件1：</w:t>
      </w:r>
      <w:bookmarkEnd w:id="694"/>
      <w:r/>
      <w:bookmarkEnd w:id="695"/>
      <w:r/>
      <w:bookmarkEnd w:id="696"/>
      <w:r/>
      <w:bookmarkEnd w:id="697"/>
      <w:r/>
      <w:bookmarkEnd w:id="698"/>
      <w:r/>
      <w:bookmarkEnd w:id="699"/>
      <w:r/>
      <w:bookmarkEnd w:id="700"/>
      <w:r>
        <w:rPr>
          <w:rFonts w:hint="eastAsia" w:ascii="宋体" w:hAnsi="宋体" w:eastAsia="宋体" w:cs="宋体"/>
          <w:color w:val="000000"/>
          <w:sz w:val="21"/>
          <w:szCs w:val="21"/>
          <w:highlight w:val="none"/>
          <w:lang w:val="en-US" w:eastAsia="zh-CN" w:bidi="ar-SA"/>
        </w:rPr>
        <w:t xml:space="preserve">    </w:t>
      </w:r>
      <w:r/>
    </w:p>
    <w:p>
      <w:pPr>
        <w:jc w:val="center"/>
        <w:spacing w:after="2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工程质量保修书</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发包人（全称）：</w:t>
      </w:r>
      <w:r>
        <w:rPr>
          <w:rFonts w:hint="eastAsia" w:ascii="宋体" w:hAnsi="宋体" w:eastAsia="宋体" w:cs="宋体"/>
          <w:color w:val="000000"/>
          <w:sz w:val="21"/>
          <w:szCs w:val="21"/>
          <w:highlight w:val="none"/>
          <w:u w:val="single"/>
          <w:lang w:val="en-US" w:eastAsia="zh-CN" w:bidi="ar-SA"/>
        </w:rPr>
        <w:t xml:space="preserve">宿迁市湖滨新区住房和城乡建设局</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承包人（全称）：</w:t>
      </w:r>
      <w:r>
        <w:rPr>
          <w:rFonts w:hint="eastAsia" w:ascii="宋体" w:hAnsi="宋体" w:eastAsia="宋体" w:cs="宋体"/>
          <w:sz w:val="21"/>
          <w:szCs w:val="22"/>
          <w:highlight w:val="none"/>
          <w:u w:val="single"/>
          <w:lang w:val="en-US" w:eastAsia="zh-CN" w:bidi="ar-SA"/>
        </w:rPr>
        <w:t xml:space="preserve">                                </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lang w:val="en-US" w:eastAsia="zh-CN" w:bidi="ar-SA"/>
        </w:rPr>
        <w:t xml:space="preserve">湖滨新区排水管网零星更新改造</w:t>
      </w:r>
      <w:r>
        <w:rPr>
          <w:rFonts w:hint="eastAsia" w:ascii="宋体" w:hAnsi="宋体" w:eastAsia="宋体" w:cs="宋体"/>
          <w:color w:val="000000"/>
          <w:sz w:val="21"/>
          <w:szCs w:val="21"/>
          <w:highlight w:val="none"/>
          <w:u w:val="single"/>
          <w:lang w:val="en-US" w:eastAsia="zh-CN" w:bidi="ar-SA"/>
        </w:rPr>
        <w:t xml:space="preserve">工程</w:t>
      </w:r>
      <w:r>
        <w:rPr>
          <w:rFonts w:hint="eastAsia" w:ascii="宋体" w:hAnsi="宋体" w:eastAsia="宋体" w:cs="宋体"/>
          <w:color w:val="000000"/>
          <w:sz w:val="21"/>
          <w:szCs w:val="21"/>
          <w:highlight w:val="none"/>
          <w:lang w:val="en-US" w:eastAsia="zh-CN" w:bidi="ar-SA"/>
        </w:rPr>
        <w:t xml:space="preserve">（工程全称）签订工程质量保修书。</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一、工程质量保修范围和内容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承包人在质量保修期内，按照有关法律规定和合同约定，承担工程质量保修责任。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lang w:val="en-US" w:eastAsia="zh-CN" w:bidi="ar-SA"/>
        </w:rPr>
        <w:t xml:space="preserve">合同范围内的全部项目内容</w:t>
      </w:r>
      <w:r>
        <w:rPr>
          <w:rFonts w:hint="eastAsia" w:ascii="宋体" w:hAnsi="宋体" w:eastAsia="宋体" w:cs="宋体"/>
          <w:color w:val="000000"/>
          <w:sz w:val="21"/>
          <w:szCs w:val="21"/>
          <w:highlight w:val="none"/>
          <w:lang w:val="en-US" w:eastAsia="zh-CN" w:bidi="ar-SA"/>
        </w:rPr>
        <w:t xml:space="preserve">。</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二、质量保修期</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根据《建设工程质量管理条例》及有关规定，工程的质量保修期如下：</w:t>
      </w:r>
      <w:r/>
    </w:p>
    <w:p>
      <w:pPr>
        <w:numPr>
          <w:ilvl w:val="0"/>
          <w:numId w:val="6"/>
        </w:num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地基基础工程和主体结构工程为设计文件规定的工程合理使用年限；</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2．屋面防水工程、有防水要求的卫生间、房间和外墙面的防渗为</w:t>
      </w:r>
      <w:r>
        <w:rPr>
          <w:rFonts w:hint="eastAsia" w:ascii="宋体" w:hAnsi="宋体" w:eastAsia="宋体" w:cs="宋体"/>
          <w:color w:val="000000"/>
          <w:sz w:val="21"/>
          <w:szCs w:val="21"/>
          <w:highlight w:val="none"/>
          <w:u w:val="single"/>
          <w:lang w:val="en-US" w:eastAsia="zh-CN" w:bidi="ar-SA"/>
        </w:rPr>
        <w:t xml:space="preserve"> 5 </w:t>
      </w:r>
      <w:r>
        <w:rPr>
          <w:rFonts w:hint="eastAsia" w:ascii="宋体" w:hAnsi="宋体" w:eastAsia="宋体" w:cs="宋体"/>
          <w:color w:val="000000"/>
          <w:sz w:val="21"/>
          <w:szCs w:val="21"/>
          <w:highlight w:val="none"/>
          <w:lang w:val="en-US" w:eastAsia="zh-CN" w:bidi="ar-SA"/>
        </w:rPr>
        <w:t xml:space="preserve">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3．装修工程为</w:t>
      </w:r>
      <w:r>
        <w:rPr>
          <w:rFonts w:hint="eastAsia"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lang w:val="en-US" w:eastAsia="zh-CN" w:bidi="ar-SA"/>
        </w:rPr>
        <w:t xml:space="preserve">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4．电气管线、给排水管道、设备安装工程为</w:t>
      </w:r>
      <w:r>
        <w:rPr>
          <w:rFonts w:hint="eastAsia"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lang w:val="en-US" w:eastAsia="zh-CN" w:bidi="ar-SA"/>
        </w:rPr>
        <w:t xml:space="preserve">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5．供热与供冷系统为</w:t>
      </w:r>
      <w:r>
        <w:rPr>
          <w:rFonts w:hint="eastAsia"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lang w:val="en-US" w:eastAsia="zh-CN" w:bidi="ar-SA"/>
        </w:rPr>
        <w:t xml:space="preserve">个采暖期、供冷期；</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6．住宅小区内的给排水设施、道路等配套工程为</w:t>
      </w:r>
      <w:r>
        <w:rPr>
          <w:rFonts w:hint="eastAsia"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lang w:val="en-US" w:eastAsia="zh-CN" w:bidi="ar-SA"/>
        </w:rPr>
        <w:t xml:space="preserve">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7．其他项目保修期限约定如下：</w:t>
      </w:r>
      <w:r>
        <w:rPr>
          <w:rFonts w:hint="eastAsia" w:ascii="宋体" w:hAnsi="宋体" w:eastAsia="宋体" w:cs="宋体"/>
          <w:color w:val="000000"/>
          <w:sz w:val="21"/>
          <w:szCs w:val="21"/>
          <w:highlight w:val="none"/>
          <w:u w:val="single"/>
          <w:lang w:val="en-US" w:eastAsia="zh-CN" w:bidi="ar-SA"/>
        </w:rPr>
        <w:t xml:space="preserve">2年</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质量保修期自工程竣工验收合格之日起计算。</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三、缺陷责任期</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工程缺陷责任期为</w:t>
      </w:r>
      <w:r>
        <w:rPr>
          <w:rFonts w:hint="eastAsia" w:ascii="宋体" w:hAnsi="宋体" w:eastAsia="宋体" w:cs="宋体"/>
          <w:color w:val="000000"/>
          <w:sz w:val="21"/>
          <w:szCs w:val="21"/>
          <w:highlight w:val="none"/>
          <w:u w:val="single"/>
          <w:lang w:val="en-US" w:eastAsia="zh-CN" w:bidi="ar-SA"/>
        </w:rPr>
        <w:t xml:space="preserve"> 24 </w:t>
      </w:r>
      <w:r>
        <w:rPr>
          <w:rFonts w:hint="eastAsia" w:ascii="宋体" w:hAnsi="宋体" w:eastAsia="宋体" w:cs="宋体"/>
          <w:color w:val="000000"/>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缺陷责任期终止后，发包人应退还剩余的质量保证金。</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四、质量保修责任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2．发生紧急事故需抢修的，承包人在接到事故通知后，应当立即到达事故现场抢修。</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4．质量保修完成后，由发包人组织验收。</w:t>
      </w:r>
      <w:r/>
    </w:p>
    <w:p>
      <w:pPr>
        <w:ind w:left="0" w:firstLine="422"/>
        <w:jc w:val="both"/>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五、保修费用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保修费用由造成质量缺陷的责任方承担。</w:t>
      </w:r>
      <w:r/>
    </w:p>
    <w:p>
      <w:pPr>
        <w:ind w:left="0" w:firstLine="422"/>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六、双方约定的其他工程质量保修事项</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工程质量保修书由发包人、承包人在工程竣工验收前共同签署，作为施工合同附件，其有效期限至保修期满。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0" w:firstLine="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发包人(公章)：</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承包人(公章)：</w:t>
      </w:r>
      <w:r>
        <w:rPr>
          <w:rFonts w:hint="eastAsia" w:ascii="宋体" w:hAnsi="宋体" w:eastAsia="宋体" w:cs="宋体"/>
          <w:color w:val="000000"/>
          <w:sz w:val="21"/>
          <w:szCs w:val="21"/>
          <w:highlight w:val="none"/>
          <w:u w:val="single"/>
          <w:lang w:val="en-US" w:eastAsia="zh-CN" w:bidi="ar-SA"/>
        </w:rPr>
        <w:t xml:space="preserve">                            </w:t>
      </w:r>
      <w:r/>
    </w:p>
    <w:p>
      <w:pPr>
        <w:ind w:left="0" w:firstLine="0"/>
        <w:jc w:val="both"/>
        <w:keepLines w:val="0"/>
        <w:keepNext w:val="0"/>
        <w:pageBreakBefore w:val="0"/>
        <w:spacing w:line="400" w:lineRule="exact"/>
        <w:widowControl w:val="off"/>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地  址：</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地  址：</w:t>
      </w:r>
      <w:r>
        <w:rPr>
          <w:rFonts w:hint="eastAsia" w:ascii="宋体" w:hAnsi="宋体" w:eastAsia="宋体" w:cs="宋体"/>
          <w:color w:val="000000"/>
          <w:sz w:val="21"/>
          <w:szCs w:val="21"/>
          <w:highlight w:val="none"/>
          <w:u w:val="single"/>
          <w:lang w:val="en-US" w:eastAsia="zh-CN" w:bidi="ar-SA"/>
        </w:rPr>
        <w:t xml:space="preserve">                               </w:t>
      </w:r>
      <w:r/>
    </w:p>
    <w:p>
      <w:pPr>
        <w:ind w:left="0" w:firstLine="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法定代表人(签字)：</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法定代表人(签字)：</w:t>
      </w:r>
      <w:r>
        <w:rPr>
          <w:rFonts w:hint="eastAsia" w:ascii="宋体" w:hAnsi="宋体" w:eastAsia="宋体" w:cs="宋体"/>
          <w:color w:val="000000"/>
          <w:sz w:val="21"/>
          <w:szCs w:val="21"/>
          <w:highlight w:val="none"/>
          <w:u w:val="single"/>
          <w:lang w:val="en-US" w:eastAsia="zh-CN" w:bidi="ar-SA"/>
        </w:rPr>
        <w:t xml:space="preserve">                   </w:t>
      </w:r>
      <w:r/>
    </w:p>
    <w:p>
      <w:pPr>
        <w:ind w:left="0" w:firstLine="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委托代理人：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委托代理人：</w:t>
      </w:r>
      <w:r>
        <w:rPr>
          <w:rFonts w:hint="eastAsia" w:ascii="宋体" w:hAnsi="宋体" w:eastAsia="宋体" w:cs="宋体"/>
          <w:color w:val="000000"/>
          <w:sz w:val="21"/>
          <w:szCs w:val="21"/>
          <w:highlight w:val="none"/>
          <w:u w:val="single"/>
          <w:lang w:val="en-US" w:eastAsia="zh-CN" w:bidi="ar-SA"/>
        </w:rPr>
        <w:t xml:space="preserve">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电  话：</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电  话：</w:t>
      </w:r>
      <w:r>
        <w:rPr>
          <w:rFonts w:hint="eastAsia" w:ascii="宋体" w:hAnsi="宋体" w:eastAsia="宋体" w:cs="宋体"/>
          <w:color w:val="000000"/>
          <w:sz w:val="21"/>
          <w:szCs w:val="21"/>
          <w:highlight w:val="none"/>
          <w:u w:val="single"/>
          <w:lang w:val="en-US" w:eastAsia="zh-CN" w:bidi="ar-SA"/>
        </w:rPr>
        <w:t xml:space="preserve">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传  真：</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              传  真：</w:t>
      </w:r>
      <w:r>
        <w:rPr>
          <w:rFonts w:hint="eastAsia" w:ascii="宋体" w:hAnsi="宋体" w:eastAsia="宋体" w:cs="宋体"/>
          <w:color w:val="000000"/>
          <w:sz w:val="21"/>
          <w:szCs w:val="21"/>
          <w:highlight w:val="none"/>
          <w:u w:val="single"/>
          <w:lang w:val="en-US" w:eastAsia="zh-CN" w:bidi="ar-SA"/>
        </w:rPr>
        <w:t xml:space="preserve">   /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开户银行：</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             开户银行：</w:t>
      </w:r>
      <w:r>
        <w:rPr>
          <w:rFonts w:hint="eastAsia" w:ascii="宋体" w:hAnsi="宋体" w:eastAsia="宋体" w:cs="宋体"/>
          <w:color w:val="000000"/>
          <w:sz w:val="21"/>
          <w:szCs w:val="21"/>
          <w:highlight w:val="none"/>
          <w:u w:val="single"/>
          <w:lang w:val="en-US" w:eastAsia="zh-CN" w:bidi="ar-SA"/>
        </w:rPr>
        <w:t xml:space="preserve">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账  号：</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                 账  号：</w:t>
      </w:r>
      <w:r>
        <w:rPr>
          <w:rFonts w:hint="eastAsia" w:ascii="宋体" w:hAnsi="宋体" w:eastAsia="宋体" w:cs="宋体"/>
          <w:color w:val="000000"/>
          <w:sz w:val="21"/>
          <w:szCs w:val="21"/>
          <w:highlight w:val="none"/>
          <w:u w:val="single"/>
          <w:lang w:val="en-US" w:eastAsia="zh-CN" w:bidi="ar-SA"/>
        </w:rPr>
        <w:t xml:space="preserve">                         </w:t>
      </w:r>
      <w:r/>
    </w:p>
    <w:p>
      <w:pPr>
        <w:spacing w:line="360" w:lineRule="auto"/>
        <w:widowControl/>
        <w:rPr>
          <w:rFonts w:hint="eastAsia" w:ascii="宋体" w:hAnsi="宋体" w:cs="宋体"/>
          <w:sz w:val="24"/>
          <w:szCs w:val="24"/>
        </w:rPr>
      </w:pPr>
      <w:r>
        <w:rPr>
          <w:rFonts w:hint="eastAsia" w:ascii="宋体" w:hAnsi="宋体" w:eastAsia="宋体" w:cs="宋体"/>
          <w:color w:val="000000"/>
          <w:sz w:val="21"/>
          <w:szCs w:val="21"/>
          <w:highlight w:val="none"/>
          <w:lang w:val="en-US" w:eastAsia="zh-CN" w:bidi="ar-SA"/>
        </w:rPr>
        <w:t xml:space="preserve">邮政编码：</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邮政编码：</w:t>
      </w:r>
      <w:r>
        <w:rPr>
          <w:rFonts w:hint="eastAsia" w:ascii="宋体" w:hAnsi="宋体" w:eastAsia="宋体" w:cs="宋体"/>
          <w:color w:val="000000"/>
          <w:sz w:val="21"/>
          <w:szCs w:val="21"/>
          <w:highlight w:val="none"/>
          <w:u w:val="single"/>
          <w:lang w:val="en-US" w:eastAsia="zh-CN" w:bidi="ar-SA"/>
        </w:rPr>
        <w:t xml:space="preserve">                           </w:t>
      </w:r>
      <w:r/>
    </w:p>
    <w:p>
      <w:r/>
      <w:r/>
    </w:p>
    <w:p>
      <w:pPr>
        <w:pStyle w:val="1422"/>
        <w:rPr>
          <w:rFonts w:hint="eastAsia" w:ascii="仿宋" w:hAnsi="仿宋" w:eastAsia="仿宋" w:cs="仿宋"/>
          <w:szCs w:val="21"/>
        </w:rPr>
      </w:pPr>
      <w:r>
        <w:rPr>
          <w:rFonts w:hint="eastAsia" w:ascii="仿宋" w:hAnsi="仿宋" w:eastAsia="仿宋" w:cs="仿宋"/>
          <w:szCs w:val="21"/>
        </w:rPr>
      </w:r>
      <w:r/>
    </w:p>
    <w:p>
      <w:pPr>
        <w:ind w:firstLine="480"/>
        <w:spacing w:line="500" w:lineRule="exact"/>
        <w:rPr>
          <w:rFonts w:ascii="Times New Roman" w:hAnsi="Times New Roman"/>
          <w:bCs/>
          <w:sz w:val="24"/>
          <w:szCs w:val="21"/>
        </w:rPr>
      </w:pPr>
      <w:r>
        <w:rPr>
          <w:rFonts w:ascii="Times New Roman" w:hAnsi="Times New Roman"/>
          <w:bCs/>
          <w:sz w:val="24"/>
          <w:szCs w:val="21"/>
        </w:rPr>
      </w:r>
      <w:r/>
    </w:p>
    <w:p>
      <w:pPr>
        <w:jc w:val="center"/>
        <w:keepNext/>
        <w:rPr>
          <w:rFonts w:ascii="Times New Roman" w:hAnsi="Times New Roman" w:eastAsia="黑体"/>
          <w:sz w:val="44"/>
          <w:szCs w:val="44"/>
        </w:rPr>
        <w:outlineLvl w:val="0"/>
      </w:pPr>
      <w:r/>
      <w:bookmarkStart w:id="701" w:name="_Hlt16619369"/>
      <w:r/>
      <w:bookmarkEnd w:id="701"/>
      <w:r/>
      <w:bookmarkStart w:id="702" w:name="_Hlt16619350"/>
      <w:r/>
      <w:bookmarkStart w:id="703" w:name="_Toc16938590"/>
      <w:r/>
      <w:bookmarkStart w:id="704" w:name="_Toc120614244"/>
      <w:r/>
      <w:bookmarkStart w:id="705" w:name="_Toc20823346"/>
      <w:r/>
      <w:bookmarkStart w:id="706" w:name="_Toc462564139"/>
      <w:r/>
      <w:bookmarkStart w:id="707" w:name="_Toc479757211"/>
      <w:r>
        <w:rPr>
          <w:rFonts w:ascii="Times New Roman" w:hAnsi="Times New Roman" w:eastAsia="黑体" w:cs="Courier New"/>
          <w:bCs/>
          <w:sz w:val="44"/>
          <w:szCs w:val="21"/>
        </w:rPr>
        <w:br w:type="page" w:clear="all"/>
      </w:r>
      <w:bookmarkStart w:id="708" w:name="_Toc12796"/>
      <w:r>
        <w:rPr>
          <w:rFonts w:hint="eastAsia" w:ascii="Times New Roman" w:hAnsi="Times New Roman" w:eastAsia="黑体"/>
          <w:sz w:val="44"/>
          <w:szCs w:val="44"/>
        </w:rPr>
        <w:t xml:space="preserve">第</w:t>
      </w:r>
      <w:bookmarkEnd w:id="702"/>
      <w:r>
        <w:rPr>
          <w:rFonts w:hint="eastAsia" w:ascii="Times New Roman" w:hAnsi="Times New Roman" w:eastAsia="黑体"/>
          <w:sz w:val="44"/>
          <w:szCs w:val="44"/>
        </w:rPr>
        <w:t xml:space="preserve">四章  采购需求</w:t>
      </w:r>
      <w:bookmarkEnd w:id="703"/>
      <w:r/>
      <w:bookmarkEnd w:id="704"/>
      <w:r/>
      <w:bookmarkEnd w:id="705"/>
      <w:r/>
      <w:bookmarkEnd w:id="708"/>
      <w:r/>
      <w:bookmarkStart w:id="709" w:name="_Toc49090575"/>
      <w:r/>
      <w:bookmarkStart w:id="710" w:name="_Toc26554093"/>
      <w:r/>
      <w:r/>
    </w:p>
    <w:p>
      <w:pPr>
        <w:ind w:firstLine="480"/>
        <w:spacing w:line="360" w:lineRule="auto"/>
        <w:rPr>
          <w:rFonts w:ascii="Times New Roman" w:hAnsi="Times New Roman" w:cs="Courier New"/>
          <w:sz w:val="24"/>
          <w:szCs w:val="24"/>
        </w:rPr>
      </w:pPr>
      <w:r>
        <w:rPr>
          <w:rFonts w:ascii="Times New Roman" w:hAnsi="Times New Roman" w:cs="Courier New"/>
          <w:sz w:val="24"/>
          <w:szCs w:val="24"/>
        </w:rPr>
      </w:r>
      <w:r/>
    </w:p>
    <w:p>
      <w:pPr>
        <w:ind w:firstLine="640"/>
        <w:jc w:val="left"/>
        <w:spacing w:before="120" w:after="120" w:line="480" w:lineRule="exact"/>
        <w:widowControl/>
        <w:rPr>
          <w:rFonts w:hint="eastAsia" w:ascii="宋体" w:hAnsi="宋体" w:cs="宋体"/>
          <w:b/>
          <w:sz w:val="28"/>
          <w:szCs w:val="28"/>
        </w:rPr>
        <w:outlineLvl w:val="1"/>
      </w:pPr>
      <w:r/>
      <w:bookmarkStart w:id="711" w:name="_Toc18856"/>
      <w:r/>
      <w:bookmarkStart w:id="712" w:name="_Toc29872"/>
      <w:r>
        <w:rPr>
          <w:rFonts w:hint="eastAsia" w:ascii="宋体" w:hAnsi="宋体" w:cs="宋体"/>
          <w:b/>
          <w:sz w:val="28"/>
          <w:szCs w:val="28"/>
        </w:rPr>
        <w:t xml:space="preserve">一、采购标的清单</w:t>
      </w:r>
      <w:bookmarkEnd w:id="711"/>
      <w:r/>
      <w:bookmarkEnd w:id="712"/>
      <w:r/>
      <w:r/>
    </w:p>
    <w:tbl>
      <w:tblPr>
        <w:tblStyle w:val="8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4234"/>
        <w:gridCol w:w="3706"/>
      </w:tblGrid>
      <w:tr>
        <w:trPr>
          <w:cantSplit/>
          <w:jc w:val="center"/>
          <w:trHeight w:val="760"/>
        </w:trPr>
        <w:tc>
          <w:tcPr>
            <w:tcW w:w="670" w:type="pct"/>
            <w:vAlign w:val="center"/>
            <w:textDirection w:val="lrTb"/>
            <w:noWrap w:val="false"/>
          </w:tcPr>
          <w:p>
            <w:pPr>
              <w:jc w:val="center"/>
              <w:spacing w:line="480" w:lineRule="exact"/>
              <w:tabs>
                <w:tab w:val="left" w:pos="2020" w:leader="none"/>
              </w:tabs>
              <w:rPr>
                <w:rFonts w:ascii="Times New Roman" w:hAnsi="Times New Roman" w:cs="Courier New"/>
                <w:sz w:val="24"/>
                <w:szCs w:val="24"/>
              </w:rPr>
            </w:pPr>
            <w:r>
              <w:rPr>
                <w:rFonts w:hint="eastAsia" w:ascii="Times New Roman" w:hAnsi="Times New Roman" w:cs="Courier New"/>
                <w:sz w:val="24"/>
                <w:szCs w:val="24"/>
              </w:rPr>
              <w:t xml:space="preserve">采购包号</w:t>
            </w:r>
            <w:r/>
          </w:p>
        </w:tc>
        <w:tc>
          <w:tcPr>
            <w:tcW w:w="2308" w:type="pct"/>
            <w:vAlign w:val="center"/>
            <w:textDirection w:val="lrTb"/>
            <w:noWrap w:val="false"/>
          </w:tcPr>
          <w:p>
            <w:pPr>
              <w:jc w:val="center"/>
              <w:spacing w:line="480" w:lineRule="exact"/>
              <w:tabs>
                <w:tab w:val="left" w:pos="2020" w:leader="none"/>
              </w:tabs>
              <w:rPr>
                <w:rFonts w:ascii="Times New Roman" w:hAnsi="Times New Roman" w:cs="Courier New"/>
                <w:sz w:val="24"/>
                <w:szCs w:val="24"/>
              </w:rPr>
            </w:pPr>
            <w:r>
              <w:rPr>
                <w:rFonts w:hint="eastAsia" w:ascii="Times New Roman" w:hAnsi="Times New Roman" w:cs="Courier New"/>
                <w:sz w:val="24"/>
                <w:szCs w:val="24"/>
              </w:rPr>
              <w:t xml:space="preserve">采购标的</w:t>
            </w:r>
            <w:r/>
          </w:p>
        </w:tc>
        <w:tc>
          <w:tcPr>
            <w:tcW w:w="2020" w:type="pct"/>
            <w:vAlign w:val="center"/>
            <w:textDirection w:val="lrTb"/>
            <w:noWrap w:val="false"/>
          </w:tcPr>
          <w:p>
            <w:pPr>
              <w:jc w:val="center"/>
              <w:spacing w:line="480" w:lineRule="exact"/>
              <w:tabs>
                <w:tab w:val="left" w:pos="2020" w:leader="none"/>
              </w:tabs>
              <w:rPr>
                <w:rFonts w:ascii="Times New Roman" w:hAnsi="Times New Roman" w:cs="Courier New"/>
                <w:sz w:val="24"/>
                <w:szCs w:val="24"/>
              </w:rPr>
            </w:pPr>
            <w:r>
              <w:rPr>
                <w:rFonts w:hint="eastAsia" w:ascii="Times New Roman" w:hAnsi="Times New Roman" w:cs="Courier New"/>
                <w:sz w:val="24"/>
                <w:szCs w:val="24"/>
              </w:rPr>
              <w:t xml:space="preserve">对应中小企业划分标准所属行业</w:t>
            </w:r>
            <w:r/>
          </w:p>
        </w:tc>
      </w:tr>
      <w:tr>
        <w:trPr>
          <w:cantSplit/>
          <w:jc w:val="center"/>
          <w:trHeight w:val="760"/>
        </w:trPr>
        <w:tc>
          <w:tcPr>
            <w:tcW w:w="670" w:type="pct"/>
            <w:vAlign w:val="center"/>
            <w:textDirection w:val="lrTb"/>
            <w:noWrap w:val="false"/>
          </w:tcPr>
          <w:p>
            <w:pPr>
              <w:ind w:firstLine="480"/>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308" w:type="pct"/>
            <w:vAlign w:val="center"/>
            <w:textDirection w:val="lrTb"/>
            <w:noWrap w:val="false"/>
          </w:tcPr>
          <w:p>
            <w:pPr>
              <w:jc w:val="center"/>
              <w:spacing w:line="480" w:lineRule="exact"/>
              <w:tabs>
                <w:tab w:val="left" w:pos="2020" w:leader="none"/>
              </w:tabs>
              <w:rPr>
                <w:rFonts w:hint="eastAsia" w:ascii="宋体" w:hAnsi="宋体"/>
                <w:sz w:val="24"/>
                <w:szCs w:val="24"/>
              </w:rPr>
            </w:pPr>
            <w:r>
              <w:rPr>
                <w:rFonts w:hint="eastAsia" w:ascii="Times New Roman" w:hAnsi="Times New Roman" w:cs="Courier New"/>
                <w:sz w:val="24"/>
                <w:szCs w:val="24"/>
              </w:rPr>
              <w:t xml:space="preserve">湖滨新区排水管网零星更新改造</w:t>
            </w:r>
            <w:r>
              <w:rPr>
                <w:rFonts w:hint="eastAsia" w:ascii="Times New Roman" w:hAnsi="Times New Roman" w:cs="Courier New"/>
                <w:sz w:val="24"/>
                <w:szCs w:val="24"/>
              </w:rPr>
              <w:t xml:space="preserve">工程</w:t>
            </w:r>
            <w:r/>
          </w:p>
        </w:tc>
        <w:tc>
          <w:tcPr>
            <w:tcW w:w="2020"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建筑业</w:t>
            </w:r>
            <w:r/>
          </w:p>
        </w:tc>
      </w:tr>
    </w:tbl>
    <w:p>
      <w:pPr>
        <w:ind w:firstLine="640"/>
        <w:jc w:val="left"/>
        <w:spacing w:before="120" w:after="120" w:line="480" w:lineRule="exact"/>
        <w:widowControl/>
        <w:rPr>
          <w:rFonts w:hint="eastAsia" w:ascii="宋体" w:hAnsi="宋体" w:cs="宋体"/>
          <w:b/>
          <w:sz w:val="28"/>
          <w:szCs w:val="28"/>
        </w:rPr>
        <w:outlineLvl w:val="1"/>
      </w:pPr>
      <w:r/>
      <w:bookmarkStart w:id="713" w:name="_Toc1097"/>
      <w:r>
        <w:rPr>
          <w:rFonts w:hint="eastAsia" w:ascii="宋体" w:hAnsi="宋体" w:cs="宋体"/>
          <w:b/>
          <w:sz w:val="28"/>
          <w:szCs w:val="28"/>
        </w:rPr>
        <w:t xml:space="preserve">二、项目概况</w:t>
      </w:r>
      <w:bookmarkEnd w:id="713"/>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本次采购内容：湖滨新区排水管网零星更新改造</w:t>
      </w:r>
      <w:r>
        <w:rPr>
          <w:rFonts w:hint="eastAsia" w:ascii="Times New Roman" w:hAnsi="Times New Roman" w:cs="Courier New"/>
          <w:sz w:val="24"/>
          <w:szCs w:val="24"/>
        </w:rPr>
        <w:t xml:space="preserve">工程</w:t>
      </w:r>
      <w:r>
        <w:rPr>
          <w:rFonts w:hint="eastAsia" w:ascii="Times New Roman" w:hAnsi="Times New Roman" w:cs="Courier New"/>
          <w:sz w:val="24"/>
          <w:szCs w:val="24"/>
        </w:rPr>
        <w:t xml:space="preserve">施工，包括但不限于雨污水管网清淤、疏通，管道部位机动车车道、非机动车道、人行道拆除面层及基层、基层及面层恢复、排水管及检查井拆除及恢复等</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具体内容详见工程量清单及图纸。</w:t>
      </w:r>
      <w:r/>
    </w:p>
    <w:p>
      <w:pPr>
        <w:ind w:firstLine="640"/>
        <w:jc w:val="left"/>
        <w:spacing w:before="120" w:after="120" w:line="480" w:lineRule="exact"/>
        <w:widowControl/>
        <w:rPr>
          <w:rFonts w:hint="eastAsia" w:ascii="宋体" w:hAnsi="宋体" w:cs="宋体"/>
          <w:b/>
          <w:sz w:val="28"/>
          <w:szCs w:val="28"/>
        </w:rPr>
        <w:outlineLvl w:val="1"/>
      </w:pPr>
      <w:r/>
      <w:bookmarkStart w:id="714" w:name="_Toc10647"/>
      <w:r/>
      <w:bookmarkStart w:id="715" w:name="_Toc11152"/>
      <w:r>
        <w:rPr>
          <w:rFonts w:hint="eastAsia" w:ascii="Times New Roman" w:hAnsi="Times New Roman" w:cs="仿宋"/>
          <w:sz w:val="24"/>
        </w:rPr>
        <w:t xml:space="preserve">★</w:t>
      </w:r>
      <w:r>
        <w:rPr>
          <w:rFonts w:hint="eastAsia" w:ascii="宋体" w:hAnsi="宋体" w:cs="宋体"/>
          <w:b/>
          <w:sz w:val="28"/>
          <w:szCs w:val="28"/>
        </w:rPr>
        <w:t xml:space="preserve">三、商务要求</w:t>
      </w:r>
      <w:bookmarkEnd w:id="714"/>
      <w:r/>
      <w:bookmarkEnd w:id="715"/>
      <w:r/>
      <w:r/>
    </w:p>
    <w:p>
      <w:pPr>
        <w:ind w:firstLine="480"/>
        <w:spacing w:line="360" w:lineRule="auto"/>
        <w:rPr>
          <w:rFonts w:ascii="Times New Roman" w:hAnsi="Times New Roman" w:cs="Courier New"/>
          <w:b/>
          <w:bCs/>
          <w:sz w:val="24"/>
          <w:szCs w:val="24"/>
        </w:rPr>
      </w:pPr>
      <w:r>
        <w:rPr>
          <w:rFonts w:hint="eastAsia" w:ascii="Times New Roman" w:hAnsi="Times New Roman" w:cs="Courier New"/>
          <w:b/>
          <w:bCs/>
          <w:sz w:val="24"/>
          <w:szCs w:val="24"/>
        </w:rPr>
        <w:t xml:space="preserve">（一）付款方式：</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预付款：合同金额的10%，合同签订后按规定支付；（成交人向采购人提供等额的银行保函）</w:t>
      </w:r>
      <w:r/>
    </w:p>
    <w:p>
      <w:pPr>
        <w:ind w:firstLine="480"/>
        <w:spacing w:line="360" w:lineRule="auto"/>
        <w:rPr>
          <w:rFonts w:ascii="Times New Roman" w:hAnsi="Times New Roman" w:cs="Courier New"/>
          <w:sz w:val="24"/>
          <w:szCs w:val="24"/>
        </w:rPr>
      </w:pPr>
      <w:r>
        <w:rPr>
          <w:rFonts w:hint="eastAsia" w:ascii="宋体" w:hAnsi="宋体" w:cs="宋体"/>
          <w:sz w:val="24"/>
          <w:szCs w:val="24"/>
        </w:rPr>
        <w:t xml:space="preserve">进度款：</w:t>
      </w:r>
      <w:r>
        <w:rPr>
          <w:rFonts w:hint="eastAsia" w:ascii="Times New Roman" w:hAnsi="Times New Roman" w:cs="Courier New"/>
          <w:sz w:val="24"/>
          <w:szCs w:val="24"/>
        </w:rPr>
        <w:t xml:space="preserve">工程完工且竣工验收合格后付至合同价款的80%，工程审计结束后付至审定价的97%，缺陷责任期满且无质量问题付清余款（无息）。</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注：在签订合同时，成交人明确表示无需预付款或者主动要求降低预付款比例的金额，采购人可不适用预付款规定。</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对于满足合同约定支付条件的，自收到发票后10个工作日内将资金支付到合同约定的供应商账户或供应商数字人民币账户。</w:t>
      </w:r>
      <w:r/>
    </w:p>
    <w:p>
      <w:pPr>
        <w:ind w:firstLine="480"/>
        <w:spacing w:line="360" w:lineRule="auto"/>
        <w:rPr>
          <w:rFonts w:ascii="Times New Roman" w:hAnsi="Times New Roman" w:cs="Courier New"/>
          <w:sz w:val="24"/>
          <w:szCs w:val="24"/>
        </w:rPr>
      </w:pPr>
      <w:r>
        <w:rPr>
          <w:rFonts w:hint="eastAsia" w:ascii="Times New Roman" w:hAnsi="Times New Roman" w:cs="Courier New"/>
          <w:b/>
          <w:bCs/>
          <w:sz w:val="24"/>
          <w:szCs w:val="24"/>
        </w:rPr>
        <w:t xml:space="preserve">（二）工期：</w:t>
      </w:r>
      <w:r>
        <w:rPr>
          <w:rFonts w:hint="eastAsia" w:ascii="Times New Roman" w:hAnsi="Times New Roman" w:cs="Courier New"/>
          <w:sz w:val="24"/>
          <w:szCs w:val="24"/>
        </w:rPr>
        <w:t xml:space="preserve">60日历天。</w:t>
      </w:r>
      <w:r/>
    </w:p>
    <w:p>
      <w:pPr>
        <w:ind w:firstLine="480"/>
        <w:spacing w:line="360" w:lineRule="auto"/>
        <w:rPr>
          <w:rFonts w:ascii="Times New Roman" w:hAnsi="Times New Roman" w:cs="Courier New"/>
          <w:sz w:val="24"/>
          <w:szCs w:val="24"/>
        </w:rPr>
      </w:pPr>
      <w:r/>
      <w:bookmarkStart w:id="716" w:name="_Toc120614281"/>
      <w:r>
        <w:rPr>
          <w:rFonts w:hint="eastAsia" w:ascii="Times New Roman" w:hAnsi="Times New Roman" w:cs="Courier New"/>
          <w:b/>
          <w:bCs/>
          <w:sz w:val="24"/>
          <w:szCs w:val="24"/>
        </w:rPr>
        <w:t xml:space="preserve">（三）缺陷责任期：</w:t>
      </w:r>
      <w:r>
        <w:rPr>
          <w:rFonts w:hint="eastAsia" w:ascii="Times New Roman" w:hAnsi="Times New Roman" w:cs="Courier New"/>
          <w:sz w:val="24"/>
          <w:szCs w:val="24"/>
        </w:rPr>
        <w:t xml:space="preserve">自竣工验收合格之日起2年。</w:t>
      </w:r>
      <w:r/>
    </w:p>
    <w:p>
      <w:pPr>
        <w:ind w:firstLine="480"/>
        <w:spacing w:line="360" w:lineRule="auto"/>
        <w:rPr>
          <w:rFonts w:ascii="Times New Roman" w:hAnsi="Times New Roman" w:cs="Courier New"/>
          <w:sz w:val="24"/>
          <w:szCs w:val="24"/>
        </w:rPr>
      </w:pPr>
      <w:r>
        <w:rPr>
          <w:rFonts w:hint="eastAsia" w:ascii="Times New Roman" w:hAnsi="Times New Roman" w:cs="Courier New"/>
          <w:b/>
          <w:bCs/>
          <w:sz w:val="24"/>
          <w:szCs w:val="24"/>
        </w:rPr>
        <w:t xml:space="preserve">（四）质量要求：</w:t>
      </w:r>
      <w:r>
        <w:rPr>
          <w:rFonts w:hint="eastAsia" w:ascii="Times New Roman" w:hAnsi="Times New Roman" w:cs="Courier New"/>
          <w:sz w:val="24"/>
          <w:szCs w:val="24"/>
        </w:rPr>
        <w:t xml:space="preserve">合格。</w:t>
      </w:r>
      <w:r/>
    </w:p>
    <w:p>
      <w:pPr>
        <w:ind w:left="479"/>
        <w:spacing w:line="360" w:lineRule="auto"/>
        <w:rPr>
          <w:rFonts w:hint="eastAsia" w:ascii="宋体" w:hAnsi="宋体" w:cs="宋体"/>
          <w:b/>
          <w:bCs/>
          <w:sz w:val="24"/>
          <w:szCs w:val="24"/>
        </w:rPr>
      </w:pPr>
      <w:r>
        <w:rPr>
          <w:rFonts w:hint="eastAsia" w:ascii="Times New Roman" w:hAnsi="Times New Roman" w:cs="Courier New"/>
          <w:b/>
          <w:bCs/>
          <w:sz w:val="24"/>
          <w:szCs w:val="24"/>
        </w:rPr>
        <w:t xml:space="preserve">（五）</w:t>
      </w:r>
      <w:r>
        <w:rPr>
          <w:rFonts w:hint="eastAsia" w:ascii="宋体" w:hAnsi="宋体" w:cs="宋体"/>
          <w:b/>
          <w:bCs/>
          <w:sz w:val="24"/>
          <w:szCs w:val="24"/>
        </w:rPr>
        <w:t xml:space="preserve">履约验收方案：</w:t>
      </w:r>
      <w:r/>
    </w:p>
    <w:p>
      <w:pPr>
        <w:ind w:left="479"/>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验收条件：根据技术要求全部完成后，项目竣工且提供竣工验收资料。</w:t>
      </w:r>
      <w:r/>
    </w:p>
    <w:p>
      <w:pPr>
        <w:ind w:left="479"/>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验收主体：宿迁市湖滨新区住房和城乡建设局。</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验收时间：在满足合同验收条件情况下，采购人在 3 个工作日内组织验收并出具验收书。</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验收标准：符合国家、行业技术要求和标准。符合本项目磋商文件需求及要求、响应文件及其承诺。</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程序、内容及履约：由采购人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验收结合项目现场和清单进行，供应商须务必确保项目实施满足甲方对项目所需功能要求，因供应商考虑不全等因素产生的后果由供应商自行承担。</w:t>
      </w:r>
      <w:r/>
    </w:p>
    <w:p>
      <w:pPr>
        <w:ind w:firstLine="640"/>
        <w:jc w:val="left"/>
        <w:spacing w:before="120" w:after="120" w:line="480" w:lineRule="exact"/>
        <w:widowControl/>
        <w:rPr>
          <w:rFonts w:hint="eastAsia" w:ascii="宋体" w:hAnsi="宋体" w:cs="宋体"/>
          <w:b/>
          <w:sz w:val="28"/>
          <w:szCs w:val="28"/>
        </w:rPr>
        <w:outlineLvl w:val="1"/>
      </w:pPr>
      <w:r/>
      <w:bookmarkStart w:id="717" w:name="_Toc23549"/>
      <w:r>
        <w:rPr>
          <w:rFonts w:hint="eastAsia" w:ascii="宋体" w:hAnsi="宋体" w:cs="宋体"/>
          <w:b/>
          <w:sz w:val="28"/>
          <w:szCs w:val="28"/>
        </w:rPr>
        <w:t xml:space="preserve">四、图纸、工程量清单</w:t>
      </w:r>
      <w:bookmarkEnd w:id="717"/>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详见附件（工程量清单及图纸请各潜在供应商至宿迁市政府采购网本项目公告附件下载）</w:t>
      </w:r>
      <w:r/>
    </w:p>
    <w:p>
      <w:pPr>
        <w:ind w:firstLine="640"/>
        <w:jc w:val="left"/>
        <w:spacing w:before="120" w:after="120" w:line="480" w:lineRule="exact"/>
        <w:widowControl/>
        <w:rPr>
          <w:rFonts w:hint="eastAsia" w:ascii="宋体" w:hAnsi="宋体" w:cs="宋体"/>
          <w:b/>
          <w:sz w:val="28"/>
          <w:szCs w:val="28"/>
        </w:rPr>
        <w:outlineLvl w:val="1"/>
      </w:pPr>
      <w:r/>
      <w:bookmarkStart w:id="718" w:name="_Toc7840"/>
      <w:r>
        <w:rPr>
          <w:rFonts w:hint="eastAsia" w:ascii="宋体" w:hAnsi="宋体" w:cs="宋体"/>
          <w:b/>
          <w:sz w:val="28"/>
          <w:szCs w:val="28"/>
        </w:rPr>
        <w:t xml:space="preserve">五、技术要求</w:t>
      </w:r>
      <w:bookmarkEnd w:id="718"/>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1、依据相关技术文件要求，本工程项目的材料、设备、施工必须达到现行国家、省、市、行业的法规、规范的要求。工程建设以国家、省、市、行业相关规范和标准为依据。</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2、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复检费用由供应商全面承担。</w:t>
      </w:r>
      <w:r/>
    </w:p>
    <w:p>
      <w:pPr>
        <w:ind w:firstLine="640"/>
        <w:jc w:val="left"/>
        <w:spacing w:before="120" w:after="120" w:line="480" w:lineRule="exact"/>
        <w:widowControl/>
        <w:rPr>
          <w:rFonts w:hint="eastAsia" w:ascii="宋体" w:hAnsi="宋体" w:cs="宋体"/>
          <w:b/>
          <w:sz w:val="28"/>
          <w:szCs w:val="28"/>
        </w:rPr>
        <w:outlineLvl w:val="1"/>
      </w:pPr>
      <w:r/>
      <w:bookmarkStart w:id="719" w:name="_Toc18152"/>
      <w:r>
        <w:rPr>
          <w:rFonts w:hint="eastAsia" w:ascii="宋体" w:hAnsi="宋体" w:cs="宋体"/>
          <w:b/>
          <w:sz w:val="28"/>
          <w:szCs w:val="28"/>
        </w:rPr>
        <w:t xml:space="preserve">六、施工配合</w:t>
      </w:r>
      <w:bookmarkEnd w:id="719"/>
      <w:r/>
      <w:r/>
    </w:p>
    <w:p>
      <w:pPr>
        <w:ind w:firstLine="482"/>
        <w:spacing w:line="360" w:lineRule="auto"/>
        <w:rPr>
          <w:rFonts w:ascii="Times New Roman" w:hAnsi="Times New Roman" w:cs="Courier New"/>
          <w:sz w:val="24"/>
          <w:szCs w:val="24"/>
        </w:rPr>
      </w:pPr>
      <w:r>
        <w:rPr>
          <w:rFonts w:hint="eastAsia" w:ascii="Times New Roman" w:hAnsi="Times New Roman" w:cs="Courier New"/>
          <w:sz w:val="24"/>
          <w:szCs w:val="24"/>
        </w:rPr>
        <w:t xml:space="preserve">1、现场文明施工：设置文明标语、告知警示牌、项目施工“五牌一图”，施工区域全封闭围挡，机械进出场地不得污染路面，开挖土方覆盖需达到宿迁市扬尘控制标准。施工人员需统一着装，施工现场破坏（如有）需提前办理开挖手续，并按要求缴纳相关费用，对公共设施需实施现场保护及无偿恢复。此部分费用一并计入响应报价总价，不再另计。</w:t>
      </w:r>
      <w:r/>
    </w:p>
    <w:p>
      <w:pPr>
        <w:ind w:firstLine="482"/>
        <w:spacing w:line="360" w:lineRule="auto"/>
        <w:rPr>
          <w:rFonts w:ascii="Times New Roman" w:hAnsi="Times New Roman" w:cs="Courier New"/>
          <w:sz w:val="24"/>
          <w:szCs w:val="24"/>
        </w:rPr>
      </w:pPr>
      <w:r>
        <w:rPr>
          <w:rFonts w:hint="eastAsia" w:ascii="Times New Roman" w:hAnsi="Times New Roman" w:cs="Courier New"/>
          <w:sz w:val="24"/>
          <w:szCs w:val="24"/>
        </w:rPr>
        <w:t xml:space="preserve">2、本项目涉及的所有材料，成交供应商在使用前须报业主及监理单位批准同意后方可使用。</w:t>
      </w:r>
      <w:r/>
    </w:p>
    <w:p>
      <w:pPr>
        <w:ind w:firstLine="482"/>
        <w:spacing w:line="360" w:lineRule="auto"/>
        <w:rPr>
          <w:rFonts w:ascii="Times New Roman" w:hAnsi="Times New Roman" w:cs="Courier New"/>
          <w:sz w:val="24"/>
          <w:szCs w:val="24"/>
        </w:rPr>
      </w:pPr>
      <w:r>
        <w:rPr>
          <w:rFonts w:hint="eastAsia" w:ascii="Times New Roman" w:hAnsi="Times New Roman" w:cs="Courier New"/>
          <w:sz w:val="24"/>
          <w:szCs w:val="24"/>
        </w:rPr>
        <w:t xml:space="preserve">3、施工相关保险费用：成交供应商需整体考虑费用并计入响应报价总价中；施工企业需购买（工程一切险、团体意外险）等保险，保证人员施工安全，如未按规定时间内购买完成，发包人有权在进度款支付中扣除。</w:t>
      </w:r>
      <w:r/>
    </w:p>
    <w:p>
      <w:pPr>
        <w:ind w:firstLine="640"/>
        <w:jc w:val="left"/>
        <w:spacing w:before="120" w:after="120" w:line="480" w:lineRule="exact"/>
        <w:widowControl/>
        <w:rPr>
          <w:rFonts w:hint="eastAsia" w:ascii="宋体" w:hAnsi="宋体" w:eastAsia="宋体" w:cs="宋体"/>
          <w:b/>
          <w:color w:val="auto"/>
          <w:sz w:val="28"/>
          <w:szCs w:val="28"/>
          <w:highlight w:val="none"/>
        </w:rPr>
        <w:outlineLvl w:val="1"/>
      </w:pPr>
      <w:r/>
      <w:bookmarkStart w:id="720" w:name="_Toc31146"/>
      <w:r>
        <w:rPr>
          <w:rFonts w:hint="eastAsia" w:ascii="宋体" w:hAnsi="宋体" w:eastAsia="宋体" w:cs="宋体"/>
          <w:b/>
          <w:color w:val="auto"/>
          <w:sz w:val="28"/>
          <w:szCs w:val="28"/>
          <w:highlight w:val="none"/>
        </w:rPr>
        <w:t xml:space="preserve">七、项目实施方案</w:t>
      </w:r>
      <w:bookmarkEnd w:id="720"/>
      <w:r/>
      <w:r/>
    </w:p>
    <w:p>
      <w:pPr>
        <w:ind w:firstLine="480"/>
        <w:spacing w:line="360" w:lineRule="auto"/>
        <w:rPr>
          <w:rFonts w:hint="eastAsia" w:ascii="Times New Roman" w:hAnsi="Times New Roman" w:eastAsia="宋体" w:cs="Courier New"/>
          <w:color w:val="auto"/>
          <w:sz w:val="24"/>
          <w:szCs w:val="24"/>
        </w:rPr>
      </w:pPr>
      <w:r/>
      <w:bookmarkStart w:id="721" w:name="_Toc10751"/>
      <w:r>
        <w:rPr>
          <w:rFonts w:hint="eastAsia" w:ascii="Times New Roman" w:hAnsi="Times New Roman" w:eastAsia="宋体" w:cs="Courier New"/>
          <w:color w:val="auto"/>
          <w:sz w:val="24"/>
          <w:szCs w:val="24"/>
        </w:rPr>
        <w:t xml:space="preserve">供应商应针对本项目雨、污水管网零星更新改造的特点（点位分散、土方开挖、道路破除及恢复等），编制完整、可行、针对性强的项目实施方案。方案内容至少包括：施工总体部署与资源配置、施工现场平面布置方案、主要施工工艺及专项工序方案、安全文明及环保施工方案等。</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7.1施工总体部署与资源配置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项目雨、污水管网零星更新改造点位分散、土方开挖、道路破除及恢复等工程特点，从方案完整性、施工逻辑、技术针对性、现场可实施性四个维度，系统编制施工组织总体构想、整体施工部署、分部分项工序计划，以及劳动力、机械设备、材料投入保障计划等内容。</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7.2施工现场平面布置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供应商应紧密结合本项目雨、污水管网零星更新改造点位分散、土方开挖、道路破除及恢复等工程特点，</w:t>
      </w:r>
      <w:r>
        <w:rPr>
          <w:rFonts w:hint="eastAsia" w:ascii="Times New Roman" w:hAnsi="Times New Roman" w:cs="Courier New"/>
          <w:color w:val="auto"/>
          <w:sz w:val="24"/>
          <w:szCs w:val="24"/>
          <w:highlight w:val="none"/>
          <w:lang w:val="en-US" w:eastAsia="zh-CN"/>
        </w:rPr>
        <w:t xml:space="preserve">依据图纸《PS-PM-33》与《PS-PM-35》所示施工点位</w:t>
      </w:r>
      <w:r>
        <w:rPr>
          <w:rFonts w:hint="eastAsia" w:ascii="Times New Roman" w:hAnsi="Times New Roman" w:eastAsia="宋体" w:cs="Courier New"/>
          <w:color w:val="auto"/>
          <w:sz w:val="24"/>
          <w:szCs w:val="24"/>
          <w:highlight w:val="none"/>
          <w:lang w:val="en-US" w:eastAsia="zh-CN"/>
        </w:rPr>
        <w:t xml:space="preserve">进行</w:t>
      </w:r>
      <w:r>
        <w:rPr>
          <w:rFonts w:hint="eastAsia" w:ascii="Times New Roman" w:hAnsi="Times New Roman" w:eastAsia="宋体" w:cs="Courier New"/>
          <w:color w:val="auto"/>
          <w:sz w:val="24"/>
          <w:szCs w:val="24"/>
          <w:lang w:val="en-US" w:eastAsia="zh-CN"/>
        </w:rPr>
        <w:t xml:space="preserve">分析，从平面布置合理性、临时设施可操作性、场地分区清晰性、通行保障有效性等方面，对项目点位施工现场平面布置、临时设施搭设、临时道路规划、场地分区管理等内容进行详细编制。</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7.3主要施工工艺及专项工序</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项目雨、污水管网零星更新改造点位分散、土方开挖、道路破除及恢复等工程特点，对土方开挖、管网更新、管道安装、井室修缮、道路破除及恢复、污水导流、雨季施工、周边管网的保护与检测等核心分项工程的施工工艺、工序流程、技术要点及重难点管控措施等内容进行详细编制。</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7.</w:t>
      </w:r>
      <w:r>
        <w:rPr>
          <w:rFonts w:hint="eastAsia" w:ascii="Times New Roman" w:hAnsi="Times New Roman" w:cs="Courier New"/>
          <w:color w:val="auto"/>
          <w:sz w:val="24"/>
          <w:szCs w:val="24"/>
          <w:lang w:val="en-US" w:eastAsia="zh-CN"/>
        </w:rPr>
        <w:t xml:space="preserve">4</w:t>
      </w:r>
      <w:r>
        <w:rPr>
          <w:rFonts w:hint="eastAsia" w:ascii="Times New Roman" w:hAnsi="Times New Roman" w:eastAsia="宋体" w:cs="Courier New"/>
          <w:color w:val="auto"/>
          <w:sz w:val="24"/>
          <w:szCs w:val="24"/>
          <w:lang w:val="en-US" w:eastAsia="zh-CN"/>
        </w:rPr>
        <w:t xml:space="preserve">安全文明及环保施工</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针对本项目雨、污水管网零星更新改造、点位分散、土方开挖、道路破除及恢复等工程特点（含检查井、管网内部修缮等有限空间高危作业），对项目安全生产管控、有限空间专项作业防护、高危作业管控、防暑降温施工、文明施工管理、扬尘噪声治理、交通疏导、废料处置及成品保护等专项管控体系及措施等内容进行详细编制。</w:t>
      </w:r>
      <w:r/>
    </w:p>
    <w:p>
      <w:pPr>
        <w:ind w:firstLine="640"/>
        <w:jc w:val="left"/>
        <w:spacing w:before="120" w:after="120" w:line="480" w:lineRule="exact"/>
        <w:widowControl/>
        <w:rPr>
          <w:rFonts w:hint="eastAsia" w:ascii="宋体" w:hAnsi="宋体" w:cs="宋体"/>
          <w:b/>
          <w:sz w:val="28"/>
          <w:szCs w:val="28"/>
        </w:rPr>
        <w:outlineLvl w:val="1"/>
      </w:pPr>
      <w:r>
        <w:rPr>
          <w:rFonts w:hint="eastAsia" w:ascii="宋体" w:hAnsi="宋体" w:cs="宋体"/>
          <w:b/>
          <w:sz w:val="28"/>
          <w:szCs w:val="28"/>
        </w:rPr>
        <w:t xml:space="preserve">八</w:t>
      </w:r>
      <w:r>
        <w:rPr>
          <w:rFonts w:hint="eastAsia" w:ascii="宋体" w:hAnsi="宋体" w:cs="宋体"/>
          <w:b/>
          <w:sz w:val="28"/>
          <w:szCs w:val="28"/>
          <w:lang w:eastAsia="zh-CN"/>
        </w:rPr>
        <w:t xml:space="preserve">、</w:t>
      </w:r>
      <w:r>
        <w:rPr>
          <w:rFonts w:hint="eastAsia" w:ascii="宋体" w:hAnsi="宋体" w:cs="宋体"/>
          <w:b/>
          <w:sz w:val="28"/>
          <w:szCs w:val="28"/>
        </w:rPr>
        <w:t xml:space="preserve">其他要求</w:t>
      </w:r>
      <w:bookmarkEnd w:id="721"/>
      <w:r/>
      <w:r/>
    </w:p>
    <w:p>
      <w:pPr>
        <w:ind w:firstLine="480"/>
        <w:spacing w:line="360" w:lineRule="auto"/>
        <w:rPr>
          <w:rFonts w:hint="default" w:ascii="Times New Roman" w:hAnsi="Times New Roman" w:eastAsia="宋体" w:cs="仿宋"/>
          <w:sz w:val="24"/>
          <w:lang w:val="en-US" w:eastAsia="zh-CN"/>
        </w:rPr>
      </w:pPr>
      <w:r>
        <w:rPr>
          <w:rFonts w:hint="eastAsia" w:ascii="Times New Roman" w:hAnsi="Times New Roman" w:cs="仿宋"/>
          <w:sz w:val="24"/>
          <w:lang w:val="en-US" w:eastAsia="zh-CN"/>
        </w:rPr>
        <w:t xml:space="preserve">1、拟选派的项目组人员需满足采购人要求。</w:t>
      </w:r>
      <w:r/>
    </w:p>
    <w:p>
      <w:pPr>
        <w:ind w:firstLine="480"/>
        <w:spacing w:line="360" w:lineRule="auto"/>
        <w:rPr>
          <w:rFonts w:ascii="Times New Roman" w:hAnsi="Times New Roman" w:cs="Courier New"/>
          <w:sz w:val="24"/>
          <w:szCs w:val="24"/>
        </w:rPr>
      </w:pPr>
      <w:r>
        <w:rPr>
          <w:rFonts w:hint="eastAsia" w:ascii="Times New Roman" w:hAnsi="Times New Roman" w:cs="仿宋"/>
          <w:sz w:val="24"/>
        </w:rPr>
        <w:t xml:space="preserve">★</w:t>
      </w:r>
      <w:r>
        <w:rPr>
          <w:rFonts w:hint="eastAsia" w:ascii="Times New Roman" w:hAnsi="Times New Roman" w:cs="仿宋"/>
          <w:sz w:val="24"/>
          <w:lang w:val="en-US" w:eastAsia="zh-CN"/>
        </w:rPr>
        <w:t xml:space="preserve">2、</w:t>
      </w:r>
      <w:r>
        <w:rPr>
          <w:rFonts w:hint="eastAsia" w:ascii="Times New Roman" w:hAnsi="Times New Roman" w:cs="Courier New"/>
          <w:sz w:val="24"/>
          <w:szCs w:val="24"/>
        </w:rPr>
        <w:t xml:space="preserve">项目负责人必须满足下列条件（承诺书见附件，未提供作无效标处理）：</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lang w:val="en-US" w:eastAsia="zh-CN"/>
        </w:rPr>
        <w:t xml:space="preserve">2.1</w:t>
      </w:r>
      <w:r>
        <w:rPr>
          <w:rFonts w:hint="eastAsia" w:ascii="Times New Roman" w:hAnsi="Times New Roman" w:cs="Courier New"/>
          <w:sz w:val="24"/>
          <w:szCs w:val="24"/>
        </w:rPr>
        <w:t xml:space="preserve">项目负责人不得同时在两个或者两个以上单位受聘或者执业；</w:t>
      </w:r>
      <w:r/>
    </w:p>
    <w:p>
      <w:pPr>
        <w:ind w:firstLine="480"/>
        <w:spacing w:line="360" w:lineRule="auto"/>
        <w:rPr>
          <w:rFonts w:ascii="Times New Roman" w:hAnsi="Times New Roman" w:cs="Courier New"/>
          <w:color w:val="auto"/>
          <w:sz w:val="24"/>
          <w:szCs w:val="24"/>
        </w:rPr>
      </w:pPr>
      <w:r>
        <w:rPr>
          <w:rFonts w:hint="eastAsia" w:ascii="Times New Roman" w:hAnsi="Times New Roman" w:cs="Courier New"/>
          <w:color w:val="auto"/>
          <w:sz w:val="24"/>
          <w:szCs w:val="24"/>
          <w:lang w:val="en-US" w:eastAsia="zh-CN"/>
        </w:rPr>
        <w:t xml:space="preserve">2.2</w:t>
      </w:r>
      <w:r>
        <w:rPr>
          <w:rFonts w:hint="eastAsia" w:ascii="Times New Roman" w:hAnsi="Times New Roman" w:cs="Courier New"/>
          <w:color w:val="auto"/>
          <w:sz w:val="24"/>
          <w:szCs w:val="24"/>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bookmarkStart w:id="722" w:name="_Toc5663"/>
      <w:r/>
      <w:r/>
    </w:p>
    <w:p>
      <w:pPr>
        <w:ind w:firstLine="640"/>
        <w:jc w:val="left"/>
        <w:spacing w:before="120" w:after="120" w:line="480" w:lineRule="exact"/>
        <w:widowControl/>
        <w:rPr>
          <w:rFonts w:hint="eastAsia" w:ascii="宋体" w:hAnsi="宋体" w:cs="宋体"/>
          <w:b/>
          <w:sz w:val="28"/>
          <w:szCs w:val="28"/>
        </w:rPr>
        <w:outlineLvl w:val="1"/>
      </w:pPr>
      <w:r/>
      <w:bookmarkStart w:id="723" w:name="_Toc7389"/>
      <w:r>
        <w:rPr>
          <w:rFonts w:hint="eastAsia" w:ascii="宋体" w:hAnsi="宋体" w:cs="宋体"/>
          <w:b/>
          <w:sz w:val="28"/>
          <w:szCs w:val="28"/>
        </w:rPr>
        <w:t xml:space="preserve">九、商品包装环保要求</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商品包装层数不得超过 3 层，空隙率不大于 40%；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商品包装尽可能使用单一材质的包装材料，如因功能需求必需使用不同材质，不同材质间应便于分离；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商品包装中铅、汞、镉、六价铬的总含量应不大于100mg/kg；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商品包装印刷使用的油墨中挥发性有机化合物(VOCs) 含量应不大于 5%（以重量计）；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塑料材质商品包装上呈现的印刷颜色不得超过6色；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纸质商品包装应使用75%以上的可再生纤维原料生产；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木质商品包装的原料应来源于可持续性森林。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 干法复合、挤出复合》规定的方法进行。2.商品包装印刷使用的油墨中挥发性有机化合物(VOCs) 的检测按照GB/T 23986.2-2023《色漆和清漆 挥发性有机化合物(VOC)和/或半挥发性有机化合物(SVOC)含量的测定 第2部分：气相色谱法》规定的方法。</w:t>
      </w:r>
      <w:r/>
    </w:p>
    <w:p>
      <w:pPr>
        <w:ind w:firstLine="640"/>
        <w:jc w:val="left"/>
        <w:spacing w:before="120" w:after="120" w:line="480" w:lineRule="exact"/>
        <w:widowControl/>
        <w:rPr>
          <w:rFonts w:hint="eastAsia" w:ascii="宋体" w:hAnsi="宋体" w:cs="宋体"/>
          <w:b/>
          <w:sz w:val="28"/>
          <w:szCs w:val="28"/>
        </w:rPr>
        <w:outlineLvl w:val="1"/>
      </w:pPr>
      <w:r>
        <w:rPr>
          <w:rFonts w:hint="eastAsia" w:ascii="宋体" w:hAnsi="宋体" w:cs="宋体"/>
          <w:b/>
          <w:sz w:val="28"/>
          <w:szCs w:val="28"/>
          <w:lang w:val="en-US" w:eastAsia="zh-CN"/>
        </w:rPr>
        <w:t xml:space="preserve">十、</w:t>
      </w:r>
      <w:r>
        <w:rPr>
          <w:rFonts w:hint="eastAsia" w:ascii="宋体" w:hAnsi="宋体" w:cs="宋体"/>
          <w:b/>
          <w:sz w:val="28"/>
          <w:szCs w:val="28"/>
        </w:rPr>
        <w:t xml:space="preserve">快递包装环保要求</w:t>
      </w:r>
      <w:bookmarkEnd w:id="722"/>
      <w:r/>
      <w:bookmarkEnd w:id="723"/>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快递包装中重金属（铅、汞、镉、六价铬）总量应不大于100mg/kg；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快递包装印刷使用的油墨中不应添加邻苯二甲酸酯，其挥发性有机化合物(VOCs)含量应不大于5%（以重量计）；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快递包装中使用纸基材的包装材料，纸基材中的有机氯的含量应不大于150 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快递中使用的塑料包装袋不得使用聚氯乙烯作为原料，且原料应为单一材质制成，生物分解率大于60%；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w:t>
      </w:r>
      <w:r>
        <w:rPr>
          <w:rFonts w:hint="eastAsia" w:ascii="宋体" w:hAnsi="宋体" w:cs="宋体"/>
          <w:sz w:val="24"/>
          <w:szCs w:val="24"/>
        </w:rPr>
        <w:t xml:space="preserve">快递中使用的充气类填充物不得使用聚氯乙烯作为原料，且原料为单一材质制成，生物分解率大于60%；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eastAsia="zh-CN"/>
        </w:rPr>
        <w:t xml:space="preserve">、</w:t>
      </w:r>
      <w:r>
        <w:rPr>
          <w:rFonts w:hint="eastAsia" w:ascii="宋体" w:hAnsi="宋体" w:cs="宋体"/>
          <w:sz w:val="24"/>
          <w:szCs w:val="24"/>
        </w:rPr>
        <w:t xml:space="preserve">快递中使用的集装袋应为单一材质制成，其重复使用次数应不小于80次；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eastAsia="zh-CN"/>
        </w:rPr>
        <w:t xml:space="preserve">、</w:t>
      </w:r>
      <w:r>
        <w:rPr>
          <w:rFonts w:hint="eastAsia" w:ascii="宋体" w:hAnsi="宋体" w:cs="宋体"/>
          <w:sz w:val="24"/>
          <w:szCs w:val="24"/>
        </w:rPr>
        <w:t xml:space="preserve">快递中应使用幅宽不大于45mm 的生物降解胶带；</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eastAsia="zh-CN"/>
        </w:rPr>
        <w:t xml:space="preserve">、</w:t>
      </w:r>
      <w:r>
        <w:rPr>
          <w:rFonts w:hint="eastAsia" w:ascii="宋体" w:hAnsi="宋体" w:cs="宋体"/>
          <w:sz w:val="24"/>
          <w:szCs w:val="24"/>
        </w:rPr>
        <w:t xml:space="preserve">快递包装中不得使用溶剂型胶粘剂；</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zh-CN"/>
        </w:rPr>
        <w:t xml:space="preserve">、</w:t>
      </w:r>
      <w:r>
        <w:rPr>
          <w:rFonts w:hint="eastAsia" w:ascii="宋体" w:hAnsi="宋体" w:cs="宋体"/>
          <w:sz w:val="24"/>
          <w:szCs w:val="24"/>
        </w:rPr>
        <w:t xml:space="preserve">快递应使用电子面单；</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eastAsia="zh-CN"/>
        </w:rPr>
        <w:t xml:space="preserve">、</w:t>
      </w:r>
      <w:r>
        <w:rPr>
          <w:rFonts w:hint="eastAsia" w:ascii="宋体" w:hAnsi="宋体" w:cs="宋体"/>
          <w:sz w:val="24"/>
          <w:szCs w:val="24"/>
        </w:rPr>
        <w:t xml:space="preserve">直接使用商品包装作为快递包装的商品，其商品包装满足《商品包装政府采购需求标准（试行）》即可；</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lang w:eastAsia="zh-CN"/>
        </w:rPr>
        <w:t xml:space="preserve">、</w:t>
      </w:r>
      <w:r>
        <w:rPr>
          <w:rFonts w:hint="eastAsia" w:ascii="宋体" w:hAnsi="宋体" w:cs="宋体"/>
          <w:sz w:val="24"/>
          <w:szCs w:val="24"/>
        </w:rPr>
        <w:t xml:space="preserve">快递包装产品质量和封装方式应符合相关国家或行业标准技术指标要求。</w:t>
      </w:r>
      <w:r/>
    </w:p>
    <w:p>
      <w:pPr>
        <w:ind w:firstLine="480"/>
        <w:spacing w:line="360" w:lineRule="auto"/>
        <w:rPr>
          <w:rFonts w:ascii="Times New Roman" w:hAnsi="Times New Roman" w:cs="Courier New"/>
          <w:sz w:val="24"/>
          <w:szCs w:val="24"/>
        </w:rPr>
      </w:pPr>
      <w:r>
        <w:rPr>
          <w:rFonts w:ascii="Times New Roman" w:hAnsi="Times New Roman" w:cs="Courier New"/>
          <w:sz w:val="24"/>
          <w:szCs w:val="24"/>
        </w:rPr>
      </w:r>
      <w:r/>
    </w:p>
    <w:p>
      <w:pPr>
        <w:jc w:val="center"/>
        <w:keepNext/>
        <w:rPr>
          <w:rFonts w:ascii="Times New Roman" w:hAnsi="Times New Roman" w:eastAsia="黑体"/>
          <w:sz w:val="44"/>
          <w:szCs w:val="44"/>
        </w:rPr>
        <w:outlineLvl w:val="0"/>
      </w:pPr>
      <w:r>
        <w:rPr>
          <w:rFonts w:hint="eastAsia" w:ascii="Times New Roman" w:hAnsi="Times New Roman" w:eastAsia="黑体"/>
          <w:bCs/>
          <w:sz w:val="44"/>
          <w:szCs w:val="28"/>
        </w:rPr>
        <w:br w:type="page" w:clear="all"/>
      </w:r>
      <w:bookmarkStart w:id="724" w:name="_Toc24476"/>
      <w:r>
        <w:rPr>
          <w:rFonts w:hint="eastAsia" w:ascii="Times New Roman" w:hAnsi="Times New Roman" w:eastAsia="黑体"/>
          <w:sz w:val="44"/>
          <w:szCs w:val="44"/>
        </w:rPr>
        <w:t xml:space="preserve">第五章  评审方法与评审标准</w:t>
      </w:r>
      <w:bookmarkEnd w:id="724"/>
      <w:r/>
      <w:r/>
    </w:p>
    <w:p>
      <w:pPr>
        <w:rPr>
          <w:rFonts w:ascii="Times New Roman" w:hAnsi="Times New Roman"/>
          <w:szCs w:val="21"/>
        </w:rPr>
      </w:pPr>
      <w:r>
        <w:rPr>
          <w:rFonts w:ascii="Times New Roman" w:hAnsi="Times New Roman"/>
          <w:szCs w:val="21"/>
        </w:rPr>
      </w:r>
      <w:r/>
    </w:p>
    <w:p>
      <w:pPr>
        <w:ind w:firstLine="482"/>
        <w:jc w:val="left"/>
        <w:spacing w:line="50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500" w:lineRule="exact"/>
        <w:rPr>
          <w:rFonts w:ascii="Times New Roman" w:hAnsi="Times New Roman"/>
          <w:sz w:val="24"/>
        </w:rPr>
      </w:pPr>
      <w:r>
        <w:rPr>
          <w:rFonts w:hint="eastAsia" w:ascii="Times New Roman" w:hAnsi="Times New Roman"/>
          <w:sz w:val="24"/>
        </w:rPr>
        <w:t xml:space="preserve">资格审查人员按照下列指标对各供应商的资格进行审查，未通过审查的为无效标，不参与评审。</w:t>
      </w:r>
      <w:r/>
    </w:p>
    <w:tbl>
      <w:tblPr>
        <w:tblStyle w:val="827"/>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04"/>
        <w:gridCol w:w="4525"/>
      </w:tblGrid>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center"/>
              <w:rPr>
                <w:rFonts w:ascii="Times New Roman" w:hAnsi="Times New Roman"/>
              </w:rPr>
            </w:pPr>
            <w:r>
              <w:rPr>
                <w:rFonts w:ascii="Times New Roman" w:hAnsi="Times New Roman"/>
              </w:rPr>
              <w:t xml:space="preserve">资格审查因素</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center"/>
              <w:rPr>
                <w:rFonts w:ascii="Times New Roman" w:hAnsi="Times New Roman"/>
              </w:rPr>
            </w:pPr>
            <w:r>
              <w:rPr>
                <w:rFonts w:ascii="Times New Roman" w:hAnsi="Times New Roman"/>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磋商响应函</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spacing w:line="276" w:lineRule="auto"/>
            </w:pPr>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spacing w:line="276" w:lineRule="auto"/>
            </w:pPr>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信用信息</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spacing w:line="276" w:lineRule="auto"/>
            </w:pPr>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联合体响应</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spacing w:line="276" w:lineRule="auto"/>
            </w:pPr>
            <w:r>
              <w:rPr>
                <w:rFonts w:hint="eastAsia"/>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rPr>
                <w:rFonts w:ascii="Times New Roman" w:hAnsi="Times New Roman"/>
              </w:rPr>
            </w:pPr>
            <w:r>
              <w:rPr>
                <w:rFonts w:hint="eastAsia" w:ascii="Times New Roman" w:hAnsi="Times New Roman"/>
              </w:rPr>
              <w:t xml:space="preserve">供应商资质</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r>
        <w:trPr>
          <w:trHeight w:val="282"/>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rPr>
                <w:rFonts w:ascii="Times New Roman" w:hAnsi="Times New Roman"/>
              </w:rPr>
            </w:pPr>
            <w:r>
              <w:rPr>
                <w:rFonts w:ascii="Times New Roman" w:hAnsi="Times New Roman"/>
              </w:rPr>
              <w:t xml:space="preserve">符合磋商文件</w:t>
            </w:r>
            <w:r>
              <w:rPr>
                <w:rFonts w:hint="eastAsia" w:ascii="Times New Roman" w:hAnsi="Times New Roman"/>
              </w:rPr>
              <w:t xml:space="preserve">要求</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rPr>
              <w:t xml:space="preserve">项目负责人社会养老保险或医疗保险缴纳证明</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rPr>
                <w:rFonts w:ascii="Times New Roman" w:hAnsi="Times New Roman"/>
              </w:rPr>
            </w:pPr>
            <w:r>
              <w:rPr>
                <w:rFonts w:ascii="Times New Roman" w:hAnsi="Times New Roman"/>
              </w:rPr>
              <w:t xml:space="preserve">符合磋商文件</w:t>
            </w:r>
            <w:r>
              <w:rPr>
                <w:rFonts w:hint="eastAsia" w:ascii="Times New Roman" w:hAnsi="Times New Roman"/>
              </w:rPr>
              <w:t xml:space="preserve">要求</w:t>
            </w:r>
            <w:r/>
          </w:p>
        </w:tc>
      </w:tr>
      <w:tr>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jc w:val="left"/>
              <w:spacing w:line="276" w:lineRule="auto"/>
            </w:pPr>
            <w:r>
              <w:rPr>
                <w:rFonts w:hint="eastAsia" w:ascii="宋体" w:hAnsi="宋体" w:cs="宋体"/>
              </w:rPr>
              <w:t xml:space="preserve">安全生产许可证</w:t>
            </w:r>
            <w:r/>
          </w:p>
        </w:tc>
        <w:tc>
          <w:tcPr>
            <w:tcBorders>
              <w:top w:val="single" w:color="000000" w:sz="6" w:space="0"/>
              <w:left w:val="single" w:color="000000" w:sz="6" w:space="0"/>
              <w:bottom w:val="single" w:color="000000" w:sz="6" w:space="0"/>
              <w:right w:val="single" w:color="000000" w:sz="6" w:space="0"/>
            </w:tcBorders>
            <w:tcW w:w="4525" w:type="dxa"/>
            <w:vAlign w:val="center"/>
            <w:textDirection w:val="lrTb"/>
            <w:noWrap w:val="false"/>
          </w:tcPr>
          <w:p>
            <w:pPr>
              <w:jc w:val="left"/>
              <w:rPr>
                <w:rFonts w:ascii="Times New Roman" w:hAnsi="Times New Roman"/>
              </w:rPr>
            </w:pPr>
            <w:r>
              <w:rPr>
                <w:rFonts w:hint="eastAsia" w:ascii="Times New Roman" w:hAnsi="Times New Roman" w:cs="仿宋"/>
              </w:rPr>
              <w:t xml:space="preserve">符合磋商文件要求</w:t>
            </w:r>
            <w:r/>
          </w:p>
        </w:tc>
      </w:tr>
    </w:tbl>
    <w:p>
      <w:pPr>
        <w:ind w:firstLine="482"/>
        <w:jc w:val="left"/>
        <w:spacing w:line="50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500" w:lineRule="exact"/>
        <w:rPr>
          <w:rFonts w:ascii="Times New Roman" w:hAnsi="Times New Roman" w:eastAsia="仿宋_GB2312"/>
          <w:sz w:val="24"/>
        </w:rPr>
      </w:pPr>
      <w:r>
        <w:rPr>
          <w:rFonts w:hint="eastAsia" w:ascii="Times New Roman" w:hAnsi="Times New Roman"/>
          <w:sz w:val="24"/>
        </w:rPr>
        <w:t xml:space="preserve">磋商小组首先按照下列指标对各供应商进行初步评审，未通过评审的为无效标，不再参与评审。</w:t>
      </w:r>
      <w:r/>
    </w:p>
    <w:tbl>
      <w:tblPr>
        <w:tblStyle w:val="827"/>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ascii="Times New Roman" w:hAnsi="Times New Roman"/>
              </w:rPr>
            </w:pPr>
            <w:r>
              <w:rPr>
                <w:rFonts w:ascii="Times New Roman" w:hAnsi="Times New Roman"/>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ascii="Times New Roman" w:hAnsi="Times New Roman"/>
              </w:rPr>
            </w:pPr>
            <w:r>
              <w:rPr>
                <w:rFonts w:ascii="Times New Roman" w:hAnsi="Times New Roman"/>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pPr>
            <w:r/>
            <w:bookmarkStart w:id="725" w:name="OLE_LINK33"/>
            <w:r>
              <w:rPr>
                <w:rFonts w:hint="eastAsia" w:ascii="Times New Roman" w:hAnsi="Times New Roman" w:cs="仿宋"/>
              </w:rPr>
              <w:t xml:space="preserve">法人授权书</w:t>
            </w:r>
            <w:bookmarkEnd w:id="725"/>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pPr>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pPr>
            <w:r>
              <w:rPr>
                <w:rFonts w:hint="eastAsia" w:asciiTheme="minorEastAsia" w:hAnsiTheme="minorEastAsia" w:eastAsiaTheme="minorEastAsia" w:cstheme="minorEastAsia"/>
              </w:rPr>
              <w:t xml:space="preserve">磋商报价表</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pPr>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pPr>
            <w:r>
              <w:rPr>
                <w:rFonts w:hint="eastAsia"/>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pPr>
            <w:r>
              <w:rPr>
                <w:rFonts w:hint="eastAsia"/>
              </w:rPr>
              <w:t xml:space="preserve">符合磋商文件要求</w:t>
            </w:r>
            <w:r/>
          </w:p>
        </w:tc>
      </w:tr>
    </w:tbl>
    <w:p>
      <w:pPr>
        <w:ind w:firstLine="482"/>
        <w:jc w:val="left"/>
        <w:spacing w:line="50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50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50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0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numPr>
          <w:ilvl w:val="0"/>
          <w:numId w:val="7"/>
        </w:numPr>
        <w:ind w:firstLine="482"/>
        <w:jc w:val="left"/>
        <w:spacing w:after="120" w:line="500" w:lineRule="exact"/>
        <w:rPr>
          <w:rFonts w:hint="eastAsia" w:ascii="Times New Roman" w:hAnsi="Times New Roman" w:cs="仿宋"/>
          <w:b/>
          <w:bCs/>
          <w:sz w:val="24"/>
        </w:rPr>
      </w:pPr>
      <w:r>
        <w:rPr>
          <w:rFonts w:hint="eastAsia" w:ascii="Times New Roman" w:hAnsi="Times New Roman" w:cs="仿宋"/>
          <w:b/>
          <w:bCs/>
          <w:sz w:val="24"/>
        </w:rPr>
        <w:t xml:space="preserve">评审标准</w:t>
      </w:r>
      <w:r/>
    </w:p>
    <w:tbl>
      <w:tblPr>
        <w:tblStyle w:val="8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3"/>
        <w:gridCol w:w="1083"/>
        <w:gridCol w:w="5666"/>
      </w:tblGrid>
      <w:tr>
        <w:trPr>
          <w:jc w:val="center"/>
        </w:trPr>
        <w:tc>
          <w:tcPr>
            <w:tcW w:w="177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108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分数</w:t>
            </w:r>
            <w:r/>
          </w:p>
        </w:tc>
        <w:tc>
          <w:tcPr>
            <w:tcW w:w="5666"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评审标准</w:t>
            </w:r>
            <w:r/>
          </w:p>
        </w:tc>
      </w:tr>
      <w:tr>
        <w:trPr>
          <w:jc w:val="center"/>
          <w:trHeight w:val="964"/>
        </w:trPr>
        <w:tc>
          <w:tcPr>
            <w:tcW w:w="1773" w:type="dxa"/>
            <w:vAlign w:val="center"/>
            <w:textDirection w:val="lrTb"/>
            <w:noWrap w:val="false"/>
          </w:tcPr>
          <w:p>
            <w:pPr>
              <w:jc w:val="center"/>
              <w:keepLines w:val="0"/>
              <w:keepNext w:val="0"/>
              <w:pageBreakBefore w:val="0"/>
              <w:spacing w:line="440" w:lineRule="exact"/>
              <w:rPr>
                <w:rFonts w:ascii="Calibri" w:hAnsi="Calibri" w:eastAsia="宋体" w:cs="Times New Roman"/>
                <w:sz w:val="21"/>
                <w:szCs w:val="21"/>
              </w:rPr>
            </w:pPr>
            <w:r>
              <w:rPr>
                <w:rFonts w:hint="eastAsia" w:ascii="Times New Roman" w:hAnsi="Times New Roman" w:eastAsia="宋体" w:cs="Times New Roman"/>
                <w:sz w:val="21"/>
                <w:szCs w:val="21"/>
              </w:rPr>
              <w:t xml:space="preserve">磋商报价</w:t>
            </w:r>
            <w:r/>
          </w:p>
        </w:tc>
        <w:tc>
          <w:tcPr>
            <w:tcW w:w="1083" w:type="dxa"/>
            <w:vAlign w:val="center"/>
            <w:textDirection w:val="lrTb"/>
            <w:noWrap w:val="false"/>
          </w:tcPr>
          <w:p>
            <w:pPr>
              <w:jc w:val="center"/>
              <w:keepLines w:val="0"/>
              <w:keepNext w:val="0"/>
              <w:pageBreakBefore w:val="0"/>
              <w:spacing w:line="440" w:lineRule="exact"/>
              <w:rPr>
                <w:rFonts w:ascii="Calibri" w:hAnsi="Calibri" w:eastAsia="宋体" w:cs="Times New Roman"/>
                <w:sz w:val="21"/>
                <w:szCs w:val="21"/>
              </w:rPr>
            </w:pPr>
            <w:r>
              <w:rPr>
                <w:rFonts w:hint="eastAsia" w:ascii="Times New Roman" w:hAnsi="Times New Roman" w:eastAsia="宋体" w:cs="Times New Roman"/>
                <w:sz w:val="21"/>
                <w:szCs w:val="21"/>
              </w:rPr>
              <w:t xml:space="preserve">30.00分</w:t>
            </w:r>
            <w:r/>
          </w:p>
        </w:tc>
        <w:tc>
          <w:tcPr>
            <w:tcW w:w="5666" w:type="dxa"/>
            <w:textDirection w:val="lrTb"/>
            <w:noWrap w:val="false"/>
          </w:tcPr>
          <w:p>
            <w:pPr>
              <w:keepLines w:val="0"/>
              <w:keepNext w:val="0"/>
              <w:pageBreakBefore w:val="0"/>
              <w:spacing w:line="440" w:lineRule="exact"/>
              <w:rPr>
                <w:rFonts w:ascii="Calibri" w:hAnsi="Calibri" w:eastAsia="宋体" w:cs="Times New Roman"/>
                <w:sz w:val="21"/>
                <w:szCs w:val="21"/>
              </w:rPr>
            </w:pPr>
            <w:r>
              <w:rPr>
                <w:rFonts w:hint="eastAsia" w:ascii="Times New Roman" w:hAnsi="Times New Roman" w:eastAsia="宋体" w:cs="Times New Roman"/>
                <w:sz w:val="21"/>
                <w:szCs w:val="21"/>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eastAsia="宋体" w:cs="Times New Roman"/>
                <w:sz w:val="21"/>
                <w:szCs w:val="21"/>
                <w:highlight w:val="none"/>
                <w:lang w:val="en-US" w:eastAsia="zh-CN"/>
              </w:rPr>
              <w:t xml:space="preserve">30</w:t>
            </w:r>
            <w:r>
              <w:rPr>
                <w:rFonts w:hint="eastAsia" w:ascii="Times New Roman" w:hAnsi="Times New Roman" w:eastAsia="宋体" w:cs="Times New Roman"/>
                <w:sz w:val="21"/>
                <w:szCs w:val="21"/>
                <w:highlight w:val="none"/>
              </w:rPr>
              <w:t xml:space="preserve">。</w:t>
            </w:r>
            <w:r/>
          </w:p>
        </w:tc>
      </w:tr>
      <w:tr>
        <w:trPr>
          <w:jc w:val="center"/>
        </w:trPr>
        <w:tc>
          <w:tcPr>
            <w:tcW w:w="1773" w:type="dxa"/>
            <w:vAlign w:val="center"/>
            <w:textDirection w:val="lrTb"/>
            <w:noWrap w:val="false"/>
          </w:tcPr>
          <w:p>
            <w:pPr>
              <w:jc w:val="center"/>
              <w:keepLines w:val="0"/>
              <w:keepNext w:val="0"/>
              <w:pageBreakBefore w:val="0"/>
              <w:spacing w:line="440" w:lineRule="exact"/>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企业业绩</w:t>
            </w:r>
            <w:r/>
          </w:p>
        </w:tc>
        <w:tc>
          <w:tcPr>
            <w:tcW w:w="1083" w:type="dxa"/>
            <w:vAlign w:val="center"/>
            <w:textDirection w:val="lrTb"/>
            <w:noWrap w:val="false"/>
          </w:tcPr>
          <w:p>
            <w:pPr>
              <w:jc w:val="center"/>
              <w:keepLines w:val="0"/>
              <w:keepNext w:val="0"/>
              <w:pageBreakBefore w:val="0"/>
              <w:spacing w:line="440" w:lineRule="exact"/>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9</w:t>
            </w:r>
            <w:r>
              <w:rPr>
                <w:rFonts w:hint="eastAsia" w:ascii="Times New Roman" w:hAnsi="Times New Roman" w:eastAsia="宋体" w:cs="Times New Roman"/>
                <w:color w:val="auto"/>
                <w:sz w:val="21"/>
                <w:szCs w:val="21"/>
              </w:rPr>
              <w:t xml:space="preserve">.00分</w:t>
            </w:r>
            <w:r/>
          </w:p>
        </w:tc>
        <w:tc>
          <w:tcPr>
            <w:tcW w:w="5666" w:type="dxa"/>
            <w:vAlign w:val="center"/>
            <w:textDirection w:val="lrTb"/>
            <w:noWrap w:val="false"/>
          </w:tcPr>
          <w:p>
            <w:pPr>
              <w:jc w:val="left"/>
              <w:keepLines w:val="0"/>
              <w:keepNext w:val="0"/>
              <w:pageBreakBefore w:val="0"/>
              <w:spacing w:line="440" w:lineRule="exact"/>
              <w:rPr>
                <w:rFonts w:ascii="Times New Roman" w:hAnsi="Times New Roman" w:eastAsia="宋体" w:cs="Times New Roman"/>
                <w:color w:val="auto"/>
                <w:sz w:val="21"/>
                <w:szCs w:val="21"/>
              </w:rPr>
            </w:pPr>
            <w:r/>
            <w:bookmarkStart w:id="726" w:name="OLE_LINK4"/>
            <w:r>
              <w:rPr>
                <w:rFonts w:hint="eastAsia" w:ascii="Times New Roman" w:hAnsi="Times New Roman" w:eastAsia="宋体" w:cs="Times New Roman"/>
                <w:color w:val="auto"/>
                <w:sz w:val="21"/>
                <w:szCs w:val="21"/>
              </w:rPr>
              <w:t xml:space="preserve">供应商</w:t>
            </w:r>
            <w:bookmarkEnd w:id="726"/>
            <w:r>
              <w:rPr>
                <w:rFonts w:hint="eastAsia" w:ascii="Times New Roman" w:hAnsi="Times New Roman" w:eastAsia="宋体" w:cs="Times New Roman"/>
                <w:color w:val="auto"/>
                <w:sz w:val="21"/>
                <w:szCs w:val="21"/>
              </w:rPr>
              <w:t xml:space="preserve">自2023年1月1日（以验收时间为准）以来承担过类似</w:t>
            </w:r>
            <w:r>
              <w:rPr>
                <w:rFonts w:hint="eastAsia" w:ascii="Times New Roman" w:hAnsi="Times New Roman" w:cs="Times New Roman"/>
                <w:color w:val="auto"/>
                <w:sz w:val="21"/>
                <w:szCs w:val="21"/>
                <w:lang w:val="en-US" w:eastAsia="zh-CN"/>
              </w:rPr>
              <w:t xml:space="preserve">工程施工</w:t>
            </w:r>
            <w:r>
              <w:rPr>
                <w:rFonts w:hint="eastAsia" w:ascii="Times New Roman" w:hAnsi="Times New Roman" w:eastAsia="宋体" w:cs="Times New Roman"/>
                <w:color w:val="auto"/>
                <w:sz w:val="21"/>
                <w:szCs w:val="21"/>
                <w:lang w:val="en-US" w:eastAsia="zh-CN"/>
              </w:rPr>
              <w:t xml:space="preserve">业绩</w:t>
            </w:r>
            <w:r>
              <w:rPr>
                <w:rFonts w:hint="eastAsia" w:ascii="Times New Roman" w:hAnsi="Times New Roman" w:cs="Times New Roman"/>
                <w:color w:val="auto"/>
                <w:sz w:val="21"/>
                <w:szCs w:val="21"/>
                <w:lang w:eastAsia="zh-CN"/>
              </w:rPr>
              <w:t xml:space="preserve">（</w:t>
            </w:r>
            <w:r>
              <w:rPr>
                <w:rFonts w:hint="eastAsia" w:ascii="Times New Roman" w:hAnsi="Times New Roman" w:cs="Times New Roman"/>
                <w:color w:val="auto"/>
                <w:sz w:val="21"/>
                <w:szCs w:val="21"/>
                <w:lang w:val="en-US" w:eastAsia="zh-CN"/>
              </w:rPr>
              <w:t xml:space="preserve">至少包含排水管网施工</w:t>
            </w:r>
            <w:r>
              <w:rPr>
                <w:rFonts w:hint="eastAsia" w:ascii="Times New Roman" w:hAnsi="Times New Roman"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的，每有一个得</w:t>
            </w:r>
            <w:r>
              <w:rPr>
                <w:rFonts w:hint="eastAsia" w:ascii="Times New Roman" w:hAnsi="Times New Roman" w:eastAsia="宋体" w:cs="Times New Roman"/>
                <w:color w:val="auto"/>
                <w:sz w:val="21"/>
                <w:szCs w:val="21"/>
                <w:lang w:val="en-US" w:eastAsia="zh-CN"/>
              </w:rPr>
              <w:t xml:space="preserve">3</w:t>
            </w:r>
            <w:r>
              <w:rPr>
                <w:rFonts w:hint="eastAsia" w:ascii="Times New Roman" w:hAnsi="Times New Roman" w:eastAsia="宋体" w:cs="Times New Roman"/>
                <w:color w:val="auto"/>
                <w:sz w:val="21"/>
                <w:szCs w:val="21"/>
              </w:rPr>
              <w:t xml:space="preserve">分，最高得</w:t>
            </w:r>
            <w:r>
              <w:rPr>
                <w:rFonts w:hint="eastAsia" w:ascii="Times New Roman" w:hAnsi="Times New Roman" w:eastAsia="宋体" w:cs="Times New Roman"/>
                <w:color w:val="auto"/>
                <w:sz w:val="21"/>
                <w:szCs w:val="21"/>
                <w:lang w:val="en-US" w:eastAsia="zh-CN"/>
              </w:rPr>
              <w:t xml:space="preserve">9</w:t>
            </w:r>
            <w:r>
              <w:rPr>
                <w:rFonts w:hint="eastAsia" w:ascii="Times New Roman" w:hAnsi="Times New Roman" w:eastAsia="宋体" w:cs="Times New Roman"/>
                <w:color w:val="auto"/>
                <w:sz w:val="21"/>
                <w:szCs w:val="21"/>
              </w:rPr>
              <w:t xml:space="preserve">分。</w:t>
            </w:r>
            <w:r/>
          </w:p>
          <w:p>
            <w:p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w:t>
            </w:r>
            <w:r>
              <w:rPr>
                <w:rFonts w:hint="eastAsia" w:ascii="Times New Roman" w:hAnsi="Times New Roman" w:eastAsia="宋体" w:cs="Times New Roman"/>
                <w:color w:val="auto"/>
                <w:sz w:val="21"/>
                <w:szCs w:val="21"/>
                <w:highlight w:val="none"/>
              </w:rPr>
              <w:t xml:space="preserve">1、响应文件中</w:t>
            </w:r>
            <w:r>
              <w:rPr>
                <w:rFonts w:hint="eastAsia" w:ascii="Times New Roman" w:hAnsi="Times New Roman" w:cs="Times New Roman"/>
                <w:color w:val="auto"/>
                <w:sz w:val="21"/>
                <w:szCs w:val="21"/>
                <w:highlight w:val="none"/>
                <w:lang w:val="en-US" w:eastAsia="zh-CN"/>
              </w:rPr>
              <w:t xml:space="preserve">业绩证明材料电子件至少包括：①</w:t>
            </w:r>
            <w:r>
              <w:rPr>
                <w:rFonts w:hint="eastAsia" w:ascii="Times New Roman" w:hAnsi="Times New Roman" w:eastAsia="宋体" w:cs="Times New Roman"/>
                <w:color w:val="auto"/>
                <w:sz w:val="21"/>
                <w:szCs w:val="21"/>
                <w:highlight w:val="none"/>
              </w:rPr>
              <w:t xml:space="preserve">中标（成交）通知书</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②</w:t>
            </w:r>
            <w:r>
              <w:rPr>
                <w:rFonts w:hint="eastAsia" w:ascii="Times New Roman" w:hAnsi="Times New Roman" w:eastAsia="宋体" w:cs="Times New Roman"/>
                <w:color w:val="auto"/>
                <w:sz w:val="21"/>
                <w:szCs w:val="21"/>
                <w:highlight w:val="none"/>
              </w:rPr>
              <w:t xml:space="preserve">合同</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或合同协议书</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③</w:t>
            </w:r>
            <w:r>
              <w:rPr>
                <w:rFonts w:hint="eastAsia" w:ascii="Times New Roman" w:hAnsi="Times New Roman" w:eastAsia="宋体" w:cs="Times New Roman"/>
                <w:color w:val="auto"/>
                <w:sz w:val="21"/>
                <w:szCs w:val="21"/>
                <w:highlight w:val="none"/>
              </w:rPr>
              <w:t xml:space="preserve">验收合格证明材料</w:t>
            </w:r>
            <w:r>
              <w:rPr>
                <w:rFonts w:hint="eastAsia" w:ascii="Times New Roman" w:hAnsi="Times New Roman"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rPr>
              <w:t xml:space="preserve">未提供或提供不齐全不得分</w:t>
            </w:r>
            <w:r>
              <w:rPr>
                <w:rFonts w:hint="eastAsia" w:ascii="Times New Roman" w:hAnsi="Times New Roman" w:eastAsia="宋体" w:cs="Times New Roman"/>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rtl w:val="0"/>
                <w:lang w:val="en-US" w:eastAsia="zh-CN"/>
              </w:rPr>
              <w:t xml:space="preserve">2、</w:t>
            </w:r>
            <w:r>
              <w:rPr>
                <w:rFonts w:hint="eastAsia" w:ascii="Times New Roman" w:hAnsi="Times New Roman" w:eastAsia="宋体" w:cs="Times New Roman"/>
                <w:color w:val="auto"/>
                <w:sz w:val="21"/>
                <w:szCs w:val="21"/>
                <w:highlight w:val="none"/>
                <w:rtl w:val="0"/>
                <w:lang w:val="en-US" w:eastAsia="zh-CN"/>
              </w:rPr>
              <w:t xml:space="preserve">业绩证明材料应能够清晰、明确反映供应商名称、验收时间、工程内容等主要信息</w:t>
            </w:r>
            <w:r>
              <w:rPr>
                <w:rFonts w:hint="eastAsia" w:ascii="Times New Roman" w:hAnsi="Times New Roman" w:eastAsia="宋体" w:cs="Times New Roman"/>
                <w:color w:val="auto"/>
                <w:sz w:val="21"/>
                <w:szCs w:val="21"/>
                <w:highlight w:val="none"/>
              </w:rPr>
              <w:t xml:space="preserve">，否则业绩不得分</w:t>
            </w:r>
            <w:r>
              <w:rPr>
                <w:rFonts w:hint="eastAsia" w:ascii="Times New Roman" w:hAnsi="Times New Roman" w:eastAsia="宋体" w:cs="Times New Roman"/>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供应商业绩与项目负责人业绩不重复计分</w:t>
            </w:r>
            <w:r>
              <w:rPr>
                <w:rFonts w:hint="eastAsia" w:ascii="Times New Roman" w:hAnsi="Times New Roman" w:eastAsia="宋体" w:cs="Times New Roman"/>
                <w:color w:val="auto"/>
                <w:sz w:val="21"/>
                <w:szCs w:val="21"/>
                <w:highlight w:val="none"/>
                <w:lang w:eastAsia="zh-CN"/>
              </w:rPr>
              <w:t xml:space="preserve">。</w:t>
            </w:r>
            <w:r/>
          </w:p>
          <w:p>
            <w:pPr>
              <w:jc w:val="left"/>
              <w:keepLines w:val="0"/>
              <w:keepNext w:val="0"/>
              <w:pageBreakBefore w:val="0"/>
              <w:spacing w:line="440" w:lineRule="exact"/>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none"/>
                <w:lang w:val="en-US" w:eastAsia="zh-CN"/>
              </w:rPr>
              <w:t xml:space="preserve">4、成交供应商提供的业绩将随成交结果同步公开。</w:t>
            </w:r>
            <w:r/>
          </w:p>
        </w:tc>
      </w:tr>
      <w:tr>
        <w:trPr>
          <w:jc w:val="center"/>
        </w:trPr>
        <w:tc>
          <w:tcPr>
            <w:tcW w:w="177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企业认证</w:t>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3.00分</w:t>
            </w:r>
            <w:r/>
          </w:p>
        </w:tc>
        <w:tc>
          <w:tcPr>
            <w:tcW w:w="5666" w:type="dxa"/>
            <w:vAlign w:val="center"/>
            <w:textDirection w:val="lrTb"/>
            <w:noWrap w:val="false"/>
          </w:tcPr>
          <w:p>
            <w:pPr>
              <w:jc w:val="left"/>
              <w:keepLines w:val="0"/>
              <w:keepNext w:val="0"/>
              <w:pageBreakBefore w:val="0"/>
              <w:spacing w:line="440" w:lineRule="exact"/>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供应商具有有效期内质量管理体系认证证书、环境管理体系认证证书、职业健康安全管理体系认证证书，每</w:t>
            </w:r>
            <w:r>
              <w:rPr>
                <w:rFonts w:hint="eastAsia" w:ascii="Times New Roman" w:hAnsi="Times New Roman" w:eastAsia="宋体" w:cs="Times New Roman"/>
                <w:color w:val="auto"/>
                <w:sz w:val="21"/>
                <w:szCs w:val="21"/>
                <w:lang w:val="en-US" w:eastAsia="zh-CN"/>
              </w:rPr>
              <w:t xml:space="preserve">有一</w:t>
            </w:r>
            <w:r>
              <w:rPr>
                <w:rFonts w:hint="eastAsia" w:ascii="Times New Roman" w:hAnsi="Times New Roman" w:eastAsia="宋体" w:cs="Times New Roman"/>
                <w:color w:val="auto"/>
                <w:sz w:val="21"/>
                <w:szCs w:val="21"/>
              </w:rPr>
              <w:t xml:space="preserve">项得1分，最高</w:t>
            </w:r>
            <w:r>
              <w:rPr>
                <w:rFonts w:hint="eastAsia" w:ascii="Times New Roman" w:hAnsi="Times New Roman" w:eastAsia="宋体" w:cs="Times New Roman"/>
                <w:color w:val="auto"/>
                <w:sz w:val="21"/>
                <w:szCs w:val="21"/>
                <w:lang w:val="en-US" w:eastAsia="zh-CN"/>
              </w:rPr>
              <w:t xml:space="preserve">得</w:t>
            </w:r>
            <w:r>
              <w:rPr>
                <w:rFonts w:hint="eastAsia" w:ascii="Times New Roman" w:hAnsi="Times New Roman" w:eastAsia="宋体" w:cs="Times New Roman"/>
                <w:color w:val="auto"/>
                <w:sz w:val="21"/>
                <w:szCs w:val="21"/>
              </w:rPr>
              <w:t xml:space="preserve">3分</w:t>
            </w:r>
            <w:r>
              <w:rPr>
                <w:rFonts w:hint="eastAsia" w:ascii="Times New Roman" w:hAnsi="Times New Roman" w:eastAsia="宋体" w:cs="Times New Roman"/>
                <w:color w:val="auto"/>
                <w:sz w:val="21"/>
                <w:szCs w:val="21"/>
                <w:lang w:eastAsia="zh-CN"/>
              </w:rPr>
              <w:t xml:space="preserve">。</w:t>
            </w:r>
            <w:r/>
          </w:p>
          <w:p>
            <w:pPr>
              <w:jc w:val="left"/>
              <w:keepLines w:val="0"/>
              <w:keepNext w:val="0"/>
              <w:pageBreakBefore w:val="0"/>
              <w:spacing w:line="440" w:lineRule="exact"/>
              <w:rPr>
                <w:rFonts w:hint="default" w:ascii="宋体" w:hAnsi="宋体" w:eastAsia="宋体" w:cs="宋体"/>
                <w:bCs/>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注：响应文件中提供证书电子</w:t>
            </w:r>
            <w:r>
              <w:rPr>
                <w:rFonts w:hint="eastAsia" w:ascii="Times New Roman" w:hAnsi="Times New Roman" w:eastAsia="宋体" w:cs="Times New Roman"/>
                <w:color w:val="auto"/>
                <w:sz w:val="21"/>
                <w:szCs w:val="21"/>
              </w:rPr>
              <w:t xml:space="preserve">件</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tl w:val="0"/>
                <w:lang w:val="en-US" w:eastAsia="zh-CN"/>
              </w:rPr>
              <w:t xml:space="preserve">并且提供在国家市场监督管理总局全国认证认可信息公共服务平台查询认证有效的页面截图</w:t>
            </w:r>
            <w:r>
              <w:rPr>
                <w:rFonts w:hint="eastAsia" w:ascii="Times New Roman" w:hAnsi="Times New Roman" w:cs="Times New Roman"/>
                <w:color w:val="auto"/>
                <w:sz w:val="21"/>
                <w:szCs w:val="21"/>
                <w:rtl w:val="0"/>
                <w:lang w:val="en-US" w:eastAsia="zh-CN"/>
              </w:rPr>
              <w:t xml:space="preserve">。</w:t>
            </w:r>
            <w:r/>
          </w:p>
        </w:tc>
      </w:tr>
      <w:tr>
        <w:trPr>
          <w:jc w:val="center"/>
        </w:trPr>
        <w:tc>
          <w:tcPr>
            <w:tcW w:w="1773"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none"/>
                <w:rtl w:val="0"/>
                <w:lang w:val="en-US" w:eastAsia="zh-CN"/>
              </w:rPr>
              <w:t xml:space="preserve">环境标志产品</w:t>
            </w:r>
            <w:r/>
          </w:p>
        </w:tc>
        <w:tc>
          <w:tcPr>
            <w:tcW w:w="1083"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highlight w:val="none"/>
                <w:lang w:val="en-US" w:eastAsia="zh-CN"/>
              </w:rPr>
              <w:t xml:space="preserve">1.00分</w:t>
            </w:r>
            <w:r/>
          </w:p>
        </w:tc>
        <w:tc>
          <w:tcPr>
            <w:tcW w:w="5666"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投标产品在财政部、生态环境部公布的“环境标志产品政府采购品目清单”内，且响应文件中提供国家市场监督管理局确定的列入“参与实施政府采购环境标志产品认证机构名录 ”内的认证机构出具的、有效期内的该产品环境标志产品认证证书电子件的得1分；未提供的不得分。</w:t>
            </w:r>
            <w:r/>
          </w:p>
          <w:p>
            <w:p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tl w:val="0"/>
                <w:lang w:val="en-US" w:eastAsia="zh-CN"/>
              </w:rPr>
              <w:t xml:space="preserve">注：本项目工程量清单中涉及的材料属于优先采购的环境标志产品品目清单范围内的详见第二章供应商须知6.3.2条款。</w:t>
            </w:r>
            <w:r/>
          </w:p>
        </w:tc>
      </w:tr>
      <w:tr>
        <w:trPr>
          <w:jc w:val="center"/>
        </w:trPr>
        <w:tc>
          <w:tcPr>
            <w:tcW w:w="1773"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施工总体部署与资源配置</w:t>
            </w:r>
            <w:r/>
          </w:p>
          <w:p>
            <w:pPr>
              <w:jc w:val="center"/>
              <w:keepLines w:val="0"/>
              <w:keepNext w:val="0"/>
              <w:pageBreakBefore w:val="0"/>
              <w:spacing w:line="440" w:lineRule="exact"/>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10.00分</w:t>
            </w:r>
            <w:r/>
          </w:p>
        </w:tc>
        <w:tc>
          <w:tcPr>
            <w:tcW w:w="5666" w:type="dxa"/>
            <w:vAlign w:val="center"/>
            <w:textDirection w:val="lrTb"/>
            <w:noWrap w:val="false"/>
          </w:tcPr>
          <w:p>
            <w:pPr>
              <w:jc w:val="left"/>
              <w:keepLines w:val="0"/>
              <w:keepNext w:val="0"/>
              <w:pageBreakBefore w:val="0"/>
              <w:spacing w:line="440" w:lineRule="exact"/>
              <w:widowControl w:val="off"/>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none"/>
                <w:rtl w:val="0"/>
                <w:lang w:val="en-US" w:eastAsia="zh-CN"/>
              </w:rPr>
              <w:t xml:space="preserve">针对磋商文件“第四章 采购需求”中“7.1”提供施工总体部署与资源配置</w:t>
            </w:r>
            <w:r>
              <w:rPr>
                <w:rFonts w:hint="eastAsia" w:ascii="Times New Roman" w:hAnsi="Times New Roman" w:cs="Times New Roman"/>
                <w:color w:val="auto"/>
                <w:sz w:val="21"/>
                <w:szCs w:val="21"/>
                <w:highlight w:val="none"/>
                <w:rtl w:val="0"/>
                <w:lang w:val="en-US" w:eastAsia="zh-CN"/>
              </w:rPr>
              <w:t xml:space="preserve">方案</w:t>
            </w:r>
            <w:r>
              <w:rPr>
                <w:rFonts w:hint="eastAsia" w:ascii="Times New Roman" w:hAnsi="Times New Roman" w:eastAsia="宋体" w:cs="Times New Roman"/>
                <w:color w:val="auto"/>
                <w:sz w:val="21"/>
                <w:szCs w:val="21"/>
                <w:highlight w:val="none"/>
                <w:rtl w:val="0"/>
                <w:lang w:val="en-US" w:eastAsia="zh-CN"/>
              </w:rPr>
              <w:t xml:space="preserve">。 施工组织总体部署科学系统，整体施工思路清晰、重难点把控精准，工序排布贴合零星多点施工工况；人机料资源配置全面详实，进场计划合理，施工人员年龄结</w:t>
            </w:r>
            <w:r>
              <w:rPr>
                <w:rFonts w:ascii="宋体" w:hAnsi="宋体" w:eastAsia="宋体" w:cs="宋体"/>
                <w:color w:val="auto"/>
                <w:sz w:val="21"/>
                <w:szCs w:val="21"/>
                <w:lang w:val="en-US" w:eastAsia="zh-CN" w:bidi="ar"/>
              </w:rPr>
              <w:t xml:space="preserve">构合理，资源投入与施工工序高度匹配，优于采购需求，得</w:t>
            </w:r>
            <w:r>
              <w:rPr>
                <w:rFonts w:hint="eastAsia" w:ascii="宋体" w:hAnsi="宋体" w:eastAsia="宋体" w:cs="宋体"/>
                <w:color w:val="auto"/>
                <w:sz w:val="21"/>
                <w:szCs w:val="21"/>
                <w:lang w:val="en-US" w:eastAsia="zh-CN" w:bidi="ar"/>
              </w:rPr>
              <w:t xml:space="preserve">10</w:t>
            </w:r>
            <w:r>
              <w:rPr>
                <w:rFonts w:ascii="宋体" w:hAnsi="宋体" w:eastAsia="宋体" w:cs="宋体"/>
                <w:color w:val="auto"/>
                <w:sz w:val="21"/>
                <w:szCs w:val="21"/>
                <w:lang w:val="en-US" w:eastAsia="zh-CN" w:bidi="ar"/>
              </w:rPr>
              <w:t xml:space="preserve">分；施工总体部署内容完整，施工逻辑清晰，工序安排合理，劳动力、机械、材料资源配置齐全可行，贴合项目施工实际，可完全满足采购及施工需求，得</w:t>
            </w:r>
            <w:r>
              <w:rPr>
                <w:rFonts w:hint="eastAsia" w:ascii="宋体" w:hAnsi="宋体" w:eastAsia="宋体" w:cs="宋体"/>
                <w:color w:val="auto"/>
                <w:sz w:val="21"/>
                <w:szCs w:val="21"/>
                <w:lang w:val="en-US" w:eastAsia="zh-CN" w:bidi="ar"/>
              </w:rPr>
              <w:t xml:space="preserve">8</w:t>
            </w:r>
            <w:r>
              <w:rPr>
                <w:rFonts w:ascii="宋体" w:hAnsi="宋体" w:eastAsia="宋体" w:cs="宋体"/>
                <w:color w:val="auto"/>
                <w:sz w:val="21"/>
                <w:szCs w:val="21"/>
                <w:lang w:val="en-US" w:eastAsia="zh-CN" w:bidi="ar"/>
              </w:rPr>
              <w:t xml:space="preserve">分；施工总体部署及资源计划内容较浅，整体施工逻辑、工序排布、资源配套存在一定欠缺，针对性不足，经后期优化调整后可基本满足施工需求，得</w:t>
            </w:r>
            <w:r>
              <w:rPr>
                <w:rFonts w:hint="eastAsia" w:ascii="宋体" w:hAnsi="宋体" w:eastAsia="宋体" w:cs="宋体"/>
                <w:color w:val="auto"/>
                <w:sz w:val="21"/>
                <w:szCs w:val="21"/>
                <w:lang w:val="en-US" w:eastAsia="zh-CN" w:bidi="ar"/>
              </w:rPr>
              <w:t xml:space="preserve">6</w:t>
            </w:r>
            <w:r>
              <w:rPr>
                <w:rFonts w:ascii="宋体" w:hAnsi="宋体" w:eastAsia="宋体" w:cs="宋体"/>
                <w:color w:val="auto"/>
                <w:sz w:val="21"/>
                <w:szCs w:val="21"/>
                <w:lang w:val="en-US" w:eastAsia="zh-CN" w:bidi="ar"/>
              </w:rPr>
              <w:t xml:space="preserve">分；</w:t>
            </w:r>
            <w:r>
              <w:rPr>
                <w:rFonts w:hint="eastAsia" w:ascii="宋体" w:hAnsi="宋体" w:eastAsia="宋体" w:cs="宋体"/>
                <w:color w:val="auto"/>
                <w:sz w:val="21"/>
                <w:szCs w:val="21"/>
                <w:lang w:val="en-US" w:eastAsia="zh-CN" w:bidi="ar"/>
              </w:rPr>
              <w:t xml:space="preserve">没有内容</w:t>
            </w:r>
            <w:r>
              <w:rPr>
                <w:rFonts w:ascii="宋体" w:hAnsi="宋体" w:eastAsia="宋体" w:cs="宋体"/>
                <w:color w:val="auto"/>
                <w:sz w:val="21"/>
                <w:szCs w:val="21"/>
                <w:lang w:val="en-US" w:eastAsia="zh-CN" w:bidi="ar"/>
              </w:rPr>
              <w:t xml:space="preserve">不得分。</w:t>
            </w:r>
            <w:r/>
          </w:p>
        </w:tc>
      </w:tr>
      <w:tr>
        <w:trPr>
          <w:jc w:val="center"/>
        </w:trPr>
        <w:tc>
          <w:tcPr>
            <w:tcW w:w="1773" w:type="dxa"/>
            <w:vAlign w:val="center"/>
            <w:textDirection w:val="lrTb"/>
            <w:noWrap w:val="false"/>
          </w:tcPr>
          <w:p>
            <w:pPr>
              <w:jc w:val="center"/>
              <w:keepLines w:val="0"/>
              <w:keepNext w:val="0"/>
              <w:pageBreakBefore w:val="0"/>
              <w:spacing w:line="440" w:lineRule="exact"/>
              <w:rPr>
                <w:rFonts w:ascii="Times New Roman" w:hAnsi="Times New Roman" w:eastAsia="宋体" w:cs="Times New Roman"/>
                <w:color w:val="auto"/>
                <w:sz w:val="21"/>
                <w:szCs w:val="21"/>
              </w:rPr>
            </w:pPr>
            <w:r>
              <w:rPr>
                <w:rFonts w:eastAsia="宋体" w:cs="Times New Roman"/>
                <w:color w:val="auto"/>
                <w:sz w:val="21"/>
                <w:szCs w:val="21"/>
              </w:rPr>
              <w:t xml:space="preserve">施工现场平面布置方案</w:t>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10.00分</w:t>
            </w:r>
            <w:r/>
          </w:p>
        </w:tc>
        <w:tc>
          <w:tcPr>
            <w:tcW w:w="5666" w:type="dxa"/>
            <w:vAlign w:val="center"/>
            <w:textDirection w:val="lrTb"/>
            <w:noWrap w:val="false"/>
          </w:tcPr>
          <w:p>
            <w:pPr>
              <w:jc w:val="left"/>
              <w:keepLines w:val="0"/>
              <w:keepNext w:val="0"/>
              <w:pageBreakBefore w:val="0"/>
              <w:spacing w:beforeAutospacing="0" w:afterAutospacing="0" w:line="440" w:lineRule="exact"/>
              <w:widowControl/>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tl w:val="0"/>
                <w:lang w:val="en-US" w:eastAsia="zh-CN"/>
              </w:rPr>
              <w:t xml:space="preserve">针对磋商文件“第四章 采购需求”中“7.2”提供施工现场平面布置方案。现场施</w:t>
            </w:r>
            <w:r>
              <w:rPr>
                <w:rFonts w:hint="eastAsia" w:ascii="Times New Roman" w:hAnsi="Times New Roman" w:eastAsia="宋体" w:cs="Times New Roman"/>
                <w:color w:val="auto"/>
                <w:sz w:val="21"/>
                <w:szCs w:val="21"/>
                <w:highlight w:val="none"/>
                <w:rtl w:val="0"/>
                <w:lang w:val="en-US" w:eastAsia="zh-CN"/>
              </w:rPr>
              <w:t xml:space="preserve">工布置方案完善，对施工点位深度分析，科学规划场地分区，临时设施、临时道路布置合理规范，机械进退场、土方及物料转运、现场人员作业通行需求，场地管控逻辑清晰、可实施性强，优于采购需求，得10 分； 对施工点位全面分析，施工现场布置内容完整，分区规划、临时设施及道路布置合规合理，贴合现场施工实际，可有效满足项目正常施工开展需求，得8分；施工点位分析深度不足，现场布置方案内容简略，场地规划、临时配套设施布置针对性不足，未充分体现零星分散施工特点，存在一定疏漏，经优化调整后可满足基本施工需求，得6分；没有内容不得分。</w:t>
            </w:r>
            <w:r/>
          </w:p>
        </w:tc>
      </w:tr>
      <w:tr>
        <w:trPr>
          <w:jc w:val="center"/>
        </w:trPr>
        <w:tc>
          <w:tcPr>
            <w:tcW w:w="1773" w:type="dxa"/>
            <w:vAlign w:val="center"/>
            <w:textDirection w:val="lrTb"/>
            <w:noWrap w:val="false"/>
          </w:tcPr>
          <w:p>
            <w:pPr>
              <w:jc w:val="center"/>
              <w:keepLines w:val="0"/>
              <w:keepNext w:val="0"/>
              <w:pageBreakBefore w:val="0"/>
              <w:spacing w:line="440" w:lineRule="exact"/>
              <w:rPr>
                <w:rFonts w:ascii="Times New Roman" w:hAnsi="Times New Roman" w:eastAsia="宋体" w:cs="Times New Roman"/>
                <w:color w:val="auto"/>
                <w:sz w:val="21"/>
                <w:szCs w:val="21"/>
              </w:rPr>
            </w:pPr>
            <w:r>
              <w:rPr>
                <w:rFonts w:eastAsia="宋体" w:cs="Times New Roman"/>
                <w:color w:val="auto"/>
                <w:sz w:val="21"/>
                <w:szCs w:val="21"/>
              </w:rPr>
              <w:t xml:space="preserve">主要施工工艺及专项工序方案</w:t>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15.00分</w:t>
            </w:r>
            <w:r/>
          </w:p>
        </w:tc>
        <w:tc>
          <w:tcPr>
            <w:tcW w:w="5666" w:type="dxa"/>
            <w:vAlign w:val="center"/>
            <w:textDirection w:val="lrTb"/>
            <w:noWrap w:val="false"/>
          </w:tcPr>
          <w:p>
            <w:pPr>
              <w:jc w:val="left"/>
              <w:keepLines w:val="0"/>
              <w:keepNext w:val="0"/>
              <w:pageBreakBefore w:val="0"/>
              <w:spacing w:beforeAutospacing="0" w:afterAutospacing="0" w:line="440" w:lineRule="exact"/>
              <w:widowControl/>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tl w:val="0"/>
                <w:lang w:val="en-US" w:eastAsia="zh-CN"/>
              </w:rPr>
              <w:t xml:space="preserve">针对磋商文件“第四章 采购需求”中“7.</w:t>
            </w:r>
            <w:r>
              <w:rPr>
                <w:rFonts w:hint="eastAsia" w:ascii="Times New Roman" w:hAnsi="Times New Roman" w:cs="Times New Roman"/>
                <w:color w:val="auto"/>
                <w:sz w:val="21"/>
                <w:szCs w:val="21"/>
                <w:highlight w:val="none"/>
                <w:rtl w:val="0"/>
                <w:lang w:val="en-US" w:eastAsia="zh-CN"/>
              </w:rPr>
              <w:t xml:space="preserve">3</w:t>
            </w:r>
            <w:r>
              <w:rPr>
                <w:rFonts w:hint="eastAsia" w:ascii="Times New Roman" w:hAnsi="Times New Roman" w:eastAsia="宋体" w:cs="Times New Roman"/>
                <w:color w:val="auto"/>
                <w:sz w:val="21"/>
                <w:szCs w:val="21"/>
                <w:highlight w:val="none"/>
                <w:rtl w:val="0"/>
                <w:lang w:val="en-US" w:eastAsia="zh-CN"/>
              </w:rPr>
              <w:t xml:space="preserve">”提供</w:t>
            </w:r>
            <w:r>
              <w:rPr>
                <w:rFonts w:eastAsia="宋体" w:cs="Times New Roman"/>
                <w:color w:val="auto"/>
                <w:sz w:val="21"/>
                <w:szCs w:val="21"/>
              </w:rPr>
              <w:t xml:space="preserve">主要施工工艺及专项工序方案</w:t>
            </w:r>
            <w:r>
              <w:rPr>
                <w:rFonts w:ascii="宋体" w:hAnsi="宋体" w:eastAsia="宋体" w:cs="宋体"/>
                <w:color w:val="auto"/>
                <w:sz w:val="21"/>
                <w:szCs w:val="21"/>
                <w:highlight w:val="none"/>
                <w:lang w:val="en-US" w:eastAsia="zh-CN" w:bidi="ar"/>
              </w:rPr>
              <w:t xml:space="preserve">。各分项施工工艺规范细化、技术标准明确，施工工序衔接科学顺畅，完全贴合零星分散、多点作业施工工况，对施工重难点、关键工序有专项管控措施，优于采购需求，得</w:t>
            </w:r>
            <w:r>
              <w:rPr>
                <w:rFonts w:hint="eastAsia" w:ascii="宋体" w:hAnsi="宋体" w:eastAsia="宋体" w:cs="宋体"/>
                <w:color w:val="auto"/>
                <w:sz w:val="21"/>
                <w:szCs w:val="21"/>
                <w:highlight w:val="none"/>
                <w:lang w:val="en-US" w:eastAsia="zh-CN" w:bidi="ar"/>
              </w:rPr>
              <w:t xml:space="preserve">15</w:t>
            </w:r>
            <w:r>
              <w:rPr>
                <w:rFonts w:ascii="宋体" w:hAnsi="宋体" w:eastAsia="宋体" w:cs="宋体"/>
                <w:color w:val="auto"/>
                <w:sz w:val="21"/>
                <w:szCs w:val="21"/>
                <w:highlight w:val="none"/>
                <w:lang w:val="en-US" w:eastAsia="zh-CN" w:bidi="ar"/>
              </w:rPr>
              <w:t xml:space="preserve">分；主要施工工艺及工序方案内容齐全，施工流程符合规范要求，工序排布有序合理，可全面满足本项目雨污水管网改造、土方开挖、道路破复施工技术要求，得</w:t>
            </w:r>
            <w:r>
              <w:rPr>
                <w:rFonts w:hint="eastAsia" w:ascii="宋体" w:hAnsi="宋体" w:eastAsia="宋体" w:cs="宋体"/>
                <w:color w:val="auto"/>
                <w:sz w:val="21"/>
                <w:szCs w:val="21"/>
                <w:highlight w:val="none"/>
                <w:lang w:val="en-US" w:eastAsia="zh-CN" w:bidi="ar"/>
              </w:rPr>
              <w:t xml:space="preserve">13</w:t>
            </w:r>
            <w:r>
              <w:rPr>
                <w:rFonts w:ascii="宋体" w:hAnsi="宋体" w:eastAsia="宋体" w:cs="宋体"/>
                <w:color w:val="auto"/>
                <w:sz w:val="21"/>
                <w:szCs w:val="21"/>
                <w:highlight w:val="none"/>
                <w:lang w:val="en-US" w:eastAsia="zh-CN" w:bidi="ar"/>
              </w:rPr>
              <w:t xml:space="preserve">分；施工工艺内容笼统，关键工序技术要点缺失，工序施工逻辑不够严谨，未充分结合项目零星施工特点，针对性不足，经补充优化后可基本满足施工要求，得</w:t>
            </w:r>
            <w:r>
              <w:rPr>
                <w:rFonts w:hint="eastAsia" w:ascii="宋体" w:hAnsi="宋体" w:eastAsia="宋体" w:cs="宋体"/>
                <w:color w:val="auto"/>
                <w:sz w:val="21"/>
                <w:szCs w:val="21"/>
                <w:highlight w:val="none"/>
                <w:lang w:val="en-US" w:eastAsia="zh-CN" w:bidi="ar"/>
              </w:rPr>
              <w:t xml:space="preserve">11</w:t>
            </w:r>
            <w:r>
              <w:rPr>
                <w:rFonts w:ascii="宋体" w:hAnsi="宋体" w:eastAsia="宋体" w:cs="宋体"/>
                <w:color w:val="auto"/>
                <w:sz w:val="21"/>
                <w:szCs w:val="21"/>
                <w:highlight w:val="none"/>
                <w:lang w:val="en-US" w:eastAsia="zh-CN" w:bidi="ar"/>
              </w:rPr>
              <w:t xml:space="preserve">分；</w:t>
            </w:r>
            <w:r>
              <w:rPr>
                <w:rFonts w:hint="eastAsia" w:ascii="宋体" w:hAnsi="宋体" w:eastAsia="宋体" w:cs="宋体"/>
                <w:b w:val="0"/>
                <w:bCs w:val="0"/>
                <w:color w:val="auto"/>
                <w:sz w:val="21"/>
                <w:szCs w:val="21"/>
                <w:highlight w:val="none"/>
                <w:lang w:val="en-US" w:eastAsia="zh-CN" w:bidi="ar"/>
              </w:rPr>
              <w:t xml:space="preserve">没有内容不得分。</w:t>
            </w:r>
            <w:r/>
          </w:p>
        </w:tc>
      </w:tr>
      <w:tr>
        <w:trPr>
          <w:jc w:val="center"/>
        </w:trPr>
        <w:tc>
          <w:tcPr>
            <w:tcW w:w="1773" w:type="dxa"/>
            <w:vAlign w:val="center"/>
            <w:textDirection w:val="lrTb"/>
            <w:noWrap w:val="false"/>
          </w:tcPr>
          <w:p>
            <w:pPr>
              <w:jc w:val="center"/>
              <w:keepLines w:val="0"/>
              <w:keepNext w:val="0"/>
              <w:pageBreakBefore w:val="0"/>
              <w:spacing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val="en-US" w:eastAsia="zh-CN" w:bidi="ar"/>
              </w:rPr>
              <w:t xml:space="preserve">安全文明及环保施工方案</w:t>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12.00分</w:t>
            </w:r>
            <w:r/>
          </w:p>
        </w:tc>
        <w:tc>
          <w:tcPr>
            <w:tcW w:w="5666" w:type="dxa"/>
            <w:vAlign w:val="center"/>
            <w:textDirection w:val="lrTb"/>
            <w:noWrap w:val="false"/>
          </w:tcPr>
          <w:p>
            <w:pPr>
              <w:jc w:val="left"/>
              <w:keepLines w:val="0"/>
              <w:keepNext w:val="0"/>
              <w:pageBreakBefore w:val="0"/>
              <w:spacing w:line="44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tl w:val="0"/>
                <w:lang w:val="en-US" w:eastAsia="zh-CN"/>
              </w:rPr>
              <w:t xml:space="preserve">针对磋商文件“第四章 采购需求”中“7.4”提供安全文明及环保施工方案。 安全文明、环保管控体系健</w:t>
            </w:r>
            <w:r>
              <w:rPr>
                <w:rFonts w:hint="eastAsia" w:ascii="Times New Roman" w:hAnsi="Times New Roman" w:eastAsia="宋体" w:cs="Times New Roman"/>
                <w:color w:val="auto"/>
                <w:sz w:val="21"/>
                <w:szCs w:val="21"/>
                <w:highlight w:val="none"/>
                <w:rtl w:val="0"/>
                <w:lang w:val="en-US" w:eastAsia="zh-CN"/>
              </w:rPr>
              <w:t xml:space="preserve">全，管理制度完善，针对沟槽开挖、深基坑施工、临时用电、机械作业、有限空间作业等高危场景制定专项防护措施，扬尘降噪、交通疏导、成品保护、废料处置措施全面细化，适配本项目零星施工场景，管控到位、可实施性强，优于采购需求，得12分；安全文明及环保施工方案内容完整，各项管控措施合规可行，可有效规避施工安全风险、满足市政工程文明环保施工标准及项目管控要求，得10分；安全文明、环保管控内容简略，部分专项管控措施缺失，针对零星施工场景的针对性较弱，体系不够完善，经补充完善后可基本满足施工管控需求，得8分；没有内容不得分。</w:t>
            </w:r>
            <w:r/>
          </w:p>
        </w:tc>
      </w:tr>
      <w:tr>
        <w:trPr>
          <w:jc w:val="center"/>
        </w:trPr>
        <w:tc>
          <w:tcPr>
            <w:tcW w:w="177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项目负责人业绩</w:t>
            </w:r>
            <w:r/>
          </w:p>
        </w:tc>
        <w:tc>
          <w:tcPr>
            <w:tcW w:w="108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6.00分</w:t>
            </w:r>
            <w:r/>
          </w:p>
        </w:tc>
        <w:tc>
          <w:tcPr>
            <w:tcW w:w="5666"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供应商拟派项目负责人自2023年1月1日（以验收时间为准）以来担任过类似</w:t>
            </w:r>
            <w:r>
              <w:rPr>
                <w:rFonts w:hint="eastAsia" w:ascii="Times New Roman" w:hAnsi="Times New Roman" w:cs="Times New Roman"/>
                <w:color w:val="auto"/>
                <w:sz w:val="21"/>
                <w:szCs w:val="21"/>
                <w:lang w:val="en-US" w:eastAsia="zh-CN"/>
              </w:rPr>
              <w:t xml:space="preserve">施工</w:t>
            </w:r>
            <w:r>
              <w:rPr>
                <w:rFonts w:hint="eastAsia" w:ascii="Times New Roman" w:hAnsi="Times New Roman" w:eastAsia="宋体" w:cs="Times New Roman"/>
                <w:color w:val="auto"/>
                <w:sz w:val="21"/>
                <w:szCs w:val="21"/>
                <w:lang w:val="en-US" w:eastAsia="zh-CN"/>
              </w:rPr>
              <w:t xml:space="preserve">业绩</w:t>
            </w:r>
            <w:r>
              <w:rPr>
                <w:rFonts w:hint="eastAsia" w:ascii="Times New Roman" w:hAnsi="Times New Roman" w:cs="Times New Roman"/>
                <w:color w:val="auto"/>
                <w:sz w:val="21"/>
                <w:szCs w:val="21"/>
                <w:lang w:eastAsia="zh-CN"/>
              </w:rPr>
              <w:t xml:space="preserve">（</w:t>
            </w:r>
            <w:r>
              <w:rPr>
                <w:rFonts w:hint="eastAsia" w:ascii="Times New Roman" w:hAnsi="Times New Roman" w:cs="Times New Roman"/>
                <w:color w:val="auto"/>
                <w:sz w:val="21"/>
                <w:szCs w:val="21"/>
                <w:lang w:val="en-US" w:eastAsia="zh-CN"/>
              </w:rPr>
              <w:t xml:space="preserve">至少包含排水管网施工</w:t>
            </w:r>
            <w:r>
              <w:rPr>
                <w:rFonts w:hint="eastAsia" w:ascii="Times New Roman" w:hAnsi="Times New Roman" w:cs="Times New Roman"/>
                <w:color w:val="auto"/>
                <w:sz w:val="21"/>
                <w:szCs w:val="21"/>
                <w:lang w:eastAsia="zh-CN"/>
              </w:rPr>
              <w:t xml:space="preserve">）</w:t>
            </w:r>
            <w:r>
              <w:rPr>
                <w:rFonts w:hint="eastAsia" w:ascii="Times New Roman" w:hAnsi="Times New Roman" w:eastAsia="宋体" w:cs="Times New Roman"/>
                <w:color w:val="auto"/>
                <w:sz w:val="21"/>
                <w:szCs w:val="21"/>
                <w:highlight w:val="none"/>
                <w:rtl w:val="0"/>
                <w:lang w:val="en-US" w:eastAsia="zh-CN"/>
              </w:rPr>
              <w:t xml:space="preserve">的项目负责人，每有一个得</w:t>
            </w:r>
            <w:r>
              <w:rPr>
                <w:rFonts w:hint="eastAsia" w:ascii="Times New Roman" w:hAnsi="Times New Roman" w:cs="Times New Roman"/>
                <w:color w:val="auto"/>
                <w:sz w:val="21"/>
                <w:szCs w:val="21"/>
                <w:highlight w:val="none"/>
                <w:rtl w:val="0"/>
                <w:lang w:val="en-US" w:eastAsia="zh-CN"/>
              </w:rPr>
              <w:t xml:space="preserve">3</w:t>
            </w:r>
            <w:r>
              <w:rPr>
                <w:rFonts w:hint="eastAsia" w:ascii="Times New Roman" w:hAnsi="Times New Roman" w:eastAsia="宋体" w:cs="Times New Roman"/>
                <w:color w:val="auto"/>
                <w:sz w:val="21"/>
                <w:szCs w:val="21"/>
                <w:highlight w:val="none"/>
                <w:rtl w:val="0"/>
                <w:lang w:val="en-US" w:eastAsia="zh-CN"/>
              </w:rPr>
              <w:t xml:space="preserve">分，最高得6分。</w:t>
            </w:r>
            <w:r/>
          </w:p>
          <w:p>
            <w:p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注：1、响应文件中业绩证明材料电子件至少包括：①中标（成交）通知书；②合同（或合同协议书）；③验收合格证明材料；未提供或提供不齐全不得分。</w:t>
            </w:r>
            <w:r/>
          </w:p>
          <w:p>
            <w:pPr>
              <w:numPr>
                <w:ilvl w:val="0"/>
                <w:numId w:val="0"/>
              </w:num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rtl w:val="0"/>
                <w:lang w:val="en-US" w:eastAsia="zh-CN" w:bidi="ar-SA"/>
              </w:rPr>
              <w:t xml:space="preserve">2、</w:t>
            </w:r>
            <w:r>
              <w:rPr>
                <w:rFonts w:hint="eastAsia" w:ascii="Times New Roman" w:hAnsi="Times New Roman" w:eastAsia="宋体" w:cs="Times New Roman"/>
                <w:color w:val="auto"/>
                <w:sz w:val="21"/>
                <w:szCs w:val="21"/>
                <w:highlight w:val="none"/>
                <w:rtl w:val="0"/>
                <w:lang w:val="en-US" w:eastAsia="zh-CN"/>
              </w:rPr>
              <w:t xml:space="preserve">业绩证明材料应能够清晰、明确反映供应商名称、项目负责人姓名、验收时间、工程内容等主要信息，否则业绩不得分；</w:t>
            </w:r>
            <w:r/>
          </w:p>
          <w:p>
            <w:pPr>
              <w:numPr>
                <w:ilvl w:val="0"/>
                <w:numId w:val="0"/>
              </w:numPr>
              <w:ind w:left="0" w:firstLine="0"/>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rtl w:val="0"/>
                <w:lang w:val="en-US" w:eastAsia="zh-CN" w:bidi="ar-SA"/>
              </w:rPr>
              <w:t xml:space="preserve">3、</w:t>
            </w:r>
            <w:r>
              <w:rPr>
                <w:rFonts w:hint="eastAsia" w:ascii="Times New Roman" w:hAnsi="Times New Roman" w:eastAsia="宋体" w:cs="Times New Roman"/>
                <w:color w:val="auto"/>
                <w:sz w:val="21"/>
                <w:szCs w:val="21"/>
                <w:highlight w:val="none"/>
                <w:rtl w:val="0"/>
                <w:lang w:val="en-US" w:eastAsia="zh-CN"/>
              </w:rPr>
              <w:t xml:space="preserve">企业业绩与项目负责人业绩不重复计分；</w:t>
            </w:r>
            <w:r/>
          </w:p>
          <w:p>
            <w:pPr>
              <w:jc w:val="left"/>
              <w:keepLines w:val="0"/>
              <w:keepNext w:val="0"/>
              <w:pageBreakBefore w:val="0"/>
              <w:spacing w:line="440" w:lineRule="exac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none"/>
                <w:lang w:val="en-US" w:eastAsia="zh-CN"/>
              </w:rPr>
              <w:t xml:space="preserve">4、成交供应商提供的</w:t>
            </w:r>
            <w:r>
              <w:rPr>
                <w:rFonts w:hint="eastAsia" w:ascii="Times New Roman" w:hAnsi="Times New Roman" w:eastAsia="宋体" w:cs="Times New Roman"/>
                <w:color w:val="auto"/>
                <w:sz w:val="21"/>
                <w:szCs w:val="21"/>
                <w:highlight w:val="none"/>
                <w:rtl w:val="0"/>
                <w:lang w:val="en-US" w:eastAsia="zh-CN"/>
              </w:rPr>
              <w:t xml:space="preserve">项目负责人</w:t>
            </w:r>
            <w:r>
              <w:rPr>
                <w:rFonts w:hint="eastAsia" w:ascii="Times New Roman" w:hAnsi="Times New Roman" w:eastAsia="宋体" w:cs="Times New Roman"/>
                <w:color w:val="auto"/>
                <w:sz w:val="21"/>
                <w:szCs w:val="21"/>
                <w:highlight w:val="none"/>
                <w:lang w:val="en-US" w:eastAsia="zh-CN"/>
              </w:rPr>
              <w:t xml:space="preserve">业绩将随成交结果同步公开。</w:t>
            </w:r>
            <w:r/>
          </w:p>
        </w:tc>
      </w:tr>
      <w:tr>
        <w:trPr>
          <w:jc w:val="center"/>
        </w:trPr>
        <w:tc>
          <w:tcPr>
            <w:tcW w:w="1773" w:type="dxa"/>
            <w:vAlign w:val="center"/>
            <w:textDirection w:val="lrTb"/>
            <w:noWrap w:val="false"/>
          </w:tcPr>
          <w:p>
            <w:pPr>
              <w:jc w:val="center"/>
              <w:keepLines w:val="0"/>
              <w:keepNext w:val="0"/>
              <w:pageBreakBefore w:val="0"/>
              <w:spacing w:line="440" w:lineRule="exac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项目组其他人员</w:t>
            </w:r>
            <w:r>
              <w:rPr>
                <w:rFonts w:hint="eastAsia" w:ascii="Times New Roman" w:hAnsi="Times New Roman" w:eastAsia="宋体" w:cs="Times New Roman"/>
                <w:color w:val="auto"/>
                <w:sz w:val="21"/>
                <w:szCs w:val="21"/>
                <w:highlight w:val="none"/>
                <w:rtl w:val="0"/>
                <w:lang w:val="en-US" w:eastAsia="zh-CN"/>
              </w:rPr>
              <w:t xml:space="preserve">(项目负责人除外）</w:t>
            </w:r>
            <w:r/>
          </w:p>
        </w:tc>
        <w:tc>
          <w:tcPr>
            <w:tcW w:w="1083" w:type="dxa"/>
            <w:vAlign w:val="center"/>
            <w:textDirection w:val="lrTb"/>
            <w:noWrap w:val="false"/>
          </w:tcPr>
          <w:p>
            <w:pPr>
              <w:jc w:val="center"/>
              <w:keepLines w:val="0"/>
              <w:keepNext w:val="0"/>
              <w:pageBreakBefore w:val="0"/>
              <w:spacing w:line="440" w:lineRule="exact"/>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 xml:space="preserve">4.</w:t>
            </w:r>
            <w:r>
              <w:rPr>
                <w:rFonts w:hint="eastAsia" w:ascii="Times New Roman" w:hAnsi="Times New Roman" w:eastAsia="宋体" w:cs="Times New Roman"/>
                <w:color w:val="auto"/>
                <w:sz w:val="21"/>
                <w:szCs w:val="21"/>
                <w:lang w:eastAsia="zh-CN"/>
              </w:rPr>
              <w:t xml:space="preserve">00分</w:t>
            </w:r>
            <w:r/>
          </w:p>
        </w:tc>
        <w:tc>
          <w:tcPr>
            <w:tcW w:w="5666" w:type="dxa"/>
            <w:vAlign w:val="center"/>
            <w:textDirection w:val="lrTb"/>
            <w:noWrap w:val="false"/>
          </w:tcPr>
          <w:p>
            <w:pPr>
              <w:numPr>
                <w:ilvl w:val="0"/>
                <w:numId w:val="0"/>
              </w:num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具有给水排水专业中级工程师职称证书的每有一人得2分； 具有给水排水专业高级及以上工程师职称证书的，每有一人得4分，本项最高得4分。</w:t>
            </w:r>
            <w:r/>
          </w:p>
          <w:p>
            <w:pPr>
              <w:numPr>
                <w:ilvl w:val="0"/>
                <w:numId w:val="0"/>
              </w:numPr>
              <w:jc w:val="left"/>
              <w:keepLines w:val="0"/>
              <w:keepNext w:val="0"/>
              <w:pageBreakBefore w:val="0"/>
              <w:spacing w:line="440" w:lineRule="exact"/>
              <w:widowControl w:val="off"/>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注:1.专业以职称证书或《专业技术资格评审表》或学历证书或资格证书为准。</w:t>
            </w:r>
            <w:r/>
          </w:p>
          <w:p>
            <w:pPr>
              <w:numPr>
                <w:ilvl w:val="0"/>
                <w:numId w:val="0"/>
              </w:numPr>
              <w:jc w:val="left"/>
              <w:keepLines w:val="0"/>
              <w:keepNext w:val="0"/>
              <w:pageBreakBefore w:val="0"/>
              <w:spacing w:line="440" w:lineRule="exact"/>
              <w:widowControl w:val="off"/>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highlight w:val="none"/>
                <w:rtl w:val="0"/>
                <w:lang w:val="en-US" w:eastAsia="zh-CN"/>
              </w:rPr>
              <w:t xml:space="preserve">2.涉及加分人员提供相关证书电子件和磋商前6个月内本单位为其办理的任意一个月社会养老保险或医疗保险缴纳证明材料。</w:t>
            </w:r>
            <w:r/>
          </w:p>
        </w:tc>
      </w:tr>
    </w:tbl>
    <w:p>
      <w:pPr>
        <w:pStyle w:val="853"/>
        <w:rPr>
          <w:rFonts w:hint="eastAsia" w:ascii="Times New Roman" w:hAnsi="Times New Roman" w:cs="仿宋"/>
          <w:b/>
          <w:bCs/>
          <w:color w:val="auto"/>
          <w:sz w:val="24"/>
        </w:rPr>
      </w:pPr>
      <w:r>
        <w:rPr>
          <w:rFonts w:hint="eastAsia" w:ascii="Times New Roman" w:hAnsi="Times New Roman" w:cs="仿宋"/>
          <w:b/>
          <w:bCs/>
          <w:color w:val="auto"/>
          <w:sz w:val="24"/>
        </w:rPr>
      </w:r>
      <w:r/>
    </w:p>
    <w:p>
      <w:pPr>
        <w:rPr>
          <w:rFonts w:ascii="Times New Roman" w:hAnsi="Times New Roman"/>
          <w:color w:val="auto"/>
          <w:szCs w:val="21"/>
        </w:rPr>
      </w:pPr>
      <w:r>
        <w:rPr>
          <w:rFonts w:hint="eastAsia" w:ascii="Times New Roman" w:hAnsi="Times New Roman"/>
          <w:color w:val="auto"/>
          <w:szCs w:val="21"/>
        </w:rPr>
        <w:br w:type="page" w:clear="all"/>
      </w:r>
      <w:r/>
    </w:p>
    <w:p>
      <w:pPr>
        <w:jc w:val="center"/>
        <w:keepNext/>
        <w:rPr>
          <w:rFonts w:ascii="Times New Roman" w:hAnsi="Times New Roman" w:eastAsia="黑体"/>
          <w:color w:val="auto"/>
          <w:sz w:val="44"/>
          <w:szCs w:val="44"/>
        </w:rPr>
        <w:outlineLvl w:val="0"/>
      </w:pPr>
      <w:r/>
      <w:bookmarkStart w:id="727" w:name="_Toc4228"/>
      <w:r>
        <w:rPr>
          <w:rFonts w:hint="eastAsia" w:ascii="Times New Roman" w:hAnsi="Times New Roman" w:eastAsia="黑体"/>
          <w:color w:val="auto"/>
          <w:sz w:val="44"/>
          <w:szCs w:val="44"/>
        </w:rPr>
        <w:t xml:space="preserve">第六章  </w:t>
      </w:r>
      <w:bookmarkEnd w:id="709"/>
      <w:r/>
      <w:bookmarkEnd w:id="710"/>
      <w:r/>
      <w:bookmarkEnd w:id="716"/>
      <w:r>
        <w:rPr>
          <w:rFonts w:hint="eastAsia" w:ascii="Times New Roman" w:hAnsi="Times New Roman" w:eastAsia="黑体"/>
          <w:color w:val="auto"/>
          <w:sz w:val="44"/>
          <w:szCs w:val="44"/>
        </w:rPr>
        <w:t xml:space="preserve">响应文件格式</w:t>
      </w:r>
      <w:bookmarkEnd w:id="727"/>
      <w:r>
        <w:rPr>
          <w:rFonts w:hint="eastAsia" w:ascii="Times New Roman" w:hAnsi="Times New Roman" w:eastAsia="黑体"/>
          <w:color w:val="auto"/>
          <w:sz w:val="44"/>
          <w:szCs w:val="44"/>
        </w:rPr>
        <w:t xml:space="preserve"> </w:t>
      </w:r>
      <w:r/>
    </w:p>
    <w:p>
      <w:pPr>
        <w:jc w:val="center"/>
        <w:rPr>
          <w:rFonts w:ascii="Times New Roman" w:hAnsi="Times New Roman"/>
          <w:b/>
          <w:color w:val="auto"/>
          <w:sz w:val="72"/>
          <w:szCs w:val="21"/>
        </w:rPr>
      </w:pPr>
      <w:r/>
      <w:bookmarkStart w:id="728" w:name="_Hlt26955039"/>
      <w:r/>
      <w:bookmarkEnd w:id="728"/>
      <w:r/>
      <w:bookmarkStart w:id="729" w:name="_Hlt26671244"/>
      <w:r/>
      <w:bookmarkEnd w:id="729"/>
      <w:r/>
      <w:bookmarkStart w:id="730" w:name="_Toc49090576"/>
      <w:r/>
      <w:bookmarkStart w:id="731" w:name="_Toc26554094"/>
      <w:r/>
      <w:bookmarkStart w:id="732" w:name="_Toc120614282"/>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72"/>
          <w:szCs w:val="21"/>
        </w:rPr>
      </w:pPr>
      <w:r>
        <w:rPr>
          <w:rFonts w:hint="eastAsia" w:ascii="Times New Roman" w:hAnsi="Times New Roman"/>
          <w:b/>
          <w:color w:val="auto"/>
          <w:sz w:val="72"/>
          <w:szCs w:val="21"/>
        </w:rPr>
        <w:t xml:space="preserve">响  应  文  件</w:t>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pStyle w:val="854"/>
        <w:rPr>
          <w:color w:val="auto"/>
        </w:rPr>
      </w:pPr>
      <w:r>
        <w:rPr>
          <w:color w:val="auto"/>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ascii="Times New Roman" w:hAnsi="Times New Roman"/>
          <w:b/>
          <w:bCs/>
          <w:color w:val="auto"/>
          <w:sz w:val="32"/>
          <w:szCs w:val="32"/>
        </w:rPr>
      </w:pPr>
      <w:r>
        <w:rPr>
          <w:rFonts w:ascii="Times New Roman" w:hAnsi="Times New Roman"/>
          <w:b/>
          <w:bCs/>
          <w:color w:val="auto"/>
          <w:sz w:val="32"/>
          <w:szCs w:val="32"/>
        </w:rPr>
      </w:r>
      <w:r/>
    </w:p>
    <w:p>
      <w:pPr>
        <w:spacing w:line="440" w:lineRule="exact"/>
        <w:rPr>
          <w:rFonts w:ascii="Times New Roman" w:hAnsi="Times New Roman"/>
          <w:color w:val="auto"/>
          <w:szCs w:val="21"/>
        </w:rPr>
      </w:pPr>
      <w:r>
        <w:rPr>
          <w:rFonts w:ascii="Times New Roman" w:hAnsi="Times New Roman"/>
          <w:color w:val="auto"/>
          <w:szCs w:val="21"/>
        </w:rPr>
      </w:r>
      <w:r/>
    </w:p>
    <w:p>
      <w:pPr>
        <w:ind w:firstLine="1084"/>
        <w:rPr>
          <w:rFonts w:ascii="Times New Roman" w:hAnsi="Times New Roman"/>
          <w:b/>
          <w:bCs/>
          <w:color w:val="auto"/>
          <w:sz w:val="32"/>
          <w:szCs w:val="32"/>
        </w:rPr>
      </w:pPr>
      <w:r>
        <w:rPr>
          <w:rFonts w:ascii="Times New Roman" w:hAnsi="Times New Roman"/>
          <w:b/>
          <w:color w:val="auto"/>
          <w:sz w:val="36"/>
          <w:szCs w:val="21"/>
          <w:u w:val="single"/>
        </w:rPr>
        <w:br w:type="page" w:clear="all"/>
      </w:r>
      <w:r/>
    </w:p>
    <w:p>
      <w:pPr>
        <w:jc w:val="center"/>
        <w:spacing w:line="440" w:lineRule="exact"/>
        <w:rPr>
          <w:rFonts w:ascii="Times New Roman" w:hAnsi="Times New Roman"/>
          <w:b/>
          <w:bCs/>
          <w:color w:val="auto"/>
          <w:sz w:val="32"/>
          <w:szCs w:val="32"/>
        </w:rPr>
      </w:pPr>
      <w:r>
        <w:rPr>
          <w:rFonts w:hint="eastAsia" w:ascii="Times New Roman" w:hAnsi="Times New Roman"/>
          <w:b/>
          <w:bCs/>
          <w:color w:val="auto"/>
          <w:sz w:val="32"/>
          <w:szCs w:val="32"/>
        </w:rPr>
        <w:t xml:space="preserve">响应文件目录</w:t>
      </w:r>
      <w:r/>
    </w:p>
    <w:p>
      <w:pPr>
        <w:jc w:val="center"/>
        <w:spacing w:line="440" w:lineRule="exact"/>
        <w:rPr>
          <w:rFonts w:ascii="Times New Roman" w:hAnsi="Times New Roman"/>
          <w:b/>
          <w:bCs/>
          <w:color w:val="auto"/>
          <w:sz w:val="32"/>
          <w:szCs w:val="32"/>
        </w:rPr>
      </w:pPr>
      <w:r>
        <w:rPr>
          <w:rFonts w:ascii="Times New Roman" w:hAnsi="Times New Roman"/>
          <w:b/>
          <w:bCs/>
          <w:color w:val="auto"/>
          <w:sz w:val="32"/>
          <w:szCs w:val="32"/>
        </w:rPr>
      </w:r>
      <w:r/>
    </w:p>
    <w:p>
      <w:pPr>
        <w:ind w:left="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一、磋商响应函</w:t>
      </w:r>
      <w:r/>
    </w:p>
    <w:p>
      <w:pPr>
        <w:ind w:left="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二、特定资格要求的证明文件</w:t>
      </w:r>
      <w:r/>
    </w:p>
    <w:p>
      <w:pPr>
        <w:ind w:left="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三、法人授权书</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四、</w:t>
      </w:r>
      <w:r>
        <w:rPr>
          <w:rFonts w:hint="eastAsia" w:ascii="宋体" w:hAnsi="宋体" w:cs="宋体"/>
          <w:color w:val="auto"/>
          <w:sz w:val="28"/>
          <w:szCs w:val="28"/>
        </w:rPr>
        <w:t xml:space="preserve">中小企业或残疾人福利性单位声明函</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五、已标价的工程量清单</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六</w:t>
      </w:r>
      <w:r>
        <w:rPr>
          <w:rFonts w:ascii="Times New Roman" w:hAnsi="Times New Roman"/>
          <w:color w:val="auto"/>
          <w:sz w:val="24"/>
          <w:szCs w:val="21"/>
        </w:rPr>
        <w:t xml:space="preserve">、项目实施方案</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七、项目组人员</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八、企业业绩</w:t>
      </w:r>
      <w:r/>
    </w:p>
    <w:p>
      <w:pPr>
        <w:ind w:firstLine="480"/>
        <w:spacing w:line="440" w:lineRule="exact"/>
        <w:rPr>
          <w:rFonts w:ascii="Times New Roman" w:hAnsi="Times New Roman"/>
          <w:color w:val="auto"/>
          <w:sz w:val="24"/>
          <w:szCs w:val="21"/>
        </w:rPr>
      </w:pPr>
      <w:r>
        <w:rPr>
          <w:rFonts w:hint="eastAsia" w:ascii="Times New Roman" w:hAnsi="Times New Roman"/>
          <w:color w:val="auto"/>
          <w:sz w:val="24"/>
          <w:szCs w:val="21"/>
        </w:rPr>
        <w:t xml:space="preserve">九、磋商所需其他材料</w:t>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ind w:firstLine="480"/>
        <w:spacing w:line="440" w:lineRule="exact"/>
        <w:rPr>
          <w:rFonts w:ascii="Times New Roman" w:hAnsi="Times New Roman"/>
          <w:color w:val="auto"/>
          <w:sz w:val="24"/>
          <w:szCs w:val="21"/>
        </w:rPr>
      </w:pPr>
      <w:r>
        <w:rPr>
          <w:rFonts w:ascii="Times New Roman" w:hAnsi="Times New Roman"/>
          <w:color w:val="auto"/>
          <w:sz w:val="24"/>
          <w:szCs w:val="21"/>
        </w:rPr>
      </w:r>
      <w:r/>
    </w:p>
    <w:p>
      <w:pPr>
        <w:keepLines/>
        <w:keepNext/>
        <w:spacing w:before="145" w:after="145" w:line="360" w:lineRule="auto"/>
        <w:rPr>
          <w:rFonts w:hint="eastAsia" w:ascii="宋体" w:hAnsi="宋体" w:cs="宋体"/>
          <w:b/>
          <w:bCs/>
          <w:color w:val="auto"/>
          <w:sz w:val="32"/>
          <w:szCs w:val="32"/>
        </w:rPr>
        <w:outlineLvl w:val="2"/>
      </w:pPr>
      <w:r/>
      <w:bookmarkStart w:id="733" w:name="_Toc169207399"/>
      <w:r/>
      <w:bookmarkStart w:id="734" w:name="_Toc28878"/>
      <w:r>
        <w:rPr>
          <w:rFonts w:hint="eastAsia" w:ascii="宋体" w:hAnsi="宋体" w:cs="宋体"/>
          <w:b/>
          <w:bCs/>
          <w:color w:val="auto"/>
          <w:sz w:val="32"/>
          <w:szCs w:val="32"/>
        </w:rPr>
        <w:t xml:space="preserve">一、</w:t>
      </w:r>
      <w:bookmarkEnd w:id="733"/>
      <w:r>
        <w:rPr>
          <w:rFonts w:hint="eastAsia" w:ascii="宋体" w:hAnsi="宋体" w:cs="宋体"/>
          <w:b/>
          <w:bCs/>
          <w:color w:val="auto"/>
          <w:sz w:val="32"/>
          <w:szCs w:val="32"/>
        </w:rPr>
        <w:t xml:space="preserve">磋商响应函</w:t>
      </w:r>
      <w:bookmarkEnd w:id="734"/>
      <w:r/>
      <w:r/>
    </w:p>
    <w:p>
      <w:pPr>
        <w:pStyle w:val="1119"/>
        <w:jc w:val="center"/>
        <w:spacing w:line="500" w:lineRule="exact"/>
        <w:rPr>
          <w:rFonts w:hint="eastAsia" w:ascii="宋体" w:hAnsi="宋体" w:cs="宋体"/>
          <w:b/>
          <w:color w:val="auto"/>
          <w:sz w:val="32"/>
          <w:szCs w:val="32"/>
        </w:rPr>
      </w:pPr>
      <w:r>
        <w:rPr>
          <w:rFonts w:hint="eastAsia" w:ascii="宋体" w:hAnsi="宋体" w:cs="宋体"/>
          <w:b/>
          <w:color w:val="auto"/>
          <w:sz w:val="32"/>
          <w:szCs w:val="32"/>
        </w:rPr>
        <w:t xml:space="preserve">磋商响应函</w:t>
      </w:r>
      <w:r/>
    </w:p>
    <w:p>
      <w:pPr>
        <w:pStyle w:val="1119"/>
        <w:jc w:val="left"/>
        <w:spacing w:line="500" w:lineRule="exact"/>
        <w:rPr>
          <w:rFonts w:hint="eastAsia" w:ascii="宋体" w:hAnsi="宋体" w:cs="宋体"/>
          <w:color w:val="auto"/>
          <w:sz w:val="24"/>
          <w:szCs w:val="24"/>
          <w:u w:val="single"/>
        </w:rPr>
      </w:pPr>
      <w:r>
        <w:rPr>
          <w:rFonts w:hint="eastAsia" w:ascii="宋体" w:hAnsi="宋体" w:cs="宋体"/>
          <w:color w:val="auto"/>
          <w:sz w:val="24"/>
          <w:szCs w:val="24"/>
          <w:u w:val="single"/>
        </w:rPr>
        <w:t xml:space="preserve">（采购单位名称）：</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根据已收到的项目编号为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项目的竞争性磋商文件，我方在参加本项目竞争性磋商活动中，特做出如下承诺：</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一、我方</w:t>
      </w:r>
      <w:r>
        <w:rPr>
          <w:rFonts w:hint="eastAsia" w:ascii="宋体" w:hAnsi="宋体" w:cs="宋体"/>
          <w:color w:val="auto"/>
          <w:sz w:val="24"/>
        </w:rPr>
        <w:t xml:space="preserve">具备《中华人民共和国政府采购法》第二十二条第一款规定的6项条件；</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三、我方按磋商文件要求提交响应文件，响应磋商文件规定的响应有效期；</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四、如果我方的响应文件被接受，我方将按《中华人民共和国民法典（第三编合同） 》及其他有关法律、法规的规定，按期、按质、按量交付采购单位，全面做到履约守信；</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五、我方若违背本声明及承诺约定，经查实，自愿接受采购人及相关主管部门相应的规定处理，并依法承担相应的法律责任。</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六、我方同意采购人、采购代理机构将本声明及承诺函上网公开。</w:t>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r>
      <w:r/>
    </w:p>
    <w:p>
      <w:pPr>
        <w:pStyle w:val="1119"/>
        <w:jc w:val="left"/>
        <w:spacing w:line="500" w:lineRule="exact"/>
        <w:rPr>
          <w:rFonts w:hint="eastAsia" w:ascii="宋体" w:hAnsi="宋体" w:cs="宋体"/>
          <w:color w:val="auto"/>
          <w:sz w:val="24"/>
          <w:szCs w:val="24"/>
        </w:rPr>
      </w:pPr>
      <w:r>
        <w:rPr>
          <w:rFonts w:hint="eastAsia" w:ascii="宋体" w:hAnsi="宋体" w:cs="宋体"/>
          <w:color w:val="auto"/>
          <w:sz w:val="24"/>
          <w:szCs w:val="24"/>
        </w:rPr>
      </w:r>
      <w:r/>
    </w:p>
    <w:p>
      <w:pPr>
        <w:pStyle w:val="1119"/>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供应商名称：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（加盖CA电子公章）</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bookmarkEnd w:id="730"/>
      <w:r/>
      <w:bookmarkEnd w:id="731"/>
      <w:r/>
      <w:bookmarkEnd w:id="732"/>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keepLines/>
        <w:keepNext/>
        <w:spacing w:before="145" w:after="145" w:line="360" w:lineRule="auto"/>
        <w:rPr>
          <w:rFonts w:hint="eastAsia" w:ascii="宋体" w:hAnsi="宋体" w:cs="宋体"/>
          <w:i/>
          <w:color w:val="auto"/>
          <w:sz w:val="32"/>
          <w:szCs w:val="32"/>
          <w:u w:val="single"/>
        </w:rPr>
        <w:outlineLvl w:val="2"/>
      </w:pPr>
      <w:r/>
      <w:bookmarkStart w:id="735" w:name="_Toc169207400"/>
      <w:r/>
      <w:bookmarkStart w:id="736" w:name="_Toc27399"/>
      <w:r/>
      <w:bookmarkStart w:id="737" w:name="_Toc7070"/>
      <w:r/>
      <w:bookmarkStart w:id="738" w:name="_Toc120614284"/>
      <w:r>
        <w:rPr>
          <w:rFonts w:hint="eastAsia" w:ascii="宋体" w:hAnsi="宋体" w:cs="宋体"/>
          <w:b/>
          <w:bCs/>
          <w:color w:val="auto"/>
          <w:sz w:val="32"/>
          <w:szCs w:val="32"/>
        </w:rPr>
        <w:t xml:space="preserve">二、</w:t>
      </w:r>
      <w:bookmarkEnd w:id="735"/>
      <w:r/>
      <w:bookmarkEnd w:id="736"/>
      <w:r/>
      <w:bookmarkStart w:id="739" w:name="_Toc169207401"/>
      <w:r>
        <w:rPr>
          <w:rFonts w:hint="eastAsia" w:ascii="宋体" w:hAnsi="宋体" w:cs="宋体"/>
          <w:b/>
          <w:bCs/>
          <w:color w:val="auto"/>
          <w:sz w:val="32"/>
          <w:szCs w:val="32"/>
        </w:rPr>
        <w:t xml:space="preserve">特定资格要求的证明文件</w:t>
      </w:r>
      <w:bookmarkEnd w:id="737"/>
      <w:r/>
      <w:bookmarkEnd w:id="739"/>
      <w:r/>
      <w:r/>
    </w:p>
    <w:p>
      <w:pPr>
        <w:ind w:firstLine="480"/>
        <w:spacing w:line="460" w:lineRule="exact"/>
        <w:rPr>
          <w:rFonts w:hint="eastAsia" w:ascii="宋体" w:hAnsi="宋体" w:cs="宋体"/>
          <w:color w:val="auto"/>
          <w:sz w:val="24"/>
        </w:rPr>
      </w:pPr>
      <w:r>
        <w:rPr>
          <w:rFonts w:hint="eastAsia" w:ascii="宋体" w:hAnsi="宋体" w:cs="宋体"/>
          <w:color w:val="auto"/>
          <w:sz w:val="24"/>
        </w:rPr>
        <w:t xml:space="preserve">    如果本项目申请人的特定资格要求中要求提供的，必须提供。附营业执照、资质证书、安全生产许可证等资料。</w:t>
      </w:r>
      <w:r/>
    </w:p>
    <w:p>
      <w:pPr>
        <w:keepLines/>
        <w:keepNext/>
        <w:spacing w:before="145" w:after="145" w:line="360" w:lineRule="auto"/>
        <w:rPr>
          <w:rFonts w:hint="eastAsia" w:ascii="宋体" w:hAnsi="宋体" w:cs="宋体"/>
          <w:iCs/>
          <w:color w:val="auto"/>
          <w:sz w:val="32"/>
          <w:szCs w:val="32"/>
        </w:rPr>
        <w:outlineLvl w:val="2"/>
      </w:pPr>
      <w:r>
        <w:rPr>
          <w:rFonts w:hint="eastAsia" w:ascii="宋体" w:hAnsi="宋体" w:cs="宋体"/>
          <w:iCs/>
          <w:color w:val="auto"/>
          <w:sz w:val="32"/>
          <w:szCs w:val="32"/>
        </w:rPr>
        <w:br w:type="page" w:clear="all"/>
      </w:r>
      <w:bookmarkStart w:id="740" w:name="_Toc169207402"/>
      <w:r/>
      <w:bookmarkStart w:id="741" w:name="_Toc2586"/>
      <w:r>
        <w:rPr>
          <w:rFonts w:hint="eastAsia" w:ascii="宋体" w:hAnsi="宋体" w:cs="宋体"/>
          <w:b/>
          <w:bCs/>
          <w:color w:val="auto"/>
          <w:sz w:val="32"/>
          <w:szCs w:val="32"/>
        </w:rPr>
        <w:t xml:space="preserve">三、法人授权书</w:t>
      </w:r>
      <w:bookmarkEnd w:id="740"/>
      <w:r/>
      <w:bookmarkEnd w:id="741"/>
      <w:r/>
      <w:r/>
    </w:p>
    <w:p>
      <w:pPr>
        <w:ind w:firstLine="480"/>
        <w:tabs>
          <w:tab w:val="left" w:pos="360" w:leader="none"/>
        </w:tabs>
        <w:rPr>
          <w:rFonts w:hint="eastAsia" w:ascii="宋体" w:hAnsi="宋体" w:cs="宋体"/>
          <w:color w:val="auto"/>
          <w:sz w:val="24"/>
          <w:szCs w:val="24"/>
        </w:rPr>
      </w:pPr>
      <w:r>
        <w:rPr>
          <w:rFonts w:hint="eastAsia" w:ascii="宋体" w:hAnsi="宋体" w:cs="宋体"/>
          <w:color w:val="auto"/>
          <w:sz w:val="24"/>
          <w:szCs w:val="24"/>
        </w:rPr>
        <w:t xml:space="preserve">本授权书声明：____________（供应商名称）授权________________（被授权人的姓名）为我方就JSZC-</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color w:val="auto"/>
          <w:sz w:val="24"/>
          <w:szCs w:val="24"/>
        </w:rPr>
      </w:pPr>
      <w:r>
        <w:rPr>
          <w:rFonts w:hint="eastAsia" w:ascii="宋体" w:hAnsi="宋体" w:cs="宋体"/>
          <w:color w:val="auto"/>
          <w:sz w:val="24"/>
          <w:szCs w:val="24"/>
        </w:rPr>
        <w:t xml:space="preserve">本授权书于______年____月____日起生效，特此声明。</w:t>
      </w:r>
      <w:r/>
    </w:p>
    <w:p>
      <w:pPr>
        <w:tabs>
          <w:tab w:val="left" w:pos="360" w:leader="none"/>
        </w:tabs>
        <w:rPr>
          <w:rFonts w:hint="eastAsia" w:ascii="宋体" w:hAnsi="宋体" w:cs="宋体"/>
          <w:color w:val="auto"/>
          <w:sz w:val="24"/>
          <w:szCs w:val="24"/>
        </w:rPr>
      </w:pPr>
      <w:r>
        <w:rPr>
          <w:rFonts w:hint="eastAsia" w:ascii="宋体" w:hAnsi="宋体" w:cs="宋体"/>
          <w:color w:val="auto"/>
          <w:sz w:val="24"/>
          <w:szCs w:val="24"/>
        </w:rPr>
        <w:t xml:space="preserve">         </w:t>
      </w:r>
      <w:r/>
    </w:p>
    <w:p>
      <w:pPr>
        <w:ind w:firstLine="1200"/>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rPr>
        <w:t xml:space="preserve">被授权人身份证号码：</w:t>
      </w:r>
      <w:r>
        <w:rPr>
          <w:rFonts w:hint="eastAsia" w:ascii="宋体" w:hAnsi="宋体" w:cs="宋体"/>
          <w:color w:val="auto"/>
          <w:sz w:val="24"/>
          <w:szCs w:val="24"/>
          <w:u w:val="single"/>
        </w:rPr>
        <w:t xml:space="preserve">                              </w:t>
      </w:r>
      <w:r/>
    </w:p>
    <w:p>
      <w:pPr>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r/>
    </w:p>
    <w:p>
      <w:pPr>
        <w:ind w:firstLine="1200"/>
        <w:tabs>
          <w:tab w:val="left" w:pos="360" w:leader="none"/>
        </w:tabs>
        <w:rPr>
          <w:rFonts w:hint="eastAsia" w:ascii="宋体" w:hAnsi="宋体" w:cs="宋体"/>
          <w:color w:val="auto"/>
          <w:sz w:val="24"/>
          <w:szCs w:val="24"/>
        </w:rPr>
      </w:pPr>
      <w:r>
        <w:rPr>
          <w:rFonts w:hint="eastAsia" w:ascii="宋体" w:hAnsi="宋体" w:cs="宋体"/>
          <w:color w:val="auto"/>
          <w:sz w:val="24"/>
          <w:szCs w:val="24"/>
        </w:rPr>
        <w:t xml:space="preserve">授权单位名称：</w:t>
      </w:r>
      <w:r>
        <w:rPr>
          <w:rFonts w:hint="eastAsia" w:ascii="宋体" w:hAnsi="宋体" w:cs="宋体"/>
          <w:color w:val="auto"/>
          <w:sz w:val="24"/>
          <w:szCs w:val="24"/>
          <w:u w:val="single"/>
        </w:rPr>
        <w:t xml:space="preserve">（加盖CA电子公章）</w:t>
      </w:r>
      <w:r/>
    </w:p>
    <w:p>
      <w:pPr>
        <w:ind w:firstLine="480"/>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r/>
    </w:p>
    <w:p>
      <w:pPr>
        <w:ind w:firstLine="480"/>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rPr>
        <w:t xml:space="preserve">      日期：</w:t>
      </w:r>
      <w:bookmarkStart w:id="742" w:name="_Hlt26955070"/>
      <w:r/>
      <w:bookmarkEnd w:id="742"/>
      <w:r/>
      <w:bookmarkStart w:id="743" w:name="_格式3__银行出具的资信证明"/>
      <w:r/>
      <w:bookmarkEnd w:id="743"/>
      <w:r/>
      <w:bookmarkStart w:id="744" w:name="_Hlt26671380"/>
      <w:r/>
      <w:bookmarkEnd w:id="744"/>
      <w:r>
        <w:rPr>
          <w:rFonts w:hint="eastAsia" w:ascii="宋体" w:hAnsi="宋体" w:cs="宋体"/>
          <w:color w:val="auto"/>
          <w:sz w:val="24"/>
          <w:szCs w:val="24"/>
          <w:u w:val="single"/>
        </w:rPr>
        <w:t xml:space="preserve">                                         </w:t>
      </w:r>
      <w:r/>
    </w:p>
    <w:p>
      <w:pPr>
        <w:spacing w:line="460" w:lineRule="exact"/>
        <w:rPr>
          <w:rFonts w:hint="eastAsia" w:ascii="宋体" w:hAnsi="宋体" w:cs="宋体"/>
          <w:bCs/>
          <w:color w:val="auto"/>
          <w:sz w:val="24"/>
          <w:szCs w:val="21"/>
        </w:rPr>
      </w:pPr>
      <w:r>
        <w:rPr>
          <w:rFonts w:hint="eastAsia" w:ascii="宋体" w:hAnsi="宋体" w:cs="宋体"/>
          <w:bCs/>
          <w:color w:val="auto"/>
          <w:sz w:val="24"/>
          <w:szCs w:val="21"/>
        </w:rPr>
      </w:r>
      <w:r/>
    </w:p>
    <w:p>
      <w:pPr>
        <w:ind w:firstLine="480"/>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u w:val="single"/>
        </w:rPr>
      </w:r>
      <w:r/>
    </w:p>
    <w:p>
      <w:pPr>
        <w:ind w:firstLine="480"/>
        <w:tabs>
          <w:tab w:val="left" w:pos="360" w:leader="none"/>
        </w:tabs>
        <w:rPr>
          <w:rFonts w:hint="eastAsia" w:ascii="宋体" w:hAnsi="宋体" w:cs="宋体"/>
          <w:color w:val="auto"/>
          <w:sz w:val="24"/>
          <w:szCs w:val="24"/>
        </w:rPr>
      </w:pPr>
      <w:r>
        <w:rPr>
          <w:rFonts w:hint="eastAsia" w:ascii="宋体" w:hAnsi="宋体" w:cs="宋体"/>
          <w:color w:val="auto"/>
          <w:sz w:val="24"/>
          <w:szCs w:val="24"/>
        </w:rPr>
      </w:r>
      <w:r/>
    </w:p>
    <w:p>
      <w:pPr>
        <w:ind w:firstLine="420"/>
        <w:rPr>
          <w:rFonts w:hint="eastAsia" w:ascii="宋体" w:hAnsi="宋体" w:cs="宋体"/>
          <w:i/>
          <w:color w:val="auto"/>
          <w:sz w:val="24"/>
          <w:szCs w:val="24"/>
          <w:u w:val="single"/>
        </w:rPr>
      </w:pPr>
      <w:r>
        <w:rPr>
          <w:rFonts w:hint="eastAsia" w:ascii="宋体" w:hAnsi="宋体" w:cs="宋体"/>
          <w:i/>
          <w:color w:val="auto"/>
          <w:sz w:val="24"/>
          <w:szCs w:val="24"/>
          <w:u w:val="single"/>
        </w:rPr>
      </w:r>
      <w:r/>
    </w:p>
    <w:p>
      <w:pPr>
        <w:rPr>
          <w:rFonts w:hint="eastAsia" w:ascii="宋体" w:hAnsi="宋体" w:cs="宋体"/>
          <w:color w:val="auto"/>
          <w:szCs w:val="21"/>
        </w:rPr>
      </w:pPr>
      <w:r>
        <w:rPr>
          <w:rFonts w:hint="eastAsia" w:ascii="宋体" w:hAnsi="宋体" w:cs="宋体"/>
          <w:color w:val="auto"/>
          <w:szCs w:val="21"/>
        </w:rPr>
      </w:r>
      <w:r/>
    </w:p>
    <w:p>
      <w:pPr>
        <w:keepLines/>
        <w:keepNext/>
        <w:spacing w:before="145" w:after="145" w:line="360" w:lineRule="auto"/>
        <w:rPr>
          <w:rFonts w:hint="eastAsia" w:ascii="宋体" w:hAnsi="宋体" w:cs="宋体"/>
          <w:b/>
          <w:bCs/>
          <w:color w:val="auto"/>
          <w:sz w:val="32"/>
          <w:szCs w:val="32"/>
        </w:rPr>
        <w:outlineLvl w:val="2"/>
      </w:pPr>
      <w:r>
        <w:rPr>
          <w:rFonts w:hint="eastAsia" w:ascii="宋体" w:hAnsi="宋体" w:cs="宋体"/>
          <w:b/>
          <w:color w:val="auto"/>
          <w:sz w:val="24"/>
          <w:szCs w:val="44"/>
        </w:rPr>
        <w:br w:type="page" w:clear="all"/>
      </w:r>
      <w:bookmarkStart w:id="745" w:name="_Toc169207403"/>
      <w:r/>
      <w:bookmarkStart w:id="746" w:name="_Toc15376"/>
      <w:r>
        <w:rPr>
          <w:rFonts w:hint="eastAsia" w:ascii="宋体" w:hAnsi="宋体" w:cs="宋体"/>
          <w:b/>
          <w:bCs/>
          <w:color w:val="auto"/>
          <w:sz w:val="32"/>
          <w:szCs w:val="32"/>
        </w:rPr>
        <w:t xml:space="preserve">四、</w:t>
      </w:r>
      <w:bookmarkEnd w:id="745"/>
      <w:r>
        <w:rPr>
          <w:rFonts w:hint="eastAsia" w:ascii="宋体" w:hAnsi="宋体" w:cs="宋体"/>
          <w:b/>
          <w:bCs/>
          <w:color w:val="auto"/>
          <w:sz w:val="32"/>
          <w:szCs w:val="32"/>
        </w:rPr>
        <w:t xml:space="preserve">中小企业或残疾人福利性单位声明函</w:t>
      </w:r>
      <w:bookmarkEnd w:id="746"/>
      <w:r/>
      <w:r/>
    </w:p>
    <w:p>
      <w:pPr>
        <w:jc w:val="center"/>
        <w:spacing w:line="560" w:lineRule="exact"/>
        <w:rPr>
          <w:rFonts w:hint="eastAsia" w:ascii="宋体" w:hAnsi="宋体" w:cs="宋体"/>
          <w:b/>
          <w:bCs/>
          <w:color w:val="auto"/>
          <w:sz w:val="32"/>
          <w:szCs w:val="32"/>
        </w:rPr>
      </w:pPr>
      <w:r>
        <w:rPr>
          <w:rFonts w:hint="eastAsia" w:ascii="宋体" w:hAnsi="宋体" w:cs="宋体"/>
          <w:b/>
          <w:bCs/>
          <w:color w:val="auto"/>
          <w:sz w:val="32"/>
          <w:szCs w:val="32"/>
        </w:rPr>
        <w:t xml:space="preserve">中小（微）企业声明函</w:t>
      </w:r>
      <w:r/>
    </w:p>
    <w:p>
      <w:pPr>
        <w:ind w:firstLine="36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采购编号为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的采购活动，工程的施工单位全部为符合政策要求的中小微企业。根据《工业和信息化部、国家统计局、国家发展和改革委员会、财政部关于印发中小企业划型标准规定的通知》（工信部联企业〔2011〕300号）的规定，相关企业的具体情况如下：</w:t>
      </w:r>
      <w:r/>
    </w:p>
    <w:p>
      <w:pPr>
        <w:ind w:left="548" w:hanging="69"/>
        <w:spacing w:line="560" w:lineRule="exact"/>
        <w:rPr>
          <w:rFonts w:hint="eastAsia" w:ascii="宋体" w:hAnsi="宋体" w:cs="宋体"/>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行业；承建企业为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p>
    <w:p>
      <w:pPr>
        <w:spacing w:line="560" w:lineRule="exact"/>
        <w:rPr>
          <w:rFonts w:hint="eastAsia" w:ascii="宋体" w:hAnsi="宋体" w:cs="宋体"/>
          <w:i/>
          <w:color w:val="auto"/>
          <w:sz w:val="24"/>
          <w:szCs w:val="24"/>
          <w:u w:val="single"/>
        </w:rPr>
      </w:pP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（中型企业、小型企业、微型企业）；</w:t>
      </w:r>
      <w:r/>
    </w:p>
    <w:p>
      <w:pPr>
        <w:ind w:firstLine="360"/>
        <w:spacing w:line="560" w:lineRule="exact"/>
        <w:rPr>
          <w:rFonts w:hint="eastAsia"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行业；承建企业为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（中型企业、小型企业、微型企业）；</w:t>
      </w:r>
      <w:r/>
    </w:p>
    <w:p>
      <w:pPr>
        <w:ind w:firstLine="360"/>
        <w:spacing w:line="560" w:lineRule="exact"/>
        <w:rPr>
          <w:rFonts w:hint="eastAsia" w:ascii="宋体" w:hAnsi="宋体" w:cs="宋体"/>
          <w:color w:val="auto"/>
          <w:sz w:val="24"/>
          <w:szCs w:val="24"/>
        </w:rPr>
      </w:pPr>
      <w:r>
        <w:rPr>
          <w:rFonts w:hint="eastAsia" w:ascii="宋体" w:hAnsi="宋体" w:cs="宋体"/>
          <w:color w:val="auto"/>
          <w:sz w:val="24"/>
          <w:szCs w:val="24"/>
        </w:rPr>
        <w:t xml:space="preserve">……</w:t>
      </w:r>
      <w:r/>
    </w:p>
    <w:p>
      <w:pPr>
        <w:ind w:firstLine="360"/>
        <w:spacing w:line="560" w:lineRule="exact"/>
        <w:rPr>
          <w:rFonts w:hint="eastAsia"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right="720"/>
        <w:spacing w:line="560" w:lineRule="exact"/>
        <w:rPr>
          <w:rFonts w:hint="eastAsia" w:ascii="宋体" w:hAnsi="宋体" w:cs="宋体"/>
          <w:color w:val="auto"/>
          <w:sz w:val="24"/>
          <w:szCs w:val="24"/>
        </w:rPr>
      </w:pPr>
      <w:r>
        <w:rPr>
          <w:rFonts w:hint="eastAsia" w:ascii="宋体" w:hAnsi="宋体" w:cs="宋体"/>
          <w:color w:val="auto"/>
          <w:sz w:val="24"/>
          <w:szCs w:val="24"/>
        </w:rPr>
      </w:r>
      <w:r/>
    </w:p>
    <w:p>
      <w:pPr>
        <w:ind w:right="180" w:firstLine="360"/>
        <w:jc w:val="right"/>
        <w:spacing w:line="560" w:lineRule="exact"/>
        <w:rPr>
          <w:rFonts w:hint="eastAsia" w:ascii="宋体" w:hAnsi="宋体" w:cs="宋体"/>
          <w:color w:val="auto"/>
          <w:sz w:val="24"/>
          <w:szCs w:val="24"/>
        </w:rPr>
      </w:pPr>
      <w:r>
        <w:rPr>
          <w:rFonts w:hint="eastAsia" w:ascii="宋体" w:hAnsi="宋体" w:cs="宋体"/>
          <w:color w:val="auto"/>
          <w:sz w:val="24"/>
          <w:szCs w:val="24"/>
        </w:rPr>
        <w:t xml:space="preserve">企业名称（加盖CA电子公章）：</w:t>
      </w:r>
      <w:r/>
    </w:p>
    <w:p>
      <w:pPr>
        <w:ind w:right="480" w:firstLine="5400"/>
        <w:spacing w:line="560" w:lineRule="exact"/>
        <w:rPr>
          <w:rFonts w:hint="eastAsia" w:ascii="宋体" w:hAnsi="宋体" w:cs="宋体"/>
          <w:color w:val="auto"/>
          <w:sz w:val="24"/>
          <w:szCs w:val="24"/>
        </w:rPr>
      </w:pPr>
      <w:r>
        <w:rPr>
          <w:rFonts w:hint="eastAsia" w:ascii="宋体" w:hAnsi="宋体" w:cs="宋体"/>
          <w:color w:val="auto"/>
          <w:sz w:val="24"/>
          <w:szCs w:val="24"/>
        </w:rPr>
        <w:t xml:space="preserve">日  期：</w:t>
      </w:r>
      <w:r/>
    </w:p>
    <w:p>
      <w:pPr>
        <w:ind w:firstLine="240"/>
        <w:spacing w:line="56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备注1：从业人员、营业收入、资产总额填报上一年度数据，无上一年度数据的新成立企业可不填报。</w:t>
      </w:r>
      <w:r/>
    </w:p>
    <w:p>
      <w:pPr>
        <w:pStyle w:val="1440"/>
        <w:jc w:val="center"/>
        <w:spacing w:before="151" w:after="151"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残疾人福利性单位声明函</w:t>
      </w:r>
      <w:r/>
    </w:p>
    <w:p>
      <w:pPr>
        <w:ind w:firstLine="480"/>
        <w:spacing w:line="588" w:lineRule="exact"/>
        <w:rPr>
          <w:rFonts w:hint="eastAsia" w:ascii="宋体" w:hAnsi="宋体" w:cs="宋体"/>
          <w:color w:val="auto"/>
          <w:sz w:val="24"/>
          <w:szCs w:val="21"/>
        </w:rPr>
      </w:pPr>
      <w:r>
        <w:rPr>
          <w:rFonts w:hint="eastAsia" w:ascii="宋体" w:hAnsi="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u w:val="single"/>
        </w:rPr>
        <w:t xml:space="preserve">       </w:t>
      </w:r>
      <w:r>
        <w:rPr>
          <w:rFonts w:hint="eastAsia" w:ascii="宋体" w:hAnsi="宋体" w:cs="宋体"/>
          <w:color w:val="auto"/>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rPr>
      </w:pPr>
      <w:r>
        <w:rPr>
          <w:rFonts w:hint="eastAsia" w:ascii="宋体" w:hAnsi="宋体" w:cs="宋体"/>
          <w:color w:val="auto"/>
          <w:sz w:val="24"/>
          <w:szCs w:val="21"/>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588" w:lineRule="exact"/>
        <w:rPr>
          <w:rFonts w:hint="eastAsia" w:ascii="宋体" w:hAnsi="宋体" w:cs="宋体"/>
          <w:color w:val="auto"/>
          <w:sz w:val="24"/>
          <w:szCs w:val="21"/>
        </w:rPr>
      </w:pPr>
      <w:r>
        <w:rPr>
          <w:rFonts w:hint="eastAsia" w:ascii="宋体" w:hAnsi="宋体" w:cs="宋体"/>
          <w:color w:val="auto"/>
          <w:sz w:val="24"/>
          <w:szCs w:val="21"/>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right="1560" w:firstLine="624"/>
        <w:jc w:val="center"/>
        <w:spacing w:line="588" w:lineRule="exact"/>
        <w:tabs>
          <w:tab w:val="left" w:pos="4860" w:leader="none"/>
        </w:tabs>
        <w:rPr>
          <w:rFonts w:hint="eastAsia" w:ascii="宋体" w:hAnsi="宋体" w:cs="宋体"/>
          <w:color w:val="auto"/>
          <w:sz w:val="24"/>
          <w:szCs w:val="21"/>
        </w:rPr>
      </w:pPr>
      <w:r>
        <w:rPr>
          <w:rFonts w:hint="eastAsia" w:ascii="宋体" w:hAnsi="宋体" w:cs="宋体"/>
          <w:color w:val="auto"/>
          <w:spacing w:val="6"/>
          <w:sz w:val="30"/>
          <w:szCs w:val="30"/>
        </w:rPr>
        <w:t xml:space="preserve">             </w:t>
      </w:r>
      <w:r>
        <w:rPr>
          <w:rFonts w:hint="eastAsia" w:ascii="宋体" w:hAnsi="宋体" w:cs="宋体"/>
          <w:color w:val="auto"/>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cs="宋体"/>
          <w:color w:val="auto"/>
          <w:sz w:val="24"/>
          <w:szCs w:val="21"/>
        </w:rPr>
      </w:pPr>
      <w:r>
        <w:rPr>
          <w:rFonts w:hint="eastAsia" w:ascii="宋体" w:hAnsi="宋体" w:cs="宋体"/>
          <w:color w:val="auto"/>
          <w:sz w:val="24"/>
          <w:szCs w:val="21"/>
        </w:rPr>
        <w:t xml:space="preserve">        日  期：</w:t>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spacing w:line="560" w:lineRule="exact"/>
        <w:rPr>
          <w:rFonts w:hint="eastAsia" w:ascii="宋体" w:hAnsi="宋体" w:cs="宋体"/>
          <w:b/>
          <w:color w:val="auto"/>
          <w:sz w:val="32"/>
          <w:szCs w:val="32"/>
        </w:rPr>
      </w:pPr>
      <w:r>
        <w:rPr>
          <w:rFonts w:hint="eastAsia" w:ascii="宋体" w:hAnsi="宋体" w:cs="宋体"/>
          <w:b/>
          <w:color w:val="auto"/>
          <w:sz w:val="32"/>
          <w:szCs w:val="32"/>
        </w:rPr>
      </w:r>
      <w:r/>
    </w:p>
    <w:p>
      <w:pPr>
        <w:keepLines/>
        <w:keepNext/>
        <w:spacing w:before="145" w:after="145" w:line="360" w:lineRule="auto"/>
        <w:rPr>
          <w:rFonts w:hint="eastAsia" w:ascii="宋体" w:hAnsi="宋体" w:cs="宋体"/>
          <w:b/>
          <w:bCs/>
          <w:color w:val="auto"/>
          <w:sz w:val="32"/>
          <w:szCs w:val="32"/>
        </w:rPr>
        <w:outlineLvl w:val="2"/>
      </w:pPr>
      <w:r/>
      <w:bookmarkStart w:id="747" w:name="_Toc3936"/>
      <w:r/>
      <w:bookmarkStart w:id="748" w:name="_Toc169207404"/>
      <w:r>
        <w:rPr>
          <w:rFonts w:hint="eastAsia" w:ascii="宋体" w:hAnsi="宋体" w:cs="宋体"/>
          <w:b/>
          <w:bCs/>
          <w:color w:val="auto"/>
          <w:sz w:val="32"/>
          <w:szCs w:val="32"/>
        </w:rPr>
        <w:t xml:space="preserve">五、已标价的工程量清单</w:t>
      </w:r>
      <w:bookmarkEnd w:id="747"/>
      <w:r/>
      <w:bookmarkEnd w:id="748"/>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一、投标报价的编制应符合下列规定：</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  使用表格：</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投标报价使用的表格</w:t>
      </w:r>
      <w:r>
        <w:rPr>
          <w:rFonts w:hint="eastAsia" w:ascii="宋体" w:hAnsi="宋体" w:cs="宋体"/>
          <w:b/>
          <w:color w:val="auto"/>
          <w:sz w:val="24"/>
          <w:szCs w:val="24"/>
          <w:highlight w:val="none"/>
        </w:rPr>
        <w:t xml:space="preserve">须符合GB/T50500-2024规定要求</w:t>
      </w:r>
      <w:r>
        <w:rPr>
          <w:rFonts w:hint="eastAsia" w:ascii="宋体" w:hAnsi="宋体" w:cs="宋体"/>
          <w:color w:val="auto"/>
          <w:sz w:val="24"/>
          <w:szCs w:val="24"/>
          <w:highlight w:val="none"/>
        </w:rPr>
        <w:t xml:space="preserve">，包括：B.3.1、C.3.1、D.2、E.1.1-1、E.1.1-2、E.1.1-3、E.2.1、E.2.2-1、E3.1-E3.4、E4.1-E4.6、E5。</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  封面应按规定的内容填写、签字、盖章。</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  总说明应按下列内容填写：</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2）编制依据等。</w:t>
      </w:r>
      <w:r/>
    </w:p>
    <w:p>
      <w:pPr>
        <w:pStyle w:val="1435"/>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二、供应商应按照招标文件的要求，附综合单价分析表。</w:t>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tbl>
      <w:tblPr>
        <w:tblStyle w:val="827"/>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435"/>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435"/>
              <w:jc w:val="center"/>
              <w:widowControl/>
              <w:rPr>
                <w:rFonts w:hint="eastAsia" w:ascii="宋体" w:hAnsi="宋体" w:cs="宋体"/>
                <w:color w:val="auto"/>
                <w:sz w:val="36"/>
                <w:szCs w:val="36"/>
              </w:rPr>
            </w:pPr>
            <w:r>
              <w:rPr>
                <w:rFonts w:hint="eastAsia" w:ascii="宋体" w:hAnsi="宋体" w:cs="宋体"/>
                <w:color w:val="auto"/>
                <w:sz w:val="36"/>
                <w:szCs w:val="36"/>
              </w:rPr>
              <w:t xml:space="preserve">　</w:t>
            </w:r>
            <w:r/>
          </w:p>
        </w:tc>
        <w:tc>
          <w:tcPr>
            <w:gridSpan w:val="2"/>
            <w:shd w:val="clear" w:color="auto" w:fill="ffffff"/>
            <w:tcW w:w="1401" w:type="dxa"/>
            <w:vAlign w:val="center"/>
            <w:textDirection w:val="lrTb"/>
            <w:noWrap w:val="false"/>
          </w:tcPr>
          <w:p>
            <w:pPr>
              <w:pStyle w:val="1435"/>
              <w:jc w:val="left"/>
              <w:widowControl/>
              <w:rPr>
                <w:rFonts w:hint="eastAsia" w:ascii="宋体" w:hAnsi="宋体" w:cs="宋体"/>
                <w:b/>
                <w:bCs/>
                <w:color w:val="auto"/>
                <w:sz w:val="36"/>
                <w:szCs w:val="36"/>
              </w:rPr>
            </w:pPr>
            <w:r>
              <w:rPr>
                <w:rFonts w:hint="eastAsia" w:ascii="宋体" w:hAnsi="宋体" w:cs="宋体"/>
                <w:b/>
                <w:bCs/>
                <w:color w:val="auto"/>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435"/>
              <w:jc w:val="center"/>
              <w:widowControl/>
              <w:rPr>
                <w:rFonts w:hint="eastAsia" w:ascii="宋体" w:hAnsi="宋体" w:cs="宋体"/>
                <w:b/>
                <w:bCs/>
                <w:color w:val="auto"/>
                <w:sz w:val="44"/>
                <w:szCs w:val="44"/>
              </w:rPr>
            </w:pPr>
            <w:r>
              <w:rPr>
                <w:rFonts w:hint="eastAsia" w:ascii="宋体" w:hAnsi="宋体" w:cs="宋体"/>
                <w:b/>
                <w:bCs/>
                <w:color w:val="auto"/>
                <w:sz w:val="44"/>
                <w:szCs w:val="44"/>
              </w:rPr>
              <w:t xml:space="preserve">投标总价</w:t>
            </w:r>
            <w:r/>
          </w:p>
        </w:tc>
      </w:tr>
      <w:tr>
        <w:trPr>
          <w:trHeight w:val="2125"/>
        </w:trPr>
        <w:tc>
          <w:tcPr>
            <w:shd w:val="clear" w:color="auto" w:fill="ffffff"/>
            <w:tcW w:w="2371" w:type="dxa"/>
            <w:vAlign w:val="bottom"/>
            <w:textDirection w:val="lrTb"/>
            <w:noWrap w:val="false"/>
          </w:tcPr>
          <w:p>
            <w:pPr>
              <w:pStyle w:val="1435"/>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W w:w="2082" w:type="dxa"/>
            <w:vAlign w:val="bottom"/>
            <w:textDirection w:val="lrTb"/>
            <w:noWrap w:val="false"/>
          </w:tcPr>
          <w:p>
            <w:pPr>
              <w:pStyle w:val="1435"/>
              <w:jc w:val="right"/>
              <w:widowControl/>
              <w:rPr>
                <w:rFonts w:hint="eastAsia" w:ascii="宋体" w:hAnsi="宋体" w:cs="宋体"/>
                <w:color w:val="auto"/>
                <w:sz w:val="24"/>
              </w:rPr>
            </w:pPr>
            <w:r>
              <w:rPr>
                <w:rFonts w:hint="eastAsia" w:ascii="宋体" w:hAnsi="宋体" w:cs="宋体"/>
                <w:color w:val="auto"/>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435"/>
              <w:jc w:val="center"/>
              <w:widowControl/>
              <w:rPr>
                <w:rFonts w:hint="eastAsia" w:ascii="宋体" w:hAnsi="宋体" w:cs="宋体"/>
                <w:color w:val="auto"/>
                <w:sz w:val="24"/>
              </w:rPr>
            </w:pPr>
            <w:r>
              <w:rPr>
                <w:rFonts w:hint="eastAsia" w:ascii="宋体" w:hAnsi="宋体" w:cs="宋体"/>
                <w:color w:val="auto"/>
                <w:sz w:val="24"/>
              </w:rPr>
              <w:t xml:space="preserve">　</w:t>
            </w:r>
            <w:r/>
          </w:p>
        </w:tc>
        <w:tc>
          <w:tcPr>
            <w:shd w:val="clear" w:color="auto" w:fill="ffffff"/>
            <w:tcW w:w="1277" w:type="dxa"/>
            <w:vAlign w:val="bottom"/>
            <w:textDirection w:val="lrTb"/>
            <w:noWrap w:val="false"/>
          </w:tcPr>
          <w:p>
            <w:pPr>
              <w:pStyle w:val="1435"/>
              <w:jc w:val="left"/>
              <w:widowControl/>
              <w:rPr>
                <w:rFonts w:hint="eastAsia" w:ascii="宋体" w:hAnsi="宋体" w:cs="宋体"/>
                <w:color w:val="auto"/>
                <w:sz w:val="24"/>
              </w:rPr>
            </w:pPr>
            <w:r>
              <w:rPr>
                <w:rFonts w:hint="eastAsia" w:ascii="宋体" w:hAnsi="宋体" w:cs="宋体"/>
                <w:color w:val="auto"/>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435"/>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435"/>
              <w:jc w:val="center"/>
              <w:widowControl/>
              <w:rPr>
                <w:rFonts w:hint="eastAsia" w:ascii="宋体" w:hAnsi="宋体" w:cs="宋体"/>
                <w:color w:val="auto"/>
                <w:sz w:val="20"/>
              </w:rPr>
            </w:pPr>
            <w:r>
              <w:rPr>
                <w:rFonts w:hint="eastAsia" w:ascii="宋体" w:hAnsi="宋体" w:cs="宋体"/>
                <w:color w:val="auto"/>
                <w:sz w:val="20"/>
              </w:rPr>
              <w:t xml:space="preserve">（单位盖章）</w:t>
            </w:r>
            <w:r/>
          </w:p>
        </w:tc>
        <w:tc>
          <w:tcPr>
            <w:shd w:val="clear" w:color="auto" w:fill="ffffff"/>
            <w:tcW w:w="1277" w:type="dxa"/>
            <w:vAlign w:val="center"/>
            <w:vMerge w:val="restart"/>
            <w:textDirection w:val="lrTb"/>
            <w:noWrap w:val="false"/>
          </w:tcPr>
          <w:p>
            <w:pPr>
              <w:pStyle w:val="1435"/>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35"/>
              <w:jc w:val="left"/>
              <w:widowControl/>
              <w:rPr>
                <w:rFonts w:hint="eastAsia" w:ascii="宋体" w:hAnsi="宋体" w:cs="宋体"/>
                <w:color w:val="auto"/>
                <w:sz w:val="24"/>
              </w:rPr>
            </w:pPr>
            <w:r>
              <w:rPr>
                <w:rFonts w:hint="eastAsia" w:ascii="宋体" w:hAnsi="宋体" w:cs="宋体"/>
                <w:color w:val="auto"/>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435"/>
              <w:jc w:val="center"/>
              <w:widowControl/>
              <w:rPr>
                <w:rFonts w:hint="eastAsia" w:ascii="宋体" w:hAnsi="宋体" w:cs="宋体"/>
                <w:color w:val="auto"/>
                <w:sz w:val="24"/>
              </w:rPr>
            </w:pPr>
            <w:r>
              <w:rPr>
                <w:rFonts w:hint="eastAsia" w:ascii="宋体" w:hAnsi="宋体" w:cs="宋体"/>
                <w:color w:val="auto"/>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35"/>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435"/>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435"/>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435"/>
              <w:jc w:val="right"/>
              <w:widowControl/>
              <w:rPr>
                <w:rFonts w:hint="eastAsia" w:ascii="宋体" w:hAnsi="宋体" w:cs="宋体"/>
                <w:color w:val="auto"/>
                <w:sz w:val="18"/>
                <w:szCs w:val="18"/>
              </w:rPr>
            </w:pPr>
            <w:r>
              <w:rPr>
                <w:rFonts w:hint="eastAsia" w:ascii="宋体" w:hAnsi="宋体" w:cs="宋体"/>
                <w:color w:val="auto"/>
                <w:sz w:val="18"/>
                <w:szCs w:val="18"/>
              </w:rPr>
              <w:t xml:space="preserve">封—3</w:t>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bookmarkEnd w:id="706"/>
      <w:r/>
      <w:bookmarkEnd w:id="707"/>
      <w:r/>
      <w:bookmarkEnd w:id="738"/>
      <w:r/>
      <w:r/>
    </w:p>
    <w:tbl>
      <w:tblPr>
        <w:tblStyle w:val="827"/>
        <w:tblW w:w="9733" w:type="dxa"/>
        <w:tblInd w:w="91" w:type="dxa"/>
        <w:tblLayout w:type="autofit"/>
        <w:tblCellMar>
          <w:left w:w="108" w:type="dxa"/>
          <w:top w:w="0" w:type="dxa"/>
          <w:right w:w="108" w:type="dxa"/>
          <w:bottom w:w="0" w:type="dxa"/>
        </w:tblCellMar>
        <w:tblLook w:val="04A0" w:firstRow="1" w:lastRow="0" w:firstColumn="1" w:lastColumn="0" w:noHBand="0" w:noVBand="1"/>
      </w:tblPr>
      <w:tblGrid>
        <w:gridCol w:w="2435"/>
        <w:gridCol w:w="531"/>
        <w:gridCol w:w="4993"/>
        <w:gridCol w:w="1774"/>
      </w:tblGrid>
      <w:tr>
        <w:trPr>
          <w:trHeight w:val="1471"/>
        </w:trPr>
        <w:tc>
          <w:tcPr>
            <w:gridSpan w:val="4"/>
            <w:shd w:val="clear" w:color="auto" w:fill="ffffff"/>
            <w:tcBorders>
              <w:top w:val="none" w:color="000000" w:sz="4" w:space="0"/>
              <w:left w:val="none" w:color="000000" w:sz="4" w:space="0"/>
              <w:bottom w:val="none" w:color="000000" w:sz="4" w:space="0"/>
              <w:right w:val="none" w:color="000000" w:sz="4" w:space="0"/>
            </w:tcBorders>
            <w:tcW w:w="9733" w:type="dxa"/>
            <w:vAlign w:val="top"/>
            <w:textDirection w:val="lrTb"/>
            <w:noWrap w:val="false"/>
          </w:tcPr>
          <w:p>
            <w:pPr>
              <w:jc w:val="center"/>
              <w:keepLines w:val="0"/>
              <w:keepNext w:val="0"/>
              <w:widowControl/>
              <w:rPr>
                <w:rFonts w:hint="eastAsia" w:ascii="宋体" w:hAnsi="宋体" w:eastAsia="宋体" w:cs="宋体"/>
                <w:b/>
                <w:bCs/>
                <w:sz w:val="36"/>
                <w:szCs w:val="36"/>
              </w:rPr>
              <w:suppressLineNumbers w:val="0"/>
            </w:pPr>
            <w:r>
              <w:rPr>
                <w:rFonts w:hint="eastAsia" w:ascii="宋体" w:hAnsi="宋体" w:eastAsia="宋体" w:cs="宋体"/>
                <w:b/>
                <w:bCs/>
                <w:i w:val="0"/>
                <w:iCs w:val="0"/>
                <w:color w:val="000000"/>
                <w:sz w:val="40"/>
                <w:szCs w:val="40"/>
                <w:highlight w:val="none"/>
                <w:u w:val="none"/>
                <w:lang w:val="en-US" w:eastAsia="zh-CN" w:bidi="ar"/>
              </w:rPr>
              <w:br/>
            </w:r>
            <w:r>
              <w:rPr>
                <w:rFonts w:hint="eastAsia" w:ascii="宋体" w:hAnsi="宋体" w:eastAsia="宋体" w:cs="宋体"/>
                <w:b/>
                <w:bCs/>
                <w:i w:val="0"/>
                <w:iCs w:val="0"/>
                <w:color w:val="000000"/>
                <w:sz w:val="40"/>
                <w:szCs w:val="40"/>
                <w:highlight w:val="none"/>
                <w:u w:val="none"/>
                <w:lang w:val="en-US" w:eastAsia="zh-CN" w:bidi="ar"/>
              </w:rPr>
              <w:t xml:space="preserve">投 标 总 价</w:t>
            </w:r>
            <w:r/>
          </w:p>
        </w:tc>
      </w:tr>
      <w:tr>
        <w:trPr>
          <w:trHeight w:val="1429"/>
        </w:trPr>
        <w:tc>
          <w:tcPr>
            <w:gridSpan w:val="2"/>
            <w:shd w:val="clear" w:color="auto" w:fill="ffffff"/>
            <w:tcW w:w="2966" w:type="dxa"/>
            <w:vAlign w:val="bottom"/>
            <w:textDirection w:val="lrTb"/>
            <w:noWrap w:val="false"/>
          </w:tcPr>
          <w:p>
            <w:pPr>
              <w:jc w:val="right"/>
              <w:keepLines w:val="0"/>
              <w:keepNext w:val="0"/>
              <w:widowControl/>
              <w:rPr>
                <w:rFonts w:hint="eastAsia" w:ascii="宋体" w:hAnsi="宋体" w:eastAsia="宋体" w:cs="宋体"/>
                <w:b/>
                <w:bCs/>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投标总价（小写） ：</w:t>
            </w:r>
            <w:r/>
          </w:p>
        </w:tc>
        <w:tc>
          <w:tcPr>
            <w:gridSpan w:val="2"/>
            <w:shd w:val="clear" w:color="auto" w:fill="ffffff"/>
            <w:tcBorders>
              <w:top w:val="none" w:color="000000" w:sz="4" w:space="0"/>
              <w:left w:val="none" w:color="000000" w:sz="4" w:space="0"/>
              <w:bottom w:val="single" w:color="000000" w:sz="4" w:space="0"/>
              <w:right w:val="none" w:color="000000" w:sz="4" w:space="0"/>
            </w:tcBorders>
            <w:tcW w:w="6767" w:type="dxa"/>
            <w:vAlign w:val="bottom"/>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sz w:val="24"/>
              </w:rPr>
            </w:r>
            <w:r/>
          </w:p>
        </w:tc>
      </w:tr>
      <w:tr>
        <w:trPr>
          <w:trHeight w:val="1429"/>
        </w:trPr>
        <w:tc>
          <w:tcPr>
            <w:gridSpan w:val="2"/>
            <w:shd w:val="clear" w:color="auto" w:fill="ffffff"/>
            <w:tcW w:w="2966" w:type="dxa"/>
            <w:vAlign w:val="bottom"/>
            <w:textDirection w:val="lrTb"/>
            <w:noWrap w:val="false"/>
          </w:tcPr>
          <w:p>
            <w:pPr>
              <w:jc w:val="right"/>
              <w:keepLines w:val="0"/>
              <w:keepNext w:val="0"/>
              <w:widowControl/>
              <w:rPr>
                <w:rFonts w:hint="eastAsia" w:ascii="宋体" w:hAnsi="宋体" w:eastAsia="宋体" w:cs="宋体"/>
                <w:b/>
                <w:bCs/>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（大写） ：</w:t>
            </w:r>
            <w:r/>
          </w:p>
        </w:tc>
        <w:tc>
          <w:tcPr>
            <w:gridSpan w:val="2"/>
            <w:shd w:val="clear" w:color="auto" w:fill="ffffff"/>
            <w:tcBorders>
              <w:top w:val="single" w:color="000000" w:sz="4" w:space="0"/>
              <w:left w:val="none" w:color="000000" w:sz="4" w:space="0"/>
              <w:bottom w:val="single" w:color="000000" w:sz="4" w:space="0"/>
              <w:right w:val="none" w:color="000000" w:sz="4" w:space="0"/>
            </w:tcBorders>
            <w:tcW w:w="6767" w:type="dxa"/>
            <w:vAlign w:val="bottom"/>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sz w:val="24"/>
              </w:rPr>
            </w: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b/>
                <w:bCs/>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投   标  人：</w:t>
            </w:r>
            <w:r/>
          </w:p>
        </w:tc>
        <w:tc>
          <w:tcPr>
            <w:gridSpan w:val="2"/>
            <w:shd w:val="clear" w:color="auto" w:fill="ffffff"/>
            <w:tcBorders>
              <w:top w:val="single" w:color="000000" w:sz="4" w:space="0"/>
              <w:left w:val="none" w:color="000000" w:sz="4" w:space="0"/>
              <w:bottom w:val="single" w:color="000000" w:sz="4" w:space="0"/>
              <w:right w:val="none" w:color="000000" w:sz="4" w:space="0"/>
            </w:tcBorders>
            <w:tcW w:w="5524" w:type="dxa"/>
            <w:vAlign w:val="bottom"/>
            <w:textDirection w:val="lrTb"/>
            <w:noWrap w:val="false"/>
          </w:tcPr>
          <w:p>
            <w:pPr>
              <w:jc w:val="left"/>
              <w:rPr>
                <w:rFonts w:hint="eastAsia" w:ascii="宋体" w:hAnsi="宋体" w:eastAsia="宋体" w:cs="宋体"/>
                <w:sz w:val="24"/>
              </w:rPr>
            </w:pPr>
            <w:r>
              <w:rPr>
                <w:rFonts w:hint="eastAsia" w:ascii="宋体" w:hAnsi="宋体" w:eastAsia="宋体" w:cs="宋体"/>
                <w:sz w:val="24"/>
              </w:rPr>
            </w:r>
            <w:r/>
          </w:p>
        </w:tc>
        <w:tc>
          <w:tcPr>
            <w:shd w:val="clear" w:color="auto" w:fill="ffffff"/>
            <w:tcBorders>
              <w:top w:val="single" w:color="000000" w:sz="4" w:space="0"/>
              <w:left w:val="none" w:color="000000" w:sz="4" w:space="0"/>
              <w:bottom w:val="single" w:color="000000" w:sz="4" w:space="0"/>
              <w:right w:val="none" w:color="000000" w:sz="4" w:space="0"/>
            </w:tcBorders>
            <w:tcW w:w="1774" w:type="dxa"/>
            <w:vAlign w:val="bottom"/>
            <w:textDirection w:val="lrTb"/>
            <w:noWrap w:val="false"/>
          </w:tcPr>
          <w:p>
            <w:pPr>
              <w:jc w:val="left"/>
              <w:keepLines w:val="0"/>
              <w:keepNext w:val="0"/>
              <w:widowControl/>
              <w:rPr>
                <w:rFonts w:eastAsia="宋体" w:cs="Times New Roman"/>
              </w:rPr>
              <w:suppressLineNumbers w:val="0"/>
            </w:pPr>
            <w:r>
              <w:rPr>
                <w:rFonts w:hint="eastAsia" w:ascii="宋体" w:hAnsi="宋体" w:eastAsia="宋体" w:cs="宋体"/>
                <w:i w:val="0"/>
                <w:iCs w:val="0"/>
                <w:color w:val="000000"/>
                <w:sz w:val="20"/>
                <w:szCs w:val="20"/>
                <w:highlight w:val="none"/>
                <w:u w:val="none"/>
                <w:lang w:val="en-US" w:eastAsia="zh-CN" w:bidi="ar"/>
              </w:rPr>
              <w:t xml:space="preserve">(盖章)</w:t>
            </w:r>
            <w:r/>
          </w:p>
        </w:tc>
      </w:tr>
      <w:tr>
        <w:trPr>
          <w:trHeight w:val="1440"/>
        </w:trPr>
        <w:tc>
          <w:tcPr>
            <w:shd w:val="clear" w:color="auto" w:fill="ffffff"/>
            <w:tcBorders>
              <w:top w:val="none" w:color="000000" w:sz="4" w:space="0"/>
              <w:left w:val="none" w:color="000000" w:sz="4" w:space="0"/>
              <w:bottom w:val="none" w:color="000000" w:sz="4" w:space="0"/>
              <w:right w:val="none" w:color="000000" w:sz="4" w:space="0"/>
            </w:tcBorders>
            <w:tcW w:w="2435" w:type="dxa"/>
            <w:vAlign w:val="bottom"/>
            <w:textDirection w:val="lrTb"/>
            <w:noWrap w:val="false"/>
          </w:tcPr>
          <w:p>
            <w:pPr>
              <w:jc w:val="left"/>
              <w:keepLines w:val="0"/>
              <w:keepNext w:val="0"/>
              <w:widowControl/>
              <w:rPr>
                <w:rFonts w:hint="eastAsia" w:ascii="宋体" w:hAnsi="宋体" w:eastAsia="宋体" w:cs="宋体"/>
                <w:b/>
                <w:bCs/>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法定代表人 </w:t>
            </w:r>
            <w:r>
              <w:rPr>
                <w:rFonts w:hint="eastAsia" w:ascii="宋体" w:hAnsi="宋体" w:eastAsia="宋体" w:cs="宋体"/>
                <w:b/>
                <w:bCs/>
                <w:i w:val="0"/>
                <w:iCs w:val="0"/>
                <w:color w:val="000000"/>
                <w:sz w:val="28"/>
                <w:szCs w:val="28"/>
                <w:highlight w:val="none"/>
                <w:u w:val="none"/>
                <w:lang w:val="en-US" w:eastAsia="zh-CN" w:bidi="ar"/>
              </w:rPr>
              <w:br/>
            </w:r>
            <w:r>
              <w:rPr>
                <w:rFonts w:hint="eastAsia" w:ascii="宋体" w:hAnsi="宋体" w:eastAsia="宋体" w:cs="宋体"/>
                <w:b/>
                <w:bCs/>
                <w:i w:val="0"/>
                <w:iCs w:val="0"/>
                <w:color w:val="000000"/>
                <w:sz w:val="28"/>
                <w:szCs w:val="28"/>
                <w:highlight w:val="none"/>
                <w:u w:val="none"/>
                <w:lang w:val="en-US" w:eastAsia="zh-CN" w:bidi="ar"/>
              </w:rPr>
              <w:t xml:space="preserve">或其授权人：</w:t>
            </w:r>
            <w:r/>
          </w:p>
        </w:tc>
        <w:tc>
          <w:tcPr>
            <w:gridSpan w:val="2"/>
            <w:shd w:val="clear" w:color="auto" w:fill="ffffff"/>
            <w:tcBorders>
              <w:top w:val="none" w:color="000000" w:sz="4" w:space="0"/>
              <w:left w:val="none" w:color="000000" w:sz="4" w:space="0"/>
              <w:bottom w:val="none" w:color="000000" w:sz="4" w:space="0"/>
              <w:right w:val="none" w:color="000000" w:sz="4" w:space="0"/>
            </w:tcBorders>
            <w:tcW w:w="5524" w:type="dxa"/>
            <w:vAlign w:val="bottom"/>
            <w:textDirection w:val="lrTb"/>
            <w:noWrap w:val="false"/>
          </w:tcPr>
          <w:p>
            <w:pPr>
              <w:jc w:val="left"/>
              <w:rPr>
                <w:rFonts w:eastAsia="宋体" w:cs="Times New Roman"/>
                <w:u w:val="single"/>
              </w:rPr>
            </w:pPr>
            <w:r>
              <w:rPr>
                <w:rFonts w:eastAsia="宋体" w:cs="Times New Roman"/>
                <w:u w:val="single"/>
              </w:rPr>
            </w:r>
            <w:r/>
          </w:p>
        </w:tc>
        <w:tc>
          <w:tcPr>
            <w:shd w:val="clear" w:color="auto" w:fill="ffffff"/>
            <w:tcBorders>
              <w:top w:val="none" w:color="000000" w:sz="4" w:space="0"/>
              <w:left w:val="none" w:color="000000" w:sz="4" w:space="0"/>
              <w:bottom w:val="none" w:color="000000" w:sz="4" w:space="0"/>
              <w:right w:val="none" w:color="000000" w:sz="4" w:space="0"/>
            </w:tcBorders>
            <w:tcW w:w="1774" w:type="dxa"/>
            <w:vAlign w:val="bottom"/>
            <w:textDirection w:val="lrTb"/>
            <w:noWrap w:val="false"/>
          </w:tcPr>
          <w:p>
            <w:pPr>
              <w:jc w:val="left"/>
              <w:keepLines w:val="0"/>
              <w:keepNext w:val="0"/>
              <w:widowControl/>
              <w:rPr>
                <w:rFonts w:eastAsia="宋体" w:cs="Times New Roman"/>
                <w:u w:val="single"/>
              </w:rPr>
              <w:suppressLineNumbers w:val="0"/>
            </w:pPr>
            <w:r>
              <w:rPr>
                <w:rFonts w:hint="eastAsia" w:ascii="宋体" w:hAnsi="宋体" w:eastAsia="宋体" w:cs="宋体"/>
                <w:i w:val="0"/>
                <w:iCs w:val="0"/>
                <w:color w:val="000000"/>
                <w:sz w:val="20"/>
                <w:szCs w:val="20"/>
                <w:highlight w:val="none"/>
                <w:u w:val="single"/>
                <w:lang w:val="en-US" w:eastAsia="zh-CN" w:bidi="ar"/>
              </w:rPr>
              <w:t xml:space="preserve">(签字或盖章)</w:t>
            </w: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b/>
                <w:bCs/>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编   制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5524" w:type="dxa"/>
            <w:vAlign w:val="bottom"/>
            <w:textDirection w:val="lrTb"/>
            <w:noWrap w:val="false"/>
          </w:tcPr>
          <w:p>
            <w:pPr>
              <w:jc w:val="left"/>
              <w:rPr>
                <w:rFonts w:hint="eastAsia" w:ascii="宋体" w:hAnsi="宋体" w:eastAsia="宋体" w:cs="宋体"/>
                <w:sz w:val="24"/>
              </w:rPr>
            </w:pPr>
            <w:r>
              <w:rPr>
                <w:rFonts w:hint="eastAsia" w:ascii="宋体" w:hAnsi="宋体" w:eastAsia="宋体" w:cs="宋体"/>
                <w:sz w:val="24"/>
              </w:rPr>
            </w:r>
            <w:r/>
          </w:p>
        </w:tc>
        <w:tc>
          <w:tcPr>
            <w:shd w:val="clear" w:color="auto" w:fill="ffffff"/>
            <w:tcBorders>
              <w:top w:val="none" w:color="000000" w:sz="4" w:space="0"/>
              <w:left w:val="none" w:color="000000" w:sz="4" w:space="0"/>
              <w:bottom w:val="single" w:color="000000" w:sz="4" w:space="0"/>
              <w:right w:val="none" w:color="000000" w:sz="4" w:space="0"/>
            </w:tcBorders>
            <w:tcW w:w="1774" w:type="dxa"/>
            <w:vAlign w:val="bottom"/>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0"/>
                <w:szCs w:val="20"/>
                <w:highlight w:val="none"/>
                <w:u w:val="none"/>
                <w:lang w:val="en-US" w:eastAsia="zh-CN" w:bidi="ar"/>
              </w:rPr>
              <w:t xml:space="preserve">(签字及盖章)</w:t>
            </w: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编 制 时 间：</w:t>
            </w:r>
            <w:r/>
          </w:p>
        </w:tc>
        <w:tc>
          <w:tcPr>
            <w:gridSpan w:val="2"/>
            <w:shd w:val="clear" w:color="auto" w:fill="ffffff"/>
            <w:tcW w:w="5524" w:type="dxa"/>
            <w:vAlign w:val="bottom"/>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8"/>
                <w:szCs w:val="28"/>
                <w:highlight w:val="none"/>
                <w:u w:val="none"/>
                <w:lang w:val="en-US" w:eastAsia="zh-CN" w:bidi="ar"/>
              </w:rPr>
              <w:t xml:space="preserve">   年   月   日</w:t>
            </w:r>
            <w:r/>
          </w:p>
        </w:tc>
        <w:tc>
          <w:tcPr>
            <w:shd w:val="clear" w:color="auto" w:fill="ffffff"/>
            <w:tcBorders>
              <w:top w:val="single" w:color="000000" w:sz="4" w:space="0"/>
              <w:left w:val="none" w:color="000000" w:sz="4" w:space="0"/>
              <w:bottom w:val="none" w:color="000000" w:sz="4" w:space="0"/>
              <w:right w:val="none" w:color="000000" w:sz="4" w:space="0"/>
            </w:tcBorders>
            <w:tcW w:w="1774" w:type="dxa"/>
            <w:vAlign w:val="bottom"/>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b/>
          <w:bCs/>
          <w:color w:val="auto"/>
          <w:sz w:val="32"/>
          <w:szCs w:val="32"/>
        </w:rPr>
      </w:pPr>
      <w:r/>
      <w:bookmarkStart w:id="749" w:name="_Toc169207405"/>
      <w:r/>
      <w:bookmarkStart w:id="750" w:name="_Toc30087"/>
      <w:r>
        <w:rPr>
          <w:rFonts w:hint="eastAsia" w:ascii="宋体" w:hAnsi="宋体" w:cs="宋体"/>
          <w:b/>
          <w:bCs/>
          <w:color w:val="auto"/>
          <w:sz w:val="32"/>
          <w:szCs w:val="32"/>
        </w:rPr>
        <w:br w:type="page" w:clear="all"/>
      </w:r>
      <w:r/>
    </w:p>
    <w:p>
      <w:pPr>
        <w:keepLines/>
        <w:keepNext/>
        <w:spacing w:before="145" w:after="145" w:line="360" w:lineRule="auto"/>
        <w:rPr>
          <w:rFonts w:hint="eastAsia" w:ascii="宋体" w:hAnsi="宋体" w:cs="宋体"/>
          <w:b/>
          <w:bCs/>
          <w:color w:val="auto"/>
          <w:sz w:val="32"/>
          <w:szCs w:val="32"/>
        </w:rPr>
        <w:outlineLvl w:val="2"/>
      </w:pPr>
      <w:r>
        <w:rPr>
          <w:rFonts w:hint="eastAsia" w:ascii="宋体" w:hAnsi="宋体" w:cs="宋体"/>
          <w:b/>
          <w:bCs/>
          <w:color w:val="auto"/>
          <w:sz w:val="32"/>
          <w:szCs w:val="32"/>
        </w:rPr>
        <w:t xml:space="preserve">六、项目实施方案</w:t>
      </w:r>
      <w:bookmarkEnd w:id="749"/>
      <w:r/>
      <w:bookmarkEnd w:id="750"/>
      <w:r/>
      <w:r/>
    </w:p>
    <w:p>
      <w:pPr>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keepLines/>
        <w:keepNext/>
        <w:spacing w:before="145" w:after="145" w:line="360" w:lineRule="auto"/>
        <w:rPr>
          <w:rFonts w:hint="eastAsia" w:ascii="宋体" w:hAnsi="宋体" w:cs="宋体"/>
          <w:b/>
          <w:bCs/>
          <w:color w:val="auto"/>
          <w:sz w:val="32"/>
          <w:szCs w:val="32"/>
        </w:rPr>
        <w:outlineLvl w:val="2"/>
      </w:pPr>
      <w:r/>
      <w:bookmarkStart w:id="751" w:name="_Toc169207406"/>
      <w:r/>
      <w:bookmarkStart w:id="752" w:name="_Toc4030"/>
      <w:r>
        <w:rPr>
          <w:rFonts w:hint="eastAsia" w:ascii="宋体" w:hAnsi="宋体" w:cs="宋体"/>
          <w:b/>
          <w:bCs/>
          <w:color w:val="auto"/>
          <w:sz w:val="32"/>
          <w:szCs w:val="32"/>
        </w:rPr>
        <w:t xml:space="preserve">七、项目组人员</w:t>
      </w:r>
      <w:bookmarkEnd w:id="751"/>
      <w:r/>
      <w:bookmarkEnd w:id="752"/>
      <w:r/>
      <w:r/>
    </w:p>
    <w:p>
      <w:pPr>
        <w:pStyle w:val="1124"/>
        <w:jc w:val="center"/>
        <w:rPr>
          <w:rFonts w:hint="eastAsia" w:ascii="宋体" w:hAnsi="宋体" w:cs="宋体"/>
          <w:b/>
          <w:color w:val="auto"/>
          <w:sz w:val="30"/>
          <w:szCs w:val="30"/>
        </w:rPr>
      </w:pPr>
      <w:r>
        <w:rPr>
          <w:rFonts w:hint="eastAsia" w:ascii="宋体" w:hAnsi="宋体" w:cs="宋体"/>
          <w:b/>
          <w:color w:val="auto"/>
          <w:sz w:val="30"/>
          <w:szCs w:val="30"/>
        </w:rPr>
        <w:t xml:space="preserve">拟选派项目负责人简历表</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W w:w="1049"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901"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 龄</w:t>
            </w:r>
            <w:r/>
          </w:p>
        </w:tc>
        <w:tc>
          <w:tcPr>
            <w:tcW w:w="768"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3"/>
            <w:tcW w:w="2337"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学历</w:t>
            </w:r>
            <w:r/>
          </w:p>
        </w:tc>
        <w:tc>
          <w:tcPr>
            <w:gridSpan w:val="2"/>
            <w:tcW w:w="1862"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1005"/>
        </w:trPr>
        <w:tc>
          <w:tcPr>
            <w:gridSpan w:val="2"/>
            <w:tcW w:w="1966"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毕业学校</w:t>
            </w:r>
            <w:r/>
          </w:p>
        </w:tc>
        <w:tc>
          <w:tcPr>
            <w:gridSpan w:val="9"/>
            <w:tcW w:w="6917"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年毕业于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学校</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专业</w:t>
            </w:r>
            <w:r/>
          </w:p>
        </w:tc>
      </w:tr>
      <w:tr>
        <w:trPr>
          <w:jc w:val="center"/>
          <w:trHeight w:val="1116"/>
        </w:trPr>
        <w:tc>
          <w:tcPr>
            <w:gridSpan w:val="2"/>
            <w:tcW w:w="1966" w:type="dxa"/>
            <w:vAlign w:val="center"/>
            <w:textDirection w:val="lrTb"/>
            <w:noWrap w:val="false"/>
          </w:tcPr>
          <w:p>
            <w:pPr>
              <w:pStyle w:val="1471"/>
              <w:spacing w:line="440" w:lineRule="exact"/>
              <w:rPr>
                <w:rFonts w:hint="eastAsia" w:ascii="宋体" w:hAnsi="宋体" w:cs="宋体"/>
                <w:color w:val="auto"/>
                <w:sz w:val="28"/>
                <w:szCs w:val="28"/>
              </w:rPr>
            </w:pPr>
            <w:r>
              <w:rPr>
                <w:rFonts w:hint="eastAsia" w:ascii="宋体" w:hAnsi="宋体" w:cs="宋体"/>
                <w:color w:val="auto"/>
                <w:sz w:val="28"/>
                <w:szCs w:val="28"/>
              </w:rPr>
              <w:t xml:space="preserve">专业技术职称</w:t>
            </w:r>
            <w:r/>
          </w:p>
        </w:tc>
        <w:tc>
          <w:tcPr>
            <w:gridSpan w:val="4"/>
            <w:tcW w:w="2718" w:type="dxa"/>
            <w:vAlign w:val="center"/>
            <w:textDirection w:val="lrTb"/>
            <w:noWrap w:val="false"/>
          </w:tcPr>
          <w:p>
            <w:pPr>
              <w:pStyle w:val="1471"/>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1984" w:type="dxa"/>
            <w:vAlign w:val="center"/>
            <w:textDirection w:val="lrTb"/>
            <w:noWrap w:val="false"/>
          </w:tcPr>
          <w:p>
            <w:pPr>
              <w:pStyle w:val="1471"/>
              <w:spacing w:line="440" w:lineRule="exact"/>
              <w:rPr>
                <w:rFonts w:hint="eastAsia" w:ascii="宋体" w:hAnsi="宋体" w:cs="宋体"/>
                <w:color w:val="auto"/>
                <w:sz w:val="28"/>
                <w:szCs w:val="28"/>
              </w:rPr>
            </w:pPr>
            <w:r>
              <w:rPr>
                <w:rFonts w:hint="eastAsia" w:ascii="宋体" w:hAnsi="宋体" w:cs="宋体"/>
                <w:color w:val="auto"/>
                <w:sz w:val="28"/>
                <w:szCs w:val="28"/>
              </w:rPr>
              <w:t xml:space="preserve">执业资格证书及注册编号</w:t>
            </w:r>
            <w:r/>
          </w:p>
        </w:tc>
        <w:tc>
          <w:tcPr>
            <w:gridSpan w:val="3"/>
            <w:tcW w:w="2215" w:type="dxa"/>
            <w:vAlign w:val="center"/>
            <w:textDirection w:val="lrTb"/>
            <w:noWrap w:val="false"/>
          </w:tcPr>
          <w:p>
            <w:pPr>
              <w:pStyle w:val="1471"/>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683"/>
        </w:trPr>
        <w:tc>
          <w:tcPr>
            <w:gridSpan w:val="11"/>
            <w:tcW w:w="8883"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主要主持的类似项目</w:t>
            </w:r>
            <w:r/>
          </w:p>
        </w:tc>
      </w:tr>
      <w:tr>
        <w:trPr>
          <w:jc w:val="center"/>
          <w:trHeight w:val="683"/>
        </w:trPr>
        <w:tc>
          <w:tcPr>
            <w:tcW w:w="856"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序号</w:t>
            </w:r>
            <w:r/>
          </w:p>
        </w:tc>
        <w:tc>
          <w:tcPr>
            <w:gridSpan w:val="3"/>
            <w:tcW w:w="2835"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项目名称</w:t>
            </w:r>
            <w:r/>
          </w:p>
        </w:tc>
        <w:tc>
          <w:tcPr>
            <w:gridSpan w:val="3"/>
            <w:tcW w:w="1948"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合同甲方</w:t>
            </w:r>
            <w:r/>
          </w:p>
        </w:tc>
        <w:tc>
          <w:tcPr>
            <w:gridSpan w:val="3"/>
            <w:tcW w:w="1596"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获得的</w:t>
            </w:r>
            <w:r/>
          </w:p>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奖项</w:t>
            </w:r>
            <w:r/>
          </w:p>
        </w:tc>
        <w:tc>
          <w:tcPr>
            <w:tcW w:w="1648" w:type="dxa"/>
            <w:vAlign w:val="center"/>
            <w:textDirection w:val="lrTb"/>
            <w:noWrap w:val="false"/>
          </w:tcPr>
          <w:p>
            <w:pPr>
              <w:pStyle w:val="1471"/>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jc w:val="center"/>
          <w:trHeight w:val="713"/>
        </w:trPr>
        <w:tc>
          <w:tcPr>
            <w:tcW w:w="856" w:type="dxa"/>
            <w:textDirection w:val="lrTb"/>
            <w:noWrap w:val="false"/>
          </w:tcPr>
          <w:p>
            <w:pPr>
              <w:pStyle w:val="1471"/>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gridSpan w:val="3"/>
            <w:tcW w:w="2835"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71"/>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gridSpan w:val="3"/>
            <w:tcW w:w="2835"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71"/>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3</w:t>
            </w:r>
            <w:r/>
          </w:p>
        </w:tc>
        <w:tc>
          <w:tcPr>
            <w:gridSpan w:val="3"/>
            <w:tcW w:w="2835"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71"/>
              <w:spacing w:line="360" w:lineRule="exact"/>
              <w:rPr>
                <w:rFonts w:hint="eastAsia" w:ascii="宋体" w:hAnsi="宋体" w:cs="宋体"/>
                <w:color w:val="auto"/>
                <w:szCs w:val="21"/>
              </w:rPr>
            </w:pPr>
            <w:r>
              <w:rPr>
                <w:rFonts w:hint="eastAsia" w:ascii="宋体" w:hAnsi="宋体" w:cs="宋体"/>
                <w:color w:val="auto"/>
                <w:szCs w:val="21"/>
              </w:rPr>
            </w:r>
            <w:r/>
          </w:p>
        </w:tc>
      </w:tr>
    </w:tbl>
    <w:p>
      <w:pPr>
        <w:pStyle w:val="1450"/>
        <w:ind w:firstLine="396"/>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注：响应文件中需提供项目负责人注册建造师证书、安全生产考核合格证及社保证明。</w:t>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pStyle w:val="1124"/>
        <w:jc w:val="center"/>
        <w:rPr>
          <w:rFonts w:hint="eastAsia" w:ascii="宋体" w:hAnsi="宋体" w:cs="宋体"/>
          <w:b/>
          <w:color w:val="auto"/>
          <w:sz w:val="30"/>
          <w:szCs w:val="30"/>
        </w:rPr>
      </w:pPr>
      <w:r>
        <w:rPr>
          <w:rFonts w:hint="eastAsia" w:ascii="宋体" w:hAnsi="宋体" w:cs="宋体"/>
          <w:b/>
          <w:color w:val="auto"/>
          <w:sz w:val="30"/>
          <w:szCs w:val="30"/>
        </w:rPr>
        <w:t xml:space="preserve">项目负责人无在建工程承诺书</w:t>
      </w:r>
      <w:r/>
    </w:p>
    <w:p>
      <w:pPr>
        <w:pStyle w:val="1474"/>
        <w:spacing w:line="500" w:lineRule="exact"/>
        <w:rPr>
          <w:rFonts w:hint="eastAsia" w:ascii="宋体" w:hAnsi="宋体" w:cs="宋体"/>
          <w:color w:val="auto"/>
          <w:sz w:val="28"/>
          <w:szCs w:val="28"/>
        </w:rPr>
      </w:pPr>
      <w:r>
        <w:rPr>
          <w:rFonts w:hint="eastAsia" w:ascii="宋体" w:hAnsi="宋体" w:cs="宋体"/>
          <w:color w:val="auto"/>
          <w:sz w:val="28"/>
          <w:szCs w:val="28"/>
        </w:rPr>
      </w:r>
      <w:r/>
    </w:p>
    <w:p>
      <w:pPr>
        <w:pStyle w:val="1474"/>
        <w:spacing w:line="520" w:lineRule="exact"/>
        <w:rPr>
          <w:rFonts w:hint="eastAsia" w:ascii="宋体" w:hAnsi="宋体" w:cs="宋体"/>
          <w:color w:val="auto"/>
          <w:sz w:val="24"/>
          <w:szCs w:val="24"/>
          <w:u w:val="single"/>
        </w:rPr>
      </w:pPr>
      <w:r>
        <w:rPr>
          <w:rFonts w:hint="eastAsia" w:ascii="宋体" w:hAnsi="宋体" w:cs="宋体"/>
          <w:color w:val="auto"/>
          <w:sz w:val="24"/>
          <w:szCs w:val="24"/>
          <w:u w:val="single"/>
        </w:rPr>
        <w:t xml:space="preserve">宿迁市湖滨新区住房和城乡建设局：</w:t>
      </w:r>
      <w:r/>
    </w:p>
    <w:p>
      <w:pPr>
        <w:pStyle w:val="1474"/>
        <w:ind w:firstLine="661"/>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我方已仔细研读了 </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采购文件全部内容。经严格审查，我方拟派本项目负责人 </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   （身份证号）   </w:t>
      </w:r>
      <w:r>
        <w:rPr>
          <w:rFonts w:hint="eastAsia" w:ascii="宋体" w:hAnsi="宋体" w:cs="宋体"/>
          <w:color w:val="auto"/>
          <w:sz w:val="24"/>
          <w:szCs w:val="24"/>
        </w:rPr>
        <w:t xml:space="preserve">，自本项目响应文件递交截止时间起，已符合下列情形：</w:t>
      </w:r>
      <w:r/>
    </w:p>
    <w:p>
      <w:pPr>
        <w:pStyle w:val="147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147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说明：1. 在建工程是指处于中标结果公告（直接发包的项目以网上合同备案为准）到合同约定的工程全部完成且取得验收合格证明期间的工程。验收合格证明是指由建设单位（或监理）组织工程建设各方验收合格，并签署相应的单位工程质量竣工验收记录或者分部工程质量验收记录等验收文件。2. 上述“变更”是指本项目拟选派项目负责人在其他项目中担任“项目负责人”所涉及的变更相关手续。</w:t>
      </w:r>
      <w:r/>
    </w:p>
    <w:p>
      <w:pPr>
        <w:pStyle w:val="1474"/>
        <w:ind w:firstLine="549"/>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我方承诺对上述情况真实有效性负责，否则，即视为我方弄虚作假响应，我方将理解并自愿接受采购人及相关监督管理部门相应的处理。</w:t>
      </w:r>
      <w:r/>
    </w:p>
    <w:p>
      <w:pPr>
        <w:pStyle w:val="147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75"/>
        <w:spacing w:line="520" w:lineRule="exact"/>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pStyle w:val="147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75"/>
        <w:jc w:val="right"/>
        <w:spacing w:line="520" w:lineRule="exact"/>
        <w:rPr>
          <w:rFonts w:hint="eastAsia" w:ascii="宋体" w:hAnsi="宋体" w:cs="宋体"/>
          <w:color w:val="auto"/>
          <w:sz w:val="24"/>
          <w:szCs w:val="24"/>
        </w:rPr>
      </w:pPr>
      <w:r>
        <w:rPr>
          <w:rFonts w:hint="eastAsia" w:ascii="宋体" w:hAnsi="宋体" w:cs="宋体"/>
          <w:color w:val="auto"/>
          <w:sz w:val="24"/>
          <w:szCs w:val="24"/>
        </w:rPr>
        <w:t xml:space="preserve">年  月  日</w:t>
      </w:r>
      <w:r/>
    </w:p>
    <w:p>
      <w:pPr>
        <w:pStyle w:val="1475"/>
        <w:spacing w:line="520" w:lineRule="exact"/>
        <w:rPr>
          <w:rFonts w:hint="eastAsia" w:ascii="宋体" w:hAnsi="宋体" w:cs="宋体"/>
          <w:color w:val="auto"/>
          <w:sz w:val="28"/>
          <w:szCs w:val="28"/>
        </w:rPr>
      </w:pPr>
      <w:r>
        <w:rPr>
          <w:rFonts w:hint="eastAsia" w:ascii="宋体" w:hAnsi="宋体" w:cs="宋体"/>
          <w:color w:val="auto"/>
          <w:sz w:val="28"/>
          <w:szCs w:val="28"/>
        </w:rPr>
      </w:r>
      <w:r/>
    </w:p>
    <w:p>
      <w:pPr>
        <w:pStyle w:val="1472"/>
        <w:jc w:val="center"/>
        <w:spacing w:line="600" w:lineRule="exact"/>
        <w:rPr>
          <w:rFonts w:hint="eastAsia" w:ascii="宋体" w:hAnsi="宋体" w:cs="宋体"/>
          <w:b/>
          <w:color w:val="auto"/>
          <w:sz w:val="32"/>
          <w:szCs w:val="32"/>
        </w:rPr>
      </w:pPr>
      <w:r>
        <w:rPr>
          <w:rFonts w:hint="eastAsia" w:ascii="宋体" w:hAnsi="宋体" w:cs="宋体"/>
          <w:b/>
          <w:color w:val="auto"/>
          <w:sz w:val="32"/>
          <w:szCs w:val="32"/>
        </w:rPr>
      </w:r>
      <w:r/>
    </w:p>
    <w:p>
      <w:pPr>
        <w:rPr>
          <w:rFonts w:hint="eastAsia" w:ascii="宋体" w:hAnsi="宋体" w:cs="宋体"/>
          <w:b/>
          <w:color w:val="auto"/>
          <w:sz w:val="32"/>
          <w:szCs w:val="32"/>
        </w:rPr>
      </w:pPr>
      <w:r>
        <w:rPr>
          <w:rFonts w:hint="eastAsia" w:ascii="宋体" w:hAnsi="宋体" w:cs="宋体"/>
          <w:b/>
          <w:color w:val="auto"/>
          <w:sz w:val="32"/>
          <w:szCs w:val="32"/>
        </w:rPr>
        <w:br w:type="page" w:clear="all"/>
      </w:r>
      <w:r/>
    </w:p>
    <w:p>
      <w:pPr>
        <w:pStyle w:val="1472"/>
        <w:jc w:val="center"/>
        <w:spacing w:line="600" w:lineRule="exact"/>
        <w:rPr>
          <w:rFonts w:hint="eastAsia" w:ascii="宋体" w:hAnsi="宋体" w:cs="宋体"/>
          <w:b/>
          <w:bCs/>
          <w:color w:val="auto"/>
          <w:sz w:val="32"/>
          <w:szCs w:val="32"/>
        </w:rPr>
      </w:pPr>
      <w:r>
        <w:rPr>
          <w:rFonts w:hint="eastAsia" w:ascii="宋体" w:hAnsi="宋体" w:cs="宋体"/>
          <w:b/>
          <w:color w:val="auto"/>
          <w:sz w:val="32"/>
          <w:szCs w:val="32"/>
        </w:rPr>
        <w:t xml:space="preserve">项目组其他成员配备一览表</w:t>
      </w:r>
      <w:r/>
    </w:p>
    <w:tbl>
      <w:tblPr>
        <w:tblStyle w:val="82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本项目</w:t>
            </w:r>
            <w:r/>
          </w:p>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72"/>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bl>
    <w:p>
      <w:pPr>
        <w:pStyle w:val="1064"/>
        <w:ind w:firstLine="398"/>
        <w:spacing w:line="460" w:lineRule="exact"/>
        <w:rPr>
          <w:rFonts w:hint="eastAsia"/>
          <w:color w:val="auto"/>
        </w:rPr>
      </w:pPr>
      <w:r>
        <w:rPr>
          <w:rFonts w:hint="eastAsia"/>
          <w:b/>
          <w:color w:val="auto"/>
          <w:lang w:bidi="ar"/>
        </w:rPr>
        <w:t xml:space="preserve">注：如供应商成交，项目组成员必须按本表承诺人员操作，不得随意更换。按磋商文件要求附相关人员证书。</w:t>
      </w:r>
      <w:r/>
    </w:p>
    <w:p>
      <w:pPr>
        <w:pStyle w:val="1064"/>
        <w:ind w:firstLine="280"/>
        <w:spacing w:line="500" w:lineRule="exact"/>
        <w:rPr>
          <w:rFonts w:hint="eastAsia"/>
          <w:color w:val="auto"/>
        </w:rPr>
      </w:pPr>
      <w:r>
        <w:rPr>
          <w:rFonts w:hint="eastAsia"/>
          <w:color w:val="auto"/>
        </w:rPr>
      </w:r>
      <w:r/>
    </w:p>
    <w:p>
      <w:pPr>
        <w:keepLines/>
        <w:keepNext/>
        <w:spacing w:before="145" w:after="145" w:line="360" w:lineRule="auto"/>
        <w:rPr>
          <w:rFonts w:hint="eastAsia" w:ascii="宋体" w:hAnsi="宋体" w:cs="宋体"/>
          <w:b/>
          <w:bCs/>
          <w:color w:val="auto"/>
          <w:sz w:val="32"/>
          <w:szCs w:val="32"/>
        </w:rPr>
        <w:outlineLvl w:val="2"/>
      </w:pPr>
      <w:r>
        <w:rPr>
          <w:rFonts w:hint="eastAsia" w:ascii="宋体" w:hAnsi="宋体" w:cs="宋体"/>
          <w:color w:val="auto"/>
        </w:rPr>
        <w:br w:type="page" w:clear="all"/>
      </w:r>
      <w:bookmarkStart w:id="753" w:name="_Toc11176"/>
      <w:r/>
      <w:bookmarkStart w:id="754" w:name="_Toc169207407"/>
      <w:r/>
      <w:bookmarkStart w:id="755" w:name="_Toc21572"/>
      <w:r>
        <w:rPr>
          <w:rFonts w:hint="eastAsia" w:ascii="宋体" w:hAnsi="宋体" w:cs="宋体"/>
          <w:b/>
          <w:bCs/>
          <w:color w:val="auto"/>
          <w:sz w:val="32"/>
          <w:szCs w:val="32"/>
        </w:rPr>
        <w:t xml:space="preserve">八、</w:t>
      </w:r>
      <w:bookmarkEnd w:id="753"/>
      <w:r>
        <w:rPr>
          <w:rFonts w:hint="eastAsia" w:ascii="宋体" w:hAnsi="宋体" w:cs="宋体"/>
          <w:b/>
          <w:bCs/>
          <w:color w:val="auto"/>
          <w:sz w:val="32"/>
          <w:szCs w:val="32"/>
        </w:rPr>
        <w:t xml:space="preserve">企业业绩</w:t>
      </w:r>
      <w:bookmarkEnd w:id="754"/>
      <w:r/>
      <w:bookmarkEnd w:id="755"/>
      <w:r/>
      <w:r/>
    </w:p>
    <w:p>
      <w:pPr>
        <w:pStyle w:val="1128"/>
        <w:jc w:val="center"/>
        <w:rPr>
          <w:rFonts w:hint="eastAsia" w:ascii="宋体" w:hAnsi="宋体" w:cs="宋体"/>
          <w:b/>
          <w:color w:val="auto"/>
          <w:sz w:val="32"/>
          <w:szCs w:val="32"/>
        </w:rPr>
      </w:pPr>
      <w:r>
        <w:rPr>
          <w:rFonts w:hint="eastAsia" w:ascii="宋体" w:hAnsi="宋体" w:cs="宋体"/>
          <w:b/>
          <w:color w:val="auto"/>
          <w:sz w:val="32"/>
          <w:szCs w:val="32"/>
        </w:rPr>
        <w:t xml:space="preserve">类似项目业绩一览表</w:t>
      </w:r>
      <w:r/>
    </w:p>
    <w:tbl>
      <w:tblPr>
        <w:tblStyle w:val="82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9"/>
              <w:jc w:val="center"/>
              <w:spacing w:line="560" w:lineRule="exact"/>
              <w:rPr>
                <w:rFonts w:hint="eastAsia" w:ascii="宋体" w:hAnsi="宋体" w:cs="宋体"/>
                <w:color w:val="auto"/>
                <w:sz w:val="28"/>
                <w:szCs w:val="28"/>
              </w:rPr>
            </w:pPr>
            <w:r>
              <w:rPr>
                <w:rFonts w:hint="eastAsia" w:ascii="宋体" w:hAnsi="宋体" w:cs="宋体"/>
                <w:color w:val="auto"/>
                <w:sz w:val="28"/>
                <w:szCs w:val="28"/>
              </w:rPr>
              <w:t xml:space="preserve">序号</w:t>
            </w:r>
            <w:r/>
          </w:p>
        </w:tc>
        <w:tc>
          <w:tcPr>
            <w:tcW w:w="3827" w:type="dxa"/>
            <w:vAlign w:val="center"/>
            <w:textDirection w:val="lrTb"/>
            <w:noWrap w:val="false"/>
          </w:tcPr>
          <w:p>
            <w:pPr>
              <w:pStyle w:val="1129"/>
              <w:jc w:val="center"/>
              <w:spacing w:line="560" w:lineRule="exact"/>
              <w:rPr>
                <w:rFonts w:hint="eastAsia" w:ascii="宋体" w:hAnsi="宋体" w:cs="宋体"/>
                <w:color w:val="auto"/>
                <w:sz w:val="28"/>
                <w:szCs w:val="28"/>
              </w:rPr>
            </w:pPr>
            <w:r>
              <w:rPr>
                <w:rFonts w:hint="eastAsia" w:ascii="宋体" w:hAnsi="宋体" w:cs="宋体"/>
                <w:color w:val="auto"/>
                <w:sz w:val="28"/>
                <w:szCs w:val="28"/>
              </w:rPr>
              <w:t xml:space="preserve">项目名称</w:t>
            </w:r>
            <w:r/>
          </w:p>
        </w:tc>
        <w:tc>
          <w:tcPr>
            <w:tcW w:w="2433" w:type="dxa"/>
            <w:vAlign w:val="center"/>
            <w:textDirection w:val="lrTb"/>
            <w:noWrap w:val="false"/>
          </w:tcPr>
          <w:p>
            <w:pPr>
              <w:pStyle w:val="1129"/>
              <w:jc w:val="center"/>
              <w:spacing w:line="560" w:lineRule="exact"/>
              <w:rPr>
                <w:rFonts w:hint="eastAsia" w:ascii="宋体" w:hAnsi="宋体" w:cs="宋体"/>
                <w:color w:val="auto"/>
                <w:sz w:val="28"/>
                <w:szCs w:val="28"/>
              </w:rPr>
            </w:pPr>
            <w:r>
              <w:rPr>
                <w:rFonts w:hint="eastAsia" w:ascii="宋体" w:hAnsi="宋体" w:cs="宋体"/>
                <w:color w:val="auto"/>
                <w:sz w:val="28"/>
                <w:szCs w:val="28"/>
              </w:rPr>
              <w:t xml:space="preserve">采购单位</w:t>
            </w:r>
            <w:r/>
          </w:p>
        </w:tc>
        <w:tc>
          <w:tcPr>
            <w:tcW w:w="1395" w:type="dxa"/>
            <w:vAlign w:val="center"/>
            <w:textDirection w:val="lrTb"/>
            <w:noWrap w:val="false"/>
          </w:tcPr>
          <w:p>
            <w:pPr>
              <w:pStyle w:val="1129"/>
              <w:jc w:val="center"/>
              <w:spacing w:line="560" w:lineRule="exact"/>
              <w:rPr>
                <w:rFonts w:hint="eastAsia" w:ascii="宋体" w:hAnsi="宋体" w:cs="宋体"/>
                <w:color w:val="auto"/>
                <w:sz w:val="28"/>
                <w:szCs w:val="28"/>
              </w:rPr>
            </w:pPr>
            <w:r>
              <w:rPr>
                <w:rFonts w:hint="eastAsia" w:ascii="宋体" w:hAnsi="宋体" w:cs="宋体"/>
                <w:color w:val="auto"/>
                <w:sz w:val="28"/>
                <w:szCs w:val="28"/>
              </w:rPr>
              <w:t xml:space="preserve">合同金额</w:t>
            </w:r>
            <w:r/>
          </w:p>
        </w:tc>
      </w:tr>
      <w:tr>
        <w:trPr>
          <w:jc w:val="center"/>
          <w:trHeight w:val="1510"/>
        </w:trPr>
        <w:tc>
          <w:tcPr>
            <w:tcW w:w="1229" w:type="dxa"/>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3827"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2433"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1395"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r>
      <w:tr>
        <w:trPr>
          <w:jc w:val="center"/>
          <w:trHeight w:val="1510"/>
        </w:trPr>
        <w:tc>
          <w:tcPr>
            <w:tcW w:w="1229" w:type="dxa"/>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3827"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2433"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1395"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r>
      <w:tr>
        <w:trPr>
          <w:jc w:val="center"/>
          <w:trHeight w:val="1510"/>
        </w:trPr>
        <w:tc>
          <w:tcPr>
            <w:tcW w:w="1229" w:type="dxa"/>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3827"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2433"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1395"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r>
      <w:tr>
        <w:trPr>
          <w:jc w:val="center"/>
          <w:trHeight w:val="1525"/>
        </w:trPr>
        <w:tc>
          <w:tcPr>
            <w:tcW w:w="1229" w:type="dxa"/>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3827"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2433"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c>
          <w:tcPr>
            <w:tcW w:w="1395" w:type="dxa"/>
            <w:vAlign w:val="center"/>
            <w:textDirection w:val="lrTb"/>
            <w:noWrap w:val="false"/>
          </w:tcPr>
          <w:p>
            <w:pPr>
              <w:pStyle w:val="1129"/>
              <w:jc w:val="center"/>
              <w:spacing w:line="560" w:lineRule="exact"/>
              <w:rPr>
                <w:rFonts w:hint="eastAsia" w:ascii="宋体" w:hAnsi="宋体" w:cs="宋体"/>
                <w:color w:val="auto"/>
                <w:sz w:val="28"/>
              </w:rPr>
            </w:pPr>
            <w:r>
              <w:rPr>
                <w:rFonts w:hint="eastAsia" w:ascii="宋体" w:hAnsi="宋体" w:cs="宋体"/>
                <w:color w:val="auto"/>
                <w:sz w:val="28"/>
              </w:rPr>
            </w:r>
            <w:r/>
          </w:p>
        </w:tc>
      </w:tr>
    </w:tbl>
    <w:p>
      <w:pPr>
        <w:pStyle w:val="1128"/>
        <w:rPr>
          <w:rFonts w:hint="eastAsia" w:ascii="宋体" w:hAnsi="宋体" w:cs="宋体"/>
          <w:color w:val="auto"/>
        </w:rPr>
      </w:pPr>
      <w:r>
        <w:rPr>
          <w:rFonts w:hint="eastAsia" w:ascii="宋体" w:hAnsi="宋体" w:cs="宋体"/>
          <w:b/>
          <w:color w:val="auto"/>
          <w:sz w:val="24"/>
        </w:rPr>
        <w:t xml:space="preserve">注：请填写此表，并按要求上传业绩资料电子件。</w:t>
      </w:r>
      <w:r/>
    </w:p>
    <w:p>
      <w:pPr>
        <w:keepLines/>
        <w:keepNext/>
        <w:spacing w:before="145" w:after="145" w:line="360" w:lineRule="auto"/>
        <w:rPr>
          <w:rFonts w:hint="eastAsia" w:ascii="宋体" w:hAnsi="宋体" w:cs="宋体"/>
          <w:b/>
          <w:bCs/>
          <w:color w:val="auto"/>
          <w:sz w:val="32"/>
          <w:szCs w:val="32"/>
        </w:rPr>
        <w:outlineLvl w:val="2"/>
      </w:pPr>
      <w:r>
        <w:rPr>
          <w:rFonts w:hint="eastAsia" w:ascii="宋体" w:hAnsi="宋体" w:cs="宋体"/>
          <w:b/>
          <w:color w:val="auto"/>
          <w:sz w:val="32"/>
          <w:szCs w:val="32"/>
        </w:rPr>
        <w:br w:type="page" w:clear="all"/>
      </w:r>
      <w:bookmarkStart w:id="756" w:name="_Toc28140"/>
      <w:r/>
      <w:bookmarkStart w:id="757" w:name="_Toc8610"/>
      <w:r/>
      <w:bookmarkStart w:id="758" w:name="_Toc169207408"/>
      <w:r>
        <w:rPr>
          <w:rFonts w:hint="eastAsia" w:ascii="宋体" w:hAnsi="宋体" w:cs="宋体"/>
          <w:b/>
          <w:bCs/>
          <w:color w:val="auto"/>
          <w:sz w:val="32"/>
          <w:szCs w:val="32"/>
        </w:rPr>
        <w:t xml:space="preserve">九、磋商所需其他材料</w:t>
      </w:r>
      <w:bookmarkEnd w:id="756"/>
      <w:r/>
      <w:bookmarkEnd w:id="757"/>
      <w:r/>
      <w:bookmarkEnd w:id="758"/>
      <w:r/>
      <w:r/>
    </w:p>
    <w:p>
      <w:pPr>
        <w:pStyle w:val="1124"/>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请在此文档中增加磋商所需其他相关内容（包括资格要求、评分办法、采购需求中涉及的证件证明及其他投标人认为有必要提供的资料），如没有请将此空文档上传。</w:t>
      </w:r>
      <w:r/>
    </w:p>
    <w:p>
      <w:pPr>
        <w:rPr>
          <w:rFonts w:hint="eastAsia" w:ascii="宋体" w:hAnsi="宋体" w:cs="宋体"/>
          <w:color w:val="auto"/>
        </w:rPr>
      </w:pPr>
      <w:r>
        <w:rPr>
          <w:rFonts w:hint="eastAsia" w:ascii="宋体" w:hAnsi="宋体" w:cs="宋体"/>
          <w:color w:val="auto"/>
        </w:rPr>
        <w:br w:type="page" w:clear="all"/>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质疑函范本</w:t>
      </w:r>
      <w:r/>
    </w:p>
    <w:p>
      <w:pPr>
        <w:spacing w:before="290" w:line="360" w:lineRule="auto"/>
        <w:rPr>
          <w:rFonts w:hint="eastAsia" w:ascii="宋体" w:hAnsi="宋体" w:cs="宋体"/>
          <w:bCs/>
          <w:color w:val="auto"/>
          <w:sz w:val="24"/>
          <w:szCs w:val="24"/>
        </w:rPr>
      </w:pPr>
      <w:r>
        <w:rPr>
          <w:rFonts w:hint="eastAsia" w:ascii="宋体" w:hAnsi="宋体" w:cs="宋体"/>
          <w:bCs/>
          <w:color w:val="auto"/>
          <w:sz w:val="24"/>
          <w:szCs w:val="24"/>
        </w:rPr>
        <w:t xml:space="preserve">一、质疑供应商基本信息</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地址：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二、质疑项目基本情况</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三、质疑事项具体内容</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质疑事项1：</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事实依据：</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法律依据：</w:t>
      </w: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                                                                           </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质疑事项2</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四、与质疑事项相关的质疑请求</w:t>
      </w:r>
      <w:r/>
    </w:p>
    <w:p>
      <w:pPr>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请求：</w:t>
      </w:r>
      <w:r>
        <w:rPr>
          <w:rFonts w:hint="eastAsia" w:ascii="宋体" w:hAnsi="宋体" w:cs="宋体"/>
          <w:color w:val="auto"/>
          <w:sz w:val="24"/>
          <w:szCs w:val="24"/>
          <w:u w:val="single"/>
        </w:rPr>
        <w:t xml:space="preserve">                                                                     </w:t>
      </w:r>
      <w:r/>
    </w:p>
    <w:p>
      <w:pPr>
        <w:rPr>
          <w:rFonts w:hint="eastAsia" w:ascii="宋体" w:hAnsi="宋体" w:cs="宋体"/>
          <w:color w:val="auto"/>
          <w:sz w:val="24"/>
          <w:szCs w:val="24"/>
        </w:rPr>
      </w:pPr>
      <w:r>
        <w:rPr>
          <w:rFonts w:hint="eastAsia" w:ascii="宋体" w:hAnsi="宋体" w:cs="宋体"/>
          <w:color w:val="auto"/>
          <w:sz w:val="24"/>
          <w:szCs w:val="24"/>
        </w:rPr>
        <w:t xml:space="preserve">签字（签章）：                   公章：                      </w:t>
      </w:r>
      <w:r/>
    </w:p>
    <w:p>
      <w:pPr>
        <w:rPr>
          <w:rFonts w:hint="eastAsia" w:ascii="宋体" w:hAnsi="宋体" w:cs="宋体"/>
          <w:color w:val="auto"/>
          <w:sz w:val="24"/>
          <w:szCs w:val="24"/>
        </w:rPr>
      </w:pPr>
      <w:r>
        <w:rPr>
          <w:rFonts w:hint="eastAsia" w:ascii="宋体" w:hAnsi="宋体" w:cs="宋体"/>
          <w:color w:val="auto"/>
          <w:sz w:val="24"/>
          <w:szCs w:val="24"/>
        </w:rPr>
        <w:t xml:space="preserve">日期：    </w:t>
      </w:r>
      <w:r/>
    </w:p>
    <w:p>
      <w:pPr>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质疑函制作说明：</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5.质疑函的质疑请求应与质疑事项相关。</w:t>
      </w:r>
      <w:r/>
    </w:p>
    <w:p>
      <w:pPr>
        <w:ind w:firstLine="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sz w:val="24"/>
          <w:szCs w:val="24"/>
        </w:rPr>
      </w:pPr>
      <w:r>
        <w:rPr>
          <w:rFonts w:hint="eastAsia" w:ascii="宋体" w:hAnsi="宋体" w:cs="宋体"/>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74"/>
        <w:rFonts w:hint="eastAsia" w:ascii="宋体" w:hAnsi="宋体"/>
      </w:rPr>
      <w:framePr w:wrap="around" w:vAnchor="text" w:hAnchor="margin" w:xAlign="center" w:y="1"/>
    </w:pPr>
    <w:r>
      <w:rPr>
        <w:rFonts w:ascii="宋体" w:hAnsi="宋体"/>
      </w:rPr>
      <w:fldChar w:fldCharType="begin"/>
    </w:r>
    <w:r>
      <w:rPr>
        <w:rStyle w:val="1074"/>
        <w:rFonts w:ascii="宋体" w:hAnsi="宋体"/>
      </w:rPr>
      <w:instrText xml:space="preserve">PAGE  </w:instrText>
    </w:r>
    <w:r>
      <w:rPr>
        <w:rFonts w:ascii="宋体" w:hAnsi="宋体"/>
      </w:rPr>
      <w:fldChar w:fldCharType="separate"/>
    </w:r>
    <w:r>
      <w:rPr>
        <w:rStyle w:val="1074"/>
        <w:rFonts w:ascii="宋体" w:hAnsi="宋体"/>
      </w:rPr>
      <w:t xml:space="preserve">３９</w:t>
    </w:r>
    <w:r>
      <w:rPr>
        <w:rFonts w:ascii="宋体" w:hAnsi="宋体"/>
      </w:rPr>
      <w:fldChar w:fldCharType="end"/>
    </w:r>
    <w:r/>
  </w:p>
  <w:p>
    <w:pPr>
      <w:pStyle w:val="1054"/>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74"/>
      </w:rPr>
      <w:framePr w:wrap="around" w:vAnchor="text" w:hAnchor="margin" w:xAlign="center" w:y="1"/>
    </w:pPr>
    <w:r>
      <w:fldChar w:fldCharType="begin"/>
    </w:r>
    <w:r>
      <w:rPr>
        <w:rStyle w:val="1074"/>
      </w:rPr>
      <w:instrText xml:space="preserve">PAGE  </w:instrText>
    </w:r>
    <w:r>
      <w:fldChar w:fldCharType="separate"/>
    </w:r>
    <w:r>
      <w:rPr>
        <w:rStyle w:val="1074"/>
      </w:rPr>
      <w:t xml:space="preserve">1</w:t>
    </w:r>
    <w:r>
      <w:fldChar w:fldCharType="end"/>
    </w:r>
    <w:r/>
  </w:p>
  <w:p>
    <w:pPr>
      <w:pStyle w:val="1054"/>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74"/>
                              <w:rFonts w:hint="eastAsia" w:ascii="宋体" w:hAnsi="宋体"/>
                            </w:rPr>
                          </w:pPr>
                          <w:r>
                            <w:rPr>
                              <w:rFonts w:ascii="宋体" w:hAnsi="宋体"/>
                            </w:rPr>
                            <w:fldChar w:fldCharType="begin"/>
                          </w:r>
                          <w:r>
                            <w:rPr>
                              <w:rStyle w:val="1074"/>
                              <w:rFonts w:ascii="宋体" w:hAnsi="宋体"/>
                            </w:rPr>
                            <w:instrText xml:space="preserve">PAGE  </w:instrText>
                          </w:r>
                          <w:r>
                            <w:rPr>
                              <w:rFonts w:ascii="宋体" w:hAnsi="宋体"/>
                            </w:rPr>
                            <w:fldChar w:fldCharType="separate"/>
                          </w:r>
                          <w:r>
                            <w:rPr>
                              <w:rStyle w:val="1074"/>
                              <w:rFonts w:ascii="宋体" w:hAnsi="宋体"/>
                            </w:rPr>
                            <w:t xml:space="preserve">３９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74"/>
                        <w:rFonts w:hint="eastAsia" w:ascii="宋体" w:hAnsi="宋体"/>
                      </w:rPr>
                    </w:pPr>
                    <w:r>
                      <w:rPr>
                        <w:rFonts w:ascii="宋体" w:hAnsi="宋体"/>
                      </w:rPr>
                      <w:fldChar w:fldCharType="begin"/>
                    </w:r>
                    <w:r>
                      <w:rPr>
                        <w:rStyle w:val="1074"/>
                        <w:rFonts w:ascii="宋体" w:hAnsi="宋体"/>
                      </w:rPr>
                      <w:instrText xml:space="preserve">PAGE  </w:instrText>
                    </w:r>
                    <w:r>
                      <w:rPr>
                        <w:rFonts w:ascii="宋体" w:hAnsi="宋体"/>
                      </w:rPr>
                      <w:fldChar w:fldCharType="separate"/>
                    </w:r>
                    <w:r>
                      <w:rPr>
                        <w:rStyle w:val="1074"/>
                        <w:rFonts w:ascii="宋体" w:hAnsi="宋体"/>
                      </w:rPr>
                      <w:t xml:space="preserve">３９</w:t>
                    </w:r>
                    <w:r>
                      <w:rPr>
                        <w:rFonts w:ascii="宋体" w:hAnsi="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5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33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8"/>
      <w:isLgl w:val="false"/>
      <w:suff w:val="nothing"/>
      <w:lvlText w:val=""/>
      <w:lvlJc w:val="left"/>
      <w:pPr>
        <w:ind w:left="0" w:firstLine="0"/>
      </w:pPr>
      <w:rPr>
        <w:rFonts w:hint="eastAsia"/>
      </w:rPr>
    </w:lvl>
    <w:lvl w:ilvl="6">
      <w:start w:val="1"/>
      <w:numFmt w:val="decimal"/>
      <w:pStyle w:val="1019"/>
      <w:isLgl w:val="false"/>
      <w:suff w:val="nothing"/>
      <w:lvlText w:val=""/>
      <w:lvlJc w:val="left"/>
      <w:pPr>
        <w:ind w:left="0" w:firstLine="0"/>
      </w:pPr>
      <w:rPr>
        <w:rFonts w:hint="eastAsia"/>
      </w:rPr>
    </w:lvl>
    <w:lvl w:ilvl="7">
      <w:start w:val="1"/>
      <w:numFmt w:val="decimal"/>
      <w:pStyle w:val="1020"/>
      <w:isLgl w:val="false"/>
      <w:suff w:val="nothing"/>
      <w:lvlText w:val=""/>
      <w:lvlJc w:val="left"/>
      <w:pPr>
        <w:ind w:left="0" w:firstLine="0"/>
      </w:pPr>
      <w:rPr>
        <w:rFonts w:hint="eastAsia"/>
      </w:rPr>
    </w:lvl>
    <w:lvl w:ilvl="8">
      <w:start w:val="1"/>
      <w:numFmt w:val="decimal"/>
      <w:pStyle w:val="1021"/>
      <w:isLgl w:val="false"/>
      <w:suff w:val="nothing"/>
      <w:lvlText w:val=""/>
      <w:lvlJc w:val="left"/>
      <w:pPr>
        <w:ind w:left="0" w:firstLine="0"/>
      </w:pPr>
      <w:rPr>
        <w:rFonts w:hint="eastAsia"/>
      </w:rPr>
    </w:lvl>
  </w:abstractNum>
  <w:abstractNum w:abstractNumId="3">
    <w:multiLevelType w:val="hybridMultilevel"/>
    <w:lvl w:ilvl="0">
      <w:start w:val="1"/>
      <w:numFmt w:val="decimal"/>
      <w:pStyle w:val="10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355"/>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6">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5">
    <w:name w:val="TOC Heading"/>
    <w:uiPriority w:val="39"/>
    <w:unhideWhenUsed/>
  </w:style>
  <w:style w:type="paragraph" w:styleId="8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7">
    <w:name w:val="Heading 1"/>
    <w:basedOn w:val="816"/>
    <w:next w:val="816"/>
    <w:link w:val="889"/>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2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90"/>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91"/>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link w:val="892"/>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link w:val="893"/>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link w:val="894"/>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16"/>
    <w:uiPriority w:val="0"/>
    <w:qFormat/>
    <w:pPr>
      <w:ind w:firstLine="420"/>
    </w:pPr>
    <w:rPr>
      <w:szCs w:val="21"/>
    </w:rPr>
  </w:style>
  <w:style w:type="paragraph" w:styleId="829">
    <w:name w:val="toc 7"/>
    <w:basedOn w:val="816"/>
    <w:next w:val="816"/>
    <w:uiPriority w:val="0"/>
    <w:qFormat/>
    <w:pPr>
      <w:ind w:left="1260"/>
      <w:jc w:val="left"/>
    </w:pPr>
    <w:rPr>
      <w:rFonts w:ascii="Times New Roman" w:hAnsi="Times New Roman"/>
      <w:szCs w:val="21"/>
    </w:r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uiPriority w:val="99"/>
    <w:semiHidden/>
    <w:unhideWhenUsed/>
    <w:qFormat/>
    <w:pPr>
      <w:jc w:val="left"/>
    </w:pPr>
  </w:style>
  <w:style w:type="paragraph" w:styleId="832">
    <w:name w:val="toc 5"/>
    <w:basedOn w:val="816"/>
    <w:next w:val="816"/>
    <w:uiPriority w:val="0"/>
    <w:qFormat/>
    <w:pPr>
      <w:ind w:left="840"/>
      <w:jc w:val="left"/>
    </w:pPr>
    <w:rPr>
      <w:rFonts w:ascii="Times New Roman" w:hAnsi="Times New Roman"/>
      <w:szCs w:val="21"/>
    </w:rPr>
  </w:style>
  <w:style w:type="paragraph" w:styleId="833">
    <w:name w:val="toc 3"/>
    <w:basedOn w:val="816"/>
    <w:next w:val="816"/>
    <w:uiPriority w:val="39"/>
    <w:qFormat/>
    <w:pPr>
      <w:ind w:left="420"/>
      <w:jc w:val="left"/>
      <w:tabs>
        <w:tab w:val="right" w:pos="8943" w:leader="dot"/>
      </w:tabs>
    </w:pPr>
    <w:rPr>
      <w:rFonts w:ascii="Times New Roman" w:hAnsi="Times New Roman"/>
      <w:iCs/>
      <w:szCs w:val="24"/>
    </w:rPr>
  </w:style>
  <w:style w:type="paragraph" w:styleId="834">
    <w:name w:val="toc 8"/>
    <w:basedOn w:val="816"/>
    <w:next w:val="816"/>
    <w:uiPriority w:val="0"/>
    <w:qFormat/>
    <w:pPr>
      <w:ind w:left="1470"/>
      <w:jc w:val="left"/>
    </w:pPr>
    <w:rPr>
      <w:rFonts w:ascii="Times New Roman" w:hAnsi="Times New Roman"/>
      <w:szCs w:val="21"/>
    </w:rPr>
  </w:style>
  <w:style w:type="paragraph" w:styleId="835">
    <w:name w:val="endnote text"/>
    <w:basedOn w:val="816"/>
    <w:link w:val="1010"/>
    <w:uiPriority w:val="99"/>
    <w:semiHidden/>
    <w:unhideWhenUsed/>
    <w:qFormat/>
    <w:rPr>
      <w:sz w:val="20"/>
    </w:rPr>
  </w:style>
  <w:style w:type="paragraph" w:styleId="836">
    <w:name w:val="Footer"/>
    <w:basedOn w:val="816"/>
    <w:link w:val="902"/>
    <w:uiPriority w:val="99"/>
    <w:unhideWhenUsed/>
    <w:qFormat/>
    <w:pPr>
      <w:tabs>
        <w:tab w:val="center" w:pos="7143" w:leader="none"/>
        <w:tab w:val="right" w:pos="14287" w:leader="none"/>
      </w:tabs>
    </w:pPr>
  </w:style>
  <w:style w:type="paragraph" w:styleId="837">
    <w:name w:val="Header"/>
    <w:basedOn w:val="816"/>
    <w:uiPriority w:val="99"/>
    <w:unhideWhenUsed/>
    <w:qFormat/>
    <w:pPr>
      <w:tabs>
        <w:tab w:val="center" w:pos="7143" w:leader="none"/>
        <w:tab w:val="right" w:pos="14287" w:leader="none"/>
      </w:tabs>
    </w:pPr>
  </w:style>
  <w:style w:type="paragraph" w:styleId="838">
    <w:name w:val="toc 1"/>
    <w:next w:val="816"/>
    <w:uiPriority w:val="39"/>
    <w:qFormat/>
    <w:pPr>
      <w:tabs>
        <w:tab w:val="right" w:pos="8943" w:leader="dot"/>
      </w:tabs>
    </w:pPr>
    <w:rPr>
      <w:rFonts w:ascii="宋体" w:hAnsi="宋体" w:eastAsia="宋体" w:cs="Times New Roman"/>
      <w:caps/>
      <w:sz w:val="21"/>
      <w:szCs w:val="24"/>
      <w:lang w:val="en-US" w:eastAsia="zh-CN" w:bidi="ar-SA"/>
    </w:rPr>
  </w:style>
  <w:style w:type="paragraph" w:styleId="839">
    <w:name w:val="toc 4"/>
    <w:basedOn w:val="816"/>
    <w:next w:val="816"/>
    <w:uiPriority w:val="39"/>
    <w:unhideWhenUsed/>
    <w:qFormat/>
    <w:pPr>
      <w:ind w:left="850"/>
      <w:spacing w:after="57"/>
    </w:pPr>
  </w:style>
  <w:style w:type="paragraph" w:styleId="840">
    <w:name w:val="Subtitle"/>
    <w:basedOn w:val="816"/>
    <w:next w:val="816"/>
    <w:link w:val="897"/>
    <w:uiPriority w:val="11"/>
    <w:qFormat/>
    <w:pPr>
      <w:spacing w:before="200" w:after="200"/>
    </w:pPr>
    <w:rPr>
      <w:sz w:val="24"/>
      <w:szCs w:val="24"/>
    </w:rPr>
  </w:style>
  <w:style w:type="paragraph" w:styleId="841">
    <w:name w:val="footnote text"/>
    <w:basedOn w:val="816"/>
    <w:link w:val="1009"/>
    <w:uiPriority w:val="99"/>
    <w:semiHidden/>
    <w:unhideWhenUsed/>
    <w:qFormat/>
    <w:pPr>
      <w:spacing w:after="40"/>
    </w:pPr>
    <w:rPr>
      <w:sz w:val="18"/>
    </w:rPr>
  </w:style>
  <w:style w:type="paragraph" w:styleId="842">
    <w:name w:val="toc 6"/>
    <w:basedOn w:val="816"/>
    <w:next w:val="816"/>
    <w:uiPriority w:val="0"/>
    <w:qFormat/>
    <w:pPr>
      <w:ind w:left="1050"/>
      <w:jc w:val="left"/>
    </w:pPr>
    <w:rPr>
      <w:rFonts w:ascii="Times New Roman" w:hAnsi="Times New Roman"/>
      <w:szCs w:val="21"/>
    </w:rPr>
  </w:style>
  <w:style w:type="paragraph" w:styleId="843">
    <w:name w:val="table of figures"/>
    <w:basedOn w:val="816"/>
    <w:next w:val="816"/>
    <w:uiPriority w:val="99"/>
    <w:unhideWhenUsed/>
    <w:qFormat/>
  </w:style>
  <w:style w:type="paragraph" w:styleId="844">
    <w:name w:val="toc 2"/>
    <w:basedOn w:val="816"/>
    <w:next w:val="816"/>
    <w:uiPriority w:val="39"/>
    <w:qFormat/>
    <w:pPr>
      <w:ind w:left="210"/>
      <w:jc w:val="left"/>
    </w:pPr>
    <w:rPr>
      <w:rFonts w:ascii="Times New Roman" w:hAnsi="Times New Roman"/>
      <w:smallCaps/>
      <w:szCs w:val="24"/>
    </w:rPr>
  </w:style>
  <w:style w:type="paragraph" w:styleId="845">
    <w:name w:val="toc 9"/>
    <w:basedOn w:val="816"/>
    <w:next w:val="816"/>
    <w:uiPriority w:val="0"/>
    <w:qFormat/>
    <w:pPr>
      <w:ind w:left="1680"/>
      <w:jc w:val="left"/>
    </w:pPr>
    <w:rPr>
      <w:rFonts w:ascii="Times New Roman" w:hAnsi="Times New Roman"/>
      <w:szCs w:val="21"/>
    </w:rPr>
  </w:style>
  <w:style w:type="paragraph" w:styleId="846">
    <w:name w:val="Normal (Web)"/>
    <w:basedOn w:val="816"/>
    <w:uiPriority w:val="99"/>
    <w:semiHidden/>
    <w:unhideWhenUsed/>
    <w:qFormat/>
    <w:pPr>
      <w:jc w:val="left"/>
      <w:spacing w:beforeAutospacing="1" w:afterAutospacing="1"/>
    </w:pPr>
    <w:rPr>
      <w:sz w:val="24"/>
    </w:rPr>
  </w:style>
  <w:style w:type="paragraph" w:styleId="847">
    <w:name w:val="Title"/>
    <w:basedOn w:val="816"/>
    <w:next w:val="816"/>
    <w:link w:val="896"/>
    <w:uiPriority w:val="10"/>
    <w:qFormat/>
    <w:pPr>
      <w:contextualSpacing/>
      <w:spacing w:before="300" w:after="200"/>
    </w:pPr>
    <w:rPr>
      <w:sz w:val="48"/>
      <w:szCs w:val="48"/>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6"/>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BodyText1I2"/>
    <w:uiPriority w:val="99"/>
    <w:qFormat/>
    <w:pPr>
      <w:ind w:left="0" w:firstLine="420"/>
      <w:jc w:val="both"/>
      <w:widowControl w:val="off"/>
    </w:pPr>
    <w:rPr>
      <w:rFonts w:ascii="Calibri" w:hAnsi="Calibri" w:eastAsia="仿宋_GB2312" w:cs="Times New Roman"/>
      <w:b/>
      <w:sz w:val="21"/>
      <w:szCs w:val="22"/>
      <w:lang w:val="en-US" w:eastAsia="zh-CN" w:bidi="ar-SA"/>
    </w:rPr>
  </w:style>
  <w:style w:type="paragraph" w:styleId="854" w:customStyle="1">
    <w:name w:val="Heading21"/>
    <w:basedOn w:val="855"/>
    <w:next w:val="816"/>
    <w:uiPriority w:val="0"/>
    <w:qFormat/>
    <w:pPr>
      <w:jc w:val="both"/>
      <w:keepLines/>
      <w:keepNext/>
      <w:spacing w:before="260" w:after="260" w:line="413" w:lineRule="auto"/>
      <w:widowControl w:val="off"/>
    </w:pPr>
    <w:rPr>
      <w:rFonts w:ascii="Arial" w:hAnsi="Arial"/>
    </w:rPr>
  </w:style>
  <w:style w:type="paragraph" w:styleId="855" w:customStyle="1">
    <w:name w:val="Normal_16"/>
    <w:uiPriority w:val="0"/>
    <w:qFormat/>
    <w:rPr>
      <w:rFonts w:ascii="黑体" w:hAnsi="黑体" w:eastAsia="黑体" w:cs="Times New Roman"/>
      <w:b/>
      <w:sz w:val="32"/>
      <w:szCs w:val="24"/>
      <w:lang w:val="en-US" w:eastAsia="zh-CN" w:bidi="ar-SA"/>
    </w:rPr>
  </w:style>
  <w:style w:type="character" w:styleId="856" w:customStyle="1">
    <w:name w:val="Heading 1 Char"/>
    <w:basedOn w:val="826"/>
    <w:uiPriority w:val="9"/>
    <w:qFormat/>
    <w:rPr>
      <w:rFonts w:ascii="Arial" w:hAnsi="Arial" w:eastAsia="Arial" w:cs="Arial"/>
      <w:sz w:val="40"/>
      <w:szCs w:val="40"/>
    </w:rPr>
  </w:style>
  <w:style w:type="character" w:styleId="857" w:customStyle="1">
    <w:name w:val="Heading 5 Char"/>
    <w:basedOn w:val="826"/>
    <w:uiPriority w:val="9"/>
    <w:qFormat/>
    <w:rPr>
      <w:rFonts w:ascii="Arial" w:hAnsi="Arial" w:eastAsia="Arial" w:cs="Arial"/>
      <w:b/>
      <w:bCs/>
      <w:sz w:val="24"/>
      <w:szCs w:val="24"/>
    </w:rPr>
  </w:style>
  <w:style w:type="character" w:styleId="858" w:customStyle="1">
    <w:name w:val="Heading 6 Char"/>
    <w:basedOn w:val="826"/>
    <w:uiPriority w:val="9"/>
    <w:qFormat/>
    <w:rPr>
      <w:rFonts w:ascii="Arial" w:hAnsi="Arial" w:eastAsia="Arial" w:cs="Arial"/>
      <w:b/>
      <w:bCs/>
      <w:sz w:val="22"/>
      <w:szCs w:val="22"/>
    </w:rPr>
  </w:style>
  <w:style w:type="character" w:styleId="859" w:customStyle="1">
    <w:name w:val="Heading 7 Char"/>
    <w:basedOn w:val="826"/>
    <w:uiPriority w:val="9"/>
    <w:qFormat/>
    <w:rPr>
      <w:rFonts w:ascii="Arial" w:hAnsi="Arial" w:eastAsia="Arial" w:cs="Arial"/>
      <w:b/>
      <w:bCs/>
      <w:i/>
      <w:iCs/>
      <w:sz w:val="22"/>
      <w:szCs w:val="22"/>
    </w:rPr>
  </w:style>
  <w:style w:type="character" w:styleId="860" w:customStyle="1">
    <w:name w:val="Heading 8 Char"/>
    <w:basedOn w:val="826"/>
    <w:uiPriority w:val="9"/>
    <w:qFormat/>
    <w:rPr>
      <w:rFonts w:ascii="Arial" w:hAnsi="Arial" w:eastAsia="Arial" w:cs="Arial"/>
      <w:i/>
      <w:iCs/>
      <w:sz w:val="22"/>
      <w:szCs w:val="22"/>
    </w:rPr>
  </w:style>
  <w:style w:type="character" w:styleId="861" w:customStyle="1">
    <w:name w:val="Heading 9 Char"/>
    <w:basedOn w:val="826"/>
    <w:uiPriority w:val="9"/>
    <w:qFormat/>
    <w:rPr>
      <w:rFonts w:ascii="Arial" w:hAnsi="Arial" w:eastAsia="Arial" w:cs="Arial"/>
      <w:i/>
      <w:iCs/>
      <w:sz w:val="21"/>
      <w:szCs w:val="21"/>
    </w:rPr>
  </w:style>
  <w:style w:type="character" w:styleId="862" w:customStyle="1">
    <w:name w:val="Title Char"/>
    <w:basedOn w:val="826"/>
    <w:uiPriority w:val="10"/>
    <w:qFormat/>
    <w:rPr>
      <w:sz w:val="48"/>
      <w:szCs w:val="48"/>
    </w:rPr>
  </w:style>
  <w:style w:type="character" w:styleId="863" w:customStyle="1">
    <w:name w:val="Subtitle Char"/>
    <w:basedOn w:val="826"/>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Caption Char"/>
    <w:uiPriority w:val="99"/>
    <w:qFormat/>
  </w:style>
  <w:style w:type="table" w:styleId="867"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2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2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2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
    <w:uiPriority w:val="39"/>
    <w:unhideWhenUsed/>
    <w:qFormat/>
    <w:rPr>
      <w:rFonts w:ascii="Calibri" w:hAnsi="Calibri" w:eastAsia="宋体" w:cs="Times New Roman"/>
      <w:lang w:val="en-US" w:eastAsia="zh-CN" w:bidi="ar-SA"/>
    </w:rPr>
  </w:style>
  <w:style w:type="character" w:styleId="889" w:customStyle="1">
    <w:name w:val="标题 1 字符1"/>
    <w:link w:val="817"/>
    <w:uiPriority w:val="9"/>
    <w:qFormat/>
    <w:rPr>
      <w:rFonts w:ascii="Arial" w:hAnsi="Arial" w:eastAsia="Arial" w:cs="Arial"/>
      <w:sz w:val="40"/>
      <w:szCs w:val="40"/>
    </w:rPr>
  </w:style>
  <w:style w:type="character" w:styleId="890" w:customStyle="1">
    <w:name w:val="标题 5 字符1"/>
    <w:link w:val="821"/>
    <w:uiPriority w:val="9"/>
    <w:qFormat/>
    <w:rPr>
      <w:rFonts w:ascii="Arial" w:hAnsi="Arial" w:eastAsia="Arial" w:cs="Arial"/>
      <w:b/>
      <w:bCs/>
      <w:sz w:val="24"/>
      <w:szCs w:val="24"/>
    </w:rPr>
  </w:style>
  <w:style w:type="character" w:styleId="891" w:customStyle="1">
    <w:name w:val="标题 6 字符1"/>
    <w:link w:val="822"/>
    <w:uiPriority w:val="9"/>
    <w:qFormat/>
    <w:rPr>
      <w:rFonts w:ascii="Arial" w:hAnsi="Arial" w:eastAsia="Arial" w:cs="Arial"/>
      <w:b/>
      <w:bCs/>
      <w:sz w:val="22"/>
      <w:szCs w:val="22"/>
    </w:rPr>
  </w:style>
  <w:style w:type="character" w:styleId="892" w:customStyle="1">
    <w:name w:val="标题 7 字符1"/>
    <w:link w:val="823"/>
    <w:uiPriority w:val="9"/>
    <w:qFormat/>
    <w:rPr>
      <w:rFonts w:ascii="Arial" w:hAnsi="Arial" w:eastAsia="Arial" w:cs="Arial"/>
      <w:b/>
      <w:bCs/>
      <w:i/>
      <w:iCs/>
      <w:sz w:val="22"/>
      <w:szCs w:val="22"/>
    </w:rPr>
  </w:style>
  <w:style w:type="character" w:styleId="893" w:customStyle="1">
    <w:name w:val="标题 8 字符1"/>
    <w:link w:val="824"/>
    <w:uiPriority w:val="9"/>
    <w:qFormat/>
    <w:rPr>
      <w:rFonts w:ascii="Arial" w:hAnsi="Arial" w:eastAsia="Arial" w:cs="Arial"/>
      <w:i/>
      <w:iCs/>
      <w:sz w:val="22"/>
      <w:szCs w:val="22"/>
    </w:rPr>
  </w:style>
  <w:style w:type="character" w:styleId="894" w:customStyle="1">
    <w:name w:val="标题 9 字符1"/>
    <w:link w:val="825"/>
    <w:uiPriority w:val="9"/>
    <w:qFormat/>
    <w:rPr>
      <w:rFonts w:ascii="Arial" w:hAnsi="Arial" w:eastAsia="Arial" w:cs="Arial"/>
      <w:i/>
      <w:iCs/>
      <w:sz w:val="21"/>
      <w:szCs w:val="21"/>
    </w:rPr>
  </w:style>
  <w:style w:type="paragraph" w:styleId="895">
    <w:name w:val="No Spacing"/>
    <w:uiPriority w:val="1"/>
    <w:qFormat/>
    <w:rPr>
      <w:rFonts w:ascii="Calibri" w:hAnsi="Calibri" w:eastAsia="宋体" w:cs="Times New Roman"/>
      <w:lang w:val="en-US" w:eastAsia="zh-CN" w:bidi="ar-SA"/>
    </w:rPr>
  </w:style>
  <w:style w:type="character" w:styleId="896" w:customStyle="1">
    <w:name w:val="标题 字符1"/>
    <w:link w:val="847"/>
    <w:uiPriority w:val="10"/>
    <w:qFormat/>
    <w:rPr>
      <w:sz w:val="48"/>
      <w:szCs w:val="48"/>
    </w:rPr>
  </w:style>
  <w:style w:type="character" w:styleId="897" w:customStyle="1">
    <w:name w:val="副标题 字符"/>
    <w:link w:val="840"/>
    <w:uiPriority w:val="11"/>
    <w:qFormat/>
    <w:rPr>
      <w:sz w:val="24"/>
      <w:szCs w:val="24"/>
    </w:rPr>
  </w:style>
  <w:style w:type="paragraph" w:styleId="898">
    <w:name w:val="Quote"/>
    <w:basedOn w:val="816"/>
    <w:next w:val="816"/>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816"/>
    <w:next w:val="816"/>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页脚 字符1"/>
    <w:link w:val="836"/>
    <w:uiPriority w:val="99"/>
    <w:qFormat/>
  </w:style>
  <w:style w:type="table" w:styleId="9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脚注文本 字符1"/>
    <w:link w:val="841"/>
    <w:uiPriority w:val="99"/>
    <w:qFormat/>
    <w:rPr>
      <w:sz w:val="18"/>
    </w:rPr>
  </w:style>
  <w:style w:type="character" w:styleId="1010" w:customStyle="1">
    <w:name w:val="尾注文本 字符1"/>
    <w:link w:val="835"/>
    <w:uiPriority w:val="99"/>
    <w:qFormat/>
    <w:rPr>
      <w:sz w:val="20"/>
    </w:rPr>
  </w:style>
  <w:style w:type="paragraph" w:styleId="1011" w:customStyle="1">
    <w:name w:val="TOC 标题11"/>
    <w:uiPriority w:val="39"/>
    <w:unhideWhenUsed/>
    <w:qFormat/>
    <w:rPr>
      <w:rFonts w:ascii="Calibri" w:hAnsi="Calibri" w:eastAsia="宋体" w:cs="Times New Roman"/>
      <w:lang w:val="en-US" w:eastAsia="zh-CN" w:bidi="ar-SA"/>
    </w:rPr>
  </w:style>
  <w:style w:type="paragraph" w:styleId="1012" w:customStyle="1">
    <w:name w:val="标题 11"/>
    <w:basedOn w:val="816"/>
    <w:next w:val="816"/>
    <w:link w:val="1024"/>
    <w:uiPriority w:val="0"/>
    <w:qFormat/>
    <w:pPr>
      <w:jc w:val="center"/>
      <w:keepNext/>
      <w:outlineLvl w:val="0"/>
    </w:pPr>
    <w:rPr>
      <w:rFonts w:ascii="楷体_GB2312" w:hAnsi="Times New Roman" w:eastAsia="楷体_GB2312"/>
      <w:sz w:val="28"/>
      <w:szCs w:val="28"/>
    </w:rPr>
  </w:style>
  <w:style w:type="paragraph" w:styleId="1013" w:customStyle="1">
    <w:name w:val="标题 211"/>
    <w:basedOn w:val="816"/>
    <w:next w:val="1014"/>
    <w:link w:val="10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4" w:customStyle="1">
    <w:name w:val="正文缩进1"/>
    <w:basedOn w:val="816"/>
    <w:link w:val="1026"/>
    <w:uiPriority w:val="0"/>
    <w:qFormat/>
    <w:pPr>
      <w:ind w:firstLine="420"/>
    </w:pPr>
    <w:rPr>
      <w:szCs w:val="21"/>
    </w:rPr>
  </w:style>
  <w:style w:type="paragraph" w:styleId="1015" w:customStyle="1">
    <w:name w:val="标题 31"/>
    <w:basedOn w:val="816"/>
    <w:next w:val="1014"/>
    <w:link w:val="1027"/>
    <w:uiPriority w:val="0"/>
    <w:qFormat/>
    <w:pPr>
      <w:keepLines/>
      <w:keepNext/>
      <w:spacing w:before="260" w:after="260" w:line="416" w:lineRule="auto"/>
      <w:outlineLvl w:val="2"/>
    </w:pPr>
    <w:rPr>
      <w:rFonts w:ascii="Times New Roman" w:hAnsi="Times New Roman"/>
      <w:b/>
      <w:bCs/>
      <w:sz w:val="32"/>
      <w:szCs w:val="32"/>
    </w:rPr>
  </w:style>
  <w:style w:type="paragraph" w:styleId="1016" w:customStyle="1">
    <w:name w:val="标题 41"/>
    <w:basedOn w:val="816"/>
    <w:next w:val="1014"/>
    <w:link w:val="1028"/>
    <w:uiPriority w:val="0"/>
    <w:qFormat/>
    <w:pPr>
      <w:keepLines/>
      <w:keepNext/>
      <w:spacing w:before="280" w:after="290" w:line="376" w:lineRule="auto"/>
      <w:outlineLvl w:val="3"/>
    </w:pPr>
    <w:rPr>
      <w:rFonts w:ascii="Arial" w:hAnsi="Arial" w:eastAsia="黑体" w:cs="Arial"/>
      <w:b/>
      <w:bCs/>
      <w:sz w:val="28"/>
      <w:szCs w:val="28"/>
    </w:rPr>
  </w:style>
  <w:style w:type="paragraph" w:styleId="1017" w:customStyle="1">
    <w:name w:val="标题 51"/>
    <w:basedOn w:val="816"/>
    <w:next w:val="1014"/>
    <w:link w:val="1029"/>
    <w:uiPriority w:val="0"/>
    <w:qFormat/>
    <w:pPr>
      <w:keepNext/>
      <w:outlineLvl w:val="4"/>
    </w:pPr>
    <w:rPr>
      <w:rFonts w:ascii="宋体" w:hAnsi="Times New Roman"/>
      <w:color w:val="000000"/>
      <w:sz w:val="28"/>
      <w:szCs w:val="28"/>
    </w:rPr>
  </w:style>
  <w:style w:type="paragraph" w:styleId="1018" w:customStyle="1">
    <w:name w:val="标题 61"/>
    <w:basedOn w:val="816"/>
    <w:next w:val="816"/>
    <w:link w:val="10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9" w:customStyle="1">
    <w:name w:val="标题 71"/>
    <w:basedOn w:val="816"/>
    <w:next w:val="816"/>
    <w:link w:val="103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20" w:customStyle="1">
    <w:name w:val="标题 81"/>
    <w:basedOn w:val="816"/>
    <w:next w:val="816"/>
    <w:link w:val="10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1" w:customStyle="1">
    <w:name w:val="标题 91"/>
    <w:basedOn w:val="816"/>
    <w:next w:val="816"/>
    <w:link w:val="1033"/>
    <w:uiPriority w:val="0"/>
    <w:qFormat/>
    <w:pPr>
      <w:numPr>
        <w:ilvl w:val="8"/>
        <w:numId w:val="1"/>
      </w:numPr>
      <w:keepLines/>
      <w:keepNext/>
      <w:spacing w:before="240" w:after="64" w:line="320" w:lineRule="auto"/>
      <w:outlineLvl w:val="8"/>
    </w:pPr>
    <w:rPr>
      <w:rFonts w:ascii="Arial" w:hAnsi="Arial" w:eastAsia="黑体"/>
      <w:szCs w:val="21"/>
    </w:rPr>
  </w:style>
  <w:style w:type="character" w:styleId="1022" w:customStyle="1">
    <w:name w:val="默认段落字体1"/>
    <w:uiPriority w:val="1"/>
    <w:unhideWhenUsed/>
    <w:qFormat/>
  </w:style>
  <w:style w:type="table" w:styleId="1023" w:customStyle="1">
    <w:name w:val="普通表格1"/>
    <w:uiPriority w:val="99"/>
    <w:unhideWhenUsed/>
    <w:qFormat/>
    <w:tblPr>
      <w:tblCellMar>
        <w:left w:w="0" w:type="dxa"/>
        <w:top w:w="0" w:type="dxa"/>
        <w:right w:w="0" w:type="dxa"/>
        <w:bottom w:w="0" w:type="dxa"/>
      </w:tblCellMar>
    </w:tblPr>
  </w:style>
  <w:style w:type="character" w:styleId="1024" w:customStyle="1">
    <w:name w:val="标题 1 字符"/>
    <w:link w:val="1012"/>
    <w:uiPriority w:val="0"/>
    <w:qFormat/>
    <w:rPr>
      <w:rFonts w:ascii="楷体_GB2312" w:hAnsi="Times New Roman" w:eastAsia="楷体_GB2312" w:cs="Times New Roman"/>
      <w:sz w:val="28"/>
      <w:szCs w:val="28"/>
    </w:rPr>
  </w:style>
  <w:style w:type="character" w:styleId="1025" w:customStyle="1">
    <w:name w:val="标题 2 字符1"/>
    <w:link w:val="1013"/>
    <w:uiPriority w:val="0"/>
    <w:qFormat/>
    <w:rPr>
      <w:rFonts w:ascii="Arial" w:hAnsi="Arial" w:eastAsia="幼圆" w:cs="Arial"/>
      <w:b/>
      <w:bCs/>
      <w:sz w:val="44"/>
      <w:szCs w:val="44"/>
    </w:rPr>
  </w:style>
  <w:style w:type="character" w:styleId="1026" w:customStyle="1">
    <w:name w:val="正文缩进 字符"/>
    <w:link w:val="1014"/>
    <w:uiPriority w:val="0"/>
    <w:qFormat/>
    <w:rPr>
      <w:szCs w:val="21"/>
    </w:rPr>
  </w:style>
  <w:style w:type="character" w:styleId="1027" w:customStyle="1">
    <w:name w:val="标题 3 字符"/>
    <w:link w:val="1015"/>
    <w:uiPriority w:val="0"/>
    <w:qFormat/>
    <w:rPr>
      <w:rFonts w:ascii="Times New Roman" w:hAnsi="Times New Roman" w:eastAsia="宋体" w:cs="Times New Roman"/>
      <w:b/>
      <w:bCs/>
      <w:sz w:val="32"/>
      <w:szCs w:val="32"/>
    </w:rPr>
  </w:style>
  <w:style w:type="character" w:styleId="1028" w:customStyle="1">
    <w:name w:val="标题 4 字符1"/>
    <w:link w:val="1016"/>
    <w:uiPriority w:val="0"/>
    <w:qFormat/>
    <w:rPr>
      <w:rFonts w:ascii="Arial" w:hAnsi="Arial" w:eastAsia="黑体" w:cs="Arial"/>
      <w:b/>
      <w:bCs/>
      <w:sz w:val="28"/>
      <w:szCs w:val="28"/>
    </w:rPr>
  </w:style>
  <w:style w:type="character" w:styleId="1029" w:customStyle="1">
    <w:name w:val="标题 5 字符"/>
    <w:link w:val="1017"/>
    <w:uiPriority w:val="0"/>
    <w:qFormat/>
    <w:rPr>
      <w:rFonts w:ascii="宋体" w:hAnsi="Times New Roman" w:eastAsia="宋体" w:cs="Times New Roman"/>
      <w:color w:val="000000"/>
      <w:sz w:val="28"/>
      <w:szCs w:val="28"/>
    </w:rPr>
  </w:style>
  <w:style w:type="character" w:styleId="1030" w:customStyle="1">
    <w:name w:val="标题 6 字符"/>
    <w:link w:val="1018"/>
    <w:uiPriority w:val="0"/>
    <w:qFormat/>
    <w:rPr>
      <w:rFonts w:ascii="Arial" w:hAnsi="Arial" w:eastAsia="黑体" w:cs="Times New Roman"/>
      <w:b/>
      <w:bCs/>
      <w:sz w:val="24"/>
      <w:szCs w:val="24"/>
    </w:rPr>
  </w:style>
  <w:style w:type="character" w:styleId="1031" w:customStyle="1">
    <w:name w:val="标题 7 字符"/>
    <w:link w:val="1019"/>
    <w:uiPriority w:val="0"/>
    <w:qFormat/>
    <w:rPr>
      <w:rFonts w:ascii="Times New Roman" w:hAnsi="Times New Roman" w:eastAsia="宋体" w:cs="Times New Roman"/>
      <w:b/>
      <w:bCs/>
      <w:sz w:val="24"/>
      <w:szCs w:val="24"/>
    </w:rPr>
  </w:style>
  <w:style w:type="character" w:styleId="1032" w:customStyle="1">
    <w:name w:val="标题 8 字符"/>
    <w:link w:val="1020"/>
    <w:uiPriority w:val="0"/>
    <w:qFormat/>
    <w:rPr>
      <w:rFonts w:ascii="Arial" w:hAnsi="Arial" w:eastAsia="黑体" w:cs="Times New Roman"/>
      <w:sz w:val="24"/>
      <w:szCs w:val="24"/>
    </w:rPr>
  </w:style>
  <w:style w:type="character" w:styleId="1033" w:customStyle="1">
    <w:name w:val="标题 9 字符"/>
    <w:link w:val="1021"/>
    <w:uiPriority w:val="0"/>
    <w:qFormat/>
    <w:rPr>
      <w:rFonts w:ascii="Arial" w:hAnsi="Arial" w:eastAsia="黑体" w:cs="Times New Roman"/>
      <w:szCs w:val="21"/>
    </w:rPr>
  </w:style>
  <w:style w:type="paragraph" w:styleId="1034" w:customStyle="1">
    <w:name w:val="列表 31"/>
    <w:basedOn w:val="816"/>
    <w:uiPriority w:val="0"/>
    <w:qFormat/>
    <w:pPr>
      <w:ind w:left="100" w:hanging="200"/>
    </w:pPr>
    <w:rPr>
      <w:rFonts w:ascii="Times New Roman" w:hAnsi="Times New Roman"/>
      <w:szCs w:val="21"/>
    </w:rPr>
  </w:style>
  <w:style w:type="paragraph" w:styleId="1035" w:customStyle="1">
    <w:name w:val="文档结构图1"/>
    <w:basedOn w:val="816"/>
    <w:link w:val="1036"/>
    <w:uiPriority w:val="0"/>
    <w:qFormat/>
    <w:pPr>
      <w:shd w:val="clear" w:color="auto" w:fill="000080"/>
    </w:pPr>
    <w:rPr>
      <w:rFonts w:ascii="Times New Roman" w:hAnsi="Times New Roman"/>
      <w:szCs w:val="21"/>
    </w:rPr>
  </w:style>
  <w:style w:type="character" w:styleId="1036" w:customStyle="1">
    <w:name w:val="文档结构图 字符"/>
    <w:link w:val="1035"/>
    <w:uiPriority w:val="0"/>
    <w:semiHidden/>
    <w:qFormat/>
    <w:rPr>
      <w:rFonts w:ascii="Times New Roman" w:hAnsi="Times New Roman" w:eastAsia="宋体" w:cs="Times New Roman"/>
      <w:szCs w:val="21"/>
      <w:shd w:val="clear" w:color="auto" w:fill="000080"/>
    </w:rPr>
  </w:style>
  <w:style w:type="paragraph" w:styleId="1037" w:customStyle="1">
    <w:name w:val="批注文字11"/>
    <w:basedOn w:val="816"/>
    <w:link w:val="1038"/>
    <w:uiPriority w:val="99"/>
    <w:unhideWhenUsed/>
    <w:qFormat/>
    <w:pPr>
      <w:jc w:val="left"/>
    </w:pPr>
  </w:style>
  <w:style w:type="character" w:styleId="1038" w:customStyle="1">
    <w:name w:val="批注文字 字符1"/>
    <w:link w:val="1037"/>
    <w:uiPriority w:val="99"/>
    <w:semiHidden/>
    <w:qFormat/>
  </w:style>
  <w:style w:type="paragraph" w:styleId="1039" w:customStyle="1">
    <w:name w:val="正文文本 31"/>
    <w:basedOn w:val="816"/>
    <w:link w:val="1040"/>
    <w:uiPriority w:val="0"/>
    <w:qFormat/>
    <w:rPr>
      <w:rFonts w:ascii="仿宋_GB2312" w:hAnsi="Arial" w:eastAsia="仿宋_GB2312"/>
      <w:sz w:val="32"/>
      <w:szCs w:val="32"/>
    </w:rPr>
  </w:style>
  <w:style w:type="character" w:styleId="1040" w:customStyle="1">
    <w:name w:val="正文文本 3 字符"/>
    <w:link w:val="1039"/>
    <w:uiPriority w:val="0"/>
    <w:qFormat/>
    <w:rPr>
      <w:rFonts w:ascii="仿宋_GB2312" w:hAnsi="Arial" w:eastAsia="仿宋_GB2312" w:cs="Times New Roman"/>
      <w:sz w:val="32"/>
      <w:szCs w:val="32"/>
    </w:rPr>
  </w:style>
  <w:style w:type="paragraph" w:styleId="1041" w:customStyle="1">
    <w:name w:val="正文文本1"/>
    <w:basedOn w:val="816"/>
    <w:link w:val="1042"/>
    <w:uiPriority w:val="0"/>
    <w:qFormat/>
    <w:rPr>
      <w:rFonts w:ascii="楷体_GB2312" w:hAnsi="Arial" w:eastAsia="楷体_GB2312"/>
      <w:sz w:val="28"/>
      <w:szCs w:val="28"/>
    </w:rPr>
  </w:style>
  <w:style w:type="character" w:styleId="1042" w:customStyle="1">
    <w:name w:val="正文文本 字符"/>
    <w:link w:val="1041"/>
    <w:uiPriority w:val="0"/>
    <w:qFormat/>
    <w:rPr>
      <w:rFonts w:ascii="楷体_GB2312" w:hAnsi="Arial" w:eastAsia="楷体_GB2312" w:cs="Times New Roman"/>
      <w:sz w:val="28"/>
      <w:szCs w:val="28"/>
    </w:rPr>
  </w:style>
  <w:style w:type="paragraph" w:styleId="1043" w:customStyle="1">
    <w:name w:val="正文文本缩进1"/>
    <w:basedOn w:val="816"/>
    <w:link w:val="1044"/>
    <w:uiPriority w:val="0"/>
    <w:unhideWhenUsed/>
    <w:qFormat/>
    <w:pPr>
      <w:ind w:left="420"/>
      <w:spacing w:after="120"/>
    </w:pPr>
  </w:style>
  <w:style w:type="character" w:styleId="1044" w:customStyle="1">
    <w:name w:val="正文文本缩进 字符"/>
    <w:link w:val="1043"/>
    <w:uiPriority w:val="99"/>
    <w:semiHidden/>
    <w:qFormat/>
  </w:style>
  <w:style w:type="paragraph" w:styleId="1045" w:customStyle="1">
    <w:name w:val="列表 21"/>
    <w:basedOn w:val="816"/>
    <w:uiPriority w:val="0"/>
    <w:qFormat/>
    <w:pPr>
      <w:ind w:left="100" w:hanging="200"/>
    </w:pPr>
    <w:rPr>
      <w:rFonts w:ascii="Times New Roman" w:hAnsi="Times New Roman"/>
      <w:szCs w:val="21"/>
    </w:rPr>
  </w:style>
  <w:style w:type="paragraph" w:styleId="1046" w:customStyle="1">
    <w:name w:val="纯文本1"/>
    <w:basedOn w:val="816"/>
    <w:link w:val="1047"/>
    <w:uiPriority w:val="0"/>
    <w:qFormat/>
    <w:rPr>
      <w:rFonts w:ascii="宋体" w:hAnsi="Courier New" w:cs="Courier New"/>
      <w:szCs w:val="21"/>
    </w:rPr>
  </w:style>
  <w:style w:type="character" w:styleId="1047" w:customStyle="1">
    <w:name w:val="纯文本 字符"/>
    <w:link w:val="1046"/>
    <w:uiPriority w:val="0"/>
    <w:qFormat/>
    <w:rPr>
      <w:rFonts w:ascii="宋体" w:hAnsi="Courier New" w:eastAsia="宋体" w:cs="Courier New"/>
      <w:szCs w:val="21"/>
    </w:rPr>
  </w:style>
  <w:style w:type="paragraph" w:styleId="1048" w:customStyle="1">
    <w:name w:val="日期1"/>
    <w:basedOn w:val="816"/>
    <w:next w:val="816"/>
    <w:link w:val="1049"/>
    <w:uiPriority w:val="0"/>
    <w:qFormat/>
    <w:rPr>
      <w:rFonts w:ascii="Times New Roman" w:hAnsi="Times New Roman"/>
      <w:sz w:val="24"/>
      <w:szCs w:val="24"/>
    </w:rPr>
  </w:style>
  <w:style w:type="character" w:styleId="1049" w:customStyle="1">
    <w:name w:val="日期 字符"/>
    <w:link w:val="1048"/>
    <w:uiPriority w:val="0"/>
    <w:qFormat/>
    <w:rPr>
      <w:rFonts w:ascii="Times New Roman" w:hAnsi="Times New Roman" w:eastAsia="宋体" w:cs="Times New Roman"/>
      <w:sz w:val="24"/>
      <w:szCs w:val="24"/>
    </w:rPr>
  </w:style>
  <w:style w:type="paragraph" w:styleId="1050" w:customStyle="1">
    <w:name w:val="正文文本缩进 21"/>
    <w:basedOn w:val="816"/>
    <w:link w:val="1051"/>
    <w:uiPriority w:val="0"/>
    <w:qFormat/>
    <w:pPr>
      <w:ind w:left="630" w:firstLine="645"/>
    </w:pPr>
    <w:rPr>
      <w:rFonts w:ascii="Arial" w:hAnsi="Arial" w:eastAsia="仿宋_GB2312" w:cs="Arial"/>
      <w:sz w:val="32"/>
      <w:szCs w:val="32"/>
    </w:rPr>
  </w:style>
  <w:style w:type="character" w:styleId="1051" w:customStyle="1">
    <w:name w:val="正文文本缩进 2 字符"/>
    <w:link w:val="1050"/>
    <w:uiPriority w:val="0"/>
    <w:qFormat/>
    <w:rPr>
      <w:rFonts w:ascii="Arial" w:hAnsi="Arial" w:eastAsia="仿宋_GB2312" w:cs="Arial"/>
      <w:sz w:val="32"/>
      <w:szCs w:val="32"/>
    </w:rPr>
  </w:style>
  <w:style w:type="paragraph" w:styleId="1052" w:customStyle="1">
    <w:name w:val="批注框文本1"/>
    <w:basedOn w:val="816"/>
    <w:link w:val="1053"/>
    <w:uiPriority w:val="0"/>
    <w:qFormat/>
    <w:rPr>
      <w:rFonts w:ascii="Times New Roman" w:hAnsi="Times New Roman"/>
      <w:sz w:val="18"/>
      <w:szCs w:val="18"/>
    </w:rPr>
  </w:style>
  <w:style w:type="character" w:styleId="1053" w:customStyle="1">
    <w:name w:val="批注框文本 字符"/>
    <w:link w:val="1052"/>
    <w:uiPriority w:val="0"/>
    <w:semiHidden/>
    <w:qFormat/>
    <w:rPr>
      <w:rFonts w:ascii="Times New Roman" w:hAnsi="Times New Roman" w:eastAsia="宋体" w:cs="Times New Roman"/>
      <w:sz w:val="18"/>
      <w:szCs w:val="18"/>
    </w:rPr>
  </w:style>
  <w:style w:type="paragraph" w:styleId="1054" w:customStyle="1">
    <w:name w:val="页脚1"/>
    <w:basedOn w:val="816"/>
    <w:link w:val="1055"/>
    <w:uiPriority w:val="0"/>
    <w:qFormat/>
    <w:pPr>
      <w:jc w:val="left"/>
      <w:tabs>
        <w:tab w:val="center" w:pos="4153" w:leader="none"/>
        <w:tab w:val="right" w:pos="8306" w:leader="none"/>
      </w:tabs>
    </w:pPr>
    <w:rPr>
      <w:rFonts w:ascii="Times New Roman" w:hAnsi="Times New Roman"/>
      <w:sz w:val="18"/>
      <w:szCs w:val="18"/>
    </w:rPr>
  </w:style>
  <w:style w:type="character" w:styleId="1055" w:customStyle="1">
    <w:name w:val="页脚 字符"/>
    <w:link w:val="1054"/>
    <w:uiPriority w:val="0"/>
    <w:qFormat/>
    <w:rPr>
      <w:rFonts w:ascii="Times New Roman" w:hAnsi="Times New Roman" w:eastAsia="宋体" w:cs="Times New Roman"/>
      <w:sz w:val="18"/>
      <w:szCs w:val="18"/>
    </w:rPr>
  </w:style>
  <w:style w:type="paragraph" w:styleId="1056" w:customStyle="1">
    <w:name w:val="页眉1"/>
    <w:basedOn w:val="816"/>
    <w:link w:val="105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57" w:customStyle="1">
    <w:name w:val="页眉 字符"/>
    <w:link w:val="1056"/>
    <w:uiPriority w:val="0"/>
    <w:qFormat/>
    <w:rPr>
      <w:rFonts w:ascii="Times New Roman" w:hAnsi="Times New Roman" w:eastAsia="宋体" w:cs="Times New Roman"/>
      <w:sz w:val="18"/>
      <w:szCs w:val="18"/>
    </w:rPr>
  </w:style>
  <w:style w:type="paragraph" w:styleId="1058" w:customStyle="1">
    <w:name w:val="列表1"/>
    <w:basedOn w:val="816"/>
    <w:uiPriority w:val="0"/>
    <w:qFormat/>
    <w:pPr>
      <w:ind w:left="200" w:hanging="200"/>
    </w:pPr>
    <w:rPr>
      <w:rFonts w:ascii="Times New Roman" w:hAnsi="Times New Roman"/>
      <w:szCs w:val="21"/>
    </w:rPr>
  </w:style>
  <w:style w:type="paragraph" w:styleId="1059" w:customStyle="1">
    <w:name w:val="正文文本缩进 31"/>
    <w:basedOn w:val="816"/>
    <w:link w:val="1060"/>
    <w:uiPriority w:val="0"/>
    <w:qFormat/>
    <w:pPr>
      <w:ind w:left="645" w:firstLine="645"/>
    </w:pPr>
    <w:rPr>
      <w:rFonts w:ascii="Arial" w:hAnsi="Arial" w:eastAsia="仿宋_GB2312" w:cs="Arial"/>
      <w:color w:val="ffff00"/>
      <w:sz w:val="32"/>
      <w:szCs w:val="32"/>
    </w:rPr>
  </w:style>
  <w:style w:type="character" w:styleId="1060" w:customStyle="1">
    <w:name w:val="正文文本缩进 3 字符"/>
    <w:link w:val="1059"/>
    <w:uiPriority w:val="0"/>
    <w:qFormat/>
    <w:rPr>
      <w:rFonts w:ascii="Arial" w:hAnsi="Arial" w:eastAsia="仿宋_GB2312" w:cs="Arial"/>
      <w:color w:val="ffff00"/>
      <w:sz w:val="32"/>
      <w:szCs w:val="32"/>
    </w:rPr>
  </w:style>
  <w:style w:type="paragraph" w:styleId="1061" w:customStyle="1">
    <w:name w:val="图表目录11"/>
    <w:basedOn w:val="816"/>
    <w:next w:val="816"/>
    <w:uiPriority w:val="0"/>
    <w:qFormat/>
    <w:pPr>
      <w:ind w:left="840" w:hanging="420"/>
    </w:pPr>
    <w:rPr>
      <w:rFonts w:ascii="Times New Roman" w:hAnsi="Times New Roman"/>
      <w:szCs w:val="21"/>
    </w:rPr>
  </w:style>
  <w:style w:type="paragraph" w:styleId="1062" w:customStyle="1">
    <w:name w:val="正文文本 21"/>
    <w:basedOn w:val="816"/>
    <w:link w:val="1063"/>
    <w:uiPriority w:val="0"/>
    <w:qFormat/>
    <w:pPr>
      <w:jc w:val="center"/>
      <w:widowControl/>
    </w:pPr>
    <w:rPr>
      <w:rFonts w:ascii="楷体_GB2312" w:hAnsi="Times New Roman" w:eastAsia="楷体_GB2312"/>
      <w:sz w:val="28"/>
      <w:szCs w:val="28"/>
    </w:rPr>
  </w:style>
  <w:style w:type="character" w:styleId="1063" w:customStyle="1">
    <w:name w:val="正文文本 2 字符"/>
    <w:link w:val="1062"/>
    <w:uiPriority w:val="0"/>
    <w:qFormat/>
    <w:rPr>
      <w:rFonts w:ascii="楷体_GB2312" w:hAnsi="Times New Roman" w:eastAsia="楷体_GB2312" w:cs="Times New Roman"/>
      <w:sz w:val="28"/>
      <w:szCs w:val="28"/>
    </w:rPr>
  </w:style>
  <w:style w:type="paragraph" w:styleId="1064" w:customStyle="1">
    <w:name w:val="普通(网站)1"/>
    <w:basedOn w:val="816"/>
    <w:uiPriority w:val="0"/>
    <w:qFormat/>
    <w:pPr>
      <w:jc w:val="left"/>
      <w:spacing w:before="100" w:beforeAutospacing="1" w:after="100" w:afterAutospacing="1"/>
      <w:widowControl/>
    </w:pPr>
    <w:rPr>
      <w:rFonts w:ascii="宋体" w:hAnsi="宋体" w:cs="宋体"/>
      <w:sz w:val="24"/>
      <w:szCs w:val="24"/>
    </w:rPr>
  </w:style>
  <w:style w:type="paragraph" w:styleId="1065" w:customStyle="1">
    <w:name w:val="索引 11"/>
    <w:basedOn w:val="816"/>
    <w:next w:val="816"/>
    <w:uiPriority w:val="0"/>
    <w:qFormat/>
    <w:pPr>
      <w:spacing w:line="240" w:lineRule="atLeast"/>
    </w:pPr>
    <w:rPr>
      <w:rFonts w:ascii="Times New Roman" w:hAnsi="Times New Roman"/>
      <w:b/>
      <w:bCs/>
      <w:szCs w:val="21"/>
    </w:rPr>
  </w:style>
  <w:style w:type="paragraph" w:styleId="1066" w:customStyle="1">
    <w:name w:val="批注主题1"/>
    <w:basedOn w:val="1037"/>
    <w:next w:val="1037"/>
    <w:link w:val="1067"/>
    <w:uiPriority w:val="0"/>
    <w:qFormat/>
    <w:rPr>
      <w:rFonts w:ascii="Times New Roman" w:hAnsi="Times New Roman"/>
      <w:b/>
      <w:bCs/>
      <w:szCs w:val="21"/>
    </w:rPr>
  </w:style>
  <w:style w:type="character" w:styleId="1067" w:customStyle="1">
    <w:name w:val="批注主题 字符"/>
    <w:link w:val="1066"/>
    <w:uiPriority w:val="0"/>
    <w:semiHidden/>
    <w:qFormat/>
    <w:rPr>
      <w:rFonts w:ascii="Times New Roman" w:hAnsi="Times New Roman" w:eastAsia="宋体" w:cs="Times New Roman"/>
      <w:b/>
      <w:bCs/>
      <w:szCs w:val="21"/>
    </w:rPr>
  </w:style>
  <w:style w:type="paragraph" w:styleId="1068" w:customStyle="1">
    <w:name w:val="正文文本首行缩进1"/>
    <w:basedOn w:val="816"/>
    <w:link w:val="1069"/>
    <w:uiPriority w:val="0"/>
    <w:qFormat/>
    <w:pPr>
      <w:ind w:firstLine="200"/>
      <w:spacing w:line="360" w:lineRule="auto"/>
    </w:pPr>
    <w:rPr>
      <w:rFonts w:ascii="仿宋_GB2312" w:hAnsi="Times New Roman" w:eastAsia="仿宋_GB2312"/>
      <w:sz w:val="30"/>
      <w:szCs w:val="30"/>
    </w:rPr>
  </w:style>
  <w:style w:type="character" w:styleId="1069" w:customStyle="1">
    <w:name w:val="正文文本首行缩进 字符"/>
    <w:link w:val="1068"/>
    <w:uiPriority w:val="0"/>
    <w:qFormat/>
    <w:rPr>
      <w:rFonts w:ascii="仿宋_GB2312" w:hAnsi="Times New Roman" w:eastAsia="仿宋_GB2312" w:cs="Times New Roman"/>
      <w:sz w:val="30"/>
      <w:szCs w:val="30"/>
    </w:rPr>
  </w:style>
  <w:style w:type="paragraph" w:styleId="1070" w:customStyle="1">
    <w:name w:val="正文文本首行缩进 21"/>
    <w:basedOn w:val="1043"/>
    <w:link w:val="1071"/>
    <w:uiPriority w:val="0"/>
    <w:qFormat/>
    <w:pPr>
      <w:ind w:left="0" w:firstLine="420"/>
      <w:spacing w:after="0" w:line="360" w:lineRule="auto"/>
    </w:pPr>
    <w:rPr>
      <w:rFonts w:ascii="宋体" w:hAnsi="宋体"/>
      <w:szCs w:val="20"/>
    </w:rPr>
  </w:style>
  <w:style w:type="character" w:styleId="1071" w:customStyle="1">
    <w:name w:val="正文文本首行缩进 2 字符"/>
    <w:link w:val="1070"/>
    <w:uiPriority w:val="0"/>
    <w:qFormat/>
    <w:rPr>
      <w:rFonts w:ascii="宋体" w:hAnsi="宋体" w:eastAsia="宋体" w:cs="Times New Roman"/>
      <w:szCs w:val="20"/>
    </w:rPr>
  </w:style>
  <w:style w:type="table" w:styleId="1072" w:customStyle="1">
    <w:name w:val="网格型1"/>
    <w:basedOn w:val="1023"/>
    <w:uiPriority w:val="0"/>
    <w:qFormat/>
    <w:pPr>
      <w:jc w:val="both"/>
      <w:widowControl w:val="off"/>
    </w:pPr>
    <w:tblPr/>
  </w:style>
  <w:style w:type="character" w:styleId="1073" w:customStyle="1">
    <w:name w:val="要点1"/>
    <w:uiPriority w:val="0"/>
    <w:qFormat/>
    <w:rPr>
      <w:b/>
      <w:bCs/>
    </w:rPr>
  </w:style>
  <w:style w:type="character" w:styleId="1074" w:customStyle="1">
    <w:name w:val="页码1"/>
    <w:uiPriority w:val="0"/>
    <w:qFormat/>
  </w:style>
  <w:style w:type="character" w:styleId="1075" w:customStyle="1">
    <w:name w:val="访问过的超链接1"/>
    <w:uiPriority w:val="0"/>
    <w:qFormat/>
    <w:rPr>
      <w:color w:val="800080"/>
      <w:u w:val="single"/>
    </w:rPr>
  </w:style>
  <w:style w:type="character" w:styleId="1076" w:customStyle="1">
    <w:name w:val="超链接1"/>
    <w:uiPriority w:val="99"/>
    <w:qFormat/>
    <w:rPr>
      <w:color w:val="0000ff"/>
      <w:u w:val="single"/>
    </w:rPr>
  </w:style>
  <w:style w:type="character" w:styleId="1077" w:customStyle="1">
    <w:name w:val="批注引用1"/>
    <w:uiPriority w:val="0"/>
    <w:qFormat/>
    <w:rPr>
      <w:sz w:val="21"/>
      <w:szCs w:val="21"/>
    </w:rPr>
  </w:style>
  <w:style w:type="character" w:styleId="1078" w:customStyle="1">
    <w:name w:val="font5 Char"/>
    <w:uiPriority w:val="0"/>
    <w:qFormat/>
    <w:rPr>
      <w:rFonts w:ascii="宋体" w:hAnsi="宋体" w:eastAsia="宋体"/>
      <w:sz w:val="28"/>
      <w:szCs w:val="28"/>
      <w:lang w:val="en-US" w:eastAsia="zh-CN" w:bidi="ar-SA"/>
    </w:rPr>
  </w:style>
  <w:style w:type="character" w:styleId="1079" w:customStyle="1">
    <w:name w:val="二级目录 Char"/>
    <w:link w:val="1080"/>
    <w:uiPriority w:val="0"/>
    <w:qFormat/>
    <w:rPr>
      <w:b/>
      <w:sz w:val="30"/>
      <w:szCs w:val="28"/>
    </w:rPr>
  </w:style>
  <w:style w:type="paragraph" w:styleId="1080" w:customStyle="1">
    <w:name w:val="二级目录"/>
    <w:next w:val="816"/>
    <w:link w:val="107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81" w:customStyle="1">
    <w:name w:val="列出段落 Char"/>
    <w:link w:val="1082"/>
    <w:uiPriority w:val="0"/>
    <w:qFormat/>
    <w:rPr>
      <w:rFonts w:ascii="Calibri" w:hAnsi="Calibri"/>
      <w:sz w:val="24"/>
      <w:szCs w:val="24"/>
      <w:lang w:eastAsia="en-US" w:bidi="en-US"/>
    </w:rPr>
  </w:style>
  <w:style w:type="paragraph" w:styleId="1082" w:customStyle="1">
    <w:name w:val="列出段落1"/>
    <w:basedOn w:val="816"/>
    <w:link w:val="1081"/>
    <w:uiPriority w:val="0"/>
    <w:qFormat/>
    <w:pPr>
      <w:contextualSpacing/>
      <w:ind w:left="720"/>
      <w:jc w:val="left"/>
      <w:widowControl/>
    </w:pPr>
    <w:rPr>
      <w:sz w:val="24"/>
      <w:szCs w:val="24"/>
      <w:lang w:eastAsia="en-US" w:bidi="en-US"/>
    </w:rPr>
  </w:style>
  <w:style w:type="paragraph" w:styleId="1083" w:customStyle="1">
    <w:name w:val="Body Text(ch)"/>
    <w:basedOn w:val="816"/>
    <w:next w:val="1041"/>
    <w:uiPriority w:val="0"/>
    <w:qFormat/>
    <w:pPr>
      <w:spacing w:after="120"/>
    </w:pPr>
    <w:rPr>
      <w:rFonts w:ascii="宋体" w:hAnsi="Arial"/>
      <w:bCs/>
      <w:iCs/>
      <w:szCs w:val="24"/>
    </w:rPr>
  </w:style>
  <w:style w:type="paragraph" w:styleId="1084" w:customStyle="1">
    <w:name w:val="xl2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6" w:customStyle="1">
    <w:name w:val="Char"/>
    <w:basedOn w:val="816"/>
    <w:uiPriority w:val="0"/>
    <w:qFormat/>
    <w:pPr>
      <w:ind w:firstLine="200"/>
      <w:tabs>
        <w:tab w:val="left" w:pos="360" w:leader="none"/>
      </w:tabs>
    </w:pPr>
    <w:rPr>
      <w:rFonts w:ascii="Times New Roman" w:hAnsi="Times New Roman"/>
      <w:sz w:val="28"/>
      <w:szCs w:val="30"/>
    </w:rPr>
  </w:style>
  <w:style w:type="paragraph" w:styleId="1087" w:customStyle="1">
    <w:name w:val="Char111"/>
    <w:basedOn w:val="1035"/>
    <w:uiPriority w:val="0"/>
    <w:qFormat/>
    <w:rPr>
      <w:rFonts w:ascii="Tahoma" w:hAnsi="Tahoma"/>
      <w:sz w:val="24"/>
      <w:szCs w:val="24"/>
    </w:rPr>
  </w:style>
  <w:style w:type="paragraph" w:styleId="108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89" w:customStyle="1">
    <w:name w:val="table_lines"/>
    <w:basedOn w:val="816"/>
    <w:uiPriority w:val="0"/>
    <w:qFormat/>
    <w:pPr>
      <w:jc w:val="left"/>
      <w:widowControl/>
    </w:pPr>
    <w:rPr>
      <w:rFonts w:ascii="Times New Roman" w:hAnsi="Times New Roman"/>
      <w:sz w:val="20"/>
      <w:szCs w:val="20"/>
      <w:lang w:val="de-DE" w:eastAsia="de-DE"/>
    </w:rPr>
  </w:style>
  <w:style w:type="paragraph" w:styleId="109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1" w:customStyle="1">
    <w:name w:val="font7"/>
    <w:basedOn w:val="816"/>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Char Char Char Char"/>
    <w:basedOn w:val="1035"/>
    <w:uiPriority w:val="0"/>
    <w:qFormat/>
    <w:pPr>
      <w:spacing w:line="360" w:lineRule="auto"/>
    </w:pPr>
    <w:rPr>
      <w:rFonts w:ascii="Tahoma" w:hAnsi="Tahoma"/>
      <w:sz w:val="24"/>
      <w:szCs w:val="24"/>
    </w:rPr>
  </w:style>
  <w:style w:type="paragraph" w:styleId="1093" w:customStyle="1">
    <w:name w:val="列表段落1"/>
    <w:basedOn w:val="816"/>
    <w:uiPriority w:val="0"/>
    <w:qFormat/>
    <w:pPr>
      <w:contextualSpacing/>
      <w:ind w:left="720"/>
      <w:jc w:val="left"/>
      <w:widowControl/>
    </w:pPr>
    <w:rPr>
      <w:sz w:val="24"/>
      <w:szCs w:val="24"/>
      <w:lang w:eastAsia="en-US" w:bidi="en-US"/>
    </w:rPr>
  </w:style>
  <w:style w:type="paragraph" w:styleId="1094" w:customStyle="1">
    <w:name w:val="4"/>
    <w:basedOn w:val="816"/>
    <w:next w:val="1059"/>
    <w:uiPriority w:val="0"/>
    <w:qFormat/>
    <w:pPr>
      <w:ind w:firstLine="420"/>
      <w:spacing w:line="360" w:lineRule="auto"/>
    </w:pPr>
    <w:rPr>
      <w:rFonts w:ascii="Times New Roman" w:hAnsi="Times New Roman"/>
      <w:color w:val="ff0000"/>
      <w:sz w:val="24"/>
      <w:szCs w:val="24"/>
    </w:rPr>
  </w:style>
  <w:style w:type="paragraph" w:styleId="1095" w:customStyle="1">
    <w:name w:val="普通 (Web)"/>
    <w:basedOn w:val="816"/>
    <w:uiPriority w:val="0"/>
    <w:qFormat/>
    <w:pPr>
      <w:jc w:val="left"/>
      <w:spacing w:before="100" w:beforeAutospacing="1" w:after="100" w:afterAutospacing="1"/>
      <w:widowControl/>
    </w:pPr>
    <w:rPr>
      <w:rFonts w:ascii="宋体" w:hAnsi="宋体"/>
      <w:sz w:val="24"/>
      <w:szCs w:val="24"/>
    </w:rPr>
  </w:style>
  <w:style w:type="paragraph" w:styleId="1096" w:customStyle="1">
    <w:name w:val="Char Char Char Char Char Char Char Char Char Char"/>
    <w:basedOn w:val="816"/>
    <w:uiPriority w:val="0"/>
    <w:qFormat/>
    <w:pPr>
      <w:spacing w:line="360" w:lineRule="auto"/>
    </w:pPr>
    <w:rPr>
      <w:rFonts w:ascii="Times New Roman" w:hAnsi="Times New Roman"/>
      <w:sz w:val="24"/>
      <w:szCs w:val="20"/>
    </w:rPr>
  </w:style>
  <w:style w:type="paragraph" w:styleId="1097" w:customStyle="1">
    <w:name w:val="样式1"/>
    <w:basedOn w:val="816"/>
    <w:uiPriority w:val="0"/>
    <w:qFormat/>
    <w:pPr>
      <w:numPr>
        <w:ilvl w:val="0"/>
        <w:numId w:val="3"/>
      </w:numPr>
    </w:pPr>
    <w:rPr>
      <w:rFonts w:ascii="宋体" w:hAnsi="宋体"/>
      <w:szCs w:val="21"/>
    </w:rPr>
  </w:style>
  <w:style w:type="paragraph" w:styleId="1098" w:customStyle="1">
    <w:name w:val="font6"/>
    <w:basedOn w:val="816"/>
    <w:uiPriority w:val="0"/>
    <w:qFormat/>
    <w:pPr>
      <w:jc w:val="left"/>
      <w:spacing w:before="100" w:beforeAutospacing="1" w:after="100" w:afterAutospacing="1"/>
      <w:widowControl/>
    </w:pPr>
    <w:rPr>
      <w:rFonts w:hint="eastAsia" w:ascii="宋体" w:hAnsi="宋体"/>
      <w:sz w:val="28"/>
      <w:szCs w:val="28"/>
      <w:u w:val="single"/>
    </w:rPr>
  </w:style>
  <w:style w:type="paragraph" w:styleId="1099" w:customStyle="1">
    <w:name w:val="xl25"/>
    <w:basedOn w:val="8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01" w:customStyle="1">
    <w:name w:val="标题3"/>
    <w:basedOn w:val="816"/>
    <w:next w:val="816"/>
    <w:uiPriority w:val="0"/>
    <w:qFormat/>
    <w:pPr>
      <w:ind w:firstLine="624"/>
      <w:spacing w:line="590" w:lineRule="atLeast"/>
    </w:pPr>
    <w:rPr>
      <w:rFonts w:ascii="方正黑体_GBK" w:hAnsi="Times New Roman" w:eastAsia="方正黑体_GBK"/>
      <w:sz w:val="32"/>
      <w:szCs w:val="32"/>
    </w:rPr>
  </w:style>
  <w:style w:type="paragraph" w:styleId="1102" w:customStyle="1">
    <w:name w:val="xl24"/>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9"/>
    <w:basedOn w:val="8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4" w:customStyle="1">
    <w:name w:val="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105"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6" w:customStyle="1">
    <w:name w:val="Char 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107" w:customStyle="1">
    <w:name w:val="xl30"/>
    <w:basedOn w:val="816"/>
    <w:uiPriority w:val="0"/>
    <w:qFormat/>
    <w:pPr>
      <w:jc w:val="center"/>
      <w:spacing w:before="100" w:beforeAutospacing="1" w:after="100" w:afterAutospacing="1"/>
      <w:widowControl/>
    </w:pPr>
    <w:rPr>
      <w:rFonts w:ascii="宋体" w:hAnsi="宋体"/>
      <w:b/>
      <w:bCs/>
      <w:sz w:val="36"/>
      <w:szCs w:val="36"/>
    </w:rPr>
  </w:style>
  <w:style w:type="paragraph" w:styleId="1108" w:customStyle="1">
    <w:name w:val="Char Char Char Char11"/>
    <w:basedOn w:val="1035"/>
    <w:uiPriority w:val="0"/>
    <w:qFormat/>
    <w:pPr>
      <w:spacing w:line="360" w:lineRule="auto"/>
    </w:pPr>
    <w:rPr>
      <w:rFonts w:ascii="Tahoma" w:hAnsi="Tahoma"/>
      <w:sz w:val="24"/>
      <w:szCs w:val="24"/>
    </w:rPr>
  </w:style>
  <w:style w:type="paragraph" w:styleId="1109" w:customStyle="1">
    <w:name w:val="table_1stline"/>
    <w:basedOn w:val="816"/>
    <w:uiPriority w:val="0"/>
    <w:qFormat/>
    <w:pPr>
      <w:jc w:val="left"/>
      <w:spacing w:before="120"/>
      <w:widowControl/>
    </w:pPr>
    <w:rPr>
      <w:rFonts w:ascii="Times New Roman" w:hAnsi="Times New Roman"/>
      <w:bCs/>
      <w:sz w:val="20"/>
      <w:szCs w:val="20"/>
      <w:lang w:val="de-DE" w:eastAsia="de-DE"/>
    </w:rPr>
  </w:style>
  <w:style w:type="paragraph" w:styleId="1110" w:customStyle="1">
    <w:name w:val="font5"/>
    <w:basedOn w:val="816"/>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标题1"/>
    <w:basedOn w:val="816"/>
    <w:next w:val="81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2" w:customStyle="1">
    <w:name w:val="修订1"/>
    <w:uiPriority w:val="0"/>
    <w:qFormat/>
    <w:rPr>
      <w:rFonts w:ascii="Times New Roman" w:hAnsi="Times New Roman" w:eastAsia="宋体" w:cs="Times New Roman"/>
      <w:sz w:val="21"/>
      <w:szCs w:val="21"/>
      <w:lang w:val="en-US" w:eastAsia="zh-CN" w:bidi="ar-SA"/>
    </w:rPr>
  </w:style>
  <w:style w:type="paragraph" w:styleId="1113" w:customStyle="1">
    <w:name w:val="无间隔1"/>
    <w:link w:val="1366"/>
    <w:uiPriority w:val="0"/>
    <w:qFormat/>
    <w:pPr>
      <w:jc w:val="both"/>
      <w:widowControl w:val="off"/>
    </w:pPr>
    <w:rPr>
      <w:rFonts w:ascii="Times New Roman" w:hAnsi="Times New Roman" w:eastAsia="宋体" w:cs="Times New Roman"/>
      <w:sz w:val="21"/>
      <w:szCs w:val="21"/>
      <w:lang w:val="en-US" w:eastAsia="zh-CN" w:bidi="ar-SA"/>
    </w:rPr>
  </w:style>
  <w:style w:type="paragraph" w:styleId="1114" w:customStyle="1">
    <w:name w:val="标题 21"/>
    <w:basedOn w:val="816"/>
    <w:next w:val="816"/>
    <w:link w:val="1115"/>
    <w:uiPriority w:val="0"/>
    <w:qFormat/>
    <w:pPr>
      <w:keepLines/>
      <w:keepNext/>
      <w:spacing w:before="260" w:after="260" w:line="413" w:lineRule="auto"/>
      <w:outlineLvl w:val="1"/>
    </w:pPr>
    <w:rPr>
      <w:rFonts w:ascii="Arial" w:hAnsi="Arial" w:eastAsia="黑体"/>
      <w:b/>
      <w:sz w:val="32"/>
      <w:szCs w:val="20"/>
    </w:rPr>
  </w:style>
  <w:style w:type="character" w:styleId="1115" w:customStyle="1">
    <w:name w:val="标题 2 字符"/>
    <w:link w:val="1114"/>
    <w:uiPriority w:val="0"/>
    <w:qFormat/>
    <w:rPr>
      <w:rFonts w:ascii="Arial" w:hAnsi="Arial" w:eastAsia="黑体"/>
      <w:b/>
      <w:sz w:val="32"/>
    </w:rPr>
  </w:style>
  <w:style w:type="paragraph" w:styleId="1116" w:customStyle="1">
    <w:name w:val="批注文字1"/>
    <w:basedOn w:val="816"/>
    <w:link w:val="1117"/>
    <w:uiPriority w:val="99"/>
    <w:qFormat/>
    <w:pPr>
      <w:jc w:val="left"/>
    </w:pPr>
    <w:rPr>
      <w:szCs w:val="20"/>
    </w:rPr>
  </w:style>
  <w:style w:type="character" w:styleId="1117" w:customStyle="1">
    <w:name w:val="批注文字 字符"/>
    <w:link w:val="1116"/>
    <w:uiPriority w:val="99"/>
    <w:qFormat/>
    <w:rPr>
      <w:sz w:val="21"/>
    </w:rPr>
  </w:style>
  <w:style w:type="paragraph" w:styleId="1118" w:customStyle="1">
    <w:name w:val="Normal_0_1"/>
    <w:uiPriority w:val="0"/>
    <w:qFormat/>
    <w:rPr>
      <w:rFonts w:ascii="黑体" w:hAnsi="黑体" w:eastAsia="黑体" w:cs="Times New Roman"/>
      <w:b/>
      <w:sz w:val="32"/>
      <w:szCs w:val="24"/>
      <w:lang w:val="en-US" w:eastAsia="zh-CN" w:bidi="ar-SA"/>
    </w:rPr>
  </w:style>
  <w:style w:type="paragraph" w:styleId="111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空2字"/>
    <w:basedOn w:val="8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2" w:customStyle="1">
    <w:name w:val="标题 4 字符"/>
    <w:uiPriority w:val="0"/>
    <w:qFormat/>
    <w:rPr>
      <w:rFonts w:ascii="Arial" w:hAnsi="Arial" w:eastAsia="黑体" w:cs="Arial"/>
      <w:b/>
      <w:bCs/>
      <w:sz w:val="28"/>
      <w:szCs w:val="28"/>
    </w:rPr>
  </w:style>
  <w:style w:type="paragraph" w:styleId="1123" w:customStyle="1">
    <w:name w:val="Normal_20"/>
    <w:uiPriority w:val="0"/>
    <w:qFormat/>
    <w:rPr>
      <w:rFonts w:ascii="黑体" w:hAnsi="黑体" w:eastAsia="黑体" w:cs="黑体"/>
      <w:b/>
      <w:sz w:val="32"/>
      <w:szCs w:val="24"/>
      <w:lang w:val="en-US" w:eastAsia="zh-CN" w:bidi="ar-SA"/>
    </w:rPr>
  </w:style>
  <w:style w:type="paragraph" w:styleId="112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Normal_18_0"/>
    <w:uiPriority w:val="0"/>
    <w:qFormat/>
    <w:rPr>
      <w:rFonts w:ascii="黑体" w:hAnsi="黑体" w:eastAsia="黑体" w:cs="黑体"/>
      <w:b/>
      <w:sz w:val="32"/>
      <w:szCs w:val="24"/>
      <w:lang w:val="en-US" w:eastAsia="zh-CN" w:bidi="ar-SA"/>
    </w:rPr>
  </w:style>
  <w:style w:type="paragraph" w:styleId="1126" w:customStyle="1">
    <w:name w:val="正文_12_0_0_0_0"/>
    <w:basedOn w:val="816"/>
    <w:uiPriority w:val="0"/>
    <w:qFormat/>
    <w:rPr>
      <w:rFonts w:ascii="Times New Roman" w:hAnsi="Times New Roman"/>
      <w:szCs w:val="24"/>
    </w:rPr>
  </w:style>
  <w:style w:type="paragraph" w:styleId="11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正文1_0"/>
    <w:link w:val="1412"/>
    <w:uiPriority w:val="0"/>
    <w:qFormat/>
    <w:pPr>
      <w:jc w:val="both"/>
      <w:widowControl w:val="off"/>
    </w:pPr>
    <w:rPr>
      <w:rFonts w:ascii="Times New Roman" w:hAnsi="Times New Roman" w:eastAsia="宋体" w:cs="Times New Roman"/>
      <w:szCs w:val="24"/>
      <w:lang w:val="en-US" w:eastAsia="zh-CN" w:bidi="ar-SA"/>
    </w:rPr>
  </w:style>
  <w:style w:type="paragraph" w:styleId="1131" w:customStyle="1">
    <w:name w:val="正文_16_0_0"/>
    <w:next w:val="1130"/>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Normal_3_0"/>
    <w:uiPriority w:val="0"/>
    <w:qFormat/>
    <w:rPr>
      <w:rFonts w:ascii="黑体" w:hAnsi="黑体" w:eastAsia="黑体" w:cs="Times New Roman"/>
      <w:b/>
      <w:sz w:val="32"/>
      <w:szCs w:val="24"/>
      <w:lang w:val="en-US" w:eastAsia="zh-CN" w:bidi="ar-SA"/>
    </w:rPr>
  </w:style>
  <w:style w:type="paragraph" w:styleId="1133"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列表项目符号 41"/>
    <w:basedOn w:val="816"/>
    <w:uiPriority w:val="0"/>
    <w:qFormat/>
    <w:pPr>
      <w:ind w:left="360" w:hanging="360"/>
      <w:spacing w:line="380" w:lineRule="exact"/>
      <w:tabs>
        <w:tab w:val="left" w:pos="360" w:leader="none"/>
      </w:tabs>
    </w:pPr>
    <w:rPr>
      <w:sz w:val="28"/>
    </w:rPr>
  </w:style>
  <w:style w:type="paragraph" w:styleId="1135" w:customStyle="1">
    <w:name w:val="索引 81"/>
    <w:basedOn w:val="816"/>
    <w:next w:val="816"/>
    <w:uiPriority w:val="0"/>
    <w:qFormat/>
    <w:pPr>
      <w:ind w:left="1400"/>
    </w:pPr>
  </w:style>
  <w:style w:type="paragraph" w:styleId="1136" w:customStyle="1">
    <w:name w:val="列表编号1"/>
    <w:basedOn w:val="816"/>
    <w:uiPriority w:val="0"/>
    <w:qFormat/>
    <w:pPr>
      <w:spacing w:line="360" w:lineRule="auto"/>
      <w:tabs>
        <w:tab w:val="left" w:pos="0" w:leader="none"/>
        <w:tab w:val="left" w:pos="840" w:leader="none"/>
      </w:tabs>
    </w:pPr>
  </w:style>
  <w:style w:type="paragraph" w:styleId="1137" w:customStyle="1">
    <w:name w:val="题注1"/>
    <w:basedOn w:val="816"/>
    <w:next w:val="816"/>
    <w:link w:val="1138"/>
    <w:uiPriority w:val="0"/>
    <w:qFormat/>
    <w:pPr>
      <w:spacing w:line="360" w:lineRule="auto"/>
      <w:tabs>
        <w:tab w:val="left" w:pos="0" w:leader="none"/>
      </w:tabs>
    </w:pPr>
    <w:rPr>
      <w:rFonts w:ascii="Arial" w:hAnsi="Arial" w:eastAsia="黑体"/>
      <w:sz w:val="20"/>
      <w:szCs w:val="20"/>
    </w:rPr>
  </w:style>
  <w:style w:type="character" w:styleId="1138" w:customStyle="1">
    <w:name w:val="题注 字符"/>
    <w:link w:val="1137"/>
    <w:uiPriority w:val="0"/>
    <w:qFormat/>
    <w:rPr>
      <w:rFonts w:ascii="Arial" w:hAnsi="Arial" w:eastAsia="黑体"/>
    </w:rPr>
  </w:style>
  <w:style w:type="paragraph" w:styleId="1139" w:customStyle="1">
    <w:name w:val="索引 51"/>
    <w:basedOn w:val="816"/>
    <w:next w:val="816"/>
    <w:uiPriority w:val="0"/>
    <w:qFormat/>
    <w:pPr>
      <w:ind w:left="800"/>
    </w:pPr>
  </w:style>
  <w:style w:type="paragraph" w:styleId="1140" w:customStyle="1">
    <w:name w:val="列表项目符号1"/>
    <w:basedOn w:val="816"/>
    <w:uiPriority w:val="0"/>
    <w:qFormat/>
    <w:pPr>
      <w:ind w:left="962" w:hanging="480"/>
      <w:spacing w:line="360" w:lineRule="auto"/>
      <w:tabs>
        <w:tab w:val="left" w:pos="840" w:leader="none"/>
      </w:tabs>
    </w:pPr>
    <w:rPr>
      <w:sz w:val="24"/>
    </w:rPr>
  </w:style>
  <w:style w:type="paragraph" w:styleId="1141" w:customStyle="1">
    <w:name w:val="索引 61"/>
    <w:basedOn w:val="816"/>
    <w:next w:val="816"/>
    <w:uiPriority w:val="0"/>
    <w:qFormat/>
    <w:pPr>
      <w:ind w:left="1000"/>
    </w:pPr>
  </w:style>
  <w:style w:type="paragraph" w:styleId="1142" w:customStyle="1">
    <w:name w:val="列表项目符号 31"/>
    <w:basedOn w:val="816"/>
    <w:uiPriority w:val="0"/>
    <w:qFormat/>
    <w:pPr>
      <w:ind w:left="1200" w:hanging="360"/>
      <w:spacing w:line="380" w:lineRule="exact"/>
      <w:tabs>
        <w:tab w:val="left" w:pos="1200" w:leader="none"/>
      </w:tabs>
    </w:pPr>
    <w:rPr>
      <w:sz w:val="28"/>
    </w:rPr>
  </w:style>
  <w:style w:type="paragraph" w:styleId="1143" w:customStyle="1">
    <w:name w:val="文本块1"/>
    <w:basedOn w:val="816"/>
    <w:uiPriority w:val="0"/>
    <w:qFormat/>
    <w:pPr>
      <w:ind w:left="1548" w:right="12" w:hanging="2405"/>
      <w:spacing w:line="360" w:lineRule="exact"/>
    </w:pPr>
    <w:rPr>
      <w:rFonts w:ascii="宋体"/>
      <w:bCs/>
      <w:sz w:val="28"/>
    </w:rPr>
  </w:style>
  <w:style w:type="paragraph" w:styleId="1144" w:customStyle="1">
    <w:name w:val="列表项目符号 21"/>
    <w:basedOn w:val="816"/>
    <w:uiPriority w:val="0"/>
    <w:qFormat/>
    <w:pPr>
      <w:ind w:left="720" w:hanging="360"/>
      <w:spacing w:line="360" w:lineRule="auto"/>
      <w:tabs>
        <w:tab w:val="left" w:pos="720" w:leader="none"/>
      </w:tabs>
    </w:pPr>
    <w:rPr>
      <w:sz w:val="24"/>
    </w:rPr>
  </w:style>
  <w:style w:type="paragraph" w:styleId="1145" w:customStyle="1">
    <w:name w:val="HTML 地址1"/>
    <w:basedOn w:val="816"/>
    <w:link w:val="1146"/>
    <w:uiPriority w:val="0"/>
    <w:qFormat/>
    <w:rPr>
      <w:i/>
      <w:iCs/>
    </w:rPr>
  </w:style>
  <w:style w:type="character" w:styleId="1146" w:customStyle="1">
    <w:name w:val="HTML 地址 字符"/>
    <w:link w:val="1145"/>
    <w:uiPriority w:val="0"/>
    <w:qFormat/>
    <w:rPr>
      <w:i/>
      <w:iCs/>
      <w:sz w:val="21"/>
      <w:szCs w:val="22"/>
    </w:rPr>
  </w:style>
  <w:style w:type="paragraph" w:styleId="1147" w:customStyle="1">
    <w:name w:val="索引 41"/>
    <w:basedOn w:val="816"/>
    <w:next w:val="816"/>
    <w:uiPriority w:val="0"/>
    <w:qFormat/>
    <w:pPr>
      <w:ind w:left="600"/>
    </w:pPr>
  </w:style>
  <w:style w:type="paragraph" w:styleId="1148" w:customStyle="1">
    <w:name w:val="列表项目符号 51"/>
    <w:basedOn w:val="816"/>
    <w:uiPriority w:val="0"/>
    <w:qFormat/>
    <w:pPr>
      <w:ind w:left="720" w:hanging="360"/>
      <w:spacing w:line="380" w:lineRule="exact"/>
      <w:tabs>
        <w:tab w:val="left" w:pos="720" w:leader="none"/>
      </w:tabs>
    </w:pPr>
    <w:rPr>
      <w:sz w:val="28"/>
    </w:rPr>
  </w:style>
  <w:style w:type="paragraph" w:styleId="1149" w:customStyle="1">
    <w:name w:val="索引 31"/>
    <w:basedOn w:val="816"/>
    <w:next w:val="816"/>
    <w:uiPriority w:val="0"/>
    <w:qFormat/>
    <w:pPr>
      <w:ind w:left="400"/>
    </w:pPr>
  </w:style>
  <w:style w:type="paragraph" w:styleId="1150" w:customStyle="1">
    <w:name w:val="尾注文本1"/>
    <w:basedOn w:val="816"/>
    <w:link w:val="1151"/>
    <w:uiPriority w:val="0"/>
    <w:qFormat/>
    <w:pPr>
      <w:jc w:val="left"/>
      <w:widowControl/>
    </w:pPr>
    <w:rPr>
      <w:rFonts w:ascii="宋体"/>
      <w:bCs/>
      <w:szCs w:val="21"/>
    </w:rPr>
  </w:style>
  <w:style w:type="character" w:styleId="1151" w:customStyle="1">
    <w:name w:val="尾注文本 字符"/>
    <w:link w:val="1150"/>
    <w:uiPriority w:val="0"/>
    <w:qFormat/>
    <w:rPr>
      <w:rFonts w:ascii="宋体"/>
      <w:bCs/>
      <w:sz w:val="21"/>
      <w:szCs w:val="21"/>
    </w:rPr>
  </w:style>
  <w:style w:type="paragraph" w:styleId="1152" w:customStyle="1">
    <w:name w:val="索引标题1"/>
    <w:basedOn w:val="816"/>
    <w:next w:val="1065"/>
    <w:uiPriority w:val="0"/>
    <w:qFormat/>
  </w:style>
  <w:style w:type="paragraph" w:styleId="1153" w:customStyle="1">
    <w:name w:val="脚注文本1"/>
    <w:basedOn w:val="816"/>
    <w:link w:val="1154"/>
    <w:uiPriority w:val="0"/>
    <w:qFormat/>
    <w:pPr>
      <w:jc w:val="left"/>
    </w:pPr>
    <w:rPr>
      <w:rFonts w:ascii="宋体"/>
      <w:bCs/>
      <w:sz w:val="18"/>
      <w:szCs w:val="18"/>
    </w:rPr>
  </w:style>
  <w:style w:type="character" w:styleId="1154" w:customStyle="1">
    <w:name w:val="脚注文本 字符"/>
    <w:link w:val="1153"/>
    <w:uiPriority w:val="0"/>
    <w:qFormat/>
    <w:rPr>
      <w:rFonts w:ascii="宋体"/>
      <w:bCs/>
      <w:sz w:val="18"/>
      <w:szCs w:val="18"/>
    </w:rPr>
  </w:style>
  <w:style w:type="paragraph" w:styleId="1155" w:customStyle="1">
    <w:name w:val="索引 71"/>
    <w:basedOn w:val="816"/>
    <w:next w:val="816"/>
    <w:uiPriority w:val="0"/>
    <w:qFormat/>
    <w:pPr>
      <w:ind w:left="1200"/>
    </w:pPr>
  </w:style>
  <w:style w:type="paragraph" w:styleId="1156" w:customStyle="1">
    <w:name w:val="索引 91"/>
    <w:basedOn w:val="816"/>
    <w:next w:val="816"/>
    <w:uiPriority w:val="0"/>
    <w:qFormat/>
    <w:pPr>
      <w:ind w:left="1600"/>
    </w:pPr>
  </w:style>
  <w:style w:type="paragraph" w:styleId="1157" w:customStyle="1">
    <w:name w:val="列表接续 21"/>
    <w:basedOn w:val="816"/>
    <w:uiPriority w:val="0"/>
    <w:qFormat/>
    <w:pPr>
      <w:ind w:left="840"/>
      <w:spacing w:after="120"/>
    </w:pPr>
  </w:style>
  <w:style w:type="paragraph" w:styleId="1158" w:customStyle="1">
    <w:name w:val="HTML 预设格式1"/>
    <w:basedOn w:val="816"/>
    <w:link w:val="11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159" w:customStyle="1">
    <w:name w:val="HTML 预设格式 字符"/>
    <w:link w:val="1158"/>
    <w:uiPriority w:val="0"/>
    <w:qFormat/>
    <w:rPr>
      <w:rFonts w:ascii="Arial" w:hAnsi="Arial" w:cs="Arial"/>
      <w:sz w:val="24"/>
      <w:szCs w:val="22"/>
    </w:rPr>
  </w:style>
  <w:style w:type="paragraph" w:styleId="1160" w:customStyle="1">
    <w:name w:val="索引 21"/>
    <w:basedOn w:val="816"/>
    <w:next w:val="816"/>
    <w:uiPriority w:val="0"/>
    <w:qFormat/>
    <w:pPr>
      <w:ind w:left="200"/>
    </w:pPr>
  </w:style>
  <w:style w:type="paragraph" w:styleId="1161" w:customStyle="1">
    <w:name w:val="标题21"/>
    <w:basedOn w:val="816"/>
    <w:link w:val="1162"/>
    <w:uiPriority w:val="0"/>
    <w:qFormat/>
    <w:pPr>
      <w:jc w:val="center"/>
      <w:spacing w:before="240" w:after="60"/>
      <w:outlineLvl w:val="0"/>
    </w:pPr>
    <w:rPr>
      <w:rFonts w:ascii="Cambria" w:hAnsi="Cambria"/>
      <w:b/>
      <w:bCs/>
      <w:sz w:val="32"/>
      <w:szCs w:val="32"/>
    </w:rPr>
  </w:style>
  <w:style w:type="character" w:styleId="1162" w:customStyle="1">
    <w:name w:val="标题 字符"/>
    <w:link w:val="1161"/>
    <w:uiPriority w:val="0"/>
    <w:qFormat/>
    <w:rPr>
      <w:rFonts w:ascii="Cambria" w:hAnsi="Cambria"/>
      <w:b/>
      <w:bCs/>
      <w:sz w:val="32"/>
      <w:szCs w:val="32"/>
    </w:rPr>
  </w:style>
  <w:style w:type="character" w:styleId="1163" w:customStyle="1">
    <w:name w:val="尾注引用1"/>
    <w:uiPriority w:val="0"/>
    <w:qFormat/>
    <w:rPr>
      <w:vertAlign w:val="superscript"/>
    </w:rPr>
  </w:style>
  <w:style w:type="character" w:styleId="1164" w:customStyle="1">
    <w:name w:val="强调1"/>
    <w:uiPriority w:val="0"/>
    <w:qFormat/>
    <w:rPr>
      <w:color w:val="cc0033"/>
    </w:rPr>
  </w:style>
  <w:style w:type="character" w:styleId="1165" w:customStyle="1">
    <w:name w:val="HTML 打字机1"/>
    <w:uiPriority w:val="0"/>
    <w:qFormat/>
    <w:rPr>
      <w:rFonts w:ascii="宋体" w:eastAsia="宋体" w:cs="宋体"/>
      <w:sz w:val="24"/>
      <w:szCs w:val="24"/>
      <w:lang w:bidi="ar-SA"/>
    </w:rPr>
  </w:style>
  <w:style w:type="character" w:styleId="1166" w:customStyle="1">
    <w:name w:val="脚注引用1"/>
    <w:uiPriority w:val="0"/>
    <w:qFormat/>
    <w:rPr>
      <w:vertAlign w:val="superscript"/>
    </w:rPr>
  </w:style>
  <w:style w:type="paragraph" w:styleId="1167" w:customStyle="1">
    <w:name w:val="正文（标记）"/>
    <w:basedOn w:val="816"/>
    <w:link w:val="1168"/>
    <w:uiPriority w:val="0"/>
    <w:qFormat/>
    <w:pPr>
      <w:spacing w:before="50" w:after="50"/>
      <w:tabs>
        <w:tab w:val="left" w:pos="0" w:leader="none"/>
        <w:tab w:val="left" w:pos="840" w:leader="none"/>
      </w:tabs>
    </w:pPr>
    <w:rPr>
      <w:rFonts w:ascii="Times New Roman" w:hAnsi="Times New Roman"/>
      <w:sz w:val="24"/>
      <w:szCs w:val="24"/>
    </w:rPr>
  </w:style>
  <w:style w:type="character" w:styleId="1168" w:customStyle="1">
    <w:name w:val="正文（标记） Char2"/>
    <w:link w:val="1167"/>
    <w:uiPriority w:val="0"/>
    <w:qFormat/>
    <w:rPr>
      <w:rFonts w:ascii="Times New Roman" w:hAnsi="Times New Roman"/>
      <w:sz w:val="24"/>
      <w:szCs w:val="24"/>
    </w:rPr>
  </w:style>
  <w:style w:type="character" w:styleId="1169" w:customStyle="1">
    <w:name w:val="Char Char2"/>
    <w:uiPriority w:val="0"/>
    <w:qFormat/>
    <w:rPr>
      <w:sz w:val="18"/>
      <w:szCs w:val="18"/>
    </w:rPr>
  </w:style>
  <w:style w:type="character" w:styleId="1170" w:customStyle="1">
    <w:name w:val="maywed421"/>
    <w:uiPriority w:val="0"/>
    <w:qFormat/>
    <w:rPr>
      <w:color w:val="366fb6"/>
      <w:u w:val="none"/>
    </w:rPr>
  </w:style>
  <w:style w:type="paragraph" w:styleId="117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7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73" w:customStyle="1">
    <w:name w:val="Comment Text Char"/>
    <w:uiPriority w:val="0"/>
    <w:qFormat/>
    <w:rPr>
      <w:rFonts w:cs="Times New Roman"/>
      <w:sz w:val="21"/>
      <w:szCs w:val="21"/>
      <w:lang w:bidi="ar-SA"/>
    </w:rPr>
  </w:style>
  <w:style w:type="character" w:styleId="1174" w:customStyle="1">
    <w:name w:val="Footer Char"/>
    <w:uiPriority w:val="0"/>
    <w:qFormat/>
    <w:rPr>
      <w:rFonts w:eastAsia="宋体"/>
      <w:sz w:val="18"/>
      <w:lang w:val="en-US" w:eastAsia="zh-CN"/>
    </w:rPr>
  </w:style>
  <w:style w:type="character" w:styleId="1175" w:customStyle="1">
    <w:name w:val="ca-41"/>
    <w:uiPriority w:val="0"/>
    <w:qFormat/>
    <w:rPr>
      <w:rFonts w:ascii="宋体" w:eastAsia="宋体"/>
      <w:b/>
      <w:bCs/>
      <w:color w:val="000000"/>
      <w:spacing w:val="-20"/>
      <w:sz w:val="21"/>
      <w:szCs w:val="21"/>
    </w:rPr>
  </w:style>
  <w:style w:type="character" w:styleId="1176" w:customStyle="1">
    <w:name w:val="ca-1"/>
    <w:uiPriority w:val="0"/>
    <w:qFormat/>
  </w:style>
  <w:style w:type="character" w:styleId="1177" w:customStyle="1">
    <w:name w:val="Plain Text Char"/>
    <w:uiPriority w:val="0"/>
    <w:qFormat/>
    <w:rPr>
      <w:rFonts w:ascii="宋体" w:eastAsia="宋体"/>
      <w:sz w:val="21"/>
      <w:lang w:val="en-US" w:eastAsia="zh-CN"/>
    </w:rPr>
  </w:style>
  <w:style w:type="character" w:styleId="1178" w:customStyle="1">
    <w:name w:val="Header Char"/>
    <w:uiPriority w:val="0"/>
    <w:qFormat/>
    <w:rPr>
      <w:rFonts w:eastAsia="宋体"/>
      <w:sz w:val="18"/>
      <w:lang w:val="en-US" w:eastAsia="zh-CN"/>
    </w:rPr>
  </w:style>
  <w:style w:type="character" w:styleId="1179" w:customStyle="1">
    <w:name w:val="marklong"/>
    <w:uiPriority w:val="0"/>
    <w:qFormat/>
  </w:style>
  <w:style w:type="character" w:styleId="1180" w:customStyle="1">
    <w:name w:val="普通文字1 Char"/>
    <w:uiPriority w:val="0"/>
    <w:qFormat/>
    <w:rPr>
      <w:rFonts w:ascii="宋体" w:eastAsia="宋体" w:cs="Courier New"/>
      <w:sz w:val="21"/>
      <w:szCs w:val="21"/>
      <w:lang w:val="en-US" w:eastAsia="zh-CN" w:bidi="ar-SA"/>
    </w:rPr>
  </w:style>
  <w:style w:type="character" w:styleId="1181" w:customStyle="1">
    <w:name w:val="ca-21"/>
    <w:uiPriority w:val="0"/>
    <w:qFormat/>
    <w:rPr>
      <w:rFonts w:ascii="宋体" w:eastAsia="宋体"/>
      <w:sz w:val="21"/>
    </w:rPr>
  </w:style>
  <w:style w:type="paragraph" w:styleId="1182" w:customStyle="1">
    <w:name w:val="正文（缩进）"/>
    <w:basedOn w:val="816"/>
    <w:uiPriority w:val="0"/>
    <w:qFormat/>
    <w:pPr>
      <w:ind w:firstLine="200"/>
      <w:spacing w:before="50" w:after="50" w:line="360" w:lineRule="auto"/>
    </w:pPr>
    <w:rPr>
      <w:sz w:val="24"/>
    </w:rPr>
  </w:style>
  <w:style w:type="character" w:styleId="1183" w:customStyle="1">
    <w:name w:val="Heading 3 Char"/>
    <w:uiPriority w:val="0"/>
    <w:qFormat/>
    <w:rPr>
      <w:rFonts w:cs="Times New Roman"/>
      <w:b/>
      <w:bCs/>
      <w:sz w:val="32"/>
      <w:szCs w:val="32"/>
      <w:lang w:bidi="ar-SA"/>
    </w:rPr>
  </w:style>
  <w:style w:type="character" w:styleId="1184" w:customStyle="1">
    <w:name w:val="z12 style23"/>
    <w:uiPriority w:val="0"/>
    <w:qFormat/>
  </w:style>
  <w:style w:type="paragraph" w:styleId="1185" w:customStyle="1">
    <w:name w:val="Indent Normal"/>
    <w:basedOn w:val="816"/>
    <w:uiPriority w:val="0"/>
    <w:qFormat/>
    <w:pPr>
      <w:ind w:firstLine="150"/>
    </w:pPr>
    <w:rPr>
      <w:sz w:val="24"/>
      <w:szCs w:val="20"/>
    </w:rPr>
  </w:style>
  <w:style w:type="character" w:styleId="1186" w:customStyle="1">
    <w:name w:val="Char Char21"/>
    <w:uiPriority w:val="0"/>
    <w:qFormat/>
    <w:rPr>
      <w:sz w:val="18"/>
      <w:szCs w:val="18"/>
    </w:rPr>
  </w:style>
  <w:style w:type="character" w:styleId="1187" w:customStyle="1">
    <w:name w:val="ca-31"/>
    <w:uiPriority w:val="0"/>
    <w:qFormat/>
    <w:rPr>
      <w:rFonts w:ascii="宋体" w:eastAsia="宋体"/>
      <w:color w:val="000000"/>
      <w:sz w:val="21"/>
      <w:szCs w:val="21"/>
    </w:rPr>
  </w:style>
  <w:style w:type="character" w:styleId="1188" w:customStyle="1">
    <w:name w:val="apple-converted-space"/>
    <w:uiPriority w:val="0"/>
    <w:qFormat/>
  </w:style>
  <w:style w:type="character" w:styleId="1189" w:customStyle="1">
    <w:name w:val="Char Char1"/>
    <w:uiPriority w:val="0"/>
    <w:qFormat/>
    <w:rPr>
      <w:rFonts w:ascii="宋体" w:eastAsia="宋体"/>
      <w:sz w:val="21"/>
      <w:lang w:val="en-US" w:eastAsia="zh-CN"/>
    </w:rPr>
  </w:style>
  <w:style w:type="character" w:styleId="1190" w:customStyle="1">
    <w:name w:val="font21"/>
    <w:uiPriority w:val="0"/>
    <w:qFormat/>
    <w:rPr>
      <w:rFonts w:ascii="Times New Roman" w:hAnsi="Times New Roman"/>
      <w:color w:val="000000"/>
      <w:sz w:val="20"/>
      <w:u w:val="none"/>
    </w:rPr>
  </w:style>
  <w:style w:type="character" w:styleId="1191" w:customStyle="1">
    <w:name w:val="ca-01"/>
    <w:uiPriority w:val="0"/>
    <w:qFormat/>
    <w:rPr>
      <w:rFonts w:ascii="宋体" w:eastAsia="宋体"/>
      <w:b/>
      <w:bCs/>
      <w:spacing w:val="-20"/>
      <w:sz w:val="24"/>
      <w:szCs w:val="24"/>
    </w:rPr>
  </w:style>
  <w:style w:type="character" w:styleId="1192" w:customStyle="1">
    <w:name w:val="Char Char23"/>
    <w:uiPriority w:val="0"/>
    <w:qFormat/>
    <w:rPr>
      <w:sz w:val="24"/>
      <w:szCs w:val="21"/>
      <w:lang w:bidi="ar-SA"/>
    </w:rPr>
  </w:style>
  <w:style w:type="character" w:styleId="1193" w:customStyle="1">
    <w:name w:val="Char Char"/>
    <w:uiPriority w:val="0"/>
    <w:qFormat/>
    <w:rPr>
      <w:rFonts w:eastAsia="宋体"/>
      <w:sz w:val="18"/>
      <w:lang w:val="en-US" w:eastAsia="zh-CN"/>
    </w:rPr>
  </w:style>
  <w:style w:type="character" w:styleId="1194" w:customStyle="1">
    <w:name w:val="Char Char3"/>
    <w:uiPriority w:val="0"/>
    <w:qFormat/>
    <w:rPr>
      <w:rFonts w:ascii="宋体" w:eastAsia="宋体"/>
      <w:sz w:val="18"/>
      <w:szCs w:val="18"/>
      <w:lang w:val="en-US" w:eastAsia="zh-CN" w:bidi="ar-SA"/>
    </w:rPr>
  </w:style>
  <w:style w:type="paragraph" w:styleId="11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96" w:customStyle="1">
    <w:name w:val="Heading 4 Char"/>
    <w:uiPriority w:val="0"/>
    <w:qFormat/>
    <w:rPr>
      <w:rFonts w:ascii="Cambria" w:hAnsi="Cambria" w:eastAsia="宋体" w:cs="Cambria"/>
      <w:b/>
      <w:bCs/>
      <w:sz w:val="28"/>
      <w:szCs w:val="28"/>
      <w:lang w:bidi="ar-SA"/>
    </w:rPr>
  </w:style>
  <w:style w:type="character" w:styleId="1197" w:customStyle="1">
    <w:name w:val="Header Char1"/>
    <w:uiPriority w:val="0"/>
    <w:qFormat/>
    <w:rPr>
      <w:rFonts w:cs="Times New Roman"/>
      <w:sz w:val="18"/>
      <w:szCs w:val="18"/>
      <w:lang w:bidi="ar-SA"/>
    </w:rPr>
  </w:style>
  <w:style w:type="character" w:styleId="1198" w:customStyle="1">
    <w:name w:val="Footer Char1"/>
    <w:uiPriority w:val="0"/>
    <w:qFormat/>
    <w:rPr>
      <w:rFonts w:cs="Times New Roman"/>
      <w:sz w:val="18"/>
      <w:szCs w:val="18"/>
      <w:lang w:bidi="ar-SA"/>
    </w:rPr>
  </w:style>
  <w:style w:type="character" w:styleId="1199" w:customStyle="1">
    <w:name w:val="wj1"/>
    <w:uiPriority w:val="0"/>
    <w:qFormat/>
    <w:rPr>
      <w:color w:val="000000"/>
      <w:sz w:val="18"/>
      <w:szCs w:val="18"/>
      <w:u w:val="none"/>
    </w:rPr>
  </w:style>
  <w:style w:type="character" w:styleId="1200" w:customStyle="1">
    <w:name w:val="ca-11"/>
    <w:uiPriority w:val="0"/>
    <w:qFormat/>
    <w:rPr>
      <w:rFonts w:ascii="宋体" w:eastAsia="宋体"/>
      <w:b/>
      <w:bCs/>
      <w:color w:val="000000"/>
      <w:spacing w:val="-20"/>
      <w:sz w:val="28"/>
      <w:szCs w:val="28"/>
    </w:rPr>
  </w:style>
  <w:style w:type="paragraph" w:styleId="120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02" w:customStyle="1">
    <w:name w:val="Plain Text Char1"/>
    <w:uiPriority w:val="0"/>
    <w:qFormat/>
    <w:rPr>
      <w:rFonts w:ascii="宋体" w:eastAsia="宋体"/>
      <w:sz w:val="21"/>
      <w:szCs w:val="21"/>
      <w:lang w:val="en-US" w:eastAsia="zh-CN" w:bidi="ar-SA"/>
    </w:rPr>
  </w:style>
  <w:style w:type="character" w:styleId="1203" w:customStyle="1">
    <w:name w:val="段落 Char"/>
    <w:uiPriority w:val="0"/>
    <w:qFormat/>
    <w:rPr>
      <w:rFonts w:ascii="仿宋_GB2312" w:eastAsia="仿宋_GB2312"/>
      <w:sz w:val="24"/>
      <w:szCs w:val="24"/>
      <w:lang w:val="en-US" w:eastAsia="zh-CN" w:bidi="ar-SA"/>
    </w:rPr>
  </w:style>
  <w:style w:type="character" w:styleId="1204" w:customStyle="1">
    <w:name w:val="Heading 2 Char"/>
    <w:uiPriority w:val="0"/>
    <w:qFormat/>
    <w:rPr>
      <w:rFonts w:ascii="Arial" w:hAnsi="Arial" w:eastAsia="黑体"/>
      <w:b/>
      <w:bCs/>
      <w:sz w:val="32"/>
      <w:szCs w:val="32"/>
      <w:lang w:val="en-US" w:eastAsia="zh-CN" w:bidi="ar-SA"/>
    </w:rPr>
  </w:style>
  <w:style w:type="paragraph" w:styleId="120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06" w:customStyle="1">
    <w:name w:val="Char Char31"/>
    <w:uiPriority w:val="0"/>
    <w:qFormat/>
    <w:rPr>
      <w:rFonts w:ascii="Arial" w:hAnsi="Arial" w:eastAsia="黑体" w:cs="Times New Roman"/>
      <w:b/>
      <w:bCs/>
      <w:sz w:val="32"/>
      <w:szCs w:val="32"/>
      <w:lang w:val="en-US" w:eastAsia="zh-CN" w:bidi="ar-SA"/>
    </w:rPr>
  </w:style>
  <w:style w:type="paragraph" w:styleId="1207" w:customStyle="1">
    <w:name w:val="正文（黑体）"/>
    <w:basedOn w:val="816"/>
    <w:next w:val="816"/>
    <w:uiPriority w:val="0"/>
    <w:qFormat/>
    <w:pPr>
      <w:ind w:firstLine="200"/>
      <w:spacing w:before="50" w:after="50" w:line="360" w:lineRule="auto"/>
    </w:pPr>
    <w:rPr>
      <w:rFonts w:ascii="黑体" w:eastAsia="黑体"/>
      <w:color w:val="000080"/>
      <w:sz w:val="24"/>
    </w:rPr>
  </w:style>
  <w:style w:type="character" w:styleId="1208" w:customStyle="1">
    <w:name w:val="ca-51"/>
    <w:uiPriority w:val="0"/>
    <w:qFormat/>
    <w:rPr>
      <w:rFonts w:ascii="楷体_GB2312" w:eastAsia="楷体_GB2312"/>
      <w:b/>
      <w:bCs/>
      <w:spacing w:val="-20"/>
      <w:sz w:val="24"/>
      <w:szCs w:val="24"/>
    </w:rPr>
  </w:style>
  <w:style w:type="paragraph" w:styleId="1209" w:customStyle="1">
    <w:name w:val="加点正文缩进"/>
    <w:basedOn w:val="816"/>
    <w:uiPriority w:val="0"/>
    <w:qFormat/>
    <w:pPr>
      <w:ind w:left="962" w:hanging="480"/>
      <w:spacing w:line="300" w:lineRule="auto"/>
      <w:tabs>
        <w:tab w:val="left" w:pos="840" w:leader="none"/>
      </w:tabs>
    </w:pPr>
    <w:rPr>
      <w:sz w:val="24"/>
    </w:rPr>
  </w:style>
  <w:style w:type="paragraph" w:styleId="1210" w:customStyle="1">
    <w:name w:val="默认段落字体 Para Char Char Char Char Char Char Char Char Char Char Char Char Char Char"/>
    <w:basedOn w:val="1035"/>
    <w:uiPriority w:val="0"/>
    <w:qFormat/>
    <w:rPr>
      <w:rFonts w:ascii="Tahoma" w:hAnsi="Tahoma"/>
      <w:sz w:val="24"/>
      <w:szCs w:val="22"/>
    </w:rPr>
  </w:style>
  <w:style w:type="paragraph" w:styleId="1211">
    <w:name w:val="List Paragraph"/>
    <w:basedOn w:val="816"/>
    <w:uiPriority w:val="0"/>
    <w:qFormat/>
    <w:pPr>
      <w:ind w:firstLine="200"/>
    </w:pPr>
  </w:style>
  <w:style w:type="paragraph" w:styleId="1212" w:customStyle="1">
    <w:name w:val="序号"/>
    <w:next w:val="816"/>
    <w:uiPriority w:val="0"/>
    <w:qFormat/>
    <w:pPr>
      <w:jc w:val="center"/>
    </w:pPr>
    <w:rPr>
      <w:rFonts w:ascii="Times New Roman" w:hAnsi="Times New Roman" w:eastAsia="仿宋_GB2312" w:cs="Times New Roman"/>
      <w:bCs/>
      <w:sz w:val="21"/>
      <w:szCs w:val="44"/>
      <w:lang w:val="en-US" w:eastAsia="zh-CN" w:bidi="ar-SA"/>
    </w:rPr>
  </w:style>
  <w:style w:type="paragraph" w:styleId="1213" w:customStyle="1">
    <w:name w:val="xl3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xl36"/>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5" w:customStyle="1">
    <w:name w:val="Char Char Char"/>
    <w:basedOn w:val="816"/>
    <w:uiPriority w:val="0"/>
    <w:qFormat/>
    <w:rPr>
      <w:rFonts w:ascii="Tahoma" w:hAnsi="Tahoma"/>
      <w:sz w:val="24"/>
      <w:szCs w:val="20"/>
    </w:rPr>
  </w:style>
  <w:style w:type="paragraph" w:styleId="1216" w:customStyle="1">
    <w:name w:val="Char12"/>
    <w:basedOn w:val="816"/>
    <w:uiPriority w:val="0"/>
    <w:qFormat/>
    <w:pPr>
      <w:ind w:left="360" w:right="202" w:firstLine="360"/>
      <w:spacing w:line="480" w:lineRule="auto"/>
      <w:tabs>
        <w:tab w:val="left" w:pos="360" w:leader="none"/>
      </w:tabs>
    </w:pPr>
    <w:rPr>
      <w:sz w:val="24"/>
    </w:rPr>
  </w:style>
  <w:style w:type="paragraph" w:styleId="1217" w:customStyle="1">
    <w:name w:val="Char Char Char Char Char Char Char Char Char Char11"/>
    <w:basedOn w:val="816"/>
    <w:uiPriority w:val="0"/>
    <w:qFormat/>
    <w:rPr>
      <w:rFonts w:ascii="Tahoma" w:hAnsi="Tahoma"/>
      <w:sz w:val="24"/>
      <w:szCs w:val="20"/>
    </w:rPr>
  </w:style>
  <w:style w:type="paragraph" w:styleId="1218" w:customStyle="1">
    <w:name w:val="正文段"/>
    <w:basedOn w:val="816"/>
    <w:uiPriority w:val="0"/>
    <w:qFormat/>
    <w:pPr>
      <w:ind w:firstLine="425"/>
      <w:spacing w:after="240" w:line="240" w:lineRule="atLeast"/>
      <w:widowControl/>
    </w:pPr>
    <w:rPr>
      <w:sz w:val="24"/>
      <w:szCs w:val="20"/>
    </w:rPr>
  </w:style>
  <w:style w:type="paragraph" w:styleId="1219" w:customStyle="1">
    <w:name w:val="段"/>
    <w:uiPriority w:val="0"/>
    <w:qFormat/>
    <w:pPr>
      <w:ind w:firstLine="200"/>
      <w:jc w:val="both"/>
    </w:pPr>
    <w:rPr>
      <w:rFonts w:ascii="宋体" w:hAnsi="Times New Roman" w:eastAsia="宋体" w:cs="Times New Roman"/>
      <w:sz w:val="21"/>
      <w:lang w:val="en-US" w:eastAsia="zh-CN" w:bidi="ar-SA"/>
    </w:rPr>
  </w:style>
  <w:style w:type="paragraph" w:styleId="1220" w:customStyle="1">
    <w:name w:val="Char Char Char Char Char Char Char Char Char Char1"/>
    <w:basedOn w:val="816"/>
    <w:uiPriority w:val="0"/>
    <w:qFormat/>
    <w:rPr>
      <w:rFonts w:ascii="Tahoma" w:hAnsi="Tahoma" w:cs="Tahoma"/>
      <w:sz w:val="24"/>
    </w:rPr>
  </w:style>
  <w:style w:type="paragraph" w:styleId="1221" w:customStyle="1">
    <w:name w:val="xl34"/>
    <w:basedOn w:val="816"/>
    <w:uiPriority w:val="0"/>
    <w:qFormat/>
    <w:pPr>
      <w:jc w:val="center"/>
      <w:spacing w:before="100" w:beforeAutospacing="1" w:after="100" w:afterAutospacing="1"/>
      <w:widowControl/>
    </w:pPr>
    <w:rPr>
      <w:rFonts w:ascii="Arial Unicode MS" w:hAnsi="Arial Unicode MS" w:eastAsia="Arial Unicode MS"/>
      <w:sz w:val="24"/>
    </w:rPr>
  </w:style>
  <w:style w:type="paragraph" w:styleId="1222" w:customStyle="1">
    <w:name w:val="前言、引言标题"/>
    <w:next w:val="81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3" w:customStyle="1">
    <w:name w:val="Char Char Char Char Char 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24" w:customStyle="1">
    <w:name w:val="pa-0"/>
    <w:basedOn w:val="816"/>
    <w:uiPriority w:val="0"/>
    <w:qFormat/>
    <w:pPr>
      <w:ind w:firstLine="480"/>
      <w:spacing w:line="360" w:lineRule="atLeast"/>
      <w:widowControl/>
    </w:pPr>
    <w:rPr>
      <w:rFonts w:ascii="宋体" w:cs="宋体"/>
      <w:sz w:val="24"/>
    </w:rPr>
  </w:style>
  <w:style w:type="paragraph" w:styleId="1225" w:customStyle="1">
    <w:name w:val="三级条标题"/>
    <w:basedOn w:val="1226"/>
    <w:next w:val="1219"/>
    <w:uiPriority w:val="0"/>
    <w:qFormat/>
    <w:pPr>
      <w:ind w:left="1050"/>
      <w:outlineLvl w:val="4"/>
    </w:pPr>
  </w:style>
  <w:style w:type="paragraph" w:styleId="1226" w:customStyle="1">
    <w:name w:val="二级条标题"/>
    <w:basedOn w:val="1227"/>
    <w:next w:val="1219"/>
    <w:uiPriority w:val="0"/>
    <w:qFormat/>
    <w:pPr>
      <w:ind w:left="360"/>
      <w:outlineLvl w:val="3"/>
    </w:pPr>
  </w:style>
  <w:style w:type="paragraph" w:styleId="1227" w:customStyle="1">
    <w:name w:val="一级条标题"/>
    <w:next w:val="1219"/>
    <w:uiPriority w:val="0"/>
    <w:qFormat/>
    <w:pPr>
      <w:outlineLvl w:val="2"/>
    </w:pPr>
    <w:rPr>
      <w:rFonts w:ascii="Times New Roman" w:hAnsi="Times New Roman" w:eastAsia="黑体" w:cs="Times New Roman"/>
      <w:sz w:val="21"/>
      <w:lang w:val="en-US" w:eastAsia="zh-CN" w:bidi="ar-SA"/>
    </w:rPr>
  </w:style>
  <w:style w:type="paragraph" w:styleId="1228" w:customStyle="1">
    <w:name w:val="FA正文+标号"/>
    <w:basedOn w:val="81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29" w:customStyle="1">
    <w:name w:val="表文1"/>
    <w:basedOn w:val="816"/>
    <w:uiPriority w:val="0"/>
    <w:qFormat/>
    <w:pPr>
      <w:ind w:firstLine="196"/>
      <w:spacing w:line="360" w:lineRule="auto"/>
      <w:widowControl/>
    </w:pPr>
    <w:rPr>
      <w:rFonts w:ascii="宋体"/>
      <w:sz w:val="24"/>
    </w:rPr>
  </w:style>
  <w:style w:type="paragraph" w:styleId="1230" w:customStyle="1">
    <w:name w:val="表内容"/>
    <w:basedOn w:val="1231"/>
    <w:uiPriority w:val="0"/>
    <w:qFormat/>
    <w:pPr>
      <w:ind w:left="0" w:firstLine="0"/>
      <w:spacing w:line="320" w:lineRule="exact"/>
    </w:pPr>
    <w:rPr>
      <w:sz w:val="20"/>
    </w:rPr>
  </w:style>
  <w:style w:type="paragraph" w:styleId="1231" w:customStyle="1">
    <w:name w:val="正文1"/>
    <w:basedOn w:val="816"/>
    <w:uiPriority w:val="0"/>
    <w:qFormat/>
    <w:pPr>
      <w:ind w:left="357" w:firstLine="420"/>
      <w:jc w:val="left"/>
      <w:spacing w:line="360" w:lineRule="auto"/>
      <w:widowControl/>
    </w:pPr>
    <w:rPr>
      <w:rFonts w:cs="Arial"/>
      <w:szCs w:val="20"/>
    </w:rPr>
  </w:style>
  <w:style w:type="paragraph" w:styleId="1232" w:customStyle="1">
    <w:name w:val="Char Char1 Char Char Char Char Char Char"/>
    <w:basedOn w:val="816"/>
    <w:uiPriority w:val="0"/>
    <w:qFormat/>
    <w:pPr>
      <w:jc w:val="center"/>
      <w:widowControl/>
    </w:pPr>
    <w:rPr>
      <w:szCs w:val="20"/>
    </w:rPr>
  </w:style>
  <w:style w:type="paragraph" w:styleId="123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4" w:customStyle="1">
    <w:name w:val="附图标题"/>
    <w:basedOn w:val="1137"/>
    <w:next w:val="1014"/>
    <w:uiPriority w:val="0"/>
    <w:qFormat/>
    <w:pPr>
      <w:ind w:left="780" w:hanging="480"/>
      <w:jc w:val="center"/>
      <w:spacing w:after="100"/>
      <w:tabs>
        <w:tab w:val="clear" w:pos="0" w:leader="none"/>
        <w:tab w:val="left" w:pos="780" w:leader="none"/>
      </w:tabs>
    </w:pPr>
    <w:rPr>
      <w:b/>
      <w:sz w:val="21"/>
    </w:rPr>
  </w:style>
  <w:style w:type="paragraph" w:styleId="1235" w:customStyle="1">
    <w:name w:val="图号"/>
    <w:basedOn w:val="8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36" w:customStyle="1">
    <w:name w:val="xl40"/>
    <w:basedOn w:val="81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37" w:customStyle="1">
    <w:name w:val="缩进正文"/>
    <w:basedOn w:val="816"/>
    <w:uiPriority w:val="0"/>
    <w:qFormat/>
    <w:pPr>
      <w:ind w:left="1418" w:firstLine="425"/>
      <w:jc w:val="left"/>
      <w:spacing w:after="200" w:line="400" w:lineRule="exact"/>
      <w:widowControl/>
    </w:pPr>
    <w:rPr>
      <w:rFonts w:ascii="宋体"/>
      <w:sz w:val="24"/>
      <w:szCs w:val="20"/>
    </w:rPr>
  </w:style>
  <w:style w:type="paragraph" w:styleId="1238" w:customStyle="1">
    <w:name w:val="Char1"/>
    <w:basedOn w:val="816"/>
    <w:uiPriority w:val="0"/>
    <w:qFormat/>
    <w:pPr>
      <w:ind w:left="360" w:right="202" w:firstLine="360"/>
      <w:spacing w:line="480" w:lineRule="auto"/>
      <w:tabs>
        <w:tab w:val="left" w:pos="360" w:leader="none"/>
      </w:tabs>
    </w:pPr>
    <w:rPr>
      <w:sz w:val="24"/>
    </w:rPr>
  </w:style>
  <w:style w:type="paragraph" w:styleId="1239" w:customStyle="1">
    <w:name w:val="首页标题"/>
    <w:uiPriority w:val="0"/>
    <w:qFormat/>
    <w:pPr>
      <w:jc w:val="center"/>
    </w:pPr>
    <w:rPr>
      <w:rFonts w:ascii="宋体" w:hAnsi="Times New Roman" w:eastAsia="宋体" w:cs="宋体"/>
      <w:sz w:val="72"/>
      <w:szCs w:val="72"/>
      <w:lang w:val="en-US" w:eastAsia="zh-CN" w:bidi="ar-SA"/>
    </w:rPr>
  </w:style>
  <w:style w:type="paragraph" w:styleId="1240" w:customStyle="1">
    <w:name w:val="pa-10"/>
    <w:basedOn w:val="816"/>
    <w:uiPriority w:val="0"/>
    <w:qFormat/>
    <w:pPr>
      <w:spacing w:line="240" w:lineRule="atLeast"/>
      <w:widowControl/>
    </w:pPr>
    <w:rPr>
      <w:rFonts w:ascii="宋体" w:cs="宋体"/>
      <w:sz w:val="24"/>
    </w:rPr>
  </w:style>
  <w:style w:type="paragraph" w:styleId="1241" w:customStyle="1">
    <w:name w:val="特点"/>
    <w:basedOn w:val="816"/>
    <w:next w:val="816"/>
    <w:uiPriority w:val="0"/>
    <w:qFormat/>
    <w:pPr>
      <w:jc w:val="center"/>
      <w:spacing w:line="360" w:lineRule="auto"/>
    </w:pPr>
    <w:rPr>
      <w:rFonts w:ascii="Arial" w:hAnsi="Arial"/>
      <w:sz w:val="24"/>
      <w:szCs w:val="20"/>
    </w:rPr>
  </w:style>
  <w:style w:type="paragraph" w:styleId="1242" w:customStyle="1">
    <w:name w:val="pa-4"/>
    <w:basedOn w:val="816"/>
    <w:uiPriority w:val="0"/>
    <w:qFormat/>
    <w:pPr>
      <w:jc w:val="center"/>
      <w:spacing w:line="280" w:lineRule="atLeast"/>
      <w:widowControl/>
    </w:pPr>
    <w:rPr>
      <w:rFonts w:ascii="宋体" w:cs="宋体"/>
      <w:sz w:val="24"/>
    </w:rPr>
  </w:style>
  <w:style w:type="paragraph" w:styleId="1243" w:customStyle="1">
    <w:name w:val="编号"/>
    <w:basedOn w:val="816"/>
    <w:next w:val="1195"/>
    <w:uiPriority w:val="0"/>
    <w:qFormat/>
    <w:pPr>
      <w:ind w:left="420" w:right="-136" w:hanging="420"/>
      <w:widowControl/>
      <w:tabs>
        <w:tab w:val="left" w:pos="420" w:leader="none"/>
      </w:tabs>
    </w:pPr>
    <w:rPr>
      <w:rFonts w:ascii="仿宋_GB2312" w:eastAsia="仿宋_GB2312"/>
      <w:b/>
      <w:bCs/>
      <w:sz w:val="24"/>
      <w:szCs w:val="21"/>
    </w:rPr>
  </w:style>
  <w:style w:type="paragraph" w:styleId="12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45" w:customStyle="1">
    <w:name w:val="xl33"/>
    <w:basedOn w:val="8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编号1"/>
    <w:next w:val="11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47" w:customStyle="1">
    <w:name w:val="xl32"/>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8" w:customStyle="1">
    <w:name w:val="CM17"/>
    <w:basedOn w:val="816"/>
    <w:next w:val="816"/>
    <w:uiPriority w:val="0"/>
    <w:qFormat/>
    <w:pPr>
      <w:jc w:val="left"/>
      <w:spacing w:after="273" w:line="360" w:lineRule="auto"/>
    </w:pPr>
    <w:rPr>
      <w:rFonts w:ascii="宋体"/>
      <w:sz w:val="24"/>
    </w:rPr>
  </w:style>
  <w:style w:type="paragraph" w:styleId="1249" w:customStyle="1">
    <w:name w:val="xl38"/>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50" w:customStyle="1">
    <w:name w:val="参考资料清单+倾斜+蓝色"/>
    <w:basedOn w:val="816"/>
    <w:uiPriority w:val="0"/>
    <w:qFormat/>
    <w:pPr>
      <w:spacing w:line="360" w:lineRule="auto"/>
    </w:pPr>
    <w:rPr>
      <w:rFonts w:ascii="Arial" w:hAnsi="Arial"/>
      <w:i/>
      <w:iCs/>
      <w:color w:val="0000ff"/>
      <w:szCs w:val="21"/>
    </w:rPr>
  </w:style>
  <w:style w:type="paragraph" w:styleId="125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2" w:customStyle="1">
    <w:name w:val="pa-8"/>
    <w:basedOn w:val="816"/>
    <w:uiPriority w:val="0"/>
    <w:qFormat/>
    <w:pPr>
      <w:ind w:firstLine="480"/>
      <w:spacing w:line="280" w:lineRule="atLeast"/>
      <w:widowControl/>
    </w:pPr>
    <w:rPr>
      <w:rFonts w:ascii="宋体" w:cs="宋体"/>
      <w:sz w:val="24"/>
    </w:rPr>
  </w:style>
  <w:style w:type="paragraph" w:styleId="1253" w:customStyle="1">
    <w:name w:val="标书2"/>
    <w:next w:val="1195"/>
    <w:uiPriority w:val="0"/>
    <w:qFormat/>
    <w:rPr>
      <w:rFonts w:ascii="Times New Roman" w:hAnsi="Times New Roman" w:eastAsia="黑体" w:cs="宋体"/>
      <w:b/>
      <w:sz w:val="44"/>
      <w:lang w:val="en-US" w:eastAsia="zh-CN" w:bidi="ar-SA"/>
    </w:rPr>
  </w:style>
  <w:style w:type="paragraph" w:styleId="1254" w:customStyle="1">
    <w:name w:val="表格文字"/>
    <w:basedOn w:val="816"/>
    <w:uiPriority w:val="0"/>
    <w:qFormat/>
    <w:pPr>
      <w:jc w:val="left"/>
    </w:pPr>
    <w:rPr>
      <w:sz w:val="18"/>
    </w:rPr>
  </w:style>
  <w:style w:type="paragraph" w:styleId="1255" w:customStyle="1">
    <w:name w:val="首页空格"/>
    <w:uiPriority w:val="0"/>
    <w:qFormat/>
    <w:pPr>
      <w:jc w:val="center"/>
    </w:pPr>
    <w:rPr>
      <w:rFonts w:ascii="Times New Roman" w:hAnsi="Times New Roman" w:eastAsia="宋体" w:cs="宋体"/>
      <w:sz w:val="72"/>
      <w:lang w:val="en-US" w:eastAsia="zh-CN" w:bidi="ar-SA"/>
    </w:rPr>
  </w:style>
  <w:style w:type="paragraph" w:styleId="1256" w:customStyle="1">
    <w:name w:val="保密事宜格式"/>
    <w:basedOn w:val="113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5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58" w:customStyle="1">
    <w:name w:val="È±Ê¡ÎÄ±¾"/>
    <w:basedOn w:val="816"/>
    <w:uiPriority w:val="0"/>
    <w:qFormat/>
    <w:pPr>
      <w:jc w:val="left"/>
      <w:spacing w:line="360" w:lineRule="auto"/>
      <w:widowControl/>
    </w:pPr>
    <w:rPr>
      <w:sz w:val="24"/>
      <w:szCs w:val="20"/>
    </w:rPr>
  </w:style>
  <w:style w:type="paragraph" w:styleId="1259" w:customStyle="1">
    <w:name w:val="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60" w:customStyle="1">
    <w:name w:val="附图居中"/>
    <w:basedOn w:val="816"/>
    <w:next w:val="1234"/>
    <w:uiPriority w:val="0"/>
    <w:qFormat/>
    <w:pPr>
      <w:ind w:left="1271" w:hanging="420"/>
      <w:jc w:val="center"/>
      <w:keepNext/>
      <w:spacing w:line="360" w:lineRule="auto"/>
      <w:tabs>
        <w:tab w:val="left" w:pos="0" w:leader="none"/>
      </w:tabs>
    </w:pPr>
    <w:rPr>
      <w:caps/>
      <w:sz w:val="24"/>
    </w:rPr>
  </w:style>
  <w:style w:type="paragraph" w:styleId="1261" w:customStyle="1">
    <w:name w:val="pa-6"/>
    <w:basedOn w:val="816"/>
    <w:uiPriority w:val="0"/>
    <w:qFormat/>
    <w:pPr>
      <w:spacing w:line="360" w:lineRule="atLeast"/>
      <w:widowControl/>
    </w:pPr>
    <w:rPr>
      <w:rFonts w:ascii="宋体"/>
      <w:sz w:val="24"/>
      <w:szCs w:val="20"/>
    </w:rPr>
  </w:style>
  <w:style w:type="paragraph" w:styleId="1262" w:customStyle="1">
    <w:name w:val="规范正文"/>
    <w:basedOn w:val="816"/>
    <w:uiPriority w:val="0"/>
    <w:qFormat/>
    <w:pPr>
      <w:ind w:left="480"/>
      <w:spacing w:line="360" w:lineRule="auto"/>
    </w:pPr>
    <w:rPr>
      <w:sz w:val="24"/>
      <w:szCs w:val="20"/>
    </w:rPr>
  </w:style>
  <w:style w:type="paragraph" w:styleId="1263" w:customStyle="1">
    <w:name w:val="缺省文本"/>
    <w:basedOn w:val="816"/>
    <w:uiPriority w:val="0"/>
    <w:qFormat/>
    <w:pPr>
      <w:jc w:val="left"/>
    </w:pPr>
    <w:rPr>
      <w:sz w:val="24"/>
      <w:szCs w:val="20"/>
    </w:rPr>
  </w:style>
  <w:style w:type="paragraph" w:styleId="1264" w:customStyle="1">
    <w:name w:val="序号-----------"/>
    <w:basedOn w:val="816"/>
    <w:uiPriority w:val="0"/>
    <w:qFormat/>
    <w:pPr>
      <w:jc w:val="left"/>
      <w:widowControl/>
    </w:pPr>
    <w:rPr>
      <w:rFonts w:ascii="宋体"/>
      <w:bCs/>
      <w:szCs w:val="21"/>
    </w:rPr>
  </w:style>
  <w:style w:type="paragraph" w:styleId="1265" w:customStyle="1">
    <w:name w:val="font8"/>
    <w:basedOn w:val="816"/>
    <w:uiPriority w:val="0"/>
    <w:qFormat/>
    <w:pPr>
      <w:jc w:val="left"/>
      <w:spacing w:before="100" w:beforeAutospacing="1" w:after="100" w:afterAutospacing="1"/>
      <w:widowControl/>
    </w:pPr>
    <w:rPr>
      <w:rFonts w:ascii="Arial" w:hAnsi="Arial" w:cs="Arial"/>
      <w:color w:val="000000"/>
      <w:sz w:val="18"/>
      <w:szCs w:val="18"/>
    </w:rPr>
  </w:style>
  <w:style w:type="paragraph" w:styleId="1266" w:customStyle="1">
    <w:name w:val="表格标题"/>
    <w:basedOn w:val="816"/>
    <w:uiPriority w:val="0"/>
    <w:qFormat/>
    <w:pPr>
      <w:jc w:val="center"/>
    </w:pPr>
    <w:rPr>
      <w:b/>
    </w:rPr>
  </w:style>
  <w:style w:type="paragraph" w:styleId="1267" w:customStyle="1">
    <w:name w:val="章标题"/>
    <w:next w:val="121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8" w:customStyle="1">
    <w:name w:val="首页单位日期"/>
    <w:basedOn w:val="816"/>
    <w:uiPriority w:val="0"/>
    <w:qFormat/>
    <w:pPr>
      <w:jc w:val="center"/>
      <w:widowControl/>
    </w:pPr>
    <w:rPr>
      <w:rFonts w:ascii="宋体" w:cs="宋体"/>
      <w:bCs/>
      <w:sz w:val="28"/>
      <w:szCs w:val="20"/>
    </w:rPr>
  </w:style>
  <w:style w:type="paragraph" w:styleId="1269" w:customStyle="1">
    <w:name w:val="样式 正文缩进 + (中文) 仿宋_GB2312 小四 Char"/>
    <w:basedOn w:val="1014"/>
    <w:uiPriority w:val="0"/>
    <w:qFormat/>
    <w:pPr>
      <w:ind w:firstLine="200"/>
      <w:spacing w:line="360" w:lineRule="auto"/>
    </w:pPr>
    <w:rPr>
      <w:rFonts w:ascii="宋体"/>
      <w:sz w:val="24"/>
      <w:szCs w:val="24"/>
    </w:rPr>
  </w:style>
  <w:style w:type="paragraph" w:styleId="1270" w:customStyle="1">
    <w:name w:val="项目"/>
    <w:basedOn w:val="816"/>
    <w:uiPriority w:val="0"/>
    <w:qFormat/>
    <w:pPr>
      <w:ind w:left="840" w:hanging="420"/>
      <w:spacing w:before="60" w:after="60" w:line="360" w:lineRule="auto"/>
      <w:tabs>
        <w:tab w:val="left" w:pos="840" w:leader="none"/>
      </w:tabs>
    </w:pPr>
    <w:rPr>
      <w:rFonts w:ascii="宋体"/>
      <w:szCs w:val="20"/>
    </w:rPr>
  </w:style>
  <w:style w:type="paragraph" w:styleId="1271" w:customStyle="1">
    <w:name w:val="默认段落字体 Para Char"/>
    <w:basedOn w:val="816"/>
    <w:uiPriority w:val="0"/>
    <w:qFormat/>
    <w:rPr>
      <w:rFonts w:ascii="宋体"/>
      <w:b/>
      <w:sz w:val="28"/>
      <w:szCs w:val="28"/>
    </w:rPr>
  </w:style>
  <w:style w:type="paragraph" w:styleId="1272" w:customStyle="1">
    <w:name w:val="篇名"/>
    <w:next w:val="101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73" w:customStyle="1">
    <w:name w:val="Char13"/>
    <w:basedOn w:val="816"/>
    <w:uiPriority w:val="0"/>
    <w:qFormat/>
  </w:style>
  <w:style w:type="paragraph" w:styleId="1274" w:customStyle="1">
    <w:name w:val="表头"/>
    <w:basedOn w:val="1231"/>
    <w:uiPriority w:val="0"/>
    <w:qFormat/>
    <w:pPr>
      <w:ind w:left="0" w:firstLine="0"/>
      <w:spacing w:line="240" w:lineRule="auto"/>
    </w:pPr>
    <w:rPr>
      <w:sz w:val="20"/>
    </w:rPr>
  </w:style>
  <w:style w:type="paragraph" w:styleId="1275" w:customStyle="1">
    <w:name w:val="表格序号"/>
    <w:uiPriority w:val="0"/>
    <w:qFormat/>
    <w:rPr>
      <w:rFonts w:ascii="Times New Roman" w:hAnsi="Times New Roman" w:eastAsia="仿宋_GB2312" w:cs="宋体"/>
      <w:sz w:val="21"/>
      <w:lang w:val="en-US" w:eastAsia="zh-CN" w:bidi="ar-SA"/>
    </w:rPr>
  </w:style>
  <w:style w:type="paragraph" w:styleId="1276" w:customStyle="1">
    <w:name w:val="Char Char Char Char1"/>
    <w:basedOn w:val="816"/>
    <w:uiPriority w:val="0"/>
    <w:qFormat/>
    <w:pPr>
      <w:ind w:firstLine="200"/>
      <w:spacing w:line="360" w:lineRule="auto"/>
    </w:pPr>
    <w:rPr>
      <w:sz w:val="24"/>
      <w:szCs w:val="20"/>
    </w:rPr>
  </w:style>
  <w:style w:type="paragraph" w:styleId="1277" w:customStyle="1">
    <w:name w:val="标书3"/>
    <w:next w:val="1195"/>
    <w:uiPriority w:val="0"/>
    <w:qFormat/>
    <w:pPr>
      <w:jc w:val="center"/>
      <w:widowControl w:val="off"/>
    </w:pPr>
    <w:rPr>
      <w:rFonts w:ascii="Times New Roman" w:hAnsi="Times New Roman" w:eastAsia="黑体" w:cs="Times New Roman"/>
      <w:b/>
      <w:sz w:val="44"/>
      <w:szCs w:val="24"/>
      <w:lang w:val="en-US" w:eastAsia="zh-CN" w:bidi="ar-SA"/>
    </w:rPr>
  </w:style>
  <w:style w:type="paragraph" w:styleId="1278" w:customStyle="1">
    <w:name w:val="首页小标题"/>
    <w:next w:val="1255"/>
    <w:uiPriority w:val="0"/>
    <w:qFormat/>
    <w:pPr>
      <w:jc w:val="center"/>
    </w:pPr>
    <w:rPr>
      <w:rFonts w:ascii="Times New Roman" w:hAnsi="Times New Roman" w:eastAsia="宋体" w:cs="宋体"/>
      <w:sz w:val="44"/>
      <w:lang w:val="en-US" w:eastAsia="zh-CN" w:bidi="ar-SA"/>
    </w:rPr>
  </w:style>
  <w:style w:type="paragraph" w:styleId="1279" w:customStyle="1">
    <w:name w:val="新段落缩进"/>
    <w:basedOn w:val="816"/>
    <w:uiPriority w:val="0"/>
    <w:qFormat/>
    <w:pPr>
      <w:ind w:firstLine="200"/>
      <w:spacing w:line="400" w:lineRule="exact"/>
    </w:pPr>
    <w:rPr>
      <w:rFonts w:ascii="仿宋_GB2312" w:eastAsia="仿宋_GB2312"/>
      <w:sz w:val="24"/>
    </w:rPr>
  </w:style>
  <w:style w:type="paragraph" w:styleId="1280" w:customStyle="1">
    <w:name w:val="pa-2"/>
    <w:basedOn w:val="816"/>
    <w:uiPriority w:val="0"/>
    <w:qFormat/>
    <w:pPr>
      <w:spacing w:line="360" w:lineRule="atLeast"/>
      <w:widowControl/>
    </w:pPr>
    <w:rPr>
      <w:rFonts w:ascii="宋体" w:cs="宋体"/>
      <w:sz w:val="24"/>
    </w:rPr>
  </w:style>
  <w:style w:type="paragraph" w:styleId="1281" w:customStyle="1">
    <w:name w:val="四级条标题"/>
    <w:basedOn w:val="1225"/>
    <w:next w:val="1219"/>
    <w:uiPriority w:val="0"/>
    <w:qFormat/>
    <w:pPr>
      <w:ind w:left="0"/>
      <w:outlineLvl w:val="5"/>
    </w:pPr>
  </w:style>
  <w:style w:type="paragraph" w:styleId="1282" w:customStyle="1">
    <w:name w:val="保密事宜内容"/>
    <w:basedOn w:val="8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3" w:customStyle="1">
    <w:name w:val="Char1 Char Char Char"/>
    <w:basedOn w:val="816"/>
    <w:uiPriority w:val="0"/>
    <w:qFormat/>
    <w:rPr>
      <w:szCs w:val="20"/>
    </w:rPr>
  </w:style>
  <w:style w:type="paragraph" w:styleId="1284" w:customStyle="1">
    <w:name w:val="正文 + 宋体"/>
    <w:basedOn w:val="816"/>
    <w:uiPriority w:val="0"/>
    <w:qFormat/>
    <w:pPr>
      <w:ind w:firstLine="250"/>
    </w:pPr>
    <w:rPr>
      <w:rFonts w:ascii="宋体"/>
      <w:szCs w:val="21"/>
    </w:rPr>
  </w:style>
  <w:style w:type="paragraph" w:styleId="1285" w:customStyle="1">
    <w:name w:val="xl31"/>
    <w:basedOn w:val="8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86" w:customStyle="1">
    <w:name w:val="pbody"/>
    <w:basedOn w:val="816"/>
    <w:uiPriority w:val="0"/>
    <w:qFormat/>
    <w:pPr>
      <w:jc w:val="left"/>
      <w:spacing w:before="100" w:beforeAutospacing="1" w:after="100" w:afterAutospacing="1" w:line="360" w:lineRule="auto"/>
      <w:widowControl/>
    </w:pPr>
    <w:rPr>
      <w:rFonts w:ascii="宋体" w:cs="宋体"/>
      <w:sz w:val="24"/>
    </w:rPr>
  </w:style>
  <w:style w:type="paragraph" w:styleId="1287" w:customStyle="1">
    <w:name w:val="xl42"/>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88" w:customStyle="1">
    <w:name w:val="txt"/>
    <w:basedOn w:val="816"/>
    <w:uiPriority w:val="0"/>
    <w:qFormat/>
    <w:pPr>
      <w:jc w:val="left"/>
      <w:spacing w:before="100" w:beforeAutospacing="1" w:after="100" w:afterAutospacing="1"/>
      <w:widowControl/>
    </w:pPr>
    <w:rPr>
      <w:rFonts w:ascii="宋体" w:cs="宋体"/>
      <w:sz w:val="24"/>
    </w:rPr>
  </w:style>
  <w:style w:type="paragraph" w:styleId="1289" w:customStyle="1">
    <w:name w:val="xl37"/>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91" w:customStyle="1">
    <w:name w:val="样式 序号----------- + 仿宋_GB2312"/>
    <w:basedOn w:val="1264"/>
    <w:uiPriority w:val="0"/>
    <w:qFormat/>
    <w:pPr>
      <w:ind w:firstLine="200"/>
      <w:spacing w:line="360" w:lineRule="auto"/>
    </w:pPr>
    <w:rPr>
      <w:rFonts w:ascii="仿宋_GB2312" w:eastAsia="仿宋_GB2312"/>
      <w:bCs w:val="0"/>
    </w:rPr>
  </w:style>
  <w:style w:type="paragraph" w:styleId="1292" w:customStyle="1">
    <w:name w:val="xl41"/>
    <w:basedOn w:val="8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93" w:customStyle="1">
    <w:name w:val="Char11"/>
    <w:basedOn w:val="816"/>
    <w:uiPriority w:val="0"/>
    <w:qFormat/>
    <w:rPr>
      <w:szCs w:val="21"/>
    </w:rPr>
  </w:style>
  <w:style w:type="paragraph" w:styleId="1294" w:customStyle="1">
    <w:name w:val="样式 序号----------- + 仿宋_GB23121"/>
    <w:basedOn w:val="1264"/>
    <w:uiPriority w:val="0"/>
    <w:qFormat/>
    <w:pPr>
      <w:spacing w:line="360" w:lineRule="auto"/>
    </w:pPr>
    <w:rPr>
      <w:rFonts w:ascii="仿宋_GB2312" w:eastAsia="仿宋_GB2312"/>
      <w:bCs w:val="0"/>
    </w:rPr>
  </w:style>
  <w:style w:type="paragraph" w:styleId="1295" w:customStyle="1">
    <w:name w:val="pa-9"/>
    <w:basedOn w:val="816"/>
    <w:uiPriority w:val="0"/>
    <w:qFormat/>
    <w:pPr>
      <w:jc w:val="center"/>
      <w:spacing w:line="360" w:lineRule="atLeast"/>
      <w:widowControl/>
    </w:pPr>
    <w:rPr>
      <w:rFonts w:ascii="宋体" w:cs="宋体"/>
      <w:sz w:val="24"/>
    </w:rPr>
  </w:style>
  <w:style w:type="paragraph" w:styleId="1296" w:customStyle="1">
    <w:name w:val="pa-3"/>
    <w:basedOn w:val="816"/>
    <w:uiPriority w:val="0"/>
    <w:qFormat/>
    <w:pPr>
      <w:jc w:val="left"/>
      <w:spacing w:before="150" w:after="150"/>
      <w:widowControl/>
    </w:pPr>
    <w:rPr>
      <w:rFonts w:ascii="宋体" w:cs="宋体"/>
      <w:sz w:val="24"/>
    </w:rPr>
  </w:style>
  <w:style w:type="paragraph" w:styleId="1297" w:customStyle="1">
    <w:name w:val="pa-5"/>
    <w:basedOn w:val="816"/>
    <w:uiPriority w:val="0"/>
    <w:qFormat/>
    <w:pPr>
      <w:spacing w:line="280" w:lineRule="atLeast"/>
      <w:widowControl/>
    </w:pPr>
    <w:rPr>
      <w:rFonts w:ascii="宋体" w:cs="宋体"/>
      <w:sz w:val="24"/>
    </w:rPr>
  </w:style>
  <w:style w:type="paragraph" w:styleId="1298" w:customStyle="1">
    <w:name w:val="xl39"/>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99" w:customStyle="1">
    <w:name w:val="font9"/>
    <w:basedOn w:val="816"/>
    <w:uiPriority w:val="0"/>
    <w:qFormat/>
    <w:pPr>
      <w:jc w:val="left"/>
      <w:spacing w:before="100" w:beforeAutospacing="1" w:after="100" w:afterAutospacing="1"/>
      <w:widowControl/>
    </w:pPr>
    <w:rPr>
      <w:rFonts w:ascii="宋体"/>
      <w:color w:val="000000"/>
      <w:sz w:val="18"/>
      <w:szCs w:val="18"/>
    </w:rPr>
  </w:style>
  <w:style w:type="paragraph" w:styleId="1300" w:customStyle="1">
    <w:name w:val="p0"/>
    <w:basedOn w:val="816"/>
    <w:uiPriority w:val="0"/>
    <w:qFormat/>
    <w:pPr>
      <w:widowControl/>
    </w:pPr>
    <w:rPr>
      <w:szCs w:val="21"/>
    </w:rPr>
  </w:style>
  <w:style w:type="paragraph" w:styleId="130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02" w:customStyle="1">
    <w:name w:val="表格正文"/>
    <w:basedOn w:val="816"/>
    <w:uiPriority w:val="0"/>
    <w:qFormat/>
    <w:pPr>
      <w:spacing w:line="300" w:lineRule="auto"/>
      <w:tabs>
        <w:tab w:val="left" w:pos="420" w:leader="none"/>
      </w:tabs>
    </w:pPr>
  </w:style>
  <w:style w:type="paragraph" w:styleId="1303" w:customStyle="1">
    <w:name w:val="首页标题小初"/>
    <w:uiPriority w:val="0"/>
    <w:qFormat/>
    <w:pPr>
      <w:jc w:val="center"/>
    </w:pPr>
    <w:rPr>
      <w:rFonts w:ascii="黑体" w:hAnsi="Times New Roman" w:eastAsia="黑体" w:cs="宋体"/>
      <w:sz w:val="72"/>
      <w:lang w:val="en-US" w:eastAsia="zh-CN" w:bidi="ar-SA"/>
    </w:rPr>
  </w:style>
  <w:style w:type="paragraph" w:styleId="1304" w:customStyle="1">
    <w:name w:val="五级条标题"/>
    <w:basedOn w:val="1281"/>
    <w:next w:val="1219"/>
    <w:uiPriority w:val="0"/>
    <w:qFormat/>
    <w:pPr>
      <w:outlineLvl w:val="6"/>
    </w:pPr>
  </w:style>
  <w:style w:type="paragraph" w:styleId="1305" w:customStyle="1">
    <w:name w:val="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306" w:customStyle="1">
    <w:name w:val="ibm-list-next"/>
    <w:basedOn w:val="816"/>
    <w:uiPriority w:val="0"/>
    <w:qFormat/>
    <w:pPr>
      <w:jc w:val="left"/>
      <w:spacing w:before="100" w:beforeAutospacing="1" w:after="100" w:afterAutospacing="1"/>
      <w:widowControl/>
    </w:pPr>
    <w:rPr>
      <w:rFonts w:ascii="宋体" w:cs="宋体"/>
      <w:sz w:val="24"/>
    </w:rPr>
  </w:style>
  <w:style w:type="paragraph" w:styleId="1307" w:customStyle="1">
    <w:name w:val="首页标题 一号"/>
    <w:basedOn w:val="1303"/>
    <w:uiPriority w:val="0"/>
    <w:qFormat/>
    <w:rPr>
      <w:sz w:val="52"/>
    </w:rPr>
  </w:style>
  <w:style w:type="paragraph" w:styleId="1308" w:customStyle="1">
    <w:name w:val="Char Char Char Char Char Char Char Char Char Char2"/>
    <w:basedOn w:val="816"/>
    <w:uiPriority w:val="0"/>
    <w:qFormat/>
    <w:rPr>
      <w:rFonts w:ascii="Tahoma" w:hAnsi="Tahoma"/>
      <w:sz w:val="24"/>
      <w:szCs w:val="20"/>
    </w:rPr>
  </w:style>
  <w:style w:type="paragraph" w:styleId="1309" w:customStyle="1">
    <w:name w:val="正文（编号）"/>
    <w:basedOn w:val="1182"/>
    <w:link w:val="1310"/>
    <w:uiPriority w:val="0"/>
    <w:qFormat/>
    <w:pPr>
      <w:ind w:left="720" w:firstLine="0"/>
      <w:tabs>
        <w:tab w:val="left" w:pos="720" w:leader="none"/>
        <w:tab w:val="left" w:pos="780" w:leader="none"/>
      </w:tabs>
    </w:pPr>
    <w:rPr>
      <w:rFonts w:ascii="Times New Roman" w:hAnsi="Times New Roman"/>
      <w:szCs w:val="24"/>
    </w:rPr>
  </w:style>
  <w:style w:type="character" w:styleId="1310" w:customStyle="1">
    <w:name w:val="正文（编号） Char Char"/>
    <w:link w:val="1309"/>
    <w:uiPriority w:val="0"/>
    <w:qFormat/>
    <w:rPr>
      <w:rFonts w:ascii="Times New Roman" w:hAnsi="Times New Roman"/>
      <w:sz w:val="24"/>
      <w:szCs w:val="24"/>
    </w:rPr>
  </w:style>
  <w:style w:type="paragraph" w:styleId="1311" w:customStyle="1">
    <w:name w:val="表格"/>
    <w:basedOn w:val="816"/>
    <w:uiPriority w:val="0"/>
    <w:qFormat/>
    <w:pPr>
      <w:ind w:firstLine="21"/>
    </w:pPr>
    <w:rPr>
      <w:rFonts w:ascii="宋体"/>
      <w:szCs w:val="20"/>
    </w:rPr>
  </w:style>
  <w:style w:type="character" w:styleId="1312" w:customStyle="1">
    <w:name w:val="正文（缩进） Char Char"/>
    <w:uiPriority w:val="0"/>
    <w:qFormat/>
    <w:rPr>
      <w:rFonts w:eastAsia="宋体"/>
      <w:sz w:val="24"/>
      <w:szCs w:val="24"/>
      <w:lang w:val="en-US" w:eastAsia="zh-CN" w:bidi="ar-SA"/>
    </w:rPr>
  </w:style>
  <w:style w:type="paragraph" w:styleId="1313" w:customStyle="1">
    <w:name w:val="Char Char Char1"/>
    <w:basedOn w:val="816"/>
    <w:uiPriority w:val="0"/>
    <w:qFormat/>
    <w:rPr>
      <w:szCs w:val="21"/>
    </w:rPr>
  </w:style>
  <w:style w:type="paragraph" w:styleId="1314" w:customStyle="1">
    <w:name w:val="样式 正文2 + 首行缩进:  0 厘米 段后: 1.5 行"/>
    <w:basedOn w:val="81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15" w:customStyle="1">
    <w:name w:val="表中文字"/>
    <w:basedOn w:val="816"/>
    <w:uiPriority w:val="0"/>
    <w:qFormat/>
    <w:pPr>
      <w:widowControl/>
    </w:pPr>
    <w:rPr>
      <w:szCs w:val="20"/>
    </w:rPr>
  </w:style>
  <w:style w:type="character" w:styleId="1316" w:customStyle="1">
    <w:name w:val="z1"/>
    <w:uiPriority w:val="0"/>
    <w:qFormat/>
  </w:style>
  <w:style w:type="paragraph" w:styleId="1317" w:customStyle="1">
    <w:name w:val="a1"/>
    <w:basedOn w:val="816"/>
    <w:uiPriority w:val="0"/>
    <w:qFormat/>
    <w:pPr>
      <w:jc w:val="left"/>
      <w:spacing w:before="100" w:beforeAutospacing="1" w:after="100" w:afterAutospacing="1"/>
      <w:widowControl/>
    </w:pPr>
    <w:rPr>
      <w:rFonts w:ascii="宋体"/>
      <w:sz w:val="24"/>
    </w:rPr>
  </w:style>
  <w:style w:type="paragraph" w:styleId="1318" w:customStyle="1">
    <w:name w:val="a0"/>
    <w:basedOn w:val="816"/>
    <w:uiPriority w:val="0"/>
    <w:qFormat/>
    <w:pPr>
      <w:jc w:val="left"/>
      <w:spacing w:before="100" w:beforeAutospacing="1" w:after="100" w:afterAutospacing="1"/>
      <w:widowControl/>
    </w:pPr>
    <w:rPr>
      <w:rFonts w:ascii="宋体"/>
      <w:sz w:val="24"/>
    </w:rPr>
  </w:style>
  <w:style w:type="paragraph" w:styleId="1319" w:customStyle="1">
    <w:name w:val="tabletext"/>
    <w:basedOn w:val="816"/>
    <w:uiPriority w:val="0"/>
    <w:qFormat/>
    <w:pPr>
      <w:jc w:val="left"/>
      <w:spacing w:before="100" w:beforeAutospacing="1" w:after="100" w:afterAutospacing="1"/>
      <w:widowControl/>
    </w:pPr>
    <w:rPr>
      <w:rFonts w:ascii="宋体"/>
      <w:sz w:val="24"/>
    </w:rPr>
  </w:style>
  <w:style w:type="paragraph" w:styleId="1320" w:customStyle="1">
    <w:name w:val="我的样式"/>
    <w:basedOn w:val="816"/>
    <w:uiPriority w:val="0"/>
    <w:qFormat/>
    <w:pPr>
      <w:ind w:firstLine="420"/>
      <w:jc w:val="left"/>
      <w:spacing w:after="120"/>
      <w:widowControl/>
    </w:pPr>
    <w:rPr>
      <w:rFonts w:ascii="宋体"/>
      <w:color w:val="000000"/>
      <w:sz w:val="24"/>
      <w:szCs w:val="16"/>
    </w:rPr>
  </w:style>
  <w:style w:type="paragraph" w:styleId="1321" w:customStyle="1">
    <w:name w:val="Figure and Table Title"/>
    <w:basedOn w:val="816"/>
    <w:uiPriority w:val="0"/>
    <w:qFormat/>
    <w:pPr>
      <w:ind w:left="2160"/>
      <w:jc w:val="left"/>
      <w:widowControl/>
    </w:pPr>
    <w:rPr>
      <w:rFonts w:ascii="Helvetica-Light" w:hAnsi="Helvetica-Light"/>
      <w:b/>
      <w:bCs/>
      <w:sz w:val="20"/>
      <w:lang w:eastAsia="en-US"/>
    </w:rPr>
  </w:style>
  <w:style w:type="paragraph" w:styleId="1322" w:customStyle="1">
    <w:name w:val="Table Text/Title"/>
    <w:basedOn w:val="816"/>
    <w:uiPriority w:val="0"/>
    <w:qFormat/>
    <w:pPr>
      <w:jc w:val="left"/>
      <w:widowControl/>
    </w:pPr>
    <w:rPr>
      <w:rFonts w:ascii="宋体"/>
      <w:b/>
      <w:bCs/>
      <w:sz w:val="20"/>
      <w:szCs w:val="20"/>
      <w:lang w:eastAsia="en-US"/>
    </w:rPr>
  </w:style>
  <w:style w:type="paragraph" w:styleId="1323" w:customStyle="1">
    <w:name w:val="Sourcetext bullet"/>
    <w:basedOn w:val="81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4" w:customStyle="1">
    <w:name w:val="无标题正文 Char Char Char Char Char Char Char Char Char Char Char Char Char Char Char Char Char Char Char Char Char Char Char Char Char Char Char1 Char"/>
    <w:basedOn w:val="816"/>
    <w:uiPriority w:val="0"/>
    <w:qFormat/>
    <w:pPr>
      <w:jc w:val="center"/>
      <w:spacing w:after="160" w:line="240" w:lineRule="exact"/>
      <w:widowControl/>
    </w:pPr>
    <w:rPr>
      <w:rFonts w:ascii="Arial" w:hAnsi="Arial"/>
      <w:sz w:val="20"/>
      <w:szCs w:val="20"/>
      <w:lang w:eastAsia="en-US"/>
    </w:rPr>
  </w:style>
  <w:style w:type="character" w:styleId="1325" w:customStyle="1">
    <w:name w:val="style91"/>
    <w:uiPriority w:val="0"/>
    <w:qFormat/>
    <w:rPr>
      <w:color w:val="2060c0"/>
      <w:sz w:val="24"/>
      <w:szCs w:val="24"/>
    </w:rPr>
  </w:style>
  <w:style w:type="paragraph" w:styleId="1326" w:customStyle="1">
    <w:name w:val="标准小四"/>
    <w:basedOn w:val="816"/>
    <w:uiPriority w:val="0"/>
    <w:qFormat/>
    <w:pPr>
      <w:ind w:firstLine="200"/>
      <w:spacing w:line="360" w:lineRule="auto"/>
    </w:pPr>
    <w:rPr>
      <w:rFonts w:ascii="Arial" w:hAnsi="Arial"/>
      <w:sz w:val="24"/>
      <w:szCs w:val="21"/>
    </w:rPr>
  </w:style>
  <w:style w:type="paragraph" w:styleId="1327" w:customStyle="1">
    <w:name w:val="样式 正文首行缩进 + 宋体 首行缩进:  0.74 厘米"/>
    <w:basedOn w:val="1068"/>
    <w:uiPriority w:val="0"/>
    <w:qFormat/>
    <w:pPr>
      <w:ind w:firstLine="210"/>
      <w:spacing w:before="120" w:line="380" w:lineRule="exact"/>
    </w:pPr>
    <w:rPr>
      <w:rFonts w:ascii="宋体" w:eastAsia="宋体" w:cs="宋体"/>
      <w:sz w:val="24"/>
      <w:szCs w:val="20"/>
    </w:rPr>
  </w:style>
  <w:style w:type="paragraph" w:styleId="1328" w:customStyle="1">
    <w:name w:val="默认段落字体 Para Char Char Char Char Char Char Char Char Char1"/>
    <w:basedOn w:val="816"/>
    <w:uiPriority w:val="0"/>
    <w:qFormat/>
    <w:rPr>
      <w:rFonts w:ascii="Tahoma" w:hAnsi="Tahoma"/>
      <w:sz w:val="24"/>
      <w:szCs w:val="20"/>
    </w:rPr>
  </w:style>
  <w:style w:type="paragraph" w:styleId="1329" w:customStyle="1">
    <w:name w:val="正文小四"/>
    <w:basedOn w:val="816"/>
    <w:uiPriority w:val="0"/>
    <w:qFormat/>
    <w:pPr>
      <w:spacing w:line="312" w:lineRule="auto"/>
    </w:pPr>
    <w:rPr>
      <w:sz w:val="24"/>
    </w:rPr>
  </w:style>
  <w:style w:type="paragraph" w:styleId="1330" w:customStyle="1">
    <w:name w:val="ul"/>
    <w:basedOn w:val="816"/>
    <w:uiPriority w:val="0"/>
    <w:qFormat/>
    <w:pPr>
      <w:numPr>
        <w:ilvl w:val="0"/>
        <w:numId w:val="1"/>
      </w:numPr>
      <w:ind w:left="567" w:hanging="85"/>
      <w:jc w:val="left"/>
      <w:spacing w:line="360" w:lineRule="auto"/>
      <w:widowControl/>
      <w:tabs>
        <w:tab w:val="left" w:pos="842" w:leader="none"/>
      </w:tabs>
    </w:pPr>
    <w:rPr>
      <w:sz w:val="24"/>
    </w:rPr>
  </w:style>
  <w:style w:type="paragraph" w:styleId="1331" w:customStyle="1">
    <w:name w:val="Bullet"/>
    <w:basedOn w:val="81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2" w:customStyle="1">
    <w:name w:val="正文（首行缩进）"/>
    <w:basedOn w:val="816"/>
    <w:uiPriority w:val="0"/>
    <w:qFormat/>
    <w:pPr>
      <w:ind w:firstLine="482"/>
      <w:spacing w:before="120" w:line="360" w:lineRule="auto"/>
      <w:widowControl/>
    </w:pPr>
    <w:rPr>
      <w:sz w:val="24"/>
      <w:szCs w:val="20"/>
    </w:rPr>
  </w:style>
  <w:style w:type="character" w:styleId="1333" w:customStyle="1">
    <w:name w:val="style161"/>
    <w:uiPriority w:val="0"/>
    <w:qFormat/>
    <w:rPr>
      <w:rFonts w:ascii="Verdana" w:hAnsi="Verdana" w:eastAsia="宋体"/>
      <w:b/>
      <w:color w:val="0a246a"/>
      <w:sz w:val="24"/>
      <w:szCs w:val="24"/>
      <w:lang w:val="en-US" w:eastAsia="zh-CN" w:bidi="ar-SA"/>
    </w:rPr>
  </w:style>
  <w:style w:type="paragraph" w:styleId="1334" w:customStyle="1">
    <w:name w:val="正文（首行缩进两字）"/>
    <w:basedOn w:val="816"/>
    <w:uiPriority w:val="0"/>
    <w:qFormat/>
    <w:pPr>
      <w:spacing w:line="312" w:lineRule="auto"/>
    </w:pPr>
    <w:rPr>
      <w:rFonts w:ascii="宋体" w:cs="宋体"/>
      <w:sz w:val="24"/>
    </w:rPr>
  </w:style>
  <w:style w:type="paragraph" w:styleId="1335" w:customStyle="1">
    <w:name w:val="正文文字缩进 3"/>
    <w:basedOn w:val="816"/>
    <w:uiPriority w:val="0"/>
    <w:qFormat/>
    <w:pPr>
      <w:ind w:left="420" w:firstLine="420"/>
      <w:spacing w:line="312" w:lineRule="auto"/>
    </w:pPr>
    <w:rPr>
      <w:rFonts w:ascii="黑体" w:hAnsi="黑体" w:cs="宋体"/>
      <w:bCs/>
      <w:color w:val="000000"/>
      <w:sz w:val="24"/>
    </w:rPr>
  </w:style>
  <w:style w:type="paragraph" w:styleId="1336" w:customStyle="1">
    <w:name w:val="技术方案3"/>
    <w:basedOn w:val="816"/>
    <w:uiPriority w:val="0"/>
    <w:qFormat/>
    <w:pPr>
      <w:spacing w:line="360" w:lineRule="auto"/>
    </w:pPr>
    <w:rPr>
      <w:rFonts w:ascii="宋体"/>
      <w:b/>
      <w:bCs/>
      <w:sz w:val="32"/>
    </w:rPr>
  </w:style>
  <w:style w:type="paragraph" w:styleId="1337" w:customStyle="1">
    <w:name w:val="技术方案2"/>
    <w:basedOn w:val="816"/>
    <w:uiPriority w:val="0"/>
    <w:qFormat/>
    <w:pPr>
      <w:spacing w:line="480" w:lineRule="auto"/>
    </w:pPr>
    <w:rPr>
      <w:rFonts w:ascii="宋体"/>
      <w:b/>
      <w:bCs/>
      <w:sz w:val="36"/>
    </w:rPr>
  </w:style>
  <w:style w:type="paragraph" w:styleId="1338" w:customStyle="1">
    <w:name w:val="技术方案正文"/>
    <w:basedOn w:val="816"/>
    <w:uiPriority w:val="0"/>
    <w:qFormat/>
    <w:pPr>
      <w:ind w:firstLine="480"/>
      <w:spacing w:line="360" w:lineRule="auto"/>
    </w:pPr>
    <w:rPr>
      <w:rFonts w:ascii="宋体"/>
      <w:sz w:val="24"/>
    </w:rPr>
  </w:style>
  <w:style w:type="paragraph" w:styleId="13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40" w:customStyle="1">
    <w:name w:val="Normal Paragraph"/>
    <w:basedOn w:val="816"/>
    <w:uiPriority w:val="0"/>
    <w:qFormat/>
    <w:pPr>
      <w:ind w:firstLine="425"/>
      <w:spacing w:before="120" w:line="360" w:lineRule="auto"/>
      <w:widowControl/>
    </w:pPr>
    <w:rPr>
      <w:sz w:val="24"/>
      <w:szCs w:val="20"/>
    </w:rPr>
  </w:style>
  <w:style w:type="paragraph" w:styleId="1341" w:customStyle="1">
    <w:name w:val="Normal Paragraph Char"/>
    <w:basedOn w:val="816"/>
    <w:uiPriority w:val="0"/>
    <w:qFormat/>
    <w:pPr>
      <w:ind w:firstLine="425"/>
      <w:spacing w:before="120" w:line="360" w:lineRule="auto"/>
      <w:widowControl/>
    </w:pPr>
    <w:rPr>
      <w:sz w:val="24"/>
    </w:rPr>
  </w:style>
  <w:style w:type="paragraph" w:styleId="1342" w:customStyle="1">
    <w:name w:val="文档正文"/>
    <w:basedOn w:val="816"/>
    <w:uiPriority w:val="0"/>
    <w:qFormat/>
    <w:rPr>
      <w:rFonts w:ascii="宋体"/>
      <w:szCs w:val="20"/>
    </w:rPr>
  </w:style>
  <w:style w:type="paragraph" w:styleId="1343" w:customStyle="1">
    <w:name w:val="默认段落字体 Para Char Char Char Char Char"/>
    <w:basedOn w:val="816"/>
    <w:uiPriority w:val="0"/>
    <w:qFormat/>
    <w:pPr>
      <w:ind w:firstLine="200"/>
      <w:jc w:val="left"/>
      <w:spacing w:before="100" w:beforeAutospacing="1" w:after="100" w:afterAutospacing="1" w:line="360" w:lineRule="auto"/>
    </w:pPr>
    <w:rPr>
      <w:rFonts w:ascii="Arial" w:hAnsi="Arial"/>
      <w:sz w:val="24"/>
      <w:lang w:eastAsia="en-US"/>
    </w:rPr>
  </w:style>
  <w:style w:type="paragraph" w:styleId="1344" w:customStyle="1">
    <w:name w:val="标题2"/>
    <w:basedOn w:val="816"/>
    <w:uiPriority w:val="0"/>
    <w:qFormat/>
    <w:pPr>
      <w:tabs>
        <w:tab w:val="left" w:pos="0" w:leader="none"/>
      </w:tabs>
    </w:pPr>
    <w:rPr>
      <w:rFonts w:ascii="黑体" w:eastAsia="黑体"/>
      <w:sz w:val="24"/>
    </w:rPr>
  </w:style>
  <w:style w:type="paragraph" w:styleId="1345" w:customStyle="1">
    <w:name w:val="Char Char Char Char Char Char Char Char Char Char Char Char Char1"/>
    <w:basedOn w:val="816"/>
    <w:uiPriority w:val="0"/>
    <w:qFormat/>
    <w:pPr>
      <w:jc w:val="left"/>
      <w:spacing w:after="160" w:line="240" w:lineRule="exact"/>
      <w:widowControl/>
    </w:pPr>
    <w:rPr>
      <w:rFonts w:ascii="Arial" w:hAnsi="Arial" w:eastAsia="Times New Roman" w:cs="Verdana"/>
      <w:b/>
      <w:sz w:val="24"/>
      <w:szCs w:val="32"/>
      <w:lang w:eastAsia="en-US"/>
    </w:rPr>
  </w:style>
  <w:style w:type="paragraph" w:styleId="1346" w:customStyle="1">
    <w:name w:val="样式2"/>
    <w:basedOn w:val="1015"/>
    <w:uiPriority w:val="0"/>
    <w:qFormat/>
    <w:pPr>
      <w:spacing w:line="415" w:lineRule="auto"/>
    </w:pPr>
    <w:rPr>
      <w:rFonts w:ascii="Calibri" w:hAnsi="Calibri"/>
      <w:sz w:val="28"/>
      <w:szCs w:val="28"/>
    </w:rPr>
  </w:style>
  <w:style w:type="paragraph" w:styleId="1347" w:customStyle="1">
    <w:name w:val="样式3"/>
    <w:basedOn w:val="1015"/>
    <w:uiPriority w:val="0"/>
    <w:qFormat/>
    <w:pPr>
      <w:spacing w:line="415" w:lineRule="auto"/>
    </w:pPr>
    <w:rPr>
      <w:rFonts w:ascii="Calibri" w:hAnsi="Calibri"/>
      <w:sz w:val="28"/>
      <w:szCs w:val="28"/>
    </w:rPr>
  </w:style>
  <w:style w:type="paragraph" w:styleId="1348" w:customStyle="1">
    <w:name w:val="样式4"/>
    <w:basedOn w:val="1015"/>
    <w:uiPriority w:val="0"/>
    <w:qFormat/>
    <w:pPr>
      <w:spacing w:line="415" w:lineRule="auto"/>
    </w:pPr>
    <w:rPr>
      <w:rFonts w:ascii="Calibri" w:hAnsi="Calibri"/>
      <w:sz w:val="28"/>
      <w:szCs w:val="28"/>
    </w:rPr>
  </w:style>
  <w:style w:type="paragraph" w:styleId="1349" w:customStyle="1">
    <w:name w:val="样式5"/>
    <w:basedOn w:val="1015"/>
    <w:uiPriority w:val="0"/>
    <w:qFormat/>
    <w:pPr>
      <w:spacing w:line="415" w:lineRule="auto"/>
    </w:pPr>
    <w:rPr>
      <w:rFonts w:ascii="Calibri" w:hAnsi="Calibri"/>
      <w:sz w:val="28"/>
      <w:szCs w:val="28"/>
    </w:rPr>
  </w:style>
  <w:style w:type="paragraph" w:styleId="1350" w:customStyle="1">
    <w:name w:val="样式6"/>
    <w:basedOn w:val="1097"/>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351" w:customStyle="1">
    <w:name w:val="大汉方案正文 Char"/>
    <w:basedOn w:val="816"/>
    <w:uiPriority w:val="0"/>
    <w:qFormat/>
    <w:pPr>
      <w:ind w:firstLine="200"/>
      <w:spacing w:line="360" w:lineRule="auto"/>
    </w:pPr>
    <w:rPr>
      <w:rFonts w:ascii="Arial" w:hAnsi="Arial"/>
      <w:sz w:val="24"/>
    </w:rPr>
  </w:style>
  <w:style w:type="character" w:styleId="1352" w:customStyle="1">
    <w:name w:val="标题 2 Char Char Char"/>
    <w:uiPriority w:val="0"/>
    <w:qFormat/>
    <w:rPr>
      <w:rFonts w:ascii="Arial" w:hAnsi="Arial" w:eastAsia="宋体" w:cs="Arial"/>
      <w:b/>
      <w:bCs/>
      <w:i/>
      <w:iCs/>
      <w:sz w:val="28"/>
      <w:szCs w:val="28"/>
      <w:lang w:val="en-US" w:eastAsia="zh-CN" w:bidi="ar-SA"/>
    </w:rPr>
  </w:style>
  <w:style w:type="character" w:styleId="1353" w:customStyle="1">
    <w:name w:val="question-title"/>
    <w:uiPriority w:val="0"/>
    <w:qFormat/>
  </w:style>
  <w:style w:type="paragraph" w:styleId="1354" w:customStyle="1">
    <w:name w:val="说明书2级标题"/>
    <w:basedOn w:val="816"/>
    <w:next w:val="1355"/>
    <w:uiPriority w:val="0"/>
    <w:qFormat/>
    <w:pPr>
      <w:numPr>
        <w:ilvl w:val="2"/>
        <w:numId w:val="2"/>
      </w:numPr>
      <w:spacing w:before="100"/>
      <w:tabs>
        <w:tab w:val="left" w:pos="1680" w:leader="none"/>
      </w:tabs>
    </w:pPr>
    <w:rPr>
      <w:rFonts w:eastAsia="黑体"/>
      <w:sz w:val="28"/>
      <w:szCs w:val="28"/>
    </w:rPr>
  </w:style>
  <w:style w:type="paragraph" w:styleId="1355" w:customStyle="1">
    <w:name w:val="说明书3级标题"/>
    <w:basedOn w:val="816"/>
    <w:next w:val="816"/>
    <w:uiPriority w:val="0"/>
    <w:qFormat/>
    <w:pPr>
      <w:numPr>
        <w:ilvl w:val="2"/>
        <w:numId w:val="3"/>
      </w:numPr>
      <w:spacing w:line="360" w:lineRule="auto"/>
      <w:tabs>
        <w:tab w:val="left" w:pos="0" w:leader="none"/>
      </w:tabs>
    </w:pPr>
    <w:rPr>
      <w:rFonts w:eastAsia="黑体"/>
      <w:sz w:val="24"/>
    </w:rPr>
  </w:style>
  <w:style w:type="character" w:styleId="1356" w:customStyle="1">
    <w:name w:val="style15"/>
    <w:uiPriority w:val="0"/>
    <w:qFormat/>
  </w:style>
  <w:style w:type="paragraph" w:styleId="1357" w:customStyle="1">
    <w:name w:val="列出段落[858D7CFB-ED40-4347-BF05-701D383B685F][858D7CFB-ED40-4347-BF05-701D383B685F]"/>
    <w:basedOn w:val="816"/>
    <w:uiPriority w:val="0"/>
    <w:qFormat/>
    <w:pPr>
      <w:ind w:firstLine="200"/>
    </w:pPr>
  </w:style>
  <w:style w:type="paragraph" w:styleId="1358" w:customStyle="1">
    <w:name w:val="默认段落字体 Para Char Char Char Char Char Char Char Char Char1 Char Char Char Char Char Char Char Char"/>
    <w:basedOn w:val="1035"/>
    <w:uiPriority w:val="0"/>
    <w:qFormat/>
    <w:rPr>
      <w:rFonts w:ascii="Calibri" w:hAnsi="Calibri"/>
      <w:szCs w:val="22"/>
    </w:rPr>
  </w:style>
  <w:style w:type="paragraph" w:styleId="1359" w:customStyle="1">
    <w:name w:val="style42"/>
    <w:basedOn w:val="816"/>
    <w:uiPriority w:val="0"/>
    <w:qFormat/>
    <w:pPr>
      <w:jc w:val="left"/>
      <w:spacing w:before="100" w:beforeAutospacing="1" w:after="100" w:afterAutospacing="1"/>
      <w:widowControl/>
    </w:pPr>
    <w:rPr>
      <w:rFonts w:ascii="宋体" w:cs="宋体"/>
      <w:color w:val="000000"/>
      <w:sz w:val="15"/>
      <w:szCs w:val="15"/>
    </w:rPr>
  </w:style>
  <w:style w:type="paragraph" w:styleId="1360" w:customStyle="1">
    <w:name w:val="Char Char1 Char Char Char Char Char Char Char Char"/>
    <w:basedOn w:val="816"/>
    <w:uiPriority w:val="0"/>
    <w:qFormat/>
    <w:pPr>
      <w:jc w:val="left"/>
      <w:spacing w:after="160" w:line="240" w:lineRule="exact"/>
      <w:widowControl/>
    </w:pPr>
  </w:style>
  <w:style w:type="paragraph" w:styleId="1361" w:customStyle="1">
    <w:name w:val="技术方案正文样式"/>
    <w:basedOn w:val="816"/>
    <w:uiPriority w:val="0"/>
    <w:qFormat/>
    <w:pPr>
      <w:ind w:firstLine="200"/>
      <w:spacing w:line="400" w:lineRule="exact"/>
    </w:pPr>
    <w:rPr>
      <w:rFonts w:ascii="宋体" w:cs="宋体"/>
      <w:sz w:val="24"/>
      <w:szCs w:val="21"/>
    </w:rPr>
  </w:style>
  <w:style w:type="paragraph" w:styleId="1362" w:customStyle="1">
    <w:name w:val="D&amp;L"/>
    <w:basedOn w:val="1056"/>
    <w:uiPriority w:val="0"/>
    <w:qFormat/>
    <w:pPr>
      <w:spacing w:line="240" w:lineRule="atLeast"/>
      <w:pBdr>
        <w:bottom w:val="single" w:color="000000" w:sz="18" w:space="1"/>
      </w:pBdr>
    </w:pPr>
    <w:rPr>
      <w:rFonts w:ascii="Calibri" w:hAnsi="Calibri"/>
      <w:sz w:val="24"/>
      <w:szCs w:val="20"/>
    </w:rPr>
  </w:style>
  <w:style w:type="paragraph" w:styleId="1363" w:customStyle="1">
    <w:name w:val="样式 标题 2 + Times New Roman 四号 非加粗 段前: 5 磅 段后: 0 磅 行距: 固定值 20..."/>
    <w:basedOn w:val="1013"/>
    <w:uiPriority w:val="0"/>
    <w:qFormat/>
    <w:pPr>
      <w:jc w:val="both"/>
      <w:spacing w:before="100" w:after="0" w:line="400" w:lineRule="exact"/>
    </w:pPr>
    <w:rPr>
      <w:rFonts w:ascii="Times New Roman" w:hAnsi="Times New Roman" w:eastAsia="黑体" w:cs="宋体"/>
      <w:b w:val="0"/>
      <w:bCs w:val="0"/>
      <w:sz w:val="28"/>
      <w:szCs w:val="20"/>
    </w:rPr>
  </w:style>
  <w:style w:type="paragraph" w:styleId="1364" w:customStyle="1">
    <w:name w:val="Char Char Char Char Char Char Char1 Char"/>
    <w:basedOn w:val="816"/>
    <w:uiPriority w:val="0"/>
    <w:qFormat/>
    <w:rPr>
      <w:rFonts w:ascii="Tahoma" w:hAnsi="Tahoma"/>
      <w:sz w:val="24"/>
      <w:szCs w:val="20"/>
    </w:rPr>
  </w:style>
  <w:style w:type="paragraph" w:styleId="1365" w:customStyle="1">
    <w:name w:val="TOC 标题2"/>
    <w:basedOn w:val="1012"/>
    <w:next w:val="816"/>
    <w:uiPriority w:val="39"/>
    <w:qFormat/>
    <w:pPr>
      <w:jc w:val="both"/>
      <w:keepLines/>
      <w:spacing w:before="480" w:line="276" w:lineRule="auto"/>
      <w:widowControl/>
      <w:outlineLvl w:val="9"/>
    </w:pPr>
    <w:rPr>
      <w:rFonts w:ascii="Cambria" w:hAnsi="Cambria" w:eastAsia="宋体"/>
      <w:b/>
      <w:color w:val="365f91"/>
      <w:szCs w:val="20"/>
    </w:rPr>
  </w:style>
  <w:style w:type="character" w:styleId="1366" w:customStyle="1">
    <w:name w:val="无间隔 字符"/>
    <w:link w:val="1113"/>
    <w:uiPriority w:val="0"/>
    <w:qFormat/>
    <w:rPr>
      <w:rFonts w:ascii="Times New Roman" w:hAnsi="Times New Roman"/>
      <w:sz w:val="21"/>
      <w:szCs w:val="21"/>
    </w:rPr>
  </w:style>
  <w:style w:type="paragraph" w:styleId="1367" w:customStyle="1">
    <w:name w:val="Normal_0"/>
    <w:uiPriority w:val="0"/>
    <w:qFormat/>
    <w:rPr>
      <w:rFonts w:ascii="黑体" w:hAnsi="黑体" w:eastAsia="黑体" w:cs="Times New Roman"/>
      <w:b/>
      <w:sz w:val="32"/>
      <w:szCs w:val="24"/>
      <w:lang w:val="en-US" w:eastAsia="zh-CN" w:bidi="ar-SA"/>
    </w:rPr>
  </w:style>
  <w:style w:type="paragraph" w:styleId="136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
    <w:uiPriority w:val="0"/>
    <w:qFormat/>
    <w:rPr>
      <w:rFonts w:ascii="黑体" w:hAnsi="黑体" w:eastAsia="黑体" w:cs="Times New Roman"/>
      <w:b/>
      <w:sz w:val="32"/>
      <w:szCs w:val="24"/>
      <w:lang w:val="en-US" w:eastAsia="zh-CN" w:bidi="ar-SA"/>
    </w:rPr>
  </w:style>
  <w:style w:type="paragraph" w:styleId="137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Normal_2"/>
    <w:uiPriority w:val="0"/>
    <w:qFormat/>
    <w:rPr>
      <w:rFonts w:ascii="黑体" w:hAnsi="黑体" w:eastAsia="黑体" w:cs="Times New Roman"/>
      <w:b/>
      <w:sz w:val="32"/>
      <w:szCs w:val="24"/>
      <w:lang w:val="en-US" w:eastAsia="zh-CN" w:bidi="ar-SA"/>
    </w:rPr>
  </w:style>
  <w:style w:type="paragraph" w:styleId="137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Normal_3"/>
    <w:uiPriority w:val="0"/>
    <w:qFormat/>
    <w:rPr>
      <w:rFonts w:ascii="黑体" w:hAnsi="黑体" w:eastAsia="黑体" w:cs="Times New Roman"/>
      <w:b/>
      <w:sz w:val="32"/>
      <w:szCs w:val="24"/>
      <w:lang w:val="en-US" w:eastAsia="zh-CN" w:bidi="ar-SA"/>
    </w:rPr>
  </w:style>
  <w:style w:type="paragraph" w:styleId="1376" w:customStyle="1">
    <w:name w:val="Normal_4"/>
    <w:uiPriority w:val="0"/>
    <w:qFormat/>
    <w:rPr>
      <w:rFonts w:ascii="黑体" w:hAnsi="黑体" w:eastAsia="黑体" w:cs="Times New Roman"/>
      <w:b/>
      <w:sz w:val="32"/>
      <w:szCs w:val="24"/>
      <w:lang w:val="en-US" w:eastAsia="zh-CN" w:bidi="ar-SA"/>
    </w:rPr>
  </w:style>
  <w:style w:type="paragraph" w:styleId="1377" w:customStyle="1">
    <w:name w:val="Normal_5"/>
    <w:uiPriority w:val="0"/>
    <w:qFormat/>
    <w:rPr>
      <w:rFonts w:ascii="黑体" w:hAnsi="黑体" w:eastAsia="黑体" w:cs="Times New Roman"/>
      <w:b/>
      <w:sz w:val="32"/>
      <w:szCs w:val="24"/>
      <w:lang w:val="en-US" w:eastAsia="zh-CN" w:bidi="ar-SA"/>
    </w:rPr>
  </w:style>
  <w:style w:type="paragraph" w:styleId="13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6"/>
    <w:uiPriority w:val="0"/>
    <w:qFormat/>
    <w:rPr>
      <w:rFonts w:ascii="黑体" w:hAnsi="黑体" w:eastAsia="黑体" w:cs="Times New Roman"/>
      <w:b/>
      <w:sz w:val="32"/>
      <w:szCs w:val="24"/>
      <w:lang w:val="en-US" w:eastAsia="zh-CN" w:bidi="ar-SA"/>
    </w:rPr>
  </w:style>
  <w:style w:type="paragraph" w:styleId="13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81" w:customStyle="1">
    <w:name w:val="Normal_7"/>
    <w:uiPriority w:val="0"/>
    <w:qFormat/>
    <w:rPr>
      <w:rFonts w:ascii="黑体" w:hAnsi="黑体" w:eastAsia="黑体" w:cs="Times New Roman"/>
      <w:b/>
      <w:sz w:val="32"/>
      <w:szCs w:val="24"/>
      <w:lang w:val="en-US" w:eastAsia="zh-CN" w:bidi="ar-SA"/>
    </w:rPr>
  </w:style>
  <w:style w:type="paragraph" w:styleId="1382" w:customStyle="1">
    <w:name w:val="Normal_8"/>
    <w:uiPriority w:val="0"/>
    <w:qFormat/>
    <w:rPr>
      <w:rFonts w:ascii="Times New Roman" w:hAnsi="Times New Roman" w:eastAsia="Times New Roman" w:cs="Times New Roman"/>
      <w:sz w:val="24"/>
      <w:szCs w:val="24"/>
      <w:lang w:val="en-US" w:eastAsia="zh-CN" w:bidi="ar-SA"/>
    </w:rPr>
  </w:style>
  <w:style w:type="paragraph" w:styleId="1383" w:customStyle="1">
    <w:name w:val="Normal_9"/>
    <w:uiPriority w:val="0"/>
    <w:qFormat/>
    <w:rPr>
      <w:rFonts w:ascii="黑体" w:hAnsi="黑体" w:eastAsia="黑体" w:cs="Times New Roman"/>
      <w:b/>
      <w:sz w:val="32"/>
      <w:szCs w:val="24"/>
      <w:lang w:val="en-US" w:eastAsia="zh-CN" w:bidi="ar-SA"/>
    </w:rPr>
  </w:style>
  <w:style w:type="paragraph" w:styleId="138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10"/>
    <w:uiPriority w:val="0"/>
    <w:qFormat/>
    <w:rPr>
      <w:rFonts w:ascii="黑体" w:hAnsi="黑体" w:eastAsia="黑体" w:cs="Times New Roman"/>
      <w:b/>
      <w:sz w:val="32"/>
      <w:szCs w:val="24"/>
      <w:lang w:val="en-US" w:eastAsia="zh-CN" w:bidi="ar-SA"/>
    </w:rPr>
  </w:style>
  <w:style w:type="paragraph" w:styleId="138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正文缩进_0"/>
    <w:basedOn w:val="1386"/>
    <w:link w:val="1388"/>
    <w:uiPriority w:val="0"/>
    <w:unhideWhenUsed/>
    <w:qFormat/>
    <w:pPr>
      <w:ind w:firstLine="420"/>
    </w:pPr>
    <w:rPr>
      <w:szCs w:val="22"/>
    </w:rPr>
  </w:style>
  <w:style w:type="character" w:styleId="1388" w:customStyle="1">
    <w:name w:val="正文缩进 Char1_0"/>
    <w:link w:val="1387"/>
    <w:uiPriority w:val="0"/>
    <w:qFormat/>
    <w:rPr>
      <w:rFonts w:ascii="Times New Roman" w:hAnsi="Times New Roman"/>
      <w:sz w:val="21"/>
      <w:szCs w:val="22"/>
    </w:rPr>
  </w:style>
  <w:style w:type="paragraph" w:styleId="1389" w:customStyle="1">
    <w:name w:val="纯文本_0"/>
    <w:basedOn w:val="1386"/>
    <w:link w:val="1390"/>
    <w:uiPriority w:val="0"/>
    <w:unhideWhenUsed/>
    <w:qFormat/>
    <w:rPr>
      <w:rFonts w:ascii="宋体" w:hAnsi="Courier New"/>
      <w:szCs w:val="21"/>
    </w:rPr>
  </w:style>
  <w:style w:type="character" w:styleId="1390" w:customStyle="1">
    <w:name w:val="纯文本 Char_0"/>
    <w:link w:val="1389"/>
    <w:uiPriority w:val="0"/>
    <w:qFormat/>
    <w:rPr>
      <w:rFonts w:ascii="宋体" w:hAnsi="Courier New"/>
      <w:sz w:val="21"/>
      <w:szCs w:val="21"/>
    </w:rPr>
  </w:style>
  <w:style w:type="paragraph" w:styleId="1391" w:customStyle="1">
    <w:name w:val="Normal_11"/>
    <w:uiPriority w:val="0"/>
    <w:qFormat/>
    <w:rPr>
      <w:rFonts w:ascii="黑体" w:hAnsi="黑体" w:eastAsia="黑体" w:cs="Times New Roman"/>
      <w:b/>
      <w:sz w:val="32"/>
      <w:szCs w:val="24"/>
      <w:lang w:val="en-US" w:eastAsia="zh-CN" w:bidi="ar-SA"/>
    </w:rPr>
  </w:style>
  <w:style w:type="paragraph" w:styleId="139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93" w:customStyle="1">
    <w:name w:val="Normal_12"/>
    <w:uiPriority w:val="0"/>
    <w:qFormat/>
    <w:rPr>
      <w:rFonts w:ascii="黑体" w:hAnsi="黑体" w:eastAsia="黑体" w:cs="Times New Roman"/>
      <w:b/>
      <w:sz w:val="32"/>
      <w:szCs w:val="24"/>
      <w:lang w:val="en-US" w:eastAsia="zh-CN" w:bidi="ar-SA"/>
    </w:rPr>
  </w:style>
  <w:style w:type="paragraph" w:styleId="139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95" w:customStyle="1">
    <w:name w:val="Normal_13"/>
    <w:uiPriority w:val="0"/>
    <w:qFormat/>
    <w:rPr>
      <w:rFonts w:ascii="黑体" w:hAnsi="黑体" w:eastAsia="黑体" w:cs="Times New Roman"/>
      <w:b/>
      <w:sz w:val="32"/>
      <w:szCs w:val="24"/>
      <w:lang w:val="en-US" w:eastAsia="zh-CN" w:bidi="ar-SA"/>
    </w:rPr>
  </w:style>
  <w:style w:type="paragraph" w:styleId="139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9" w:customStyle="1">
    <w:name w:val="Normal_15"/>
    <w:uiPriority w:val="0"/>
    <w:qFormat/>
    <w:rPr>
      <w:rFonts w:ascii="黑体" w:hAnsi="黑体" w:eastAsia="黑体" w:cs="Times New Roman"/>
      <w:b/>
      <w:sz w:val="32"/>
      <w:szCs w:val="24"/>
      <w:lang w:val="en-US" w:eastAsia="zh-CN" w:bidi="ar-SA"/>
    </w:rPr>
  </w:style>
  <w:style w:type="paragraph" w:styleId="1400"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17"/>
    <w:uiPriority w:val="0"/>
    <w:qFormat/>
    <w:rPr>
      <w:rFonts w:ascii="黑体" w:hAnsi="黑体" w:eastAsia="黑体" w:cs="Times New Roman"/>
      <w:b/>
      <w:sz w:val="32"/>
      <w:szCs w:val="24"/>
      <w:lang w:val="en-US" w:eastAsia="zh-CN" w:bidi="ar-SA"/>
    </w:rPr>
  </w:style>
  <w:style w:type="paragraph" w:styleId="1404" w:customStyle="1">
    <w:name w:val="Normal_18"/>
    <w:uiPriority w:val="0"/>
    <w:qFormat/>
    <w:rPr>
      <w:rFonts w:ascii="黑体" w:hAnsi="黑体" w:eastAsia="黑体" w:cs="Times New Roman"/>
      <w:b/>
      <w:sz w:val="32"/>
      <w:szCs w:val="24"/>
      <w:lang w:val="en-US" w:eastAsia="zh-CN" w:bidi="ar-SA"/>
    </w:rPr>
  </w:style>
  <w:style w:type="paragraph" w:styleId="140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Normal_0_0"/>
    <w:uiPriority w:val="0"/>
    <w:qFormat/>
    <w:rPr>
      <w:rFonts w:ascii="黑体" w:hAnsi="黑体" w:eastAsia="黑体" w:cs="Times New Roman"/>
      <w:b/>
      <w:sz w:val="40"/>
      <w:szCs w:val="24"/>
      <w:lang w:val="en-US" w:eastAsia="zh-CN" w:bidi="ar-SA"/>
    </w:rPr>
  </w:style>
  <w:style w:type="paragraph" w:styleId="1407" w:customStyle="1">
    <w:name w:val="Normal_1_0"/>
    <w:uiPriority w:val="0"/>
    <w:qFormat/>
    <w:rPr>
      <w:rFonts w:ascii="Times New Roman" w:hAnsi="Times New Roman" w:eastAsia="Times New Roman" w:cs="Times New Roman"/>
      <w:sz w:val="24"/>
      <w:szCs w:val="24"/>
      <w:lang w:val="en-US" w:eastAsia="zh-CN" w:bidi="ar-SA"/>
    </w:rPr>
  </w:style>
  <w:style w:type="paragraph" w:styleId="1408" w:customStyle="1">
    <w:name w:val="Normal1"/>
    <w:uiPriority w:val="0"/>
    <w:qFormat/>
    <w:rPr>
      <w:rFonts w:ascii="Times New Roman" w:hAnsi="Times New Roman" w:eastAsia="Times New Roman" w:cs="Times New Roman"/>
      <w:sz w:val="24"/>
      <w:szCs w:val="24"/>
      <w:lang w:val="en-US" w:eastAsia="zh-CN" w:bidi="ar-SA"/>
    </w:rPr>
  </w:style>
  <w:style w:type="paragraph" w:styleId="1409"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11"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412" w:customStyle="1">
    <w:name w:val="正文1 Char"/>
    <w:link w:val="1130"/>
    <w:uiPriority w:val="0"/>
    <w:qFormat/>
    <w:rPr>
      <w:rFonts w:ascii="Times New Roman" w:hAnsi="Times New Roman"/>
      <w:szCs w:val="24"/>
    </w:rPr>
  </w:style>
  <w:style w:type="paragraph" w:styleId="1413" w:customStyle="1">
    <w:name w:val="标题 2_0"/>
    <w:basedOn w:val="1414"/>
    <w:next w:val="1414"/>
    <w:link w:val="1417"/>
    <w:uiPriority w:val="0"/>
    <w:qFormat/>
    <w:pPr>
      <w:keepLines/>
      <w:keepNext/>
      <w:spacing w:before="260" w:after="260" w:line="413" w:lineRule="auto"/>
      <w:outlineLvl w:val="1"/>
    </w:pPr>
    <w:rPr>
      <w:rFonts w:ascii="Arial" w:hAnsi="Arial" w:eastAsia="黑体"/>
      <w:b/>
      <w:sz w:val="32"/>
      <w:szCs w:val="20"/>
    </w:rPr>
  </w:style>
  <w:style w:type="paragraph" w:styleId="141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15" w:customStyle="1">
    <w:name w:val="正文1_1"/>
    <w:basedOn w:val="1414"/>
    <w:link w:val="1416"/>
    <w:uiPriority w:val="0"/>
    <w:qFormat/>
    <w:pPr>
      <w:ind w:left="357" w:firstLine="420"/>
      <w:jc w:val="left"/>
      <w:spacing w:line="360" w:lineRule="auto"/>
      <w:widowControl/>
    </w:pPr>
    <w:rPr>
      <w:szCs w:val="20"/>
    </w:rPr>
  </w:style>
  <w:style w:type="character" w:styleId="1416" w:customStyle="1">
    <w:name w:val="正文1 Char_0"/>
    <w:link w:val="1415"/>
    <w:uiPriority w:val="0"/>
    <w:qFormat/>
    <w:rPr>
      <w:sz w:val="21"/>
    </w:rPr>
  </w:style>
  <w:style w:type="character" w:styleId="1417" w:customStyle="1">
    <w:name w:val="标题 2 Char_0"/>
    <w:link w:val="1413"/>
    <w:uiPriority w:val="0"/>
    <w:qFormat/>
    <w:rPr>
      <w:rFonts w:ascii="Arial" w:hAnsi="Arial" w:eastAsia="黑体"/>
      <w:b/>
      <w:sz w:val="32"/>
    </w:rPr>
  </w:style>
  <w:style w:type="paragraph" w:styleId="1418" w:customStyle="1">
    <w:name w:val="标题 4_0"/>
    <w:basedOn w:val="1419"/>
    <w:next w:val="1120"/>
    <w:link w:val="1420"/>
    <w:uiPriority w:val="0"/>
    <w:unhideWhenUsed/>
    <w:qFormat/>
    <w:pPr>
      <w:keepLines/>
      <w:keepNext/>
      <w:spacing w:before="280" w:after="290" w:line="372" w:lineRule="auto"/>
      <w:outlineLvl w:val="3"/>
    </w:pPr>
    <w:rPr>
      <w:rFonts w:ascii="Arial" w:hAnsi="Arial" w:eastAsia="黑体"/>
      <w:b/>
      <w:sz w:val="28"/>
      <w:szCs w:val="20"/>
    </w:rPr>
  </w:style>
  <w:style w:type="paragraph" w:styleId="1419"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420" w:customStyle="1">
    <w:name w:val="标题 4 Char_0"/>
    <w:link w:val="1418"/>
    <w:uiPriority w:val="0"/>
    <w:qFormat/>
    <w:rPr>
      <w:rFonts w:ascii="Arial" w:hAnsi="Arial" w:eastAsia="黑体"/>
      <w:b/>
      <w:sz w:val="28"/>
    </w:rPr>
  </w:style>
  <w:style w:type="paragraph" w:styleId="1421" w:customStyle="1">
    <w:name w:val="正文_21_0"/>
    <w:uiPriority w:val="0"/>
    <w:qFormat/>
    <w:pPr>
      <w:jc w:val="both"/>
      <w:widowControl w:val="off"/>
    </w:pPr>
    <w:rPr>
      <w:rFonts w:ascii="Times New Roman" w:hAnsi="Times New Roman" w:eastAsia="宋体" w:cs="Times New Roman"/>
      <w:sz w:val="21"/>
      <w:szCs w:val="22"/>
      <w:lang w:val="en-US" w:eastAsia="zh-CN" w:bidi="ar-SA"/>
    </w:rPr>
  </w:style>
  <w:style w:type="paragraph" w:styleId="1422" w:customStyle="1">
    <w:name w:val="Normal_19"/>
    <w:basedOn w:val="1411"/>
    <w:next w:val="1120"/>
    <w:uiPriority w:val="0"/>
    <w:qFormat/>
  </w:style>
  <w:style w:type="paragraph" w:styleId="1423" w:customStyle="1">
    <w:name w:val="正文_21"/>
    <w:basedOn w:val="1424"/>
    <w:uiPriority w:val="0"/>
    <w:qFormat/>
    <w:rPr>
      <w:rFonts w:ascii="Times New Roman" w:hAnsi="Times New Roman"/>
    </w:rPr>
  </w:style>
  <w:style w:type="paragraph" w:styleId="1424" w:customStyle="1">
    <w:name w:val="正文_17_0"/>
    <w:uiPriority w:val="0"/>
    <w:qFormat/>
    <w:pPr>
      <w:jc w:val="both"/>
      <w:widowControl w:val="off"/>
    </w:pPr>
    <w:rPr>
      <w:rFonts w:ascii="Calibri" w:hAnsi="Calibri" w:eastAsia="宋体" w:cs="Times New Roman"/>
      <w:sz w:val="21"/>
      <w:szCs w:val="24"/>
      <w:lang w:val="en-US" w:eastAsia="zh-CN" w:bidi="ar-SA"/>
    </w:rPr>
  </w:style>
  <w:style w:type="paragraph" w:styleId="1425"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2_0"/>
    <w:uiPriority w:val="0"/>
    <w:qFormat/>
    <w:rPr>
      <w:rFonts w:ascii="黑体" w:hAnsi="黑体" w:eastAsia="黑体" w:cs="Times New Roman"/>
      <w:b/>
      <w:sz w:val="32"/>
      <w:szCs w:val="24"/>
      <w:lang w:val="en-US" w:eastAsia="zh-CN" w:bidi="ar-SA"/>
    </w:rPr>
  </w:style>
  <w:style w:type="paragraph" w:styleId="142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28"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3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31" w:customStyle="1">
    <w:name w:val="Normal_5_0"/>
    <w:uiPriority w:val="0"/>
    <w:qFormat/>
    <w:rPr>
      <w:rFonts w:ascii="黑体" w:hAnsi="黑体" w:eastAsia="黑体" w:cs="Times New Roman"/>
      <w:b/>
      <w:sz w:val="32"/>
      <w:szCs w:val="24"/>
      <w:lang w:val="en-US" w:eastAsia="zh-CN" w:bidi="ar-SA"/>
    </w:rPr>
  </w:style>
  <w:style w:type="paragraph" w:styleId="1432"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433" w:customStyle="1">
    <w:name w:val="Normal_7_0"/>
    <w:uiPriority w:val="0"/>
    <w:qFormat/>
    <w:rPr>
      <w:rFonts w:ascii="黑体" w:hAnsi="黑体" w:eastAsia="黑体" w:cs="Times New Roman"/>
      <w:b/>
      <w:sz w:val="32"/>
      <w:szCs w:val="24"/>
      <w:lang w:val="en-US" w:eastAsia="zh-CN" w:bidi="ar-SA"/>
    </w:rPr>
  </w:style>
  <w:style w:type="paragraph" w:styleId="14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436" w:customStyle="1">
    <w:name w:val="Normal_8_0"/>
    <w:uiPriority w:val="0"/>
    <w:qFormat/>
    <w:rPr>
      <w:rFonts w:ascii="黑体" w:hAnsi="黑体" w:eastAsia="黑体" w:cs="Times New Roman"/>
      <w:b/>
      <w:sz w:val="32"/>
      <w:szCs w:val="24"/>
      <w:lang w:val="en-US" w:eastAsia="zh-CN" w:bidi="ar-SA"/>
    </w:rPr>
  </w:style>
  <w:style w:type="paragraph" w:styleId="1437" w:customStyle="1">
    <w:name w:val="Normal_9_0"/>
    <w:uiPriority w:val="0"/>
    <w:qFormat/>
    <w:rPr>
      <w:rFonts w:ascii="Times New Roman" w:hAnsi="Times New Roman" w:eastAsia="Times New Roman" w:cs="Times New Roman"/>
      <w:sz w:val="24"/>
      <w:szCs w:val="24"/>
      <w:lang w:val="en-US" w:eastAsia="zh-CN" w:bidi="ar-SA"/>
    </w:rPr>
  </w:style>
  <w:style w:type="paragraph" w:styleId="1438" w:customStyle="1">
    <w:name w:val="Normal_10_0"/>
    <w:uiPriority w:val="0"/>
    <w:qFormat/>
    <w:rPr>
      <w:rFonts w:ascii="Times New Roman" w:hAnsi="Times New Roman" w:eastAsia="Times New Roman" w:cs="Times New Roman"/>
      <w:sz w:val="24"/>
      <w:szCs w:val="24"/>
      <w:lang w:val="en-US" w:eastAsia="zh-CN" w:bidi="ar-SA"/>
    </w:rPr>
  </w:style>
  <w:style w:type="paragraph" w:styleId="1439" w:customStyle="1">
    <w:name w:val="Normal_11_0"/>
    <w:uiPriority w:val="0"/>
    <w:qFormat/>
    <w:rPr>
      <w:rFonts w:ascii="黑体" w:hAnsi="黑体" w:eastAsia="黑体" w:cs="Times New Roman"/>
      <w:b/>
      <w:sz w:val="32"/>
      <w:szCs w:val="24"/>
      <w:lang w:val="en-US" w:eastAsia="zh-CN" w:bidi="ar-SA"/>
    </w:rPr>
  </w:style>
  <w:style w:type="paragraph" w:styleId="144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44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4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4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4" w:customStyle="1">
    <w:name w:val="列出段落_2"/>
    <w:basedOn w:val="1442"/>
    <w:uiPriority w:val="34"/>
    <w:qFormat/>
    <w:pPr>
      <w:ind w:firstLine="420"/>
    </w:pPr>
  </w:style>
  <w:style w:type="paragraph" w:styleId="1445" w:customStyle="1">
    <w:name w:val="Normal_13_0"/>
    <w:uiPriority w:val="0"/>
    <w:qFormat/>
    <w:rPr>
      <w:rFonts w:ascii="黑体" w:hAnsi="黑体" w:eastAsia="黑体" w:cs="Times New Roman"/>
      <w:b/>
      <w:sz w:val="32"/>
      <w:szCs w:val="24"/>
      <w:lang w:val="en-US" w:eastAsia="zh-CN" w:bidi="ar-SA"/>
    </w:rPr>
  </w:style>
  <w:style w:type="paragraph" w:styleId="144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47" w:customStyle="1">
    <w:name w:val="Normal_14_0"/>
    <w:uiPriority w:val="0"/>
    <w:qFormat/>
    <w:rPr>
      <w:rFonts w:ascii="黑体" w:hAnsi="黑体" w:eastAsia="黑体" w:cs="Times New Roman"/>
      <w:b/>
      <w:sz w:val="32"/>
      <w:szCs w:val="24"/>
      <w:lang w:val="en-US" w:eastAsia="zh-CN" w:bidi="ar-SA"/>
    </w:rPr>
  </w:style>
  <w:style w:type="paragraph" w:styleId="1448"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44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50" w:customStyle="1">
    <w:name w:val="Normal_14_0_0"/>
    <w:uiPriority w:val="0"/>
    <w:qFormat/>
    <w:rPr>
      <w:rFonts w:ascii="黑体" w:hAnsi="黑体" w:eastAsia="黑体" w:cs="Times New Roman"/>
      <w:b/>
      <w:sz w:val="32"/>
      <w:szCs w:val="24"/>
      <w:lang w:val="en-US" w:eastAsia="zh-CN" w:bidi="ar-SA"/>
    </w:rPr>
  </w:style>
  <w:style w:type="paragraph" w:styleId="1451"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452" w:customStyle="1">
    <w:name w:val="Normal_15_0"/>
    <w:uiPriority w:val="0"/>
    <w:qFormat/>
    <w:rPr>
      <w:rFonts w:ascii="黑体" w:hAnsi="黑体" w:eastAsia="黑体" w:cs="Times New Roman"/>
      <w:b/>
      <w:sz w:val="32"/>
      <w:szCs w:val="24"/>
      <w:lang w:val="en-US" w:eastAsia="zh-CN" w:bidi="ar-SA"/>
    </w:rPr>
  </w:style>
  <w:style w:type="paragraph" w:styleId="145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54" w:customStyle="1">
    <w:name w:val="Normal_16_0"/>
    <w:uiPriority w:val="0"/>
    <w:qFormat/>
    <w:rPr>
      <w:rFonts w:ascii="黑体" w:hAnsi="黑体" w:eastAsia="黑体" w:cs="Times New Roman"/>
      <w:b/>
      <w:sz w:val="32"/>
      <w:szCs w:val="24"/>
      <w:lang w:val="en-US" w:eastAsia="zh-CN" w:bidi="ar-SA"/>
    </w:rPr>
  </w:style>
  <w:style w:type="paragraph" w:styleId="1455" w:customStyle="1">
    <w:name w:val="Normal_0_2"/>
    <w:uiPriority w:val="0"/>
    <w:qFormat/>
    <w:rPr>
      <w:rFonts w:ascii="黑体" w:hAnsi="黑体" w:eastAsia="黑体" w:cs="Times New Roman"/>
      <w:b/>
      <w:sz w:val="32"/>
      <w:szCs w:val="24"/>
      <w:lang w:val="en-US" w:eastAsia="zh-CN" w:bidi="ar-SA"/>
    </w:rPr>
  </w:style>
  <w:style w:type="paragraph" w:styleId="1456" w:customStyle="1">
    <w:name w:val="Normal_1_2"/>
    <w:uiPriority w:val="0"/>
    <w:qFormat/>
    <w:rPr>
      <w:rFonts w:ascii="Times New Roman" w:hAnsi="Times New Roman" w:eastAsia="Times New Roman" w:cs="Times New Roman"/>
      <w:sz w:val="24"/>
      <w:szCs w:val="24"/>
      <w:lang w:val="en-US" w:eastAsia="zh-CN" w:bidi="ar-SA"/>
    </w:rPr>
  </w:style>
  <w:style w:type="paragraph" w:styleId="1457" w:customStyle="1">
    <w:name w:val="Normal_0_3"/>
    <w:uiPriority w:val="0"/>
    <w:qFormat/>
    <w:rPr>
      <w:rFonts w:ascii="黑体" w:hAnsi="黑体" w:eastAsia="黑体" w:cs="Times New Roman"/>
      <w:b/>
      <w:sz w:val="32"/>
      <w:szCs w:val="24"/>
      <w:lang w:val="en-US" w:eastAsia="zh-CN" w:bidi="ar-SA"/>
    </w:rPr>
  </w:style>
  <w:style w:type="paragraph" w:styleId="1458"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459" w:customStyle="1">
    <w:name w:val="Table Normal"/>
    <w:uiPriority w:val="0"/>
    <w:unhideWhenUsed/>
    <w:qFormat/>
    <w:tblPr>
      <w:tblCellMar>
        <w:left w:w="0" w:type="dxa"/>
        <w:top w:w="0" w:type="dxa"/>
        <w:right w:w="0" w:type="dxa"/>
        <w:bottom w:w="0" w:type="dxa"/>
      </w:tblCellMar>
    </w:tblPr>
  </w:style>
  <w:style w:type="paragraph" w:styleId="1460" w:customStyle="1">
    <w:name w:val="Normal_19_0"/>
    <w:basedOn w:val="1411"/>
    <w:next w:val="1120"/>
    <w:uiPriority w:val="0"/>
    <w:qFormat/>
    <w:pPr>
      <w:jc w:val="left"/>
      <w:widowControl/>
    </w:pPr>
    <w:rPr>
      <w:rFonts w:ascii="Times New Roman" w:hAnsi="Times New Roman" w:eastAsia="Times New Roman"/>
      <w:sz w:val="24"/>
      <w:szCs w:val="24"/>
    </w:rPr>
  </w:style>
  <w:style w:type="paragraph" w:styleId="1461" w:customStyle="1">
    <w:name w:val="正文_3_0_0"/>
    <w:basedOn w:val="1414"/>
    <w:uiPriority w:val="0"/>
    <w:qFormat/>
    <w:rPr>
      <w:rFonts w:ascii="Times New Roman" w:hAnsi="Times New Roman"/>
      <w:szCs w:val="20"/>
    </w:rPr>
  </w:style>
  <w:style w:type="paragraph" w:styleId="1462" w:customStyle="1">
    <w:name w:val="标题 4_0_0"/>
    <w:basedOn w:val="1448"/>
    <w:next w:val="1461"/>
    <w:uiPriority w:val="0"/>
    <w:qFormat/>
    <w:pPr>
      <w:keepLines/>
      <w:keepNext/>
      <w:spacing w:before="280" w:after="290" w:line="372" w:lineRule="auto"/>
      <w:outlineLvl w:val="3"/>
    </w:pPr>
    <w:rPr>
      <w:rFonts w:ascii="Arial" w:hAnsi="Arial" w:eastAsia="黑体" w:cs="Arial"/>
      <w:b/>
      <w:sz w:val="28"/>
    </w:rPr>
  </w:style>
  <w:style w:type="paragraph" w:styleId="1463" w:customStyle="1">
    <w:name w:val="标题 3_0_1"/>
    <w:next w:val="1461"/>
    <w:uiPriority w:val="0"/>
    <w:qFormat/>
    <w:pPr>
      <w:jc w:val="both"/>
      <w:widowControl w:val="off"/>
    </w:pPr>
    <w:rPr>
      <w:rFonts w:ascii="Times New Roman" w:hAnsi="Times New Roman" w:eastAsia="宋体" w:cs="Times New Roman"/>
      <w:sz w:val="21"/>
      <w:szCs w:val="22"/>
      <w:lang w:val="en-US" w:eastAsia="zh-CN" w:bidi="ar-SA"/>
    </w:rPr>
  </w:style>
  <w:style w:type="paragraph" w:styleId="1464" w:customStyle="1">
    <w:name w:val="正文文本缩进 2_1_0"/>
    <w:basedOn w:val="1448"/>
    <w:uiPriority w:val="0"/>
    <w:qFormat/>
    <w:pPr>
      <w:ind w:left="420"/>
      <w:spacing w:after="120" w:line="480" w:lineRule="auto"/>
    </w:pPr>
    <w:rPr>
      <w:rFonts w:cs="Calibri"/>
    </w:rPr>
  </w:style>
  <w:style w:type="paragraph" w:styleId="1465" w:customStyle="1">
    <w:name w:val="正文_5_1"/>
    <w:basedOn w:val="1414"/>
    <w:uiPriority w:val="0"/>
    <w:qFormat/>
    <w:rPr>
      <w:rFonts w:ascii="Times New Roman" w:hAnsi="Times New Roman"/>
      <w:szCs w:val="20"/>
    </w:rPr>
  </w:style>
  <w:style w:type="paragraph" w:styleId="1466" w:customStyle="1">
    <w:name w:val="正文_22"/>
    <w:basedOn w:val="1414"/>
    <w:uiPriority w:val="0"/>
    <w:qFormat/>
    <w:rPr>
      <w:rFonts w:ascii="Times New Roman" w:hAnsi="Times New Roman"/>
    </w:rPr>
  </w:style>
  <w:style w:type="paragraph" w:styleId="1467" w:customStyle="1">
    <w:name w:val="正文_0_2_0"/>
    <w:basedOn w:val="1414"/>
    <w:uiPriority w:val="0"/>
    <w:qFormat/>
    <w:rPr>
      <w:rFonts w:ascii="Times New Roman" w:hAnsi="Times New Roman"/>
      <w:szCs w:val="24"/>
    </w:rPr>
  </w:style>
  <w:style w:type="paragraph" w:styleId="1468" w:customStyle="1">
    <w:name w:val="正文文本_1_0"/>
    <w:basedOn w:val="1448"/>
    <w:uiPriority w:val="0"/>
    <w:qFormat/>
    <w:pPr>
      <w:spacing w:after="120"/>
    </w:pPr>
    <w:rPr>
      <w:rFonts w:cs="Calibri"/>
    </w:rPr>
  </w:style>
  <w:style w:type="paragraph" w:styleId="1469" w:customStyle="1">
    <w:name w:val="Normal_16_0_0"/>
    <w:basedOn w:val="1424"/>
    <w:uiPriority w:val="0"/>
    <w:qFormat/>
    <w:pPr>
      <w:jc w:val="left"/>
      <w:widowControl/>
    </w:pPr>
    <w:rPr>
      <w:rFonts w:hint="eastAsia" w:ascii="黑体" w:hAnsi="宋体" w:eastAsia="黑体"/>
      <w:b/>
      <w:sz w:val="32"/>
    </w:rPr>
  </w:style>
  <w:style w:type="paragraph" w:styleId="1470" w:customStyle="1">
    <w:name w:val="Char Char Char Char Char Char Char Char Char Char3"/>
    <w:basedOn w:val="816"/>
    <w:uiPriority w:val="0"/>
    <w:qFormat/>
    <w:rPr>
      <w:rFonts w:ascii="Tahoma" w:hAnsi="Tahoma"/>
      <w:sz w:val="24"/>
      <w:szCs w:val="20"/>
    </w:rPr>
  </w:style>
  <w:style w:type="paragraph" w:styleId="1471"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47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73" w:customStyle="1">
    <w:name w:val="正文_16_0"/>
    <w:uiPriority w:val="0"/>
    <w:qFormat/>
    <w:pPr>
      <w:jc w:val="both"/>
      <w:widowControl w:val="off"/>
    </w:pPr>
    <w:rPr>
      <w:rFonts w:ascii="Calibri" w:hAnsi="Calibri" w:eastAsia="宋体" w:cs="Times New Roman"/>
      <w:lang w:val="en-US" w:eastAsia="zh-CN" w:bidi="ar-SA"/>
    </w:rPr>
  </w:style>
  <w:style w:type="paragraph" w:styleId="1474"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475"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476" w:customStyle="1">
    <w:name w:val="正文首行缩进1"/>
    <w:uiPriority w:val="0"/>
    <w:qFormat/>
    <w:pPr>
      <w:ind w:firstLine="200"/>
      <w:spacing w:line="360" w:lineRule="auto"/>
    </w:pPr>
    <w:rPr>
      <w:rFonts w:ascii="仿宋_GB2312" w:hAnsi="Times New Roman" w:eastAsia="仿宋_GB2312" w:cs="Times New Roman"/>
      <w:b/>
      <w:sz w:val="30"/>
      <w:szCs w:val="30"/>
      <w:lang w:val="en-US" w:eastAsia="zh-CN" w:bidi="ar-SA"/>
    </w:rPr>
  </w:style>
  <w:style w:type="paragraph" w:styleId="1477" w:customStyle="1">
    <w:name w:val="正文_2_0_0"/>
    <w:uiPriority w:val="0"/>
    <w:qFormat/>
    <w:pPr>
      <w:jc w:val="both"/>
      <w:widowControl w:val="off"/>
    </w:pPr>
    <w:rPr>
      <w:rFonts w:ascii="Calibri" w:hAnsi="Calibri" w:eastAsia="宋体" w:cs="Times New Roman"/>
      <w:sz w:val="21"/>
      <w:szCs w:val="22"/>
      <w:lang w:val="en-US" w:eastAsia="zh-CN" w:bidi="ar-SA"/>
    </w:rPr>
  </w:style>
  <w:style w:type="numbering" w:styleId="1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李建文</cp:lastModifiedBy>
  <cp:revision>5</cp:revision>
  <dcterms:created xsi:type="dcterms:W3CDTF">2026-06-10T07:04:00Z</dcterms:created>
  <dcterms:modified xsi:type="dcterms:W3CDTF">2026-06-18T02:46:27Z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CCCDB58D969D41C3AA6E80B15D50E49C_13</vt:lpwstr>
  </property>
  <property fmtid="{D5CDD505-2E9C-101B-9397-08002B2CF9AE}" pid="4" name="KSOTemplateDocerSaveRecord">
    <vt:lpwstr>eyJoZGlkIjoiMTQ2YTRhZmU3MzQ1MGViN2M1MTllNjhjYTg0M2E4ODAiLCJ1c2VySWQiOiI5OTQ4OTg1MDYifQ==</vt:lpwstr>
  </property>
</Properties>
</file>