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sz w:val="32"/>
          <w:szCs w:val="32"/>
        </w:rPr>
      </w:pPr>
      <w:r>
        <w:rPr>
          <w:rFonts w:ascii="CESI黑体-GB2312" w:hAnsi="CESI黑体-GB2312" w:eastAsia="CESI黑体-GB2312" w:cs="CESI黑体-GB2312"/>
          <w:color w:val="000000"/>
          <w:sz w:val="32"/>
          <w:szCs w:val="32"/>
        </w:rPr>
      </w:r>
      <w:r/>
    </w:p>
    <w:p>
      <w:pPr>
        <w:ind w:firstLine="300"/>
        <w:spacing w:line="360" w:lineRule="auto"/>
        <w:rPr>
          <w:color w:val="000000"/>
          <w:sz w:val="60"/>
          <w:szCs w:val="60"/>
        </w:rPr>
      </w:pPr>
      <w:r>
        <w:rPr>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rFonts w:hint="eastAsia"/>
          <w:b/>
          <w:bCs/>
          <w:color w:val="000000"/>
          <w:sz w:val="60"/>
          <w:szCs w:val="60"/>
        </w:rPr>
        <w:t xml:space="preserve">常州市政府采购项目</w:t>
      </w:r>
      <w:r/>
    </w:p>
    <w:p>
      <w:pPr>
        <w:jc w:val="center"/>
        <w:rPr>
          <w:b/>
          <w:bCs/>
          <w:color w:val="000000"/>
          <w:sz w:val="60"/>
          <w:szCs w:val="60"/>
        </w:rPr>
      </w:pPr>
      <w:r>
        <w:rPr>
          <w:rFonts w:hint="eastAsia"/>
          <w:b/>
          <w:bCs/>
          <w:color w:val="000000"/>
          <w:sz w:val="60"/>
          <w:szCs w:val="60"/>
        </w:rPr>
        <w:t xml:space="preserve">公开</w:t>
      </w:r>
      <w:r>
        <w:rPr>
          <w:b/>
          <w:bCs/>
          <w:color w:val="000000"/>
          <w:sz w:val="60"/>
          <w:szCs w:val="60"/>
        </w:rPr>
        <w:t xml:space="preserve">招标文件</w:t>
      </w:r>
      <w:r/>
    </w:p>
    <w:p>
      <w:pPr>
        <w:ind w:firstLine="360"/>
        <w:jc w:val="left"/>
        <w:spacing w:line="360" w:lineRule="auto"/>
        <w:tabs>
          <w:tab w:val="left" w:pos="3240" w:leader="none"/>
          <w:tab w:val="left" w:pos="3420" w:leader="none"/>
        </w:tabs>
        <w:rPr>
          <w:b/>
          <w:bCs/>
          <w:color w:val="000000"/>
          <w:sz w:val="60"/>
          <w:szCs w:val="60"/>
        </w:rPr>
      </w:pPr>
      <w:r>
        <w:rPr>
          <w:b/>
          <w:bCs/>
          <w:color w:val="000000"/>
          <w:sz w:val="60"/>
          <w:szCs w:val="60"/>
        </w:rPr>
      </w:r>
      <w:r/>
    </w:p>
    <w:p>
      <w:pPr>
        <w:ind w:firstLine="360"/>
        <w:jc w:val="left"/>
        <w:spacing w:line="360" w:lineRule="auto"/>
        <w:tabs>
          <w:tab w:val="left" w:pos="3240" w:leader="none"/>
          <w:tab w:val="left" w:pos="3420" w:leader="none"/>
        </w:tabs>
        <w:rPr>
          <w:b/>
          <w:bCs/>
          <w:color w:val="000000"/>
          <w:sz w:val="60"/>
          <w:szCs w:val="60"/>
        </w:rPr>
      </w:pPr>
      <w:r>
        <w:rPr>
          <w:b/>
          <w:bCs/>
          <w:color w:val="000000"/>
          <w:sz w:val="60"/>
          <w:szCs w:val="60"/>
        </w:rPr>
      </w:r>
      <w:r/>
    </w:p>
    <w:p>
      <w:pPr>
        <w:ind w:firstLine="720"/>
        <w:jc w:val="left"/>
        <w:spacing w:line="360" w:lineRule="auto"/>
        <w:tabs>
          <w:tab w:val="left" w:pos="3240" w:leader="none"/>
          <w:tab w:val="left" w:pos="3420" w:leader="none"/>
        </w:tabs>
        <w:rPr>
          <w:rFonts w:hint="eastAsia" w:ascii="宋体" w:hAnsi="宋体" w:cs="宋体"/>
          <w:bCs/>
          <w:color w:val="000000"/>
          <w:spacing w:val="-11"/>
          <w:sz w:val="36"/>
          <w:szCs w:val="36"/>
        </w:rPr>
      </w:pPr>
      <w:r>
        <w:rPr>
          <w:bCs/>
          <w:color w:val="000000"/>
          <w:sz w:val="36"/>
          <w:szCs w:val="36"/>
        </w:rPr>
        <w:t xml:space="preserve">项目名称：</w:t>
      </w:r>
      <w:r>
        <w:rPr>
          <w:rFonts w:hint="eastAsia" w:ascii="宋体" w:hAnsi="宋体" w:cs="宋体"/>
          <w:bCs/>
          <w:color w:val="000000"/>
          <w:spacing w:val="-11"/>
          <w:sz w:val="36"/>
          <w:szCs w:val="36"/>
        </w:rPr>
        <w:t xml:space="preserve">常州市新北区实验中学河海路校区电力扩容</w:t>
      </w:r>
      <w:r/>
    </w:p>
    <w:p>
      <w:pPr>
        <w:ind w:firstLine="720"/>
        <w:jc w:val="left"/>
        <w:spacing w:line="360" w:lineRule="auto"/>
        <w:tabs>
          <w:tab w:val="left" w:pos="3240" w:leader="none"/>
          <w:tab w:val="left" w:pos="3420" w:leader="none"/>
        </w:tabs>
        <w:rPr>
          <w:rFonts w:hint="eastAsia" w:ascii="宋体" w:hAnsi="宋体" w:cs="宋体"/>
          <w:bCs/>
          <w:color w:val="000000"/>
          <w:sz w:val="36"/>
          <w:szCs w:val="36"/>
        </w:rPr>
      </w:pPr>
      <w:r>
        <w:rPr>
          <w:rFonts w:hint="eastAsia" w:ascii="宋体" w:hAnsi="宋体" w:cs="宋体"/>
          <w:bCs/>
          <w:color w:val="000000"/>
          <w:sz w:val="36"/>
          <w:szCs w:val="36"/>
        </w:rPr>
        <w:t xml:space="preserve">项目编号/包号：</w:t>
      </w:r>
      <w:r>
        <w:rPr>
          <w:rFonts w:ascii="宋体" w:hAnsi="宋体" w:cs="宋体"/>
          <w:bCs/>
          <w:color w:val="000000"/>
          <w:sz w:val="36"/>
          <w:szCs w:val="36"/>
        </w:rPr>
        <w:t xml:space="preserve">JSZC-320411-CZZQ-G2026-0002</w:t>
      </w:r>
      <w:r/>
    </w:p>
    <w:p>
      <w:pPr>
        <w:ind w:firstLine="720"/>
        <w:jc w:val="left"/>
        <w:spacing w:line="360" w:lineRule="auto"/>
        <w:tabs>
          <w:tab w:val="left" w:pos="3240" w:leader="none"/>
          <w:tab w:val="left" w:pos="3420" w:leader="none"/>
        </w:tabs>
        <w:rPr>
          <w:bCs/>
          <w:color w:val="000000"/>
          <w:sz w:val="36"/>
          <w:szCs w:val="36"/>
        </w:rPr>
      </w:pPr>
      <w:r>
        <w:rPr>
          <w:rFonts w:hint="eastAsia" w:ascii="宋体" w:hAnsi="宋体" w:cs="宋体"/>
          <w:bCs/>
          <w:color w:val="000000"/>
          <w:sz w:val="36"/>
          <w:szCs w:val="36"/>
        </w:rPr>
        <w:t xml:space="preserve">采 购 人：常州市新北区实验中学</w:t>
      </w:r>
      <w:r/>
    </w:p>
    <w:p>
      <w:pPr>
        <w:ind w:firstLine="72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常州卓乾项目管理有限公司</w:t>
      </w:r>
      <w:r/>
    </w:p>
    <w:p>
      <w:pPr>
        <w:jc w:val="center"/>
        <w:spacing w:line="500" w:lineRule="exact"/>
        <w:rPr>
          <w:b/>
          <w:color w:val="000000"/>
          <w:sz w:val="44"/>
          <w:szCs w:val="44"/>
        </w:rPr>
      </w:pPr>
      <w:r>
        <w:rPr>
          <w:b/>
          <w:color w:val="000000"/>
          <w:sz w:val="72"/>
        </w:rPr>
        <w:br w:type="page" w:clear="all"/>
      </w:r>
      <w:bookmarkStart w:id="0" w:name="_Toc26057"/>
      <w:r/>
      <w:bookmarkStart w:id="1" w:name="_Toc99301418"/>
      <w:r/>
      <w:bookmarkStart w:id="2" w:name="_Toc21793"/>
      <w:r/>
      <w:bookmarkStart w:id="3" w:name="_Toc19862"/>
      <w:r/>
      <w:bookmarkStart w:id="4" w:name="_Toc14914"/>
      <w:r>
        <w:rPr>
          <w:b/>
          <w:color w:val="000000"/>
          <w:sz w:val="44"/>
          <w:szCs w:val="44"/>
        </w:rPr>
        <w:t xml:space="preserve">目</w:t>
      </w:r>
      <w:r>
        <w:rPr>
          <w:b/>
          <w:color w:val="000000"/>
          <w:sz w:val="44"/>
          <w:szCs w:val="44"/>
        </w:rPr>
        <w:t xml:space="preserve">  </w:t>
      </w:r>
      <w:r>
        <w:rPr>
          <w:b/>
          <w:color w:val="000000"/>
          <w:sz w:val="44"/>
          <w:szCs w:val="44"/>
        </w:rPr>
        <w:t xml:space="preserve">录</w:t>
      </w:r>
      <w:bookmarkEnd w:id="0"/>
      <w:r/>
      <w:bookmarkEnd w:id="1"/>
      <w:r/>
      <w:bookmarkEnd w:id="2"/>
      <w:r/>
      <w:bookmarkEnd w:id="3"/>
      <w:r/>
      <w:bookmarkEnd w:id="4"/>
      <w:r/>
      <w:r/>
    </w:p>
    <w:p>
      <w:pPr>
        <w:pStyle w:val="1072"/>
        <w:spacing w:line="360" w:lineRule="auto"/>
        <w:tabs>
          <w:tab w:val="right" w:pos="8305" w:leader="dot"/>
        </w:tabs>
        <w:rPr>
          <w:rFonts w:hint="eastAsia"/>
          <w:color w:val="000000"/>
          <w:sz w:val="32"/>
          <w:szCs w:val="32"/>
        </w:rPr>
      </w:pPr>
      <w:r>
        <w:rPr>
          <w:rFonts w:hint="eastAsia" w:cs="宋体"/>
          <w:b w:val="0"/>
          <w:color w:val="000000"/>
          <w:sz w:val="32"/>
          <w:szCs w:val="32"/>
        </w:rPr>
        <w:fldChar w:fldCharType="begin"/>
      </w:r>
      <w:r>
        <w:rPr>
          <w:rFonts w:hint="eastAsia" w:cs="宋体"/>
          <w:b w:val="0"/>
          <w:color w:val="000000"/>
          <w:sz w:val="32"/>
          <w:szCs w:val="32"/>
        </w:rPr>
        <w:instrText xml:space="preserve"> TOC \o "1-1" \h \z \u </w:instrText>
      </w:r>
      <w:r>
        <w:rPr>
          <w:rFonts w:hint="eastAsia" w:cs="宋体"/>
          <w:b w:val="0"/>
          <w:color w:val="000000"/>
          <w:sz w:val="32"/>
          <w:szCs w:val="32"/>
        </w:rPr>
        <w:fldChar w:fldCharType="separate"/>
      </w:r>
      <w:hyperlink w:tooltip="#_Toc27597" w:anchor="_Toc27597" w:history="1">
        <w:r>
          <w:rPr>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_Toc27597 \h </w:instrText>
        </w:r>
        <w:r>
          <w:rPr>
            <w:color w:val="000000"/>
            <w:sz w:val="32"/>
            <w:szCs w:val="32"/>
          </w:rPr>
        </w:r>
        <w:r>
          <w:rPr>
            <w:color w:val="000000"/>
            <w:sz w:val="32"/>
            <w:szCs w:val="32"/>
          </w:rPr>
          <w:fldChar w:fldCharType="separate"/>
        </w:r>
        <w:r>
          <w:rPr>
            <w:rFonts w:hint="eastAsia"/>
            <w:color w:val="000000"/>
            <w:sz w:val="32"/>
            <w:szCs w:val="32"/>
          </w:rPr>
          <w:t xml:space="preserve">1</w:t>
        </w:r>
        <w:r>
          <w:rPr>
            <w:color w:val="000000"/>
            <w:sz w:val="32"/>
            <w:szCs w:val="32"/>
          </w:rPr>
          <w:fldChar w:fldCharType="end"/>
        </w:r>
      </w:hyperlink>
      <w:r/>
      <w:r/>
    </w:p>
    <w:p>
      <w:pPr>
        <w:pStyle w:val="1072"/>
        <w:spacing w:line="360" w:lineRule="auto"/>
        <w:tabs>
          <w:tab w:val="right" w:pos="8305" w:leader="dot"/>
        </w:tabs>
        <w:rPr>
          <w:rFonts w:hint="eastAsia"/>
          <w:color w:val="000000"/>
          <w:sz w:val="32"/>
          <w:szCs w:val="32"/>
        </w:rPr>
      </w:pPr>
      <w:r/>
      <w:hyperlink w:tooltip="#_Toc30962" w:anchor="_Toc30962" w:history="1">
        <w:r>
          <w:rPr>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_Toc30962 \h </w:instrText>
        </w:r>
        <w:r>
          <w:rPr>
            <w:color w:val="000000"/>
            <w:sz w:val="32"/>
            <w:szCs w:val="32"/>
          </w:rPr>
        </w:r>
        <w:r>
          <w:rPr>
            <w:color w:val="000000"/>
            <w:sz w:val="32"/>
            <w:szCs w:val="32"/>
          </w:rPr>
          <w:fldChar w:fldCharType="separate"/>
        </w:r>
        <w:r>
          <w:rPr>
            <w:rFonts w:hint="eastAsia"/>
            <w:color w:val="000000"/>
            <w:sz w:val="32"/>
            <w:szCs w:val="32"/>
          </w:rPr>
          <w:t xml:space="preserve">3</w:t>
        </w:r>
        <w:r>
          <w:rPr>
            <w:color w:val="000000"/>
            <w:sz w:val="32"/>
            <w:szCs w:val="32"/>
          </w:rPr>
          <w:fldChar w:fldCharType="end"/>
        </w:r>
      </w:hyperlink>
      <w:r/>
      <w:r/>
    </w:p>
    <w:p>
      <w:pPr>
        <w:pStyle w:val="1072"/>
        <w:spacing w:line="360" w:lineRule="auto"/>
        <w:tabs>
          <w:tab w:val="right" w:pos="8305" w:leader="dot"/>
        </w:tabs>
        <w:rPr>
          <w:rFonts w:hint="eastAsia"/>
          <w:color w:val="000000"/>
          <w:sz w:val="32"/>
          <w:szCs w:val="32"/>
        </w:rPr>
      </w:pPr>
      <w:r/>
      <w:hyperlink w:tooltip="#_Toc6230" w:anchor="_Toc6230" w:history="1">
        <w:r>
          <w:rPr>
            <w:color w:val="000000"/>
            <w:sz w:val="32"/>
            <w:szCs w:val="32"/>
          </w:rPr>
          <w:t xml:space="preserve">第三章   资格审查</w:t>
        </w:r>
        <w:r>
          <w:rPr>
            <w:color w:val="000000"/>
            <w:sz w:val="32"/>
            <w:szCs w:val="32"/>
          </w:rPr>
          <w:tab/>
        </w:r>
        <w:r>
          <w:rPr>
            <w:color w:val="000000"/>
            <w:sz w:val="32"/>
            <w:szCs w:val="32"/>
          </w:rPr>
          <w:fldChar w:fldCharType="begin"/>
        </w:r>
        <w:r>
          <w:rPr>
            <w:color w:val="000000"/>
            <w:sz w:val="32"/>
            <w:szCs w:val="32"/>
          </w:rPr>
          <w:instrText xml:space="preserve"> PAGEREF _Toc6230 \h </w:instrText>
        </w:r>
        <w:r>
          <w:rPr>
            <w:color w:val="000000"/>
            <w:sz w:val="32"/>
            <w:szCs w:val="32"/>
          </w:rPr>
        </w:r>
        <w:r>
          <w:rPr>
            <w:color w:val="000000"/>
            <w:sz w:val="32"/>
            <w:szCs w:val="32"/>
          </w:rPr>
          <w:fldChar w:fldCharType="separate"/>
        </w:r>
        <w:r>
          <w:rPr>
            <w:rFonts w:hint="eastAsia"/>
            <w:color w:val="000000"/>
            <w:sz w:val="32"/>
            <w:szCs w:val="32"/>
          </w:rPr>
          <w:t xml:space="preserve">15</w:t>
        </w:r>
        <w:r>
          <w:rPr>
            <w:color w:val="000000"/>
            <w:sz w:val="32"/>
            <w:szCs w:val="32"/>
          </w:rPr>
          <w:fldChar w:fldCharType="end"/>
        </w:r>
      </w:hyperlink>
      <w:r/>
      <w:r/>
    </w:p>
    <w:p>
      <w:pPr>
        <w:pStyle w:val="1072"/>
        <w:spacing w:line="360" w:lineRule="auto"/>
        <w:tabs>
          <w:tab w:val="right" w:pos="8305" w:leader="dot"/>
        </w:tabs>
        <w:rPr>
          <w:rFonts w:hint="eastAsia"/>
          <w:color w:val="000000"/>
          <w:sz w:val="32"/>
          <w:szCs w:val="32"/>
        </w:rPr>
      </w:pPr>
      <w:r/>
      <w:hyperlink w:tooltip="#_Toc11043" w:anchor="_Toc11043" w:history="1">
        <w:r>
          <w:rPr>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_Toc11043 \h </w:instrText>
        </w:r>
        <w:r>
          <w:rPr>
            <w:color w:val="000000"/>
            <w:sz w:val="32"/>
            <w:szCs w:val="32"/>
          </w:rPr>
        </w:r>
        <w:r>
          <w:rPr>
            <w:color w:val="000000"/>
            <w:sz w:val="32"/>
            <w:szCs w:val="32"/>
          </w:rPr>
          <w:fldChar w:fldCharType="separate"/>
        </w:r>
        <w:r>
          <w:rPr>
            <w:rFonts w:hint="eastAsia"/>
            <w:color w:val="000000"/>
            <w:sz w:val="32"/>
            <w:szCs w:val="32"/>
          </w:rPr>
          <w:t xml:space="preserve">17</w:t>
        </w:r>
        <w:r>
          <w:rPr>
            <w:color w:val="000000"/>
            <w:sz w:val="32"/>
            <w:szCs w:val="32"/>
          </w:rPr>
          <w:fldChar w:fldCharType="end"/>
        </w:r>
      </w:hyperlink>
      <w:r/>
      <w:r/>
    </w:p>
    <w:p>
      <w:pPr>
        <w:pStyle w:val="1072"/>
        <w:spacing w:line="360" w:lineRule="auto"/>
        <w:tabs>
          <w:tab w:val="right" w:pos="8305" w:leader="dot"/>
        </w:tabs>
        <w:rPr>
          <w:rFonts w:hint="eastAsia"/>
          <w:color w:val="000000"/>
          <w:sz w:val="32"/>
          <w:szCs w:val="32"/>
        </w:rPr>
      </w:pPr>
      <w:r/>
      <w:hyperlink w:tooltip="#_Toc3971" w:anchor="_Toc3971" w:history="1">
        <w:r>
          <w:rPr>
            <w:color w:val="000000"/>
            <w:sz w:val="32"/>
            <w:szCs w:val="32"/>
          </w:rPr>
          <w:t xml:space="preserve">第五章   采购需求</w:t>
        </w:r>
        <w:r>
          <w:rPr>
            <w:color w:val="000000"/>
            <w:sz w:val="32"/>
            <w:szCs w:val="32"/>
          </w:rPr>
          <w:tab/>
        </w:r>
        <w:r>
          <w:rPr>
            <w:color w:val="000000"/>
            <w:sz w:val="32"/>
            <w:szCs w:val="32"/>
          </w:rPr>
          <w:fldChar w:fldCharType="begin"/>
        </w:r>
        <w:r>
          <w:rPr>
            <w:color w:val="000000"/>
            <w:sz w:val="32"/>
            <w:szCs w:val="32"/>
          </w:rPr>
          <w:instrText xml:space="preserve"> PAGEREF _Toc3971 \h </w:instrText>
        </w:r>
        <w:r>
          <w:rPr>
            <w:color w:val="000000"/>
            <w:sz w:val="32"/>
            <w:szCs w:val="32"/>
          </w:rPr>
        </w:r>
        <w:r>
          <w:rPr>
            <w:color w:val="000000"/>
            <w:sz w:val="32"/>
            <w:szCs w:val="32"/>
          </w:rPr>
          <w:fldChar w:fldCharType="separate"/>
        </w:r>
        <w:r>
          <w:rPr>
            <w:rFonts w:hint="eastAsia"/>
            <w:color w:val="000000"/>
            <w:sz w:val="32"/>
            <w:szCs w:val="32"/>
          </w:rPr>
          <w:t xml:space="preserve">27</w:t>
        </w:r>
        <w:r>
          <w:rPr>
            <w:color w:val="000000"/>
            <w:sz w:val="32"/>
            <w:szCs w:val="32"/>
          </w:rPr>
          <w:fldChar w:fldCharType="end"/>
        </w:r>
      </w:hyperlink>
      <w:r/>
      <w:r/>
    </w:p>
    <w:p>
      <w:pPr>
        <w:pStyle w:val="1072"/>
        <w:spacing w:line="360" w:lineRule="auto"/>
        <w:tabs>
          <w:tab w:val="right" w:pos="8305" w:leader="dot"/>
        </w:tabs>
        <w:rPr>
          <w:rFonts w:hint="eastAsia"/>
          <w:color w:val="000000"/>
          <w:sz w:val="32"/>
          <w:szCs w:val="32"/>
        </w:rPr>
      </w:pPr>
      <w:r/>
      <w:hyperlink w:tooltip="#_Toc31997" w:anchor="_Toc31997" w:history="1">
        <w:r>
          <w:rPr>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_Toc31997 \h </w:instrText>
        </w:r>
        <w:r>
          <w:rPr>
            <w:color w:val="000000"/>
            <w:sz w:val="32"/>
            <w:szCs w:val="32"/>
          </w:rPr>
        </w:r>
        <w:r>
          <w:rPr>
            <w:color w:val="000000"/>
            <w:sz w:val="32"/>
            <w:szCs w:val="32"/>
          </w:rPr>
          <w:fldChar w:fldCharType="separate"/>
        </w:r>
        <w:r>
          <w:rPr>
            <w:rFonts w:hint="eastAsia"/>
            <w:color w:val="000000"/>
            <w:sz w:val="32"/>
            <w:szCs w:val="32"/>
          </w:rPr>
          <w:t xml:space="preserve">37</w:t>
        </w:r>
        <w:r>
          <w:rPr>
            <w:color w:val="000000"/>
            <w:sz w:val="32"/>
            <w:szCs w:val="32"/>
          </w:rPr>
          <w:fldChar w:fldCharType="end"/>
        </w:r>
      </w:hyperlink>
      <w:r/>
      <w:r/>
    </w:p>
    <w:p>
      <w:pPr>
        <w:pStyle w:val="1072"/>
        <w:spacing w:line="360" w:lineRule="auto"/>
        <w:tabs>
          <w:tab w:val="right" w:pos="8305" w:leader="dot"/>
        </w:tabs>
        <w:rPr>
          <w:rFonts w:hint="eastAsia"/>
          <w:color w:val="000000"/>
          <w:sz w:val="32"/>
          <w:szCs w:val="32"/>
        </w:rPr>
      </w:pPr>
      <w:r/>
      <w:hyperlink w:tooltip="#_Toc29527" w:anchor="_Toc29527" w:history="1">
        <w:r>
          <w:rPr>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_Toc29527 \h </w:instrText>
        </w:r>
        <w:r>
          <w:rPr>
            <w:color w:val="000000"/>
            <w:sz w:val="32"/>
            <w:szCs w:val="32"/>
          </w:rPr>
        </w:r>
        <w:r>
          <w:rPr>
            <w:color w:val="000000"/>
            <w:sz w:val="32"/>
            <w:szCs w:val="32"/>
          </w:rPr>
          <w:fldChar w:fldCharType="separate"/>
        </w:r>
        <w:r>
          <w:rPr>
            <w:rFonts w:hint="eastAsia"/>
            <w:color w:val="000000"/>
            <w:sz w:val="32"/>
            <w:szCs w:val="32"/>
          </w:rPr>
          <w:t xml:space="preserve">40</w:t>
        </w:r>
        <w:r>
          <w:rPr>
            <w:color w:val="000000"/>
            <w:sz w:val="32"/>
            <w:szCs w:val="32"/>
          </w:rPr>
          <w:fldChar w:fldCharType="end"/>
        </w:r>
      </w:hyperlink>
      <w:r/>
      <w:r/>
    </w:p>
    <w:p>
      <w:pPr>
        <w:pStyle w:val="1072"/>
        <w:spacing w:line="360" w:lineRule="auto"/>
        <w:rPr>
          <w:rFonts w:ascii="Times New Roman" w:hAnsi="Times New Roman"/>
          <w:b w:val="0"/>
          <w:color w:val="000000"/>
          <w:sz w:val="32"/>
          <w:szCs w:val="32"/>
        </w:rPr>
      </w:pPr>
      <w:r>
        <w:rPr>
          <w:rFonts w:hint="eastAsia" w:cs="宋体"/>
          <w:color w:val="000000"/>
          <w:sz w:val="32"/>
          <w:szCs w:val="32"/>
        </w:rPr>
        <w:fldChar w:fldCharType="end"/>
      </w:r>
      <w:r/>
    </w:p>
    <w:p>
      <w:pPr>
        <w:spacing w:line="360" w:lineRule="auto"/>
        <w:rPr>
          <w:b/>
          <w:color w:val="000000"/>
          <w:sz w:val="32"/>
          <w:szCs w:val="32"/>
        </w:rPr>
        <w:sectPr>
          <w:headerReference w:type="first" r:id="rId9"/>
          <w:footerReference w:type="default" r:id="rId12"/>
          <w:footnotePr/>
          <w:endnotePr/>
          <w:type w:val="nextColumn"/>
          <w:pgSz w:w="11905" w:h="16838" w:orient="portrait"/>
          <w:pgMar w:top="1440" w:right="1800" w:bottom="1440" w:left="1800" w:header="851" w:footer="992" w:gutter="0"/>
          <w:pgNumType w:start="1"/>
          <w:cols w:num="1" w:sep="0" w:space="1701" w:equalWidth="1"/>
          <w:docGrid w:linePitch="360"/>
        </w:sectPr>
        <w:outlineLvl w:val="0"/>
      </w:pPr>
      <w:r>
        <w:rPr>
          <w:b/>
          <w:color w:val="000000"/>
          <w:sz w:val="32"/>
          <w:szCs w:val="32"/>
        </w:rPr>
      </w:r>
      <w:r/>
    </w:p>
    <w:p>
      <w:pPr>
        <w:jc w:val="center"/>
        <w:rPr>
          <w:b/>
          <w:color w:val="000000"/>
          <w:sz w:val="36"/>
          <w:szCs w:val="36"/>
        </w:rPr>
        <w:outlineLvl w:val="0"/>
      </w:pPr>
      <w:r/>
      <w:bookmarkStart w:id="5" w:name="_Toc27597"/>
      <w:r>
        <w:rPr>
          <w:b/>
          <w:color w:val="000000"/>
          <w:sz w:val="36"/>
          <w:szCs w:val="36"/>
        </w:rPr>
        <w:t xml:space="preserve">第一章</w:t>
      </w:r>
      <w:r>
        <w:rPr>
          <w:b/>
          <w:color w:val="000000"/>
          <w:sz w:val="36"/>
          <w:szCs w:val="36"/>
        </w:rPr>
        <w:t xml:space="preserve">   </w:t>
      </w:r>
      <w:r>
        <w:rPr>
          <w:b/>
          <w:color w:val="000000"/>
          <w:sz w:val="36"/>
          <w:szCs w:val="36"/>
        </w:rPr>
        <w:t xml:space="preserve">投标邀请</w:t>
      </w:r>
      <w:bookmarkEnd w:id="5"/>
      <w:r/>
      <w:r/>
    </w:p>
    <w:p>
      <w:pPr>
        <w:ind w:firstLine="482"/>
        <w:spacing w:line="384" w:lineRule="exact"/>
        <w:rPr>
          <w:rFonts w:hint="eastAsia" w:ascii="宋体" w:hAnsi="宋体" w:cs="宋体"/>
          <w:b/>
          <w:bCs/>
          <w:color w:val="000000"/>
          <w:sz w:val="24"/>
        </w:rPr>
      </w:pPr>
      <w:r/>
      <w:bookmarkStart w:id="6" w:name="_Toc35393621"/>
      <w:r/>
      <w:bookmarkStart w:id="7" w:name="_Toc28359002"/>
      <w:r/>
      <w:bookmarkStart w:id="8" w:name="_Toc35393790"/>
      <w:r/>
      <w:bookmarkStart w:id="9" w:name="_Toc28359079"/>
      <w:r/>
      <w:bookmarkStart w:id="10" w:name="_Hlk24379207"/>
      <w:r>
        <w:rPr>
          <w:rFonts w:hint="eastAsia" w:ascii="宋体" w:hAnsi="宋体" w:cs="宋体"/>
          <w:b/>
          <w:bCs/>
          <w:color w:val="000000"/>
          <w:sz w:val="24"/>
        </w:rPr>
        <w:t xml:space="preserve">一、项目基本情况</w:t>
      </w:r>
      <w:bookmarkEnd w:id="6"/>
      <w:r/>
      <w:bookmarkEnd w:id="7"/>
      <w:r/>
      <w:bookmarkEnd w:id="8"/>
      <w:r/>
      <w:bookmarkEnd w:id="9"/>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1.项目编号/包号：</w:t>
      </w:r>
      <w:r>
        <w:rPr>
          <w:rFonts w:ascii="宋体" w:hAnsi="宋体" w:cs="宋体"/>
          <w:color w:val="000000"/>
          <w:sz w:val="24"/>
        </w:rPr>
        <w:t xml:space="preserve">JSZC-320411-CZZQ-G2026-0002</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2.项目名称：</w:t>
      </w:r>
      <w:bookmarkEnd w:id="10"/>
      <w:r>
        <w:rPr>
          <w:rFonts w:hint="eastAsia" w:ascii="宋体" w:hAnsi="宋体" w:cs="宋体"/>
          <w:color w:val="000000"/>
          <w:sz w:val="24"/>
        </w:rPr>
        <w:t xml:space="preserve">常州市新北区实验中学河海路校区电力扩容</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3.项目预算金额：人民币134万元；</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4.项目最高限价：人民币134万元；</w:t>
      </w:r>
      <w:r/>
    </w:p>
    <w:p>
      <w:pPr>
        <w:ind w:firstLine="480"/>
        <w:spacing w:line="384" w:lineRule="exact"/>
        <w:rPr>
          <w:rFonts w:hint="eastAsia" w:ascii="宋体" w:hAnsi="宋体" w:cs="宋体"/>
          <w:color w:val="000000"/>
          <w:spacing w:val="2"/>
          <w:sz w:val="24"/>
        </w:rPr>
      </w:pPr>
      <w:r>
        <w:rPr>
          <w:rFonts w:hint="eastAsia" w:ascii="宋体" w:hAnsi="宋体" w:cs="宋体"/>
          <w:color w:val="000000"/>
          <w:sz w:val="24"/>
        </w:rPr>
        <w:t xml:space="preserve">5.采购需求：本项目采购内容为常州市新北区实验中学河海路校区电力扩容，包括设备制造（采购）、运输、装卸、安装、调试、测试、售后服务、保修、技术培训及配套设备等。</w:t>
      </w:r>
      <w:r>
        <w:rPr>
          <w:rFonts w:hint="eastAsia" w:ascii="宋体" w:hAnsi="宋体" w:cs="宋体"/>
          <w:color w:val="000000"/>
          <w:spacing w:val="2"/>
          <w:sz w:val="24"/>
        </w:rPr>
        <w:t xml:space="preserve">具体参数及要求详见“第五章  采购需求”。</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6.合同履行期限：</w:t>
      </w:r>
      <w:bookmarkStart w:id="11" w:name="_Toc28359003"/>
      <w:r/>
      <w:bookmarkStart w:id="12" w:name="_Toc35393791"/>
      <w:r/>
      <w:bookmarkStart w:id="13" w:name="_Toc28359080"/>
      <w:r/>
      <w:bookmarkStart w:id="14" w:name="_Toc35393622"/>
      <w:r>
        <w:rPr>
          <w:rFonts w:hint="eastAsia" w:ascii="宋体" w:hAnsi="宋体" w:cs="宋体"/>
          <w:color w:val="000000"/>
          <w:sz w:val="24"/>
        </w:rPr>
        <w:t xml:space="preserve">须在20个日历天内完工并通过全部验收，工期必须严格服从采购人的安排，满足项目进度的要求</w:t>
      </w:r>
      <w:r>
        <w:rPr>
          <w:rFonts w:hint="eastAsia" w:ascii="宋体" w:hAnsi="宋体" w:cs="宋体"/>
          <w:color w:val="000000"/>
          <w:sz w:val="24"/>
        </w:rPr>
        <w:t xml:space="preserve">。</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7.本项目是否接受联合体：否。</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8.本项目是否接受进口产品响应：否。</w:t>
      </w:r>
      <w:r/>
    </w:p>
    <w:p>
      <w:pPr>
        <w:ind w:firstLine="482"/>
        <w:spacing w:line="384" w:lineRule="exact"/>
        <w:rPr>
          <w:rFonts w:hint="eastAsia" w:ascii="宋体" w:hAnsi="宋体" w:cs="宋体"/>
          <w:b/>
          <w:bCs/>
          <w:color w:val="000000"/>
          <w:sz w:val="24"/>
        </w:rPr>
      </w:pPr>
      <w:r>
        <w:rPr>
          <w:rFonts w:hint="eastAsia" w:ascii="宋体" w:hAnsi="宋体" w:cs="宋体"/>
          <w:b/>
          <w:bCs/>
          <w:color w:val="000000"/>
          <w:sz w:val="24"/>
        </w:rPr>
        <w:t xml:space="preserve">二、申请人的资格要求（须同时满足）</w:t>
      </w:r>
      <w:bookmarkEnd w:id="11"/>
      <w:r/>
      <w:bookmarkEnd w:id="12"/>
      <w:r/>
      <w:bookmarkEnd w:id="13"/>
      <w:r/>
      <w:bookmarkEnd w:id="14"/>
      <w:r/>
      <w:r/>
    </w:p>
    <w:p>
      <w:pPr>
        <w:ind w:firstLine="482"/>
        <w:spacing w:line="384" w:lineRule="exact"/>
        <w:rPr>
          <w:rFonts w:hint="eastAsia" w:ascii="宋体" w:hAnsi="宋体" w:cs="宋体"/>
          <w:b/>
          <w:bCs/>
          <w:color w:val="000000"/>
          <w:sz w:val="24"/>
        </w:rPr>
      </w:pPr>
      <w:r>
        <w:rPr>
          <w:rFonts w:hint="eastAsia" w:ascii="宋体" w:hAnsi="宋体" w:cs="宋体"/>
          <w:b/>
          <w:bCs/>
          <w:color w:val="000000"/>
          <w:sz w:val="24"/>
        </w:rPr>
        <w:t xml:space="preserve">1.满足《中华人民共和国政府采购法》第二十二条规定以及下列情形：</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84" w:lineRule="exact"/>
        <w:rPr>
          <w:rFonts w:hint="eastAsia" w:ascii="宋体" w:hAnsi="宋体" w:cs="宋体"/>
          <w:b/>
          <w:bCs/>
          <w:color w:val="000000"/>
          <w:sz w:val="24"/>
        </w:rPr>
      </w:pPr>
      <w:r/>
      <w:bookmarkStart w:id="15" w:name="_Toc28359004"/>
      <w:r/>
      <w:bookmarkStart w:id="16" w:name="_Toc28359081"/>
      <w:r>
        <w:rPr>
          <w:rFonts w:hint="eastAsia" w:ascii="宋体" w:hAnsi="宋体" w:cs="宋体"/>
          <w:b/>
          <w:bCs/>
          <w:color w:val="000000"/>
          <w:sz w:val="24"/>
        </w:rPr>
        <w:t xml:space="preserve">2.落实政府采购政策需满足的资格要求：</w:t>
      </w:r>
      <w:r/>
    </w:p>
    <w:p>
      <w:pPr>
        <w:ind w:firstLine="480"/>
        <w:spacing w:line="384" w:lineRule="exact"/>
        <w:rPr>
          <w:rFonts w:hint="eastAsia" w:ascii="宋体" w:hAnsi="宋体" w:cs="宋体"/>
          <w:b/>
          <w:bCs/>
          <w:color w:val="000000"/>
          <w:sz w:val="24"/>
        </w:rPr>
      </w:pPr>
      <w:r>
        <w:rPr>
          <w:rFonts w:hint="eastAsia" w:ascii="宋体" w:hAnsi="宋体" w:cs="宋体"/>
          <w:color w:val="000000"/>
          <w:sz w:val="24"/>
        </w:rPr>
        <w:t xml:space="preserve">2.1 中小企业政策：</w:t>
      </w:r>
      <w:r>
        <w:rPr>
          <w:rFonts w:hint="eastAsia" w:ascii="宋体" w:hAnsi="宋体" w:cs="宋体"/>
          <w:b/>
          <w:bCs/>
          <w:color w:val="000000"/>
          <w:sz w:val="24"/>
        </w:rPr>
        <w:t xml:space="preserve">本项目不专门面向中小企业预留采购份额。</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2.2 其他落实政府采购政策的资格要求（如有）：无。</w:t>
      </w:r>
      <w:r/>
    </w:p>
    <w:p>
      <w:pPr>
        <w:ind w:firstLine="482"/>
        <w:spacing w:line="384" w:lineRule="exact"/>
        <w:rPr>
          <w:rFonts w:hint="eastAsia" w:ascii="宋体" w:hAnsi="宋体" w:cs="宋体"/>
          <w:b/>
          <w:bCs/>
          <w:i/>
          <w:iCs/>
          <w:color w:val="000000"/>
          <w:sz w:val="24"/>
          <w:u w:val="single"/>
        </w:rPr>
      </w:pPr>
      <w:r>
        <w:rPr>
          <w:rFonts w:hint="eastAsia" w:ascii="宋体" w:hAnsi="宋体" w:cs="宋体"/>
          <w:b/>
          <w:bCs/>
          <w:color w:val="000000"/>
          <w:sz w:val="24"/>
        </w:rPr>
        <w:t xml:space="preserve">3.本项目的特定资格要求：</w:t>
      </w:r>
      <w:r/>
    </w:p>
    <w:p>
      <w:pPr>
        <w:ind w:firstLine="480"/>
        <w:spacing w:line="384" w:lineRule="exact"/>
        <w:tabs>
          <w:tab w:val="left" w:pos="900" w:leader="none"/>
          <w:tab w:val="left" w:pos="1134" w:leader="none"/>
          <w:tab w:val="left" w:pos="1589" w:leader="none"/>
          <w:tab w:val="left" w:pos="5521" w:leader="none"/>
        </w:tabs>
        <w:rPr>
          <w:rFonts w:hint="eastAsia" w:ascii="宋体" w:hAnsi="宋体" w:cs="宋体"/>
          <w:color w:val="000000"/>
          <w:sz w:val="24"/>
        </w:rPr>
      </w:pPr>
      <w:r>
        <w:rPr>
          <w:rFonts w:hint="eastAsia" w:ascii="宋体" w:hAnsi="宋体" w:cs="宋体"/>
          <w:color w:val="000000"/>
          <w:sz w:val="24"/>
        </w:rPr>
        <w:t xml:space="preserve">3.1本项目是否接受分支机构参与投标：否；</w:t>
      </w:r>
      <w:r/>
    </w:p>
    <w:p>
      <w:pPr>
        <w:ind w:firstLine="480"/>
        <w:spacing w:line="384" w:lineRule="exact"/>
        <w:tabs>
          <w:tab w:val="left" w:pos="900" w:leader="none"/>
          <w:tab w:val="left" w:pos="1134" w:leader="none"/>
          <w:tab w:val="left" w:pos="1589" w:leader="none"/>
          <w:tab w:val="left" w:pos="5521" w:leader="none"/>
        </w:tabs>
        <w:rPr>
          <w:rFonts w:hint="eastAsia" w:ascii="宋体" w:hAnsi="宋体" w:cs="宋体"/>
          <w:b/>
          <w:bCs/>
          <w:color w:val="000000"/>
          <w:sz w:val="24"/>
        </w:rPr>
      </w:pPr>
      <w:r/>
      <w:bookmarkStart w:id="17" w:name="_Toc35393623"/>
      <w:r/>
      <w:bookmarkStart w:id="18" w:name="_Toc35393792"/>
      <w:r/>
      <w:bookmarkEnd w:id="15"/>
      <w:r/>
      <w:bookmarkEnd w:id="16"/>
      <w:r>
        <w:rPr>
          <w:rFonts w:hint="eastAsia" w:ascii="宋体" w:hAnsi="宋体" w:cs="宋体"/>
          <w:b/>
          <w:bCs/>
          <w:color w:val="000000"/>
          <w:sz w:val="24"/>
        </w:rPr>
        <w:t xml:space="preserve">3.2其他特定资格要求：</w:t>
      </w:r>
      <w:r>
        <w:rPr>
          <w:rFonts w:hint="eastAsia" w:ascii="宋体" w:hAnsi="宋体" w:cs="宋体"/>
          <w:b/>
          <w:bCs/>
          <w:color w:val="000000"/>
          <w:sz w:val="24"/>
        </w:rPr>
        <w:t xml:space="preserve">无</w:t>
      </w:r>
      <w:r/>
    </w:p>
    <w:p>
      <w:pPr>
        <w:ind w:firstLine="482"/>
        <w:spacing w:line="384" w:lineRule="exact"/>
        <w:rPr>
          <w:rFonts w:hint="eastAsia" w:ascii="宋体" w:hAnsi="宋体" w:cs="宋体"/>
          <w:b/>
          <w:bCs/>
          <w:color w:val="000000"/>
          <w:sz w:val="24"/>
        </w:rPr>
      </w:pPr>
      <w:r>
        <w:rPr>
          <w:rFonts w:hint="eastAsia" w:ascii="宋体" w:hAnsi="宋体" w:cs="宋体"/>
          <w:b/>
          <w:bCs/>
          <w:color w:val="000000"/>
          <w:sz w:val="24"/>
        </w:rPr>
        <w:t xml:space="preserve">三、获取招标文件</w:t>
      </w:r>
      <w:bookmarkEnd w:id="17"/>
      <w:r/>
      <w:bookmarkEnd w:id="18"/>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1.时间：自招标文件公告发布之日起5个工作日</w:t>
      </w:r>
      <w:r/>
    </w:p>
    <w:p>
      <w:pPr>
        <w:ind w:firstLine="480"/>
        <w:spacing w:line="384" w:lineRule="exact"/>
        <w:rPr>
          <w:rFonts w:hint="eastAsia" w:ascii="宋体" w:hAnsi="宋体" w:cs="宋体"/>
          <w:color w:val="000000"/>
          <w:sz w:val="24"/>
        </w:rPr>
      </w:pPr>
      <w:r/>
      <w:bookmarkStart w:id="19" w:name="_Toc28359005"/>
      <w:r/>
      <w:bookmarkStart w:id="20" w:name="_Toc28359082"/>
      <w:r/>
      <w:bookmarkStart w:id="21" w:name="_Toc35393793"/>
      <w:r/>
      <w:bookmarkStart w:id="22" w:name="_Toc35393624"/>
      <w:r>
        <w:rPr>
          <w:rFonts w:hint="eastAsia" w:ascii="宋体" w:hAnsi="宋体" w:cs="宋体"/>
          <w:color w:val="000000"/>
          <w:sz w:val="24"/>
        </w:rPr>
        <w:t xml:space="preserve">2.地点：“苏采云”政府采购一体化平台</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3.方式：投标人持CA数字认证证书登录“苏采云”政府采购一体化平台获取电子版招标文件。</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4.售价： 0 元。</w:t>
      </w:r>
      <w:r/>
    </w:p>
    <w:p>
      <w:pPr>
        <w:ind w:firstLine="482"/>
        <w:spacing w:line="384" w:lineRule="exact"/>
        <w:rPr>
          <w:rFonts w:hint="eastAsia" w:ascii="宋体" w:hAnsi="宋体" w:cs="宋体"/>
          <w:b/>
          <w:bCs/>
          <w:color w:val="000000"/>
          <w:sz w:val="24"/>
        </w:rPr>
      </w:pPr>
      <w:r>
        <w:rPr>
          <w:rFonts w:hint="eastAsia" w:ascii="宋体" w:hAnsi="宋体" w:cs="宋体"/>
          <w:b/>
          <w:bCs/>
          <w:color w:val="000000"/>
          <w:sz w:val="24"/>
        </w:rPr>
        <w:t xml:space="preserve">四、提交投标文件</w:t>
      </w:r>
      <w:bookmarkEnd w:id="19"/>
      <w:r/>
      <w:bookmarkEnd w:id="20"/>
      <w:r>
        <w:rPr>
          <w:rFonts w:hint="eastAsia" w:ascii="宋体" w:hAnsi="宋体" w:cs="宋体"/>
          <w:b/>
          <w:bCs/>
          <w:color w:val="000000"/>
          <w:sz w:val="24"/>
        </w:rPr>
        <w:t xml:space="preserve">截止时间、开标时间和地点</w:t>
      </w:r>
      <w:bookmarkEnd w:id="21"/>
      <w:r/>
      <w:bookmarkEnd w:id="22"/>
      <w:r/>
      <w:r/>
    </w:p>
    <w:p>
      <w:pPr>
        <w:ind w:firstLine="482"/>
        <w:spacing w:line="384" w:lineRule="exact"/>
        <w:rPr>
          <w:rFonts w:hint="eastAsia" w:ascii="宋体" w:hAnsi="宋体" w:cs="宋体"/>
          <w:b/>
          <w:bCs/>
          <w:color w:val="000000"/>
          <w:sz w:val="24"/>
        </w:rPr>
      </w:pPr>
      <w:r/>
      <w:bookmarkStart w:id="23" w:name="_Toc28359084"/>
      <w:r/>
      <w:bookmarkStart w:id="24" w:name="_Toc35393794"/>
      <w:r/>
      <w:bookmarkStart w:id="25" w:name="_Toc35393625"/>
      <w:r/>
      <w:bookmarkStart w:id="26" w:name="_Toc28359007"/>
      <w:r>
        <w:rPr>
          <w:rFonts w:hint="eastAsia" w:ascii="宋体" w:hAnsi="宋体" w:cs="宋体"/>
          <w:b/>
          <w:bCs/>
          <w:color w:val="000000"/>
          <w:sz w:val="24"/>
        </w:rPr>
        <w:t xml:space="preserve">投标截止时间、开标时间：2026年</w:t>
      </w:r>
      <w:r>
        <w:rPr>
          <w:rFonts w:hint="eastAsia" w:ascii="宋体" w:hAnsi="宋体" w:cs="宋体"/>
          <w:b/>
          <w:bCs/>
          <w:color w:val="000000"/>
          <w:sz w:val="24"/>
        </w:rPr>
        <w:t xml:space="preserve">7</w:t>
      </w:r>
      <w:r>
        <w:rPr>
          <w:rFonts w:hint="eastAsia" w:ascii="宋体" w:hAnsi="宋体" w:cs="宋体"/>
          <w:b/>
          <w:bCs/>
          <w:color w:val="000000"/>
          <w:sz w:val="24"/>
        </w:rPr>
        <w:t xml:space="preserve">月</w:t>
      </w:r>
      <w:r>
        <w:rPr>
          <w:rFonts w:hint="eastAsia" w:ascii="宋体" w:hAnsi="宋体" w:cs="宋体"/>
          <w:b/>
          <w:bCs/>
          <w:color w:val="000000"/>
          <w:sz w:val="24"/>
        </w:rPr>
        <w:t xml:space="preserve">14</w:t>
      </w:r>
      <w:r>
        <w:rPr>
          <w:rFonts w:hint="eastAsia" w:ascii="宋体" w:hAnsi="宋体" w:cs="宋体"/>
          <w:b/>
          <w:bCs/>
          <w:color w:val="000000"/>
          <w:sz w:val="24"/>
        </w:rPr>
        <w:t xml:space="preserve">日</w:t>
      </w:r>
      <w:r>
        <w:rPr>
          <w:rFonts w:hint="eastAsia" w:ascii="宋体" w:hAnsi="宋体" w:cs="宋体"/>
          <w:b/>
          <w:bCs/>
          <w:color w:val="000000"/>
          <w:sz w:val="24"/>
        </w:rPr>
        <w:t xml:space="preserve">14</w:t>
      </w:r>
      <w:r>
        <w:rPr>
          <w:rFonts w:hint="eastAsia" w:ascii="宋体" w:hAnsi="宋体" w:cs="宋体"/>
          <w:b/>
          <w:bCs/>
          <w:color w:val="000000"/>
          <w:sz w:val="24"/>
        </w:rPr>
        <w:t xml:space="preserve">点00分（北京时间）。</w:t>
      </w:r>
      <w:r/>
    </w:p>
    <w:p>
      <w:pPr>
        <w:ind w:firstLine="482"/>
        <w:spacing w:line="384" w:lineRule="exact"/>
        <w:rPr>
          <w:rFonts w:hint="eastAsia" w:ascii="宋体" w:hAnsi="宋体" w:cs="宋体"/>
          <w:b/>
          <w:bCs/>
          <w:color w:val="000000"/>
          <w:sz w:val="24"/>
          <w:lang w:val="zh-TW"/>
        </w:rPr>
      </w:pPr>
      <w:r>
        <w:rPr>
          <w:rFonts w:hint="eastAsia" w:ascii="宋体" w:hAnsi="宋体" w:cs="宋体"/>
          <w:b/>
          <w:bCs/>
          <w:color w:val="000000"/>
          <w:sz w:val="24"/>
        </w:rPr>
        <w:t xml:space="preserve">地点：“苏采云”政府采购一体化平台</w:t>
      </w:r>
      <w:r/>
    </w:p>
    <w:p>
      <w:pPr>
        <w:ind w:firstLine="482"/>
        <w:spacing w:line="384" w:lineRule="exact"/>
        <w:rPr>
          <w:rFonts w:hint="eastAsia" w:ascii="宋体" w:hAnsi="宋体" w:cs="宋体"/>
          <w:b/>
          <w:bCs/>
          <w:color w:val="000000"/>
          <w:sz w:val="24"/>
        </w:rPr>
      </w:pPr>
      <w:r>
        <w:rPr>
          <w:rFonts w:hint="eastAsia" w:ascii="宋体" w:hAnsi="宋体" w:cs="宋体"/>
          <w:b/>
          <w:bCs/>
          <w:color w:val="000000"/>
          <w:sz w:val="24"/>
        </w:rPr>
        <w:t xml:space="preserve">五、公告期限</w:t>
      </w:r>
      <w:bookmarkEnd w:id="23"/>
      <w:r/>
      <w:bookmarkEnd w:id="24"/>
      <w:r/>
      <w:bookmarkEnd w:id="25"/>
      <w:r/>
      <w:bookmarkEnd w:id="26"/>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自本公告发布之日起5个工作日。</w:t>
      </w:r>
      <w:r/>
    </w:p>
    <w:p>
      <w:pPr>
        <w:ind w:firstLine="482"/>
        <w:spacing w:line="384" w:lineRule="exact"/>
        <w:rPr>
          <w:rFonts w:hint="eastAsia" w:ascii="宋体" w:hAnsi="宋体" w:cs="宋体"/>
          <w:b/>
          <w:bCs/>
          <w:color w:val="000000"/>
          <w:sz w:val="24"/>
        </w:rPr>
      </w:pPr>
      <w:r/>
      <w:bookmarkStart w:id="27" w:name="_Toc35393795"/>
      <w:r/>
      <w:bookmarkStart w:id="28" w:name="_Toc35393626"/>
      <w:r>
        <w:rPr>
          <w:rFonts w:hint="eastAsia" w:ascii="宋体" w:hAnsi="宋体" w:cs="宋体"/>
          <w:b/>
          <w:bCs/>
          <w:color w:val="000000"/>
          <w:sz w:val="24"/>
        </w:rPr>
        <w:t xml:space="preserve">六、其他补充事宜</w:t>
      </w:r>
      <w:bookmarkEnd w:id="27"/>
      <w:r/>
      <w:bookmarkEnd w:id="28"/>
      <w:r/>
      <w:r/>
    </w:p>
    <w:p>
      <w:pPr>
        <w:ind w:firstLine="480"/>
        <w:spacing w:line="384" w:lineRule="exact"/>
        <w:rPr>
          <w:rFonts w:hint="eastAsia" w:ascii="宋体" w:hAnsi="宋体" w:cs="宋体"/>
          <w:color w:val="000000"/>
          <w:sz w:val="24"/>
        </w:rPr>
      </w:pPr>
      <w:r/>
      <w:bookmarkStart w:id="29" w:name="_Toc28359085"/>
      <w:r/>
      <w:bookmarkStart w:id="30" w:name="_Toc35393627"/>
      <w:r/>
      <w:bookmarkStart w:id="31" w:name="_Toc28359008"/>
      <w:r/>
      <w:bookmarkStart w:id="32" w:name="_Toc35393796"/>
      <w:r>
        <w:rPr>
          <w:rFonts w:hint="eastAsia" w:ascii="宋体" w:hAnsi="宋体" w:cs="宋体"/>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http://www.ccgp-jiangsu.gov.cn/jiangsu/zlxz/ee/ee3a4bc5a3454aa2b0d9312230633ce9.html。</w:t>
      </w:r>
      <w:r/>
    </w:p>
    <w:p>
      <w:pPr>
        <w:ind w:firstLine="480"/>
        <w:spacing w:line="384" w:lineRule="exact"/>
        <w:rPr>
          <w:rFonts w:hint="eastAsia" w:ascii="宋体" w:hAnsi="宋体" w:cs="宋体"/>
          <w:color w:val="000000"/>
          <w:sz w:val="24"/>
        </w:rPr>
      </w:pPr>
      <w:r>
        <w:rPr>
          <w:rFonts w:hint="eastAsia" w:ascii="宋体" w:hAnsi="宋体" w:cs="宋体"/>
          <w:color w:val="000000"/>
          <w:sz w:val="24"/>
        </w:rPr>
        <w:t xml:space="preserve">2.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2"/>
        <w:jc w:val="left"/>
        <w:spacing w:line="384" w:lineRule="exact"/>
        <w:rPr>
          <w:rFonts w:hint="eastAsia" w:ascii="宋体" w:hAnsi="宋体" w:cs="宋体"/>
          <w:b/>
          <w:bCs/>
          <w:color w:val="000000"/>
          <w:sz w:val="24"/>
        </w:rPr>
      </w:pPr>
      <w:r>
        <w:rPr>
          <w:rFonts w:hint="eastAsia" w:ascii="宋体" w:hAnsi="宋体" w:cs="宋体"/>
          <w:b/>
          <w:bCs/>
          <w:color w:val="000000"/>
          <w:sz w:val="24"/>
        </w:rPr>
        <w:t xml:space="preserve">七、对本次招标提出询问，请按以下方式联系。</w:t>
      </w:r>
      <w:bookmarkEnd w:id="29"/>
      <w:r/>
      <w:bookmarkEnd w:id="30"/>
      <w:r/>
      <w:bookmarkEnd w:id="31"/>
      <w:r/>
      <w:bookmarkEnd w:id="32"/>
      <w:r/>
      <w:r/>
    </w:p>
    <w:p>
      <w:pPr>
        <w:ind w:firstLine="482"/>
        <w:jc w:val="left"/>
        <w:spacing w:line="390" w:lineRule="exact"/>
        <w:rPr>
          <w:rFonts w:hint="eastAsia" w:ascii="宋体" w:hAnsi="宋体" w:cs="宋体"/>
          <w:b/>
          <w:color w:val="000000"/>
          <w:sz w:val="24"/>
        </w:rPr>
      </w:pPr>
      <w:r>
        <w:rPr>
          <w:rFonts w:hint="eastAsia" w:ascii="宋体" w:hAnsi="宋体" w:cs="宋体"/>
          <w:b/>
          <w:color w:val="000000"/>
          <w:sz w:val="24"/>
        </w:rPr>
        <w:t xml:space="preserve">1.</w:t>
      </w:r>
      <w:bookmarkStart w:id="33" w:name="_Toc28359009"/>
      <w:r/>
      <w:bookmarkStart w:id="34" w:name="_Toc28359086"/>
      <w:r>
        <w:rPr>
          <w:rFonts w:hint="eastAsia" w:ascii="宋体" w:hAnsi="宋体" w:cs="宋体"/>
          <w:b/>
          <w:color w:val="000000"/>
          <w:sz w:val="24"/>
        </w:rPr>
        <w:t xml:space="preserve">采购人信息</w:t>
      </w:r>
      <w:r/>
    </w:p>
    <w:p>
      <w:pPr>
        <w:ind w:firstLine="480"/>
        <w:spacing w:line="390" w:lineRule="exact"/>
        <w:rPr>
          <w:rFonts w:hint="eastAsia" w:ascii="宋体" w:hAnsi="宋体" w:cs="宋体"/>
          <w:color w:val="000000"/>
          <w:sz w:val="24"/>
        </w:rPr>
      </w:pPr>
      <w:r>
        <w:rPr>
          <w:rFonts w:hint="eastAsia" w:ascii="宋体" w:hAnsi="宋体" w:cs="宋体"/>
          <w:color w:val="000000"/>
          <w:sz w:val="24"/>
        </w:rPr>
        <w:t xml:space="preserve">名称：常州市新北区实验中学</w:t>
      </w:r>
      <w:r/>
    </w:p>
    <w:p>
      <w:pPr>
        <w:ind w:firstLine="480"/>
        <w:spacing w:line="390" w:lineRule="exact"/>
        <w:rPr>
          <w:rFonts w:hint="eastAsia" w:ascii="宋体" w:hAnsi="宋体" w:cs="宋体"/>
          <w:color w:val="000000"/>
          <w:sz w:val="24"/>
        </w:rPr>
      </w:pPr>
      <w:r>
        <w:rPr>
          <w:rFonts w:hint="eastAsia" w:ascii="宋体" w:hAnsi="宋体" w:cs="宋体"/>
          <w:color w:val="000000"/>
          <w:sz w:val="24"/>
        </w:rPr>
        <w:t xml:space="preserve">联系地址：常州市新北区晋陵北路58号</w:t>
      </w:r>
      <w:r/>
    </w:p>
    <w:p>
      <w:pPr>
        <w:ind w:firstLine="480"/>
        <w:spacing w:line="390" w:lineRule="exact"/>
        <w:rPr>
          <w:rFonts w:hint="eastAsia" w:ascii="宋体" w:hAnsi="宋体" w:cs="宋体"/>
          <w:color w:val="000000"/>
          <w:sz w:val="24"/>
        </w:rPr>
      </w:pPr>
      <w:r>
        <w:rPr>
          <w:rFonts w:hint="eastAsia" w:ascii="宋体" w:hAnsi="宋体" w:cs="宋体"/>
          <w:color w:val="000000"/>
          <w:sz w:val="24"/>
        </w:rPr>
        <w:t xml:space="preserve">联系电话：0519-8510 0912转8022</w:t>
      </w:r>
      <w:r/>
    </w:p>
    <w:p>
      <w:pPr>
        <w:ind w:firstLine="482"/>
        <w:jc w:val="left"/>
        <w:spacing w:line="390" w:lineRule="exact"/>
        <w:rPr>
          <w:rFonts w:hint="eastAsia" w:ascii="宋体" w:hAnsi="宋体" w:cs="宋体"/>
          <w:b/>
          <w:color w:val="000000"/>
          <w:sz w:val="24"/>
        </w:rPr>
      </w:pPr>
      <w:r>
        <w:rPr>
          <w:rFonts w:hint="eastAsia" w:ascii="宋体" w:hAnsi="宋体" w:cs="宋体"/>
          <w:b/>
          <w:color w:val="000000"/>
          <w:sz w:val="24"/>
        </w:rPr>
        <w:t xml:space="preserve">2.采购代理机构信息</w:t>
      </w:r>
      <w:bookmarkEnd w:id="33"/>
      <w:r/>
      <w:bookmarkEnd w:id="34"/>
      <w:r/>
      <w:r/>
    </w:p>
    <w:p>
      <w:pPr>
        <w:ind w:firstLine="480"/>
        <w:spacing w:line="390" w:lineRule="exact"/>
        <w:rPr>
          <w:rFonts w:hint="eastAsia" w:ascii="宋体" w:hAnsi="宋体" w:cs="宋体"/>
          <w:color w:val="000000"/>
          <w:sz w:val="24"/>
        </w:rPr>
      </w:pPr>
      <w:r/>
      <w:bookmarkStart w:id="35" w:name="_Toc28359010"/>
      <w:r/>
      <w:bookmarkStart w:id="36" w:name="_Toc28359087"/>
      <w:r>
        <w:rPr>
          <w:rFonts w:hint="eastAsia" w:ascii="宋体" w:hAnsi="宋体" w:cs="宋体"/>
          <w:color w:val="000000"/>
          <w:sz w:val="24"/>
        </w:rPr>
        <w:t xml:space="preserve">名称：常州卓乾项目管理有限公司</w:t>
      </w:r>
      <w:r/>
    </w:p>
    <w:p>
      <w:pPr>
        <w:pStyle w:val="885"/>
        <w:ind w:firstLine="480"/>
        <w:jc w:val="both"/>
        <w:spacing w:before="0" w:beforeAutospacing="0" w:after="0" w:afterAutospacing="0" w:line="390" w:lineRule="exact"/>
        <w:rPr>
          <w:rFonts w:hint="eastAsia"/>
          <w:color w:val="000000"/>
        </w:rPr>
      </w:pPr>
      <w:r>
        <w:rPr>
          <w:rFonts w:hint="eastAsia"/>
          <w:color w:val="000000"/>
        </w:rPr>
        <w:t xml:space="preserve">地址：江苏省常州市钟楼区五星街道洪庄路1-2号特种设备产业园2楼</w:t>
      </w:r>
      <w:r/>
    </w:p>
    <w:p>
      <w:pPr>
        <w:pStyle w:val="885"/>
        <w:ind w:firstLine="480"/>
        <w:jc w:val="both"/>
        <w:spacing w:before="0" w:beforeAutospacing="0" w:after="0" w:afterAutospacing="0" w:line="390" w:lineRule="exact"/>
        <w:rPr>
          <w:rFonts w:hint="eastAsia"/>
          <w:color w:val="000000"/>
        </w:rPr>
      </w:pPr>
      <w:r>
        <w:rPr>
          <w:rFonts w:hint="eastAsia"/>
          <w:color w:val="000000"/>
        </w:rPr>
        <w:t xml:space="preserve">联系方式：0519-81188957</w:t>
      </w:r>
      <w:r/>
    </w:p>
    <w:p>
      <w:pPr>
        <w:ind w:firstLine="482"/>
        <w:spacing w:line="390" w:lineRule="exact"/>
        <w:rPr>
          <w:rFonts w:hint="eastAsia" w:ascii="宋体" w:hAnsi="宋体" w:cs="宋体"/>
          <w:b/>
          <w:color w:val="000000"/>
          <w:sz w:val="24"/>
          <w:u w:val="single"/>
        </w:rPr>
      </w:pPr>
      <w:r>
        <w:rPr>
          <w:rFonts w:hint="eastAsia" w:ascii="宋体" w:hAnsi="宋体" w:cs="宋体"/>
          <w:b/>
          <w:color w:val="000000"/>
          <w:sz w:val="24"/>
        </w:rPr>
        <w:t xml:space="preserve">3.项目联系方式</w:t>
      </w:r>
      <w:bookmarkEnd w:id="35"/>
      <w:r/>
      <w:bookmarkEnd w:id="36"/>
      <w:r/>
      <w:r/>
    </w:p>
    <w:p>
      <w:pPr>
        <w:pStyle w:val="885"/>
        <w:ind w:firstLine="480"/>
        <w:jc w:val="both"/>
        <w:spacing w:before="0" w:beforeAutospacing="0" w:after="0" w:afterAutospacing="0" w:line="390" w:lineRule="exact"/>
        <w:rPr>
          <w:rFonts w:hint="eastAsia"/>
          <w:color w:val="000000"/>
        </w:rPr>
      </w:pPr>
      <w:r>
        <w:rPr>
          <w:rFonts w:hint="eastAsia"/>
          <w:color w:val="000000"/>
        </w:rPr>
        <w:t xml:space="preserve">项目联系人：黄工 </w:t>
      </w:r>
      <w:r/>
    </w:p>
    <w:p>
      <w:pPr>
        <w:pStyle w:val="885"/>
        <w:ind w:firstLine="480"/>
        <w:jc w:val="both"/>
        <w:spacing w:before="0" w:beforeAutospacing="0" w:after="0" w:afterAutospacing="0" w:line="390" w:lineRule="exact"/>
        <w:rPr>
          <w:rFonts w:hint="eastAsia"/>
          <w:color w:val="000000"/>
        </w:rPr>
      </w:pPr>
      <w:r>
        <w:rPr>
          <w:rFonts w:hint="eastAsia"/>
          <w:color w:val="000000"/>
        </w:rPr>
        <w:t xml:space="preserve">电话：0519-81188957</w:t>
      </w:r>
      <w:r/>
    </w:p>
    <w:p>
      <w:pPr>
        <w:jc w:val="center"/>
        <w:spacing w:line="360" w:lineRule="auto"/>
        <w:rPr>
          <w:b/>
          <w:color w:val="000000"/>
          <w:sz w:val="32"/>
          <w:szCs w:val="32"/>
        </w:rPr>
        <w:outlineLvl w:val="0"/>
      </w:pPr>
      <w:r>
        <w:rPr>
          <w:color w:val="000000"/>
          <w:sz w:val="24"/>
        </w:rPr>
        <w:br w:type="page" w:clear="all"/>
      </w:r>
      <w:bookmarkStart w:id="37" w:name="_Toc512937850"/>
      <w:r/>
      <w:bookmarkStart w:id="38" w:name="_Toc353873938"/>
      <w:r/>
      <w:bookmarkStart w:id="39" w:name="_Toc150774783"/>
      <w:r/>
      <w:bookmarkStart w:id="40" w:name="_Toc353825548"/>
      <w:r/>
      <w:bookmarkStart w:id="41" w:name="_Toc305158928"/>
      <w:r/>
      <w:bookmarkStart w:id="42" w:name="_Toc127151777"/>
      <w:r/>
      <w:bookmarkStart w:id="43" w:name="_Toc226965856"/>
      <w:r/>
      <w:bookmarkStart w:id="44" w:name="_Toc195842950"/>
      <w:r/>
      <w:bookmarkStart w:id="45" w:name="_Toc305158854"/>
      <w:r/>
      <w:bookmarkStart w:id="46" w:name="_Toc264969275"/>
      <w:r/>
      <w:bookmarkStart w:id="47" w:name="_Toc265228423"/>
      <w:r/>
      <w:bookmarkStart w:id="48" w:name="_Toc127161488"/>
      <w:r/>
      <w:bookmarkStart w:id="49" w:name="_Toc30962"/>
      <w:r>
        <w:rPr>
          <w:b/>
          <w:color w:val="000000"/>
          <w:sz w:val="36"/>
          <w:szCs w:val="36"/>
        </w:rPr>
        <w:t xml:space="preserve">第二章</w:t>
      </w:r>
      <w:r>
        <w:rPr>
          <w:b/>
          <w:color w:val="000000"/>
          <w:sz w:val="36"/>
          <w:szCs w:val="36"/>
        </w:rPr>
        <w:t xml:space="preserve">   </w:t>
      </w:r>
      <w:r>
        <w:rPr>
          <w:b/>
          <w:color w:val="000000"/>
          <w:sz w:val="36"/>
          <w:szCs w:val="36"/>
        </w:rPr>
        <w:t xml:space="preserve">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841"/>
        <w:spacing w:before="0" w:line="360" w:lineRule="auto"/>
        <w:tabs>
          <w:tab w:val="center" w:pos="4592" w:leader="none"/>
          <w:tab w:val="left" w:pos="7860" w:leader="none"/>
        </w:tabs>
        <w:rPr>
          <w:rFonts w:ascii="Times New Roman" w:hAnsi="Times New Roman" w:eastAsia="宋体"/>
          <w:color w:val="000000"/>
          <w:sz w:val="28"/>
        </w:rPr>
      </w:pPr>
      <w:r/>
      <w:bookmarkStart w:id="50" w:name="_Toc226965709"/>
      <w:r/>
      <w:bookmarkStart w:id="51" w:name="_Toc127151519"/>
      <w:r/>
      <w:bookmarkStart w:id="52" w:name="_Toc520356144"/>
      <w:r/>
      <w:bookmarkStart w:id="53" w:name="_Toc195842884"/>
      <w:r/>
      <w:bookmarkStart w:id="54" w:name="_Toc150480757"/>
      <w:r/>
      <w:bookmarkStart w:id="55" w:name="_Toc150509270"/>
      <w:r/>
      <w:bookmarkStart w:id="56" w:name="_Toc149720812"/>
      <w:r/>
      <w:bookmarkStart w:id="57" w:name="_Toc164229214"/>
      <w:r/>
      <w:bookmarkStart w:id="58" w:name="_Toc151190146"/>
      <w:r/>
      <w:bookmarkStart w:id="59" w:name="_Toc164351613"/>
      <w:r/>
      <w:bookmarkStart w:id="60" w:name="_Toc226309763"/>
      <w:r/>
      <w:bookmarkStart w:id="61" w:name="_Toc164608788"/>
      <w:r/>
      <w:bookmarkStart w:id="62" w:name="_Toc151193761"/>
      <w:r/>
      <w:bookmarkStart w:id="63" w:name="_Toc151193689"/>
      <w:r/>
      <w:bookmarkStart w:id="64" w:name="_Toc151193907"/>
      <w:r/>
      <w:bookmarkStart w:id="65" w:name="_Toc164229360"/>
      <w:r/>
      <w:bookmarkStart w:id="66" w:name="_Toc127151720"/>
      <w:r/>
      <w:bookmarkStart w:id="67" w:name="_Toc151193617"/>
      <w:r/>
      <w:bookmarkStart w:id="68" w:name="_Toc226337215"/>
      <w:r/>
      <w:bookmarkStart w:id="69" w:name="_Toc226965792"/>
      <w:r/>
      <w:bookmarkStart w:id="70" w:name="_Toc150774619"/>
      <w:r/>
      <w:bookmarkStart w:id="71" w:name="_Toc164608633"/>
      <w:r/>
      <w:bookmarkStart w:id="72" w:name="_Toc142311021"/>
      <w:r/>
      <w:bookmarkStart w:id="73" w:name="_Toc127161433"/>
      <w:r/>
      <w:bookmarkStart w:id="74" w:name="_Toc151193833"/>
      <w:r/>
      <w:bookmarkStart w:id="75" w:name="_Toc150774724"/>
      <w:r>
        <w:rPr>
          <w:rFonts w:ascii="Times New Roman" w:hAnsi="Times New Roman" w:eastAsia="宋体"/>
          <w:color w:val="000000"/>
          <w:sz w:val="28"/>
        </w:rPr>
        <w:t xml:space="preserve">投标人须知资料表</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p>
    <w:tbl>
      <w:tblPr>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82"/>
        <w:gridCol w:w="1371"/>
        <w:gridCol w:w="5659"/>
      </w:tblGrid>
      <w:tr>
        <w:trPr>
          <w:jc w:val="center"/>
          <w:trHeight w:val="567"/>
          <w:tblHeader/>
        </w:trPr>
        <w:tc>
          <w:tcPr>
            <w:tcW w:w="1482"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color w:val="000000"/>
                <w:sz w:val="24"/>
              </w:rPr>
              <w:t xml:space="preserve">条款号</w:t>
            </w:r>
            <w:r/>
          </w:p>
        </w:tc>
        <w:tc>
          <w:tcPr>
            <w:tcW w:w="137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条目</w:t>
            </w:r>
            <w:r/>
          </w:p>
        </w:tc>
        <w:tc>
          <w:tcPr>
            <w:tcW w:w="5659"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内容</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2.2</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项目属性</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项目属性：</w:t>
            </w:r>
            <w:r/>
          </w:p>
          <w:p>
            <w:pPr>
              <w:rPr>
                <w:rFonts w:hint="eastAsia" w:ascii="宋体" w:hAnsi="宋体" w:cs="宋体"/>
                <w:color w:val="000000"/>
                <w:sz w:val="24"/>
              </w:rPr>
            </w:pPr>
            <w:r>
              <w:rPr>
                <w:rFonts w:hint="eastAsia" w:ascii="宋体" w:hAnsi="宋体" w:cs="宋体"/>
                <w:color w:val="000000"/>
                <w:sz w:val="24"/>
              </w:rPr>
              <w:t xml:space="preserve">□服务</w:t>
            </w:r>
            <w:r/>
          </w:p>
          <w:p>
            <w:pPr>
              <w:rPr>
                <w:rFonts w:hint="eastAsia" w:ascii="宋体" w:hAnsi="宋体" w:cs="宋体"/>
                <w:color w:val="000000"/>
                <w:sz w:val="24"/>
                <w:u w:val="single"/>
              </w:rPr>
            </w:pPr>
            <w:r>
              <w:rPr>
                <w:rFonts w:hint="eastAsia" w:ascii="宋体" w:hAnsi="宋体" w:cs="宋体"/>
                <w:b/>
                <w:color w:val="000000"/>
                <w:sz w:val="24"/>
              </w:rPr>
              <w:t xml:space="preserve">■</w:t>
            </w:r>
            <w:r>
              <w:rPr>
                <w:rFonts w:hint="eastAsia" w:ascii="宋体" w:hAnsi="宋体" w:cs="宋体"/>
                <w:color w:val="000000"/>
                <w:sz w:val="24"/>
              </w:rPr>
              <w:t xml:space="preserve">货物</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2.3</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科研仪器设备</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是否属于科研仪器设备采购项目：</w:t>
            </w:r>
            <w:r/>
          </w:p>
          <w:p>
            <w:pPr>
              <w:rPr>
                <w:rFonts w:hint="eastAsia" w:ascii="宋体" w:hAnsi="宋体" w:cs="宋体"/>
                <w:color w:val="000000"/>
                <w:sz w:val="24"/>
              </w:rPr>
            </w:pPr>
            <w:r>
              <w:rPr>
                <w:rFonts w:hint="eastAsia" w:ascii="宋体" w:hAnsi="宋体" w:cs="宋体"/>
                <w:color w:val="000000"/>
                <w:sz w:val="24"/>
              </w:rPr>
              <w:t xml:space="preserve">□是</w:t>
            </w:r>
            <w:r/>
          </w:p>
          <w:p>
            <w:pPr>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color w:val="000000"/>
                <w:sz w:val="24"/>
              </w:rPr>
              <w:t xml:space="preserve">否</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2.4</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核心产品</w:t>
            </w:r>
            <w:r/>
          </w:p>
        </w:tc>
        <w:tc>
          <w:tcPr>
            <w:tcW w:w="5659" w:type="dxa"/>
            <w:vAlign w:val="center"/>
            <w:textDirection w:val="lrTb"/>
            <w:noWrap w:val="false"/>
          </w:tcPr>
          <w:p>
            <w:pPr>
              <w:pStyle w:val="866"/>
              <w:rPr>
                <w:rFonts w:hAnsi="宋体" w:cs="宋体"/>
                <w:color w:val="000000"/>
                <w:sz w:val="24"/>
                <w:szCs w:val="24"/>
              </w:rPr>
            </w:pPr>
            <w:r>
              <w:rPr>
                <w:rFonts w:ascii="Wingdings 2" w:hAnsi="Wingdings 2" w:eastAsia="Wingdings 2" w:cs="Wingdings 2"/>
                <w:color w:val="000000"/>
                <w:sz w:val="24"/>
                <w:szCs w:val="24"/>
              </w:rPr>
              <w:t xml:space="preserve">£</w:t>
            </w:r>
            <w:r>
              <w:rPr>
                <w:rFonts w:hAnsi="宋体" w:cs="宋体"/>
                <w:color w:val="000000"/>
                <w:sz w:val="24"/>
                <w:szCs w:val="24"/>
              </w:rPr>
              <w:t xml:space="preserve">关于核心产品本项目不适用。</w:t>
            </w:r>
            <w:r/>
          </w:p>
          <w:p>
            <w:pPr>
              <w:pStyle w:val="866"/>
              <w:rPr>
                <w:rFonts w:hAnsi="宋体" w:cs="宋体"/>
                <w:color w:val="000000"/>
                <w:sz w:val="24"/>
                <w:szCs w:val="24"/>
              </w:rPr>
            </w:pPr>
            <w:r>
              <w:rPr>
                <w:rFonts w:ascii="Wingdings 2" w:hAnsi="Wingdings 2" w:eastAsia="Wingdings 2" w:cs="Wingdings 2"/>
                <w:color w:val="000000"/>
                <w:sz w:val="24"/>
              </w:rPr>
              <w:t xml:space="preserve">£</w:t>
            </w:r>
            <w:r>
              <w:rPr>
                <w:rFonts w:hAnsi="宋体" w:cs="宋体"/>
                <w:color w:val="000000"/>
                <w:sz w:val="24"/>
                <w:szCs w:val="24"/>
              </w:rPr>
              <w:t xml:space="preserve">本项目为单一产品采购项目。</w:t>
            </w:r>
            <w:r/>
          </w:p>
          <w:p>
            <w:pPr>
              <w:rPr>
                <w:rFonts w:hint="eastAsia" w:ascii="宋体" w:hAnsi="宋体" w:cs="宋体"/>
                <w:color w:val="000000"/>
                <w:sz w:val="24"/>
              </w:rPr>
            </w:pPr>
            <w:r>
              <w:rPr>
                <w:rFonts w:hAnsi="宋体" w:cs="宋体"/>
                <w:color w:val="000000"/>
                <w:sz w:val="24"/>
              </w:rPr>
              <w:t xml:space="preserve">■</w:t>
            </w:r>
            <w:r>
              <w:rPr>
                <w:rFonts w:hint="eastAsia" w:ascii="宋体" w:hAnsi="宋体" w:cs="宋体"/>
                <w:color w:val="000000"/>
                <w:sz w:val="24"/>
              </w:rPr>
              <w:t xml:space="preserve">本项目为非单一产品采购项目，核心产品为：变压器</w:t>
            </w:r>
            <w:r/>
          </w:p>
        </w:tc>
      </w:tr>
      <w:tr>
        <w:trPr>
          <w:jc w:val="center"/>
          <w:trHeight w:val="567"/>
        </w:trPr>
        <w:tc>
          <w:tcPr>
            <w:tcW w:w="1482" w:type="dxa"/>
            <w:vAlign w:val="center"/>
            <w:vMerge w:val="restart"/>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3.1</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现场考察</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color w:val="000000"/>
                <w:sz w:val="24"/>
              </w:rPr>
              <w:t xml:space="preserve">不组织</w:t>
            </w:r>
            <w:r/>
          </w:p>
          <w:p>
            <w:pPr>
              <w:rPr>
                <w:rFonts w:hint="eastAsia" w:ascii="宋体" w:hAnsi="宋体" w:cs="宋体"/>
                <w:bCs/>
                <w:color w:val="000000"/>
                <w:sz w:val="24"/>
              </w:rPr>
            </w:pPr>
            <w:r>
              <w:rPr>
                <w:rFonts w:hint="eastAsia" w:ascii="宋体" w:hAnsi="宋体" w:cs="宋体"/>
                <w:color w:val="000000"/>
                <w:sz w:val="24"/>
              </w:rPr>
              <w:t xml:space="preserve">□组织，考察时间：__年_月_日_</w:t>
            </w:r>
            <w:r>
              <w:rPr>
                <w:rFonts w:hint="eastAsia" w:ascii="宋体" w:hAnsi="宋体" w:cs="宋体"/>
                <w:bCs/>
                <w:color w:val="000000"/>
                <w:sz w:val="24"/>
              </w:rPr>
              <w:t xml:space="preserve">点</w:t>
            </w:r>
            <w:r>
              <w:rPr>
                <w:rFonts w:hint="eastAsia" w:ascii="宋体" w:hAnsi="宋体" w:cs="宋体"/>
                <w:color w:val="000000"/>
                <w:sz w:val="24"/>
              </w:rPr>
              <w:t xml:space="preserve">_</w:t>
            </w:r>
            <w:r>
              <w:rPr>
                <w:rFonts w:hint="eastAsia" w:ascii="宋体" w:hAnsi="宋体" w:cs="宋体"/>
                <w:bCs/>
                <w:color w:val="000000"/>
                <w:sz w:val="24"/>
              </w:rPr>
              <w:t xml:space="preserve">分</w:t>
            </w:r>
            <w:r/>
          </w:p>
          <w:p>
            <w:pPr>
              <w:pStyle w:val="866"/>
              <w:rPr>
                <w:rFonts w:hAnsi="宋体" w:cs="宋体"/>
                <w:color w:val="000000"/>
                <w:sz w:val="24"/>
                <w:szCs w:val="24"/>
              </w:rPr>
            </w:pPr>
            <w:r>
              <w:rPr>
                <w:rFonts w:hAnsi="宋体" w:cs="宋体"/>
                <w:color w:val="000000"/>
                <w:sz w:val="24"/>
                <w:szCs w:val="24"/>
              </w:rPr>
              <w:t xml:space="preserve">考察地点：____________。</w:t>
            </w:r>
            <w:r/>
          </w:p>
        </w:tc>
      </w:tr>
      <w:tr>
        <w:trPr>
          <w:jc w:val="center"/>
          <w:trHeight w:val="567"/>
        </w:trPr>
        <w:tc>
          <w:tcPr>
            <w:tcW w:w="1482" w:type="dxa"/>
            <w:vAlign w:val="center"/>
            <w:vMerge w:val="continue"/>
            <w:textDirection w:val="lrTb"/>
            <w:noWrap w:val="false"/>
          </w:tcPr>
          <w:p>
            <w:pPr>
              <w:pStyle w:val="866"/>
              <w:jc w:val="center"/>
              <w:rPr>
                <w:rFonts w:hAnsi="宋体" w:cs="宋体"/>
                <w:color w:val="000000"/>
                <w:sz w:val="24"/>
                <w:szCs w:val="24"/>
              </w:rPr>
            </w:pPr>
            <w:r>
              <w:rPr>
                <w:rFonts w:hAnsi="宋体" w:cs="宋体"/>
                <w:color w:val="000000"/>
                <w:sz w:val="24"/>
                <w:szCs w:val="24"/>
              </w:rPr>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开标前答疑会</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color w:val="000000"/>
                <w:sz w:val="24"/>
              </w:rPr>
              <w:t xml:space="preserve">不召开</w:t>
            </w:r>
            <w:r/>
          </w:p>
          <w:p>
            <w:pPr>
              <w:rPr>
                <w:rFonts w:hint="eastAsia" w:ascii="宋体" w:hAnsi="宋体" w:cs="宋体"/>
                <w:color w:val="000000"/>
                <w:sz w:val="24"/>
              </w:rPr>
            </w:pPr>
            <w:r>
              <w:rPr>
                <w:rFonts w:hint="eastAsia" w:ascii="宋体" w:hAnsi="宋体" w:cs="宋体"/>
                <w:color w:val="000000"/>
                <w:sz w:val="24"/>
              </w:rPr>
              <w:t xml:space="preserve">□召开，召开时间：__年_月_日_</w:t>
            </w:r>
            <w:r>
              <w:rPr>
                <w:rFonts w:hint="eastAsia" w:ascii="宋体" w:hAnsi="宋体" w:cs="宋体"/>
                <w:bCs/>
                <w:color w:val="000000"/>
                <w:sz w:val="24"/>
              </w:rPr>
              <w:t xml:space="preserve">点</w:t>
            </w:r>
            <w:r>
              <w:rPr>
                <w:rFonts w:hint="eastAsia" w:ascii="宋体" w:hAnsi="宋体" w:cs="宋体"/>
                <w:color w:val="000000"/>
                <w:sz w:val="24"/>
              </w:rPr>
              <w:t xml:space="preserve">_</w:t>
            </w:r>
            <w:r>
              <w:rPr>
                <w:rFonts w:hint="eastAsia" w:ascii="宋体" w:hAnsi="宋体" w:cs="宋体"/>
                <w:bCs/>
                <w:color w:val="000000"/>
                <w:sz w:val="24"/>
              </w:rPr>
              <w:t xml:space="preserve">分</w:t>
            </w:r>
            <w:r/>
          </w:p>
          <w:p>
            <w:pPr>
              <w:rPr>
                <w:rFonts w:hint="eastAsia" w:ascii="宋体" w:hAnsi="宋体" w:cs="宋体"/>
                <w:color w:val="000000"/>
                <w:sz w:val="24"/>
              </w:rPr>
            </w:pPr>
            <w:r>
              <w:rPr>
                <w:rFonts w:hint="eastAsia" w:ascii="宋体" w:hAnsi="宋体" w:cs="宋体"/>
                <w:color w:val="000000"/>
                <w:sz w:val="24"/>
              </w:rPr>
              <w:t xml:space="preserve">召开地点：____________。</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4.1</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样品</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投标样品递交：</w:t>
            </w:r>
            <w:r/>
          </w:p>
          <w:p>
            <w:pPr>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color w:val="000000"/>
                <w:sz w:val="24"/>
              </w:rPr>
              <w:t xml:space="preserve">不需要</w:t>
            </w:r>
            <w:r/>
          </w:p>
          <w:p>
            <w:pPr>
              <w:rPr>
                <w:rFonts w:hint="eastAsia" w:ascii="宋体" w:hAnsi="宋体" w:cs="宋体"/>
                <w:color w:val="000000"/>
                <w:sz w:val="24"/>
              </w:rPr>
            </w:pPr>
            <w:r>
              <w:rPr>
                <w:rFonts w:hint="eastAsia" w:ascii="宋体" w:hAnsi="宋体" w:cs="宋体"/>
                <w:color w:val="000000"/>
                <w:sz w:val="24"/>
              </w:rPr>
              <w:t xml:space="preserve">□需要，具体要求如下：</w:t>
            </w:r>
            <w:r/>
          </w:p>
          <w:p>
            <w:pPr>
              <w:rPr>
                <w:rFonts w:hint="eastAsia" w:ascii="宋体" w:hAnsi="宋体" w:cs="宋体"/>
                <w:color w:val="000000"/>
                <w:sz w:val="24"/>
                <w:u w:val="single"/>
              </w:rPr>
            </w:pPr>
            <w:r>
              <w:rPr>
                <w:rFonts w:hint="eastAsia" w:ascii="宋体" w:hAnsi="宋体" w:cs="宋体"/>
                <w:color w:val="000000"/>
                <w:sz w:val="24"/>
              </w:rPr>
              <w:t xml:space="preserve">（1）样品制作的标准和要求：_________；</w:t>
            </w:r>
            <w:r/>
          </w:p>
          <w:p>
            <w:pPr>
              <w:rPr>
                <w:rFonts w:hint="eastAsia" w:ascii="宋体" w:hAnsi="宋体" w:cs="宋体"/>
                <w:color w:val="000000"/>
                <w:sz w:val="24"/>
              </w:rPr>
            </w:pPr>
            <w:r>
              <w:rPr>
                <w:rFonts w:hint="eastAsia" w:ascii="宋体" w:hAnsi="宋体" w:cs="宋体"/>
                <w:color w:val="000000"/>
                <w:sz w:val="24"/>
              </w:rPr>
              <w:t xml:space="preserve">（2）是否需要随样品提交相关检测报告：</w:t>
            </w:r>
            <w:r/>
          </w:p>
          <w:p>
            <w:pPr>
              <w:ind w:firstLine="600"/>
              <w:rPr>
                <w:rFonts w:hint="eastAsia" w:ascii="宋体" w:hAnsi="宋体" w:cs="宋体"/>
                <w:color w:val="000000"/>
                <w:sz w:val="24"/>
              </w:rPr>
            </w:pPr>
            <w:r>
              <w:rPr>
                <w:rFonts w:hint="eastAsia" w:ascii="宋体" w:hAnsi="宋体" w:cs="宋体"/>
                <w:color w:val="000000"/>
                <w:sz w:val="24"/>
              </w:rPr>
              <w:t xml:space="preserve">□不需要</w:t>
            </w:r>
            <w:r/>
          </w:p>
          <w:p>
            <w:pPr>
              <w:ind w:firstLine="600"/>
              <w:rPr>
                <w:rFonts w:hint="eastAsia" w:ascii="宋体" w:hAnsi="宋体" w:cs="宋体"/>
                <w:color w:val="000000"/>
                <w:sz w:val="24"/>
              </w:rPr>
            </w:pPr>
            <w:r>
              <w:rPr>
                <w:rFonts w:hint="eastAsia" w:ascii="宋体" w:hAnsi="宋体" w:cs="宋体"/>
                <w:color w:val="000000"/>
                <w:sz w:val="24"/>
              </w:rPr>
              <w:t xml:space="preserve">□需要</w:t>
            </w:r>
            <w:r/>
          </w:p>
          <w:p>
            <w:pPr>
              <w:rPr>
                <w:rFonts w:hint="eastAsia" w:ascii="宋体" w:hAnsi="宋体" w:cs="宋体"/>
                <w:color w:val="000000"/>
                <w:sz w:val="24"/>
              </w:rPr>
            </w:pPr>
            <w:r>
              <w:rPr>
                <w:rFonts w:hint="eastAsia" w:ascii="宋体" w:hAnsi="宋体" w:cs="宋体"/>
                <w:color w:val="000000"/>
                <w:sz w:val="24"/>
              </w:rPr>
              <w:t xml:space="preserve">（3）样品递交要求：_________；</w:t>
            </w:r>
            <w:r/>
          </w:p>
          <w:p>
            <w:pPr>
              <w:rPr>
                <w:rFonts w:hint="eastAsia" w:ascii="宋体" w:hAnsi="宋体" w:cs="宋体"/>
                <w:color w:val="000000"/>
                <w:sz w:val="24"/>
              </w:rPr>
            </w:pPr>
            <w:r>
              <w:rPr>
                <w:rFonts w:hint="eastAsia" w:ascii="宋体" w:hAnsi="宋体" w:cs="宋体"/>
                <w:color w:val="000000"/>
                <w:sz w:val="24"/>
              </w:rPr>
              <w:t xml:space="preserve">（4）未中标人样品退还：_________；</w:t>
            </w:r>
            <w:r/>
          </w:p>
          <w:p>
            <w:pPr>
              <w:rPr>
                <w:rFonts w:hint="eastAsia" w:ascii="宋体" w:hAnsi="宋体" w:cs="宋体"/>
                <w:color w:val="000000"/>
                <w:sz w:val="24"/>
                <w:u w:val="single"/>
              </w:rPr>
            </w:pPr>
            <w:r>
              <w:rPr>
                <w:rFonts w:hint="eastAsia" w:ascii="宋体" w:hAnsi="宋体" w:cs="宋体"/>
                <w:color w:val="000000"/>
                <w:sz w:val="24"/>
              </w:rPr>
              <w:t xml:space="preserve">（5）中标人样品保管、封存及退还：_________；</w:t>
            </w:r>
            <w:r/>
          </w:p>
          <w:p>
            <w:pPr>
              <w:rPr>
                <w:rFonts w:hint="eastAsia" w:ascii="宋体" w:hAnsi="宋体" w:cs="宋体"/>
                <w:color w:val="000000"/>
                <w:sz w:val="24"/>
              </w:rPr>
            </w:pPr>
            <w:r>
              <w:rPr>
                <w:rFonts w:hint="eastAsia" w:ascii="宋体" w:hAnsi="宋体" w:cs="宋体"/>
                <w:color w:val="000000"/>
                <w:sz w:val="24"/>
              </w:rPr>
              <w:t xml:space="preserve">（6）其他要求（如有）：_________。</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sz w:val="24"/>
                <w:szCs w:val="24"/>
              </w:rPr>
              <w:t xml:space="preserve">5</w:t>
            </w:r>
            <w:r/>
          </w:p>
        </w:tc>
        <w:tc>
          <w:tcPr>
            <w:tcW w:w="1371" w:type="dxa"/>
            <w:vAlign w:val="center"/>
            <w:textDirection w:val="lrTb"/>
            <w:noWrap w:val="false"/>
          </w:tcPr>
          <w:p>
            <w:pPr>
              <w:jc w:val="center"/>
              <w:rPr>
                <w:rFonts w:hint="eastAsia" w:ascii="宋体" w:hAnsi="宋体" w:cs="宋体"/>
                <w:color w:val="000000"/>
                <w:sz w:val="24"/>
              </w:rPr>
            </w:pPr>
            <w:r>
              <w:rPr>
                <w:color w:val="000000"/>
                <w:sz w:val="24"/>
              </w:rPr>
              <w:t xml:space="preserve">是否专门面向中小企业</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本项目非专门面向中小企业采购，对于符合规定的小微企业报价给予20%的扣除，用扣除后的价</w:t>
            </w:r>
            <w:r>
              <w:rPr>
                <w:rFonts w:hint="eastAsia"/>
                <w:color w:val="000000"/>
                <w:sz w:val="24"/>
              </w:rPr>
              <w:t xml:space="preserve">格参与评审。</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sz w:val="24"/>
                <w:szCs w:val="24"/>
              </w:rPr>
              <w:t xml:space="preserve">5.2.5</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sz w:val="24"/>
              </w:rPr>
              <w:t xml:space="preserve">标的所属行业</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 工业 </w:t>
            </w:r>
            <w:r>
              <w:rPr>
                <w:rFonts w:hint="eastAsia" w:ascii="宋体" w:hAnsi="宋体" w:cs="宋体"/>
                <w:sz w:val="24"/>
              </w:rPr>
              <w:t xml:space="preserve">。</w:t>
            </w:r>
            <w:r>
              <w:rPr>
                <w:rFonts w:hint="eastAsia"/>
                <w:color w:val="000000"/>
                <w:sz w:val="24"/>
              </w:rPr>
              <w:t xml:space="preserve">（《关于印发中小企业划型标准规定的通知》工</w:t>
            </w:r>
            <w:r>
              <w:rPr>
                <w:rFonts w:hint="eastAsia" w:ascii="宋体" w:hAnsi="宋体" w:cs="宋体"/>
                <w:color w:val="000000"/>
                <w:sz w:val="24"/>
              </w:rPr>
              <w:t xml:space="preserve">信部联企业【2011】300号）。在填写时请正确选择中小企业声明函类型（货物、服务或</w:t>
            </w:r>
            <w:r>
              <w:rPr>
                <w:rFonts w:hint="eastAsia" w:ascii="宋体" w:hAnsi="宋体" w:cs="宋体"/>
                <w:color w:val="000000"/>
                <w:sz w:val="24"/>
              </w:rPr>
              <w:t xml:space="preserve">工程），如填写错误或未填报则会导致资格审查不通过（专门面向中小企业采购）或报价不作相应扣除。</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11.2</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投标报价</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投标报价的特殊规定：</w:t>
            </w:r>
            <w:r/>
          </w:p>
          <w:p>
            <w:pPr>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color w:val="000000"/>
                <w:sz w:val="24"/>
              </w:rPr>
              <w:t xml:space="preserve">无</w:t>
            </w:r>
            <w:r/>
          </w:p>
          <w:p>
            <w:pPr>
              <w:rPr>
                <w:rFonts w:hint="eastAsia" w:ascii="宋体" w:hAnsi="宋体" w:cs="宋体"/>
                <w:color w:val="000000"/>
                <w:sz w:val="24"/>
              </w:rPr>
            </w:pPr>
            <w:r>
              <w:rPr>
                <w:rFonts w:hint="eastAsia" w:ascii="宋体" w:hAnsi="宋体" w:cs="宋体"/>
                <w:color w:val="000000"/>
                <w:sz w:val="24"/>
              </w:rPr>
              <w:t xml:space="preserve">□有，具体情形：_____。</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12</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投标保证金</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免收</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13.1</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投标有效期</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25.5</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分包</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p>
          <w:p>
            <w:pPr>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color w:val="000000"/>
                <w:sz w:val="24"/>
              </w:rPr>
              <w:t xml:space="preserve">不允许</w:t>
            </w:r>
            <w:r/>
          </w:p>
          <w:p>
            <w:pPr>
              <w:rPr>
                <w:rFonts w:hint="eastAsia" w:ascii="宋体" w:hAnsi="宋体" w:cs="宋体"/>
                <w:color w:val="000000"/>
                <w:sz w:val="24"/>
              </w:rPr>
            </w:pPr>
            <w:r>
              <w:rPr>
                <w:rFonts w:hint="eastAsia" w:ascii="宋体" w:hAnsi="宋体" w:cs="宋体"/>
                <w:color w:val="000000"/>
                <w:sz w:val="24"/>
              </w:rPr>
              <w:t xml:space="preserve">□允许，具体要求：</w:t>
            </w:r>
            <w:r/>
          </w:p>
          <w:p>
            <w:pPr>
              <w:rPr>
                <w:rFonts w:hint="eastAsia" w:ascii="宋体" w:hAnsi="宋体" w:cs="宋体"/>
                <w:color w:val="000000"/>
                <w:sz w:val="24"/>
              </w:rPr>
            </w:pPr>
            <w:r>
              <w:rPr>
                <w:rFonts w:hint="eastAsia" w:ascii="宋体" w:hAnsi="宋体" w:cs="宋体"/>
                <w:color w:val="000000"/>
                <w:sz w:val="24"/>
              </w:rPr>
              <w:t xml:space="preserve">（1）可以分包履行的具体内容：_____；</w:t>
            </w:r>
            <w:r/>
          </w:p>
          <w:p>
            <w:pPr>
              <w:rPr>
                <w:rFonts w:hint="eastAsia" w:ascii="宋体" w:hAnsi="宋体" w:cs="宋体"/>
                <w:color w:val="000000"/>
                <w:sz w:val="24"/>
              </w:rPr>
            </w:pPr>
            <w:r>
              <w:rPr>
                <w:rFonts w:hint="eastAsia" w:ascii="宋体" w:hAnsi="宋体" w:cs="宋体"/>
                <w:color w:val="000000"/>
                <w:sz w:val="24"/>
              </w:rPr>
              <w:t xml:space="preserve">（2）允许分包的金额或者比例：_____；</w:t>
            </w:r>
            <w:r/>
          </w:p>
          <w:p>
            <w:pPr>
              <w:rPr>
                <w:rFonts w:hint="eastAsia" w:ascii="宋体" w:hAnsi="宋体" w:cs="宋体"/>
                <w:color w:val="000000"/>
                <w:sz w:val="24"/>
                <w:u w:val="single"/>
              </w:rPr>
            </w:pPr>
            <w:r>
              <w:rPr>
                <w:rFonts w:hint="eastAsia" w:ascii="宋体" w:hAnsi="宋体" w:cs="宋体"/>
                <w:color w:val="000000"/>
                <w:sz w:val="24"/>
              </w:rPr>
              <w:t xml:space="preserve">（3）其他要求：_____。</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26.1.1</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询问</w:t>
            </w:r>
            <w:r/>
          </w:p>
        </w:tc>
        <w:tc>
          <w:tcPr>
            <w:tcW w:w="5659" w:type="dxa"/>
            <w:vAlign w:val="center"/>
            <w:textDirection w:val="lrTb"/>
            <w:noWrap w:val="false"/>
          </w:tcPr>
          <w:p>
            <w:pPr>
              <w:rPr>
                <w:rFonts w:hint="eastAsia" w:ascii="宋体" w:hAnsi="宋体" w:cs="宋体"/>
                <w:color w:val="000000"/>
                <w:sz w:val="24"/>
              </w:rPr>
            </w:pPr>
            <w:r>
              <w:rPr>
                <w:rFonts w:ascii="宋体" w:hAnsi="宋体" w:cs="宋体"/>
                <w:color w:val="000000"/>
                <w:sz w:val="24"/>
              </w:rPr>
              <w:t xml:space="preserve">询问送达形式：于202</w:t>
            </w:r>
            <w:r>
              <w:rPr>
                <w:rFonts w:hint="eastAsia" w:ascii="宋体" w:hAnsi="宋体" w:cs="宋体"/>
                <w:color w:val="000000"/>
                <w:sz w:val="24"/>
              </w:rPr>
              <w:t xml:space="preserve">6</w:t>
            </w:r>
            <w:r>
              <w:rPr>
                <w:rFonts w:ascii="宋体" w:hAnsi="宋体" w:cs="宋体"/>
                <w:color w:val="000000"/>
                <w:sz w:val="24"/>
              </w:rPr>
              <w:t xml:space="preserve">年</w:t>
            </w:r>
            <w:r>
              <w:rPr>
                <w:rFonts w:hint="eastAsia" w:ascii="宋体" w:hAnsi="宋体" w:cs="宋体"/>
                <w:color w:val="000000"/>
                <w:sz w:val="24"/>
              </w:rPr>
              <w:t xml:space="preserve">7</w:t>
            </w:r>
            <w:r>
              <w:rPr>
                <w:rFonts w:ascii="宋体" w:hAnsi="宋体" w:cs="宋体"/>
                <w:color w:val="000000"/>
                <w:sz w:val="24"/>
              </w:rPr>
              <w:t xml:space="preserve">月</w:t>
            </w:r>
            <w:r>
              <w:rPr>
                <w:rFonts w:hint="eastAsia" w:ascii="宋体" w:hAnsi="宋体" w:cs="宋体"/>
                <w:color w:val="000000"/>
                <w:sz w:val="24"/>
              </w:rPr>
              <w:t xml:space="preserve">1</w:t>
            </w:r>
            <w:r>
              <w:rPr>
                <w:rFonts w:ascii="宋体" w:hAnsi="宋体" w:cs="宋体"/>
                <w:color w:val="000000"/>
                <w:sz w:val="24"/>
              </w:rPr>
              <w:t xml:space="preserve">日1</w:t>
            </w:r>
            <w:r>
              <w:rPr>
                <w:rFonts w:hint="eastAsia" w:ascii="宋体" w:hAnsi="宋体" w:cs="宋体"/>
                <w:color w:val="000000"/>
                <w:sz w:val="24"/>
              </w:rPr>
              <w:t xml:space="preserve">7</w:t>
            </w:r>
            <w:r>
              <w:rPr>
                <w:rFonts w:ascii="宋体" w:hAnsi="宋体" w:cs="宋体"/>
                <w:color w:val="000000"/>
                <w:sz w:val="24"/>
              </w:rPr>
              <w:t xml:space="preserve">：00（北京时间）前以书面形式递交至</w:t>
            </w:r>
            <w:r>
              <w:rPr>
                <w:rFonts w:hint="eastAsia" w:ascii="宋体" w:hAnsi="宋体" w:cs="宋体"/>
                <w:color w:val="000000"/>
                <w:sz w:val="24"/>
              </w:rPr>
              <w:t xml:space="preserve">常州卓乾项目管理有限公司</w:t>
            </w:r>
            <w:r>
              <w:rPr>
                <w:rFonts w:ascii="宋体" w:hAnsi="宋体" w:cs="宋体"/>
                <w:color w:val="000000"/>
                <w:sz w:val="24"/>
              </w:rPr>
              <w:t xml:space="preserve">。</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26.3</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联系方式</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接收询问和质疑的联系方式</w:t>
            </w:r>
            <w:r/>
          </w:p>
          <w:p>
            <w:pPr>
              <w:rPr>
                <w:rFonts w:hint="eastAsia" w:ascii="宋体" w:hAnsi="宋体" w:cs="宋体"/>
                <w:color w:val="000000"/>
                <w:sz w:val="24"/>
              </w:rPr>
            </w:pPr>
            <w:r>
              <w:rPr>
                <w:rFonts w:hint="eastAsia" w:ascii="宋体" w:hAnsi="宋体" w:cs="宋体"/>
                <w:color w:val="000000"/>
                <w:sz w:val="24"/>
              </w:rPr>
              <w:t xml:space="preserve">联系部门：常州卓乾项目管理有限公司；</w:t>
            </w:r>
            <w:r/>
          </w:p>
          <w:p>
            <w:pPr>
              <w:rPr>
                <w:rFonts w:hint="eastAsia" w:ascii="宋体" w:hAnsi="宋体" w:cs="宋体"/>
                <w:color w:val="000000"/>
                <w:sz w:val="24"/>
              </w:rPr>
            </w:pPr>
            <w:r>
              <w:rPr>
                <w:rFonts w:hint="eastAsia" w:ascii="宋体" w:hAnsi="宋体" w:cs="宋体"/>
                <w:color w:val="000000"/>
                <w:sz w:val="24"/>
              </w:rPr>
              <w:t xml:space="preserve">联系电话：0519-81188957；</w:t>
            </w:r>
            <w:r/>
          </w:p>
          <w:p>
            <w:pPr>
              <w:rPr>
                <w:rFonts w:hint="eastAsia" w:ascii="宋体" w:hAnsi="宋体" w:cs="宋体"/>
                <w:color w:val="000000"/>
                <w:sz w:val="24"/>
              </w:rPr>
            </w:pPr>
            <w:r>
              <w:rPr>
                <w:rFonts w:hint="eastAsia" w:ascii="宋体" w:hAnsi="宋体" w:cs="宋体"/>
                <w:color w:val="000000"/>
                <w:sz w:val="24"/>
              </w:rPr>
              <w:t xml:space="preserve">地址：江苏省常州市钟楼区五星街道洪庄路1-2号特种设备产业园2楼</w:t>
            </w:r>
            <w:r>
              <w:rPr>
                <w:rFonts w:hint="eastAsia" w:ascii="宋体" w:hAnsi="宋体" w:cs="宋体"/>
                <w:color w:val="000000"/>
                <w:sz w:val="24"/>
              </w:rPr>
              <w:t xml:space="preserve">；</w:t>
            </w:r>
            <w:r/>
          </w:p>
        </w:tc>
      </w:tr>
      <w:tr>
        <w:trPr>
          <w:jc w:val="center"/>
          <w:trHeight w:val="4198"/>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27</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代理费</w:t>
            </w:r>
            <w:r/>
          </w:p>
        </w:tc>
        <w:tc>
          <w:tcPr>
            <w:tcW w:w="565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收费对象：</w:t>
            </w:r>
            <w:r/>
          </w:p>
          <w:p>
            <w:pPr>
              <w:rPr>
                <w:rFonts w:hint="eastAsia" w:ascii="宋体" w:hAnsi="宋体" w:cs="宋体"/>
                <w:color w:val="000000"/>
                <w:sz w:val="24"/>
              </w:rPr>
            </w:pPr>
            <w:r>
              <w:rPr>
                <w:rFonts w:hint="eastAsia" w:ascii="宋体" w:hAnsi="宋体" w:cs="宋体"/>
                <w:color w:val="000000"/>
                <w:sz w:val="24"/>
              </w:rPr>
              <w:t xml:space="preserve">□采购人</w:t>
            </w:r>
            <w:r/>
          </w:p>
          <w:p>
            <w:pPr>
              <w:rPr>
                <w:rFonts w:hint="eastAsia" w:ascii="宋体" w:hAnsi="宋体" w:cs="宋体"/>
                <w:color w:val="000000"/>
                <w:sz w:val="24"/>
              </w:rPr>
            </w:pPr>
            <w:r>
              <w:rPr>
                <w:rFonts w:hint="eastAsia" w:ascii="宋体" w:hAnsi="宋体" w:cs="宋体"/>
                <w:color w:val="000000"/>
                <w:sz w:val="24"/>
              </w:rPr>
              <w:t xml:space="preserve">■中标人</w:t>
            </w:r>
            <w:r/>
          </w:p>
          <w:p>
            <w:pPr>
              <w:rPr>
                <w:rFonts w:hint="eastAsia" w:ascii="宋体" w:hAnsi="宋体" w:cs="宋体"/>
                <w:sz w:val="24"/>
              </w:rPr>
            </w:pPr>
            <w:r>
              <w:rPr>
                <w:rFonts w:hint="eastAsia" w:ascii="宋体" w:hAnsi="宋体" w:cs="宋体"/>
                <w:color w:val="000000"/>
                <w:sz w:val="24"/>
              </w:rPr>
              <w:t xml:space="preserve">收费标准：</w:t>
            </w:r>
            <w:r>
              <w:rPr>
                <w:rFonts w:hint="eastAsia" w:ascii="宋体" w:hAnsi="宋体" w:cs="宋体"/>
                <w:sz w:val="24"/>
              </w:rPr>
              <w:t xml:space="preserve">服务费</w:t>
            </w:r>
            <w:r>
              <w:rPr>
                <w:rFonts w:ascii="宋体" w:hAnsi="宋体" w:cs="宋体"/>
                <w:sz w:val="24"/>
              </w:rPr>
              <w:t xml:space="preserve">按中标金额为基数，收费比例按差额定率累进法计算，中标金额在100万元(含)以下的为1.5%，中标金额在100万元（不含）至500万元（含）的为1.1%</w:t>
            </w:r>
            <w:r>
              <w:rPr>
                <w:rFonts w:hint="eastAsia" w:ascii="宋体" w:hAnsi="宋体" w:cs="宋体"/>
                <w:sz w:val="24"/>
              </w:rPr>
              <w:t xml:space="preserve">，</w:t>
            </w:r>
            <w:r>
              <w:rPr>
                <w:rFonts w:hint="eastAsia" w:ascii="宋体" w:hAnsi="宋体" w:cs="宋体"/>
                <w:sz w:val="24"/>
              </w:rPr>
              <w:t xml:space="preserve">中标人应在领取中标通知书时将中标服务费付至招标代理机构的指定账户。（不含税价）。</w:t>
            </w:r>
            <w:r/>
          </w:p>
          <w:p>
            <w:pPr>
              <w:rPr>
                <w:rFonts w:hint="eastAsia" w:ascii="宋体" w:hAnsi="宋体" w:cs="宋体"/>
                <w:color w:val="0000ff"/>
                <w:sz w:val="24"/>
              </w:rPr>
            </w:pPr>
            <w:r>
              <w:rPr>
                <w:rFonts w:hint="eastAsia" w:ascii="宋体" w:hAnsi="宋体" w:cs="宋体"/>
                <w:color w:val="0000ff"/>
                <w:sz w:val="24"/>
              </w:rPr>
              <w:t xml:space="preserve">注：</w:t>
            </w:r>
            <w:r>
              <w:rPr>
                <w:rFonts w:hint="eastAsia" w:ascii="宋体" w:hAnsi="宋体" w:cs="宋体"/>
                <w:color w:val="0000ff"/>
                <w:sz w:val="24"/>
              </w:rPr>
              <w:t xml:space="preserve">投标人</w:t>
            </w:r>
            <w:r>
              <w:rPr>
                <w:rFonts w:hint="eastAsia" w:ascii="宋体" w:hAnsi="宋体" w:cs="宋体"/>
                <w:color w:val="0000ff"/>
                <w:sz w:val="24"/>
              </w:rPr>
              <w:t xml:space="preserve">报价应当包含代理费。</w:t>
            </w:r>
            <w:r/>
          </w:p>
          <w:p>
            <w:pPr>
              <w:rPr>
                <w:rFonts w:hint="eastAsia" w:ascii="宋体" w:hAnsi="宋体" w:cs="宋体"/>
                <w:color w:val="000000"/>
                <w:sz w:val="24"/>
              </w:rPr>
            </w:pPr>
            <w:r>
              <w:rPr>
                <w:rFonts w:hint="eastAsia" w:ascii="宋体" w:hAnsi="宋体" w:cs="宋体"/>
                <w:color w:val="000000"/>
                <w:sz w:val="24"/>
              </w:rPr>
              <w:t xml:space="preserve">缴纳时间：中标人领取中标通知书前须向采购代理机构足额缴纳采购代理服务费。</w:t>
            </w:r>
            <w:r>
              <w:rPr>
                <w:rFonts w:hint="eastAsia" w:ascii="宋体" w:hAnsi="宋体" w:cs="宋体"/>
                <w:color w:val="000000"/>
                <w:sz w:val="24"/>
              </w:rPr>
              <w:t xml:space="preserve">中标单位</w:t>
            </w:r>
            <w:r>
              <w:rPr>
                <w:rFonts w:ascii="宋体" w:hAnsi="宋体" w:cs="宋体"/>
                <w:color w:val="000000"/>
                <w:sz w:val="24"/>
              </w:rPr>
              <w:t xml:space="preserve">如果未按规定交纳代理服务费，将保留诉讼权利。</w:t>
            </w:r>
            <w:r/>
          </w:p>
        </w:tc>
      </w:tr>
      <w:tr>
        <w:trPr>
          <w:jc w:val="center"/>
          <w:trHeight w:val="567"/>
        </w:trPr>
        <w:tc>
          <w:tcPr>
            <w:tcW w:w="1482" w:type="dxa"/>
            <w:vAlign w:val="center"/>
            <w:textDirection w:val="lrTb"/>
            <w:noWrap w:val="false"/>
          </w:tcPr>
          <w:p>
            <w:pPr>
              <w:pStyle w:val="866"/>
              <w:jc w:val="center"/>
              <w:rPr>
                <w:rFonts w:hAnsi="宋体" w:cs="宋体"/>
                <w:color w:val="000000"/>
                <w:sz w:val="24"/>
                <w:szCs w:val="24"/>
              </w:rPr>
            </w:pPr>
            <w:r>
              <w:rPr>
                <w:rFonts w:hAnsi="宋体" w:cs="宋体"/>
                <w:color w:val="000000"/>
                <w:sz w:val="24"/>
                <w:szCs w:val="24"/>
              </w:rPr>
              <w:t xml:space="preserve">28</w:t>
            </w:r>
            <w:r/>
          </w:p>
        </w:tc>
        <w:tc>
          <w:tcPr>
            <w:tcW w:w="1371" w:type="dxa"/>
            <w:vAlign w:val="center"/>
            <w:textDirection w:val="lrTb"/>
            <w:noWrap w:val="false"/>
          </w:tcPr>
          <w:p>
            <w:pPr>
              <w:jc w:val="center"/>
              <w:rPr>
                <w:rFonts w:hint="eastAsia" w:ascii="宋体" w:hAnsi="宋体" w:cs="宋体"/>
                <w:color w:val="000000"/>
                <w:sz w:val="24"/>
              </w:rPr>
            </w:pPr>
            <w:r>
              <w:rPr>
                <w:rFonts w:hint="eastAsia" w:ascii="宋体" w:hAnsi="宋体"/>
                <w:color w:val="000000"/>
                <w:sz w:val="24"/>
              </w:rPr>
              <w:t xml:space="preserve">纸质投标文件</w:t>
            </w:r>
            <w:r/>
          </w:p>
        </w:tc>
        <w:tc>
          <w:tcPr>
            <w:tcW w:w="5659" w:type="dxa"/>
            <w:vAlign w:val="center"/>
            <w:textDirection w:val="lrTb"/>
            <w:noWrap w:val="false"/>
          </w:tcPr>
          <w:p>
            <w:pPr>
              <w:rPr>
                <w:rFonts w:hint="eastAsia" w:ascii="宋体" w:hAnsi="宋体" w:cs="宋体"/>
                <w:b/>
                <w:bCs/>
                <w:color w:val="000000"/>
                <w:sz w:val="24"/>
              </w:rPr>
            </w:pPr>
            <w:r>
              <w:rPr>
                <w:rFonts w:hint="eastAsia" w:ascii="宋体" w:hAnsi="宋体" w:cs="宋体"/>
                <w:b/>
                <w:bCs/>
                <w:color w:val="000000"/>
                <w:sz w:val="24"/>
              </w:rPr>
              <w:t xml:space="preserve">中标单位</w:t>
            </w:r>
            <w:r>
              <w:rPr>
                <w:rFonts w:ascii="宋体" w:hAnsi="宋体" w:cs="宋体"/>
                <w:b/>
                <w:bCs/>
                <w:color w:val="000000"/>
                <w:sz w:val="24"/>
              </w:rPr>
              <w:t xml:space="preserve">在签订合同前需递交与电子</w:t>
            </w:r>
            <w:r>
              <w:rPr>
                <w:rFonts w:hint="eastAsia" w:ascii="宋体" w:hAnsi="宋体" w:cs="宋体"/>
                <w:b/>
                <w:bCs/>
                <w:color w:val="000000"/>
                <w:sz w:val="24"/>
              </w:rPr>
              <w:t xml:space="preserve">投标</w:t>
            </w:r>
            <w:r>
              <w:rPr>
                <w:rFonts w:ascii="宋体" w:hAnsi="宋体" w:cs="宋体"/>
                <w:b/>
                <w:bCs/>
                <w:color w:val="000000"/>
                <w:sz w:val="24"/>
              </w:rPr>
              <w:t xml:space="preserve">文件内容一致的纸质</w:t>
            </w:r>
            <w:r>
              <w:rPr>
                <w:rFonts w:hint="eastAsia" w:ascii="宋体" w:hAnsi="宋体" w:cs="宋体"/>
                <w:b/>
                <w:bCs/>
                <w:color w:val="000000"/>
                <w:sz w:val="24"/>
              </w:rPr>
              <w:t xml:space="preserve">投标</w:t>
            </w:r>
            <w:r>
              <w:rPr>
                <w:rFonts w:ascii="宋体" w:hAnsi="宋体" w:cs="宋体"/>
                <w:b/>
                <w:bCs/>
                <w:color w:val="000000"/>
                <w:sz w:val="24"/>
              </w:rPr>
              <w:t xml:space="preserve">文件叁份（需打印清晰，标注目录及页码），作为项目归档使用。（递交方式可采用邮寄或现场送达至常州卓乾项目管理有限公司，联系方式见《第一章 投标邀请》）</w:t>
            </w:r>
            <w:r/>
          </w:p>
        </w:tc>
      </w:tr>
    </w:tbl>
    <w:p>
      <w:pPr>
        <w:spacing w:line="360" w:lineRule="auto"/>
        <w:tabs>
          <w:tab w:val="left" w:pos="5580" w:leader="none"/>
        </w:tabs>
        <w:rPr>
          <w:color w:val="000000"/>
          <w:sz w:val="24"/>
        </w:rPr>
        <w:sectPr>
          <w:footerReference w:type="default" r:id="rId13"/>
          <w:footnotePr/>
          <w:endnotePr/>
          <w:type w:val="nextPage"/>
          <w:pgSz w:w="11905" w:h="16838" w:orient="portrait"/>
          <w:pgMar w:top="1440" w:right="1800" w:bottom="1440" w:left="1800" w:header="851" w:footer="992" w:gutter="0"/>
          <w:pgNumType w:start="1"/>
          <w:cols w:num="1" w:sep="0" w:space="1701" w:equalWidth="1"/>
          <w:docGrid w:linePitch="360"/>
        </w:sectPr>
      </w:pPr>
      <w:r>
        <w:rPr>
          <w:color w:val="000000"/>
          <w:sz w:val="24"/>
        </w:rPr>
      </w:r>
      <w:r/>
    </w:p>
    <w:p>
      <w:pPr>
        <w:jc w:val="center"/>
        <w:spacing w:line="360" w:lineRule="auto"/>
        <w:rPr>
          <w:b/>
          <w:color w:val="000000"/>
          <w:sz w:val="28"/>
          <w:szCs w:val="28"/>
        </w:rPr>
      </w:pPr>
      <w:r/>
      <w:bookmarkStart w:id="76" w:name="_Toc195842882"/>
      <w:r/>
      <w:bookmarkStart w:id="77" w:name="_Toc353873932"/>
      <w:r/>
      <w:bookmarkStart w:id="78" w:name="_Toc264969207"/>
      <w:r/>
      <w:bookmarkStart w:id="79" w:name="_Toc265228355"/>
      <w:r/>
      <w:bookmarkStart w:id="80" w:name="_Toc150774722"/>
      <w:r/>
      <w:bookmarkStart w:id="81" w:name="_Toc305158785"/>
      <w:r/>
      <w:bookmarkStart w:id="82" w:name="_Toc305158859"/>
      <w:r/>
      <w:bookmarkStart w:id="83" w:name="_Toc127151517"/>
      <w:r/>
      <w:bookmarkStart w:id="84" w:name="_Toc226965790"/>
      <w:r/>
      <w:bookmarkStart w:id="85" w:name="_Toc226337213"/>
      <w:r/>
      <w:bookmarkStart w:id="86" w:name="_Toc353825542"/>
      <w:r/>
      <w:bookmarkStart w:id="87" w:name="_Toc142311019"/>
      <w:r/>
      <w:bookmarkStart w:id="88" w:name="_Toc353873662"/>
      <w:r/>
      <w:bookmarkStart w:id="89" w:name="_Toc150480755"/>
      <w:r>
        <w:rPr>
          <w:b/>
          <w:color w:val="000000"/>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pStyle w:val="841"/>
        <w:spacing w:before="0" w:line="360" w:lineRule="auto"/>
        <w:tabs>
          <w:tab w:val="center" w:pos="4592" w:leader="none"/>
          <w:tab w:val="left" w:pos="7860" w:leader="none"/>
        </w:tabs>
        <w:rPr>
          <w:rFonts w:ascii="Times New Roman" w:hAnsi="Times New Roman" w:eastAsia="宋体"/>
          <w:color w:val="000000"/>
          <w:sz w:val="28"/>
        </w:rPr>
      </w:pPr>
      <w:r/>
      <w:bookmarkStart w:id="90" w:name="_Toc305158786"/>
      <w:r/>
      <w:bookmarkStart w:id="91" w:name="_Toc305158860"/>
      <w:r/>
      <w:bookmarkStart w:id="92" w:name="_Toc127151518"/>
      <w:r/>
      <w:bookmarkStart w:id="93" w:name="_Toc226309762"/>
      <w:r/>
      <w:bookmarkStart w:id="94" w:name="_Toc142311020"/>
      <w:r/>
      <w:bookmarkStart w:id="95" w:name="_Toc265228356"/>
      <w:r/>
      <w:bookmarkStart w:id="96" w:name="_Toc226965791"/>
      <w:r/>
      <w:bookmarkStart w:id="97" w:name="_Toc151193906"/>
      <w:r/>
      <w:bookmarkStart w:id="98" w:name="_Toc264969208"/>
      <w:r/>
      <w:bookmarkStart w:id="99" w:name="_Toc520356143"/>
      <w:r/>
      <w:bookmarkStart w:id="100" w:name="_Toc151193688"/>
      <w:r/>
      <w:bookmarkStart w:id="101" w:name="_Toc150480756"/>
      <w:r/>
      <w:bookmarkStart w:id="102" w:name="_Toc151193832"/>
      <w:r/>
      <w:bookmarkStart w:id="103" w:name="_Toc151193616"/>
      <w:r/>
      <w:bookmarkStart w:id="104" w:name="_Toc150774618"/>
      <w:r/>
      <w:bookmarkStart w:id="105" w:name="_Toc151190145"/>
      <w:r/>
      <w:bookmarkStart w:id="106" w:name="_Toc151193760"/>
      <w:r/>
      <w:bookmarkStart w:id="107" w:name="_Toc150509269"/>
      <w:r/>
      <w:bookmarkStart w:id="108" w:name="_Toc195842883"/>
      <w:r/>
      <w:bookmarkStart w:id="109" w:name="_Toc226337214"/>
      <w:r/>
      <w:bookmarkStart w:id="110" w:name="_Toc226965708"/>
      <w:r/>
      <w:bookmarkStart w:id="111" w:name="_Toc150774723"/>
      <w:r>
        <w:rPr>
          <w:rFonts w:ascii="Times New Roman" w:hAnsi="Times New Roman" w:eastAsia="宋体"/>
          <w:color w:val="000000"/>
          <w:sz w:val="28"/>
        </w:rPr>
        <w:t xml:space="preserve">一</w:t>
      </w:r>
      <w:r>
        <w:rPr>
          <w:rFonts w:ascii="Times New Roman" w:hAnsi="Times New Roman" w:eastAsia="宋体"/>
          <w:color w:val="000000"/>
          <w:sz w:val="28"/>
        </w:rPr>
        <w:t xml:space="preserve">   </w:t>
      </w:r>
      <w:r>
        <w:rPr>
          <w:rFonts w:ascii="Times New Roman" w:hAnsi="Times New Roman" w:eastAsia="宋体"/>
          <w:color w:val="000000"/>
          <w:sz w:val="28"/>
        </w:rPr>
        <w:t xml:space="preserve">说</w:t>
      </w:r>
      <w:r>
        <w:rPr>
          <w:rFonts w:ascii="Times New Roman" w:hAnsi="Times New Roman" w:eastAsia="宋体"/>
          <w:color w:val="000000"/>
          <w:sz w:val="28"/>
        </w:rPr>
        <w:t xml:space="preserve">  </w:t>
      </w:r>
      <w:r>
        <w:rPr>
          <w:rFonts w:ascii="Times New Roman" w:hAnsi="Times New Roman" w:eastAsia="宋体"/>
          <w:color w:val="000000"/>
          <w:sz w:val="28"/>
        </w:rPr>
        <w:t xml:space="preserve">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numPr>
          <w:ilvl w:val="0"/>
          <w:numId w:val="8"/>
        </w:numPr>
        <w:ind w:left="0" w:firstLine="480"/>
        <w:spacing w:line="400" w:lineRule="exact"/>
        <w:tabs>
          <w:tab w:val="left" w:pos="360" w:leader="none"/>
        </w:tabs>
        <w:rPr>
          <w:rFonts w:hint="eastAsia" w:ascii="宋体" w:hAnsi="宋体" w:cs="宋体"/>
          <w:color w:val="000000"/>
          <w:sz w:val="24"/>
        </w:rPr>
      </w:pPr>
      <w:r/>
      <w:bookmarkStart w:id="112" w:name="_Toc264969209"/>
      <w:r/>
      <w:bookmarkStart w:id="113" w:name="_Toc305158861"/>
      <w:r/>
      <w:bookmarkStart w:id="114" w:name="_Toc265228357"/>
      <w:r/>
      <w:bookmarkStart w:id="115" w:name="_Toc305158787"/>
      <w:r>
        <w:rPr>
          <w:rFonts w:hint="eastAsia" w:ascii="宋体" w:hAnsi="宋体" w:cs="宋体"/>
          <w:color w:val="000000"/>
          <w:sz w:val="24"/>
        </w:rPr>
        <w:t xml:space="preserve">采购人、采购代理机构、投标人</w:t>
      </w:r>
      <w:bookmarkEnd w:id="112"/>
      <w:r/>
      <w:bookmarkEnd w:id="113"/>
      <w:r/>
      <w:bookmarkEnd w:id="114"/>
      <w:r/>
      <w:bookmarkEnd w:id="115"/>
      <w:r>
        <w:rPr>
          <w:rFonts w:hint="eastAsia" w:ascii="宋体" w:hAnsi="宋体" w:cs="宋体"/>
          <w:color w:val="000000"/>
          <w:sz w:val="24"/>
        </w:rPr>
        <w:t xml:space="preserve">、联合体</w:t>
      </w:r>
      <w:r/>
    </w:p>
    <w:p>
      <w:pPr>
        <w:numPr>
          <w:ilvl w:val="1"/>
          <w:numId w:val="8"/>
        </w:numPr>
        <w:ind w:firstLine="480"/>
        <w:spacing w:line="400" w:lineRule="exact"/>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firstLine="480"/>
        <w:spacing w:line="400" w:lineRule="exact"/>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p>
    <w:p>
      <w:pPr>
        <w:numPr>
          <w:ilvl w:val="1"/>
          <w:numId w:val="8"/>
        </w:numPr>
        <w:ind w:firstLine="480"/>
        <w:spacing w:line="400" w:lineRule="exact"/>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p>
    <w:p>
      <w:pPr>
        <w:numPr>
          <w:ilvl w:val="0"/>
          <w:numId w:val="8"/>
        </w:numPr>
        <w:ind w:left="0" w:firstLine="480"/>
        <w:spacing w:line="400" w:lineRule="exact"/>
        <w:tabs>
          <w:tab w:val="left" w:pos="360" w:leader="none"/>
        </w:tabs>
        <w:rPr>
          <w:rFonts w:hint="eastAsia" w:ascii="宋体" w:hAnsi="宋体" w:cs="宋体"/>
          <w:color w:val="000000"/>
          <w:sz w:val="24"/>
        </w:rPr>
      </w:pPr>
      <w:r/>
      <w:bookmarkStart w:id="116" w:name="_Toc305158862"/>
      <w:r/>
      <w:bookmarkStart w:id="117" w:name="_Toc264969210"/>
      <w:r/>
      <w:bookmarkStart w:id="118" w:name="_Toc164229361"/>
      <w:r/>
      <w:bookmarkStart w:id="119" w:name="_Toc164351614"/>
      <w:r/>
      <w:bookmarkStart w:id="120" w:name="_Toc164229215"/>
      <w:r/>
      <w:bookmarkStart w:id="121" w:name="_Toc151193762"/>
      <w:r/>
      <w:bookmarkStart w:id="122" w:name="_Toc142311022"/>
      <w:r/>
      <w:bookmarkStart w:id="123" w:name="_Toc226309764"/>
      <w:r/>
      <w:bookmarkStart w:id="124" w:name="_Toc127151721"/>
      <w:r/>
      <w:bookmarkStart w:id="125" w:name="_Toc127151520"/>
      <w:r/>
      <w:bookmarkStart w:id="126" w:name="_Toc151193618"/>
      <w:r/>
      <w:bookmarkStart w:id="127" w:name="_Toc305158788"/>
      <w:r/>
      <w:bookmarkStart w:id="128" w:name="_Toc265228358"/>
      <w:r/>
      <w:bookmarkStart w:id="129" w:name="_Toc164608634"/>
      <w:r/>
      <w:bookmarkStart w:id="130" w:name="_Toc151193690"/>
      <w:r/>
      <w:bookmarkStart w:id="131" w:name="_Toc151193834"/>
      <w:r/>
      <w:bookmarkStart w:id="132" w:name="_Toc226965710"/>
      <w:r/>
      <w:bookmarkStart w:id="133" w:name="_Toc150774725"/>
      <w:r/>
      <w:bookmarkStart w:id="134" w:name="_Toc151193908"/>
      <w:r/>
      <w:bookmarkStart w:id="135" w:name="_Toc149720813"/>
      <w:r/>
      <w:bookmarkStart w:id="136" w:name="_Toc164608789"/>
      <w:r/>
      <w:bookmarkStart w:id="137" w:name="_Toc195842885"/>
      <w:r/>
      <w:bookmarkStart w:id="138" w:name="_Toc150480758"/>
      <w:r/>
      <w:bookmarkStart w:id="139" w:name="_Toc150774620"/>
      <w:r/>
      <w:bookmarkStart w:id="140" w:name="_Toc127161434"/>
      <w:r/>
      <w:bookmarkStart w:id="141" w:name="_Toc226965793"/>
      <w:r/>
      <w:bookmarkStart w:id="142" w:name="_Toc150509271"/>
      <w:r/>
      <w:bookmarkStart w:id="143" w:name="_Toc226337216"/>
      <w:r/>
      <w:bookmarkStart w:id="144" w:name="_Toc151190147"/>
      <w:r>
        <w:rPr>
          <w:rFonts w:hint="eastAsia" w:ascii="宋体" w:hAnsi="宋体" w:cs="宋体"/>
          <w:color w:val="000000"/>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color w:val="000000"/>
          <w:sz w:val="24"/>
        </w:rPr>
        <w:t xml:space="preserve">、项目属性、科研仪器设备采购、核心产品</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p>
    <w:p>
      <w:pPr>
        <w:numPr>
          <w:ilvl w:val="1"/>
          <w:numId w:val="8"/>
        </w:numPr>
        <w:ind w:firstLine="480"/>
        <w:spacing w:line="400" w:lineRule="exact"/>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p>
    <w:p>
      <w:pPr>
        <w:numPr>
          <w:ilvl w:val="0"/>
          <w:numId w:val="8"/>
        </w:numPr>
        <w:ind w:left="0" w:firstLine="480"/>
        <w:spacing w:line="400" w:lineRule="exact"/>
        <w:tabs>
          <w:tab w:val="left" w:pos="360" w:leader="none"/>
        </w:tabs>
        <w:rPr>
          <w:rFonts w:hint="eastAsia" w:ascii="宋体" w:hAnsi="宋体" w:cs="宋体"/>
          <w:color w:val="000000"/>
          <w:sz w:val="24"/>
        </w:rPr>
      </w:pPr>
      <w:r>
        <w:rPr>
          <w:rFonts w:hint="eastAsia" w:ascii="宋体" w:hAnsi="宋体" w:cs="宋体"/>
          <w:color w:val="000000"/>
          <w:sz w:val="24"/>
        </w:rPr>
        <w:t xml:space="preserve">现场考察、开标前答疑会</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5" w:name="_Toc265228360"/>
      <w:r/>
      <w:bookmarkStart w:id="146" w:name="_Toc195842887"/>
      <w:r/>
      <w:bookmarkStart w:id="147" w:name="_Toc151193620"/>
      <w:r/>
      <w:bookmarkStart w:id="148" w:name="_Toc151190149"/>
      <w:r/>
      <w:bookmarkStart w:id="149" w:name="_Toc151193836"/>
      <w:r/>
      <w:bookmarkStart w:id="150" w:name="_Toc142311024"/>
      <w:r/>
      <w:bookmarkStart w:id="151" w:name="_Toc150509273"/>
      <w:r/>
      <w:bookmarkStart w:id="152" w:name="_Toc150480760"/>
      <w:r/>
      <w:bookmarkStart w:id="153" w:name="_Toc150774622"/>
      <w:r/>
      <w:bookmarkStart w:id="154" w:name="_Toc264969212"/>
      <w:r/>
      <w:bookmarkStart w:id="155" w:name="_Toc305158790"/>
      <w:r/>
      <w:bookmarkStart w:id="156" w:name="_Toc151193692"/>
      <w:r/>
      <w:bookmarkStart w:id="157" w:name="_Toc520356146"/>
      <w:r/>
      <w:bookmarkStart w:id="158" w:name="_Toc226309766"/>
      <w:r/>
      <w:bookmarkStart w:id="159" w:name="_Toc226337218"/>
      <w:r/>
      <w:bookmarkStart w:id="160" w:name="_Toc151193910"/>
      <w:r/>
      <w:bookmarkStart w:id="161" w:name="_Toc226965712"/>
      <w:r/>
      <w:bookmarkStart w:id="162" w:name="_Toc226965795"/>
      <w:r/>
      <w:bookmarkStart w:id="163" w:name="_Toc150774727"/>
      <w:r/>
      <w:bookmarkStart w:id="164" w:name="_Toc127151522"/>
      <w:r/>
      <w:bookmarkStart w:id="165" w:name="_Toc305158864"/>
      <w:r/>
      <w:bookmarkStart w:id="166" w:name="_Toc151193764"/>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0"/>
        <w:spacing w:line="400" w:lineRule="exact"/>
        <w:tabs>
          <w:tab w:val="left" w:pos="360" w:leader="none"/>
        </w:tabs>
        <w:rPr>
          <w:rFonts w:hint="eastAsia" w:ascii="宋体" w:hAnsi="宋体" w:cs="宋体"/>
          <w:color w:val="000000"/>
          <w:sz w:val="24"/>
        </w:rPr>
      </w:pPr>
      <w:r>
        <w:rPr>
          <w:rFonts w:hint="eastAsia" w:ascii="宋体" w:hAnsi="宋体" w:cs="宋体"/>
          <w:color w:val="000000"/>
          <w:sz w:val="24"/>
        </w:rPr>
        <w:t xml:space="preserve">样品</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p>
    <w:p>
      <w:pPr>
        <w:numPr>
          <w:ilvl w:val="0"/>
          <w:numId w:val="8"/>
        </w:numPr>
        <w:ind w:left="0" w:firstLine="480"/>
        <w:spacing w:line="400" w:lineRule="exact"/>
        <w:tabs>
          <w:tab w:val="left" w:pos="360" w:leader="none"/>
        </w:tabs>
        <w:rPr>
          <w:rFonts w:hint="eastAsia" w:ascii="宋体" w:hAnsi="宋体" w:cs="宋体"/>
          <w:color w:val="000000"/>
          <w:sz w:val="24"/>
        </w:rPr>
      </w:pPr>
      <w:r>
        <w:rPr>
          <w:rFonts w:hint="eastAsia" w:ascii="宋体" w:hAnsi="宋体" w:cs="宋体"/>
          <w:color w:val="000000"/>
          <w:sz w:val="24"/>
        </w:rPr>
        <w:t xml:space="preserve">政府采购政策（包括但不限于下列具体政策要求）</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进口产品</w:t>
      </w:r>
      <w:r/>
    </w:p>
    <w:p>
      <w:pPr>
        <w:numPr>
          <w:ilvl w:val="2"/>
          <w:numId w:val="8"/>
        </w:numPr>
        <w:ind w:firstLine="480"/>
        <w:spacing w:line="400" w:lineRule="exact"/>
        <w:tabs>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中小企业、监狱企业及残疾人福利性单位</w:t>
      </w:r>
      <w:r/>
    </w:p>
    <w:p>
      <w:pPr>
        <w:numPr>
          <w:ilvl w:val="2"/>
          <w:numId w:val="8"/>
        </w:numPr>
        <w:ind w:firstLine="480"/>
        <w:spacing w:line="400" w:lineRule="exact"/>
        <w:rPr>
          <w:rFonts w:hint="eastAsia" w:ascii="宋体" w:hAnsi="宋体" w:cs="宋体"/>
          <w:vanish/>
          <w:color w:val="000000"/>
          <w:sz w:val="24"/>
        </w:rPr>
      </w:pPr>
      <w:r>
        <w:rPr>
          <w:rFonts w:hint="eastAsia" w:ascii="宋体" w:hAnsi="宋体" w:cs="宋体"/>
          <w:color w:val="000000"/>
          <w:sz w:val="24"/>
        </w:rPr>
        <w:t xml:space="preserve">中小企业定义：</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5.2.1.2供应商提供的货物、工程或者服务符合下列情形的，享受中小企业扶持政策：</w:t>
      </w:r>
      <w:r/>
    </w:p>
    <w:p>
      <w:pPr>
        <w:ind w:firstLine="480"/>
        <w:spacing w:line="40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firstLine="480"/>
        <w:spacing w:line="40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5.2.1.3在货物采购项目中，供应商提供的货物既有中小企业制造货物，也有大型企业制造货物的，不享受中小企业扶持政策。</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5.2.1.4以联合体形式参加政府采购活动，联合体各方均为中小企业的，联合体视同中小企业。其中，联合体各方均为小微企业的，联合体视同小微企业。</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0"/>
        <w:spacing w:line="400" w:lineRule="exact"/>
        <w:rPr>
          <w:rFonts w:hint="eastAsia" w:ascii="宋体" w:hAnsi="宋体" w:cs="宋体"/>
          <w:vanish/>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5.2.3.1安置的残疾人占本单位在职职工人数的比例不低于25%（含25%），并且安置的残疾人人数不少于10 人（含10 人）；</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5.2.3.2依法与安置的每位残疾人签订了一年以上（含一年）的劳动合同或服务协议；</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5.2.3.3为安置的每位残疾人按月足额缴纳了基本养老保险、基本医疗保险、失业保险、工伤保险和生育保险等社会保险费；</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5.2.3.4通过银行等金融机构向安置的每位残疾人，按月支付了不低于单位所在区县适用的经省级人民政府批准的月最低工资标准的工资；</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5.2.3.5提供本单位制造的货物、承担的工程或者服务（以下简称产品），或者提供其他残疾人福利性单位制造的货物（不包括使用非残疾人福利性单位注册商标的货物）；</w:t>
      </w:r>
      <w:r/>
    </w:p>
    <w:p>
      <w:p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400" w:lineRule="exact"/>
        <w:rPr>
          <w:rFonts w:hint="eastAsia" w:ascii="宋体" w:hAnsi="宋体" w:cs="宋体"/>
          <w:b/>
          <w:bCs/>
          <w:color w:val="000000"/>
          <w:sz w:val="24"/>
          <w:u w:val="single"/>
        </w:rPr>
      </w:pPr>
      <w:r>
        <w:rPr>
          <w:rFonts w:hint="eastAsia" w:ascii="宋体" w:hAnsi="宋体" w:cs="宋体"/>
          <w:b/>
          <w:bCs/>
          <w:color w:val="000000"/>
          <w:sz w:val="24"/>
          <w:u w:val="single"/>
        </w:rPr>
        <w:t xml:space="preserve">如本项目采购产品属于实施政府强制采购品目清单范围的节能产品，则投标人所报产品必须获得国家确定的认证机构出具的、处于有效期之内的节能产品认证证书，否则投标无效；</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0"/>
        <w:spacing w:line="400" w:lineRule="exact"/>
        <w:tabs>
          <w:tab w:val="left" w:pos="2014"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w:t>
      </w:r>
      <w:r>
        <w:rPr>
          <w:rFonts w:hint="eastAsia" w:ascii="宋体" w:hAnsi="宋体" w:cs="宋体"/>
          <w:color w:val="000000"/>
          <w:sz w:val="24"/>
        </w:rPr>
        <w:t xml:space="preserve">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支持乡村产业振兴管理</w:t>
      </w:r>
      <w:r/>
    </w:p>
    <w:p>
      <w:pPr>
        <w:numPr>
          <w:ilvl w:val="2"/>
          <w:numId w:val="8"/>
        </w:numPr>
        <w:ind w:firstLine="480"/>
        <w:spacing w:line="400" w:lineRule="exact"/>
        <w:tabs>
          <w:tab w:val="left" w:pos="2014"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正版软件</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0"/>
        <w:spacing w:line="400" w:lineRule="exact"/>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政府采购创新产品政策</w:t>
      </w:r>
      <w:r/>
    </w:p>
    <w:p>
      <w:pPr>
        <w:numPr>
          <w:ilvl w:val="2"/>
          <w:numId w:val="8"/>
        </w:numPr>
        <w:ind w:firstLine="480"/>
        <w:spacing w:line="400" w:lineRule="exact"/>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0" w:firstLine="482"/>
        <w:spacing w:line="400" w:lineRule="exact"/>
        <w:tabs>
          <w:tab w:val="left" w:pos="360" w:leader="none"/>
        </w:tabs>
        <w:rPr>
          <w:rFonts w:hint="eastAsia" w:ascii="宋体" w:hAnsi="宋体" w:cs="宋体"/>
          <w:b/>
          <w:bCs/>
          <w:color w:val="000000"/>
          <w:sz w:val="24"/>
        </w:rPr>
      </w:pPr>
      <w:r>
        <w:rPr>
          <w:rFonts w:hint="eastAsia" w:ascii="宋体" w:hAnsi="宋体" w:cs="宋体"/>
          <w:b/>
          <w:bCs/>
          <w:color w:val="000000"/>
          <w:sz w:val="24"/>
        </w:rPr>
        <w:t xml:space="preserve">投标费用</w:t>
      </w:r>
      <w:r/>
    </w:p>
    <w:p>
      <w:pPr>
        <w:numPr>
          <w:ilvl w:val="1"/>
          <w:numId w:val="8"/>
        </w:numPr>
        <w:ind w:firstLine="480"/>
        <w:spacing w:line="400" w:lineRule="exact"/>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w:t>
      </w:r>
      <w:r>
        <w:rPr>
          <w:rFonts w:hint="eastAsia" w:ascii="宋体" w:hAnsi="宋体" w:cs="宋体"/>
          <w:color w:val="000000"/>
          <w:sz w:val="24"/>
        </w:rPr>
        <w:t xml:space="preserve">如何，采购人或采购代理机构在任何情况下均无承担这些费用的义务和责任。</w:t>
      </w:r>
      <w:r/>
    </w:p>
    <w:p>
      <w:pPr>
        <w:rPr>
          <w:color w:val="000000"/>
        </w:rPr>
      </w:pPr>
      <w:r>
        <w:rPr>
          <w:color w:val="000000"/>
        </w:rPr>
      </w:r>
      <w:r/>
    </w:p>
    <w:p>
      <w:pPr>
        <w:pStyle w:val="841"/>
        <w:spacing w:before="0" w:line="400" w:lineRule="exact"/>
        <w:rPr>
          <w:rFonts w:ascii="Times New Roman" w:hAnsi="Times New Roman" w:eastAsia="宋体"/>
          <w:color w:val="000000"/>
          <w:sz w:val="28"/>
        </w:rPr>
      </w:pPr>
      <w:r/>
      <w:bookmarkStart w:id="167" w:name="_1.8_计量单位"/>
      <w:r/>
      <w:bookmarkEnd w:id="167"/>
      <w:r>
        <w:rPr>
          <w:rFonts w:ascii="Times New Roman" w:hAnsi="Times New Roman" w:eastAsia="宋体"/>
          <w:color w:val="000000"/>
          <w:sz w:val="28"/>
        </w:rPr>
        <w:t xml:space="preserve">二</w:t>
      </w:r>
      <w:r>
        <w:rPr>
          <w:rFonts w:ascii="Times New Roman" w:hAnsi="Times New Roman" w:eastAsia="宋体"/>
          <w:color w:val="000000"/>
          <w:sz w:val="28"/>
        </w:rPr>
        <w:t xml:space="preserve">   </w:t>
      </w:r>
      <w:r>
        <w:rPr>
          <w:rFonts w:ascii="Times New Roman" w:hAnsi="Times New Roman" w:eastAsia="宋体"/>
          <w:color w:val="000000"/>
          <w:sz w:val="28"/>
        </w:rPr>
        <w:t xml:space="preserve">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400" w:lineRule="exact"/>
        <w:rPr>
          <w:rFonts w:hint="eastAsia" w:ascii="宋体" w:hAnsi="宋体" w:cs="宋体"/>
          <w:color w:val="000000"/>
          <w:sz w:val="24"/>
        </w:rPr>
      </w:pPr>
      <w:r/>
      <w:bookmarkStart w:id="168" w:name="_Toc516367020"/>
      <w:r/>
      <w:bookmarkStart w:id="169" w:name="_Toc305158868"/>
      <w:r/>
      <w:bookmarkStart w:id="170" w:name="_Toc226965716"/>
      <w:r/>
      <w:bookmarkStart w:id="171" w:name="_Toc265228364"/>
      <w:r/>
      <w:bookmarkStart w:id="172" w:name="_Toc151193696"/>
      <w:r/>
      <w:bookmarkStart w:id="173" w:name="_Toc151193768"/>
      <w:r/>
      <w:bookmarkStart w:id="174" w:name="_Toc150774626"/>
      <w:r/>
      <w:bookmarkStart w:id="175" w:name="_Toc226965799"/>
      <w:r/>
      <w:bookmarkStart w:id="176" w:name="_Toc151193914"/>
      <w:r/>
      <w:bookmarkStart w:id="177" w:name="_Toc150509277"/>
      <w:r/>
      <w:bookmarkStart w:id="178" w:name="_Toc151190153"/>
      <w:r/>
      <w:bookmarkStart w:id="179" w:name="_Toc195842891"/>
      <w:r/>
      <w:bookmarkStart w:id="180" w:name="_Toc305158794"/>
      <w:r/>
      <w:bookmarkStart w:id="181" w:name="_Toc151193840"/>
      <w:r/>
      <w:bookmarkStart w:id="182" w:name="_Toc520356150"/>
      <w:r/>
      <w:bookmarkStart w:id="183" w:name="_Toc150480764"/>
      <w:r/>
      <w:bookmarkStart w:id="184" w:name="_Toc151193624"/>
      <w:r/>
      <w:bookmarkStart w:id="185" w:name="_Toc150774731"/>
      <w:r/>
      <w:bookmarkStart w:id="186" w:name="_Toc127151526"/>
      <w:r/>
      <w:bookmarkStart w:id="187" w:name="_Toc226337222"/>
      <w:r/>
      <w:bookmarkStart w:id="188" w:name="_Toc264969216"/>
      <w:r/>
      <w:bookmarkStart w:id="189" w:name="_Toc226309770"/>
      <w:r/>
      <w:bookmarkStart w:id="190" w:name="_Toc142311028"/>
      <w:r>
        <w:rPr>
          <w:rFonts w:hint="eastAsia" w:ascii="宋体" w:hAnsi="宋体" w:cs="宋体"/>
          <w:color w:val="000000"/>
          <w:sz w:val="24"/>
        </w:rPr>
        <w:t xml:space="preserve">7招标文件构成</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7.1招标文件包括以下部分：</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第一章  投标邀请</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第二章  投标人须知</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第三章  资格审查</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第四章  评标程序、评标方法和评标标准</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第五章  采购需求</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第六章  拟签订的合同文本</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第七章  投标文件格式</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7.2投标人应认真阅读招标文件的全部内容。投标人应按照招标文件要求提交投标文件并保证所提供的全部资料的真实性，并对招标文件做出实质性响应，否则投标无效。</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8对招标文件的澄清或修改</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8.1采购人或采购代理机构对已发出的招标文件进行必要澄清或者修改的，将在原公告发布媒体上以发布更正公告的形式通知所有获取招标文件的潜在投标人。</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firstLine="560"/>
        <w:spacing w:line="400" w:lineRule="exact"/>
        <w:tabs>
          <w:tab w:val="left" w:pos="1080" w:leader="none"/>
          <w:tab w:val="left" w:pos="1561" w:leader="none"/>
        </w:tabs>
        <w:rPr>
          <w:color w:val="000000"/>
          <w:sz w:val="28"/>
        </w:rPr>
      </w:pPr>
      <w:r>
        <w:rPr>
          <w:color w:val="000000"/>
          <w:sz w:val="28"/>
        </w:rPr>
      </w:r>
      <w:r/>
    </w:p>
    <w:p>
      <w:pPr>
        <w:pStyle w:val="841"/>
        <w:spacing w:before="0" w:line="400" w:lineRule="exact"/>
        <w:rPr>
          <w:rFonts w:ascii="Times New Roman" w:hAnsi="Times New Roman" w:eastAsia="宋体"/>
          <w:color w:val="000000"/>
          <w:sz w:val="28"/>
        </w:rPr>
      </w:pPr>
      <w:r>
        <w:rPr>
          <w:rFonts w:ascii="Times New Roman" w:hAnsi="Times New Roman" w:eastAsia="宋体"/>
          <w:color w:val="000000"/>
          <w:sz w:val="28"/>
        </w:rPr>
        <w:t xml:space="preserve">三</w:t>
      </w:r>
      <w:r>
        <w:rPr>
          <w:rFonts w:ascii="Times New Roman" w:hAnsi="Times New Roman" w:eastAsia="宋体"/>
          <w:color w:val="000000"/>
          <w:sz w:val="28"/>
        </w:rPr>
        <w:t xml:space="preserve">   </w:t>
      </w:r>
      <w:r>
        <w:rPr>
          <w:rFonts w:ascii="Times New Roman" w:hAnsi="Times New Roman" w:eastAsia="宋体"/>
          <w:color w:val="000000"/>
          <w:sz w:val="28"/>
        </w:rPr>
        <w:t xml:space="preserve">投标文件</w:t>
      </w:r>
      <w:bookmarkEnd w:id="168"/>
      <w:r>
        <w:rPr>
          <w:rFonts w:ascii="Times New Roman" w:hAnsi="Times New Roman" w:eastAsia="宋体"/>
          <w:color w:val="000000"/>
          <w:sz w:val="28"/>
        </w:rPr>
        <w:t xml:space="preserve">的编制</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80"/>
        <w:spacing w:line="400" w:lineRule="exact"/>
        <w:rPr>
          <w:rFonts w:hint="eastAsia" w:ascii="宋体" w:hAnsi="宋体" w:cs="宋体"/>
          <w:color w:val="000000"/>
          <w:sz w:val="24"/>
        </w:rPr>
      </w:pPr>
      <w:r/>
      <w:bookmarkStart w:id="191" w:name="_Toc305158876"/>
      <w:r/>
      <w:bookmarkStart w:id="192" w:name="_Toc226965724"/>
      <w:r/>
      <w:bookmarkStart w:id="193" w:name="_Toc226309778"/>
      <w:r/>
      <w:bookmarkStart w:id="194" w:name="_Toc150774739"/>
      <w:r/>
      <w:bookmarkStart w:id="195" w:name="_Toc520356159"/>
      <w:r/>
      <w:bookmarkStart w:id="196" w:name="_Toc226965807"/>
      <w:r/>
      <w:bookmarkStart w:id="197" w:name="_Toc151193632"/>
      <w:r/>
      <w:bookmarkStart w:id="198" w:name="_Toc305158802"/>
      <w:r/>
      <w:bookmarkStart w:id="199" w:name="_Toc195842899"/>
      <w:r/>
      <w:bookmarkStart w:id="200" w:name="_Toc151193848"/>
      <w:r/>
      <w:bookmarkStart w:id="201" w:name="_Toc151190161"/>
      <w:r/>
      <w:bookmarkStart w:id="202" w:name="_Toc127151534"/>
      <w:r/>
      <w:bookmarkStart w:id="203" w:name="_Toc142311036"/>
      <w:r/>
      <w:bookmarkStart w:id="204" w:name="_Toc151193776"/>
      <w:r/>
      <w:bookmarkStart w:id="205" w:name="_Toc264969224"/>
      <w:r/>
      <w:bookmarkStart w:id="206" w:name="_Toc150509285"/>
      <w:r/>
      <w:bookmarkStart w:id="207" w:name="_Toc151193704"/>
      <w:r/>
      <w:bookmarkStart w:id="208" w:name="_Toc151193922"/>
      <w:r/>
      <w:bookmarkStart w:id="209" w:name="_Toc226337230"/>
      <w:r/>
      <w:bookmarkStart w:id="210" w:name="_Toc265228372"/>
      <w:r/>
      <w:bookmarkStart w:id="211" w:name="_Toc150774634"/>
      <w:r/>
      <w:bookmarkStart w:id="212" w:name="_Toc150480772"/>
      <w:r>
        <w:rPr>
          <w:rFonts w:hint="eastAsia" w:ascii="宋体" w:hAnsi="宋体" w:cs="宋体"/>
          <w:color w:val="000000"/>
          <w:sz w:val="24"/>
        </w:rPr>
        <w:t xml:space="preserve">9投标范围、投标文件中计量单位的使用及投标语言</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9.2除招标文件有特殊要求外，本项目投标所使用的计量单位，应采用中华人民共和国法定计量单位。</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w:t>
      </w:r>
      <w:r>
        <w:rPr>
          <w:rFonts w:hint="eastAsia" w:ascii="宋体" w:hAnsi="宋体" w:cs="宋体"/>
          <w:color w:val="000000"/>
          <w:sz w:val="24"/>
        </w:rPr>
        <w:t xml:space="preserve">翻译本或翻译本中文内容明显与外文内容不一致的，其不利后果由投标人自行承担。</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10投标文件构成</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10.1投标人应当按照招标文件的要求编制投标文件。投标文件应由《资格证明文件》、《商务技术文件》两部分构成。投标文件的部分格式要求，见第七章《投标文件格式》。</w:t>
      </w:r>
      <w:r/>
    </w:p>
    <w:p>
      <w:pPr>
        <w:ind w:firstLine="482"/>
        <w:spacing w:line="400" w:lineRule="exact"/>
        <w:rPr>
          <w:rFonts w:hint="eastAsia" w:ascii="宋体" w:hAnsi="宋体" w:cs="宋体"/>
          <w:color w:val="000000"/>
          <w:sz w:val="24"/>
        </w:rPr>
      </w:pPr>
      <w:r>
        <w:rPr>
          <w:rFonts w:hint="eastAsia" w:ascii="宋体" w:hAnsi="宋体" w:cs="宋体"/>
          <w:b/>
          <w:bCs/>
          <w:color w:val="000000"/>
          <w:sz w:val="24"/>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w:t>
      </w:r>
      <w:r>
        <w:rPr>
          <w:rFonts w:hint="eastAsia" w:ascii="宋体" w:hAnsi="宋体" w:cs="宋体"/>
          <w:color w:val="000000"/>
          <w:sz w:val="24"/>
        </w:rPr>
        <w:t xml:space="preserve">未标记“实质性格式”的文件和招标文件未提供格式的内容，可由投标人自行编写。</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10.3第四章《评标程序、评标方法和评标标准》中涉及的证明文件。</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10.5投标人认为应附的其他材料。</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11投标报价</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11.1所有投标均以人民币报价。</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11.2.2按照招标文件要求完成本项目的全部相关服务费用。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11.3采购人不得向供应商索要或者接受其给予的赠品、回扣或者与采购无关的其他商品、服务。</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11.4投标人不能提供任何有选择性或可调整的报价，否则其投标无效。</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12投标保证金</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根据江苏省和常州市的相关文件规定，免收投标保证金。</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13投标有效期</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13.1投标文件应在本招标文件《投标人须知资料表》中规定的投标有效期内保持有效，投标有效期少于招标文件规定期限的，其投标无效。</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14投标文件的签署、加盖公章</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14.2招标文件要求加盖公章的内容，一般通过投标文件编制工具加盖电子签章。</w:t>
      </w:r>
      <w:r/>
    </w:p>
    <w:p>
      <w:pPr>
        <w:spacing w:line="400" w:lineRule="exact"/>
        <w:rPr>
          <w:color w:val="000000"/>
        </w:rPr>
      </w:pPr>
      <w:r>
        <w:rPr>
          <w:color w:val="000000"/>
        </w:rPr>
      </w:r>
      <w:r/>
    </w:p>
    <w:p>
      <w:pPr>
        <w:pStyle w:val="841"/>
        <w:spacing w:before="0" w:line="400" w:lineRule="exact"/>
        <w:rPr>
          <w:rFonts w:ascii="Times New Roman" w:hAnsi="Times New Roman" w:eastAsia="宋体"/>
          <w:color w:val="000000"/>
          <w:sz w:val="28"/>
        </w:rPr>
      </w:pPr>
      <w:r>
        <w:rPr>
          <w:rFonts w:ascii="Times New Roman" w:hAnsi="Times New Roman" w:eastAsia="宋体"/>
          <w:color w:val="000000"/>
          <w:sz w:val="28"/>
        </w:rPr>
        <w:t xml:space="preserve">四</w:t>
      </w:r>
      <w:r>
        <w:rPr>
          <w:rFonts w:ascii="Times New Roman" w:hAnsi="Times New Roman" w:eastAsia="宋体"/>
          <w:color w:val="000000"/>
          <w:sz w:val="28"/>
        </w:rPr>
        <w:t xml:space="preserve">   </w:t>
      </w:r>
      <w:r>
        <w:rPr>
          <w:rFonts w:ascii="Times New Roman" w:hAnsi="Times New Roman" w:eastAsia="宋体"/>
          <w:color w:val="000000"/>
          <w:sz w:val="28"/>
        </w:rPr>
        <w:t xml:space="preserve">投标文件的提交</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15投标文件的提交</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15.1本项目使用“苏采云”政府采购一体化平台。投标人根据招标文件及“苏采云”政府采购一体化平台供应商操作手册要求编制、生成并提交电子投标文件。</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15.2采购人及采购代理机构拒绝接受通过“苏采云”政府采购一体化平台以外任何形式提交的投标文件。</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16投标截止时间</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16.1投标人应在招标文件要求提交投标文件截止时间前，将电子投标文件提交至“苏采云”政府采购一体化平台。</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17投标文件的修改与撤回</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17.1投标截止时间前，投标人可以通过“苏采云”政府采购一体化平台对所提交的投标文件进行补充、修改或者撤回。</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17.2投标人对投标文件的补充、修改的内容应当按照招标文件要求签署、加盖公章，作为投标文件的组成部分</w:t>
      </w:r>
      <w:r/>
    </w:p>
    <w:p>
      <w:pPr>
        <w:ind w:firstLine="480"/>
        <w:spacing w:line="400" w:lineRule="exact"/>
        <w:rPr>
          <w:color w:val="000000"/>
          <w:sz w:val="24"/>
        </w:rPr>
      </w:pPr>
      <w:r>
        <w:rPr>
          <w:color w:val="000000"/>
          <w:sz w:val="24"/>
        </w:rPr>
      </w:r>
      <w:r/>
    </w:p>
    <w:p>
      <w:pPr>
        <w:pStyle w:val="841"/>
        <w:spacing w:before="0" w:line="400" w:lineRule="exact"/>
        <w:rPr>
          <w:rFonts w:ascii="Times New Roman" w:hAnsi="Times New Roman" w:eastAsia="宋体"/>
          <w:color w:val="000000"/>
          <w:sz w:val="28"/>
        </w:rPr>
      </w:pPr>
      <w:r/>
      <w:bookmarkStart w:id="213" w:name="_Toc127151538"/>
      <w:r/>
      <w:bookmarkStart w:id="214" w:name="_Toc150509289"/>
      <w:r/>
      <w:bookmarkStart w:id="215" w:name="_Toc151190165"/>
      <w:r/>
      <w:bookmarkStart w:id="216" w:name="_Toc151193780"/>
      <w:r/>
      <w:bookmarkStart w:id="217" w:name="_Toc150480776"/>
      <w:r/>
      <w:bookmarkStart w:id="218" w:name="_Toc151193708"/>
      <w:r/>
      <w:bookmarkStart w:id="219" w:name="_Toc226309782"/>
      <w:r/>
      <w:bookmarkStart w:id="220" w:name="_Toc305158880"/>
      <w:r/>
      <w:bookmarkStart w:id="221" w:name="_Toc195842903"/>
      <w:r/>
      <w:bookmarkStart w:id="222" w:name="_Toc305158806"/>
      <w:r/>
      <w:bookmarkStart w:id="223" w:name="_Toc265228376"/>
      <w:r/>
      <w:bookmarkStart w:id="224" w:name="_Toc226965811"/>
      <w:r/>
      <w:bookmarkStart w:id="225" w:name="_Toc150774743"/>
      <w:r/>
      <w:bookmarkStart w:id="226" w:name="_Toc150774638"/>
      <w:r/>
      <w:bookmarkStart w:id="227" w:name="_Toc151193926"/>
      <w:r/>
      <w:bookmarkStart w:id="228" w:name="_Toc151193852"/>
      <w:r/>
      <w:bookmarkStart w:id="229" w:name="_Toc520356163"/>
      <w:r/>
      <w:bookmarkStart w:id="230" w:name="_Toc226337234"/>
      <w:r/>
      <w:bookmarkStart w:id="231" w:name="_Toc151193636"/>
      <w:r/>
      <w:bookmarkStart w:id="232" w:name="_Toc264969228"/>
      <w:r/>
      <w:bookmarkStart w:id="233" w:name="_Toc142311040"/>
      <w:r/>
      <w:bookmarkStart w:id="234" w:name="_Toc226965728"/>
      <w:r>
        <w:rPr>
          <w:rFonts w:ascii="Times New Roman" w:hAnsi="Times New Roman" w:eastAsia="宋体"/>
          <w:color w:val="000000"/>
          <w:sz w:val="28"/>
        </w:rPr>
        <w:t xml:space="preserve">五</w:t>
      </w:r>
      <w:r>
        <w:rPr>
          <w:rFonts w:ascii="Times New Roman" w:hAnsi="Times New Roman" w:eastAsia="宋体"/>
          <w:color w:val="000000"/>
          <w:sz w:val="28"/>
        </w:rPr>
        <w:t xml:space="preserve">   </w:t>
      </w:r>
      <w:r>
        <w:rPr>
          <w:rFonts w:ascii="Times New Roman" w:hAnsi="Times New Roman" w:eastAsia="宋体"/>
          <w:color w:val="000000"/>
          <w:sz w:val="28"/>
        </w:rPr>
        <w:t xml:space="preserve">开标、资格审查及评标</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80"/>
        <w:spacing w:line="400" w:lineRule="exact"/>
        <w:rPr>
          <w:rFonts w:hint="eastAsia" w:ascii="宋体" w:hAnsi="宋体" w:cs="宋体"/>
          <w:color w:val="000000"/>
          <w:sz w:val="24"/>
        </w:rPr>
      </w:pPr>
      <w:r/>
      <w:bookmarkStart w:id="235" w:name="_Toc520356169"/>
      <w:r>
        <w:rPr>
          <w:rFonts w:hint="eastAsia" w:ascii="宋体" w:hAnsi="宋体" w:cs="宋体"/>
          <w:color w:val="000000"/>
          <w:sz w:val="24"/>
        </w:rPr>
        <w:t xml:space="preserve">18开标</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18.1采购人或采购代理机构将按招标文件的规定，在投标截止时间的同一时间和招标文件预先确定的地点组织开标。</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18.2本项目开标采用不见面招投标模式，使用“苏采云”政府采购一体化平台在线进行开标。投标人应在规定的时间内对投标文件进行解密，因非系统原因导致的解密失败，视为投标无效。</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w:t>
      </w:r>
      <w:r>
        <w:rPr>
          <w:rFonts w:hint="eastAsia" w:ascii="宋体" w:hAnsi="宋体" w:cs="宋体"/>
          <w:color w:val="000000"/>
          <w:sz w:val="24"/>
        </w:rPr>
        <w:t xml:space="preserve">的，系统将视同已确认。</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18.5投标人不足3家的，不予开标。</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1)平台系统发生故障而无法登录访问的；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19资格审查</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19.1见第三章《资格审查》。</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20评标委员会</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20.1评标委员会根据政府采购有关规定和本次招标采购项目的特点进行组建，并负责具体评标事务，独立履行职责。</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20.2评审专家须符合相关规定。依法自行选定评审专家的，采购人和采购代理机构将查询有关信用记录，对具有行贿、受贿、欺诈等不良信用记录的人员，拒绝其参与政府采购活动。</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21评标程序、评标方法和评标标准</w:t>
      </w:r>
      <w:r/>
    </w:p>
    <w:p>
      <w:pPr>
        <w:ind w:firstLine="480"/>
        <w:spacing w:line="400" w:lineRule="exact"/>
        <w:rPr>
          <w:color w:val="000000"/>
          <w:sz w:val="24"/>
        </w:rPr>
      </w:pPr>
      <w:r>
        <w:rPr>
          <w:rFonts w:hint="eastAsia" w:ascii="宋体" w:hAnsi="宋体" w:cs="宋体"/>
          <w:color w:val="000000"/>
          <w:sz w:val="24"/>
        </w:rPr>
        <w:t xml:space="preserve">21.1见第四章《评标程序、评标方法和评标标准》。</w:t>
      </w:r>
      <w:r/>
    </w:p>
    <w:p>
      <w:pPr>
        <w:ind w:left="1080"/>
        <w:spacing w:line="400" w:lineRule="exact"/>
        <w:tabs>
          <w:tab w:val="left" w:pos="360" w:leader="none"/>
          <w:tab w:val="left" w:pos="1080" w:leader="none"/>
        </w:tabs>
        <w:rPr>
          <w:color w:val="000000"/>
          <w:sz w:val="24"/>
        </w:rPr>
      </w:pPr>
      <w:r>
        <w:rPr>
          <w:color w:val="000000"/>
          <w:sz w:val="24"/>
        </w:rPr>
      </w:r>
      <w:r/>
    </w:p>
    <w:p>
      <w:pPr>
        <w:pStyle w:val="841"/>
        <w:spacing w:before="0" w:line="400" w:lineRule="exact"/>
        <w:rPr>
          <w:rFonts w:ascii="Times New Roman" w:hAnsi="Times New Roman" w:eastAsia="宋体"/>
          <w:color w:val="000000"/>
          <w:sz w:val="28"/>
        </w:rPr>
      </w:pPr>
      <w:r/>
      <w:bookmarkStart w:id="236" w:name="_Toc226965735"/>
      <w:r/>
      <w:bookmarkStart w:id="237" w:name="_Toc151193859"/>
      <w:r/>
      <w:bookmarkStart w:id="238" w:name="_Toc226965818"/>
      <w:r/>
      <w:bookmarkStart w:id="239" w:name="_Toc127151545"/>
      <w:r/>
      <w:bookmarkStart w:id="240" w:name="_Toc305158813"/>
      <w:r/>
      <w:bookmarkStart w:id="241" w:name="_Toc151193643"/>
      <w:r/>
      <w:bookmarkStart w:id="242" w:name="_Toc150774750"/>
      <w:r/>
      <w:bookmarkStart w:id="243" w:name="_Toc150509296"/>
      <w:r/>
      <w:bookmarkStart w:id="244" w:name="_Toc264969235"/>
      <w:r/>
      <w:bookmarkStart w:id="245" w:name="_Toc265228383"/>
      <w:r/>
      <w:bookmarkStart w:id="246" w:name="_Toc226337241"/>
      <w:r/>
      <w:bookmarkStart w:id="247" w:name="_Toc195842910"/>
      <w:r/>
      <w:bookmarkStart w:id="248" w:name="_Toc151193933"/>
      <w:r/>
      <w:bookmarkStart w:id="249" w:name="_Toc150480783"/>
      <w:r/>
      <w:bookmarkStart w:id="250" w:name="_Toc226309789"/>
      <w:r/>
      <w:bookmarkStart w:id="251" w:name="_Toc150774645"/>
      <w:r/>
      <w:bookmarkStart w:id="252" w:name="_Toc305158887"/>
      <w:r/>
      <w:bookmarkStart w:id="253" w:name="_Toc151190172"/>
      <w:r/>
      <w:bookmarkStart w:id="254" w:name="_Toc151193787"/>
      <w:r/>
      <w:bookmarkStart w:id="255" w:name="_Toc151193715"/>
      <w:r/>
      <w:bookmarkStart w:id="256" w:name="_Toc142311047"/>
      <w:r>
        <w:rPr>
          <w:rFonts w:ascii="Times New Roman" w:hAnsi="Times New Roman" w:eastAsia="宋体"/>
          <w:color w:val="000000"/>
          <w:sz w:val="28"/>
        </w:rPr>
        <w:t xml:space="preserve">六</w:t>
      </w:r>
      <w:r>
        <w:rPr>
          <w:rFonts w:ascii="Times New Roman" w:hAnsi="Times New Roman" w:eastAsia="宋体"/>
          <w:color w:val="000000"/>
          <w:sz w:val="28"/>
        </w:rPr>
        <w:t xml:space="preserve">   </w:t>
      </w:r>
      <w:bookmarkEnd w:id="235"/>
      <w:r>
        <w:rPr>
          <w:rFonts w:ascii="Times New Roman" w:hAnsi="Times New Roman" w:eastAsia="宋体"/>
          <w:color w:val="000000"/>
          <w:sz w:val="28"/>
        </w:rPr>
        <w:t xml:space="preserve">确定中标</w:t>
      </w:r>
      <w:bookmarkStart w:id="257" w:name="_Toc226309791"/>
      <w:r/>
      <w:bookmarkStart w:id="258" w:name="_Toc226965820"/>
      <w:r/>
      <w:bookmarkStart w:id="259" w:name="_Toc150774647"/>
      <w:r/>
      <w:bookmarkStart w:id="260" w:name="_Toc195842912"/>
      <w:r/>
      <w:bookmarkStart w:id="261" w:name="_Toc151190174"/>
      <w:r/>
      <w:bookmarkStart w:id="262" w:name="_Toc226337243"/>
      <w:r/>
      <w:bookmarkStart w:id="263" w:name="_Toc164229388"/>
      <w:r/>
      <w:bookmarkStart w:id="264" w:name="_Toc305158815"/>
      <w:r/>
      <w:bookmarkStart w:id="265" w:name="_Toc265228385"/>
      <w:r/>
      <w:bookmarkStart w:id="266" w:name="_Toc164608816"/>
      <w:r/>
      <w:bookmarkStart w:id="267" w:name="_Toc127161461"/>
      <w:r/>
      <w:bookmarkStart w:id="268" w:name="_Toc151193935"/>
      <w:r/>
      <w:bookmarkStart w:id="269" w:name="_Toc150480785"/>
      <w:r/>
      <w:bookmarkStart w:id="270" w:name="_Toc151193789"/>
      <w:r/>
      <w:bookmarkStart w:id="271" w:name="_Toc151193717"/>
      <w:r/>
      <w:bookmarkStart w:id="272" w:name="_Toc150509298"/>
      <w:r/>
      <w:bookmarkStart w:id="273" w:name="_Toc127151748"/>
      <w:r/>
      <w:bookmarkStart w:id="274" w:name="_Toc151193861"/>
      <w:r/>
      <w:bookmarkStart w:id="275" w:name="_Toc226965737"/>
      <w:r/>
      <w:bookmarkStart w:id="276" w:name="_Toc264969237"/>
      <w:r/>
      <w:bookmarkStart w:id="277" w:name="_Toc164608661"/>
      <w:r/>
      <w:bookmarkStart w:id="278" w:name="_Toc127151547"/>
      <w:r/>
      <w:bookmarkStart w:id="279" w:name="_Toc164351641"/>
      <w:r/>
      <w:bookmarkStart w:id="280" w:name="_Toc142311049"/>
      <w:r/>
      <w:bookmarkStart w:id="281" w:name="_Toc151193645"/>
      <w:r/>
      <w:bookmarkStart w:id="282" w:name="_Toc305158889"/>
      <w:r/>
      <w:bookmarkStart w:id="283" w:name="_Toc164229242"/>
      <w:r/>
      <w:bookmarkStart w:id="284" w:name="_Toc150774752"/>
      <w:r/>
      <w:bookmarkStart w:id="285" w:name="_Toc149720840"/>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22确定中标人</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22.1采购人将在评标报告确定的中标候选人名单中按顺序确定中标人，中标候选人并列的，由采购人依法确定。</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23中标公告与中标通知书</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23.1采购人或采购代理机构自中标人确定之日起2个工作日内，在常州市政府采购网公告中标结果，同时向中标人发出中标通知书，中标公告期限为1个工作日。</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23.2中标通知书对采购人和中标供应商均具有法律效力。中标通知书发出后，采购人改变中标结果的，或者中标供应商放弃中标项目的，应当依法承担法律责任。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24废标</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24.1在招标采购中，出现下列情形之一的，应予废标：</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24.1.1符合专业条件的供应商或者对招标文件作实质响应的供应商不足三家的；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24.1.2出现影响采购公正的违法、违规行为的；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24.1.3投标人的报价均超过了采购预算，采购人不能支付的；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24.1.4因重大变故，采购任务取消的。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24.1.5平台系统出现序号18.8的所述情形，情况严重且影响采购活动公平、公正性的。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24.2废标后，采购人将废标理由通知所有投标人。</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25签订合同</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25.2中标人拒绝与采购人签订合同的，采购人可以按照评标报告推荐的中标候选人名单排序，确定下一候选人为中标人，也可以重新开展政府采购活动。</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25.3联合体中标的，联合体各方应当共同与采购人签订合同，就中标项目向采购人承担连带责任。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25.4政府采购合同不能转包。</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26询问与质疑</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26.1询问</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26.1.1投标人对政府采购活动事项有疑问的，可依法提出询问，并按《投标人须知资料表》载明的形式送达采购人或采购代理机构。</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26.1.2采购人或采购代理机构对供应商依法提出的询问，在3个工作日内作出答复，但答复的内容不得涉及商业秘密。</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26.2质疑</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26.2.3质疑函须使用财政部制定的范本文件。（下载网址：http://gKs.mof.gov.cn/ztztz/zhengfucaigouguanli/201802/t20180201_2804589.htm）</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26.2.4投标人为自然人的，应当由本人签字；投标人为法人或者其他组织的，应当由法定代表人、主要负责人，或者其授权代表签字或者加盖公章，并加盖公章。</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26.3接收询问和质疑的联系部门、联系电话和地址见《投标人须知资料表》。</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27代理费</w:t>
      </w:r>
      <w:r/>
    </w:p>
    <w:p>
      <w:pPr>
        <w:ind w:firstLine="480"/>
        <w:spacing w:line="400" w:lineRule="exact"/>
        <w:rPr>
          <w:rFonts w:hint="eastAsia" w:ascii="宋体" w:hAnsi="宋体" w:cs="宋体"/>
          <w:color w:val="0000ff"/>
          <w:sz w:val="24"/>
        </w:rPr>
      </w:pPr>
      <w:r>
        <w:rPr>
          <w:rFonts w:hint="eastAsia" w:ascii="宋体" w:hAnsi="宋体" w:cs="宋体"/>
          <w:color w:val="000000"/>
          <w:sz w:val="24"/>
        </w:rPr>
        <w:t xml:space="preserve">27.1收费对象、收费标准及缴纳时间见《投标人须知资料表》。由中标人支付的，中标人须一次性向采购代理机构缴纳代理费，</w:t>
      </w:r>
      <w:r>
        <w:rPr>
          <w:rFonts w:hint="eastAsia" w:ascii="宋体" w:hAnsi="宋体" w:cs="宋体"/>
          <w:color w:val="0000ff"/>
          <w:sz w:val="24"/>
        </w:rPr>
        <w:t xml:space="preserve">投标报价应包含代理费</w:t>
      </w:r>
      <w:r>
        <w:rPr>
          <w:rFonts w:hint="eastAsia" w:ascii="宋体" w:hAnsi="宋体" w:cs="宋体"/>
          <w:color w:val="0000ff"/>
          <w:sz w:val="24"/>
        </w:rPr>
        <w:t xml:space="preserve">用。</w:t>
      </w:r>
      <w:r/>
    </w:p>
    <w:p>
      <w:pPr>
        <w:jc w:val="center"/>
        <w:spacing w:line="360" w:lineRule="auto"/>
        <w:rPr>
          <w:b/>
          <w:color w:val="000000"/>
          <w:sz w:val="36"/>
          <w:szCs w:val="36"/>
        </w:rPr>
        <w:outlineLvl w:val="0"/>
      </w:pPr>
      <w:r/>
      <w:bookmarkStart w:id="286" w:name="_Toc150774759"/>
      <w:r/>
      <w:bookmarkStart w:id="287" w:name="_Toc353873664"/>
      <w:r/>
      <w:bookmarkStart w:id="288" w:name="_Toc226337250"/>
      <w:r/>
      <w:bookmarkStart w:id="289" w:name="_Toc226965827"/>
      <w:r/>
      <w:bookmarkStart w:id="290" w:name="_Toc127151554"/>
      <w:r/>
      <w:bookmarkStart w:id="291" w:name="_Toc264969244"/>
      <w:r/>
      <w:bookmarkStart w:id="292" w:name="_Toc142311056"/>
      <w:r/>
      <w:bookmarkStart w:id="293" w:name="_Toc305158822"/>
      <w:r/>
      <w:bookmarkStart w:id="294" w:name="_Toc353873934"/>
      <w:r/>
      <w:bookmarkStart w:id="295" w:name="_Toc353825544"/>
      <w:r/>
      <w:bookmarkStart w:id="296" w:name="_Toc305158896"/>
      <w:r/>
      <w:bookmarkStart w:id="297" w:name="_Toc150480792"/>
      <w:r/>
      <w:bookmarkStart w:id="298" w:name="_Toc265228392"/>
      <w:r>
        <w:rPr>
          <w:color w:val="000000"/>
          <w:sz w:val="24"/>
        </w:rPr>
        <w:br w:type="page" w:clear="all"/>
      </w:r>
      <w:bookmarkStart w:id="299" w:name="_Toc6230"/>
      <w:r>
        <w:rPr>
          <w:b/>
          <w:color w:val="000000"/>
          <w:sz w:val="36"/>
          <w:szCs w:val="36"/>
        </w:rPr>
        <w:t xml:space="preserve">第三章</w:t>
      </w:r>
      <w:r>
        <w:rPr>
          <w:b/>
          <w:color w:val="000000"/>
          <w:sz w:val="36"/>
          <w:szCs w:val="36"/>
        </w:rPr>
        <w:t xml:space="preserve">   </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b/>
          <w:color w:val="000000"/>
          <w:sz w:val="36"/>
          <w:szCs w:val="36"/>
        </w:rPr>
        <w:t xml:space="preserve">资格审查</w:t>
      </w:r>
      <w:bookmarkStart w:id="300" w:name="_Toc487900382"/>
      <w:r/>
      <w:bookmarkEnd w:id="299"/>
      <w:r/>
      <w:r/>
    </w:p>
    <w:p>
      <w:pPr>
        <w:jc w:val="center"/>
        <w:spacing w:line="360" w:lineRule="auto"/>
        <w:tabs>
          <w:tab w:val="left" w:pos="360" w:leader="none"/>
          <w:tab w:val="left" w:pos="900" w:leader="none"/>
        </w:tabs>
        <w:rPr>
          <w:b/>
          <w:color w:val="000000"/>
          <w:sz w:val="24"/>
        </w:rPr>
        <w:outlineLvl w:val="1"/>
      </w:pPr>
      <w:r/>
      <w:bookmarkStart w:id="301" w:name="_Toc99301422"/>
      <w:r>
        <w:rPr>
          <w:b/>
          <w:color w:val="000000"/>
          <w:sz w:val="24"/>
        </w:rPr>
        <w:t xml:space="preserve">一、资格审查程序</w:t>
      </w:r>
      <w:bookmarkEnd w:id="301"/>
      <w:r/>
      <w:r/>
    </w:p>
    <w:p>
      <w:pPr>
        <w:numPr>
          <w:ilvl w:val="0"/>
          <w:numId w:val="9"/>
        </w:numPr>
        <w:ind w:left="425" w:hanging="425"/>
        <w:spacing w:line="400" w:lineRule="exact"/>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p>
    <w:p>
      <w:pPr>
        <w:numPr>
          <w:ilvl w:val="0"/>
          <w:numId w:val="9"/>
        </w:numPr>
        <w:ind w:left="425" w:hanging="425"/>
        <w:spacing w:line="400" w:lineRule="exact"/>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p>
    <w:p>
      <w:pPr>
        <w:numPr>
          <w:ilvl w:val="0"/>
          <w:numId w:val="9"/>
        </w:numPr>
        <w:ind w:left="425" w:hanging="425"/>
        <w:spacing w:line="400" w:lineRule="exact"/>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9"/>
        </w:numPr>
        <w:ind w:left="425" w:hanging="425"/>
        <w:spacing w:line="400" w:lineRule="exact"/>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p>
    <w:p>
      <w:pPr>
        <w:jc w:val="left"/>
        <w:widowControl/>
        <w:rPr>
          <w:color w:val="000000"/>
          <w:sz w:val="24"/>
        </w:rPr>
      </w:pPr>
      <w:r>
        <w:rPr>
          <w:color w:val="000000"/>
          <w:sz w:val="24"/>
        </w:rPr>
      </w:r>
      <w:r/>
    </w:p>
    <w:p>
      <w:pPr>
        <w:jc w:val="center"/>
        <w:spacing w:line="360" w:lineRule="auto"/>
        <w:tabs>
          <w:tab w:val="left" w:pos="360" w:leader="none"/>
          <w:tab w:val="left" w:pos="900" w:leader="none"/>
        </w:tabs>
        <w:rPr>
          <w:b/>
          <w:color w:val="000000"/>
          <w:sz w:val="24"/>
        </w:rPr>
        <w:outlineLvl w:val="1"/>
      </w:pPr>
      <w:r>
        <w:rPr>
          <w:b/>
          <w:color w:val="000000"/>
          <w:sz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2"/>
        <w:gridCol w:w="1901"/>
        <w:gridCol w:w="4246"/>
        <w:gridCol w:w="1603"/>
      </w:tblGrid>
      <w:tr>
        <w:trPr>
          <w:cantSplit/>
          <w:jc w:val="center"/>
          <w:trHeight w:val="468"/>
          <w:tblHeader/>
        </w:trPr>
        <w:tc>
          <w:tcPr>
            <w:tcW w:w="453" w:type="dxa"/>
            <w:vAlign w:val="center"/>
            <w:textDirection w:val="lrTb"/>
            <w:noWrap w:val="false"/>
          </w:tcPr>
          <w:p>
            <w:pPr>
              <w:jc w:val="center"/>
              <w:tabs>
                <w:tab w:val="left" w:pos="1080" w:leader="none"/>
              </w:tabs>
              <w:rPr>
                <w:rFonts w:hint="eastAsia" w:ascii="宋体" w:hAnsi="宋体" w:cs="宋体"/>
                <w:b/>
                <w:color w:val="000000"/>
                <w:sz w:val="24"/>
              </w:rPr>
            </w:pPr>
            <w:r/>
            <w:bookmarkStart w:id="302" w:name="_Hlt487972895"/>
            <w:r/>
            <w:bookmarkEnd w:id="302"/>
            <w:r>
              <w:rPr>
                <w:rFonts w:hint="eastAsia" w:ascii="宋体" w:hAnsi="宋体" w:cs="宋体"/>
                <w:b/>
                <w:color w:val="000000"/>
                <w:sz w:val="24"/>
              </w:rPr>
              <w:t xml:space="preserve">序号</w:t>
            </w:r>
            <w:r/>
          </w:p>
        </w:tc>
        <w:tc>
          <w:tcPr>
            <w:tcW w:w="1115" w:type="dxa"/>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p>
        </w:tc>
        <w:tc>
          <w:tcPr>
            <w:tcW w:w="2490" w:type="dxa"/>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p>
        </w:tc>
        <w:tc>
          <w:tcPr>
            <w:tcW w:w="940" w:type="dxa"/>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p>
        </w:tc>
      </w:tr>
      <w:tr>
        <w:trPr>
          <w:cantSplit/>
          <w:jc w:val="center"/>
          <w:trHeight w:val="468"/>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p>
        </w:tc>
        <w:tc>
          <w:tcPr>
            <w:tcW w:w="940" w:type="dxa"/>
            <w:vAlign w:val="center"/>
            <w:textDirection w:val="lrTb"/>
            <w:noWrap w:val="false"/>
          </w:tcPr>
          <w:p>
            <w:pPr>
              <w:tabs>
                <w:tab w:val="left" w:pos="1080" w:leader="none"/>
              </w:tabs>
              <w:rPr>
                <w:rFonts w:hint="eastAsia" w:ascii="宋体" w:hAnsi="宋体" w:cs="宋体"/>
                <w:color w:val="000000"/>
                <w:sz w:val="24"/>
              </w:rPr>
            </w:pPr>
            <w:r>
              <w:rPr>
                <w:color w:val="000000"/>
                <w:sz w:val="24"/>
              </w:rPr>
              <w:t xml:space="preserve">提供证明文件的电子件或电子证照</w:t>
            </w:r>
            <w:r/>
          </w:p>
        </w:tc>
      </w:tr>
      <w:tr>
        <w:trPr>
          <w:cantSplit/>
          <w:jc w:val="center"/>
          <w:trHeight w:val="468"/>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p>
        </w:tc>
        <w:tc>
          <w:tcPr>
            <w:tcW w:w="94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p>
        </w:tc>
      </w:tr>
      <w:tr>
        <w:trPr>
          <w:cantSplit/>
          <w:jc w:val="center"/>
          <w:trHeight w:val="468"/>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p>
        </w:tc>
        <w:tc>
          <w:tcPr>
            <w:tcW w:w="94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p>
        </w:tc>
      </w:tr>
      <w:tr>
        <w:trPr>
          <w:cantSplit/>
          <w:jc w:val="center"/>
          <w:trHeight w:val="468"/>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p>
        </w:tc>
        <w:tc>
          <w:tcPr>
            <w:tcW w:w="94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jc w:val="center"/>
          <w:trHeight w:val="468"/>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p>
        </w:tc>
        <w:tc>
          <w:tcPr>
            <w:tcW w:w="940"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jc w:val="center"/>
          <w:trHeight w:val="460"/>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3-1</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p>
        </w:tc>
        <w:tc>
          <w:tcPr>
            <w:tcW w:w="940" w:type="dxa"/>
            <w:vAlign w:val="center"/>
            <w:textDirection w:val="lrTb"/>
            <w:noWrap w:val="false"/>
          </w:tcPr>
          <w:p>
            <w:pPr>
              <w:jc w:val="center"/>
              <w:tabs>
                <w:tab w:val="left" w:pos="1080" w:leader="none"/>
              </w:tabs>
              <w:rPr>
                <w:rFonts w:hint="eastAsia" w:ascii="宋体" w:hAnsi="宋体" w:cs="宋体"/>
                <w:color w:val="000000"/>
                <w:sz w:val="24"/>
              </w:rPr>
            </w:pPr>
            <w:r>
              <w:rPr>
                <w:color w:val="000000"/>
                <w:sz w:val="24"/>
              </w:rPr>
              <w:t xml:space="preserve">提供证明文件的电子件或电子证照</w:t>
            </w:r>
            <w:r/>
          </w:p>
        </w:tc>
      </w:tr>
      <w:tr>
        <w:trPr>
          <w:cantSplit/>
          <w:jc w:val="center"/>
          <w:trHeight w:val="460"/>
        </w:trPr>
        <w:tc>
          <w:tcPr>
            <w:tcW w:w="453" w:type="dxa"/>
            <w:vAlign w:val="center"/>
            <w:textDirection w:val="lrTb"/>
            <w:noWrap w:val="false"/>
          </w:tcPr>
          <w:p>
            <w:pPr>
              <w:jc w:val="center"/>
              <w:tabs>
                <w:tab w:val="left" w:pos="1080" w:leader="none"/>
              </w:tabs>
              <w:rPr>
                <w:rFonts w:hint="eastAsia" w:ascii="宋体" w:hAnsi="宋体" w:cs="宋体"/>
                <w:color w:val="000000"/>
                <w:sz w:val="24"/>
              </w:rPr>
            </w:pPr>
            <w:r/>
            <w:bookmarkStart w:id="303" w:name="_Toc226965858"/>
            <w:r/>
            <w:bookmarkStart w:id="304" w:name="_Toc127151779"/>
            <w:r/>
            <w:bookmarkStart w:id="305" w:name="_Toc353825550"/>
            <w:r/>
            <w:bookmarkStart w:id="306" w:name="_Toc353873940"/>
            <w:r/>
            <w:bookmarkStart w:id="307" w:name="_Toc127161490"/>
            <w:r>
              <w:rPr>
                <w:rFonts w:hint="eastAsia" w:ascii="宋体" w:hAnsi="宋体" w:cs="宋体"/>
                <w:color w:val="000000"/>
                <w:sz w:val="24"/>
              </w:rPr>
              <w:t xml:space="preserve">4</w:t>
            </w:r>
            <w:r/>
          </w:p>
        </w:tc>
        <w:tc>
          <w:tcPr>
            <w:tcW w:w="111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营业执照</w:t>
            </w:r>
            <w:r/>
          </w:p>
        </w:tc>
        <w:tc>
          <w:tcPr>
            <w:tcW w:w="2490"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有效期内的营业执照</w:t>
            </w:r>
            <w:r/>
          </w:p>
        </w:tc>
        <w:tc>
          <w:tcPr>
            <w:tcW w:w="940" w:type="dxa"/>
            <w:vAlign w:val="center"/>
            <w:textDirection w:val="lrTb"/>
            <w:noWrap w:val="false"/>
          </w:tcPr>
          <w:p>
            <w:pPr>
              <w:jc w:val="center"/>
              <w:tabs>
                <w:tab w:val="left" w:pos="1080" w:leader="none"/>
              </w:tabs>
              <w:rPr>
                <w:rFonts w:hint="eastAsia" w:ascii="宋体" w:hAnsi="宋体" w:cs="宋体"/>
                <w:color w:val="000000"/>
                <w:sz w:val="24"/>
              </w:rPr>
            </w:pPr>
            <w:r>
              <w:rPr>
                <w:color w:val="000000"/>
                <w:sz w:val="24"/>
              </w:rPr>
              <w:t xml:space="preserve">提供证明文件的电子件或电子证照</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300"/>
            <w:r/>
            <w:r/>
          </w:p>
        </w:tc>
      </w:tr>
    </w:tbl>
    <w:p>
      <w:pPr>
        <w:jc w:val="center"/>
        <w:widowControl/>
        <w:rPr>
          <w:b/>
          <w:color w:val="000000"/>
          <w:sz w:val="36"/>
          <w:szCs w:val="36"/>
        </w:rPr>
      </w:pPr>
      <w:r>
        <w:rPr>
          <w:color w:val="000000"/>
          <w:sz w:val="24"/>
        </w:rPr>
        <w:br w:type="page" w:clear="all"/>
      </w:r>
      <w:bookmarkStart w:id="308" w:name="_Toc11043"/>
      <w:r>
        <w:rPr>
          <w:b/>
          <w:color w:val="000000"/>
          <w:sz w:val="36"/>
          <w:szCs w:val="36"/>
        </w:rPr>
        <w:t xml:space="preserve">第四章</w:t>
      </w:r>
      <w:r>
        <w:rPr>
          <w:b/>
          <w:color w:val="000000"/>
          <w:sz w:val="36"/>
          <w:szCs w:val="36"/>
        </w:rPr>
        <w:t xml:space="preserve">   </w:t>
      </w:r>
      <w:bookmarkStart w:id="309" w:name="_Hlt164229061"/>
      <w:r/>
      <w:bookmarkEnd w:id="303"/>
      <w:r/>
      <w:bookmarkEnd w:id="304"/>
      <w:r/>
      <w:bookmarkEnd w:id="305"/>
      <w:r/>
      <w:bookmarkEnd w:id="306"/>
      <w:r/>
      <w:bookmarkEnd w:id="307"/>
      <w:r/>
      <w:bookmarkEnd w:id="309"/>
      <w:r>
        <w:rPr>
          <w:b/>
          <w:color w:val="000000"/>
          <w:sz w:val="36"/>
          <w:szCs w:val="36"/>
        </w:rPr>
        <w:t xml:space="preserve">评标程序、评标方法和评标标准</w:t>
      </w:r>
      <w:bookmarkEnd w:id="308"/>
      <w:r/>
      <w:r/>
    </w:p>
    <w:p>
      <w:pPr>
        <w:jc w:val="center"/>
        <w:spacing w:line="360" w:lineRule="auto"/>
        <w:tabs>
          <w:tab w:val="left" w:pos="360" w:leader="none"/>
          <w:tab w:val="left" w:pos="900" w:leader="none"/>
        </w:tabs>
        <w:rPr>
          <w:b/>
          <w:color w:val="000000"/>
        </w:rPr>
        <w:outlineLvl w:val="1"/>
      </w:pPr>
      <w:r>
        <w:rPr>
          <w:b/>
          <w:color w:val="000000"/>
          <w:sz w:val="24"/>
        </w:rPr>
        <w:t xml:space="preserve">一、评标</w:t>
      </w:r>
      <w:r>
        <w:rPr>
          <w:rFonts w:hint="eastAsia"/>
          <w:b/>
          <w:color w:val="000000"/>
          <w:sz w:val="24"/>
        </w:rPr>
        <w:t xml:space="preserve">程序</w:t>
      </w:r>
      <w:r/>
    </w:p>
    <w:p>
      <w:pPr>
        <w:numPr>
          <w:ilvl w:val="0"/>
          <w:numId w:val="10"/>
        </w:numPr>
        <w:ind w:left="0" w:firstLine="482"/>
        <w:spacing w:line="400" w:lineRule="exact"/>
        <w:tabs>
          <w:tab w:val="left" w:pos="360" w:leader="none"/>
        </w:tabs>
        <w:rPr>
          <w:rFonts w:hint="eastAsia" w:ascii="宋体" w:hAnsi="宋体" w:cs="宋体"/>
          <w:b/>
          <w:bCs/>
          <w:color w:val="000000"/>
          <w:sz w:val="24"/>
        </w:rPr>
        <w:outlineLvl w:val="1"/>
      </w:pPr>
      <w:r/>
      <w:bookmarkStart w:id="310" w:name="_Toc226965814"/>
      <w:r/>
      <w:bookmarkStart w:id="311" w:name="_Toc151193711"/>
      <w:r/>
      <w:bookmarkStart w:id="312" w:name="_Toc164608655"/>
      <w:r/>
      <w:bookmarkStart w:id="313" w:name="_Toc226309785"/>
      <w:r/>
      <w:bookmarkStart w:id="314" w:name="_Toc164229236"/>
      <w:r/>
      <w:bookmarkStart w:id="315" w:name="_Toc150774641"/>
      <w:r/>
      <w:bookmarkStart w:id="316" w:name="_Toc305158809"/>
      <w:r/>
      <w:bookmarkStart w:id="317" w:name="_Toc305158883"/>
      <w:r/>
      <w:bookmarkStart w:id="318" w:name="_Toc151193783"/>
      <w:r/>
      <w:bookmarkStart w:id="319" w:name="_Toc127161455"/>
      <w:r/>
      <w:bookmarkStart w:id="320" w:name="_Toc150480779"/>
      <w:r/>
      <w:bookmarkStart w:id="321" w:name="_Toc151193855"/>
      <w:r/>
      <w:bookmarkStart w:id="322" w:name="_Toc164229382"/>
      <w:r/>
      <w:bookmarkStart w:id="323" w:name="_Toc226965731"/>
      <w:r/>
      <w:bookmarkStart w:id="324" w:name="_Toc226337237"/>
      <w:r/>
      <w:bookmarkStart w:id="325" w:name="_Toc149720834"/>
      <w:r/>
      <w:bookmarkStart w:id="326" w:name="_Toc127151742"/>
      <w:r/>
      <w:bookmarkStart w:id="327" w:name="_Toc151193639"/>
      <w:r/>
      <w:bookmarkStart w:id="328" w:name="_Toc151190168"/>
      <w:r/>
      <w:bookmarkStart w:id="329" w:name="_Toc127151541"/>
      <w:r/>
      <w:bookmarkStart w:id="330" w:name="_Toc150509292"/>
      <w:r/>
      <w:bookmarkStart w:id="331" w:name="_Toc265228379"/>
      <w:r/>
      <w:bookmarkStart w:id="332" w:name="_Toc142311043"/>
      <w:r/>
      <w:bookmarkStart w:id="333" w:name="_Toc151193929"/>
      <w:r/>
      <w:bookmarkStart w:id="334" w:name="_Toc164608810"/>
      <w:r/>
      <w:bookmarkStart w:id="335" w:name="_Toc150774746"/>
      <w:r/>
      <w:bookmarkStart w:id="336" w:name="_Toc164351635"/>
      <w:r/>
      <w:bookmarkStart w:id="337" w:name="_Toc195842906"/>
      <w:r/>
      <w:bookmarkStart w:id="338" w:name="_Toc264969231"/>
      <w:r/>
      <w:bookmarkStart w:id="339" w:name="_Toc353825551"/>
      <w:r/>
      <w:bookmarkStart w:id="340" w:name="_Toc353873941"/>
      <w:r/>
      <w:bookmarkStart w:id="341" w:name="_Toc353825545"/>
      <w:r/>
      <w:bookmarkStart w:id="342" w:name="_Toc305158897"/>
      <w:r/>
      <w:bookmarkStart w:id="343" w:name="_Toc264969245"/>
      <w:r/>
      <w:bookmarkStart w:id="344" w:name="_Toc226337251"/>
      <w:r/>
      <w:bookmarkStart w:id="345" w:name="_Toc305158823"/>
      <w:r/>
      <w:bookmarkStart w:id="346" w:name="_Toc226965828"/>
      <w:r/>
      <w:bookmarkStart w:id="347" w:name="_Toc195842920"/>
      <w:r/>
      <w:bookmarkStart w:id="348" w:name="_Toc353873935"/>
      <w:r/>
      <w:bookmarkStart w:id="349" w:name="_Toc127151555"/>
      <w:r/>
      <w:bookmarkStart w:id="350" w:name="_Toc150774760"/>
      <w:r/>
      <w:bookmarkStart w:id="351" w:name="_Toc150480793"/>
      <w:r/>
      <w:bookmarkStart w:id="352" w:name="_Toc353873665"/>
      <w:r/>
      <w:bookmarkStart w:id="353" w:name="_Toc265228393"/>
      <w:r/>
      <w:bookmarkStart w:id="354" w:name="_Toc142311057"/>
      <w:r>
        <w:rPr>
          <w:rFonts w:hint="eastAsia" w:ascii="宋体" w:hAnsi="宋体" w:cs="宋体"/>
          <w:b/>
          <w:bCs/>
          <w:color w:val="000000"/>
          <w:sz w:val="24"/>
        </w:rPr>
        <w:t xml:space="preserve">投标文件的符合性审查</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numPr>
          <w:ilvl w:val="1"/>
          <w:numId w:val="10"/>
        </w:numPr>
        <w:ind w:left="0" w:firstLine="480"/>
        <w:spacing w:line="40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355" w:name="_Toc520356167"/>
      <w:r/>
      <w:r/>
    </w:p>
    <w:p>
      <w:pPr>
        <w:numPr>
          <w:ilvl w:val="1"/>
          <w:numId w:val="10"/>
        </w:numPr>
        <w:ind w:left="0" w:firstLine="480"/>
        <w:spacing w:line="40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5"/>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jc w:val="center"/>
        <w:spacing w:line="360" w:lineRule="auto"/>
        <w:tabs>
          <w:tab w:val="left" w:pos="900" w:leader="none"/>
          <w:tab w:val="left" w:pos="1080" w:leader="none"/>
          <w:tab w:val="left" w:pos="1589" w:leader="none"/>
        </w:tabs>
        <w:rPr>
          <w:b/>
          <w:color w:val="000000"/>
          <w:sz w:val="24"/>
        </w:rPr>
      </w:pPr>
      <w:r>
        <w:rPr>
          <w:b/>
          <w:color w:val="000000"/>
          <w:sz w:val="24"/>
        </w:rPr>
        <w:t xml:space="preserve">符合性审查</w:t>
      </w:r>
      <w:r>
        <w:rPr>
          <w:rFonts w:hint="eastAsia"/>
          <w:b/>
          <w:color w:val="000000"/>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1"/>
        <w:gridCol w:w="1644"/>
        <w:gridCol w:w="6107"/>
      </w:tblGrid>
      <w:tr>
        <w:trPr>
          <w:jc w:val="center"/>
          <w:trHeight w:val="283"/>
          <w:tblHeader/>
        </w:trPr>
        <w:tc>
          <w:tcPr>
            <w:tcW w:w="401"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7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622"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投标函、法定代表人资格证明书（或授权委托书）和政府采购供应商信用承诺书</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按招标文件要求提供投标函、法定代表人资格证明书（或授权委托书）和政府采购供应商信用承诺书；</w:t>
            </w:r>
            <w:r>
              <w:rPr>
                <w:rFonts w:ascii="宋体" w:hAnsi="宋体"/>
                <w:b/>
                <w:bCs/>
                <w:color w:val="000000"/>
                <w:sz w:val="24"/>
              </w:rPr>
              <w:t xml:space="preserve">格式见《投标文件格式》</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投标完整性</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投标报价</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投标报价未超过招标文件中规定的项目/采购包预算金额或者项目/采购包最高限价；</w:t>
            </w:r>
            <w:r>
              <w:rPr>
                <w:rFonts w:hint="eastAsia" w:ascii="宋体" w:hAnsi="宋体" w:cs="宋体"/>
                <w:b/>
                <w:bCs/>
                <w:color w:val="000000"/>
                <w:sz w:val="24"/>
              </w:rPr>
              <w:t xml:space="preserve">（</w:t>
            </w:r>
            <w:r>
              <w:rPr>
                <w:rFonts w:hint="eastAsia" w:ascii="宋体" w:hAnsi="宋体"/>
                <w:b/>
                <w:bCs/>
                <w:color w:val="000000"/>
                <w:sz w:val="24"/>
              </w:rPr>
              <w:t xml:space="preserve">提供</w:t>
            </w:r>
            <w:r>
              <w:rPr>
                <w:rFonts w:ascii="宋体" w:hAnsi="宋体"/>
                <w:b/>
                <w:bCs/>
                <w:color w:val="000000"/>
                <w:sz w:val="24"/>
              </w:rPr>
              <w:t xml:space="preserve">《</w:t>
            </w:r>
            <w:r>
              <w:rPr>
                <w:rFonts w:hint="eastAsia" w:ascii="宋体" w:hAnsi="宋体"/>
                <w:b/>
                <w:bCs/>
                <w:color w:val="000000"/>
                <w:sz w:val="24"/>
              </w:rPr>
              <w:t xml:space="preserve">开标一览表</w:t>
            </w:r>
            <w:r>
              <w:rPr>
                <w:rFonts w:ascii="宋体" w:hAnsi="宋体"/>
                <w:b/>
                <w:bCs/>
                <w:color w:val="000000"/>
                <w:sz w:val="24"/>
              </w:rPr>
              <w:t xml:space="preserve">》</w:t>
            </w:r>
            <w:r>
              <w:rPr>
                <w:rFonts w:hint="eastAsia" w:ascii="宋体" w:hAnsi="宋体"/>
                <w:b/>
                <w:bCs/>
                <w:color w:val="000000"/>
                <w:sz w:val="24"/>
              </w:rPr>
              <w:t xml:space="preserve">、《投标分项报价表》，格式见</w:t>
            </w:r>
            <w:r>
              <w:rPr>
                <w:rFonts w:ascii="宋体" w:hAnsi="宋体"/>
                <w:b/>
                <w:bCs/>
                <w:color w:val="000000"/>
                <w:sz w:val="24"/>
              </w:rPr>
              <w:t xml:space="preserve">《投标文件格式》</w:t>
            </w:r>
            <w:r>
              <w:rPr>
                <w:rFonts w:hint="eastAsia" w:ascii="宋体" w:hAnsi="宋体" w:cs="宋体"/>
                <w:b/>
                <w:bCs/>
                <w:color w:val="000000"/>
                <w:sz w:val="24"/>
              </w:rPr>
              <w:t xml:space="preserve">）</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b/>
                <w:bCs/>
                <w:color w:val="000000"/>
                <w:sz w:val="24"/>
              </w:rPr>
              <w:t xml:space="preserve">（</w:t>
            </w:r>
            <w:r>
              <w:rPr>
                <w:rFonts w:hint="eastAsia" w:ascii="宋体" w:hAnsi="宋体"/>
                <w:b/>
                <w:bCs/>
                <w:color w:val="000000"/>
                <w:sz w:val="24"/>
              </w:rPr>
              <w:t xml:space="preserve">除前面已提供的实质性格式文件以外，还需提供：合同条款偏离表，采购需求偏离表；</w:t>
            </w:r>
            <w:r>
              <w:rPr>
                <w:rFonts w:ascii="宋体" w:hAnsi="宋体"/>
                <w:b/>
                <w:bCs/>
                <w:color w:val="000000"/>
                <w:sz w:val="24"/>
              </w:rPr>
              <w:t xml:space="preserve">格式见《投标文件格式》</w:t>
            </w:r>
            <w:r>
              <w:rPr>
                <w:rFonts w:hint="eastAsia"/>
                <w:b/>
                <w:bCs/>
                <w:color w:val="000000"/>
                <w:sz w:val="24"/>
              </w:rPr>
              <w:t xml:space="preserve">）</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投标文件满足招标文件第五章《采购需求》中★号条款要求的；</w:t>
            </w:r>
            <w:r>
              <w:rPr>
                <w:rFonts w:hint="eastAsia" w:ascii="宋体" w:hAnsi="宋体"/>
                <w:b/>
                <w:color w:val="000000"/>
                <w:sz w:val="24"/>
              </w:rPr>
              <w:t xml:space="preserve">如有的，根据文件列出的★号条款，按照序号逐项提供相关证明材料。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p>
            <w:pPr>
              <w:rPr>
                <w:rFonts w:hint="eastAsia" w:ascii="宋体" w:hAnsi="宋体" w:cs="宋体"/>
                <w:b/>
                <w:bCs/>
                <w:color w:val="000000"/>
                <w:sz w:val="24"/>
              </w:rPr>
            </w:pPr>
            <w:r>
              <w:rPr>
                <w:rFonts w:hint="eastAsia" w:ascii="宋体" w:hAnsi="宋体" w:cs="宋体"/>
                <w:b/>
                <w:bCs/>
                <w:color w:val="000000"/>
                <w:sz w:val="24"/>
              </w:rPr>
              <w:t xml:space="preserve">根据苏财购〔2026〕36号文件规定，评审过程中出现下列情形之一的，评审委员会应当启动异常低价投标（响应）审查程序： </w:t>
            </w:r>
            <w:r/>
          </w:p>
          <w:p>
            <w:pPr>
              <w:ind w:firstLine="480"/>
              <w:rPr>
                <w:rFonts w:hint="eastAsia"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p>
          <w:p>
            <w:pPr>
              <w:ind w:firstLine="480"/>
              <w:rPr>
                <w:rFonts w:hint="eastAsia"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p>
          <w:p>
            <w:pPr>
              <w:ind w:firstLine="480"/>
              <w:rPr>
                <w:rFonts w:hint="eastAsia" w:ascii="宋体" w:hAnsi="宋体" w:cs="宋体"/>
                <w:color w:val="000000"/>
                <w:sz w:val="24"/>
              </w:rPr>
            </w:pPr>
            <w:r>
              <w:rPr>
                <w:rFonts w:hint="eastAsia" w:ascii="宋体" w:hAnsi="宋体" w:cs="宋体"/>
                <w:color w:val="000000"/>
                <w:sz w:val="24"/>
              </w:rPr>
              <w:t xml:space="preserve">采购人可以结合具体项目实际情况，提高上述第1项至第3项中启动异常低价投标（响应）审查的数值标准，但是最高不得超过65%。 相关法律法规对供应商报价有规定的，从其规定。</w:t>
            </w:r>
            <w:r/>
          </w:p>
          <w:p>
            <w:pPr>
              <w:ind w:firstLine="480"/>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860"/>
              <w:spacing w:before="0" w:line="240" w:lineRule="auto"/>
              <w:rPr>
                <w:rFonts w:hint="eastAsia"/>
                <w:color w:val="000000"/>
              </w:rPr>
            </w:pPr>
            <w:r>
              <w:rPr>
                <w:rFonts w:hint="eastAsia" w:cs="宋体"/>
                <w:color w:val="000000"/>
              </w:rPr>
              <w:t xml:space="preserve">异常低价投标（响应）审查的启动原因、审查意见和审查结果将在评审报告中记录，并随供应商提供的相关书面说明及证明材料，以及评审委员会有关互联网浏览、</w:t>
            </w:r>
            <w:r>
              <w:rPr>
                <w:rFonts w:hint="eastAsia" w:cs="宋体"/>
                <w:color w:val="000000"/>
              </w:rPr>
              <w:t xml:space="preserve">查询历史一并归档。</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进口产品</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本项目不接受进口产品投标</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w:t>
            </w:r>
            <w:r>
              <w:rPr>
                <w:rFonts w:hint="eastAsia" w:ascii="宋体" w:hAnsi="宋体"/>
                <w:bCs/>
                <w:color w:val="000000"/>
                <w:sz w:val="24"/>
              </w:rPr>
              <w:t xml:space="preserve">如有下列情形的，</w:t>
            </w:r>
            <w:r>
              <w:rPr>
                <w:rFonts w:ascii="宋体" w:hAnsi="宋体"/>
                <w:bCs/>
                <w:color w:val="000000"/>
                <w:sz w:val="24"/>
              </w:rPr>
              <w:t xml:space="preserve">投标人的投标产品</w:t>
            </w:r>
            <w:r>
              <w:rPr>
                <w:rFonts w:hint="eastAsia" w:ascii="宋体" w:hAnsi="宋体"/>
                <w:bCs/>
                <w:color w:val="000000"/>
                <w:sz w:val="24"/>
              </w:rPr>
              <w:t xml:space="preserve">应</w:t>
            </w:r>
            <w:r>
              <w:rPr>
                <w:rFonts w:ascii="宋体" w:hAnsi="宋体"/>
                <w:bCs/>
                <w:color w:val="000000"/>
                <w:sz w:val="24"/>
              </w:rPr>
              <w:t xml:space="preserve">符合相应规定或要求</w:t>
            </w:r>
            <w:r>
              <w:rPr>
                <w:rFonts w:hint="eastAsia" w:ascii="宋体" w:hAnsi="宋体"/>
                <w:bCs/>
                <w:color w:val="000000"/>
                <w:sz w:val="24"/>
              </w:rPr>
              <w:t xml:space="preserve">，并提供证明文件电子件</w:t>
            </w:r>
            <w:r>
              <w:rPr>
                <w:rFonts w:hint="eastAsia" w:ascii="宋体" w:hAnsi="宋体" w:cs="宋体"/>
                <w:bCs/>
                <w:color w:val="000000"/>
                <w:sz w:val="24"/>
              </w:rPr>
              <w:t xml:space="preserve">加盖投标人公章：</w:t>
            </w:r>
            <w:r/>
          </w:p>
          <w:p>
            <w:pPr>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p>
          <w:p>
            <w:pPr>
              <w:widowControl/>
              <w:rPr>
                <w:rFonts w:hint="eastAsia" w:ascii="宋体" w:hAnsi="宋体" w:cs="宋体"/>
                <w:color w:val="000000"/>
                <w:sz w:val="24"/>
              </w:rPr>
            </w:pPr>
            <w:r>
              <w:rPr>
                <w:rFonts w:hint="eastAsia" w:ascii="宋体" w:hAnsi="宋体" w:cs="宋体"/>
                <w:color w:val="000000"/>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b/>
                <w:bCs/>
                <w:color w:val="000000"/>
                <w:sz w:val="24"/>
              </w:rPr>
              <w:t xml:space="preserve">（由评委审查，无需投标人提供材料）</w:t>
            </w:r>
            <w:r/>
          </w:p>
        </w:tc>
      </w:tr>
      <w:tr>
        <w:trPr>
          <w:jc w:val="center"/>
          <w:trHeight w:val="283"/>
        </w:trPr>
        <w:tc>
          <w:tcPr>
            <w:tcW w:w="40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97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622"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b/>
                <w:bCs/>
                <w:color w:val="000000"/>
                <w:sz w:val="24"/>
              </w:rPr>
              <w:t xml:space="preserve">（由评委审查，无需投标人提供材料）</w:t>
            </w:r>
            <w:r/>
          </w:p>
        </w:tc>
      </w:tr>
    </w:tbl>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2投标文件有关事项的澄清或者说明</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2.1评标过程中，评标委员会以书面形式要求投标人对其投标文件中含义不明确、同类问题表述不一致或者有明显文字和计算错误的内容，作出必要的</w:t>
      </w:r>
      <w:r>
        <w:rPr>
          <w:rFonts w:hint="eastAsia" w:ascii="宋体" w:hAnsi="宋体" w:cs="宋体"/>
          <w:bCs/>
          <w:color w:val="000000"/>
          <w:sz w:val="24"/>
        </w:rPr>
        <w:t xml:space="preserve">澄清、说明或者补正。投标人澄清、说明或者补正不得超出投标文件的范围或者改变投标文件的实质性内容，并由投标人法定代表人或授权代表签署。澄清文件将作为投标文件内容的一部分。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2.4投标文件报价出现前后不一致的，按照下列规定修正：</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2.4.1招标文件对于报价修正是否另有规定：</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□有，具体规定为：______________</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■无，按下述2.4.2-2.4.7项规定修正。</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2.4.2单独递交的开标一览表（报价表）与投标文件中开标一览表（报价表）内容不一致的，以单独递交的开标一览表（报价表）为准；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2.4.3投标文件中开标一览表（报价表）内容与投标文件中相应内容不一致的，以开标一览表（报价表）为准；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2.4.4大写金额和小写金额不一致的，以大写金额为准；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2.4.5单价金额小数点或者百分比有明显错位的，以开标一览表的总价为准，并修改单价；</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2.4.6总价金额与按单价汇总金额不一致的，以单价金额计算结果为准。</w:t>
      </w:r>
      <w:r/>
    </w:p>
    <w:p>
      <w:pPr>
        <w:ind w:firstLine="482"/>
        <w:spacing w:line="400" w:lineRule="exact"/>
        <w:tabs>
          <w:tab w:val="left" w:pos="900" w:leader="none"/>
          <w:tab w:val="left" w:pos="1080" w:leader="none"/>
          <w:tab w:val="left" w:pos="1589" w:leader="none"/>
        </w:tabs>
        <w:rPr>
          <w:rFonts w:hint="eastAsia" w:ascii="宋体" w:hAnsi="宋体" w:cs="宋体"/>
          <w:b/>
          <w:color w:val="000000"/>
          <w:sz w:val="24"/>
          <w:u w:val="single"/>
        </w:rPr>
      </w:pPr>
      <w:r>
        <w:rPr>
          <w:rFonts w:hint="eastAsia" w:ascii="宋体" w:hAnsi="宋体" w:cs="宋体"/>
          <w:b/>
          <w:color w:val="000000"/>
          <w:sz w:val="24"/>
          <w:u w:val="single"/>
        </w:rPr>
        <w:t xml:space="preserve">2.4.7同时出现两种以上不一致的，按照前款规定的顺序修正。修正后的报价经投标人书面确认后产生约束力，投标人不确认的，其投标无效。</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2.5落实政府采购政策的价格调整：只有符合第二章《投标人须知》5.2条规定情形的，可以享受中小企业扶持政策，用扣除后的价格参加评审；否则，评标时价格不予扣除。</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2.5.1对于未预留份额专门面向中小企业采购的采购项目，以及预留份额项目中的非预留部分采购包，对小微企业报价给予20%的扣除，用扣除后的价格参加评审。</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cs="宋体"/>
          <w:bCs/>
          <w:color w:val="000000"/>
          <w:sz w:val="24"/>
        </w:rPr>
        <w:t xml:space="preserve">包意向协议约定小微企业的合同份额占到合同总金额 30%以上的联合体或者大中型企业的报价给予3%的扣除，用扣除后的价格参加评审。</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2.5.3组成联合体或者接受分包的小微企业与联合体内其他企业、分包企业之间存在直接控股、管理关系的，不享受价格扣除优惠政策。</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2.5.4价格扣除比例对小型企业和微型企业同等对待，不作区分。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2.5.5中小企业参加政府采购活动，应当按照招标文件给定的格式出具《中小企业声明函》，否则不得享受相关中小企业扶持政策。</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2.5.6监狱企业提供了由省级以上监狱管理局（常州市含教育矫治局）、戒毒管理局（含新疆生产建设兵团）出具的属于监狱企业的证明文件的，视同小微企业。</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2.5.7残疾人福利性单位按招标文件要求提供了《残疾人福利性单位声明函》（见附件）的，视同小微企业。</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2.5.8若投标人同时属于小型或微型企业、监狱企业、残疾人福利性单位中的两种及以上，将不重复享受小微企业价格扣减的优惠政策。</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2.6采购本国产品的支持政策</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2.6.1本项目政府采购活动中既有本国产品又有非本国产品参与竞争的，依法对本国产品给予价格评审优惠，对本国产品的报价给予20%的价格扣除，用扣除后的价格参与评审。</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2.6.3 供应商需按照招标文件的要求提供《关于符合本国产品标准的声明函》（以下简称《声明函》），如不提供将不享受本国产品价格评审优惠。</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2.6.5评标过程中，如发现供应商在《声明函》内容含义不明确、同类事项与投标（响应）文件表述不一致或者有明显文字错误等情况的，评标委员会应当以书面形式要求供应商作出必要的澄清、说明或者补正。经澄清、说明或</w:t>
      </w:r>
      <w:r>
        <w:rPr>
          <w:rFonts w:hint="eastAsia" w:ascii="宋体" w:hAnsi="宋体" w:cs="宋体"/>
          <w:bCs/>
          <w:color w:val="000000"/>
          <w:sz w:val="24"/>
        </w:rPr>
        <w:t xml:space="preserve">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3投标文件的比较和评价</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3.2评标方法和评标标准</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3.2.1本项目采用的评标方法为：</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□最低评标价法，指投标文件满足招标文件全部实质性要求，且投标报价最低的投标人为中标候选人的评标方法。</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□随机抽取</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□其他方式，具体要求：__/___</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3.2.3非政府强制采购的节能产品或环境标志产品，依据品目清单和认证证书实施政府优先采购。优先采购的具体规定（如涉及）__/___。</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3.2.4关于无线局域网认证产品政府采购清单中的产品，优先采购的具体规定（如涉及）__/__。</w:t>
      </w:r>
      <w:r/>
    </w:p>
    <w:p>
      <w:pPr>
        <w:ind w:firstLine="482"/>
        <w:spacing w:line="400" w:lineRule="exact"/>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4确定中标候选人名单</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□随机抽取</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■其他方式，具体要求：</w:t>
      </w:r>
      <w:r>
        <w:rPr>
          <w:rFonts w:hint="eastAsia" w:ascii="宋体" w:hAnsi="宋体" w:cs="宋体"/>
          <w:bCs/>
          <w:color w:val="000000"/>
          <w:sz w:val="24"/>
          <w:u w:val="single"/>
        </w:rPr>
        <w:t xml:space="preserve">按投标报价由低到高顺序，投标报价最低的投标人为排名第一的中标候选人。 </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4.2采用综合评分法时，评标结果按评审后得分由高到低顺序排列。得分</w:t>
      </w:r>
      <w:r>
        <w:rPr>
          <w:rFonts w:hint="eastAsia" w:ascii="宋体" w:hAnsi="宋体" w:cs="宋体"/>
          <w:bCs/>
          <w:color w:val="000000"/>
          <w:sz w:val="24"/>
        </w:rPr>
        <w:t xml:space="preserve">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4.4评标委员会要对评分汇总情况进行复核，特别是对排名第一的、报价最低的、投标或投标文件被认定为无效的情形进行重点复核。</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4.5评标委员会将根据各投标人的评标排序，依次推荐本项目（各采购包）的中标候选人，起草并签署评标报告。本项目（各采购包）评标委员会共（各）推荐不少于1名中标候选人。</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5报告违法行为</w:t>
      </w:r>
      <w:r/>
    </w:p>
    <w:p>
      <w:pPr>
        <w:ind w:firstLine="480"/>
        <w:spacing w:line="400" w:lineRule="exact"/>
        <w:tabs>
          <w:tab w:val="left" w:pos="900" w:leader="none"/>
          <w:tab w:val="left" w:pos="1080" w:leader="none"/>
          <w:tab w:val="left" w:pos="1589" w:leader="none"/>
        </w:tabs>
        <w:rPr>
          <w:rFonts w:hint="eastAsia" w:ascii="宋体" w:hAnsi="宋体" w:cs="宋体"/>
          <w:bCs/>
          <w:color w:val="000000"/>
          <w:sz w:val="24"/>
        </w:rPr>
      </w:pPr>
      <w:r>
        <w:rPr>
          <w:rFonts w:hint="eastAsia" w:ascii="宋体" w:hAnsi="宋体" w:cs="宋体"/>
          <w:bCs/>
          <w:color w:val="000000"/>
          <w:sz w:val="24"/>
        </w:rPr>
        <w:t xml:space="preserve">5.1评标委员会在评标过程中发现投标人有行贿、提供虚假材料或者串通等违法行为时，有向采购人、采购代理机构或者有关部门报告的职责。</w:t>
      </w:r>
      <w:bookmarkEnd w:id="339"/>
      <w:r/>
      <w:bookmarkEnd w:id="340"/>
      <w:r/>
      <w:r/>
    </w:p>
    <w:p>
      <w:pPr>
        <w:jc w:val="left"/>
        <w:widowControl/>
        <w:rPr>
          <w:b/>
          <w:color w:val="000000"/>
          <w:sz w:val="24"/>
        </w:rPr>
      </w:pPr>
      <w:r>
        <w:rPr>
          <w:b/>
          <w:color w:val="000000"/>
          <w:sz w:val="24"/>
        </w:rPr>
      </w:r>
      <w:r/>
    </w:p>
    <w:p>
      <w:pPr>
        <w:numPr>
          <w:ilvl w:val="0"/>
          <w:numId w:val="11"/>
        </w:numPr>
        <w:jc w:val="center"/>
        <w:spacing w:line="360" w:lineRule="auto"/>
        <w:tabs>
          <w:tab w:val="left" w:pos="360" w:leader="none"/>
          <w:tab w:val="left" w:pos="900" w:leader="none"/>
        </w:tabs>
        <w:rPr>
          <w:b/>
          <w:color w:val="000000"/>
          <w:sz w:val="24"/>
        </w:rPr>
        <w:outlineLvl w:val="1"/>
      </w:pPr>
      <w:r>
        <w:rPr>
          <w:b/>
          <w:color w:val="000000"/>
          <w:sz w:val="24"/>
        </w:rPr>
        <w:br w:type="page" w:clear="all"/>
      </w:r>
      <w:r>
        <w:rPr>
          <w:b/>
          <w:color w:val="000000"/>
          <w:sz w:val="24"/>
        </w:rPr>
        <w:t xml:space="preserve">评标标准</w:t>
      </w:r>
      <w:r/>
    </w:p>
    <w:tbl>
      <w:tblPr>
        <w:tblW w:w="5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3"/>
        <w:gridCol w:w="938"/>
        <w:gridCol w:w="610"/>
        <w:gridCol w:w="5061"/>
        <w:gridCol w:w="2037"/>
      </w:tblGrid>
      <w:tr>
        <w:trPr>
          <w:jc w:val="center"/>
        </w:trPr>
        <w:tc>
          <w:tcPr>
            <w:tcW w:w="391" w:type="pct"/>
            <w:vAlign w:val="center"/>
            <w:textDirection w:val="lrTb"/>
            <w:noWrap w:val="false"/>
          </w:tcPr>
          <w:p>
            <w:pPr>
              <w:ind w:firstLine="28"/>
              <w:jc w:val="center"/>
              <w:rPr>
                <w:rFonts w:hint="eastAsia" w:ascii="宋体" w:hAnsi="宋体"/>
                <w:b/>
                <w:color w:val="000000"/>
                <w:szCs w:val="21"/>
              </w:rPr>
            </w:pPr>
            <w:r>
              <w:rPr>
                <w:rFonts w:ascii="宋体" w:hAnsi="宋体"/>
                <w:b/>
                <w:color w:val="000000"/>
                <w:szCs w:val="21"/>
              </w:rPr>
              <w:t xml:space="preserve">序号</w:t>
            </w:r>
            <w:r/>
          </w:p>
        </w:tc>
        <w:tc>
          <w:tcPr>
            <w:tcW w:w="500" w:type="pct"/>
            <w:vAlign w:val="center"/>
            <w:textDirection w:val="lrTb"/>
            <w:noWrap w:val="false"/>
          </w:tcPr>
          <w:p>
            <w:pPr>
              <w:ind w:firstLine="28"/>
              <w:jc w:val="center"/>
              <w:rPr>
                <w:rFonts w:hint="eastAsia" w:ascii="宋体" w:hAnsi="宋体"/>
                <w:b/>
                <w:color w:val="000000"/>
                <w:szCs w:val="21"/>
              </w:rPr>
            </w:pPr>
            <w:r>
              <w:rPr>
                <w:rFonts w:ascii="宋体" w:hAnsi="宋体"/>
                <w:b/>
                <w:color w:val="000000"/>
                <w:szCs w:val="21"/>
              </w:rPr>
              <w:t xml:space="preserve">评分因素</w:t>
            </w:r>
            <w:r/>
          </w:p>
        </w:tc>
        <w:tc>
          <w:tcPr>
            <w:tcW w:w="325" w:type="pct"/>
            <w:vAlign w:val="center"/>
            <w:textDirection w:val="lrTb"/>
            <w:noWrap w:val="false"/>
          </w:tcPr>
          <w:p>
            <w:pPr>
              <w:ind w:firstLine="28"/>
              <w:jc w:val="center"/>
              <w:rPr>
                <w:rFonts w:hint="eastAsia" w:ascii="宋体" w:hAnsi="宋体"/>
                <w:b/>
                <w:color w:val="000000"/>
                <w:szCs w:val="21"/>
              </w:rPr>
            </w:pPr>
            <w:r>
              <w:rPr>
                <w:rFonts w:ascii="宋体" w:hAnsi="宋体"/>
                <w:b/>
                <w:color w:val="000000"/>
                <w:szCs w:val="21"/>
              </w:rPr>
              <w:t xml:space="preserve">分值</w:t>
            </w:r>
            <w:r/>
          </w:p>
        </w:tc>
        <w:tc>
          <w:tcPr>
            <w:tcW w:w="2698" w:type="pct"/>
            <w:vAlign w:val="center"/>
            <w:textDirection w:val="lrTb"/>
            <w:noWrap w:val="false"/>
          </w:tcPr>
          <w:p>
            <w:pPr>
              <w:ind w:firstLine="28"/>
              <w:jc w:val="center"/>
              <w:rPr>
                <w:rFonts w:hint="eastAsia" w:ascii="宋体" w:hAnsi="宋体"/>
                <w:b/>
                <w:color w:val="000000"/>
                <w:szCs w:val="21"/>
              </w:rPr>
            </w:pPr>
            <w:r>
              <w:rPr>
                <w:rFonts w:ascii="宋体" w:hAnsi="宋体"/>
                <w:b/>
                <w:color w:val="000000"/>
                <w:szCs w:val="21"/>
              </w:rPr>
              <w:t xml:space="preserve">评分标准</w:t>
            </w:r>
            <w:r/>
          </w:p>
        </w:tc>
        <w:tc>
          <w:tcPr>
            <w:tcW w:w="1086" w:type="pct"/>
            <w:vAlign w:val="center"/>
            <w:textDirection w:val="lrTb"/>
            <w:noWrap w:val="false"/>
          </w:tcPr>
          <w:p>
            <w:pPr>
              <w:ind w:firstLine="28"/>
              <w:jc w:val="center"/>
              <w:rPr>
                <w:rFonts w:hint="eastAsia" w:ascii="宋体" w:hAnsi="宋体"/>
                <w:b/>
                <w:color w:val="000000"/>
                <w:szCs w:val="21"/>
              </w:rPr>
            </w:pPr>
            <w:r>
              <w:rPr>
                <w:rFonts w:ascii="宋体" w:hAnsi="宋体"/>
                <w:b/>
                <w:color w:val="000000"/>
                <w:szCs w:val="21"/>
              </w:rPr>
              <w:t xml:space="preserve">说明</w:t>
            </w:r>
            <w:r/>
          </w:p>
        </w:tc>
      </w:tr>
      <w:tr>
        <w:trPr>
          <w:jc w:val="center"/>
          <w:trHeight w:val="631"/>
        </w:trPr>
        <w:tc>
          <w:tcPr>
            <w:tcW w:w="391" w:type="pct"/>
            <w:vAlign w:val="center"/>
            <w:textDirection w:val="lrTb"/>
            <w:noWrap w:val="false"/>
          </w:tcPr>
          <w:p>
            <w:pPr>
              <w:ind w:firstLine="28"/>
              <w:jc w:val="center"/>
              <w:rPr>
                <w:rFonts w:hint="eastAsia" w:ascii="宋体" w:hAnsi="宋体"/>
                <w:b/>
                <w:color w:val="000000"/>
                <w:szCs w:val="21"/>
              </w:rPr>
            </w:pPr>
            <w:r>
              <w:rPr>
                <w:rFonts w:ascii="宋体" w:hAnsi="宋体"/>
                <w:b/>
                <w:color w:val="000000"/>
                <w:szCs w:val="21"/>
              </w:rPr>
              <w:t xml:space="preserve">1</w:t>
            </w:r>
            <w:r/>
          </w:p>
        </w:tc>
        <w:tc>
          <w:tcPr>
            <w:tcW w:w="500"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价格分</w:t>
            </w:r>
            <w:r/>
          </w:p>
        </w:tc>
        <w:tc>
          <w:tcPr>
            <w:tcW w:w="325"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p>
        </w:tc>
        <w:tc>
          <w:tcPr>
            <w:tcW w:w="2698" w:type="pct"/>
            <w:vAlign w:val="center"/>
            <w:textDirection w:val="lrTb"/>
            <w:noWrap w:val="false"/>
          </w:tcPr>
          <w:p>
            <w:pPr>
              <w:ind w:firstLine="420"/>
              <w:rPr>
                <w:rFonts w:hint="eastAsia" w:ascii="宋体" w:hAnsi="宋体" w:cs="宋体"/>
                <w:color w:val="000000"/>
                <w:szCs w:val="21"/>
              </w:rPr>
            </w:pPr>
            <w:r>
              <w:rPr>
                <w:rFonts w:ascii="宋体" w:hAnsi="宋体" w:cs="宋体"/>
                <w:color w:val="000000"/>
                <w:szCs w:val="21"/>
              </w:rPr>
              <w:t xml:space="preserve">采用低价优先法，即满足招标文件要求且投标价格最低的投标报价作为评标基准价，其价格分为满分。其他投标人的价格分统一按照下列公式计算：</w:t>
            </w:r>
            <w:r/>
          </w:p>
          <w:p>
            <w:pPr>
              <w:ind w:firstLine="420"/>
              <w:rPr>
                <w:rFonts w:hint="eastAsia" w:ascii="宋体" w:hAnsi="宋体" w:cs="宋体"/>
                <w:color w:val="000000"/>
                <w:szCs w:val="21"/>
              </w:rPr>
            </w:pPr>
            <w:r>
              <w:rPr>
                <w:rFonts w:ascii="宋体" w:hAnsi="宋体" w:cs="宋体"/>
                <w:color w:val="000000"/>
                <w:szCs w:val="21"/>
              </w:rPr>
              <w:t xml:space="preserve">投标报价得分=(评标基准价/投标报价)×</w:t>
            </w:r>
            <w:r>
              <w:rPr>
                <w:rFonts w:ascii="宋体" w:hAnsi="宋体" w:cs="宋体"/>
                <w:color w:val="000000"/>
                <w:szCs w:val="21"/>
              </w:rPr>
              <w:t xml:space="preserve">分值。</w:t>
            </w:r>
            <w:r/>
          </w:p>
        </w:tc>
        <w:tc>
          <w:tcPr>
            <w:tcW w:w="1086"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此处最终报价指经过报价修正，及因落实政府采购政策进行价格调整后的最终报价，详见第三章《评标方法和评标标准》3。</w:t>
            </w:r>
            <w:r/>
          </w:p>
        </w:tc>
      </w:tr>
      <w:tr>
        <w:trPr>
          <w:jc w:val="center"/>
        </w:trPr>
        <w:tc>
          <w:tcPr>
            <w:tcW w:w="391" w:type="pct"/>
            <w:vAlign w:val="center"/>
            <w:textDirection w:val="lrTb"/>
            <w:noWrap w:val="false"/>
          </w:tcPr>
          <w:p>
            <w:pPr>
              <w:ind w:firstLine="28"/>
              <w:jc w:val="center"/>
              <w:rPr>
                <w:rFonts w:hint="eastAsia" w:ascii="宋体" w:hAnsi="宋体"/>
                <w:b/>
                <w:bCs/>
                <w:color w:val="000000"/>
                <w:szCs w:val="21"/>
              </w:rPr>
            </w:pPr>
            <w:r>
              <w:rPr>
                <w:rFonts w:ascii="宋体" w:hAnsi="宋体"/>
                <w:b/>
                <w:bCs/>
                <w:color w:val="000000"/>
                <w:szCs w:val="21"/>
              </w:rPr>
              <w:t xml:space="preserve">2</w:t>
            </w:r>
            <w:r/>
          </w:p>
        </w:tc>
        <w:tc>
          <w:tcPr>
            <w:tcW w:w="500" w:type="pct"/>
            <w:vAlign w:val="center"/>
            <w:textDirection w:val="lrTb"/>
            <w:noWrap w:val="false"/>
          </w:tcPr>
          <w:p>
            <w:pPr>
              <w:ind w:firstLine="28"/>
              <w:jc w:val="center"/>
              <w:rPr>
                <w:rFonts w:hint="eastAsia" w:ascii="宋体" w:hAnsi="宋体"/>
                <w:b/>
                <w:bCs/>
                <w:color w:val="000000"/>
                <w:szCs w:val="21"/>
              </w:rPr>
            </w:pPr>
            <w:r>
              <w:rPr>
                <w:rFonts w:ascii="宋体" w:hAnsi="宋体"/>
                <w:b/>
                <w:bCs/>
                <w:color w:val="000000"/>
                <w:szCs w:val="21"/>
              </w:rPr>
              <w:t xml:space="preserve">主观分</w:t>
            </w:r>
            <w:r/>
          </w:p>
        </w:tc>
        <w:tc>
          <w:tcPr>
            <w:tcW w:w="325" w:type="pct"/>
            <w:vAlign w:val="center"/>
            <w:textDirection w:val="lrTb"/>
            <w:noWrap w:val="false"/>
          </w:tcPr>
          <w:p>
            <w:pPr>
              <w:ind w:firstLine="28"/>
              <w:jc w:val="center"/>
              <w:rPr>
                <w:rFonts w:hint="eastAsia" w:ascii="宋体" w:hAnsi="宋体"/>
                <w:b/>
                <w:bCs/>
                <w:color w:val="000000"/>
                <w:szCs w:val="21"/>
              </w:rPr>
            </w:pPr>
            <w:r>
              <w:rPr>
                <w:rFonts w:hint="eastAsia" w:ascii="宋体" w:hAnsi="宋体"/>
                <w:b/>
                <w:bCs/>
                <w:color w:val="000000"/>
                <w:szCs w:val="21"/>
              </w:rPr>
              <w:t xml:space="preserve">42</w:t>
            </w:r>
            <w:r/>
          </w:p>
        </w:tc>
        <w:tc>
          <w:tcPr>
            <w:tcW w:w="2698" w:type="pct"/>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086" w:type="pct"/>
            <w:textDirection w:val="lrTb"/>
            <w:noWrap w:val="false"/>
          </w:tcPr>
          <w:p>
            <w:pPr>
              <w:rPr>
                <w:rFonts w:hint="eastAsia" w:ascii="宋体" w:hAnsi="宋体"/>
                <w:color w:val="000000"/>
                <w:szCs w:val="21"/>
              </w:rPr>
            </w:pPr>
            <w:r>
              <w:rPr>
                <w:rFonts w:hint="eastAsia" w:ascii="宋体" w:hAnsi="宋体"/>
                <w:color w:val="000000"/>
                <w:szCs w:val="21"/>
              </w:rPr>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2.1</w:t>
            </w:r>
            <w:r/>
          </w:p>
        </w:tc>
        <w:tc>
          <w:tcPr>
            <w:tcW w:w="500" w:type="pct"/>
            <w:vAlign w:val="center"/>
            <w:textDirection w:val="lrTb"/>
            <w:noWrap w:val="false"/>
          </w:tcPr>
          <w:p>
            <w:pPr>
              <w:ind w:firstLine="28"/>
              <w:jc w:val="center"/>
              <w:rPr>
                <w:rFonts w:hint="eastAsia" w:ascii="宋体" w:hAnsi="宋体"/>
                <w:color w:val="000000"/>
                <w:szCs w:val="21"/>
              </w:rPr>
            </w:pPr>
            <w:r>
              <w:rPr>
                <w:rFonts w:hint="eastAsia" w:ascii="宋体" w:hAnsi="宋体" w:cs="宋体"/>
                <w:szCs w:val="21"/>
              </w:rPr>
              <w:t xml:space="preserve">实施方案</w:t>
            </w:r>
            <w:r/>
          </w:p>
        </w:tc>
        <w:tc>
          <w:tcPr>
            <w:tcW w:w="325"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spacing w:line="340" w:lineRule="exact"/>
              <w:widowControl/>
              <w:rPr>
                <w:rFonts w:hint="eastAsia" w:ascii="宋体" w:hAnsi="宋体" w:cs="宋体"/>
                <w:szCs w:val="21"/>
              </w:rPr>
            </w:pPr>
            <w:r>
              <w:rPr>
                <w:rFonts w:hint="eastAsia" w:ascii="宋体" w:hAnsi="宋体" w:cs="宋体"/>
                <w:szCs w:val="21"/>
              </w:rPr>
              <w:t xml:space="preserve">针对本项目特点制定的实施方案，包括但不限于货物的运输、装卸、成品保护、交付及安装等，方案针对性、先进性强，科学、合理。完全满足以上要求，体现完整的得6分；能够较好满足以上要求，体现较完整的得</w:t>
            </w:r>
            <w:r>
              <w:rPr>
                <w:rFonts w:hint="eastAsia" w:ascii="宋体" w:hAnsi="宋体" w:cs="宋体"/>
                <w:szCs w:val="21"/>
              </w:rPr>
              <w:t xml:space="preserve">4</w:t>
            </w:r>
            <w:r>
              <w:rPr>
                <w:rFonts w:hint="eastAsia" w:ascii="宋体" w:hAnsi="宋体" w:cs="宋体"/>
                <w:szCs w:val="21"/>
              </w:rPr>
              <w:t xml:space="preserve">分；对以上要求体现一般的得</w:t>
            </w:r>
            <w:r>
              <w:rPr>
                <w:rFonts w:hint="eastAsia" w:ascii="宋体" w:hAnsi="宋体" w:cs="宋体"/>
                <w:szCs w:val="21"/>
              </w:rPr>
              <w:t xml:space="preserve">2</w:t>
            </w:r>
            <w:r>
              <w:rPr>
                <w:rFonts w:hint="eastAsia" w:ascii="宋体" w:hAnsi="宋体" w:cs="宋体"/>
                <w:szCs w:val="21"/>
              </w:rPr>
              <w:t xml:space="preserve">分；不提供不得分。</w:t>
            </w:r>
            <w:r/>
          </w:p>
        </w:tc>
        <w:tc>
          <w:tcPr>
            <w:tcW w:w="1086" w:type="pct"/>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2.2</w:t>
            </w:r>
            <w:r/>
          </w:p>
        </w:tc>
        <w:tc>
          <w:tcPr>
            <w:tcW w:w="500" w:type="pct"/>
            <w:vAlign w:val="center"/>
            <w:textDirection w:val="lrTb"/>
            <w:noWrap w:val="false"/>
          </w:tcPr>
          <w:p>
            <w:pPr>
              <w:jc w:val="center"/>
              <w:rPr>
                <w:rFonts w:hint="eastAsia" w:ascii="宋体" w:hAnsi="宋体"/>
                <w:color w:val="000000"/>
                <w:szCs w:val="21"/>
              </w:rPr>
            </w:pPr>
            <w:r>
              <w:rPr>
                <w:rFonts w:hint="eastAsia" w:ascii="宋体" w:hAnsi="宋体" w:cs="宋体"/>
                <w:szCs w:val="21"/>
              </w:rPr>
              <w:t xml:space="preserve">质量保证</w:t>
            </w:r>
            <w:r/>
          </w:p>
        </w:tc>
        <w:tc>
          <w:tcPr>
            <w:tcW w:w="325"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针对本项目特点制定的质量保障措施，包括但不限于供货安装调试方案，时间进度安排，实施质量方案及保证措施，方案考虑全面、科学合理、针对性强。完全满足以上要求，体现完整的得6分；能够较好满足以上要求，体现较完整的得</w:t>
            </w:r>
            <w:r>
              <w:rPr>
                <w:rFonts w:hint="eastAsia" w:ascii="宋体" w:hAnsi="宋体" w:cs="宋体"/>
                <w:szCs w:val="21"/>
              </w:rPr>
              <w:t xml:space="preserve">4</w:t>
            </w:r>
            <w:r>
              <w:rPr>
                <w:rFonts w:hint="eastAsia" w:ascii="宋体" w:hAnsi="宋体" w:cs="宋体"/>
                <w:szCs w:val="21"/>
              </w:rPr>
              <w:t xml:space="preserve">分；对以上要求体现一般的得</w:t>
            </w:r>
            <w:r>
              <w:rPr>
                <w:rFonts w:hint="eastAsia" w:ascii="宋体" w:hAnsi="宋体" w:cs="宋体"/>
                <w:szCs w:val="21"/>
              </w:rPr>
              <w:t xml:space="preserve">2</w:t>
            </w:r>
            <w:r>
              <w:rPr>
                <w:rFonts w:hint="eastAsia" w:ascii="宋体" w:hAnsi="宋体" w:cs="宋体"/>
                <w:szCs w:val="21"/>
              </w:rPr>
              <w:t xml:space="preserve">分；不提供不得分。</w:t>
            </w:r>
            <w:r/>
          </w:p>
        </w:tc>
        <w:tc>
          <w:tcPr>
            <w:tcW w:w="1086" w:type="pct"/>
            <w:textDirection w:val="lrTb"/>
            <w:noWrap w:val="false"/>
          </w:tcPr>
          <w:p>
            <w:pPr>
              <w:jc w:val="left"/>
              <w:tabs>
                <w:tab w:val="left" w:pos="5940" w:leader="none"/>
              </w:tabs>
              <w:rPr>
                <w:rFonts w:hint="eastAsia" w:ascii="宋体" w:hAnsi="宋体"/>
                <w:color w:val="000000"/>
                <w:szCs w:val="21"/>
              </w:rPr>
            </w:pPr>
            <w:r>
              <w:rPr>
                <w:rFonts w:hint="eastAsia" w:ascii="宋体" w:hAnsi="宋体"/>
                <w:color w:val="000000"/>
                <w:szCs w:val="21"/>
              </w:rPr>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2.3</w:t>
            </w:r>
            <w:r/>
          </w:p>
        </w:tc>
        <w:tc>
          <w:tcPr>
            <w:tcW w:w="500" w:type="pct"/>
            <w:vAlign w:val="center"/>
            <w:textDirection w:val="lrTb"/>
            <w:noWrap w:val="false"/>
          </w:tcPr>
          <w:p>
            <w:pPr>
              <w:jc w:val="center"/>
              <w:rPr>
                <w:rFonts w:hint="eastAsia" w:ascii="宋体" w:hAnsi="宋体" w:cs="宋体"/>
                <w:bCs/>
                <w:color w:val="000000"/>
                <w:szCs w:val="21"/>
              </w:rPr>
            </w:pPr>
            <w:r>
              <w:rPr>
                <w:rFonts w:hint="eastAsia" w:ascii="宋体" w:hAnsi="宋体" w:cs="宋体"/>
                <w:szCs w:val="21"/>
              </w:rPr>
              <w:t xml:space="preserve">进度安排及保证措施</w:t>
            </w:r>
            <w:r/>
          </w:p>
        </w:tc>
        <w:tc>
          <w:tcPr>
            <w:tcW w:w="325"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针对本项目特点制定的项目进度计划安排、关键节点的控制措施、各阶段进度的保证措施等，进度安排详尽，项目实施进度、时间点、关键节点等把控准确、合理、科学。完全满足以上要求，体现完整的得6分；能够较好满足以上要求，体现较完整的得</w:t>
            </w:r>
            <w:r>
              <w:rPr>
                <w:rFonts w:hint="eastAsia" w:ascii="宋体" w:hAnsi="宋体" w:cs="宋体"/>
                <w:szCs w:val="21"/>
              </w:rPr>
              <w:t xml:space="preserve">4</w:t>
            </w:r>
            <w:r>
              <w:rPr>
                <w:rFonts w:hint="eastAsia" w:ascii="宋体" w:hAnsi="宋体" w:cs="宋体"/>
                <w:szCs w:val="21"/>
              </w:rPr>
              <w:t xml:space="preserve">分；对以上要求体现一般的得</w:t>
            </w:r>
            <w:r>
              <w:rPr>
                <w:rFonts w:hint="eastAsia" w:ascii="宋体" w:hAnsi="宋体" w:cs="宋体"/>
                <w:szCs w:val="21"/>
              </w:rPr>
              <w:t xml:space="preserve">2</w:t>
            </w:r>
            <w:r>
              <w:rPr>
                <w:rFonts w:hint="eastAsia" w:ascii="宋体" w:hAnsi="宋体" w:cs="宋体"/>
                <w:szCs w:val="21"/>
              </w:rPr>
              <w:t xml:space="preserve">分；不提供不得分。</w:t>
            </w:r>
            <w:r/>
          </w:p>
        </w:tc>
        <w:tc>
          <w:tcPr>
            <w:tcW w:w="1086" w:type="pct"/>
            <w:textDirection w:val="lrTb"/>
            <w:noWrap w:val="false"/>
          </w:tcPr>
          <w:p>
            <w:pPr>
              <w:jc w:val="left"/>
              <w:tabs>
                <w:tab w:val="left" w:pos="5940" w:leader="none"/>
              </w:tabs>
              <w:rPr>
                <w:rFonts w:hint="eastAsia" w:ascii="宋体" w:hAnsi="宋体"/>
                <w:color w:val="000000"/>
                <w:szCs w:val="21"/>
              </w:rPr>
            </w:pPr>
            <w:r>
              <w:rPr>
                <w:rFonts w:hint="eastAsia" w:ascii="宋体" w:hAnsi="宋体"/>
                <w:color w:val="000000"/>
                <w:szCs w:val="21"/>
              </w:rPr>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2.4</w:t>
            </w:r>
            <w:r/>
          </w:p>
        </w:tc>
        <w:tc>
          <w:tcPr>
            <w:tcW w:w="500" w:type="pct"/>
            <w:vAlign w:val="center"/>
            <w:textDirection w:val="lrTb"/>
            <w:noWrap w:val="false"/>
          </w:tcPr>
          <w:p>
            <w:pPr>
              <w:jc w:val="center"/>
              <w:rPr>
                <w:rFonts w:hint="eastAsia" w:ascii="宋体" w:hAnsi="宋体"/>
                <w:color w:val="000000"/>
                <w:szCs w:val="21"/>
              </w:rPr>
            </w:pPr>
            <w:r>
              <w:rPr>
                <w:rFonts w:hint="eastAsia" w:ascii="宋体" w:hAnsi="宋体" w:cs="宋体"/>
                <w:szCs w:val="21"/>
              </w:rPr>
              <w:t xml:space="preserve">安全文明保证措施</w:t>
            </w:r>
            <w:r/>
          </w:p>
        </w:tc>
        <w:tc>
          <w:tcPr>
            <w:tcW w:w="325"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针对本项目特点制定的安全、文明及环境保护措施包括但不限于安全文明实施目标和控制措施、安全生产管理制度、安全实施方案、应急预案及对现场环境保护措施。措施合理、科学、可行性高。完全满足以上要求，体现完整的得6分；能够较好满足以上要求，体现较完整的得</w:t>
            </w:r>
            <w:r>
              <w:rPr>
                <w:rFonts w:hint="eastAsia" w:ascii="宋体" w:hAnsi="宋体" w:cs="宋体"/>
                <w:szCs w:val="21"/>
              </w:rPr>
              <w:t xml:space="preserve">4</w:t>
            </w:r>
            <w:r>
              <w:rPr>
                <w:rFonts w:hint="eastAsia" w:ascii="宋体" w:hAnsi="宋体" w:cs="宋体"/>
                <w:szCs w:val="21"/>
              </w:rPr>
              <w:t xml:space="preserve">分；对以上要求体现一般的得</w:t>
            </w:r>
            <w:r>
              <w:rPr>
                <w:rFonts w:hint="eastAsia" w:ascii="宋体" w:hAnsi="宋体" w:cs="宋体"/>
                <w:szCs w:val="21"/>
              </w:rPr>
              <w:t xml:space="preserve">2</w:t>
            </w:r>
            <w:r>
              <w:rPr>
                <w:rFonts w:hint="eastAsia" w:ascii="宋体" w:hAnsi="宋体" w:cs="宋体"/>
                <w:szCs w:val="21"/>
              </w:rPr>
              <w:t xml:space="preserve">分；不提供不得分。</w:t>
            </w:r>
            <w:r/>
          </w:p>
        </w:tc>
        <w:tc>
          <w:tcPr>
            <w:tcW w:w="1086" w:type="pct"/>
            <w:textDirection w:val="lrTb"/>
            <w:noWrap w:val="false"/>
          </w:tcPr>
          <w:p>
            <w:pPr>
              <w:jc w:val="left"/>
              <w:tabs>
                <w:tab w:val="left" w:pos="5940" w:leader="none"/>
              </w:tabs>
              <w:rPr>
                <w:rFonts w:hint="eastAsia" w:ascii="宋体" w:hAnsi="宋体"/>
                <w:color w:val="000000"/>
                <w:szCs w:val="21"/>
              </w:rPr>
            </w:pPr>
            <w:r>
              <w:rPr>
                <w:rFonts w:hint="eastAsia" w:ascii="宋体" w:hAnsi="宋体"/>
                <w:color w:val="000000"/>
                <w:szCs w:val="21"/>
              </w:rPr>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2.5</w:t>
            </w:r>
            <w:r/>
          </w:p>
        </w:tc>
        <w:tc>
          <w:tcPr>
            <w:tcW w:w="500" w:type="pct"/>
            <w:vAlign w:val="center"/>
            <w:textDirection w:val="lrTb"/>
            <w:noWrap w:val="false"/>
          </w:tcPr>
          <w:p>
            <w:pPr>
              <w:jc w:val="center"/>
              <w:rPr>
                <w:rFonts w:hint="eastAsia" w:ascii="宋体" w:hAnsi="宋体"/>
                <w:color w:val="000000"/>
                <w:szCs w:val="21"/>
              </w:rPr>
            </w:pPr>
            <w:r>
              <w:rPr>
                <w:rFonts w:hint="eastAsia" w:ascii="宋体" w:hAnsi="宋体" w:cs="宋体"/>
                <w:szCs w:val="21"/>
              </w:rPr>
              <w:t xml:space="preserve">应急方案</w:t>
            </w:r>
            <w:r/>
          </w:p>
        </w:tc>
        <w:tc>
          <w:tcPr>
            <w:tcW w:w="325"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针对本项目特点制定的应急方案，对可能发生的各种特殊情况编制应急方案，方案科学合理，可行性高。完全满足以上要求，体现完整的得6分；能够较好满足以上要求，体现较完整的得</w:t>
            </w:r>
            <w:r>
              <w:rPr>
                <w:rFonts w:hint="eastAsia" w:ascii="宋体" w:hAnsi="宋体" w:cs="宋体"/>
                <w:szCs w:val="21"/>
              </w:rPr>
              <w:t xml:space="preserve">4</w:t>
            </w:r>
            <w:r>
              <w:rPr>
                <w:rFonts w:hint="eastAsia" w:ascii="宋体" w:hAnsi="宋体" w:cs="宋体"/>
                <w:szCs w:val="21"/>
              </w:rPr>
              <w:t xml:space="preserve">分；对以上要求体现</w:t>
            </w:r>
            <w:r>
              <w:rPr>
                <w:rFonts w:hint="eastAsia" w:ascii="宋体" w:hAnsi="宋体" w:cs="宋体"/>
                <w:szCs w:val="21"/>
              </w:rPr>
              <w:t xml:space="preserve">一般的得</w:t>
            </w:r>
            <w:r>
              <w:rPr>
                <w:rFonts w:hint="eastAsia" w:ascii="宋体" w:hAnsi="宋体" w:cs="宋体"/>
                <w:szCs w:val="21"/>
              </w:rPr>
              <w:t xml:space="preserve">2</w:t>
            </w:r>
            <w:r>
              <w:rPr>
                <w:rFonts w:hint="eastAsia" w:ascii="宋体" w:hAnsi="宋体" w:cs="宋体"/>
                <w:szCs w:val="21"/>
              </w:rPr>
              <w:t xml:space="preserve">分；不提供不得分。</w:t>
            </w:r>
            <w:r/>
          </w:p>
        </w:tc>
        <w:tc>
          <w:tcPr>
            <w:tcW w:w="1086" w:type="pct"/>
            <w:textDirection w:val="lrTb"/>
            <w:noWrap w:val="false"/>
          </w:tcPr>
          <w:p>
            <w:pPr>
              <w:jc w:val="left"/>
              <w:tabs>
                <w:tab w:val="left" w:pos="5940" w:leader="none"/>
              </w:tabs>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391" w:type="pct"/>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2.6</w:t>
            </w:r>
            <w:r/>
          </w:p>
        </w:tc>
        <w:tc>
          <w:tcPr>
            <w:tcW w:w="500" w:type="pct"/>
            <w:vAlign w:val="center"/>
            <w:textDirection w:val="lrTb"/>
            <w:noWrap w:val="false"/>
          </w:tcPr>
          <w:p>
            <w:pPr>
              <w:jc w:val="center"/>
              <w:rPr>
                <w:rFonts w:hint="eastAsia" w:ascii="宋体" w:hAnsi="宋体"/>
                <w:color w:val="000000"/>
                <w:szCs w:val="21"/>
              </w:rPr>
            </w:pPr>
            <w:r>
              <w:rPr>
                <w:rFonts w:hint="eastAsia" w:ascii="宋体" w:hAnsi="宋体" w:cs="宋体"/>
                <w:szCs w:val="21"/>
              </w:rPr>
              <w:t xml:space="preserve">重难点分析及应对措施</w:t>
            </w:r>
            <w:r/>
          </w:p>
        </w:tc>
        <w:tc>
          <w:tcPr>
            <w:tcW w:w="325"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针对本项目特点制定的项目实施过程中重点、难点分析和解决方案等，方案科学合理，可行性高。完全满足以上要求，体现完整的得6分；能够较好满足以上要求，体现较完整的得</w:t>
            </w:r>
            <w:r>
              <w:rPr>
                <w:rFonts w:hint="eastAsia" w:ascii="宋体" w:hAnsi="宋体" w:cs="宋体"/>
                <w:szCs w:val="21"/>
              </w:rPr>
              <w:t xml:space="preserve">4</w:t>
            </w:r>
            <w:r>
              <w:rPr>
                <w:rFonts w:hint="eastAsia" w:ascii="宋体" w:hAnsi="宋体" w:cs="宋体"/>
                <w:szCs w:val="21"/>
              </w:rPr>
              <w:t xml:space="preserve">分；对以上要求体现一般的得</w:t>
            </w:r>
            <w:r>
              <w:rPr>
                <w:rFonts w:hint="eastAsia" w:ascii="宋体" w:hAnsi="宋体" w:cs="宋体"/>
                <w:szCs w:val="21"/>
              </w:rPr>
              <w:t xml:space="preserve">2</w:t>
            </w:r>
            <w:r>
              <w:rPr>
                <w:rFonts w:hint="eastAsia" w:ascii="宋体" w:hAnsi="宋体" w:cs="宋体"/>
                <w:szCs w:val="21"/>
              </w:rPr>
              <w:t xml:space="preserve">分；不提供不得分。</w:t>
            </w:r>
            <w:r/>
          </w:p>
        </w:tc>
        <w:tc>
          <w:tcPr>
            <w:tcW w:w="1086" w:type="pct"/>
            <w:textDirection w:val="lrTb"/>
            <w:noWrap w:val="false"/>
          </w:tcPr>
          <w:p>
            <w:pPr>
              <w:jc w:val="left"/>
              <w:tabs>
                <w:tab w:val="left" w:pos="5940" w:leader="none"/>
              </w:tabs>
              <w:rPr>
                <w:rFonts w:hint="eastAsia" w:ascii="宋体" w:hAnsi="宋体" w:cs="宋体"/>
                <w:bCs/>
                <w:color w:val="000000"/>
                <w:szCs w:val="21"/>
              </w:rPr>
            </w:pPr>
            <w:r>
              <w:rPr>
                <w:rFonts w:hint="eastAsia" w:ascii="宋体" w:hAnsi="宋体" w:cs="宋体"/>
                <w:bCs/>
                <w:color w:val="000000"/>
                <w:szCs w:val="21"/>
              </w:rPr>
            </w:r>
            <w:r/>
          </w:p>
        </w:tc>
      </w:tr>
      <w:tr>
        <w:trPr>
          <w:jc w:val="center"/>
          <w:trHeight w:val="1149"/>
        </w:trPr>
        <w:tc>
          <w:tcPr>
            <w:tcW w:w="391" w:type="pct"/>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2.7</w:t>
            </w:r>
            <w:r/>
          </w:p>
        </w:tc>
        <w:tc>
          <w:tcPr>
            <w:tcW w:w="500" w:type="pct"/>
            <w:vAlign w:val="center"/>
            <w:textDirection w:val="lrTb"/>
            <w:noWrap w:val="false"/>
          </w:tcPr>
          <w:p>
            <w:pPr>
              <w:jc w:val="center"/>
              <w:rPr>
                <w:rFonts w:hint="eastAsia" w:ascii="宋体" w:hAnsi="宋体"/>
                <w:color w:val="000000"/>
                <w:szCs w:val="21"/>
              </w:rPr>
            </w:pPr>
            <w:r>
              <w:rPr>
                <w:rFonts w:hint="eastAsia" w:ascii="宋体" w:hAnsi="宋体" w:cs="宋体"/>
                <w:szCs w:val="21"/>
              </w:rPr>
              <w:t xml:space="preserve">售后服务</w:t>
            </w:r>
            <w:r/>
          </w:p>
        </w:tc>
        <w:tc>
          <w:tcPr>
            <w:tcW w:w="325"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针对本项目特点制定的售后服务方案，包括但不限于服务体系、服务内容、故障解决方案、响应时间、专业技术人员保障及服务电话等，方案完善、全面、可行性强。</w:t>
            </w:r>
            <w:r>
              <w:rPr>
                <w:rFonts w:hint="eastAsia" w:ascii="宋体" w:hAnsi="宋体"/>
                <w:szCs w:val="21"/>
              </w:rPr>
              <w:t xml:space="preserve">完全满足以上要求，体现完整的得6分；能够较好满足以上要求，体现较完整的得</w:t>
            </w:r>
            <w:r>
              <w:rPr>
                <w:rFonts w:hint="eastAsia" w:ascii="宋体" w:hAnsi="宋体"/>
                <w:szCs w:val="21"/>
              </w:rPr>
              <w:t xml:space="preserve">4</w:t>
            </w:r>
            <w:r>
              <w:rPr>
                <w:rFonts w:hint="eastAsia" w:ascii="宋体" w:hAnsi="宋体"/>
                <w:szCs w:val="21"/>
              </w:rPr>
              <w:t xml:space="preserve">分；对以上要求体现一般的得</w:t>
            </w:r>
            <w:r>
              <w:rPr>
                <w:rFonts w:hint="eastAsia" w:ascii="宋体" w:hAnsi="宋体"/>
                <w:szCs w:val="21"/>
              </w:rPr>
              <w:t xml:space="preserve">2</w:t>
            </w:r>
            <w:r>
              <w:rPr>
                <w:rFonts w:hint="eastAsia" w:ascii="宋体" w:hAnsi="宋体"/>
                <w:szCs w:val="21"/>
              </w:rPr>
              <w:t xml:space="preserve">分；</w:t>
            </w:r>
            <w:r>
              <w:rPr>
                <w:rFonts w:hint="eastAsia" w:ascii="宋体" w:hAnsi="宋体" w:cs="宋体"/>
                <w:szCs w:val="21"/>
              </w:rPr>
              <w:t xml:space="preserve">不提供不得分。</w:t>
            </w:r>
            <w:r/>
          </w:p>
        </w:tc>
        <w:tc>
          <w:tcPr>
            <w:tcW w:w="1086" w:type="pct"/>
            <w:textDirection w:val="lrTb"/>
            <w:noWrap w:val="false"/>
          </w:tcPr>
          <w:p>
            <w:pPr>
              <w:jc w:val="left"/>
              <w:tabs>
                <w:tab w:val="left" w:pos="5940" w:leader="none"/>
              </w:tabs>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391" w:type="pct"/>
            <w:vAlign w:val="center"/>
            <w:textDirection w:val="lrTb"/>
            <w:noWrap w:val="false"/>
          </w:tcPr>
          <w:p>
            <w:pPr>
              <w:ind w:firstLine="28"/>
              <w:jc w:val="center"/>
              <w:rPr>
                <w:rFonts w:hint="eastAsia" w:ascii="宋体" w:hAnsi="宋体"/>
                <w:b/>
                <w:bCs/>
                <w:color w:val="000000"/>
                <w:szCs w:val="21"/>
              </w:rPr>
            </w:pPr>
            <w:r>
              <w:rPr>
                <w:rFonts w:ascii="宋体" w:hAnsi="宋体"/>
                <w:b/>
                <w:bCs/>
                <w:color w:val="000000"/>
                <w:szCs w:val="21"/>
              </w:rPr>
              <w:t xml:space="preserve">3</w:t>
            </w:r>
            <w:r/>
          </w:p>
        </w:tc>
        <w:tc>
          <w:tcPr>
            <w:tcW w:w="500" w:type="pct"/>
            <w:vAlign w:val="center"/>
            <w:textDirection w:val="lrTb"/>
            <w:noWrap w:val="false"/>
          </w:tcPr>
          <w:p>
            <w:pPr>
              <w:ind w:firstLine="28"/>
              <w:jc w:val="center"/>
              <w:rPr>
                <w:rFonts w:hint="eastAsia" w:ascii="宋体" w:hAnsi="宋体"/>
                <w:b/>
                <w:bCs/>
                <w:color w:val="000000"/>
                <w:szCs w:val="21"/>
              </w:rPr>
            </w:pPr>
            <w:r>
              <w:rPr>
                <w:rFonts w:ascii="宋体" w:hAnsi="宋体"/>
                <w:b/>
                <w:bCs/>
                <w:color w:val="000000"/>
                <w:szCs w:val="21"/>
              </w:rPr>
              <w:t xml:space="preserve">客观分</w:t>
            </w:r>
            <w:r/>
          </w:p>
        </w:tc>
        <w:tc>
          <w:tcPr>
            <w:tcW w:w="325" w:type="pct"/>
            <w:vAlign w:val="center"/>
            <w:textDirection w:val="lrTb"/>
            <w:noWrap w:val="false"/>
          </w:tcPr>
          <w:p>
            <w:pPr>
              <w:ind w:firstLine="28"/>
              <w:jc w:val="center"/>
              <w:rPr>
                <w:rFonts w:hint="eastAsia" w:ascii="宋体" w:hAnsi="宋体"/>
                <w:b/>
                <w:bCs/>
                <w:color w:val="000000"/>
                <w:szCs w:val="21"/>
              </w:rPr>
            </w:pPr>
            <w:r>
              <w:rPr>
                <w:rFonts w:hint="eastAsia" w:ascii="宋体" w:hAnsi="宋体"/>
                <w:b/>
                <w:bCs/>
                <w:color w:val="000000"/>
                <w:szCs w:val="21"/>
              </w:rPr>
              <w:t xml:space="preserve">28</w:t>
            </w:r>
            <w:r/>
          </w:p>
        </w:tc>
        <w:tc>
          <w:tcPr>
            <w:tcW w:w="2698" w:type="pct"/>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086" w:type="pct"/>
            <w:textDirection w:val="lrTb"/>
            <w:noWrap w:val="false"/>
          </w:tcPr>
          <w:p>
            <w:pPr>
              <w:rPr>
                <w:rFonts w:hint="eastAsia" w:ascii="宋体" w:hAnsi="宋体"/>
                <w:color w:val="000000"/>
                <w:szCs w:val="21"/>
              </w:rPr>
            </w:pPr>
            <w:r>
              <w:rPr>
                <w:rFonts w:hint="eastAsia" w:ascii="宋体" w:hAnsi="宋体"/>
                <w:color w:val="000000"/>
                <w:szCs w:val="21"/>
              </w:rPr>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3.1</w:t>
            </w:r>
            <w:r/>
          </w:p>
        </w:tc>
        <w:tc>
          <w:tcPr>
            <w:tcW w:w="500" w:type="pct"/>
            <w:vAlign w:val="center"/>
            <w:textDirection w:val="lrTb"/>
            <w:noWrap w:val="false"/>
          </w:tcPr>
          <w:p>
            <w:pPr>
              <w:ind w:firstLine="28"/>
              <w:jc w:val="center"/>
              <w:rPr>
                <w:rFonts w:hint="eastAsia" w:ascii="宋体" w:hAnsi="宋体"/>
                <w:color w:val="000000"/>
                <w:szCs w:val="21"/>
              </w:rPr>
            </w:pPr>
            <w:r>
              <w:rPr>
                <w:rFonts w:hint="eastAsia" w:ascii="宋体" w:hAnsi="宋体" w:cs="宋体"/>
                <w:szCs w:val="21"/>
              </w:rPr>
              <w:t xml:space="preserve">类似业绩</w:t>
            </w:r>
            <w:r/>
          </w:p>
        </w:tc>
        <w:tc>
          <w:tcPr>
            <w:tcW w:w="325"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4</w:t>
            </w:r>
            <w:r/>
          </w:p>
        </w:tc>
        <w:tc>
          <w:tcPr>
            <w:tcW w:w="2698" w:type="pct"/>
            <w:vAlign w:val="center"/>
            <w:textDirection w:val="lrTb"/>
            <w:noWrap w:val="false"/>
          </w:tcPr>
          <w:p>
            <w:pPr>
              <w:rPr>
                <w:rFonts w:hint="eastAsia" w:ascii="宋体" w:hAnsi="宋体" w:cs="宋体"/>
                <w:bCs/>
                <w:color w:val="000000"/>
                <w:szCs w:val="21"/>
              </w:rPr>
            </w:pPr>
            <w:r>
              <w:rPr>
                <w:rFonts w:ascii="宋体" w:hAnsi="宋体" w:cs="宋体"/>
                <w:bCs/>
                <w:color w:val="000000"/>
                <w:szCs w:val="21"/>
              </w:rPr>
              <w:t xml:space="preserve">投标人</w:t>
            </w:r>
            <w:r>
              <w:rPr>
                <w:rFonts w:ascii="宋体" w:hAnsi="宋体" w:cs="宋体"/>
                <w:bCs/>
                <w:color w:val="000000"/>
                <w:szCs w:val="21"/>
              </w:rPr>
              <w:t xml:space="preserve">自202</w:t>
            </w:r>
            <w:r>
              <w:rPr>
                <w:rFonts w:hint="eastAsia" w:ascii="宋体" w:hAnsi="宋体" w:cs="宋体"/>
                <w:bCs/>
                <w:color w:val="000000"/>
                <w:szCs w:val="21"/>
              </w:rPr>
              <w:t xml:space="preserve">3</w:t>
            </w:r>
            <w:r>
              <w:rPr>
                <w:rFonts w:ascii="宋体" w:hAnsi="宋体" w:cs="宋体"/>
                <w:bCs/>
                <w:color w:val="000000"/>
                <w:szCs w:val="21"/>
              </w:rPr>
              <w:t xml:space="preserve">年7月以来承担过相关类似项目业绩，合同以签订时间为准，每有一个业绩合同得2分，同一采购单位项目不重复得分，本项最高得4分。</w:t>
            </w:r>
            <w:r/>
          </w:p>
        </w:tc>
        <w:tc>
          <w:tcPr>
            <w:tcW w:w="1086" w:type="pct"/>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投标</w:t>
            </w:r>
            <w:r>
              <w:rPr>
                <w:rFonts w:ascii="宋体" w:hAnsi="宋体" w:cs="宋体"/>
                <w:bCs/>
                <w:color w:val="000000"/>
                <w:szCs w:val="21"/>
              </w:rPr>
              <w:t xml:space="preserve">文件中提供完整清晰合同</w:t>
            </w:r>
            <w:r>
              <w:rPr>
                <w:rFonts w:hint="eastAsia" w:ascii="宋体" w:hAnsi="宋体" w:cs="宋体"/>
                <w:bCs/>
                <w:color w:val="000000"/>
                <w:szCs w:val="21"/>
              </w:rPr>
              <w:t xml:space="preserve">并加盖投标人</w:t>
            </w:r>
            <w:r>
              <w:rPr>
                <w:rFonts w:hint="eastAsia" w:ascii="宋体" w:hAnsi="宋体" w:cs="宋体"/>
                <w:bCs/>
                <w:color w:val="000000"/>
                <w:szCs w:val="21"/>
              </w:rPr>
              <w:t xml:space="preserve">电子</w:t>
            </w:r>
            <w:r>
              <w:rPr>
                <w:rFonts w:hint="eastAsia" w:ascii="宋体" w:hAnsi="宋体" w:cs="宋体"/>
                <w:bCs/>
                <w:color w:val="000000"/>
                <w:szCs w:val="21"/>
              </w:rPr>
              <w:t xml:space="preserve">公章</w:t>
            </w:r>
            <w:r>
              <w:rPr>
                <w:rFonts w:ascii="宋体" w:hAnsi="宋体" w:cs="宋体"/>
                <w:bCs/>
                <w:color w:val="000000"/>
                <w:szCs w:val="21"/>
              </w:rPr>
              <w:t xml:space="preserve">，否则不得分。</w:t>
            </w:r>
            <w:r/>
          </w:p>
        </w:tc>
      </w:tr>
      <w:tr>
        <w:trPr>
          <w:jc w:val="center"/>
        </w:trPr>
        <w:tc>
          <w:tcPr>
            <w:tcW w:w="3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3.2</w:t>
            </w:r>
            <w:r/>
          </w:p>
        </w:tc>
        <w:tc>
          <w:tcPr>
            <w:tcW w:w="500" w:type="pct"/>
            <w:vAlign w:val="center"/>
            <w:textDirection w:val="lrTb"/>
            <w:noWrap w:val="false"/>
          </w:tcPr>
          <w:p>
            <w:pPr>
              <w:ind w:firstLine="28"/>
              <w:jc w:val="center"/>
              <w:rPr>
                <w:rFonts w:hint="eastAsia" w:ascii="宋体" w:hAnsi="宋体"/>
                <w:color w:val="000000"/>
                <w:szCs w:val="21"/>
              </w:rPr>
            </w:pPr>
            <w:r>
              <w:rPr>
                <w:rFonts w:hint="eastAsia" w:ascii="宋体" w:hAnsi="宋体" w:cs="宋体"/>
                <w:szCs w:val="21"/>
              </w:rPr>
              <w:t xml:space="preserve">产品性能</w:t>
            </w:r>
            <w:r/>
          </w:p>
        </w:tc>
        <w:tc>
          <w:tcPr>
            <w:tcW w:w="325"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8</w:t>
            </w:r>
            <w:r/>
          </w:p>
        </w:tc>
        <w:tc>
          <w:tcPr>
            <w:tcW w:w="2698" w:type="pct"/>
            <w:vAlign w:val="center"/>
            <w:textDirection w:val="lrTb"/>
            <w:noWrap w:val="false"/>
          </w:tcPr>
          <w:p>
            <w:pPr>
              <w:rPr>
                <w:rFonts w:hint="eastAsia" w:ascii="宋体" w:hAnsi="宋体" w:cs="宋体"/>
                <w:bCs/>
                <w:color w:val="000000"/>
                <w:szCs w:val="21"/>
              </w:rPr>
            </w:pPr>
            <w:r>
              <w:rPr>
                <w:rFonts w:ascii="宋体" w:hAnsi="宋体" w:cs="宋体"/>
                <w:bCs/>
                <w:color w:val="000000"/>
                <w:szCs w:val="21"/>
              </w:rPr>
              <w:t xml:space="preserve">投标人</w:t>
            </w:r>
            <w:r>
              <w:rPr>
                <w:rFonts w:ascii="宋体" w:hAnsi="宋体" w:cs="宋体"/>
                <w:bCs/>
                <w:color w:val="000000"/>
                <w:szCs w:val="21"/>
              </w:rPr>
              <w:t xml:space="preserve">提供主材（实施内容中涉及到的材料均可）检测报告的，每提供1种材料检测报告得2分，本项最高得8分。</w:t>
            </w:r>
            <w:r/>
          </w:p>
        </w:tc>
        <w:tc>
          <w:tcPr>
            <w:tcW w:w="1086" w:type="pct"/>
            <w:vAlign w:val="center"/>
            <w:textDirection w:val="lrTb"/>
            <w:noWrap w:val="false"/>
          </w:tcPr>
          <w:p>
            <w:pPr>
              <w:rPr>
                <w:rFonts w:hint="eastAsia" w:ascii="宋体" w:hAnsi="宋体" w:cs="宋体"/>
                <w:bCs/>
                <w:color w:val="000000"/>
                <w:szCs w:val="21"/>
              </w:rPr>
            </w:pPr>
            <w:r>
              <w:rPr>
                <w:rFonts w:ascii="宋体" w:hAnsi="宋体" w:cs="宋体"/>
                <w:bCs/>
                <w:color w:val="000000"/>
                <w:szCs w:val="21"/>
              </w:rPr>
              <w:t xml:space="preserve">投标文件</w:t>
            </w:r>
            <w:r>
              <w:rPr>
                <w:rFonts w:ascii="宋体" w:hAnsi="宋体" w:cs="宋体"/>
                <w:bCs/>
                <w:color w:val="000000"/>
                <w:szCs w:val="21"/>
              </w:rPr>
              <w:t xml:space="preserve">中提供2023年</w:t>
            </w:r>
            <w:r>
              <w:rPr>
                <w:rFonts w:hint="eastAsia" w:ascii="宋体" w:hAnsi="宋体" w:cs="宋体"/>
                <w:bCs/>
                <w:color w:val="000000"/>
                <w:szCs w:val="21"/>
              </w:rPr>
              <w:t xml:space="preserve">7</w:t>
            </w:r>
            <w:r>
              <w:rPr>
                <w:rFonts w:ascii="宋体" w:hAnsi="宋体" w:cs="宋体"/>
                <w:bCs/>
                <w:color w:val="000000"/>
                <w:szCs w:val="21"/>
              </w:rPr>
              <w:t xml:space="preserve">月以来有效检测报告复印件加盖</w:t>
            </w:r>
            <w:r>
              <w:rPr>
                <w:rFonts w:ascii="宋体" w:hAnsi="宋体" w:cs="宋体"/>
                <w:bCs/>
                <w:color w:val="000000"/>
                <w:szCs w:val="21"/>
              </w:rPr>
              <w:t xml:space="preserve">投标人</w:t>
            </w:r>
            <w:r>
              <w:rPr>
                <w:rFonts w:hint="eastAsia" w:ascii="宋体" w:hAnsi="宋体" w:cs="宋体"/>
                <w:bCs/>
                <w:color w:val="000000"/>
                <w:szCs w:val="21"/>
              </w:rPr>
              <w:t xml:space="preserve">电子</w:t>
            </w:r>
            <w:r>
              <w:rPr>
                <w:rFonts w:ascii="宋体" w:hAnsi="宋体" w:cs="宋体"/>
                <w:bCs/>
                <w:color w:val="000000"/>
                <w:szCs w:val="21"/>
              </w:rPr>
              <w:t xml:space="preserve">公章，国家认证机构出具否则不得分。</w:t>
            </w:r>
            <w:r/>
          </w:p>
        </w:tc>
      </w:tr>
      <w:tr>
        <w:trPr>
          <w:jc w:val="center"/>
          <w:trHeight w:val="1210"/>
        </w:trPr>
        <w:tc>
          <w:tcPr>
            <w:tcW w:w="391"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3.3</w:t>
            </w:r>
            <w:r/>
          </w:p>
        </w:tc>
        <w:tc>
          <w:tcPr>
            <w:tcW w:w="500" w:type="pct"/>
            <w:vAlign w:val="center"/>
            <w:textDirection w:val="lrTb"/>
            <w:noWrap w:val="false"/>
          </w:tcPr>
          <w:p>
            <w:pPr>
              <w:ind w:firstLine="28"/>
              <w:jc w:val="center"/>
              <w:rPr>
                <w:rFonts w:hint="eastAsia" w:ascii="宋体" w:hAnsi="宋体"/>
                <w:color w:val="000000"/>
                <w:szCs w:val="21"/>
              </w:rPr>
            </w:pPr>
            <w:r>
              <w:rPr>
                <w:rFonts w:hint="eastAsia" w:ascii="宋体" w:hAnsi="宋体" w:cs="宋体"/>
                <w:szCs w:val="21"/>
              </w:rPr>
              <w:t xml:space="preserve">认证证书</w:t>
            </w:r>
            <w:r/>
          </w:p>
        </w:tc>
        <w:tc>
          <w:tcPr>
            <w:tcW w:w="325"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rPr>
                <w:rFonts w:hint="eastAsia" w:ascii="宋体" w:hAnsi="宋体" w:cs="宋体"/>
                <w:bCs/>
                <w:color w:val="000000"/>
                <w:szCs w:val="21"/>
              </w:rPr>
            </w:pPr>
            <w:r>
              <w:rPr>
                <w:rFonts w:ascii="宋体" w:hAnsi="宋体" w:cs="宋体"/>
                <w:bCs/>
                <w:color w:val="000000"/>
                <w:szCs w:val="21"/>
              </w:rPr>
              <w:t xml:space="preserve">投标人</w:t>
            </w:r>
            <w:r>
              <w:rPr>
                <w:rFonts w:ascii="宋体" w:hAnsi="宋体" w:cs="宋体"/>
                <w:bCs/>
                <w:color w:val="000000"/>
                <w:szCs w:val="21"/>
              </w:rPr>
              <w:t xml:space="preserve">具有有效期内的质量管理体系认证证书、环境管理体系认证证书、职业健康安全管理体系认证证书，每有1个得2分，本项最高得6分。</w:t>
            </w:r>
            <w:r/>
          </w:p>
        </w:tc>
        <w:tc>
          <w:tcPr>
            <w:tcW w:w="1086" w:type="pct"/>
            <w:vAlign w:val="center"/>
            <w:textDirection w:val="lrTb"/>
            <w:noWrap w:val="false"/>
          </w:tcPr>
          <w:p>
            <w:pPr>
              <w:rPr>
                <w:rFonts w:hint="eastAsia" w:ascii="宋体" w:hAnsi="宋体" w:cs="宋体"/>
                <w:bCs/>
                <w:color w:val="000000"/>
                <w:szCs w:val="21"/>
              </w:rPr>
            </w:pPr>
            <w:r>
              <w:rPr>
                <w:rFonts w:ascii="宋体" w:hAnsi="宋体" w:cs="宋体"/>
                <w:bCs/>
                <w:color w:val="000000"/>
                <w:szCs w:val="21"/>
              </w:rPr>
              <w:t xml:space="preserve">提供认证证书复印件（加盖</w:t>
            </w:r>
            <w:r>
              <w:rPr>
                <w:rFonts w:hint="eastAsia" w:ascii="宋体" w:hAnsi="宋体" w:cs="宋体"/>
                <w:bCs/>
                <w:color w:val="000000"/>
                <w:szCs w:val="21"/>
              </w:rPr>
              <w:t xml:space="preserve">投标人</w:t>
            </w:r>
            <w:r>
              <w:rPr>
                <w:rFonts w:hint="eastAsia" w:ascii="宋体" w:hAnsi="宋体" w:cs="宋体"/>
                <w:bCs/>
                <w:color w:val="000000"/>
                <w:szCs w:val="21"/>
              </w:rPr>
              <w:t xml:space="preserve">电子</w:t>
            </w:r>
            <w:r>
              <w:rPr>
                <w:rFonts w:ascii="宋体" w:hAnsi="宋体" w:cs="宋体"/>
                <w:bCs/>
                <w:color w:val="000000"/>
                <w:szCs w:val="21"/>
              </w:rPr>
              <w:t xml:space="preserve">公章），且在国家认证认可监督管理委员会官网查询状态为“有效”的截图（加盖</w:t>
            </w:r>
            <w:r>
              <w:rPr>
                <w:rFonts w:hint="eastAsia" w:ascii="宋体" w:hAnsi="宋体" w:cs="宋体"/>
                <w:bCs/>
                <w:color w:val="000000"/>
                <w:szCs w:val="21"/>
              </w:rPr>
              <w:t xml:space="preserve">投标人</w:t>
            </w:r>
            <w:r>
              <w:rPr>
                <w:rFonts w:hint="eastAsia" w:ascii="宋体" w:hAnsi="宋体" w:cs="宋体"/>
                <w:bCs/>
                <w:color w:val="000000"/>
                <w:szCs w:val="21"/>
              </w:rPr>
              <w:t xml:space="preserve">电子</w:t>
            </w:r>
            <w:r>
              <w:rPr>
                <w:rFonts w:ascii="宋体" w:hAnsi="宋体" w:cs="宋体"/>
                <w:bCs/>
                <w:color w:val="000000"/>
                <w:szCs w:val="21"/>
              </w:rPr>
              <w:t xml:space="preserve">公章）。否则不得分。</w:t>
            </w:r>
            <w:r/>
          </w:p>
        </w:tc>
      </w:tr>
      <w:tr>
        <w:trPr>
          <w:jc w:val="center"/>
          <w:trHeight w:val="1210"/>
        </w:trPr>
        <w:tc>
          <w:tcPr>
            <w:tcW w:w="391"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3.4</w:t>
            </w:r>
            <w:r/>
          </w:p>
        </w:tc>
        <w:tc>
          <w:tcPr>
            <w:tcW w:w="500" w:type="pct"/>
            <w:vAlign w:val="center"/>
            <w:textDirection w:val="lrTb"/>
            <w:noWrap w:val="false"/>
          </w:tcPr>
          <w:p>
            <w:pPr>
              <w:ind w:firstLine="28"/>
              <w:jc w:val="center"/>
              <w:rPr>
                <w:rFonts w:hint="eastAsia" w:ascii="宋体" w:hAnsi="宋体"/>
                <w:color w:val="000000"/>
                <w:szCs w:val="21"/>
              </w:rPr>
            </w:pPr>
            <w:r>
              <w:rPr>
                <w:rFonts w:hint="eastAsia" w:ascii="宋体" w:hAnsi="宋体" w:cs="宋体"/>
                <w:szCs w:val="21"/>
              </w:rPr>
              <w:t xml:space="preserve">安装组成员</w:t>
            </w:r>
            <w:r/>
          </w:p>
        </w:tc>
        <w:tc>
          <w:tcPr>
            <w:tcW w:w="325"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6</w:t>
            </w:r>
            <w:r/>
          </w:p>
        </w:tc>
        <w:tc>
          <w:tcPr>
            <w:tcW w:w="2698" w:type="pct"/>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拟投入本项目的成员：</w:t>
            </w:r>
            <w:r/>
          </w:p>
          <w:p>
            <w:pPr>
              <w:rPr>
                <w:rFonts w:hint="eastAsia" w:ascii="宋体" w:hAnsi="宋体" w:cs="宋体"/>
                <w:bCs/>
                <w:color w:val="000000"/>
                <w:szCs w:val="21"/>
              </w:rPr>
            </w:pPr>
            <w:r>
              <w:rPr>
                <w:rFonts w:hint="eastAsia" w:ascii="宋体" w:hAnsi="宋体" w:cs="宋体"/>
                <w:bCs/>
                <w:color w:val="000000"/>
                <w:szCs w:val="21"/>
              </w:rPr>
              <w:t xml:space="preserve">1）拟投入安装组人员中具备工程师职称的得2分，此项最高得2分；</w:t>
            </w:r>
            <w:r/>
          </w:p>
          <w:p>
            <w:pPr>
              <w:rPr>
                <w:rFonts w:hint="eastAsia" w:ascii="宋体" w:hAnsi="宋体" w:cs="宋体"/>
                <w:bCs/>
                <w:color w:val="000000"/>
                <w:szCs w:val="21"/>
              </w:rPr>
            </w:pPr>
            <w:r>
              <w:rPr>
                <w:rFonts w:hint="eastAsia" w:ascii="宋体" w:hAnsi="宋体" w:cs="宋体"/>
                <w:bCs/>
                <w:color w:val="000000"/>
                <w:szCs w:val="21"/>
              </w:rPr>
              <w:t xml:space="preserve">2）拟投入安装组人员中具备二级建造师（机电专业）得2分，此项最高得2分；</w:t>
            </w:r>
            <w:r/>
          </w:p>
          <w:p>
            <w:pPr>
              <w:rPr>
                <w:rFonts w:hint="eastAsia" w:ascii="宋体" w:hAnsi="宋体" w:cs="宋体"/>
                <w:bCs/>
                <w:color w:val="000000"/>
                <w:szCs w:val="21"/>
              </w:rPr>
            </w:pPr>
            <w:r>
              <w:rPr>
                <w:rFonts w:hint="eastAsia" w:ascii="宋体" w:hAnsi="宋体" w:cs="宋体"/>
                <w:bCs/>
                <w:color w:val="000000"/>
                <w:szCs w:val="21"/>
              </w:rPr>
              <w:t xml:space="preserve">3）拟投入安装组人员中具备安全员C证得1分，此项最高得2分；</w:t>
            </w:r>
            <w:r/>
          </w:p>
          <w:p>
            <w:pPr>
              <w:rPr>
                <w:rFonts w:hint="eastAsia" w:ascii="宋体" w:hAnsi="宋体" w:cs="宋体"/>
                <w:bCs/>
                <w:color w:val="000000"/>
                <w:szCs w:val="21"/>
              </w:rPr>
            </w:pPr>
            <w:r>
              <w:rPr>
                <w:rFonts w:hint="eastAsia" w:ascii="宋体" w:hAnsi="宋体" w:cs="宋体"/>
                <w:bCs/>
                <w:color w:val="000000"/>
                <w:szCs w:val="21"/>
              </w:rPr>
              <w:t xml:space="preserve">注：成员中同一人员多证的不可以重复计分。</w:t>
            </w:r>
            <w:r/>
          </w:p>
        </w:tc>
        <w:tc>
          <w:tcPr>
            <w:tcW w:w="1086" w:type="pct"/>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提供证书复印件及人员近3个月</w:t>
            </w:r>
            <w:r>
              <w:rPr>
                <w:rFonts w:hint="eastAsia" w:ascii="宋体" w:hAnsi="宋体" w:cs="宋体"/>
                <w:bCs/>
                <w:color w:val="000000"/>
                <w:szCs w:val="21"/>
              </w:rPr>
              <w:t xml:space="preserve">（2026年4月-2026年6月）</w:t>
            </w:r>
            <w:r>
              <w:rPr>
                <w:rFonts w:hint="eastAsia" w:ascii="宋体" w:hAnsi="宋体" w:cs="宋体"/>
                <w:bCs/>
                <w:color w:val="000000"/>
                <w:szCs w:val="21"/>
              </w:rPr>
              <w:t xml:space="preserve">社保缴纳证明</w:t>
            </w:r>
            <w:r>
              <w:rPr>
                <w:rFonts w:hint="eastAsia" w:ascii="宋体" w:hAnsi="宋体" w:cs="宋体"/>
                <w:bCs/>
                <w:color w:val="000000"/>
                <w:szCs w:val="21"/>
              </w:rPr>
              <w:t xml:space="preserve">并</w:t>
            </w:r>
            <w:r>
              <w:rPr>
                <w:rFonts w:hint="eastAsia" w:ascii="宋体" w:hAnsi="宋体" w:cs="宋体"/>
                <w:bCs/>
                <w:color w:val="000000"/>
                <w:szCs w:val="21"/>
              </w:rPr>
              <w:t xml:space="preserve">加盖</w:t>
            </w:r>
            <w:r>
              <w:rPr>
                <w:rFonts w:hint="eastAsia" w:ascii="宋体" w:hAnsi="宋体" w:cs="宋体"/>
                <w:bCs/>
                <w:color w:val="000000"/>
                <w:szCs w:val="21"/>
              </w:rPr>
              <w:t xml:space="preserve">投标人</w:t>
            </w:r>
            <w:r>
              <w:rPr>
                <w:rFonts w:hint="eastAsia" w:ascii="宋体" w:hAnsi="宋体" w:cs="宋体"/>
                <w:bCs/>
                <w:color w:val="000000"/>
                <w:szCs w:val="21"/>
              </w:rPr>
              <w:t xml:space="preserve">电子</w:t>
            </w:r>
            <w:r>
              <w:rPr>
                <w:rFonts w:hint="eastAsia" w:ascii="宋体" w:hAnsi="宋体" w:cs="宋体"/>
                <w:bCs/>
                <w:color w:val="000000"/>
                <w:szCs w:val="21"/>
              </w:rPr>
              <w:t xml:space="preserve">公章</w:t>
            </w:r>
            <w:r>
              <w:rPr>
                <w:rFonts w:hint="eastAsia" w:ascii="宋体" w:hAnsi="宋体" w:cs="宋体"/>
                <w:bCs/>
                <w:color w:val="000000"/>
                <w:szCs w:val="21"/>
              </w:rPr>
              <w:t xml:space="preserve">；未提供不得分。</w:t>
            </w:r>
            <w:r/>
          </w:p>
        </w:tc>
      </w:tr>
      <w:tr>
        <w:trPr>
          <w:jc w:val="center"/>
          <w:trHeight w:val="1210"/>
        </w:trPr>
        <w:tc>
          <w:tcPr>
            <w:tcW w:w="391"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3.5</w:t>
            </w:r>
            <w:r/>
          </w:p>
        </w:tc>
        <w:tc>
          <w:tcPr>
            <w:tcW w:w="500" w:type="pct"/>
            <w:vAlign w:val="center"/>
            <w:textDirection w:val="lrTb"/>
            <w:noWrap w:val="false"/>
          </w:tcPr>
          <w:p>
            <w:pPr>
              <w:ind w:firstLine="28"/>
              <w:jc w:val="center"/>
              <w:rPr>
                <w:rFonts w:hint="eastAsia" w:ascii="宋体" w:hAnsi="宋体"/>
                <w:color w:val="000000"/>
                <w:szCs w:val="21"/>
              </w:rPr>
            </w:pPr>
            <w:r>
              <w:rPr>
                <w:rFonts w:hint="eastAsia" w:ascii="宋体" w:hAnsi="宋体" w:cs="宋体"/>
                <w:szCs w:val="21"/>
              </w:rPr>
              <w:t xml:space="preserve">单位实力</w:t>
            </w:r>
            <w:r/>
          </w:p>
        </w:tc>
        <w:tc>
          <w:tcPr>
            <w:tcW w:w="325" w:type="pct"/>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4</w:t>
            </w:r>
            <w:r/>
          </w:p>
        </w:tc>
        <w:tc>
          <w:tcPr>
            <w:tcW w:w="2698" w:type="pct"/>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1）具备电力工程施工总承包</w:t>
            </w:r>
            <w:r>
              <w:rPr>
                <w:rFonts w:hint="eastAsia" w:ascii="宋体" w:hAnsi="宋体" w:cs="宋体"/>
                <w:bCs/>
                <w:color w:val="000000"/>
                <w:szCs w:val="21"/>
              </w:rPr>
              <w:t xml:space="preserve">三</w:t>
            </w:r>
            <w:r>
              <w:rPr>
                <w:rFonts w:hint="eastAsia" w:ascii="宋体" w:hAnsi="宋体" w:cs="宋体"/>
                <w:bCs/>
                <w:color w:val="000000"/>
                <w:szCs w:val="21"/>
              </w:rPr>
              <w:t xml:space="preserve">级及以上资质或输变电专业承包二级及以上资质；提供有效证书得2分，不提供不得分。</w:t>
            </w:r>
            <w:r/>
          </w:p>
          <w:p>
            <w:pPr>
              <w:rPr>
                <w:rFonts w:hint="eastAsia" w:ascii="宋体" w:hAnsi="宋体" w:cs="宋体"/>
                <w:bCs/>
                <w:color w:val="000000"/>
                <w:szCs w:val="21"/>
              </w:rPr>
            </w:pPr>
            <w:r>
              <w:rPr>
                <w:rFonts w:hint="eastAsia" w:ascii="宋体" w:hAnsi="宋体" w:cs="宋体"/>
                <w:bCs/>
                <w:color w:val="000000"/>
                <w:szCs w:val="21"/>
              </w:rPr>
              <w:t xml:space="preserve">2）具备三级及以上承修类承装（修、试）电力设施许可证。提供有效证书得2分，不提供不得分。</w:t>
            </w:r>
            <w:r/>
          </w:p>
        </w:tc>
        <w:tc>
          <w:tcPr>
            <w:tcW w:w="1086" w:type="pct"/>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提供证书复印件</w:t>
            </w:r>
            <w:r>
              <w:rPr>
                <w:rFonts w:hint="eastAsia" w:ascii="宋体" w:hAnsi="宋体" w:cs="宋体"/>
                <w:bCs/>
                <w:color w:val="000000"/>
                <w:szCs w:val="21"/>
              </w:rPr>
              <w:t xml:space="preserve">并</w:t>
            </w:r>
            <w:r>
              <w:rPr>
                <w:rFonts w:hint="eastAsia" w:ascii="宋体" w:hAnsi="宋体" w:cs="宋体"/>
                <w:bCs/>
                <w:color w:val="000000"/>
                <w:szCs w:val="21"/>
              </w:rPr>
              <w:t xml:space="preserve">加盖</w:t>
            </w:r>
            <w:r>
              <w:rPr>
                <w:rFonts w:hint="eastAsia" w:ascii="宋体" w:hAnsi="宋体" w:cs="宋体"/>
                <w:bCs/>
                <w:color w:val="000000"/>
                <w:szCs w:val="21"/>
              </w:rPr>
              <w:t xml:space="preserve">投标人</w:t>
            </w:r>
            <w:r>
              <w:rPr>
                <w:rFonts w:hint="eastAsia" w:ascii="宋体" w:hAnsi="宋体" w:cs="宋体"/>
                <w:bCs/>
                <w:color w:val="000000"/>
                <w:szCs w:val="21"/>
              </w:rPr>
              <w:t xml:space="preserve">电子</w:t>
            </w:r>
            <w:r>
              <w:rPr>
                <w:rFonts w:hint="eastAsia" w:ascii="宋体" w:hAnsi="宋体" w:cs="宋体"/>
                <w:bCs/>
                <w:color w:val="000000"/>
                <w:szCs w:val="21"/>
              </w:rPr>
              <w:t xml:space="preserve">公章</w:t>
            </w:r>
            <w:r>
              <w:rPr>
                <w:rFonts w:hint="eastAsia" w:ascii="宋体" w:hAnsi="宋体" w:cs="宋体"/>
                <w:bCs/>
                <w:color w:val="000000"/>
                <w:szCs w:val="21"/>
              </w:rPr>
              <w:t xml:space="preserve">，</w:t>
            </w:r>
            <w:r>
              <w:rPr>
                <w:rFonts w:hint="eastAsia" w:ascii="宋体" w:hAnsi="宋体" w:cs="宋体"/>
                <w:bCs/>
                <w:color w:val="000000"/>
                <w:szCs w:val="21"/>
              </w:rPr>
              <w:t xml:space="preserve">未提供不得分。</w:t>
            </w:r>
            <w:r/>
          </w:p>
        </w:tc>
      </w:tr>
      <w:tr>
        <w:trPr>
          <w:jc w:val="center"/>
        </w:trPr>
        <w:tc>
          <w:tcPr>
            <w:gridSpan w:val="2"/>
            <w:tcW w:w="891"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合计</w:t>
            </w:r>
            <w:r/>
          </w:p>
        </w:tc>
        <w:tc>
          <w:tcPr>
            <w:tcW w:w="325" w:type="pct"/>
            <w:vAlign w:val="center"/>
            <w:textDirection w:val="lrTb"/>
            <w:noWrap w:val="false"/>
          </w:tcPr>
          <w:p>
            <w:pPr>
              <w:ind w:firstLine="28"/>
              <w:jc w:val="center"/>
              <w:rPr>
                <w:rFonts w:hint="eastAsia" w:ascii="宋体" w:hAnsi="宋体"/>
                <w:color w:val="000000"/>
                <w:szCs w:val="21"/>
              </w:rPr>
            </w:pPr>
            <w:r>
              <w:rPr>
                <w:rFonts w:ascii="宋体" w:hAnsi="宋体"/>
                <w:color w:val="000000"/>
                <w:szCs w:val="21"/>
              </w:rPr>
              <w:t xml:space="preserve">100</w:t>
            </w:r>
            <w:r/>
          </w:p>
        </w:tc>
        <w:tc>
          <w:tcPr>
            <w:tcW w:w="2698" w:type="pct"/>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086" w:type="pct"/>
            <w:textDirection w:val="lrTb"/>
            <w:noWrap w:val="false"/>
          </w:tcPr>
          <w:p>
            <w:pPr>
              <w:rPr>
                <w:rFonts w:hint="eastAsia" w:ascii="宋体" w:hAnsi="宋体"/>
                <w:color w:val="000000"/>
                <w:szCs w:val="21"/>
              </w:rPr>
            </w:pPr>
            <w:r>
              <w:rPr>
                <w:rFonts w:hint="eastAsia" w:ascii="宋体" w:hAnsi="宋体"/>
                <w:color w:val="000000"/>
                <w:szCs w:val="21"/>
              </w:rPr>
            </w:r>
            <w:r/>
          </w:p>
        </w:tc>
      </w:tr>
    </w:tbl>
    <w:p>
      <w:pPr>
        <w:numPr>
          <w:ilvl w:val="0"/>
          <w:numId w:val="12"/>
        </w:numPr>
        <w:jc w:val="center"/>
        <w:spacing w:line="360" w:lineRule="auto"/>
        <w:rPr>
          <w:b/>
          <w:color w:val="000000"/>
          <w:sz w:val="36"/>
          <w:szCs w:val="36"/>
        </w:rPr>
        <w:outlineLvl w:val="0"/>
      </w:pPr>
      <w:r>
        <w:rPr>
          <w:b/>
          <w:color w:val="000000"/>
          <w:sz w:val="36"/>
          <w:szCs w:val="36"/>
        </w:rPr>
        <w:br w:type="page" w:clear="all"/>
      </w:r>
      <w:bookmarkStart w:id="356" w:name="_Toc3971"/>
      <w:r>
        <w:rPr>
          <w:b/>
          <w:color w:val="000000"/>
          <w:sz w:val="36"/>
          <w:szCs w:val="36"/>
        </w:rPr>
        <w:t xml:space="preserve">  </w:t>
      </w:r>
      <w:r>
        <w:rPr>
          <w:b/>
          <w:color w:val="000000"/>
          <w:sz w:val="36"/>
          <w:szCs w:val="36"/>
        </w:rPr>
        <w:t xml:space="preserve">采购需求</w:t>
      </w:r>
      <w:bookmarkEnd w:id="356"/>
      <w:r/>
      <w:r/>
    </w:p>
    <w:p>
      <w:pPr>
        <w:pStyle w:val="852"/>
        <w:ind w:firstLine="422"/>
        <w:spacing w:line="360" w:lineRule="auto"/>
        <w:rPr>
          <w:b/>
          <w:bCs/>
        </w:rPr>
      </w:pPr>
      <w:r>
        <w:rPr>
          <w:rFonts w:hint="eastAsia"/>
          <w:b/>
          <w:bCs/>
        </w:rPr>
        <w:t xml:space="preserve">一、采购需求</w:t>
      </w:r>
      <w:r/>
    </w:p>
    <w:p>
      <w:pPr>
        <w:pStyle w:val="852"/>
        <w:spacing w:line="360" w:lineRule="auto"/>
      </w:pPr>
      <w:r>
        <w:rPr>
          <w:rFonts w:hint="eastAsia"/>
        </w:rPr>
        <w:t xml:space="preserve">本项目为常州市新北区实验中学河海路校区电力扩容，常州新北区实验中学河海路校区位于新北区河海中路6号，占地面积13548.m2，现有教学班27个，师生人数约1500人，为满足学校用电要求，需对学校现有用电设备进行升级。将原有的500kVA箱变拆除，更换为1000kVA的预制舱，具体详见采购清单及图纸。（请前往登录“苏采云”政府采购一体化平台获取下载查阅）</w:t>
      </w:r>
      <w:r/>
    </w:p>
    <w:p>
      <w:pPr>
        <w:pStyle w:val="852"/>
        <w:spacing w:line="360" w:lineRule="auto"/>
      </w:pPr>
      <w:r>
        <w:rPr>
          <w:rFonts w:hint="eastAsia"/>
        </w:rPr>
        <w:t xml:space="preserve">1.最高限价：人民币134万元；</w:t>
      </w:r>
      <w:r/>
    </w:p>
    <w:p>
      <w:pPr>
        <w:pStyle w:val="852"/>
        <w:spacing w:line="360" w:lineRule="auto"/>
      </w:pPr>
      <w:r>
        <w:rPr>
          <w:rFonts w:hint="eastAsia"/>
        </w:rPr>
        <w:t xml:space="preserve">2.工期：</w:t>
      </w:r>
      <w:r>
        <w:rPr>
          <w:rFonts w:hint="eastAsia"/>
        </w:rPr>
        <w:t xml:space="preserve">须在20个日历天内完工并通过全部验收，工期必须严格服从采购人的安排，满足项目进度的要求。</w:t>
      </w:r>
      <w:r/>
    </w:p>
    <w:p>
      <w:pPr>
        <w:pStyle w:val="852"/>
        <w:spacing w:line="360" w:lineRule="auto"/>
      </w:pPr>
      <w:r>
        <w:rPr>
          <w:rFonts w:hint="eastAsia"/>
        </w:rPr>
        <w:t xml:space="preserve">3.质保期：2年 </w:t>
      </w:r>
      <w:r/>
    </w:p>
    <w:p>
      <w:pPr>
        <w:pStyle w:val="852"/>
        <w:spacing w:line="360" w:lineRule="auto"/>
      </w:pPr>
      <w:r>
        <w:rPr>
          <w:rFonts w:hint="eastAsia"/>
        </w:rPr>
        <w:t xml:space="preserve">4.质量要求：按国家质保要求合格</w:t>
      </w:r>
      <w:r/>
    </w:p>
    <w:p>
      <w:pPr>
        <w:pStyle w:val="852"/>
        <w:ind w:firstLine="422"/>
        <w:spacing w:line="360" w:lineRule="auto"/>
      </w:pPr>
      <w:r>
        <w:rPr>
          <w:rFonts w:hint="eastAsia"/>
          <w:b/>
          <w:bCs/>
        </w:rPr>
        <w:t xml:space="preserve">二、采购清单</w:t>
      </w:r>
      <w:r/>
    </w:p>
    <w:tbl>
      <w:tblPr>
        <w:tblW w:w="9733" w:type="dxa"/>
        <w:tblInd w:w="-781" w:type="dxa"/>
        <w:tblLayout w:type="fixed"/>
        <w:tblLook w:val="04A0" w:firstRow="1" w:lastRow="0" w:firstColumn="1" w:lastColumn="0" w:noHBand="0" w:noVBand="1"/>
      </w:tblPr>
      <w:tblGrid>
        <w:gridCol w:w="683"/>
        <w:gridCol w:w="700"/>
        <w:gridCol w:w="6740"/>
        <w:gridCol w:w="844"/>
        <w:gridCol w:w="766"/>
      </w:tblGrid>
      <w:tr>
        <w:trPr>
          <w:trHeight w:val="600"/>
        </w:trPr>
        <w:tc>
          <w:tcPr>
            <w:tcBorders>
              <w:top w:val="single" w:color="000000" w:sz="8"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8"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型号规格</w:t>
            </w:r>
            <w:r/>
          </w:p>
        </w:tc>
        <w:tc>
          <w:tcPr>
            <w:tcBorders>
              <w:top w:val="single" w:color="000000" w:sz="8"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拆除</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原有箱变设备（S11-M-500/10）整体拆除、清运至校方指定场地，由校方统一保管，协助配合校方完成设备报废申报相关工作</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组合预制舱:预制舱7200*3800*3600（长*宽*高）</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r>
      <w:tr>
        <w:trPr>
          <w:trHeight w:val="43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基础承台整体尺寸：9200mm×5800mm×800mm，采用现浇钢筋混凝土结构，具体施工及配置标准如下：</w:t>
            </w:r>
            <w:r>
              <w:rPr>
                <w:rFonts w:hint="eastAsia" w:ascii="宋体" w:hAnsi="宋体" w:cs="宋体"/>
                <w:color w:val="000000"/>
                <w:szCs w:val="21"/>
                <w:lang w:bidi="ar"/>
              </w:rPr>
              <w:br/>
              <w:t xml:space="preserve">1、钢筋配置：详见图纸【CN26B-041常州市新北区河海实验小学_-2068245437】</w:t>
            </w:r>
            <w:r>
              <w:rPr>
                <w:rFonts w:hint="eastAsia" w:ascii="宋体" w:hAnsi="宋体" w:cs="宋体"/>
                <w:color w:val="000000"/>
                <w:szCs w:val="21"/>
                <w:lang w:bidi="ar"/>
              </w:rPr>
              <w:br/>
              <w:t xml:space="preserve">2、施工规范：混凝土保护层底部40mm、侧部30mm，混凝土垫块采用梅花式布置，间距800～1000mm；钢筋搭接位置错开布置，同一截面钢筋搭接率≤25%，钢筋锚固长度严格按照抗震规范执行。</w:t>
            </w:r>
            <w:r>
              <w:rPr>
                <w:rFonts w:hint="eastAsia" w:ascii="宋体" w:hAnsi="宋体" w:cs="宋体"/>
                <w:color w:val="000000"/>
                <w:szCs w:val="21"/>
                <w:lang w:bidi="ar"/>
              </w:rPr>
              <w:br/>
              <w:t xml:space="preserve">3、预埋施工（同步随基础浇筑施工）：</w:t>
            </w:r>
            <w:r>
              <w:rPr>
                <w:rFonts w:hint="eastAsia" w:ascii="宋体" w:hAnsi="宋体" w:cs="宋体"/>
                <w:color w:val="000000"/>
                <w:szCs w:val="21"/>
                <w:lang w:bidi="ar"/>
              </w:rPr>
              <w:br/>
              <w:t xml:space="preserve">①底座预埋槽钢：采用Q235热镀锌槽钢，槽钢顶面高出承台3～5mm，整舱顶面水平误差≤2mm/m，单舱整体长宽偏差≤±5mm，槽钢中心偏移误差≤5mm；槽钢与基础间预留10mm伸缩缝，后期采用耐候胶密封封堵。</w:t>
            </w:r>
            <w:r>
              <w:rPr>
                <w:rFonts w:hint="eastAsia" w:ascii="宋体" w:hAnsi="宋体" w:cs="宋体"/>
                <w:color w:val="000000"/>
                <w:szCs w:val="21"/>
                <w:lang w:bidi="ar"/>
              </w:rPr>
              <w:br/>
              <w:t xml:space="preserve">②接地预埋：承台内预埋40×4热镀锌扁钢，四周连通接地极；接地极采用50×50×5热镀锌角钢，单根长度2500mm，布置间距≤5m，接地电阻满足国家规范标准，扁钢于基础侧面外引预留接地接线端子。</w:t>
            </w:r>
            <w:r>
              <w:rPr>
                <w:rFonts w:hint="eastAsia" w:ascii="宋体" w:hAnsi="宋体" w:cs="宋体"/>
                <w:color w:val="000000"/>
                <w:szCs w:val="21"/>
                <w:lang w:bidi="ar"/>
              </w:rPr>
              <w:br/>
              <w:t xml:space="preserve">③电缆预埋套管：基础侧壁预留电缆进出专用镀锌钢管/HDPE套管，套管孔径比电缆外径大150mm，套管安装内高外低，设置5%排水坡度，防止雨水倒灌；套管周边混凝土浇筑密实，端口采用防火泥封堵密封。</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2542"/>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包含舱体本体、照明、动力配电、强弱电线槽、通风温控、消防、防鼠、辅控线材等全套配套设施，整体满足户外长期运行标准，具体参数如下：</w:t>
            </w:r>
            <w:r>
              <w:rPr>
                <w:rFonts w:hint="eastAsia" w:ascii="宋体" w:hAnsi="宋体" w:cs="宋体"/>
                <w:color w:val="000000"/>
                <w:szCs w:val="21"/>
                <w:lang w:bidi="ar"/>
              </w:rPr>
              <w:br/>
              <w:t xml:space="preserve">一、舱体本体</w:t>
            </w:r>
            <w:r>
              <w:rPr>
                <w:rFonts w:hint="eastAsia" w:ascii="宋体" w:hAnsi="宋体" w:cs="宋体"/>
                <w:color w:val="000000"/>
                <w:szCs w:val="21"/>
                <w:lang w:bidi="ar"/>
              </w:rPr>
              <w:br/>
              <w:t xml:space="preserve">1、板材配置：外板采用1.6mmSPA-H耐候瓦楞钢板/Q235B冷轧钢板，表面热喷锌+户外氟碳喷涂处理，防腐使用寿命≥15年；内板采用0.8~1.0mm镀锌钢板。</w:t>
            </w:r>
            <w:r>
              <w:rPr>
                <w:rFonts w:hint="eastAsia" w:ascii="宋体" w:hAnsi="宋体" w:cs="宋体"/>
                <w:color w:val="000000"/>
                <w:szCs w:val="21"/>
                <w:lang w:bidi="ar"/>
              </w:rPr>
              <w:br/>
              <w:t xml:space="preserve">2、保温夹层：采用A级阻燃聚氨酯/岩棉保温材料，厚度≥50mm，密度≥38kg/m³，导热系数≤0.026W/(m·K)，阻燃、隔热性能达标。</w:t>
            </w:r>
            <w:r>
              <w:rPr>
                <w:rFonts w:hint="eastAsia" w:ascii="宋体" w:hAnsi="宋体" w:cs="宋体"/>
                <w:color w:val="000000"/>
                <w:szCs w:val="21"/>
                <w:lang w:bidi="ar"/>
              </w:rPr>
              <w:br/>
              <w:t xml:space="preserve">3、底座结构：主梁采用20#a国标Q235热镀锌槽钢，底板铺设4mm花纹钢板，舱内满铺3mm黑色防静电绝缘胶垫，满足10kV耐压标准。</w:t>
            </w:r>
            <w:r>
              <w:rPr>
                <w:rFonts w:hint="eastAsia" w:ascii="宋体" w:hAnsi="宋体" w:cs="宋体"/>
                <w:color w:val="000000"/>
                <w:szCs w:val="21"/>
                <w:lang w:bidi="ar"/>
              </w:rPr>
              <w:br/>
              <w:t xml:space="preserve">4、舱门配置：双层保温门板，保温厚度≥50mm，门框采用镀锌型钢材质，配备三元乙丙密封胶条，整体防护等级IP54。</w:t>
            </w:r>
            <w:r>
              <w:rPr>
                <w:rFonts w:hint="eastAsia" w:ascii="宋体" w:hAnsi="宋体" w:cs="宋体"/>
                <w:color w:val="000000"/>
                <w:szCs w:val="21"/>
                <w:lang w:bidi="ar"/>
              </w:rPr>
              <w:br/>
              <w:t xml:space="preserve">二、照明系统（正常照明+应急照明+检修插座）</w:t>
            </w:r>
            <w:r>
              <w:rPr>
                <w:rFonts w:hint="eastAsia" w:ascii="宋体" w:hAnsi="宋体" w:cs="宋体"/>
                <w:color w:val="000000"/>
                <w:szCs w:val="21"/>
                <w:lang w:bidi="ar"/>
              </w:rPr>
              <w:br/>
              <w:t xml:space="preserve">1、正常照明：采用压铸铝外壳+PC阻燃灯罩IP54级LED平板/三防吸顶灯，功率18W/36W，AC220V供电；舱内0.75m工作面照度≥300lx，沿通道均匀布置；线路采用PVC20阻燃穿线管，BV-3×2.5mm²铜芯线缆敷设。</w:t>
            </w:r>
            <w:r>
              <w:rPr>
                <w:rFonts w:hint="eastAsia" w:ascii="宋体" w:hAnsi="宋体" w:cs="宋体"/>
                <w:color w:val="000000"/>
                <w:szCs w:val="21"/>
                <w:lang w:bidi="ar"/>
              </w:rPr>
              <w:br/>
              <w:t xml:space="preserve">2、应急疏散照明：符合GB17945国家标准，应急灯自带锂电池，续航时长≥90min，断电自动启动点亮，壳体为阻燃ABS材质；出口指示灯为壁挂式，AC220/DC220两用，防护等级IP40。</w:t>
            </w:r>
            <w:r>
              <w:rPr>
                <w:rFonts w:hint="eastAsia" w:ascii="宋体" w:hAnsi="宋体" w:cs="宋体"/>
                <w:color w:val="000000"/>
                <w:szCs w:val="21"/>
                <w:lang w:bidi="ar"/>
              </w:rPr>
              <w:br/>
              <w:t xml:space="preserve">3、检修插座：每2m设置一组五孔+三孔检修插座，插座铜件采用磷青铜材质，面板为PC阻燃材质，单回路独立空开控制，AC220V供电。</w:t>
            </w:r>
            <w:r>
              <w:rPr>
                <w:rFonts w:hint="eastAsia" w:ascii="宋体" w:hAnsi="宋体" w:cs="宋体"/>
                <w:color w:val="000000"/>
                <w:szCs w:val="21"/>
                <w:lang w:bidi="ar"/>
              </w:rPr>
              <w:br/>
              <w:t xml:space="preserve">三、动力配电系统（主配电箱+电缆转接箱）</w:t>
            </w:r>
            <w:r>
              <w:rPr>
                <w:rFonts w:hint="eastAsia" w:ascii="宋体" w:hAnsi="宋体" w:cs="宋体"/>
                <w:color w:val="000000"/>
                <w:szCs w:val="21"/>
                <w:lang w:bidi="ar"/>
              </w:rPr>
              <w:br/>
              <w:t xml:space="preserve">1、舱内主动力配电箱：箱体采用1.5mm冷轧钢板户外喷塑处理，IP54防护等级，壁挂式安装；配置T2紫铜镀锡母线、塑壳及微型断路器，配套Ⅱ级SPD浪涌保护器（Imax≥40kA）；进线线缆YJV-0.6/1kV-3×16+1×10，照明、空调、风机等设备分回路独立供电；具备总开关、分路漏电保护、辅控电源输出功能。</w:t>
            </w:r>
            <w:r>
              <w:rPr>
                <w:rFonts w:hint="eastAsia" w:ascii="宋体" w:hAnsi="宋体" w:cs="宋体"/>
                <w:color w:val="000000"/>
                <w:szCs w:val="21"/>
                <w:lang w:bidi="ar"/>
              </w:rPr>
              <w:br/>
              <w:t xml:space="preserve">2、侧壁电缆转接箱：箱体采用1.2mm热镀锌钢板，IP55防护等级，进出线孔配置橡胶防水护线圈；内部配备DT镀锡铜接线端子、阻燃接线端子排，舱外电缆穿墙位置采用防火泥+聚氨酯封堵剂双重密封。</w:t>
            </w:r>
            <w:r>
              <w:rPr>
                <w:rFonts w:hint="eastAsia" w:ascii="宋体" w:hAnsi="宋体" w:cs="宋体"/>
                <w:color w:val="000000"/>
                <w:szCs w:val="21"/>
                <w:lang w:bidi="ar"/>
              </w:rPr>
              <w:br/>
              <w:t xml:space="preserve">四、强弱电电缆线槽系统（强弱电分离布设）</w:t>
            </w:r>
            <w:r>
              <w:rPr>
                <w:rFonts w:hint="eastAsia" w:ascii="宋体" w:hAnsi="宋体" w:cs="宋体"/>
                <w:color w:val="000000"/>
                <w:szCs w:val="21"/>
                <w:lang w:bidi="ar"/>
              </w:rPr>
              <w:br/>
              <w:t xml:space="preserve">1、强电一次线槽（高压电缆专用）：采用2.0mm热镀锌钢板折弯成型，封闭式防火槽盒，耐火时长≥30min，规格200×100mm/300×150mm；盖板卡扣式安装，每1m设置固定支架。</w:t>
            </w:r>
            <w:r>
              <w:rPr>
                <w:rFonts w:hint="eastAsia" w:ascii="宋体" w:hAnsi="宋体" w:cs="宋体"/>
                <w:color w:val="000000"/>
                <w:szCs w:val="21"/>
                <w:lang w:bidi="ar"/>
              </w:rPr>
              <w:br/>
              <w:t xml:space="preserve">2、弱电二次线槽（控制、通讯专用）：采用1.2mm镀锌线槽，带屏蔽折边抗干扰设计，规格100×50mm/80×40mm；强弱电线槽间距≥150mm；配套同材质镀锌连接片、弯头、终端堵头，敷设BVR2.5mm²铜芯跨接接地线。</w:t>
            </w:r>
            <w:r>
              <w:rPr>
                <w:rFonts w:hint="eastAsia" w:ascii="宋体" w:hAnsi="宋体" w:cs="宋体"/>
                <w:color w:val="000000"/>
                <w:szCs w:val="21"/>
                <w:lang w:bidi="ar"/>
              </w:rPr>
              <w:br/>
              <w:t xml:space="preserve">五、温湿度联动通风系统</w:t>
            </w:r>
            <w:r>
              <w:rPr>
                <w:rFonts w:hint="eastAsia" w:ascii="宋体" w:hAnsi="宋体" w:cs="宋体"/>
                <w:color w:val="000000"/>
                <w:szCs w:val="21"/>
                <w:lang w:bidi="ar"/>
              </w:rPr>
              <w:br/>
              <w:t xml:space="preserve">1、轴流排风机：机壳为铸铝/镀锌钢板材质，全封闭IP54电机，AC380V工频供电；常规舱体单舱风量≥1200m³/h，每小时换气次数≥6次；SF6专用舱配置防爆风机，5分钟可完成全舱换气。</w:t>
            </w:r>
            <w:r>
              <w:rPr>
                <w:rFonts w:hint="eastAsia" w:ascii="宋体" w:hAnsi="宋体" w:cs="宋体"/>
                <w:color w:val="000000"/>
                <w:szCs w:val="21"/>
                <w:lang w:bidi="ar"/>
              </w:rPr>
              <w:br/>
              <w:t xml:space="preserve">2、进风装置：配备304不锈钢双层过滤网，网孔2mm，可拆卸清洗。</w:t>
            </w:r>
            <w:r>
              <w:rPr>
                <w:rFonts w:hint="eastAsia" w:ascii="宋体" w:hAnsi="宋体" w:cs="宋体"/>
                <w:color w:val="000000"/>
                <w:szCs w:val="21"/>
                <w:lang w:bidi="ar"/>
              </w:rPr>
              <w:br/>
              <w:t xml:space="preserve">3、电动密闭风阀：阀体镀锌钢板材质，AC220V执行器，联动温湿度控制系统，环境湿度＞80%RH自动开阀排风，低温环境自动关闭。</w:t>
            </w:r>
            <w:r>
              <w:rPr>
                <w:rFonts w:hint="eastAsia" w:ascii="宋体" w:hAnsi="宋体" w:cs="宋体"/>
                <w:color w:val="000000"/>
                <w:szCs w:val="21"/>
                <w:lang w:bidi="ar"/>
              </w:rPr>
              <w:br/>
              <w:t xml:space="preserve">4、防冻加热装置：配置工业翅片铝合金电加热器，AC220V供电，温控自动启停，环境温度＜5℃自动启动防冻，严禁使用民用暖风机。</w:t>
            </w:r>
            <w:r>
              <w:rPr>
                <w:rFonts w:hint="eastAsia" w:ascii="宋体" w:hAnsi="宋体" w:cs="宋体"/>
                <w:color w:val="000000"/>
                <w:szCs w:val="21"/>
                <w:lang w:bidi="ar"/>
              </w:rPr>
              <w:br/>
              <w:t xml:space="preserve">六、恒温恒湿工业空调系统</w:t>
            </w:r>
            <w:r>
              <w:rPr>
                <w:rFonts w:hint="eastAsia" w:ascii="宋体" w:hAnsi="宋体" w:cs="宋体"/>
                <w:color w:val="000000"/>
                <w:szCs w:val="21"/>
                <w:lang w:bidi="ar"/>
              </w:rPr>
              <w:br/>
              <w:t xml:space="preserve">采用预制舱专用壁挂/顶置式工业空调，IP54防护等级，冷热双制式；</w:t>
            </w:r>
            <w:r>
              <w:rPr>
                <w:rFonts w:hint="eastAsia" w:ascii="宋体" w:hAnsi="宋体" w:cs="宋体"/>
                <w:color w:val="000000"/>
                <w:szCs w:val="21"/>
                <w:lang w:bidi="ar"/>
              </w:rPr>
              <w:t xml:space="preserve">壳体冷轧钢板喷塑，蒸发器、冷凝器采用紫铜管+铝翅片结构；小舱制冷量2.6kW、大舱制冷量5kW；温控范围18~25℃，控湿范围40%~70%RH，温湿度控制精度±2℃；搭载NTC温湿度传感探头，可联动舱内风机、风阀协同运行；采用R410A环保冷媒，PVC20排水管外低内高布设，杜绝雨水倒灌。</w:t>
            </w:r>
            <w:r>
              <w:rPr>
                <w:rFonts w:hint="eastAsia" w:ascii="宋体" w:hAnsi="宋体" w:cs="宋体"/>
                <w:color w:val="000000"/>
                <w:szCs w:val="21"/>
                <w:lang w:bidi="ar"/>
              </w:rPr>
              <w:br/>
              <w:t xml:space="preserve">七、消防配套系统</w:t>
            </w:r>
            <w:r>
              <w:rPr>
                <w:rFonts w:hint="eastAsia" w:ascii="宋体" w:hAnsi="宋体" w:cs="宋体"/>
                <w:color w:val="000000"/>
                <w:szCs w:val="21"/>
                <w:lang w:bidi="ar"/>
              </w:rPr>
              <w:br/>
              <w:t xml:space="preserve">标配MF/ABC4干粉灭火器，筒体为优质冷轧钢板，水压试验压力2.5MPa，填充ABC磷酸铵盐干粉灭火剂；布设标准每6m1具，单舱配置不少于2具，配套1.0mm钢板阻燃灭火器箱；可选配DC24V烟感探测器，可联动报警并自动切断空调、风机电源。</w:t>
            </w:r>
            <w:r>
              <w:rPr>
                <w:rFonts w:hint="eastAsia" w:ascii="宋体" w:hAnsi="宋体" w:cs="宋体"/>
                <w:color w:val="000000"/>
                <w:szCs w:val="21"/>
                <w:lang w:bidi="ar"/>
              </w:rPr>
              <w:br/>
              <w:t xml:space="preserve">八、出入口防鼠板</w:t>
            </w:r>
            <w:r>
              <w:rPr>
                <w:rFonts w:hint="eastAsia" w:ascii="宋体" w:hAnsi="宋体" w:cs="宋体"/>
                <w:color w:val="000000"/>
                <w:szCs w:val="21"/>
                <w:lang w:bidi="ar"/>
              </w:rPr>
              <w:br/>
              <w:t xml:space="preserve">采用厚度≥1.2mm的304不锈钢板/镀锌铁板制作，整体高度500mm；边框采用30×30镀锌角钢加固，底部加装橡胶防滑密封条；门框预留专用卡槽，可抽拉拆卸，安装后缝隙＜6mm，满足防鼠要求。九、全线辅控布线及接地标准</w:t>
            </w:r>
            <w:r>
              <w:rPr>
                <w:rFonts w:hint="eastAsia" w:ascii="宋体" w:hAnsi="宋体" w:cs="宋体"/>
                <w:color w:val="000000"/>
                <w:szCs w:val="21"/>
                <w:lang w:bidi="ar"/>
              </w:rPr>
              <w:br/>
              <w:t xml:space="preserve">动力电缆采用YJV铜芯阻燃电缆，控制电缆采用KVVP屏蔽铜缆；明敷管线采用DN20/DN25热镀锌钢管，暗敷采用PVC阻燃线管；舱内所有金属构件采用40×4热镀锌扁钢统一做等电位接地，连通舱体接地网，整体接地电阻≤4</w:t>
            </w:r>
            <w:r>
              <w:rPr>
                <w:rFonts w:ascii="宋体" w:hAnsi="宋体" w:cs="Calibri"/>
                <w:color w:val="000000"/>
                <w:szCs w:val="21"/>
                <w:lang w:bidi="ar"/>
              </w:rPr>
              <w:t xml:space="preserve">Ω</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123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none" w:color="000000" w:sz="4" w:space="0"/>
              <w:left w:val="none" w:color="000000" w:sz="4" w:space="0"/>
              <w:bottom w:val="none" w:color="000000" w:sz="4" w:space="0"/>
              <w:right w:val="none" w:color="000000" w:sz="4" w:space="0"/>
            </w:tcBorders>
            <w:tcW w:w="700" w:type="dxa"/>
            <w:vAlign w:val="center"/>
            <w:textDirection w:val="lrTb"/>
            <w:noWrap/>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防护围栏、高度≥4m，围网框架:</w:t>
            </w:r>
            <w:r>
              <w:rPr>
                <w:rFonts w:ascii="宋体" w:hAnsi="宋体" w:cs="Calibri"/>
                <w:color w:val="000000"/>
                <w:szCs w:val="21"/>
                <w:lang w:bidi="ar"/>
              </w:rPr>
              <w:t xml:space="preserve">Φ</w:t>
            </w:r>
            <w:r>
              <w:rPr>
                <w:rFonts w:hint="eastAsia" w:ascii="宋体" w:hAnsi="宋体" w:cs="宋体"/>
                <w:color w:val="000000"/>
                <w:szCs w:val="21"/>
                <w:lang w:bidi="ar"/>
              </w:rPr>
              <w:t xml:space="preserve">60*1.5镀锌钢管(横柱)，</w:t>
            </w:r>
            <w:r>
              <w:rPr>
                <w:rFonts w:ascii="宋体" w:hAnsi="宋体" w:cs="Calibri"/>
                <w:color w:val="000000"/>
                <w:szCs w:val="21"/>
                <w:lang w:bidi="ar"/>
              </w:rPr>
              <w:t xml:space="preserve">Φ</w:t>
            </w:r>
            <w:r>
              <w:rPr>
                <w:rFonts w:hint="eastAsia" w:ascii="宋体" w:hAnsi="宋体" w:cs="宋体"/>
                <w:color w:val="000000"/>
                <w:szCs w:val="21"/>
                <w:lang w:bidi="ar"/>
              </w:rPr>
              <w:t xml:space="preserve">75*2镀锌刚钢管(立柱)，</w:t>
            </w:r>
            <w:r>
              <w:rPr>
                <w:rFonts w:ascii="宋体" w:hAnsi="宋体" w:cs="Calibri"/>
                <w:color w:val="000000"/>
                <w:szCs w:val="21"/>
                <w:lang w:bidi="ar"/>
              </w:rPr>
              <w:t xml:space="preserve">Φ</w:t>
            </w:r>
            <w:r>
              <w:rPr>
                <w:rFonts w:hint="eastAsia" w:ascii="宋体" w:hAnsi="宋体" w:cs="宋体"/>
                <w:color w:val="000000"/>
                <w:szCs w:val="21"/>
                <w:lang w:bidi="ar"/>
              </w:rPr>
              <w:t xml:space="preserve">50*2镀锌钢管(门框柱):成品钢丝网，包塑丝径4mm(孔50*50)，上述材料面喷墨绿色金属氟碳漆.含基础预埋件，含立柱与围网的连接件；围网外立面采用雪弗板与围网固定，配合校园文化公益广告内容</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完成预制舱周边共计4座雨水、污水井的迁移、改造、恢复施工，确保管网排水功能正常</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rPr>
                <w:rFonts w:hint="eastAsia" w:ascii="宋体" w:hAnsi="宋体" w:cs="宋体"/>
                <w:b/>
                <w:bCs/>
                <w:color w:val="000000"/>
                <w:szCs w:val="21"/>
              </w:rPr>
            </w:pPr>
            <w:r>
              <w:rPr>
                <w:rFonts w:hint="eastAsia" w:ascii="宋体" w:hAnsi="宋体" w:cs="宋体"/>
                <w:b/>
                <w:bCs/>
                <w:color w:val="000000"/>
                <w:szCs w:val="21"/>
                <w:lang w:bidi="ar"/>
              </w:rPr>
              <w:t xml:space="preserve">预制舱变电设备</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配电变压器</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SC(B)-1000/10D，yn1110±2*2.5%/0.4</w:t>
            </w:r>
            <w:r/>
          </w:p>
        </w:tc>
        <w:tc>
          <w:tcPr>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Uk%=6</w:t>
            </w:r>
            <w:r/>
          </w:p>
        </w:tc>
        <w:tc>
          <w:tcPr>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0"/>
        </w:trPr>
        <w:tc>
          <w:tcPr>
            <w:tcBorders>
              <w:top w:val="single" w:color="000000" w:sz="4" w:space="0"/>
              <w:left w:val="single" w:color="000000" w:sz="8"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干式变压器，干式变与低压屏之间母线连接部分及附件由低压柜制造厂提供。GB20052-2020中规定的1级能效及以上的配电变压器.</w:t>
            </w:r>
            <w:r/>
          </w:p>
        </w:tc>
        <w:tc>
          <w:tcPr>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所有参数满足国标1级能效技术要求</w:t>
            </w:r>
            <w:r/>
          </w:p>
        </w:tc>
        <w:tc>
          <w:tcPr>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高压开关柜</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KYN28-12（进线柜）H1采用三相CT，微机保护含零序电流保护功能）</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高压开关柜</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KYN28-12（计量柜）H2</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高压开关柜</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KYN28-12（PT兼出线柜）H3</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低压配电屏</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GGD次总屏框架断路器额定运行短路分断能力≥65kA，智能控制器带接地故障保护，实现报警和脱扣</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低压配电屏</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GGD出线屏塑壳断路器，额定运行短路分断能力≥50kA，配电子脱扣，三段保护</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无功自动补偿成套装置</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GGD型补偿柜300kvar采用SVG模块补偿</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10kV电力电缆</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2YJV22-10kV-3*50mm</w:t>
            </w:r>
            <w:r>
              <w:rPr>
                <w:rStyle w:val="1284"/>
                <w:rFonts w:hint="default"/>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变压器侧铜排</w:t>
            </w:r>
            <w:r/>
          </w:p>
        </w:tc>
        <w:tc>
          <w:tcPr>
            <w:shd w:val="clear" w:color="auto" w:fill="ffffff"/>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TMY-3*10*100+8*80</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4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封闭母线桥</w:t>
            </w:r>
            <w:r/>
          </w:p>
        </w:tc>
        <w:tc>
          <w:tcPr>
            <w:shd w:val="clear" w:color="auto" w:fill="ffffff"/>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TMY</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100</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10+TMY</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80</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母线伸缩节</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铜一铜-100*10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母线伸缩节</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铜一铜-80*8</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矩形铜母线</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TMY-100*10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矩形铜母线</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TMY-80*8</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母排绝缘套管</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ascii="Cambria" w:hAnsi="Cambria" w:cs="Cambria"/>
                <w:color w:val="000000"/>
                <w:szCs w:val="21"/>
                <w:lang w:bidi="ar"/>
              </w:rPr>
              <w:t xml:space="preserve">ϕ</w:t>
            </w:r>
            <w:r>
              <w:rPr>
                <w:rFonts w:hint="eastAsia" w:ascii="宋体" w:hAnsi="宋体" w:cs="宋体"/>
                <w:color w:val="000000"/>
                <w:szCs w:val="21"/>
                <w:lang w:bidi="ar"/>
              </w:rPr>
              <w:t xml:space="preserve">128/48</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母排绝缘套管</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ascii="Cambria" w:hAnsi="Cambria" w:cs="Cambria"/>
                <w:color w:val="000000"/>
                <w:szCs w:val="21"/>
                <w:lang w:bidi="ar"/>
              </w:rPr>
              <w:t xml:space="preserve">ϕ</w:t>
            </w:r>
            <w:r>
              <w:rPr>
                <w:rFonts w:hint="eastAsia" w:ascii="宋体" w:hAnsi="宋体" w:cs="宋体"/>
                <w:color w:val="000000"/>
                <w:szCs w:val="21"/>
                <w:lang w:bidi="ar"/>
              </w:rPr>
              <w:t xml:space="preserve">100/40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微机线路保护装置</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工作电源DC110V、5A规格，进线柜专用，自带零序电流保护功能，国标合格产品，完全满足供电部门验收标准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电缆头</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10kV三相式电缆终端头，适配50mm²高压电缆，绝缘、耐压性能达标</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动力照明箱</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定制箱体，内置全套动力开关、控制元器件，满足舱内动力、照明配电控制需求</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热镀锌角钢</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热镀锌角钢垂直接地∠63*63*6,单根长度L=2.5m，用于接地网垂直接地极施工</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热镀锌扁钢</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热镀锌扁钢-6×50，用于接地网水平连通布设，防腐、导电性能达标</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300</w:t>
            </w:r>
            <w:r/>
          </w:p>
        </w:tc>
      </w:tr>
      <w:tr>
        <w:trPr>
          <w:trHeight w:val="7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小直流系统成套装置</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20Ah/110V包括开箱、检查、安装、补漆、查校线、接线、接地、含安装螺栓、接线端子、防火封堵、系统调试等一切满足设计、供电局要求及验收规范的所有工作内容。</w:t>
            </w:r>
            <w:r/>
          </w:p>
        </w:tc>
        <w:tc>
          <w:tcPr>
            <w:tcBorders>
              <w:top w:val="single" w:color="000000" w:sz="4" w:space="0"/>
              <w:left w:val="non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PVC管</w:t>
            </w:r>
            <w:r/>
          </w:p>
        </w:tc>
        <w:tc>
          <w:tcPr>
            <w:tcBorders>
              <w:top w:val="non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Calibri"/>
                <w:color w:val="000000"/>
                <w:szCs w:val="21"/>
              </w:rPr>
            </w:pPr>
            <w:r>
              <w:rPr>
                <w:rFonts w:ascii="宋体" w:hAnsi="宋体" w:cs="Calibri"/>
                <w:color w:val="000000"/>
                <w:szCs w:val="21"/>
                <w:lang w:bidi="ar"/>
              </w:rPr>
              <w:t xml:space="preserve">Φ</w:t>
            </w:r>
            <w:r>
              <w:rPr>
                <w:rStyle w:val="1285"/>
                <w:rFonts w:ascii="宋体" w:hAnsi="宋体"/>
                <w:sz w:val="21"/>
                <w:szCs w:val="21"/>
                <w:lang w:bidi="ar"/>
              </w:rPr>
              <w:t xml:space="preserve">70</w:t>
            </w:r>
            <w:r>
              <w:rPr>
                <w:rFonts w:hint="eastAsia" w:ascii="宋体" w:hAnsi="宋体" w:cs="宋体"/>
                <w:color w:val="000000"/>
                <w:szCs w:val="21"/>
                <w:lang w:bidi="ar"/>
              </w:rPr>
              <w:t xml:space="preserve">线缆专用套管（配套小直流和信号箱的线缆套管使用）</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7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信号箱</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包括开箱、检查、安装、补漆、查校线、接线、接地、含安装螺栓、接线端子、防火封堵、系统调试等一切满足设计、供电局要求及验收规范的所有工作内容。</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负荷监控装置迁移</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工作电源DC110V，适配三相5A电流监测，含全套接线端子，数据监测精准，满足供电上电验收规范要求</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rPr>
                <w:rFonts w:hint="eastAsia" w:ascii="宋体" w:hAnsi="宋体" w:cs="宋体"/>
                <w:b/>
                <w:bCs/>
                <w:color w:val="000000"/>
                <w:szCs w:val="21"/>
              </w:rPr>
            </w:pPr>
            <w:r>
              <w:rPr>
                <w:rFonts w:hint="eastAsia" w:ascii="宋体" w:hAnsi="宋体" w:cs="宋体"/>
                <w:b/>
                <w:bCs/>
                <w:color w:val="000000"/>
                <w:szCs w:val="21"/>
                <w:lang w:bidi="ar"/>
              </w:rPr>
              <w:t xml:space="preserve">预制舱配套</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100增强管</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100MPP增强电力保护管，高强度、耐腐蚀，适配地下电缆防护敷设</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电缆井</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1m×1m标准电缆手孔井，含井体浇筑、井盖、收口、防水处理等全套施工</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r>
      <w:tr>
        <w:trP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桥架</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规格20×10cm，板厚1.0mm；桥架主体采用专用防静电镀层工艺处理，表面防静电、防尘、耐腐蚀、绝缘性能优良，适配强弱电室内布线场景；含全套安装固定支架、连接配件、螺丝、盖板及接地辅材，成套配齐、安装达标。</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7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电缆</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电缆型号YJV4×120+1×70铜芯阻燃电力电缆，包含电缆沟槽开挖、电缆敷设、保护管安装、电缆试验、电缆头制作、沟槽回填恢复等全套施工内容</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p>
        </w:tc>
      </w:tr>
      <w:tr>
        <w:trP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设计</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预制舱设计+审图服务，6套全套施工蓝图（含电子版）、可直接报审施工</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验收</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包含设备出厂质量管控、全套电气试验及正式电试报告出具、送电调试、竣工验收；提供高压电工操作资质证书，全权负责受电工程竣工报验、对接供电部门、办理各项上电相关手续，确保项目合规送电验收通过</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三年运维</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提供项目完工后3年专属运维服务，包含设备日常巡检、定期保养维护、故障排查与应急处置、辅控系统运维调试、项目资料台账整理归档等全套服务，严格按照专属运维细则执行，运维细则纳入合同履约范围</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外线</w:t>
            </w:r>
            <w:r/>
          </w:p>
        </w:tc>
        <w:tc>
          <w:tcPr>
            <w:tcBorders>
              <w:top w:val="single" w:color="000000" w:sz="4" w:space="0"/>
              <w:left w:val="single" w:color="000000" w:sz="4" w:space="0"/>
              <w:bottom w:val="single" w:color="000000" w:sz="4" w:space="0"/>
              <w:right w:val="single" w:color="000000" w:sz="4" w:space="0"/>
            </w:tcBorders>
            <w:tcW w:w="67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包含外线现场勘探、专项方案设计、外线沟槽开挖敷设、业扩配套工程施工；涵盖校外施工涉及的场地测绘、绿化拆除补种、路面及设施恢复等所有外线相关改造、配套费用，无额外增项费用</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350</w:t>
            </w:r>
            <w:r/>
          </w:p>
        </w:tc>
      </w:tr>
    </w:tbl>
    <w:p>
      <w:pPr>
        <w:ind w:firstLine="420"/>
        <w:spacing w:before="120" w:line="360" w:lineRule="auto"/>
        <w:widowControl/>
        <w:rPr>
          <w:rFonts w:hint="eastAsia" w:ascii="宋体" w:hAnsi="宋体"/>
          <w:szCs w:val="20"/>
        </w:rPr>
      </w:pPr>
      <w:r/>
      <w:bookmarkStart w:id="357" w:name="_Hlk231820543"/>
      <w:r>
        <w:rPr>
          <w:rFonts w:ascii="宋体" w:hAnsi="宋体"/>
          <w:szCs w:val="20"/>
        </w:rPr>
        <w:t xml:space="preserve">备注：</w:t>
      </w:r>
      <w:r/>
    </w:p>
    <w:p>
      <w:pPr>
        <w:ind w:firstLine="420"/>
        <w:spacing w:line="360" w:lineRule="auto"/>
        <w:widowControl/>
        <w:rPr>
          <w:rFonts w:hint="eastAsia" w:ascii="宋体" w:hAnsi="宋体"/>
          <w:szCs w:val="20"/>
        </w:rPr>
      </w:pPr>
      <w:r>
        <w:rPr>
          <w:rFonts w:ascii="宋体" w:hAnsi="宋体"/>
          <w:szCs w:val="20"/>
        </w:rPr>
        <w:t xml:space="preserve">1.以上报价含材料、运输、人工、税金、安装及安装过程中产生的汽吊、设备平台、线缆穿管辅材、内外场线缆铺装及恢复、开箱、检查、补漆、查校线、接线、接地、含安装螺栓、接线端子、槽钢安装、防火封堵、系统调试等一切费用，满足设计、供电局要求及验收规范的所有工作内容。</w:t>
      </w:r>
      <w:r/>
    </w:p>
    <w:p>
      <w:pPr>
        <w:ind w:firstLine="420"/>
        <w:spacing w:line="360" w:lineRule="auto"/>
        <w:rPr>
          <w:rFonts w:hint="eastAsia" w:ascii="宋体" w:hAnsi="宋体"/>
          <w:szCs w:val="22"/>
        </w:rPr>
      </w:pPr>
      <w:r>
        <w:rPr>
          <w:rFonts w:ascii="宋体" w:hAnsi="宋体"/>
          <w:szCs w:val="22"/>
        </w:rPr>
        <w:t xml:space="preserve">2.清单表述不明</w:t>
      </w:r>
      <w:r>
        <w:rPr>
          <w:rFonts w:ascii="宋体" w:hAnsi="宋体"/>
          <w:szCs w:val="22"/>
        </w:rPr>
        <w:t xml:space="preserve">，或清单内容与施工图纸表述不一致时</w:t>
      </w:r>
      <w:r>
        <w:rPr>
          <w:rFonts w:hint="eastAsia" w:ascii="宋体" w:hAnsi="宋体"/>
          <w:szCs w:val="22"/>
        </w:rPr>
        <w:t xml:space="preserve">，</w:t>
      </w:r>
      <w:r>
        <w:rPr>
          <w:rFonts w:ascii="宋体" w:hAnsi="宋体"/>
          <w:szCs w:val="22"/>
        </w:rPr>
        <w:t xml:space="preserve">以图纸为准。</w:t>
      </w:r>
      <w:bookmarkEnd w:id="357"/>
      <w:r/>
      <w:r/>
    </w:p>
    <w:p>
      <w:pPr>
        <w:ind w:firstLine="422"/>
        <w:jc w:val="left"/>
        <w:spacing w:line="360" w:lineRule="auto"/>
        <w:rPr>
          <w:rFonts w:hint="eastAsia" w:ascii="宋体" w:hAnsi="宋体"/>
          <w:b/>
          <w:szCs w:val="22"/>
        </w:rPr>
      </w:pPr>
      <w:r>
        <w:rPr>
          <w:rFonts w:ascii="宋体" w:hAnsi="宋体"/>
          <w:b/>
          <w:szCs w:val="22"/>
        </w:rPr>
        <w:t xml:space="preserve">三、付款方式</w:t>
      </w:r>
      <w:r/>
    </w:p>
    <w:p>
      <w:pPr>
        <w:ind w:firstLine="420"/>
        <w:jc w:val="left"/>
        <w:spacing w:line="360" w:lineRule="auto"/>
        <w:rPr>
          <w:rFonts w:hint="eastAsia" w:ascii="宋体" w:hAnsi="宋体"/>
          <w:szCs w:val="22"/>
        </w:rPr>
      </w:pPr>
      <w:r>
        <w:rPr>
          <w:rFonts w:ascii="宋体" w:hAnsi="宋体"/>
          <w:szCs w:val="22"/>
        </w:rPr>
        <w:t xml:space="preserve">签订合同后预付合同价40%，设备进场后支付至合同价的60%，安装结束并经甲方验收合格支付至合同价97%，质保期满2年后支付至100%合同价。（按实结算、凭票结算）</w:t>
      </w:r>
      <w:r/>
    </w:p>
    <w:p>
      <w:pPr>
        <w:ind w:firstLine="422"/>
        <w:jc w:val="left"/>
        <w:spacing w:line="360" w:lineRule="auto"/>
        <w:rPr>
          <w:rFonts w:hint="eastAsia" w:ascii="宋体" w:hAnsi="宋体"/>
          <w:b/>
          <w:szCs w:val="22"/>
        </w:rPr>
      </w:pPr>
      <w:r>
        <w:rPr>
          <w:rFonts w:ascii="宋体" w:hAnsi="宋体"/>
          <w:b/>
          <w:szCs w:val="22"/>
        </w:rPr>
        <w:t xml:space="preserve">四、质量保证</w:t>
      </w:r>
      <w:r/>
    </w:p>
    <w:p>
      <w:pPr>
        <w:ind w:firstLine="420"/>
        <w:jc w:val="left"/>
        <w:spacing w:line="360" w:lineRule="auto"/>
        <w:rPr>
          <w:rFonts w:hint="eastAsia" w:ascii="宋体" w:hAnsi="宋体"/>
          <w:bCs/>
          <w:szCs w:val="22"/>
        </w:rPr>
      </w:pPr>
      <w:r>
        <w:rPr>
          <w:rFonts w:ascii="宋体" w:hAnsi="宋体"/>
          <w:bCs/>
          <w:szCs w:val="22"/>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hint="eastAsia" w:ascii="宋体" w:hAnsi="宋体"/>
          <w:bCs/>
          <w:szCs w:val="22"/>
        </w:rPr>
      </w:pPr>
      <w:r>
        <w:rPr>
          <w:rFonts w:ascii="宋体" w:hAnsi="宋体"/>
          <w:bCs/>
          <w:szCs w:val="22"/>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rFonts w:hint="eastAsia" w:ascii="宋体" w:hAnsi="宋体"/>
          <w:b/>
          <w:szCs w:val="22"/>
        </w:rPr>
      </w:pPr>
      <w:r>
        <w:rPr>
          <w:rFonts w:ascii="宋体" w:hAnsi="宋体"/>
          <w:b/>
          <w:szCs w:val="22"/>
        </w:rPr>
        <w:t xml:space="preserve">五、包装及验收要求</w:t>
      </w:r>
      <w:r/>
    </w:p>
    <w:p>
      <w:pPr>
        <w:ind w:firstLine="420"/>
        <w:jc w:val="left"/>
        <w:spacing w:line="360" w:lineRule="auto"/>
        <w:rPr>
          <w:rFonts w:hint="eastAsia" w:ascii="宋体" w:hAnsi="宋体"/>
          <w:bCs/>
          <w:szCs w:val="22"/>
        </w:rPr>
      </w:pPr>
      <w:r>
        <w:rPr>
          <w:rFonts w:ascii="宋体" w:hAnsi="宋体"/>
          <w:bCs/>
          <w:szCs w:val="22"/>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hint="eastAsia" w:ascii="宋体" w:hAnsi="宋体"/>
          <w:bCs/>
          <w:szCs w:val="22"/>
        </w:rPr>
      </w:pPr>
      <w:r>
        <w:rPr>
          <w:rFonts w:ascii="宋体" w:hAnsi="宋体"/>
          <w:bCs/>
          <w:szCs w:val="22"/>
        </w:rPr>
        <w:t xml:space="preserve">2.每一包装单元内应附详细的装箱单和质量合格凭证。</w:t>
      </w:r>
      <w:r/>
    </w:p>
    <w:p>
      <w:pPr>
        <w:ind w:firstLine="420"/>
        <w:jc w:val="left"/>
        <w:spacing w:line="360" w:lineRule="auto"/>
        <w:rPr>
          <w:rFonts w:hint="eastAsia" w:ascii="宋体" w:hAnsi="宋体"/>
          <w:bCs/>
          <w:szCs w:val="22"/>
        </w:rPr>
      </w:pPr>
      <w:r>
        <w:rPr>
          <w:rFonts w:ascii="宋体" w:hAnsi="宋体"/>
          <w:bCs/>
          <w:szCs w:val="22"/>
        </w:rPr>
        <w:t xml:space="preserve">3.乙方保证货物不存在危及人身及财产安全的产品缺陷，否则应承担全部法律责任。</w:t>
      </w:r>
      <w:r/>
    </w:p>
    <w:p>
      <w:pPr>
        <w:ind w:firstLine="420"/>
        <w:jc w:val="left"/>
        <w:spacing w:line="360" w:lineRule="auto"/>
        <w:rPr>
          <w:rFonts w:hint="eastAsia" w:ascii="宋体" w:hAnsi="宋体"/>
          <w:bCs/>
          <w:szCs w:val="22"/>
        </w:rPr>
      </w:pPr>
      <w:r>
        <w:rPr>
          <w:rFonts w:ascii="宋体" w:hAnsi="宋体"/>
          <w:bCs/>
          <w:szCs w:val="22"/>
        </w:rPr>
        <w:t xml:space="preserve">4.因货物的质量问题发生争议的，应当邀请有相关资质的质量检测机构对货物质量进行鉴定。鉴定费由乙方承担。</w:t>
      </w:r>
      <w:r/>
    </w:p>
    <w:p>
      <w:pPr>
        <w:ind w:firstLine="420"/>
        <w:jc w:val="left"/>
        <w:spacing w:line="360" w:lineRule="auto"/>
        <w:rPr>
          <w:rFonts w:hint="eastAsia" w:ascii="宋体" w:hAnsi="宋体"/>
          <w:bCs/>
          <w:szCs w:val="22"/>
        </w:rPr>
      </w:pPr>
      <w:r>
        <w:rPr>
          <w:rFonts w:ascii="宋体" w:hAnsi="宋体"/>
          <w:bCs/>
          <w:szCs w:val="22"/>
        </w:rPr>
        <w:t xml:space="preserve">5.验收要求详见招标文件中的采购需求。</w:t>
      </w:r>
      <w:r/>
    </w:p>
    <w:p>
      <w:pPr>
        <w:ind w:firstLine="422"/>
        <w:jc w:val="left"/>
        <w:spacing w:line="360" w:lineRule="auto"/>
        <w:rPr>
          <w:rFonts w:hint="eastAsia" w:ascii="宋体" w:hAnsi="宋体"/>
          <w:b/>
          <w:szCs w:val="22"/>
        </w:rPr>
      </w:pPr>
      <w:r>
        <w:rPr>
          <w:rFonts w:ascii="宋体" w:hAnsi="宋体"/>
          <w:b/>
          <w:szCs w:val="22"/>
        </w:rPr>
        <w:t xml:space="preserve">六、违约责任</w:t>
      </w:r>
      <w:r/>
    </w:p>
    <w:p>
      <w:pPr>
        <w:ind w:firstLine="420"/>
        <w:jc w:val="left"/>
        <w:spacing w:line="360" w:lineRule="auto"/>
        <w:rPr>
          <w:rFonts w:hint="eastAsia" w:ascii="宋体" w:hAnsi="宋体"/>
          <w:bCs/>
          <w:szCs w:val="22"/>
        </w:rPr>
      </w:pPr>
      <w:r>
        <w:rPr>
          <w:rFonts w:ascii="宋体" w:hAnsi="宋体"/>
          <w:bCs/>
          <w:szCs w:val="22"/>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ind w:firstLine="420"/>
        <w:jc w:val="left"/>
        <w:spacing w:line="360" w:lineRule="auto"/>
        <w:rPr>
          <w:rFonts w:hint="eastAsia" w:ascii="宋体" w:hAnsi="宋体"/>
          <w:bCs/>
          <w:szCs w:val="22"/>
        </w:rPr>
      </w:pPr>
      <w:r>
        <w:rPr>
          <w:rFonts w:ascii="宋体" w:hAnsi="宋体"/>
          <w:bCs/>
          <w:szCs w:val="22"/>
        </w:rPr>
        <w:t xml:space="preserve">2.乙方所交付的货物品种、型号、规格不符合合同规定的，甲方有权拒收，同时有权解除合同，解除合同的通知自发出之日生效。</w:t>
      </w:r>
      <w:r/>
    </w:p>
    <w:p>
      <w:pPr>
        <w:ind w:firstLine="420"/>
        <w:jc w:val="left"/>
        <w:spacing w:line="360" w:lineRule="auto"/>
        <w:rPr>
          <w:rFonts w:hint="eastAsia" w:ascii="宋体" w:hAnsi="宋体"/>
          <w:bCs/>
          <w:szCs w:val="22"/>
        </w:rPr>
      </w:pPr>
      <w:r>
        <w:rPr>
          <w:rFonts w:ascii="宋体" w:hAnsi="宋体"/>
          <w:bCs/>
          <w:szCs w:val="22"/>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firstLine="420"/>
        <w:jc w:val="left"/>
        <w:spacing w:line="360" w:lineRule="auto"/>
        <w:rPr>
          <w:rFonts w:hint="eastAsia" w:ascii="宋体" w:hAnsi="宋体"/>
          <w:bCs/>
          <w:szCs w:val="22"/>
        </w:rPr>
      </w:pPr>
      <w:r>
        <w:rPr>
          <w:rFonts w:ascii="宋体" w:hAnsi="宋体"/>
          <w:bCs/>
          <w:szCs w:val="22"/>
        </w:rPr>
        <w:t xml:space="preserve">4.乙方未按本合同的规定和“服务承诺”提供伴随服务/售后服务的，甲方有权提前解除本合同，同时乙方应按合同总价款的5%向甲方承担违约责任。</w:t>
      </w:r>
      <w:r/>
    </w:p>
    <w:p>
      <w:pPr>
        <w:ind w:firstLine="420"/>
        <w:jc w:val="left"/>
        <w:spacing w:line="360" w:lineRule="auto"/>
        <w:rPr>
          <w:rFonts w:hint="eastAsia" w:ascii="宋体" w:hAnsi="宋体"/>
          <w:bCs/>
          <w:szCs w:val="22"/>
        </w:rPr>
      </w:pPr>
      <w:r>
        <w:rPr>
          <w:rFonts w:ascii="宋体" w:hAnsi="宋体"/>
          <w:bCs/>
          <w:szCs w:val="22"/>
        </w:rPr>
        <w:t xml:space="preserve">5.乙方在承担上述一项或多项违约责任后，仍应继续履行合同规定的义务（甲方解除</w:t>
      </w:r>
      <w:r>
        <w:rPr>
          <w:rFonts w:ascii="宋体" w:hAnsi="宋体"/>
          <w:bCs/>
          <w:szCs w:val="22"/>
        </w:rPr>
        <w:t xml:space="preserve">合同的除外）。甲方未能及时追究乙方的任何一项违约责任并不表明甲方放弃追究乙方该项或其他违约责任。</w:t>
      </w:r>
      <w:r/>
    </w:p>
    <w:p>
      <w:pPr>
        <w:ind w:firstLine="420"/>
        <w:jc w:val="left"/>
        <w:spacing w:line="360" w:lineRule="auto"/>
        <w:rPr>
          <w:rFonts w:hint="eastAsia" w:ascii="宋体" w:hAnsi="宋体"/>
          <w:bCs/>
          <w:szCs w:val="22"/>
        </w:rPr>
      </w:pPr>
      <w:r>
        <w:rPr>
          <w:rFonts w:ascii="宋体" w:hAnsi="宋体"/>
          <w:bCs/>
          <w:szCs w:val="22"/>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p>
    <w:p>
      <w:pPr>
        <w:ind w:firstLine="420"/>
        <w:jc w:val="left"/>
        <w:spacing w:line="360" w:lineRule="auto"/>
        <w:rPr>
          <w:rFonts w:hint="eastAsia" w:ascii="宋体" w:hAnsi="宋体"/>
          <w:bCs/>
          <w:szCs w:val="22"/>
        </w:rPr>
      </w:pPr>
      <w:r>
        <w:rPr>
          <w:rFonts w:ascii="宋体" w:hAnsi="宋体"/>
          <w:bCs/>
          <w:szCs w:val="22"/>
        </w:rPr>
        <w:t xml:space="preserve">7.其他未尽事宜，以《民法典》等有关法律法规规定为准，无相关规定的，双方协商解决。</w:t>
      </w:r>
      <w:r/>
    </w:p>
    <w:p>
      <w:pPr>
        <w:pStyle w:val="852"/>
        <w:ind w:firstLine="422"/>
        <w:spacing w:line="360" w:lineRule="auto"/>
        <w:rPr>
          <w:rFonts w:hint="eastAsia" w:hAnsi="宋体"/>
          <w:b/>
          <w:bCs/>
        </w:rPr>
      </w:pPr>
      <w:r>
        <w:rPr>
          <w:rFonts w:hint="eastAsia" w:hAnsi="宋体"/>
          <w:b/>
          <w:bCs/>
        </w:rPr>
        <w:t xml:space="preserve">七、运维细则</w:t>
      </w:r>
      <w:r/>
    </w:p>
    <w:p>
      <w:pPr>
        <w:ind w:firstLine="420"/>
        <w:spacing w:line="360" w:lineRule="auto"/>
        <w:rPr>
          <w:rFonts w:hint="eastAsia" w:ascii="宋体" w:hAnsi="宋体"/>
        </w:rPr>
      </w:pPr>
      <w:r>
        <w:rPr>
          <w:rFonts w:hint="eastAsia" w:ascii="宋体" w:hAnsi="宋体"/>
        </w:rPr>
        <w:t xml:space="preserve">1.运维基础管理与安全保障</w:t>
      </w:r>
      <w:r/>
    </w:p>
    <w:p>
      <w:pPr>
        <w:ind w:firstLine="420"/>
        <w:spacing w:line="360" w:lineRule="auto"/>
        <w:rPr>
          <w:rFonts w:hint="eastAsia" w:ascii="宋体" w:hAnsi="宋体"/>
        </w:rPr>
      </w:pPr>
      <w:r>
        <w:rPr>
          <w:rFonts w:hint="eastAsia" w:ascii="宋体" w:hAnsi="宋体"/>
        </w:rPr>
        <w:t xml:space="preserve">人员资质与培训管理</w:t>
      </w:r>
      <w:r/>
    </w:p>
    <w:p>
      <w:pPr>
        <w:ind w:firstLine="420"/>
        <w:spacing w:line="360" w:lineRule="auto"/>
        <w:rPr>
          <w:rFonts w:hint="eastAsia" w:ascii="宋体" w:hAnsi="宋体"/>
        </w:rPr>
      </w:pPr>
      <w:r>
        <w:rPr>
          <w:rFonts w:hint="eastAsia" w:ascii="宋体" w:hAnsi="宋体"/>
        </w:rPr>
        <w:t xml:space="preserve">运维人员必须持有国家电网入网许可证、特种作业操作证，经安全生产教育、设备巡视、维护、操作、带电检测等岗位技能培训并考试合格后方可上岗。</w:t>
      </w:r>
      <w:r/>
    </w:p>
    <w:p>
      <w:pPr>
        <w:ind w:firstLine="420"/>
        <w:spacing w:line="360" w:lineRule="auto"/>
        <w:rPr>
          <w:rFonts w:hint="eastAsia" w:ascii="宋体" w:hAnsi="宋体"/>
        </w:rPr>
      </w:pPr>
      <w:r>
        <w:rPr>
          <w:rFonts w:hint="eastAsia" w:ascii="宋体" w:hAnsi="宋体"/>
        </w:rPr>
        <w:t xml:space="preserve">定期开展安全规程复训与应急演练，重点培训预制舱特殊环境（密闭空间、设备密集）下的作业安全规范。</w:t>
      </w:r>
      <w:r/>
    </w:p>
    <w:p>
      <w:pPr>
        <w:ind w:firstLine="420"/>
        <w:spacing w:line="360" w:lineRule="auto"/>
        <w:rPr>
          <w:rFonts w:hint="eastAsia" w:ascii="宋体" w:hAnsi="宋体"/>
        </w:rPr>
      </w:pPr>
      <w:r>
        <w:rPr>
          <w:rFonts w:hint="eastAsia" w:ascii="宋体" w:hAnsi="宋体"/>
        </w:rPr>
        <w:t xml:space="preserve">现场安全与标准化作业</w:t>
      </w:r>
      <w:r/>
    </w:p>
    <w:p>
      <w:pPr>
        <w:ind w:firstLine="420"/>
        <w:spacing w:line="360" w:lineRule="auto"/>
        <w:rPr>
          <w:rFonts w:hint="eastAsia" w:ascii="宋体" w:hAnsi="宋体"/>
        </w:rPr>
      </w:pPr>
      <w:r>
        <w:rPr>
          <w:rFonts w:hint="eastAsia" w:ascii="宋体" w:hAnsi="宋体"/>
        </w:rPr>
        <w:t xml:space="preserve">严格执行《国家电网公司电力安全工作规程》，落实“两票三制”（工作票、操作票；交接班制、巡回检查制、设备定期试验轮换制）。</w:t>
      </w:r>
      <w:r/>
    </w:p>
    <w:p>
      <w:pPr>
        <w:ind w:firstLine="420"/>
        <w:spacing w:line="360" w:lineRule="auto"/>
        <w:rPr>
          <w:rFonts w:hint="eastAsia" w:ascii="宋体" w:hAnsi="宋体"/>
        </w:rPr>
      </w:pPr>
      <w:r>
        <w:rPr>
          <w:rFonts w:hint="eastAsia" w:ascii="宋体" w:hAnsi="宋体"/>
        </w:rPr>
        <w:t xml:space="preserve">进入预制舱前执行验电、接地、挂牌上锁流程，配备合格的绝缘工具、防护用品及消防器材。</w:t>
      </w:r>
      <w:r/>
    </w:p>
    <w:p>
      <w:pPr>
        <w:ind w:firstLine="420"/>
        <w:spacing w:line="360" w:lineRule="auto"/>
        <w:rPr>
          <w:rFonts w:hint="eastAsia" w:ascii="宋体" w:hAnsi="宋体"/>
        </w:rPr>
      </w:pPr>
      <w:r>
        <w:rPr>
          <w:rFonts w:hint="eastAsia" w:ascii="宋体" w:hAnsi="宋体"/>
        </w:rPr>
        <w:t xml:space="preserve">制定预制舱专属巡视路线，针对无自动监视告警的设备（如部分机械开关）增加巡视频次，现场工器具按定置管理摆放，定期校验合格。</w:t>
      </w:r>
      <w:r/>
    </w:p>
    <w:p>
      <w:pPr>
        <w:ind w:firstLine="420"/>
        <w:spacing w:line="360" w:lineRule="auto"/>
        <w:rPr>
          <w:rFonts w:hint="eastAsia" w:ascii="宋体" w:hAnsi="宋体"/>
        </w:rPr>
      </w:pPr>
      <w:r>
        <w:rPr>
          <w:rFonts w:hint="eastAsia" w:ascii="宋体" w:hAnsi="宋体"/>
        </w:rPr>
        <w:t xml:space="preserve">2.预制舱本体及辅助系统运维</w:t>
      </w:r>
      <w:r/>
    </w:p>
    <w:p>
      <w:pPr>
        <w:ind w:firstLine="420"/>
        <w:spacing w:line="360" w:lineRule="auto"/>
        <w:rPr>
          <w:rFonts w:hint="eastAsia" w:ascii="宋体" w:hAnsi="宋体"/>
        </w:rPr>
      </w:pPr>
      <w:r>
        <w:rPr>
          <w:rFonts w:hint="eastAsia" w:ascii="宋体" w:hAnsi="宋体"/>
        </w:rPr>
        <w:t xml:space="preserve">（一）舱体与环境管理</w:t>
      </w:r>
      <w:r/>
    </w:p>
    <w:p>
      <w:pPr>
        <w:ind w:firstLine="420"/>
        <w:spacing w:line="360" w:lineRule="auto"/>
        <w:rPr>
          <w:rFonts w:hint="eastAsia" w:ascii="宋体" w:hAnsi="宋体"/>
        </w:rPr>
      </w:pPr>
      <w:r>
        <w:rPr>
          <w:rFonts w:hint="eastAsia" w:ascii="宋体" w:hAnsi="宋体"/>
        </w:rPr>
        <w:t xml:space="preserve">舱体结构与防护</w:t>
      </w:r>
      <w:r/>
    </w:p>
    <w:p>
      <w:pPr>
        <w:ind w:firstLine="420"/>
        <w:spacing w:line="360" w:lineRule="auto"/>
        <w:rPr>
          <w:rFonts w:hint="eastAsia" w:ascii="宋体" w:hAnsi="宋体"/>
        </w:rPr>
      </w:pPr>
      <w:r>
        <w:rPr>
          <w:rFonts w:hint="eastAsia" w:ascii="宋体" w:hAnsi="宋体"/>
        </w:rPr>
        <w:t xml:space="preserve">每日/每周检查舱体钢结构无变形、焊缝无开裂、螺栓无松动，密封胶条无老化脱落，电缆进出口封堵完好无渗水。</w:t>
      </w:r>
      <w:r/>
    </w:p>
    <w:p>
      <w:pPr>
        <w:ind w:firstLine="420"/>
        <w:spacing w:line="360" w:lineRule="auto"/>
        <w:rPr>
          <w:rFonts w:hint="eastAsia" w:ascii="宋体" w:hAnsi="宋体"/>
        </w:rPr>
      </w:pPr>
      <w:r>
        <w:rPr>
          <w:rFonts w:hint="eastAsia" w:ascii="宋体" w:hAnsi="宋体"/>
        </w:rPr>
        <w:t xml:space="preserve">每月检查舱体防腐涂层，对锈蚀部位进行除锈补漆，更换老化密封件；检查舱体基础无沉降、排水系统通畅，防止雨水倒灌。</w:t>
      </w:r>
      <w:r/>
    </w:p>
    <w:p>
      <w:pPr>
        <w:ind w:firstLine="420"/>
        <w:spacing w:line="360" w:lineRule="auto"/>
        <w:rPr>
          <w:rFonts w:hint="eastAsia" w:ascii="宋体" w:hAnsi="宋体"/>
        </w:rPr>
      </w:pPr>
      <w:r>
        <w:rPr>
          <w:rFonts w:hint="eastAsia" w:ascii="宋体" w:hAnsi="宋体"/>
        </w:rPr>
        <w:t xml:space="preserve">温湿度与环境控制</w:t>
      </w:r>
      <w:r/>
    </w:p>
    <w:p>
      <w:pPr>
        <w:ind w:firstLine="420"/>
        <w:spacing w:line="360" w:lineRule="auto"/>
        <w:rPr>
          <w:rFonts w:hint="eastAsia" w:ascii="宋体" w:hAnsi="宋体"/>
        </w:rPr>
      </w:pPr>
      <w:r>
        <w:rPr>
          <w:rFonts w:hint="eastAsia" w:ascii="宋体" w:hAnsi="宋体"/>
        </w:rPr>
        <w:t xml:space="preserve">每日监测舱内温度（5-40℃）、湿度（40%-70%），检查空调、除湿机自动启停功能，记录运行数据，防止凝露损坏干式变压器绕组、SVG模块等设备。</w:t>
      </w:r>
      <w:r/>
    </w:p>
    <w:p>
      <w:pPr>
        <w:ind w:firstLine="420"/>
        <w:spacing w:line="360" w:lineRule="auto"/>
        <w:rPr>
          <w:rFonts w:hint="eastAsia" w:ascii="宋体" w:hAnsi="宋体"/>
        </w:rPr>
      </w:pPr>
      <w:r>
        <w:rPr>
          <w:rFonts w:hint="eastAsia" w:ascii="宋体" w:hAnsi="宋体"/>
        </w:rPr>
        <w:t xml:space="preserve">定期清理空调滤网、除湿机排水管路，高温季节前对冷却系统进行全面保养，确保设备散热正常。</w:t>
      </w:r>
      <w:r/>
    </w:p>
    <w:p>
      <w:pPr>
        <w:ind w:firstLine="420"/>
        <w:spacing w:line="360" w:lineRule="auto"/>
        <w:rPr>
          <w:rFonts w:hint="eastAsia" w:ascii="宋体" w:hAnsi="宋体"/>
        </w:rPr>
      </w:pPr>
      <w:r>
        <w:rPr>
          <w:rFonts w:hint="eastAsia" w:ascii="宋体" w:hAnsi="宋体"/>
        </w:rPr>
        <w:t xml:space="preserve">安防与消防系统</w:t>
      </w:r>
      <w:r/>
    </w:p>
    <w:p>
      <w:pPr>
        <w:ind w:firstLine="420"/>
        <w:spacing w:line="360" w:lineRule="auto"/>
        <w:rPr>
          <w:rFonts w:hint="eastAsia" w:ascii="宋体" w:hAnsi="宋体"/>
        </w:rPr>
      </w:pPr>
      <w:r>
        <w:rPr>
          <w:rFonts w:hint="eastAsia" w:ascii="宋体" w:hAnsi="宋体"/>
        </w:rPr>
        <w:t xml:space="preserve">每日检查门禁、视频监控、红外报警系统在线正常，无异常告警；每月测试应急照明、疏散指示装置，确保功能完好。</w:t>
      </w:r>
      <w:r/>
    </w:p>
    <w:p>
      <w:pPr>
        <w:ind w:firstLine="420"/>
        <w:spacing w:line="360" w:lineRule="auto"/>
        <w:rPr>
          <w:rFonts w:hint="eastAsia" w:ascii="宋体" w:hAnsi="宋体"/>
        </w:rPr>
      </w:pPr>
      <w:r>
        <w:rPr>
          <w:rFonts w:hint="eastAsia" w:ascii="宋体" w:hAnsi="宋体"/>
        </w:rPr>
        <w:t xml:space="preserve">每月检查烟感、温感探测器，每年开展气体灭火系统模拟启动试验；定期检查灭火器有效期与压力，消防通道保持畅通无杂物。</w:t>
      </w:r>
      <w:r/>
    </w:p>
    <w:p>
      <w:pPr>
        <w:ind w:firstLine="420"/>
        <w:spacing w:line="360" w:lineRule="auto"/>
        <w:rPr>
          <w:rFonts w:hint="eastAsia" w:ascii="宋体" w:hAnsi="宋体"/>
        </w:rPr>
      </w:pPr>
      <w:r>
        <w:rPr>
          <w:rFonts w:hint="eastAsia" w:ascii="宋体" w:hAnsi="宋体"/>
        </w:rPr>
        <w:t xml:space="preserve">3.核心设备专项运维（按清单设备逐项明确）</w:t>
      </w:r>
      <w:r/>
    </w:p>
    <w:p>
      <w:pPr>
        <w:ind w:firstLine="420"/>
        <w:spacing w:line="360" w:lineRule="auto"/>
        <w:rPr>
          <w:rFonts w:hint="eastAsia" w:ascii="宋体" w:hAnsi="宋体"/>
        </w:rPr>
      </w:pPr>
      <w:r>
        <w:rPr>
          <w:rFonts w:hint="eastAsia" w:ascii="宋体" w:hAnsi="宋体"/>
        </w:rPr>
        <w:t xml:space="preserve">（一）SC(B)-1000/10干式变压器（1级能效）</w:t>
      </w:r>
      <w:r/>
    </w:p>
    <w:p>
      <w:pPr>
        <w:ind w:firstLine="420"/>
        <w:spacing w:line="360" w:lineRule="auto"/>
        <w:rPr>
          <w:rFonts w:hint="eastAsia" w:ascii="宋体" w:hAnsi="宋体"/>
        </w:rPr>
      </w:pPr>
      <w:r>
        <w:rPr>
          <w:rFonts w:hint="eastAsia" w:ascii="宋体" w:hAnsi="宋体"/>
        </w:rPr>
        <w:t xml:space="preserve">日常巡视（每日/每周）</w:t>
      </w:r>
      <w:r/>
    </w:p>
    <w:p>
      <w:pPr>
        <w:ind w:firstLine="420"/>
        <w:spacing w:line="360" w:lineRule="auto"/>
        <w:rPr>
          <w:rFonts w:hint="eastAsia" w:ascii="宋体" w:hAnsi="宋体"/>
        </w:rPr>
      </w:pPr>
      <w:r>
        <w:rPr>
          <w:rFonts w:hint="eastAsia" w:ascii="宋体" w:hAnsi="宋体"/>
        </w:rPr>
        <w:t xml:space="preserve">外观检查：罩壳完好无变形、无积尘，绕组表面无变色、无爬电痕迹，铁芯无锈蚀、无异常振动噪音。</w:t>
      </w:r>
      <w:r/>
    </w:p>
    <w:p>
      <w:pPr>
        <w:ind w:firstLine="420"/>
        <w:spacing w:line="360" w:lineRule="auto"/>
        <w:rPr>
          <w:rFonts w:hint="eastAsia" w:ascii="宋体" w:hAnsi="宋体"/>
        </w:rPr>
      </w:pPr>
      <w:r>
        <w:rPr>
          <w:rFonts w:hint="eastAsia" w:ascii="宋体" w:hAnsi="宋体"/>
        </w:rPr>
        <w:t xml:space="preserve">运行参数监测：记录三相电压、电流（负载率不超过额定值），温控器显示温度不超过100℃，风机启停正常，无过热告警。</w:t>
      </w:r>
      <w:r/>
    </w:p>
    <w:p>
      <w:pPr>
        <w:ind w:firstLine="420"/>
        <w:spacing w:line="360" w:lineRule="auto"/>
        <w:rPr>
          <w:rFonts w:hint="eastAsia" w:ascii="宋体" w:hAnsi="宋体"/>
        </w:rPr>
      </w:pPr>
      <w:r>
        <w:rPr>
          <w:rFonts w:hint="eastAsia" w:ascii="宋体" w:hAnsi="宋体"/>
        </w:rPr>
        <w:t xml:space="preserve">附件检查：分接开关位置正确（10±2×2.5%档位与运行方式匹配），接地装置连接牢固无锈蚀，低压母线连接部位无松动发热。</w:t>
      </w:r>
      <w:r/>
    </w:p>
    <w:p>
      <w:pPr>
        <w:ind w:firstLine="420"/>
        <w:spacing w:line="360" w:lineRule="auto"/>
        <w:rPr>
          <w:rFonts w:hint="eastAsia" w:ascii="宋体" w:hAnsi="宋体"/>
        </w:rPr>
      </w:pPr>
      <w:r>
        <w:rPr>
          <w:rFonts w:hint="eastAsia" w:ascii="宋体" w:hAnsi="宋体"/>
        </w:rPr>
        <w:t xml:space="preserve">定期维护（月度/季度/年度）</w:t>
      </w:r>
      <w:r/>
    </w:p>
    <w:p>
      <w:pPr>
        <w:ind w:firstLine="420"/>
        <w:spacing w:line="360" w:lineRule="auto"/>
        <w:rPr>
          <w:rFonts w:hint="eastAsia" w:ascii="宋体" w:hAnsi="宋体"/>
        </w:rPr>
      </w:pPr>
      <w:r>
        <w:rPr>
          <w:rFonts w:hint="eastAsia" w:ascii="宋体" w:hAnsi="宋体"/>
        </w:rPr>
        <w:t xml:space="preserve">月度：清扫绕组与铁芯表面积尘，紧固高低压接线端子螺栓，检查风机运行状态，记录设备噪音（≤65dB）。</w:t>
      </w:r>
      <w:r/>
    </w:p>
    <w:p>
      <w:pPr>
        <w:ind w:firstLine="420"/>
        <w:spacing w:line="360" w:lineRule="auto"/>
        <w:rPr>
          <w:rFonts w:hint="eastAsia" w:ascii="宋体" w:hAnsi="宋体"/>
        </w:rPr>
      </w:pPr>
      <w:r>
        <w:rPr>
          <w:rFonts w:hint="eastAsia" w:ascii="宋体" w:hAnsi="宋体"/>
        </w:rPr>
        <w:t xml:space="preserve">季度：检查温控器、风机联锁保护功能，测试超温报警、跳闸回路有效性；测量接地电阻，确保符合规范要求。</w:t>
      </w:r>
      <w:r/>
    </w:p>
    <w:p>
      <w:pPr>
        <w:ind w:firstLine="420"/>
        <w:spacing w:line="360" w:lineRule="auto"/>
        <w:rPr>
          <w:rFonts w:hint="eastAsia" w:ascii="宋体" w:hAnsi="宋体"/>
        </w:rPr>
      </w:pPr>
      <w:r>
        <w:rPr>
          <w:rFonts w:hint="eastAsia" w:ascii="宋体" w:hAnsi="宋体"/>
        </w:rPr>
        <w:t xml:space="preserve">年度：停电后进行深度清洁，开展绝缘电阻、直流电阻、变比测试，校验1级能效相关参数，对运行5年以上设备开展局部放电检测，评估绝缘老化情况。</w:t>
      </w:r>
      <w:r/>
    </w:p>
    <w:p>
      <w:pPr>
        <w:ind w:firstLine="420"/>
        <w:spacing w:line="360" w:lineRule="auto"/>
        <w:rPr>
          <w:rFonts w:hint="eastAsia" w:ascii="宋体" w:hAnsi="宋体"/>
        </w:rPr>
      </w:pPr>
      <w:r>
        <w:rPr>
          <w:rFonts w:hint="eastAsia" w:ascii="宋体" w:hAnsi="宋体"/>
        </w:rPr>
        <w:t xml:space="preserve">（二）KYN28-12高压开关柜（进线柜/计量柜/PT兼出线柜）</w:t>
      </w:r>
      <w:r/>
    </w:p>
    <w:p>
      <w:pPr>
        <w:ind w:firstLine="420"/>
        <w:spacing w:line="360" w:lineRule="auto"/>
        <w:rPr>
          <w:rFonts w:hint="eastAsia" w:ascii="宋体" w:hAnsi="宋体"/>
        </w:rPr>
      </w:pPr>
      <w:r>
        <w:rPr>
          <w:rFonts w:hint="eastAsia" w:ascii="宋体" w:hAnsi="宋体"/>
        </w:rPr>
        <w:t xml:space="preserve">日常巡视（每日/每周）</w:t>
      </w:r>
      <w:r/>
    </w:p>
    <w:p>
      <w:pPr>
        <w:ind w:firstLine="420"/>
        <w:spacing w:line="360" w:lineRule="auto"/>
        <w:rPr>
          <w:rFonts w:hint="eastAsia" w:ascii="宋体" w:hAnsi="宋体"/>
        </w:rPr>
      </w:pPr>
      <w:r>
        <w:rPr>
          <w:rFonts w:hint="eastAsia" w:ascii="宋体" w:hAnsi="宋体"/>
        </w:rPr>
        <w:t xml:space="preserve">进线柜：检查断路器位置指示与实际状态一致，SF6（若配置）压力正常无泄漏，三相CT运行无异常，微机保护装置无告警、零序电流保护功能正常。</w:t>
      </w:r>
      <w:r/>
    </w:p>
    <w:p>
      <w:pPr>
        <w:ind w:firstLine="420"/>
        <w:spacing w:line="360" w:lineRule="auto"/>
        <w:rPr>
          <w:rFonts w:hint="eastAsia" w:ascii="宋体" w:hAnsi="宋体"/>
        </w:rPr>
      </w:pPr>
      <w:r>
        <w:rPr>
          <w:rFonts w:hint="eastAsia" w:ascii="宋体" w:hAnsi="宋体"/>
        </w:rPr>
        <w:t xml:space="preserve">计量柜：检查计量仪表、电流/电压互感器运行正常，封印完好，无异常声响、异味，数据采集上传正常。</w:t>
      </w:r>
      <w:r/>
    </w:p>
    <w:p>
      <w:pPr>
        <w:ind w:firstLine="420"/>
        <w:spacing w:line="360" w:lineRule="auto"/>
        <w:rPr>
          <w:rFonts w:hint="eastAsia" w:ascii="宋体" w:hAnsi="宋体"/>
        </w:rPr>
      </w:pPr>
      <w:r>
        <w:rPr>
          <w:rFonts w:hint="eastAsia" w:ascii="宋体" w:hAnsi="宋体"/>
        </w:rPr>
        <w:t xml:space="preserve">PT兼出线柜：检查PT二次电压显示正常，无接地告警，断路器操作机构无卡涩，接地刀闸位置正确。</w:t>
      </w:r>
      <w:r/>
    </w:p>
    <w:p>
      <w:pPr>
        <w:ind w:firstLine="420"/>
        <w:spacing w:line="360" w:lineRule="auto"/>
        <w:rPr>
          <w:rFonts w:hint="eastAsia" w:ascii="宋体" w:hAnsi="宋体"/>
        </w:rPr>
      </w:pPr>
      <w:r>
        <w:rPr>
          <w:rFonts w:hint="eastAsia" w:ascii="宋体" w:hAnsi="宋体"/>
        </w:rPr>
        <w:t xml:space="preserve">定期维护与检测</w:t>
      </w:r>
      <w:r/>
    </w:p>
    <w:p>
      <w:pPr>
        <w:ind w:firstLine="420"/>
        <w:spacing w:line="360" w:lineRule="auto"/>
        <w:rPr>
          <w:rFonts w:hint="eastAsia" w:ascii="宋体" w:hAnsi="宋体"/>
        </w:rPr>
      </w:pPr>
      <w:r>
        <w:rPr>
          <w:rFonts w:hint="eastAsia" w:ascii="宋体" w:hAnsi="宋体"/>
        </w:rPr>
        <w:t xml:space="preserve">月度：清扫柜内灰尘，紧固二次接线端子，检查保护压板投退位置正确，核对定值与运行方式一致。</w:t>
      </w:r>
      <w:r/>
    </w:p>
    <w:p>
      <w:pPr>
        <w:ind w:firstLine="420"/>
        <w:spacing w:line="360" w:lineRule="auto"/>
        <w:rPr>
          <w:rFonts w:hint="eastAsia" w:ascii="宋体" w:hAnsi="宋体"/>
        </w:rPr>
      </w:pPr>
      <w:r>
        <w:rPr>
          <w:rFonts w:hint="eastAsia" w:ascii="宋体" w:hAnsi="宋体"/>
        </w:rPr>
        <w:t xml:space="preserve">季度：开展断路器机械特性检查（分合闸时间、弹跳），对触头、操作机构进行润滑维护；测试遥信、遥测、遥控功能，确保远动数据准确上传。</w:t>
      </w:r>
      <w:r/>
    </w:p>
    <w:p>
      <w:pPr>
        <w:ind w:firstLine="420"/>
        <w:spacing w:line="360" w:lineRule="auto"/>
        <w:rPr>
          <w:rFonts w:hint="eastAsia" w:ascii="宋体" w:hAnsi="宋体"/>
        </w:rPr>
      </w:pPr>
      <w:r>
        <w:rPr>
          <w:rFonts w:hint="eastAsia" w:ascii="宋体" w:hAnsi="宋体"/>
        </w:rPr>
        <w:t xml:space="preserve">年度：开展绝缘电阻、交流耐压、回路电阻测试，校验微机保护整组传动功能，对计</w:t>
      </w:r>
      <w:r>
        <w:rPr>
          <w:rFonts w:hint="eastAsia" w:ascii="宋体" w:hAnsi="宋体"/>
        </w:rPr>
        <w:t xml:space="preserve">量装置开展周期检定，确保计量准确。</w:t>
      </w:r>
      <w:r/>
    </w:p>
    <w:p>
      <w:pPr>
        <w:ind w:firstLine="420"/>
        <w:spacing w:line="360" w:lineRule="auto"/>
        <w:rPr>
          <w:rFonts w:hint="eastAsia" w:ascii="宋体" w:hAnsi="宋体"/>
        </w:rPr>
      </w:pPr>
      <w:r>
        <w:rPr>
          <w:rFonts w:hint="eastAsia" w:ascii="宋体" w:hAnsi="宋体"/>
        </w:rPr>
        <w:t xml:space="preserve">（三）GGD低压配电屏（总屏/出线屏）</w:t>
      </w:r>
      <w:r/>
    </w:p>
    <w:p>
      <w:pPr>
        <w:ind w:firstLine="420"/>
        <w:spacing w:line="360" w:lineRule="auto"/>
        <w:rPr>
          <w:rFonts w:hint="eastAsia" w:ascii="宋体" w:hAnsi="宋体"/>
        </w:rPr>
      </w:pPr>
      <w:r>
        <w:rPr>
          <w:rFonts w:hint="eastAsia" w:ascii="宋体" w:hAnsi="宋体"/>
        </w:rPr>
        <w:t xml:space="preserve">日常巡视（每日/每周）</w:t>
      </w:r>
      <w:r/>
    </w:p>
    <w:p>
      <w:pPr>
        <w:ind w:firstLine="420"/>
        <w:spacing w:line="360" w:lineRule="auto"/>
        <w:rPr>
          <w:rFonts w:hint="eastAsia" w:ascii="宋体" w:hAnsi="宋体"/>
        </w:rPr>
      </w:pPr>
      <w:r>
        <w:rPr>
          <w:rFonts w:hint="eastAsia" w:ascii="宋体" w:hAnsi="宋体"/>
        </w:rPr>
        <w:t xml:space="preserve">总屏：检查框架断路器运行状态，额定运行短路分断能力≥65kA，智能控制器无接地故障告警，报警与脱扣功能正常，母线、接线端子无发热变色。</w:t>
      </w:r>
      <w:r/>
    </w:p>
    <w:p>
      <w:pPr>
        <w:ind w:firstLine="420"/>
        <w:spacing w:line="360" w:lineRule="auto"/>
        <w:rPr>
          <w:rFonts w:hint="eastAsia" w:ascii="宋体" w:hAnsi="宋体"/>
        </w:rPr>
      </w:pPr>
      <w:r>
        <w:rPr>
          <w:rFonts w:hint="eastAsia" w:ascii="宋体" w:hAnsi="宋体"/>
        </w:rPr>
        <w:t xml:space="preserve">出线屏：检查塑壳断路器运行状态，额定运行短路分断能力≥50kA，电子脱扣器三段保护功能正常，三相电流平衡，出线电缆无过热、破损。</w:t>
      </w:r>
      <w:r/>
    </w:p>
    <w:p>
      <w:pPr>
        <w:ind w:firstLine="420"/>
        <w:spacing w:line="360" w:lineRule="auto"/>
        <w:rPr>
          <w:rFonts w:hint="eastAsia" w:ascii="宋体" w:hAnsi="宋体"/>
        </w:rPr>
      </w:pPr>
      <w:r>
        <w:rPr>
          <w:rFonts w:hint="eastAsia" w:ascii="宋体" w:hAnsi="宋体"/>
        </w:rPr>
        <w:t xml:space="preserve">定期维护与检测</w:t>
      </w:r>
      <w:r/>
    </w:p>
    <w:p>
      <w:pPr>
        <w:ind w:firstLine="420"/>
        <w:spacing w:line="360" w:lineRule="auto"/>
        <w:rPr>
          <w:rFonts w:hint="eastAsia" w:ascii="宋体" w:hAnsi="宋体"/>
        </w:rPr>
      </w:pPr>
      <w:r>
        <w:rPr>
          <w:rFonts w:hint="eastAsia" w:ascii="宋体" w:hAnsi="宋体"/>
        </w:rPr>
        <w:t xml:space="preserve">月度：清扫柜内灰尘，紧固母线与电缆接线端子，检查柜内温湿度，防止凝露导致短路；测试断路器操作机构灵活性。</w:t>
      </w:r>
      <w:r/>
    </w:p>
    <w:p>
      <w:pPr>
        <w:ind w:firstLine="420"/>
        <w:spacing w:line="360" w:lineRule="auto"/>
        <w:rPr>
          <w:rFonts w:hint="eastAsia" w:ascii="宋体" w:hAnsi="宋体"/>
        </w:rPr>
      </w:pPr>
      <w:r>
        <w:rPr>
          <w:rFonts w:hint="eastAsia" w:ascii="宋体" w:hAnsi="宋体"/>
        </w:rPr>
        <w:t xml:space="preserve">季度：校验智能控制器参数，测试接地故障保护的报警与脱扣动作逻辑；检查电容器、接触器等元件有无鼓包、漏液现象。</w:t>
      </w:r>
      <w:r/>
    </w:p>
    <w:p>
      <w:pPr>
        <w:ind w:firstLine="420"/>
        <w:spacing w:line="360" w:lineRule="auto"/>
        <w:rPr>
          <w:rFonts w:hint="eastAsia" w:ascii="宋体" w:hAnsi="宋体"/>
        </w:rPr>
      </w:pPr>
      <w:r>
        <w:rPr>
          <w:rFonts w:hint="eastAsia" w:ascii="宋体" w:hAnsi="宋体"/>
        </w:rPr>
        <w:t xml:space="preserve">年度：开展母线绝缘测试，对断路器进行机械寿命维护，校验脱扣器动作值，开展低压系统接地电阻测试，确保接地可靠。</w:t>
      </w:r>
      <w:r/>
    </w:p>
    <w:p>
      <w:pPr>
        <w:ind w:firstLine="420"/>
        <w:spacing w:line="360" w:lineRule="auto"/>
        <w:rPr>
          <w:rFonts w:hint="eastAsia" w:ascii="宋体" w:hAnsi="宋体"/>
        </w:rPr>
      </w:pPr>
      <w:r>
        <w:rPr>
          <w:rFonts w:hint="eastAsia" w:ascii="宋体" w:hAnsi="宋体"/>
        </w:rPr>
        <w:t xml:space="preserve">（四）300kvarSVG无功自动补偿装置</w:t>
      </w:r>
      <w:r/>
    </w:p>
    <w:p>
      <w:pPr>
        <w:ind w:firstLine="420"/>
        <w:spacing w:line="360" w:lineRule="auto"/>
        <w:rPr>
          <w:rFonts w:hint="eastAsia" w:ascii="宋体" w:hAnsi="宋体"/>
        </w:rPr>
      </w:pPr>
      <w:r>
        <w:rPr>
          <w:rFonts w:hint="eastAsia" w:ascii="宋体" w:hAnsi="宋体"/>
        </w:rPr>
        <w:t xml:space="preserve">日常巡视（每日/每周）</w:t>
      </w:r>
      <w:r/>
    </w:p>
    <w:p>
      <w:pPr>
        <w:ind w:firstLine="420"/>
        <w:spacing w:line="360" w:lineRule="auto"/>
        <w:rPr>
          <w:rFonts w:hint="eastAsia" w:ascii="宋体" w:hAnsi="宋体"/>
        </w:rPr>
      </w:pPr>
      <w:r>
        <w:rPr>
          <w:rFonts w:hint="eastAsia" w:ascii="宋体" w:hAnsi="宋体"/>
        </w:rPr>
        <w:t xml:space="preserve">外观检查：柜体无变形、无积尘，功率模块指示灯正常（绿色常亮），无红灯告警；接线端子无松动、无发热变色。</w:t>
      </w:r>
      <w:r/>
    </w:p>
    <w:p>
      <w:pPr>
        <w:ind w:firstLine="420"/>
        <w:spacing w:line="360" w:lineRule="auto"/>
        <w:rPr>
          <w:rFonts w:hint="eastAsia" w:ascii="宋体" w:hAnsi="宋体"/>
        </w:rPr>
      </w:pPr>
      <w:r>
        <w:rPr>
          <w:rFonts w:hint="eastAsia" w:ascii="宋体" w:hAnsi="宋体"/>
        </w:rPr>
        <w:t xml:space="preserve">运行状态监测：检查补偿容量与负载匹配，无过补偿/欠补偿告警，冷却风扇运行正常，散热器无积尘堵塞。</w:t>
      </w:r>
      <w:r/>
    </w:p>
    <w:p>
      <w:pPr>
        <w:ind w:firstLine="420"/>
        <w:spacing w:line="360" w:lineRule="auto"/>
        <w:rPr>
          <w:rFonts w:hint="eastAsia" w:ascii="宋体" w:hAnsi="宋体"/>
        </w:rPr>
      </w:pPr>
      <w:r>
        <w:rPr>
          <w:rFonts w:hint="eastAsia" w:ascii="宋体" w:hAnsi="宋体"/>
        </w:rPr>
        <w:t xml:space="preserve">定期维护与检测</w:t>
      </w:r>
      <w:r/>
    </w:p>
    <w:p>
      <w:pPr>
        <w:ind w:firstLine="420"/>
        <w:spacing w:line="360" w:lineRule="auto"/>
        <w:rPr>
          <w:rFonts w:hint="eastAsia" w:ascii="宋体" w:hAnsi="宋体"/>
        </w:rPr>
      </w:pPr>
      <w:r>
        <w:rPr>
          <w:rFonts w:hint="eastAsia" w:ascii="宋体" w:hAnsi="宋体"/>
        </w:rPr>
        <w:t xml:space="preserve">月度：清理散热器缝隙积尘，检查冷却风扇运行状态，紧固模块接线端子，检查控制电源电压稳定。</w:t>
      </w:r>
      <w:r/>
    </w:p>
    <w:p>
      <w:pPr>
        <w:ind w:firstLine="420"/>
        <w:spacing w:line="360" w:lineRule="auto"/>
        <w:rPr>
          <w:rFonts w:hint="eastAsia" w:ascii="宋体" w:hAnsi="宋体"/>
        </w:rPr>
      </w:pPr>
      <w:r>
        <w:rPr>
          <w:rFonts w:hint="eastAsia" w:ascii="宋体" w:hAnsi="宋体"/>
        </w:rPr>
        <w:t xml:space="preserve">季度：测试SVG模块补偿功能，校验控制装置参数，检查与低压总屏的通讯连接，确保无功补偿响应及时。</w:t>
      </w:r>
      <w:r/>
    </w:p>
    <w:p>
      <w:pPr>
        <w:ind w:firstLine="420"/>
        <w:spacing w:line="360" w:lineRule="auto"/>
        <w:rPr>
          <w:rFonts w:hint="eastAsia" w:ascii="宋体" w:hAnsi="宋体"/>
        </w:rPr>
      </w:pPr>
      <w:r>
        <w:rPr>
          <w:rFonts w:hint="eastAsia" w:ascii="宋体" w:hAnsi="宋体"/>
        </w:rPr>
        <w:t xml:space="preserve">年度：停电后对功率模块、IGBT进行深度清灰，开展绝缘测试与功能校验，检查散热系统水泵/风机状态，对老化元件进行更换，确保设备长期稳定运行。</w:t>
      </w:r>
      <w:r/>
    </w:p>
    <w:p>
      <w:pPr>
        <w:ind w:firstLine="420"/>
        <w:spacing w:line="360" w:lineRule="auto"/>
        <w:rPr>
          <w:rFonts w:hint="eastAsia" w:ascii="宋体" w:hAnsi="宋体"/>
        </w:rPr>
      </w:pPr>
      <w:r>
        <w:rPr>
          <w:rFonts w:hint="eastAsia" w:ascii="宋体" w:hAnsi="宋体"/>
        </w:rPr>
        <w:t xml:space="preserve">4.专业化检测与设备缺陷管理</w:t>
      </w:r>
      <w:r/>
    </w:p>
    <w:p>
      <w:pPr>
        <w:ind w:firstLine="420"/>
        <w:spacing w:line="360" w:lineRule="auto"/>
        <w:rPr>
          <w:rFonts w:hint="eastAsia" w:ascii="宋体" w:hAnsi="宋体"/>
        </w:rPr>
      </w:pPr>
      <w:r>
        <w:rPr>
          <w:rFonts w:hint="eastAsia" w:ascii="宋体" w:hAnsi="宋体"/>
        </w:rPr>
        <w:t xml:space="preserve">在线带电检测</w:t>
      </w:r>
      <w:r/>
    </w:p>
    <w:p>
      <w:pPr>
        <w:ind w:firstLine="420"/>
        <w:spacing w:line="360" w:lineRule="auto"/>
        <w:rPr>
          <w:rFonts w:hint="eastAsia" w:ascii="宋体" w:hAnsi="宋体"/>
        </w:rPr>
      </w:pPr>
      <w:r>
        <w:rPr>
          <w:rFonts w:hint="eastAsia" w:ascii="宋体" w:hAnsi="宋体"/>
        </w:rPr>
        <w:t xml:space="preserve">采用红外测温仪对变压器绕组、高压柜触头、低压柜母线、SVG模块等关键部位进行温度检测，排查发热缺陷。</w:t>
      </w:r>
      <w:r/>
    </w:p>
    <w:p>
      <w:pPr>
        <w:ind w:firstLine="420"/>
        <w:spacing w:line="360" w:lineRule="auto"/>
        <w:rPr>
          <w:rFonts w:hint="eastAsia" w:ascii="宋体" w:hAnsi="宋体"/>
        </w:rPr>
      </w:pPr>
      <w:r>
        <w:rPr>
          <w:rFonts w:hint="eastAsia" w:ascii="宋体" w:hAnsi="宋体"/>
        </w:rPr>
        <w:t xml:space="preserve">对干式变压器开展局部放电在线监测，对高压柜开展局放检测，评估设备绝缘状态；定期对电流/电压互感器开展带电校验，确保计量与保护准确。</w:t>
      </w:r>
      <w:r/>
    </w:p>
    <w:p>
      <w:pPr>
        <w:ind w:firstLine="420"/>
        <w:spacing w:line="360" w:lineRule="auto"/>
        <w:rPr>
          <w:rFonts w:hint="eastAsia" w:ascii="宋体" w:hAnsi="宋体"/>
        </w:rPr>
      </w:pPr>
      <w:r>
        <w:rPr>
          <w:rFonts w:hint="eastAsia" w:ascii="宋体" w:hAnsi="宋体"/>
        </w:rPr>
        <w:t xml:space="preserve">设备缺陷精细化管理</w:t>
      </w:r>
      <w:r/>
    </w:p>
    <w:p>
      <w:pPr>
        <w:ind w:firstLine="420"/>
        <w:spacing w:line="360" w:lineRule="auto"/>
        <w:rPr>
          <w:rFonts w:hint="eastAsia" w:ascii="宋体" w:hAnsi="宋体"/>
        </w:rPr>
      </w:pPr>
      <w:r>
        <w:rPr>
          <w:rFonts w:hint="eastAsia" w:ascii="宋体" w:hAnsi="宋体"/>
        </w:rPr>
        <w:t xml:space="preserve">建立缺陷台账，按一般、严重、危急等级分类管理，对巡视/检测发现的缺陷及时记录、拍照存档。</w:t>
      </w:r>
      <w:r/>
    </w:p>
    <w:p>
      <w:pPr>
        <w:ind w:firstLine="420"/>
        <w:spacing w:line="360" w:lineRule="auto"/>
        <w:rPr>
          <w:rFonts w:hint="eastAsia" w:ascii="宋体" w:hAnsi="宋体"/>
        </w:rPr>
      </w:pPr>
      <w:r>
        <w:rPr>
          <w:rFonts w:hint="eastAsia" w:ascii="宋体" w:hAnsi="宋体"/>
        </w:rPr>
        <w:t xml:space="preserve">与甲方沟通制定消缺方案，危急缺陷立即停运处理，严重缺陷限时消缺，一般缺陷纳入计划检修，消缺后进行验收闭环管理。</w:t>
      </w:r>
      <w:r/>
    </w:p>
    <w:p>
      <w:pPr>
        <w:ind w:firstLine="420"/>
        <w:spacing w:line="360" w:lineRule="auto"/>
        <w:rPr>
          <w:rFonts w:hint="eastAsia" w:ascii="宋体" w:hAnsi="宋体"/>
        </w:rPr>
      </w:pPr>
      <w:r>
        <w:rPr>
          <w:rFonts w:hint="eastAsia" w:ascii="宋体" w:hAnsi="宋体"/>
        </w:rPr>
        <w:t xml:space="preserve">标准化操作管理</w:t>
      </w:r>
      <w:r/>
    </w:p>
    <w:p>
      <w:pPr>
        <w:ind w:firstLine="420"/>
        <w:spacing w:line="360" w:lineRule="auto"/>
        <w:rPr>
          <w:rFonts w:hint="eastAsia" w:ascii="宋体" w:hAnsi="宋体"/>
        </w:rPr>
      </w:pPr>
      <w:r>
        <w:rPr>
          <w:rFonts w:hint="eastAsia" w:ascii="宋体" w:hAnsi="宋体"/>
        </w:rPr>
        <w:t xml:space="preserve">严格执行倒闸操作、停送电、设备投退等规程，操作全过程录音并归档保存。</w:t>
      </w:r>
      <w:r/>
    </w:p>
    <w:p>
      <w:pPr>
        <w:ind w:firstLine="420"/>
        <w:spacing w:line="360" w:lineRule="auto"/>
        <w:rPr>
          <w:rFonts w:hint="eastAsia" w:ascii="宋体" w:hAnsi="宋体"/>
        </w:rPr>
      </w:pPr>
      <w:r>
        <w:rPr>
          <w:rFonts w:hint="eastAsia" w:ascii="宋体" w:hAnsi="宋体"/>
        </w:rPr>
        <w:t xml:space="preserve">定期开展倒闸操作演练，确保运维人员熟练掌握高压柜、低压柜、SVG装置的操作流程，杜绝误操作风险。</w:t>
      </w:r>
      <w:r/>
    </w:p>
    <w:p>
      <w:pPr>
        <w:ind w:firstLine="420"/>
        <w:spacing w:line="360" w:lineRule="auto"/>
        <w:rPr>
          <w:rFonts w:hint="eastAsia" w:ascii="宋体" w:hAnsi="宋体"/>
        </w:rPr>
      </w:pPr>
      <w:r>
        <w:rPr>
          <w:rFonts w:hint="eastAsia" w:ascii="宋体" w:hAnsi="宋体"/>
        </w:rPr>
        <w:t xml:space="preserve">5.运维资料与资产管理</w:t>
      </w:r>
      <w:r/>
    </w:p>
    <w:p>
      <w:pPr>
        <w:ind w:firstLine="420"/>
        <w:spacing w:line="360" w:lineRule="auto"/>
        <w:rPr>
          <w:rFonts w:hint="eastAsia" w:ascii="宋体" w:hAnsi="宋体"/>
        </w:rPr>
      </w:pPr>
      <w:r>
        <w:rPr>
          <w:rFonts w:hint="eastAsia" w:ascii="宋体" w:hAnsi="宋体"/>
        </w:rPr>
        <w:t xml:space="preserve">记录与台账管理</w:t>
      </w:r>
      <w:r/>
    </w:p>
    <w:p>
      <w:pPr>
        <w:ind w:firstLine="420"/>
        <w:spacing w:line="360" w:lineRule="auto"/>
        <w:rPr>
          <w:rFonts w:hint="eastAsia" w:ascii="宋体" w:hAnsi="宋体"/>
        </w:rPr>
      </w:pPr>
      <w:r>
        <w:rPr>
          <w:rFonts w:hint="eastAsia" w:ascii="宋体" w:hAnsi="宋体"/>
        </w:rPr>
        <w:t xml:space="preserve">每日填写巡视记录，记录设备运行参数、温湿度、告警信息；每月/季度/年度维护、检测工作形成完整报告，包括缺陷处理记录、试验数据、设备状态评估。</w:t>
      </w:r>
      <w:r/>
    </w:p>
    <w:p>
      <w:pPr>
        <w:ind w:firstLine="420"/>
        <w:spacing w:line="360" w:lineRule="auto"/>
        <w:rPr>
          <w:rFonts w:hint="eastAsia" w:ascii="宋体" w:hAnsi="宋体"/>
        </w:rPr>
      </w:pPr>
      <w:r>
        <w:rPr>
          <w:rFonts w:hint="eastAsia" w:ascii="宋体" w:hAnsi="宋体"/>
        </w:rPr>
        <w:t xml:space="preserve">建立设备全生命周期台账，包含设备说明书、图纸、定值单、出厂试验报告、历次检修/试验记录，确保资料可追溯。</w:t>
      </w:r>
      <w:r/>
    </w:p>
    <w:p>
      <w:pPr>
        <w:ind w:firstLine="420"/>
        <w:spacing w:line="360" w:lineRule="auto"/>
        <w:rPr>
          <w:rFonts w:hint="eastAsia" w:ascii="宋体" w:hAnsi="宋体"/>
        </w:rPr>
      </w:pPr>
      <w:r>
        <w:rPr>
          <w:rFonts w:hint="eastAsia" w:ascii="宋体" w:hAnsi="宋体"/>
        </w:rPr>
        <w:t xml:space="preserve">设备状态评估与优化</w:t>
      </w:r>
      <w:r/>
    </w:p>
    <w:p>
      <w:pPr>
        <w:ind w:firstLine="420"/>
        <w:spacing w:line="360" w:lineRule="auto"/>
        <w:rPr>
          <w:rFonts w:hint="eastAsia" w:ascii="宋体" w:hAnsi="宋体"/>
        </w:rPr>
      </w:pPr>
      <w:r>
        <w:rPr>
          <w:rFonts w:hint="eastAsia" w:ascii="宋体" w:hAnsi="宋体"/>
        </w:rPr>
        <w:t xml:space="preserve">定期分析设备运行数据，对变压器负载率、SVG补偿效果、高低压柜运行工况进行评估，提出优化运行建议（如负载调整、参数优化）。</w:t>
      </w:r>
      <w:r/>
    </w:p>
    <w:p>
      <w:pPr>
        <w:ind w:firstLine="420"/>
        <w:spacing w:line="360" w:lineRule="auto"/>
        <w:rPr>
          <w:rFonts w:hint="eastAsia" w:ascii="宋体" w:hAnsi="宋体"/>
        </w:rPr>
      </w:pPr>
      <w:r>
        <w:rPr>
          <w:rFonts w:hint="eastAsia" w:ascii="宋体" w:hAnsi="宋体"/>
        </w:rPr>
        <w:t xml:space="preserve">针对预制舱设备密集的特点，评估舱内环境对设备寿命的影响，提出环境控制优化方案，延长设备使用寿命。</w:t>
      </w:r>
      <w:r/>
    </w:p>
    <w:p>
      <w:pPr>
        <w:ind w:firstLine="420"/>
        <w:spacing w:line="360" w:lineRule="auto"/>
        <w:rPr>
          <w:rFonts w:hint="eastAsia" w:ascii="宋体" w:hAnsi="宋体"/>
        </w:rPr>
      </w:pPr>
      <w:r>
        <w:rPr>
          <w:rFonts w:hint="eastAsia" w:ascii="宋体" w:hAnsi="宋体"/>
        </w:rPr>
        <w:t xml:space="preserve">6.应急处置与故障响应</w:t>
      </w:r>
      <w:r/>
    </w:p>
    <w:p>
      <w:pPr>
        <w:ind w:firstLine="420"/>
        <w:spacing w:line="360" w:lineRule="auto"/>
        <w:rPr>
          <w:rFonts w:hint="eastAsia" w:ascii="宋体" w:hAnsi="宋体"/>
        </w:rPr>
      </w:pPr>
      <w:r>
        <w:rPr>
          <w:rFonts w:hint="eastAsia" w:ascii="宋体" w:hAnsi="宋体"/>
        </w:rPr>
        <w:t xml:space="preserve">制定预制舱变电站专项应急预案，涵盖变压器过热、高压柜SF6泄漏、低压柜短路、SVG故障、舱内凝露、火灾等场景。</w:t>
      </w:r>
      <w:r/>
    </w:p>
    <w:p>
      <w:pPr>
        <w:ind w:firstLine="420"/>
        <w:spacing w:line="360" w:lineRule="auto"/>
        <w:rPr>
          <w:rFonts w:hint="eastAsia" w:ascii="宋体" w:hAnsi="宋体"/>
        </w:rPr>
      </w:pPr>
      <w:r>
        <w:rPr>
          <w:rFonts w:hint="eastAsia" w:ascii="宋体" w:hAnsi="宋体"/>
        </w:rPr>
        <w:t xml:space="preserve">发生故障时，运维人员立即按规程开展应急处置，隔离故障设备，上报甲方并配合开展抢修，故障处理后形成分析报告，制定防范措施。</w:t>
      </w:r>
      <w:r/>
    </w:p>
    <w:p>
      <w:pPr>
        <w:jc w:val="center"/>
        <w:spacing w:line="360" w:lineRule="auto"/>
        <w:rPr>
          <w:b/>
          <w:color w:val="000000"/>
          <w:sz w:val="36"/>
          <w:szCs w:val="36"/>
        </w:rPr>
        <w:outlineLvl w:val="0"/>
      </w:pPr>
      <w:r>
        <w:rPr>
          <w:b/>
          <w:color w:val="000000"/>
          <w:sz w:val="36"/>
          <w:szCs w:val="36"/>
        </w:rPr>
        <w:br w:type="page" w:clear="all"/>
      </w:r>
      <w:bookmarkStart w:id="358" w:name="_Toc31997"/>
      <w:r>
        <w:rPr>
          <w:b/>
          <w:color w:val="000000"/>
          <w:sz w:val="36"/>
          <w:szCs w:val="36"/>
        </w:rPr>
        <w:t xml:space="preserve">第六章</w:t>
      </w:r>
      <w:r>
        <w:rPr>
          <w:b/>
          <w:color w:val="000000"/>
          <w:sz w:val="36"/>
          <w:szCs w:val="36"/>
        </w:rPr>
        <w:t xml:space="preserve">   </w:t>
      </w:r>
      <w:r>
        <w:rPr>
          <w:b/>
          <w:color w:val="000000"/>
          <w:sz w:val="36"/>
          <w:szCs w:val="36"/>
        </w:rPr>
        <w:t xml:space="preserve">拟签订的合同文本</w:t>
      </w:r>
      <w:bookmarkEnd w:id="358"/>
      <w:r/>
      <w:r/>
    </w:p>
    <w:p>
      <w:pPr>
        <w:pStyle w:val="866"/>
        <w:spacing w:line="400" w:lineRule="exact"/>
        <w:rPr>
          <w:rFonts w:hint="default" w:cs="宋体"/>
          <w:szCs w:val="21"/>
        </w:rPr>
      </w:pPr>
      <w:r>
        <w:rPr>
          <w:rFonts w:cs="宋体"/>
          <w:b/>
          <w:szCs w:val="21"/>
          <w:lang w:val="zh-CN"/>
        </w:rPr>
        <w:t xml:space="preserve">采购人（以下称甲</w:t>
      </w:r>
      <w:r>
        <w:rPr>
          <w:rFonts w:cs="宋体"/>
          <w:b/>
          <w:szCs w:val="21"/>
        </w:rPr>
        <w:t xml:space="preserve">方）:                       </w:t>
      </w:r>
      <w:r>
        <w:rPr>
          <w:rFonts w:cs="宋体"/>
          <w:szCs w:val="21"/>
        </w:rPr>
        <w:t xml:space="preserve">合同编号：</w:t>
      </w:r>
      <w:r/>
    </w:p>
    <w:p>
      <w:pPr>
        <w:pStyle w:val="866"/>
        <w:spacing w:line="400" w:lineRule="exact"/>
        <w:rPr>
          <w:rFonts w:hint="default" w:cs="宋体"/>
          <w:szCs w:val="21"/>
          <w:u w:val="single"/>
        </w:rPr>
      </w:pPr>
      <w:r>
        <w:rPr>
          <w:rFonts w:cs="宋体"/>
          <w:b/>
          <w:szCs w:val="21"/>
        </w:rPr>
        <w:t xml:space="preserve">供应商（</w:t>
      </w:r>
      <w:r>
        <w:rPr>
          <w:rFonts w:cs="宋体"/>
          <w:b/>
          <w:szCs w:val="21"/>
          <w:lang w:val="zh-CN"/>
        </w:rPr>
        <w:t xml:space="preserve">以下称</w:t>
      </w:r>
      <w:r>
        <w:rPr>
          <w:rFonts w:cs="宋体"/>
          <w:b/>
          <w:szCs w:val="21"/>
        </w:rPr>
        <w:t xml:space="preserve">乙方）:                       </w:t>
      </w:r>
      <w:r>
        <w:rPr>
          <w:rFonts w:cs="宋体"/>
          <w:szCs w:val="21"/>
        </w:rPr>
        <w:t xml:space="preserve">签订地点：</w:t>
      </w:r>
      <w:r/>
    </w:p>
    <w:p>
      <w:pPr>
        <w:pStyle w:val="855"/>
        <w:ind w:firstLine="4620"/>
        <w:spacing w:line="400" w:lineRule="exact"/>
        <w:rPr>
          <w:rFonts w:hint="eastAsia" w:hAnsi="宋体" w:cs="宋体"/>
          <w:b/>
          <w:sz w:val="21"/>
        </w:rPr>
      </w:pPr>
      <w:r>
        <w:rPr>
          <w:rFonts w:hint="eastAsia" w:cs="宋体"/>
          <w:sz w:val="21"/>
        </w:rPr>
        <w:t xml:space="preserve">合同时间：</w:t>
      </w:r>
      <w:r>
        <w:rPr>
          <w:rFonts w:cs="宋体"/>
          <w:sz w:val="21"/>
          <w:u w:val="single"/>
        </w:rPr>
        <w:t xml:space="preserve">          </w:t>
      </w:r>
      <w:r>
        <w:rPr>
          <w:rFonts w:hint="eastAsia" w:cs="宋体"/>
          <w:sz w:val="21"/>
          <w:u w:val="single"/>
        </w:rPr>
        <w:t xml:space="preserve">年</w:t>
      </w:r>
      <w:r>
        <w:rPr>
          <w:rFonts w:cs="宋体"/>
          <w:sz w:val="21"/>
          <w:u w:val="single"/>
        </w:rPr>
        <w:t xml:space="preserve">   </w:t>
      </w:r>
      <w:r>
        <w:rPr>
          <w:rFonts w:hint="eastAsia" w:cs="宋体"/>
          <w:sz w:val="21"/>
          <w:u w:val="single"/>
        </w:rPr>
        <w:t xml:space="preserve">月</w:t>
      </w:r>
      <w:r>
        <w:rPr>
          <w:rFonts w:cs="宋体"/>
          <w:sz w:val="21"/>
          <w:u w:val="single"/>
        </w:rPr>
        <w:t xml:space="preserve">   </w:t>
      </w:r>
      <w:r>
        <w:rPr>
          <w:rFonts w:hint="eastAsia" w:cs="宋体"/>
          <w:sz w:val="21"/>
          <w:u w:val="single"/>
        </w:rPr>
        <w:t xml:space="preserve">日</w:t>
      </w:r>
      <w:r/>
    </w:p>
    <w:p>
      <w:pPr>
        <w:pStyle w:val="866"/>
        <w:ind w:firstLine="424"/>
        <w:spacing w:line="360" w:lineRule="exact"/>
        <w:rPr>
          <w:rFonts w:hAnsi="宋体" w:cs="宋体"/>
          <w:szCs w:val="21"/>
        </w:rPr>
      </w:pPr>
      <w:r>
        <w:rPr>
          <w:rFonts w:hAnsi="宋体" w:cs="宋体"/>
          <w:szCs w:val="21"/>
        </w:rPr>
        <w:t xml:space="preserve">甲乙双方依据《中华人民共和国民法典》以及有关法律、法规的规定，经协商一致，订立本合同，以便共同遵守。</w:t>
      </w:r>
      <w:r/>
    </w:p>
    <w:p>
      <w:pPr>
        <w:pStyle w:val="866"/>
        <w:ind w:firstLine="426"/>
        <w:spacing w:line="360" w:lineRule="exact"/>
        <w:rPr>
          <w:rFonts w:hAnsi="宋体" w:cs="宋体"/>
          <w:b/>
          <w:szCs w:val="21"/>
        </w:rPr>
      </w:pPr>
      <w:r>
        <w:rPr>
          <w:rFonts w:hAnsi="宋体" w:cs="宋体"/>
          <w:b/>
          <w:szCs w:val="21"/>
        </w:rPr>
        <w:t xml:space="preserve">第一条 合同标的</w:t>
      </w:r>
      <w:r/>
    </w:p>
    <w:p>
      <w:pPr>
        <w:ind w:firstLine="424"/>
        <w:spacing w:line="360" w:lineRule="exact"/>
        <w:rPr>
          <w:rFonts w:hint="eastAsia" w:ascii="宋体" w:hAnsi="宋体" w:cs="宋体"/>
          <w:lang w:val="zh-CN"/>
        </w:rPr>
      </w:pPr>
      <w:r>
        <w:rPr>
          <w:rFonts w:hint="eastAsia" w:ascii="宋体" w:hAnsi="宋体" w:cs="宋体"/>
          <w:lang w:val="zh-CN"/>
        </w:rPr>
        <w:t xml:space="preserve">乙方根据甲方需求提供下列服务：</w:t>
      </w:r>
      <w:r>
        <w:rPr>
          <w:rFonts w:hint="eastAsia" w:ascii="宋体" w:hAnsi="宋体" w:cs="宋体"/>
          <w:b/>
          <w:bCs/>
          <w:u w:val="single"/>
        </w:rPr>
        <w:t xml:space="preserve">                          </w:t>
      </w:r>
      <w:r>
        <w:rPr>
          <w:rFonts w:hint="eastAsia" w:ascii="宋体" w:hAnsi="宋体" w:cs="宋体"/>
        </w:rPr>
        <w:t xml:space="preserve"> </w:t>
      </w:r>
      <w:r>
        <w:rPr>
          <w:rFonts w:hint="eastAsia" w:ascii="宋体" w:hAnsi="宋体" w:cs="宋体"/>
          <w:lang w:val="zh-CN"/>
        </w:rPr>
        <w:t xml:space="preserve">，</w:t>
      </w:r>
      <w:r>
        <w:rPr>
          <w:rFonts w:hint="eastAsia" w:ascii="宋体" w:hAnsi="宋体"/>
        </w:rPr>
        <w:t xml:space="preserve">系指根据合同规定乙方须承担与服务有关的所有辅助服务</w:t>
      </w:r>
      <w:r>
        <w:rPr>
          <w:rFonts w:hint="eastAsia" w:ascii="宋体" w:hAnsi="宋体" w:cs="宋体"/>
          <w:lang w:val="zh-CN"/>
        </w:rPr>
        <w:t xml:space="preserve">。</w:t>
      </w:r>
      <w:r/>
    </w:p>
    <w:p>
      <w:pPr>
        <w:pStyle w:val="866"/>
        <w:ind w:firstLine="426"/>
        <w:spacing w:line="360" w:lineRule="exact"/>
        <w:rPr>
          <w:rFonts w:hAnsi="宋体" w:cs="宋体"/>
          <w:b/>
          <w:szCs w:val="21"/>
        </w:rPr>
      </w:pPr>
      <w:r>
        <w:rPr>
          <w:rFonts w:hAnsi="宋体" w:cs="宋体"/>
          <w:b/>
          <w:szCs w:val="21"/>
        </w:rPr>
        <w:t xml:space="preserve">第二条 合同价格</w:t>
      </w:r>
      <w:r/>
    </w:p>
    <w:p>
      <w:pPr>
        <w:pStyle w:val="866"/>
        <w:ind w:firstLine="426"/>
        <w:spacing w:line="360" w:lineRule="exact"/>
        <w:rPr>
          <w:rFonts w:hAnsi="宋体" w:cs="宋体"/>
          <w:b/>
          <w:szCs w:val="21"/>
        </w:rPr>
      </w:pPr>
      <w:r>
        <w:rPr>
          <w:rFonts w:hAnsi="宋体" w:cs="宋体"/>
          <w:b/>
          <w:szCs w:val="21"/>
        </w:rPr>
        <w:t xml:space="preserve">签约合同总价（人民币，下同）：</w:t>
      </w:r>
      <w:r>
        <w:rPr>
          <w:rFonts w:hAnsi="宋体" w:cs="宋体"/>
          <w:b/>
          <w:szCs w:val="21"/>
          <w:u w:val="single"/>
        </w:rPr>
        <w:t xml:space="preserve">                 </w:t>
      </w:r>
      <w:r>
        <w:rPr>
          <w:rFonts w:hAnsi="宋体" w:cs="宋体"/>
          <w:b/>
          <w:szCs w:val="21"/>
        </w:rPr>
        <w:t xml:space="preserve">（小写：          元 ）。 </w:t>
      </w:r>
      <w:r/>
    </w:p>
    <w:p>
      <w:pPr>
        <w:pStyle w:val="866"/>
        <w:ind w:firstLine="424"/>
        <w:spacing w:line="360" w:lineRule="exact"/>
        <w:rPr>
          <w:rFonts w:hAnsi="宋体" w:cs="宋体"/>
          <w:szCs w:val="21"/>
        </w:rPr>
      </w:pPr>
      <w:r>
        <w:rPr>
          <w:rFonts w:hAnsi="宋体" w:cs="宋体"/>
          <w:szCs w:val="21"/>
        </w:rPr>
        <w:t xml:space="preserve">本合同总价包括采购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866"/>
        <w:ind w:firstLine="424"/>
        <w:spacing w:line="360" w:lineRule="exact"/>
        <w:rPr>
          <w:rFonts w:hAnsi="宋体" w:cs="宋体"/>
          <w:szCs w:val="21"/>
        </w:rPr>
      </w:pPr>
      <w:r>
        <w:rPr>
          <w:rFonts w:hAnsi="宋体" w:cs="宋体"/>
          <w:szCs w:val="21"/>
        </w:rPr>
        <w:t xml:space="preserve">本合同总价款还包含乙方应当提供的伴随服务/售后服务费用。</w:t>
      </w:r>
      <w:r/>
    </w:p>
    <w:p>
      <w:pPr>
        <w:pStyle w:val="866"/>
        <w:ind w:firstLine="426"/>
        <w:spacing w:line="360" w:lineRule="exact"/>
        <w:rPr>
          <w:rFonts w:hAnsi="宋体" w:cs="宋体"/>
          <w:b/>
          <w:szCs w:val="21"/>
        </w:rPr>
      </w:pPr>
      <w:r>
        <w:rPr>
          <w:rFonts w:hAnsi="宋体" w:cs="宋体"/>
          <w:b/>
          <w:szCs w:val="21"/>
        </w:rPr>
        <w:t xml:space="preserve">第三条 组成本合同的有关文件</w:t>
      </w:r>
      <w:r/>
    </w:p>
    <w:p>
      <w:pPr>
        <w:pStyle w:val="866"/>
        <w:ind w:firstLine="424"/>
        <w:spacing w:line="360" w:lineRule="exact"/>
        <w:rPr>
          <w:rFonts w:hAnsi="宋体" w:cs="宋体"/>
          <w:szCs w:val="21"/>
        </w:rPr>
      </w:pPr>
      <w:r>
        <w:rPr>
          <w:rFonts w:hAnsi="宋体" w:cs="宋体"/>
          <w:szCs w:val="21"/>
        </w:rPr>
        <w:t xml:space="preserve">下列与本次采购活动有关的文件及有关附件是本合同不可分割的组成部分，与本合同具有同等法律效力，这些文件包括但不限于：</w:t>
      </w:r>
      <w:r/>
    </w:p>
    <w:p>
      <w:pPr>
        <w:pStyle w:val="866"/>
        <w:numPr>
          <w:ilvl w:val="0"/>
          <w:numId w:val="13"/>
        </w:numPr>
        <w:ind w:firstLine="424"/>
        <w:spacing w:line="360" w:lineRule="exact"/>
        <w:rPr>
          <w:rFonts w:hAnsi="宋体" w:cs="宋体"/>
          <w:szCs w:val="21"/>
        </w:rPr>
      </w:pPr>
      <w:r>
        <w:rPr>
          <w:rFonts w:hAnsi="宋体" w:cs="宋体"/>
          <w:szCs w:val="21"/>
        </w:rPr>
        <w:t xml:space="preserve">采购文件（编号： ）  </w:t>
      </w:r>
      <w:r/>
    </w:p>
    <w:p>
      <w:pPr>
        <w:pStyle w:val="866"/>
        <w:numPr>
          <w:ilvl w:val="0"/>
          <w:numId w:val="13"/>
        </w:numPr>
        <w:ind w:firstLine="424"/>
        <w:spacing w:line="360" w:lineRule="exact"/>
        <w:rPr>
          <w:rFonts w:hAnsi="宋体" w:cs="宋体"/>
          <w:szCs w:val="21"/>
        </w:rPr>
      </w:pPr>
      <w:r>
        <w:rPr>
          <w:rFonts w:hAnsi="宋体" w:cs="宋体"/>
          <w:szCs w:val="21"/>
        </w:rPr>
        <w:t xml:space="preserve">乙方提供的</w:t>
      </w:r>
      <w:r>
        <w:rPr>
          <w:rFonts w:hAnsi="宋体" w:cs="宋体"/>
          <w:szCs w:val="21"/>
        </w:rPr>
        <w:t xml:space="preserve">投标文件</w:t>
      </w:r>
      <w:r>
        <w:rPr>
          <w:rFonts w:hAnsi="宋体" w:cs="宋体"/>
          <w:szCs w:val="21"/>
        </w:rPr>
        <w:t xml:space="preserve">； </w:t>
      </w:r>
      <w:r/>
    </w:p>
    <w:p>
      <w:pPr>
        <w:pStyle w:val="866"/>
        <w:numPr>
          <w:ilvl w:val="0"/>
          <w:numId w:val="13"/>
        </w:numPr>
        <w:ind w:firstLine="424"/>
        <w:spacing w:line="360" w:lineRule="exact"/>
        <w:rPr>
          <w:rFonts w:hAnsi="宋体" w:cs="宋体"/>
          <w:szCs w:val="21"/>
        </w:rPr>
      </w:pPr>
      <w:r>
        <w:rPr>
          <w:rFonts w:hAnsi="宋体" w:cs="宋体"/>
          <w:szCs w:val="21"/>
        </w:rPr>
        <w:t xml:space="preserve">成交通知书；                             </w:t>
      </w:r>
      <w:r/>
    </w:p>
    <w:p>
      <w:pPr>
        <w:pStyle w:val="866"/>
        <w:numPr>
          <w:ilvl w:val="0"/>
          <w:numId w:val="13"/>
        </w:numPr>
        <w:ind w:firstLine="424"/>
        <w:spacing w:line="360" w:lineRule="exact"/>
        <w:rPr>
          <w:rFonts w:hAnsi="宋体" w:cs="宋体"/>
          <w:szCs w:val="21"/>
        </w:rPr>
      </w:pPr>
      <w:r>
        <w:rPr>
          <w:rFonts w:hAnsi="宋体" w:cs="宋体"/>
          <w:szCs w:val="21"/>
        </w:rPr>
        <w:t xml:space="preserve">甲乙双方商定的其他文件等。</w:t>
      </w:r>
      <w:r/>
    </w:p>
    <w:p>
      <w:pPr>
        <w:ind w:firstLine="426"/>
        <w:spacing w:line="360" w:lineRule="exact"/>
        <w:rPr>
          <w:rFonts w:hint="eastAsia" w:ascii="宋体" w:hAnsi="宋体"/>
          <w:b/>
        </w:rPr>
      </w:pPr>
      <w:r>
        <w:rPr>
          <w:rFonts w:hint="eastAsia" w:ascii="宋体" w:hAnsi="宋体"/>
          <w:b/>
        </w:rPr>
        <w:t xml:space="preserve">第四条</w:t>
      </w:r>
      <w:r>
        <w:rPr>
          <w:rFonts w:ascii="宋体" w:hAnsi="宋体"/>
          <w:b/>
        </w:rPr>
        <w:t xml:space="preserve"> </w:t>
      </w:r>
      <w:r>
        <w:rPr>
          <w:rFonts w:hint="eastAsia" w:ascii="宋体" w:hAnsi="宋体"/>
          <w:b/>
        </w:rPr>
        <w:t xml:space="preserve">合同款结算及支付</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本合同项下所有款项均以人民币支付。</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本合同项下的采购资金由甲方自行支付，乙方向甲方开具发票。</w:t>
      </w:r>
      <w:r/>
    </w:p>
    <w:p>
      <w:pPr>
        <w:ind w:firstLine="420"/>
        <w:jc w:val="left"/>
        <w:spacing w:line="360" w:lineRule="auto"/>
      </w:pPr>
      <w:r>
        <w:rPr>
          <w:rFonts w:ascii="宋体" w:hAnsi="宋体"/>
        </w:rPr>
        <w:t xml:space="preserve">3.</w:t>
      </w:r>
      <w:r>
        <w:rPr>
          <w:rFonts w:hint="eastAsia" w:ascii="宋体" w:hAnsi="宋体"/>
        </w:rPr>
        <w:t xml:space="preserve">付款方式：</w:t>
      </w:r>
      <w:r>
        <w:rPr>
          <w:rFonts w:hint="eastAsia" w:ascii="宋体"/>
        </w:rPr>
        <w:t xml:space="preserve">签订合同后预付合同价40%，设备进场后支付至合同价的60%，安装结束并经甲方验收合格支付至合同价97%，质保期满2年后支付至100%合同价。（按实结算、凭票结算）</w:t>
      </w:r>
      <w:r/>
    </w:p>
    <w:p>
      <w:pPr>
        <w:ind w:firstLine="424"/>
        <w:spacing w:line="360" w:lineRule="exact"/>
        <w:rPr>
          <w:rFonts w:hint="eastAsia" w:ascii="宋体" w:hAnsi="宋体"/>
        </w:rPr>
      </w:pPr>
      <w:r>
        <w:rPr>
          <w:rFonts w:ascii="宋体" w:hAnsi="宋体"/>
        </w:rPr>
        <w:t xml:space="preserve">4.</w:t>
      </w:r>
      <w:r>
        <w:rPr>
          <w:rFonts w:hint="eastAsia" w:ascii="宋体" w:hAnsi="宋体"/>
        </w:rPr>
        <w:t xml:space="preserve">成交单位应根据采购人及相关主管部门的要求办理相关付款手续。</w:t>
      </w:r>
      <w:r/>
    </w:p>
    <w:p>
      <w:pPr>
        <w:ind w:firstLine="426"/>
        <w:spacing w:line="360" w:lineRule="exact"/>
        <w:rPr>
          <w:rFonts w:ascii="宋体"/>
          <w:b/>
        </w:rPr>
      </w:pPr>
      <w:r>
        <w:rPr>
          <w:rFonts w:hint="eastAsia" w:ascii="宋体" w:hAnsi="宋体"/>
          <w:b/>
        </w:rPr>
        <w:t xml:space="preserve">第五条</w:t>
      </w:r>
      <w:r>
        <w:rPr>
          <w:rFonts w:ascii="宋体" w:hAnsi="宋体"/>
          <w:b/>
        </w:rPr>
        <w:t xml:space="preserve"> </w:t>
      </w:r>
      <w:r>
        <w:rPr>
          <w:rFonts w:hint="eastAsia" w:ascii="宋体" w:hAnsi="宋体"/>
          <w:b/>
        </w:rPr>
        <w:t xml:space="preserve">违约责任</w:t>
      </w:r>
      <w:r/>
    </w:p>
    <w:p>
      <w:pPr>
        <w:ind w:firstLine="420"/>
        <w:spacing w:line="360" w:lineRule="exact"/>
        <w:rPr>
          <w:rFonts w:ascii="宋体"/>
        </w:rPr>
      </w:pPr>
      <w:r>
        <w:rPr>
          <w:rFonts w:ascii="宋体" w:hAnsi="宋体"/>
        </w:rPr>
        <w:t xml:space="preserve">1.</w:t>
      </w:r>
      <w:r>
        <w:rPr>
          <w:rFonts w:hint="eastAsia" w:ascii="宋体" w:hAnsi="宋体"/>
        </w:rPr>
        <w:t xml:space="preserve">如乙方不能按约定进行服务的，甲方有权解除合同，乙方按照合同总价</w:t>
      </w:r>
      <w:r>
        <w:rPr>
          <w:rFonts w:ascii="宋体" w:hAnsi="宋体"/>
        </w:rPr>
        <w:t xml:space="preserve">5%</w:t>
      </w:r>
      <w:r>
        <w:rPr>
          <w:rFonts w:hint="eastAsia" w:ascii="宋体" w:hAnsi="宋体"/>
        </w:rPr>
        <w:t xml:space="preserve">的标准支付违约金，解除合同的通知自发出之日生效。</w:t>
      </w:r>
      <w:r/>
    </w:p>
    <w:p>
      <w:pPr>
        <w:ind w:firstLine="420"/>
        <w:spacing w:line="360" w:lineRule="exact"/>
        <w:rPr>
          <w:rFonts w:hint="eastAsia" w:ascii="宋体" w:hAnsi="宋体"/>
        </w:rPr>
      </w:pPr>
      <w:r>
        <w:rPr>
          <w:rFonts w:ascii="宋体" w:hAnsi="宋体"/>
        </w:rPr>
        <w:t xml:space="preserve">2.</w:t>
      </w:r>
      <w:r>
        <w:rPr>
          <w:rFonts w:hint="eastAsia" w:ascii="宋体" w:hAnsi="宋体"/>
        </w:rPr>
        <w:t xml:space="preserve">甲方未按合同规定的期限向乙方支付货款的，逾期不支付滞纳金。</w:t>
      </w:r>
      <w:r/>
    </w:p>
    <w:p>
      <w:pPr>
        <w:ind w:firstLine="420"/>
        <w:spacing w:line="360" w:lineRule="exact"/>
        <w:rPr>
          <w:rFonts w:ascii="宋体"/>
        </w:rPr>
      </w:pPr>
      <w:r>
        <w:rPr>
          <w:rFonts w:hint="eastAsia" w:ascii="宋体" w:hAnsi="宋体"/>
        </w:rPr>
        <w:t xml:space="preserve">3</w:t>
      </w:r>
      <w:r>
        <w:rPr>
          <w:rFonts w:ascii="宋体" w:hAnsi="宋体"/>
        </w:rPr>
        <w:t xml:space="preserve">.</w:t>
      </w:r>
      <w:r>
        <w:rPr>
          <w:rFonts w:hint="eastAsia" w:ascii="宋体" w:hAnsi="宋体"/>
        </w:rPr>
        <w:t xml:space="preserve">乙方未按本合同的规定和“服务承诺”提供伴随服务的，甲方有权提前解除本合同，同时乙方应按合同总价款的</w:t>
      </w:r>
      <w:r>
        <w:rPr>
          <w:rFonts w:ascii="宋体" w:hAnsi="宋体"/>
        </w:rPr>
        <w:t xml:space="preserve">5 %</w:t>
      </w:r>
      <w:r>
        <w:rPr>
          <w:rFonts w:hint="eastAsia" w:ascii="宋体" w:hAnsi="宋体"/>
        </w:rPr>
        <w:t xml:space="preserve">向甲方承担违约责任。</w:t>
      </w:r>
      <w:r/>
    </w:p>
    <w:p>
      <w:pPr>
        <w:ind w:firstLine="420"/>
        <w:spacing w:line="360" w:lineRule="exact"/>
        <w:rPr>
          <w:rFonts w:ascii="宋体"/>
        </w:rPr>
      </w:pPr>
      <w:r>
        <w:rPr>
          <w:rFonts w:hint="eastAsia" w:ascii="宋体" w:hAnsi="宋体"/>
        </w:rPr>
        <w:t xml:space="preserve">4</w:t>
      </w:r>
      <w:r>
        <w:rPr>
          <w:rFonts w:ascii="宋体" w:hAnsi="宋体"/>
        </w:rPr>
        <w:t xml:space="preserve">.</w:t>
      </w:r>
      <w:r>
        <w:rPr>
          <w:rFonts w:hint="eastAsia" w:ascii="宋体" w:hAnsi="宋体"/>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ascii="宋体"/>
        </w:rPr>
      </w:pPr>
      <w:r>
        <w:rPr>
          <w:rFonts w:hint="eastAsia" w:ascii="宋体" w:hAnsi="宋体"/>
        </w:rPr>
        <w:t xml:space="preserve">5</w:t>
      </w:r>
      <w:r>
        <w:rPr>
          <w:rFonts w:ascii="宋体" w:hAnsi="宋体"/>
        </w:rPr>
        <w:t xml:space="preserve">.</w:t>
      </w:r>
      <w:r>
        <w:rPr>
          <w:rFonts w:hint="eastAsia" w:ascii="宋体" w:hAnsi="宋体"/>
        </w:rPr>
        <w:t xml:space="preserve">乙方投标属虚假承诺，或是由于乙方的过错造成合同无法继续履行的，应向甲方支付不少于合同总价</w:t>
      </w:r>
      <w:r>
        <w:rPr>
          <w:rFonts w:ascii="宋体" w:hAnsi="宋体"/>
        </w:rPr>
        <w:t xml:space="preserve">30%</w:t>
      </w:r>
      <w:r>
        <w:rPr>
          <w:rFonts w:hint="eastAsia" w:ascii="宋体" w:hAnsi="宋体"/>
        </w:rPr>
        <w:t xml:space="preserve">违约金，若该违约金不足以弥补甲方损失，则应当赔偿甲方所有损失。</w:t>
      </w:r>
      <w:r/>
    </w:p>
    <w:p>
      <w:pPr>
        <w:ind w:firstLine="420"/>
        <w:spacing w:line="360" w:lineRule="exact"/>
        <w:rPr>
          <w:rFonts w:ascii="宋体"/>
        </w:rPr>
      </w:pPr>
      <w:r>
        <w:rPr>
          <w:rFonts w:hint="eastAsia" w:ascii="宋体" w:hAnsi="宋体"/>
        </w:rPr>
        <w:t xml:space="preserve">6</w:t>
      </w:r>
      <w:r>
        <w:rPr>
          <w:rFonts w:ascii="宋体" w:hAnsi="宋体"/>
        </w:rPr>
        <w:t xml:space="preserve">.</w:t>
      </w:r>
      <w:r>
        <w:rPr>
          <w:rFonts w:hint="eastAsia" w:ascii="宋体" w:hAnsi="宋体"/>
        </w:rPr>
        <w:t xml:space="preserve">其他未尽事宜，以《民法典》等有关法律法规规定为准，无相关规定的，双方协商解决。</w:t>
      </w:r>
      <w:r/>
    </w:p>
    <w:p>
      <w:pPr>
        <w:ind w:firstLine="426"/>
        <w:spacing w:line="360" w:lineRule="exact"/>
        <w:rPr>
          <w:rFonts w:hint="eastAsia" w:ascii="宋体" w:hAnsi="宋体"/>
          <w:b/>
        </w:rPr>
      </w:pPr>
      <w:r>
        <w:rPr>
          <w:rFonts w:hint="eastAsia" w:ascii="宋体" w:hAnsi="宋体"/>
          <w:b/>
        </w:rPr>
        <w:t xml:space="preserve">第六条</w:t>
      </w:r>
      <w:r>
        <w:rPr>
          <w:rFonts w:ascii="宋体" w:hAnsi="宋体"/>
          <w:b/>
        </w:rPr>
        <w:t xml:space="preserve"> </w:t>
      </w:r>
      <w:r>
        <w:rPr>
          <w:rFonts w:hint="eastAsia" w:ascii="宋体" w:hAnsi="宋体"/>
          <w:b/>
        </w:rPr>
        <w:t xml:space="preserve">合同的变更和终止</w:t>
      </w:r>
      <w:r/>
    </w:p>
    <w:p>
      <w:pPr>
        <w:ind w:firstLine="424"/>
        <w:spacing w:line="360" w:lineRule="exact"/>
        <w:rPr>
          <w:rFonts w:hint="eastAsia" w:ascii="宋体" w:hAnsi="宋体"/>
        </w:rPr>
      </w:pPr>
      <w:r>
        <w:rPr>
          <w:rFonts w:ascii="宋体" w:hAnsi="宋体"/>
        </w:rPr>
        <w:t xml:space="preserve">1.</w:t>
      </w:r>
      <w:r>
        <w:rPr>
          <w:rFonts w:hint="eastAsia" w:ascii="宋体" w:hAnsi="宋体"/>
        </w:rPr>
        <w:t xml:space="preserve">合同一经签订，甲乙双方不得擅自变更、中止或终止合同。</w:t>
      </w:r>
      <w:r/>
    </w:p>
    <w:p>
      <w:pPr>
        <w:ind w:firstLine="424"/>
        <w:spacing w:line="360" w:lineRule="exact"/>
        <w:rPr>
          <w:rFonts w:hint="eastAsia" w:ascii="宋体" w:hAnsi="宋体"/>
        </w:rPr>
      </w:pPr>
      <w:r>
        <w:rPr>
          <w:rFonts w:ascii="宋体" w:hAnsi="宋体"/>
        </w:rPr>
        <w:t xml:space="preserve">2.</w:t>
      </w:r>
      <w:r>
        <w:rPr>
          <w:rFonts w:hint="eastAsia" w:ascii="宋体" w:hAnsi="宋体"/>
        </w:rPr>
        <w:t xml:space="preserve">除发生法律规定的不能预见、不能避免并不能克服的客观情况外，甲乙双方不得放弃或拒绝履行合同。乙方放弃或拒绝履行合同，保证金不予退还。</w:t>
      </w:r>
      <w:r/>
    </w:p>
    <w:p>
      <w:pPr>
        <w:ind w:firstLine="426"/>
        <w:spacing w:line="360" w:lineRule="exact"/>
        <w:rPr>
          <w:rFonts w:hint="eastAsia" w:ascii="宋体" w:hAnsi="宋体"/>
          <w:b/>
        </w:rPr>
      </w:pPr>
      <w:r>
        <w:rPr>
          <w:rFonts w:hint="eastAsia" w:ascii="宋体" w:hAnsi="宋体"/>
          <w:b/>
        </w:rPr>
        <w:t xml:space="preserve">第七条</w:t>
      </w:r>
      <w:r>
        <w:rPr>
          <w:rFonts w:ascii="宋体" w:hAnsi="宋体"/>
          <w:b/>
        </w:rPr>
        <w:t xml:space="preserve"> </w:t>
      </w:r>
      <w:r>
        <w:rPr>
          <w:rFonts w:hint="eastAsia" w:ascii="宋体" w:hAnsi="宋体"/>
          <w:b/>
        </w:rPr>
        <w:t xml:space="preserve">合同的转让</w:t>
      </w:r>
      <w:r/>
    </w:p>
    <w:p>
      <w:pPr>
        <w:ind w:firstLine="424"/>
        <w:spacing w:line="360" w:lineRule="exact"/>
        <w:rPr>
          <w:rFonts w:hint="eastAsia" w:ascii="宋体" w:hAnsi="宋体"/>
        </w:rPr>
      </w:pPr>
      <w:r>
        <w:rPr>
          <w:rFonts w:hint="eastAsia" w:ascii="宋体" w:hAnsi="宋体"/>
        </w:rPr>
        <w:t xml:space="preserve">乙方不得擅自部分或全部转让其应履行的合同义务。</w:t>
      </w:r>
      <w:r/>
    </w:p>
    <w:p>
      <w:pPr>
        <w:ind w:firstLine="426"/>
        <w:spacing w:line="360" w:lineRule="exact"/>
        <w:rPr>
          <w:rFonts w:hint="eastAsia" w:ascii="宋体" w:hAnsi="宋体"/>
          <w:b/>
        </w:rPr>
      </w:pPr>
      <w:r>
        <w:rPr>
          <w:rFonts w:hint="eastAsia" w:ascii="宋体" w:hAnsi="宋体"/>
          <w:b/>
        </w:rPr>
        <w:t xml:space="preserve">第八条</w:t>
      </w:r>
      <w:r>
        <w:rPr>
          <w:rFonts w:ascii="宋体" w:hAnsi="宋体"/>
          <w:b/>
        </w:rPr>
        <w:t xml:space="preserve"> </w:t>
      </w:r>
      <w:r>
        <w:rPr>
          <w:rFonts w:hint="eastAsia" w:ascii="宋体" w:hAnsi="宋体"/>
          <w:b/>
        </w:rPr>
        <w:t xml:space="preserve">不可抗力</w:t>
      </w:r>
      <w:r/>
    </w:p>
    <w:p>
      <w:pPr>
        <w:ind w:firstLine="424"/>
        <w:spacing w:line="360" w:lineRule="exact"/>
        <w:rPr>
          <w:rFonts w:hint="eastAsia" w:ascii="宋体" w:hAnsi="宋体"/>
        </w:rPr>
      </w:pPr>
      <w:r>
        <w:rPr>
          <w:rFonts w:hint="eastAsia" w:ascii="宋体" w:hAnsi="宋体"/>
        </w:rPr>
        <w:t xml:space="preserve">甲、乙方中任何一方，因不可抗力不能按时或完全履行合同的，应及时通知对方，并在</w:t>
      </w:r>
      <w:r>
        <w:rPr>
          <w:rFonts w:ascii="宋体" w:hAnsi="宋体"/>
          <w:u w:val="single"/>
        </w:rPr>
        <w:t xml:space="preserve">5</w:t>
      </w:r>
      <w:r>
        <w:rPr>
          <w:rFonts w:hint="eastAsia" w:ascii="宋体" w:hAnsi="宋体"/>
          <w:u w:val="single"/>
        </w:rPr>
        <w:t xml:space="preserve">个</w:t>
      </w:r>
      <w:r>
        <w:rPr>
          <w:rFonts w:hint="eastAsia" w:ascii="宋体" w:hAnsi="宋体"/>
        </w:rPr>
        <w:t xml:space="preserve">工作日内提供相应证明。未履行完合同部分是否继续履行、如何履行等问题，可由双方初步协商，并向主管部门报告。确定为不可抗力原因造成的损失，免予承担责任。</w:t>
      </w:r>
      <w:r/>
    </w:p>
    <w:p>
      <w:pPr>
        <w:ind w:firstLine="426"/>
        <w:spacing w:line="360" w:lineRule="exact"/>
        <w:rPr>
          <w:rFonts w:hint="eastAsia" w:ascii="宋体" w:hAnsi="宋体"/>
          <w:b/>
        </w:rPr>
      </w:pPr>
      <w:r>
        <w:rPr>
          <w:rFonts w:hint="eastAsia" w:ascii="宋体" w:hAnsi="宋体"/>
          <w:b/>
        </w:rPr>
        <w:t xml:space="preserve">第九条</w:t>
      </w:r>
      <w:r>
        <w:rPr>
          <w:rFonts w:ascii="宋体" w:hAnsi="宋体"/>
          <w:b/>
        </w:rPr>
        <w:t xml:space="preserve"> </w:t>
      </w:r>
      <w:r>
        <w:rPr>
          <w:rFonts w:hint="eastAsia" w:ascii="宋体" w:hAnsi="宋体"/>
          <w:b/>
        </w:rPr>
        <w:t xml:space="preserve">索赔</w:t>
      </w:r>
      <w:r/>
    </w:p>
    <w:p>
      <w:pPr>
        <w:ind w:firstLine="424"/>
        <w:spacing w:line="360" w:lineRule="exact"/>
        <w:tabs>
          <w:tab w:val="left" w:pos="5220" w:leader="none"/>
        </w:tabs>
        <w:rPr>
          <w:rFonts w:hint="eastAsia" w:ascii="宋体" w:hAnsi="宋体"/>
        </w:rPr>
      </w:pPr>
      <w:r>
        <w:rPr>
          <w:rFonts w:ascii="宋体" w:hAnsi="宋体"/>
        </w:rPr>
        <w:t xml:space="preserve">1.</w:t>
      </w:r>
      <w:r>
        <w:rPr>
          <w:rFonts w:hint="eastAsia" w:ascii="宋体" w:hAnsi="宋体"/>
        </w:rPr>
        <w:t xml:space="preserve">承诺项目经核实有明显不足的，具体索赔金额由双方另行约定。</w:t>
      </w:r>
      <w:r/>
    </w:p>
    <w:p>
      <w:pPr>
        <w:ind w:firstLine="424"/>
        <w:spacing w:line="360" w:lineRule="exact"/>
        <w:rPr>
          <w:rFonts w:hint="eastAsia" w:ascii="宋体" w:hAnsi="宋体"/>
        </w:rPr>
      </w:pPr>
      <w:r>
        <w:rPr>
          <w:rFonts w:ascii="宋体" w:hAnsi="宋体"/>
        </w:rPr>
        <w:t xml:space="preserve">2.</w:t>
      </w:r>
      <w:r>
        <w:rPr>
          <w:rFonts w:hint="eastAsia" w:ascii="宋体" w:hAnsi="宋体"/>
        </w:rPr>
        <w:t xml:space="preserve">乙方在未征得甲方同意，擅自改变违约，即终止该项目合同的履行。甲方可进行索赔。</w:t>
      </w:r>
      <w:r/>
    </w:p>
    <w:p>
      <w:pPr>
        <w:ind w:firstLine="426"/>
        <w:spacing w:line="360" w:lineRule="exact"/>
        <w:rPr>
          <w:rFonts w:hint="eastAsia" w:ascii="宋体" w:hAnsi="宋体"/>
          <w:b/>
        </w:rPr>
      </w:pPr>
      <w:r>
        <w:rPr>
          <w:rFonts w:hint="eastAsia" w:ascii="宋体" w:hAnsi="宋体"/>
          <w:b/>
        </w:rPr>
        <w:t xml:space="preserve">第十条</w:t>
      </w:r>
      <w:r>
        <w:rPr>
          <w:rFonts w:ascii="宋体" w:hAnsi="宋体"/>
          <w:b/>
        </w:rPr>
        <w:t xml:space="preserve"> </w:t>
      </w:r>
      <w:r>
        <w:rPr>
          <w:rFonts w:hint="eastAsia" w:ascii="宋体" w:hAnsi="宋体"/>
          <w:b/>
        </w:rPr>
        <w:t xml:space="preserve">争议的解决</w:t>
      </w:r>
      <w:r/>
    </w:p>
    <w:p>
      <w:pPr>
        <w:ind w:firstLine="424"/>
        <w:spacing w:line="360" w:lineRule="exact"/>
        <w:rPr>
          <w:rFonts w:hint="eastAsia"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 ）种方式解决争议：</w:t>
      </w:r>
      <w:r/>
    </w:p>
    <w:p>
      <w:pPr>
        <w:ind w:firstLine="424"/>
        <w:spacing w:line="360" w:lineRule="exact"/>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）向甲方所在地有管辖权的人民法院提起诉讼；</w:t>
      </w:r>
      <w:r/>
    </w:p>
    <w:p>
      <w:pPr>
        <w:ind w:firstLine="424"/>
        <w:spacing w:line="360" w:lineRule="exact"/>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）向甲方所在地仲裁委员会按其仲裁规则申请仲裁。</w:t>
      </w:r>
      <w:r/>
    </w:p>
    <w:p>
      <w:pPr>
        <w:ind w:firstLine="424"/>
        <w:spacing w:line="360" w:lineRule="exact"/>
        <w:rPr>
          <w:rFonts w:hint="eastAsia" w:ascii="宋体" w:hAnsi="宋体"/>
        </w:rPr>
      </w:pPr>
      <w:r>
        <w:rPr>
          <w:rFonts w:hint="eastAsia" w:ascii="宋体" w:hAnsi="宋体"/>
        </w:rPr>
        <w:t xml:space="preserve">如没有约定，默认采取第</w:t>
      </w:r>
      <w:r>
        <w:rPr>
          <w:rFonts w:ascii="宋体" w:hAnsi="宋体"/>
        </w:rPr>
        <w:t xml:space="preserve">2</w:t>
      </w:r>
      <w:r>
        <w:rPr>
          <w:rFonts w:hint="eastAsia" w:ascii="宋体" w:hAnsi="宋体"/>
        </w:rPr>
        <w:t xml:space="preserve">种方式解决争议。</w:t>
      </w:r>
      <w:r/>
    </w:p>
    <w:p>
      <w:pPr>
        <w:ind w:firstLine="424"/>
        <w:spacing w:line="360" w:lineRule="exact"/>
        <w:rPr>
          <w:rFonts w:hint="eastAsia" w:ascii="宋体" w:hAnsi="宋体"/>
        </w:rPr>
      </w:pPr>
      <w:r>
        <w:rPr>
          <w:rFonts w:ascii="宋体" w:hAnsi="宋体"/>
        </w:rPr>
        <w:t xml:space="preserve">2.</w:t>
      </w:r>
      <w:r>
        <w:rPr>
          <w:rFonts w:hint="eastAsia" w:ascii="宋体" w:hAnsi="宋体"/>
        </w:rPr>
        <w:t xml:space="preserve">在法院审理和仲裁期间，除有争议部分外，本合同其他部分应继续履行。</w:t>
      </w:r>
      <w:r/>
    </w:p>
    <w:p>
      <w:pPr>
        <w:ind w:firstLine="426"/>
        <w:spacing w:line="360" w:lineRule="exact"/>
        <w:rPr>
          <w:rFonts w:hint="eastAsia" w:ascii="宋体" w:hAnsi="宋体"/>
          <w:b/>
        </w:rPr>
      </w:pPr>
      <w:r>
        <w:rPr>
          <w:rFonts w:hint="eastAsia" w:ascii="宋体" w:hAnsi="宋体"/>
          <w:b/>
        </w:rPr>
        <w:t xml:space="preserve">第十一条</w:t>
      </w:r>
      <w:r>
        <w:rPr>
          <w:rFonts w:ascii="宋体" w:hAnsi="宋体"/>
          <w:b/>
        </w:rPr>
        <w:t xml:space="preserve"> </w:t>
      </w:r>
      <w:r>
        <w:rPr>
          <w:rFonts w:hint="eastAsia" w:ascii="宋体" w:hAnsi="宋体"/>
          <w:b/>
        </w:rPr>
        <w:t xml:space="preserve">诚实信用 </w:t>
      </w:r>
      <w:r/>
    </w:p>
    <w:p>
      <w:pPr>
        <w:ind w:firstLine="424"/>
        <w:spacing w:line="360" w:lineRule="exact"/>
        <w:rPr>
          <w:rFonts w:hint="eastAsia" w:ascii="宋体" w:hAnsi="宋体"/>
        </w:rPr>
      </w:pPr>
      <w:r>
        <w:rPr>
          <w:rFonts w:hint="eastAsia" w:ascii="宋体" w:hAnsi="宋体"/>
        </w:rPr>
        <w:t xml:space="preserve">乙方应诚实信用，严格按照采购文件要求和投标承诺履行合同，不向甲方进行商业贿赂或者提供不正当利益。</w:t>
      </w:r>
      <w:r/>
    </w:p>
    <w:p>
      <w:pPr>
        <w:numPr>
          <w:ilvl w:val="0"/>
          <w:numId w:val="14"/>
        </w:numPr>
        <w:ind w:firstLine="422"/>
        <w:spacing w:line="360" w:lineRule="exact"/>
        <w:rPr>
          <w:rFonts w:hint="eastAsia" w:ascii="宋体" w:hAnsi="宋体"/>
          <w:b/>
        </w:rPr>
      </w:pPr>
      <w:r>
        <w:rPr>
          <w:rFonts w:hint="eastAsia" w:ascii="宋体" w:hAnsi="宋体"/>
          <w:b/>
        </w:rPr>
        <w:t xml:space="preserve">补充条款</w:t>
      </w:r>
      <w:r/>
    </w:p>
    <w:p>
      <w:pPr>
        <w:pStyle w:val="889"/>
        <w:ind w:firstLine="0"/>
        <w:rPr>
          <w:rFonts w:hint="eastAsia" w:ascii="宋体" w:hAnsi="宋体"/>
          <w:szCs w:val="24"/>
        </w:rPr>
      </w:pPr>
      <w:r>
        <w:rPr>
          <w:rFonts w:hint="eastAsia" w:ascii="宋体" w:hAnsi="宋体"/>
          <w:szCs w:val="24"/>
        </w:rPr>
        <w:t xml:space="preserve">暂无</w:t>
      </w:r>
      <w:r/>
    </w:p>
    <w:p>
      <w:pPr>
        <w:ind w:firstLine="426"/>
        <w:spacing w:line="360" w:lineRule="exact"/>
        <w:rPr>
          <w:rFonts w:hint="eastAsia" w:ascii="宋体" w:hAnsi="宋体"/>
          <w:b/>
        </w:rPr>
      </w:pPr>
      <w:r>
        <w:rPr>
          <w:rFonts w:hint="eastAsia" w:ascii="宋体" w:hAnsi="宋体"/>
          <w:b/>
        </w:rPr>
        <w:t xml:space="preserve">第十三条</w:t>
      </w:r>
      <w:r>
        <w:rPr>
          <w:rFonts w:ascii="宋体" w:hAnsi="宋体"/>
          <w:b/>
        </w:rPr>
        <w:t xml:space="preserve"> </w:t>
      </w:r>
      <w:r>
        <w:rPr>
          <w:rFonts w:hint="eastAsia" w:ascii="宋体" w:hAnsi="宋体"/>
          <w:b/>
        </w:rPr>
        <w:t xml:space="preserve">合同生效及其他</w:t>
      </w:r>
      <w:r/>
    </w:p>
    <w:p>
      <w:pPr>
        <w:ind w:firstLine="424"/>
        <w:spacing w:line="360" w:lineRule="exact"/>
        <w:rPr>
          <w:rFonts w:hint="eastAsia" w:ascii="宋体" w:hAnsi="宋体"/>
        </w:rPr>
      </w:pPr>
      <w:r>
        <w:rPr>
          <w:rFonts w:ascii="宋体" w:hAnsi="宋体"/>
        </w:rPr>
        <w:t xml:space="preserve">1.</w:t>
      </w:r>
      <w:r>
        <w:rPr>
          <w:rFonts w:hint="eastAsia" w:ascii="宋体" w:hAnsi="宋体"/>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4"/>
        <w:spacing w:line="360" w:lineRule="exact"/>
        <w:rPr>
          <w:rFonts w:hint="eastAsia" w:ascii="宋体" w:hAnsi="宋体"/>
        </w:rPr>
      </w:pPr>
      <w:r>
        <w:rPr>
          <w:rFonts w:ascii="宋体" w:hAnsi="宋体"/>
        </w:rPr>
        <w:t xml:space="preserve">2.</w:t>
      </w:r>
      <w:r>
        <w:rPr>
          <w:rFonts w:hint="eastAsia" w:ascii="宋体" w:hAnsi="宋体"/>
        </w:rPr>
        <w:t xml:space="preserve">本合同一式伍份，甲乙双方各执贰份，代理机构执壹份存档。</w:t>
      </w:r>
      <w:r/>
    </w:p>
    <w:p>
      <w:pPr>
        <w:ind w:firstLine="420"/>
        <w:spacing w:line="400" w:lineRule="exact"/>
        <w:rPr>
          <w:rFonts w:hint="eastAsia" w:ascii="宋体" w:hAnsi="宋体" w:cs="宋体"/>
          <w:b/>
          <w:bCs/>
        </w:rPr>
      </w:pPr>
      <w:r>
        <w:rPr>
          <w:rFonts w:ascii="宋体" w:hAnsi="宋体"/>
        </w:rPr>
        <w:t xml:space="preserve">3.</w:t>
      </w:r>
      <w:r>
        <w:rPr>
          <w:rFonts w:hint="eastAsia" w:ascii="宋体" w:hAnsi="宋体"/>
        </w:rPr>
        <w:t xml:space="preserve">本合同应按照中华人民共和国的现行法律进行解释。</w:t>
      </w:r>
      <w:r/>
    </w:p>
    <w:p>
      <w:pPr>
        <w:pStyle w:val="860"/>
        <w:spacing w:line="400" w:lineRule="exact"/>
        <w:rPr>
          <w:rFonts w:hint="eastAsia" w:cs="宋体"/>
          <w:b/>
          <w:bCs/>
        </w:rPr>
      </w:pPr>
      <w:r>
        <w:rPr>
          <w:rFonts w:hint="eastAsia" w:cs="宋体"/>
          <w:b/>
          <w:bCs/>
        </w:rPr>
      </w:r>
      <w:r/>
    </w:p>
    <w:p>
      <w:pPr>
        <w:spacing w:line="400" w:lineRule="exact"/>
        <w:rPr>
          <w:rFonts w:hint="eastAsia" w:ascii="宋体" w:hAnsi="宋体" w:cs="宋体"/>
        </w:rPr>
      </w:pPr>
      <w:r>
        <w:rPr>
          <w:rFonts w:hint="eastAsia" w:ascii="宋体" w:hAnsi="宋体" w:cs="宋体"/>
          <w:b/>
          <w:bCs/>
        </w:rPr>
        <w:t xml:space="preserve">甲</w:t>
      </w:r>
      <w:r>
        <w:rPr>
          <w:rFonts w:ascii="宋体" w:hAnsi="宋体" w:cs="宋体"/>
          <w:b/>
          <w:bCs/>
        </w:rPr>
        <w:t xml:space="preserve">    </w:t>
      </w:r>
      <w:r>
        <w:rPr>
          <w:rFonts w:hint="eastAsia" w:ascii="宋体" w:hAnsi="宋体" w:cs="宋体"/>
          <w:b/>
          <w:bCs/>
        </w:rPr>
        <w:t xml:space="preserve">方</w:t>
      </w:r>
      <w:r>
        <w:rPr>
          <w:rFonts w:hint="eastAsia" w:ascii="宋体" w:hAnsi="宋体" w:cs="宋体"/>
        </w:rPr>
        <w:t xml:space="preserve">：</w:t>
      </w:r>
      <w:r>
        <w:rPr>
          <w:rFonts w:ascii="宋体" w:hAnsi="宋体" w:cs="宋体"/>
        </w:rPr>
        <w:t xml:space="preserve">                               </w:t>
      </w:r>
      <w:r>
        <w:rPr>
          <w:rFonts w:hint="eastAsia" w:ascii="宋体" w:hAnsi="宋体" w:cs="宋体"/>
          <w:b/>
          <w:bCs/>
        </w:rPr>
        <w:t xml:space="preserve">乙</w:t>
      </w:r>
      <w:r>
        <w:rPr>
          <w:rFonts w:ascii="宋体" w:hAnsi="宋体" w:cs="宋体"/>
          <w:b/>
          <w:bCs/>
        </w:rPr>
        <w:t xml:space="preserve">    </w:t>
      </w:r>
      <w:r>
        <w:rPr>
          <w:rFonts w:hint="eastAsia" w:ascii="宋体" w:hAnsi="宋体" w:cs="宋体"/>
          <w:b/>
          <w:bCs/>
        </w:rPr>
        <w:t xml:space="preserve">方</w:t>
      </w:r>
      <w:r>
        <w:rPr>
          <w:rFonts w:hint="eastAsia" w:ascii="宋体" w:hAnsi="宋体" w:cs="宋体"/>
        </w:rPr>
        <w:t xml:space="preserve">：</w:t>
      </w:r>
      <w:r/>
    </w:p>
    <w:p>
      <w:pPr>
        <w:spacing w:line="400" w:lineRule="exact"/>
        <w:rPr>
          <w:rFonts w:hint="eastAsia" w:ascii="宋体" w:hAnsi="宋体" w:cs="宋体"/>
          <w:u w:val="single"/>
        </w:rPr>
      </w:pPr>
      <w:r>
        <w:rPr>
          <w:rFonts w:hint="eastAsia" w:ascii="宋体" w:hAnsi="宋体" w:cs="宋体"/>
        </w:rPr>
        <w:t xml:space="preserve">单位名称（章）：</w:t>
      </w:r>
      <w:r>
        <w:rPr>
          <w:rFonts w:ascii="宋体" w:hAnsi="宋体" w:cs="宋体"/>
        </w:rPr>
        <w:t xml:space="preserve">                          </w:t>
      </w:r>
      <w:r>
        <w:rPr>
          <w:rFonts w:hint="eastAsia" w:ascii="宋体" w:hAnsi="宋体" w:cs="宋体"/>
        </w:rPr>
        <w:t xml:space="preserve">单位名称（章）：</w:t>
      </w:r>
      <w:r/>
    </w:p>
    <w:p>
      <w:pPr>
        <w:spacing w:line="400" w:lineRule="exact"/>
        <w:rPr>
          <w:rFonts w:hint="eastAsia" w:ascii="宋体" w:hAnsi="宋体" w:cs="宋体"/>
          <w:u w:val="single"/>
        </w:rPr>
      </w:pPr>
      <w:r>
        <w:rPr>
          <w:rFonts w:hint="eastAsia" w:ascii="宋体" w:hAnsi="宋体" w:cs="宋体"/>
        </w:rPr>
        <w:t xml:space="preserve">单位地址：</w:t>
      </w:r>
      <w:r>
        <w:rPr>
          <w:rFonts w:ascii="宋体" w:hAnsi="宋体" w:cs="宋体"/>
        </w:rPr>
        <w:t xml:space="preserve">                               </w:t>
      </w:r>
      <w:r>
        <w:rPr>
          <w:rFonts w:hint="eastAsia" w:ascii="宋体" w:hAnsi="宋体" w:cs="宋体"/>
        </w:rPr>
        <w:t xml:space="preserve">单位地址：</w:t>
      </w:r>
      <w:r/>
    </w:p>
    <w:p>
      <w:pPr>
        <w:spacing w:line="400" w:lineRule="exact"/>
        <w:rPr>
          <w:rFonts w:hint="eastAsia" w:ascii="宋体" w:hAnsi="宋体" w:cs="宋体"/>
        </w:rPr>
      </w:pPr>
      <w:r>
        <w:rPr>
          <w:rFonts w:hint="eastAsia" w:ascii="宋体" w:hAnsi="宋体" w:cs="宋体"/>
        </w:rPr>
        <w:t xml:space="preserve">法定代表人：</w:t>
      </w:r>
      <w:r>
        <w:rPr>
          <w:rFonts w:ascii="宋体" w:hAnsi="宋体" w:cs="宋体"/>
        </w:rPr>
        <w:t xml:space="preserve">       </w:t>
      </w:r>
      <w:r>
        <w:rPr>
          <w:rFonts w:hint="eastAsia" w:ascii="宋体" w:hAnsi="宋体" w:cs="宋体"/>
        </w:rPr>
        <w:t xml:space="preserve">委托代理人：</w:t>
      </w:r>
      <w:r>
        <w:rPr>
          <w:rFonts w:ascii="宋体" w:hAnsi="宋体" w:cs="宋体"/>
        </w:rPr>
        <w:t xml:space="preserve">          </w:t>
      </w:r>
      <w:r>
        <w:rPr>
          <w:rFonts w:hint="eastAsia" w:ascii="宋体" w:hAnsi="宋体" w:cs="宋体"/>
        </w:rPr>
        <w:t xml:space="preserve">法定代表人：</w:t>
      </w:r>
      <w:r>
        <w:rPr>
          <w:rFonts w:ascii="宋体" w:hAnsi="宋体" w:cs="宋体"/>
        </w:rPr>
        <w:t xml:space="preserve">      </w:t>
      </w:r>
      <w:r>
        <w:rPr>
          <w:rFonts w:hint="eastAsia" w:ascii="宋体" w:hAnsi="宋体" w:cs="宋体"/>
        </w:rPr>
        <w:t xml:space="preserve">委托代理人： </w:t>
      </w:r>
      <w:r/>
    </w:p>
    <w:p>
      <w:pPr>
        <w:spacing w:line="400" w:lineRule="exact"/>
        <w:rPr>
          <w:rFonts w:hint="eastAsia" w:ascii="宋体" w:hAnsi="宋体" w:cs="宋体"/>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rPr>
          <w:rFonts w:ascii="宋体" w:hAnsi="宋体" w:cs="宋体"/>
        </w:rPr>
        <w:t xml:space="preserve">            </w:t>
      </w:r>
      <w:r>
        <w:rPr>
          <w:rFonts w:hint="eastAsia" w:ascii="宋体" w:hAnsi="宋体" w:cs="宋体"/>
        </w:rPr>
        <w:t xml:space="preserve">传真：</w:t>
      </w:r>
      <w:r/>
    </w:p>
    <w:p>
      <w:pPr>
        <w:pStyle w:val="860"/>
        <w:rPr>
          <w:rFonts w:hint="eastAsia" w:cs="宋体"/>
          <w:sz w:val="22"/>
          <w:szCs w:val="20"/>
        </w:rPr>
      </w:pPr>
      <w:r>
        <w:rPr>
          <w:rFonts w:hint="eastAsia" w:cs="宋体"/>
        </w:rPr>
        <w:t xml:space="preserve">传真：</w:t>
      </w:r>
      <w:r>
        <w:rPr>
          <w:rFonts w:cs="宋体"/>
        </w:rPr>
        <w:t xml:space="preserve">                             </w:t>
      </w:r>
      <w:r>
        <w:rPr>
          <w:rFonts w:hint="eastAsia" w:cs="宋体"/>
        </w:rPr>
        <w:t xml:space="preserve">开户银行：</w:t>
      </w:r>
      <w:r>
        <w:rPr>
          <w:rFonts w:cs="宋体"/>
        </w:rPr>
        <w:t xml:space="preserve">        </w:t>
      </w:r>
      <w:r>
        <w:rPr>
          <w:rFonts w:hint="eastAsia" w:cs="宋体"/>
        </w:rPr>
        <w:t xml:space="preserve">帐号：     </w:t>
      </w:r>
      <w:r>
        <w:rPr>
          <w:rFonts w:hint="eastAsia" w:cs="宋体"/>
          <w:sz w:val="22"/>
          <w:szCs w:val="20"/>
        </w:rPr>
        <w:t xml:space="preserve">       </w:t>
      </w:r>
      <w:r/>
    </w:p>
    <w:p>
      <w:pPr>
        <w:pStyle w:val="860"/>
        <w:rPr>
          <w:rFonts w:hint="eastAsia" w:cs="宋体"/>
          <w:sz w:val="22"/>
          <w:szCs w:val="20"/>
        </w:rPr>
      </w:pPr>
      <w:r>
        <w:rPr>
          <w:rFonts w:hint="eastAsia" w:cs="宋体"/>
          <w:sz w:val="22"/>
          <w:szCs w:val="20"/>
        </w:rPr>
      </w:r>
      <w:r/>
    </w:p>
    <w:p>
      <w:pPr>
        <w:pStyle w:val="860"/>
        <w:rPr>
          <w:rFonts w:hint="eastAsia" w:cs="宋体"/>
          <w:sz w:val="22"/>
          <w:szCs w:val="20"/>
        </w:rPr>
      </w:pPr>
      <w:r>
        <w:rPr>
          <w:rFonts w:hint="eastAsia" w:cs="宋体"/>
          <w:sz w:val="22"/>
          <w:szCs w:val="20"/>
        </w:rPr>
      </w:r>
      <w:r/>
    </w:p>
    <w:p>
      <w:pPr>
        <w:pStyle w:val="860"/>
        <w:rPr>
          <w:rFonts w:hint="eastAsia"/>
        </w:rPr>
      </w:pPr>
      <w:r>
        <w:rPr>
          <w:rFonts w:hint="eastAsia" w:cs="宋体"/>
          <w:sz w:val="22"/>
          <w:szCs w:val="20"/>
        </w:rPr>
        <w:t xml:space="preserve">见证方：</w:t>
      </w:r>
      <w:r/>
    </w:p>
    <w:p>
      <w:pPr>
        <w:pStyle w:val="860"/>
        <w:rPr>
          <w:rFonts w:hint="eastAsia" w:cs="宋体"/>
          <w:sz w:val="22"/>
          <w:szCs w:val="20"/>
        </w:rPr>
      </w:pPr>
      <w:r>
        <w:rPr>
          <w:rFonts w:hint="eastAsia" w:cs="宋体"/>
          <w:sz w:val="22"/>
          <w:szCs w:val="20"/>
        </w:rPr>
        <w:t xml:space="preserve">代理机构（章）：常州卓乾项目管理有限公司</w:t>
      </w:r>
      <w:r/>
    </w:p>
    <w:p>
      <w:pPr>
        <w:pStyle w:val="860"/>
        <w:rPr>
          <w:rFonts w:hint="eastAsia" w:cs="宋体"/>
          <w:sz w:val="22"/>
          <w:szCs w:val="20"/>
        </w:rPr>
      </w:pPr>
      <w:r>
        <w:rPr>
          <w:rFonts w:hint="eastAsia" w:cs="宋体"/>
          <w:sz w:val="22"/>
          <w:szCs w:val="20"/>
        </w:rPr>
        <w:t xml:space="preserve">经办人:                    电话：</w:t>
      </w:r>
      <w:r/>
    </w:p>
    <w:p>
      <w:pPr>
        <w:rPr>
          <w:rFonts w:hint="eastAsia" w:ascii="宋体" w:hAnsi="宋体" w:cs="宋体"/>
        </w:rPr>
      </w:pPr>
      <w:r>
        <w:rPr>
          <w:rFonts w:hint="eastAsia" w:ascii="宋体" w:hAnsi="宋体" w:cs="宋体"/>
        </w:rPr>
      </w:r>
      <w:r/>
    </w:p>
    <w:p>
      <w:pPr>
        <w:pStyle w:val="840"/>
        <w:jc w:val="left"/>
        <w:rPr>
          <w:rFonts w:cs="宋体"/>
          <w:sz w:val="21"/>
        </w:rPr>
      </w:pPr>
      <w:r>
        <w:rPr>
          <w:rFonts w:hint="eastAsia" w:cs="宋体"/>
          <w:sz w:val="21"/>
        </w:rPr>
        <w:t xml:space="preserve">注：以上是合同的简易模版，仅供甲乙双方签订合同时参考，具体条款详见采购文件中所对应的采购内容及要求，其余条款按照《中华人民共和国民法典》、《中华人民共和国政府采购法》及其他有关法律、行政法规以及省、市、区规范性文件规定，由甲乙双方协商一致后自拟合同。</w:t>
      </w:r>
      <w:r/>
    </w:p>
    <w:p>
      <w:pPr>
        <w:spacing w:line="440" w:lineRule="exact"/>
        <w:rPr>
          <w:color w:val="000000"/>
          <w:sz w:val="24"/>
          <w:szCs w:val="32"/>
        </w:rPr>
        <w:sectPr>
          <w:footnotePr/>
          <w:endnotePr/>
          <w:type w:val="nextPage"/>
          <w:pgSz w:w="11906" w:h="16838" w:orient="portrait"/>
          <w:pgMar w:top="1440" w:right="1800" w:bottom="1440" w:left="1800" w:header="851" w:footer="992" w:gutter="0"/>
          <w:cols w:num="1" w:sep="0" w:space="1701" w:equalWidth="1"/>
          <w:docGrid w:linePitch="360"/>
        </w:sectPr>
      </w:pPr>
      <w:r>
        <w:rPr>
          <w:color w:val="000000"/>
          <w:sz w:val="24"/>
          <w:szCs w:val="32"/>
        </w:rPr>
      </w:r>
      <w:r/>
    </w:p>
    <w:p>
      <w:pPr>
        <w:jc w:val="left"/>
        <w:rPr>
          <w:rStyle w:val="1273"/>
          <w:rFonts w:hint="eastAsia" w:ascii="仿宋" w:hAnsi="仿宋" w:eastAsia="仿宋" w:cs="仿宋"/>
          <w:color w:val="000000"/>
        </w:rPr>
      </w:pPr>
      <w:r>
        <w:rPr>
          <w:rFonts w:hint="eastAsia" w:ascii="仿宋" w:hAnsi="仿宋" w:eastAsia="仿宋" w:cs="仿宋"/>
          <w:color w:val="000000"/>
        </w:rPr>
      </w:r>
      <w:r/>
    </w:p>
    <w:p>
      <w:pPr>
        <w:jc w:val="center"/>
        <w:spacing w:line="360" w:lineRule="auto"/>
        <w:rPr>
          <w:b/>
          <w:color w:val="000000"/>
          <w:sz w:val="36"/>
          <w:szCs w:val="36"/>
        </w:rPr>
        <w:outlineLvl w:val="0"/>
      </w:pPr>
      <w:r/>
      <w:bookmarkStart w:id="359" w:name="_Toc29527"/>
      <w:r>
        <w:rPr>
          <w:b/>
          <w:color w:val="000000"/>
          <w:sz w:val="36"/>
          <w:szCs w:val="36"/>
        </w:rPr>
        <w:t xml:space="preserve">第七章</w:t>
      </w:r>
      <w:r>
        <w:rPr>
          <w:b/>
          <w:color w:val="000000"/>
          <w:sz w:val="36"/>
          <w:szCs w:val="36"/>
        </w:rPr>
        <w:t xml:space="preserve">   </w:t>
      </w:r>
      <w:r>
        <w:rPr>
          <w:b/>
          <w:color w:val="000000"/>
          <w:sz w:val="36"/>
          <w:szCs w:val="36"/>
        </w:rPr>
        <w:t xml:space="preserve">投标文件格式</w:t>
      </w:r>
      <w:bookmarkEnd w:id="359"/>
      <w:r/>
      <w:r/>
    </w:p>
    <w:p>
      <w:pPr>
        <w:ind w:left="142"/>
        <w:spacing w:line="360" w:lineRule="auto"/>
        <w:tabs>
          <w:tab w:val="left" w:pos="900" w:leader="none"/>
          <w:tab w:val="left" w:pos="1980" w:leader="none"/>
        </w:tabs>
        <w:rPr>
          <w:b/>
          <w:color w:val="000000"/>
          <w:sz w:val="24"/>
        </w:rPr>
      </w:pPr>
      <w:r>
        <w:rPr>
          <w:b/>
          <w:color w:val="000000"/>
          <w:sz w:val="24"/>
        </w:rPr>
      </w:r>
      <w:r/>
    </w:p>
    <w:p>
      <w:pPr>
        <w:ind w:left="142"/>
        <w:spacing w:line="400" w:lineRule="exact"/>
        <w:tabs>
          <w:tab w:val="left" w:pos="900" w:leader="none"/>
          <w:tab w:val="left" w:pos="1980" w:leader="none"/>
        </w:tabs>
        <w:rPr>
          <w:rFonts w:hint="eastAsia" w:ascii="宋体" w:hAnsi="宋体" w:cs="宋体"/>
          <w:color w:val="000000"/>
          <w:sz w:val="24"/>
        </w:rPr>
      </w:pPr>
      <w:r>
        <w:rPr>
          <w:rFonts w:hint="eastAsia" w:ascii="宋体" w:hAnsi="宋体" w:cs="宋体"/>
          <w:b/>
          <w:color w:val="000000"/>
          <w:sz w:val="24"/>
        </w:rPr>
        <w:t xml:space="preserve">投标人编制文件须知</w:t>
      </w:r>
      <w:r/>
    </w:p>
    <w:p>
      <w:pPr>
        <w:ind w:left="142"/>
        <w:spacing w:line="40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p>
    <w:p>
      <w:pPr>
        <w:ind w:left="142"/>
        <w:spacing w:line="40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3、全部声明和问题的回答及所附材料必须是真实的、准确的和完整的。</w:t>
      </w:r>
      <w:r/>
    </w:p>
    <w:p>
      <w:pPr>
        <w:ind w:left="142"/>
        <w:spacing w:line="40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4、实行电子化不见面交易方式的，加盖公章、签名等均通过投标文件编制工具加盖电子公章、签字、签章或印鉴。</w:t>
      </w:r>
      <w:r/>
    </w:p>
    <w:p>
      <w:pPr>
        <w:jc w:val="left"/>
        <w:widowControl/>
        <w:rPr>
          <w:b/>
          <w:color w:val="000000"/>
          <w:sz w:val="24"/>
        </w:rPr>
      </w:pPr>
      <w:r>
        <w:rPr>
          <w:color w:val="000000"/>
          <w:sz w:val="24"/>
        </w:rPr>
        <w:br w:type="page" w:clear="all"/>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b/>
          <w:color w:val="000000"/>
          <w:spacing w:val="20"/>
          <w:sz w:val="24"/>
        </w:rPr>
        <w:t xml:space="preserve">投标文件</w:t>
      </w:r>
      <w:r>
        <w:rPr>
          <w:b/>
          <w:color w:val="000000"/>
          <w:sz w:val="24"/>
        </w:rPr>
        <w:t xml:space="preserve">封面（非实质性格式）</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t xml:space="preserve">投</w:t>
      </w:r>
      <w:r>
        <w:rPr>
          <w:b/>
          <w:color w:val="000000"/>
          <w:spacing w:val="60"/>
          <w:sz w:val="84"/>
          <w:szCs w:val="84"/>
        </w:rPr>
        <w:t xml:space="preserve"> </w:t>
      </w:r>
      <w:r>
        <w:rPr>
          <w:b/>
          <w:color w:val="000000"/>
          <w:spacing w:val="60"/>
          <w:sz w:val="84"/>
          <w:szCs w:val="84"/>
        </w:rPr>
        <w:t xml:space="preserve">标</w:t>
      </w:r>
      <w:r>
        <w:rPr>
          <w:b/>
          <w:color w:val="000000"/>
          <w:spacing w:val="60"/>
          <w:sz w:val="84"/>
          <w:szCs w:val="84"/>
        </w:rPr>
        <w:t xml:space="preserve"> </w:t>
      </w:r>
      <w:r>
        <w:rPr>
          <w:b/>
          <w:color w:val="000000"/>
          <w:spacing w:val="60"/>
          <w:sz w:val="84"/>
          <w:szCs w:val="84"/>
        </w:rPr>
        <w:t xml:space="preserve">文</w:t>
      </w:r>
      <w:r>
        <w:rPr>
          <w:b/>
          <w:color w:val="000000"/>
          <w:spacing w:val="60"/>
          <w:sz w:val="84"/>
          <w:szCs w:val="84"/>
        </w:rPr>
        <w:t xml:space="preserve"> </w:t>
      </w:r>
      <w:r>
        <w:rPr>
          <w:b/>
          <w:color w:val="000000"/>
          <w:spacing w:val="60"/>
          <w:sz w:val="84"/>
          <w:szCs w:val="84"/>
        </w:rPr>
        <w:t xml:space="preserve">件</w:t>
      </w:r>
      <w:r/>
    </w:p>
    <w:p>
      <w:pPr>
        <w:ind w:firstLine="963"/>
        <w:rPr>
          <w:b/>
          <w:color w:val="000000"/>
          <w:spacing w:val="60"/>
          <w:sz w:val="52"/>
          <w:szCs w:val="52"/>
        </w:rPr>
      </w:pPr>
      <w:r>
        <w:rPr>
          <w:b/>
          <w:color w:val="000000"/>
          <w:spacing w:val="60"/>
          <w:sz w:val="52"/>
          <w:szCs w:val="52"/>
        </w:rPr>
      </w:r>
      <w:r/>
    </w:p>
    <w:p>
      <w:pPr>
        <w:ind w:firstLine="963"/>
        <w:rPr>
          <w:b/>
          <w:color w:val="000000"/>
          <w:spacing w:val="60"/>
          <w:sz w:val="52"/>
          <w:szCs w:val="52"/>
        </w:rPr>
      </w:pPr>
      <w:r>
        <w:rPr>
          <w:b/>
          <w:color w:val="000000"/>
          <w:spacing w:val="60"/>
          <w:sz w:val="52"/>
          <w:szCs w:val="5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w:t>
      </w:r>
      <w:r>
        <w:rPr>
          <w:rFonts w:hint="eastAsia" w:ascii="宋体" w:hAnsi="宋体"/>
          <w:b/>
          <w:color w:val="000000"/>
          <w:spacing w:val="20"/>
          <w:sz w:val="36"/>
        </w:rPr>
        <w:t xml:space="preserve">投标人名称</w:t>
      </w:r>
      <w:r>
        <w:rPr>
          <w:rFonts w:hint="eastAsia" w:ascii="宋体" w:hAnsi="宋体"/>
          <w:b/>
          <w:color w:val="000000"/>
          <w:sz w:val="36"/>
        </w:rPr>
        <w:t xml:space="preserve">：</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t xml:space="preserve">      日       期：</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jc w:val="center"/>
        <w:rPr>
          <w:rFonts w:hint="eastAsia"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p>
    <w:p>
      <w:pPr>
        <w:rPr>
          <w:b/>
          <w:color w:val="000000"/>
        </w:rPr>
      </w:pPr>
      <w:r>
        <w:rPr>
          <w:b/>
          <w:color w:val="000000"/>
        </w:rPr>
      </w:r>
      <w:r/>
    </w:p>
    <w:p>
      <w:pPr>
        <w:spacing w:line="400" w:lineRule="exact"/>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p>
    <w:p>
      <w:pPr>
        <w:rPr>
          <w:color w:val="000000"/>
        </w:rPr>
      </w:pPr>
      <w:r>
        <w:rPr>
          <w:color w:val="000000"/>
        </w:rPr>
      </w:r>
      <w:r/>
    </w:p>
    <w:p>
      <w:pPr>
        <w:pStyle w:val="842"/>
        <w:spacing w:before="0" w:after="0" w:line="400" w:lineRule="exact"/>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w:t>
      </w:r>
      <w:r>
        <w:rPr>
          <w:rFonts w:ascii="Times New Roman"/>
          <w:b w:val="0"/>
          <w:color w:val="000000"/>
          <w:u w:val="none"/>
        </w:rPr>
        <w:t xml:space="preserve">投标人资格声明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120" w:line="360" w:lineRule="auto"/>
        <w:widowControl/>
        <w:rPr>
          <w:rFonts w:hint="eastAsia" w:ascii="宋体" w:hAnsi="宋体" w:cs="宋体"/>
          <w:color w:val="000000"/>
          <w:szCs w:val="21"/>
        </w:rPr>
      </w:pPr>
      <w:r>
        <w:rPr>
          <w:rFonts w:hint="eastAsia" w:ascii="宋体" w:hAnsi="宋体" w:cs="宋体"/>
          <w:b/>
          <w:color w:val="000000"/>
          <w:sz w:val="28"/>
          <w:szCs w:val="28"/>
        </w:rPr>
        <w:t xml:space="preserve">投标人资格声明函</w:t>
      </w:r>
      <w:r/>
    </w:p>
    <w:p>
      <w:pPr>
        <w:pStyle w:val="855"/>
        <w:ind w:firstLine="480"/>
        <w:spacing w:line="460" w:lineRule="exact"/>
        <w:rPr>
          <w:color w:val="000000"/>
        </w:rPr>
      </w:pPr>
      <w:r>
        <w:rPr>
          <w:color w:val="000000"/>
        </w:rPr>
      </w:r>
      <w:r/>
    </w:p>
    <w:p>
      <w:pPr>
        <w:pStyle w:val="855"/>
        <w:ind w:firstLine="480"/>
        <w:spacing w:line="400" w:lineRule="exact"/>
        <w:rPr>
          <w:color w:val="000000"/>
        </w:rPr>
      </w:pPr>
      <w:r>
        <w:rPr>
          <w:rFonts w:hint="eastAsia"/>
          <w:color w:val="000000"/>
        </w:rPr>
        <w:t xml:space="preserve">致：常州卓乾项目管理有限公司</w:t>
      </w:r>
      <w:r/>
    </w:p>
    <w:p>
      <w:pPr>
        <w:pStyle w:val="855"/>
        <w:ind w:firstLine="960"/>
        <w:spacing w:line="400" w:lineRule="exact"/>
        <w:rPr>
          <w:color w:val="000000"/>
          <w:u w:val="single"/>
        </w:rPr>
      </w:pPr>
      <w:r>
        <w:rPr>
          <w:rFonts w:hint="eastAsia"/>
          <w:color w:val="000000"/>
          <w:u w:val="single"/>
        </w:rPr>
        <w:t xml:space="preserve">（采购人名称）</w:t>
      </w:r>
      <w:r/>
    </w:p>
    <w:p>
      <w:pPr>
        <w:pStyle w:val="855"/>
        <w:ind w:firstLine="480"/>
        <w:spacing w:line="400" w:lineRule="exact"/>
        <w:rPr>
          <w:color w:val="000000"/>
        </w:rPr>
      </w:pPr>
      <w:r>
        <w:rPr>
          <w:color w:val="000000"/>
        </w:rPr>
      </w:r>
      <w:r/>
    </w:p>
    <w:p>
      <w:pPr>
        <w:pStyle w:val="855"/>
        <w:ind w:firstLine="480"/>
        <w:spacing w:line="400" w:lineRule="exact"/>
        <w:rPr>
          <w:color w:val="000000"/>
        </w:rPr>
      </w:pPr>
      <w:r>
        <w:rPr>
          <w:rFonts w:hint="eastAsia"/>
          <w:color w:val="000000"/>
        </w:rPr>
        <w:t xml:space="preserve">按照《中华人民共和国政府采购法》第二十二条和招标文件的规定，我单位郑重声明如下：</w:t>
      </w:r>
      <w:r/>
    </w:p>
    <w:p>
      <w:pPr>
        <w:pStyle w:val="855"/>
        <w:ind w:firstLine="480"/>
        <w:spacing w:line="40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p>
    <w:p>
      <w:pPr>
        <w:pStyle w:val="855"/>
        <w:ind w:firstLine="480"/>
        <w:spacing w:line="400" w:lineRule="exact"/>
        <w:rPr>
          <w:color w:val="000000"/>
        </w:rPr>
      </w:pPr>
      <w:r>
        <w:rPr>
          <w:rFonts w:hint="eastAsia"/>
          <w:color w:val="000000"/>
        </w:rPr>
        <w:t xml:space="preserve">二、我单位具有良好的商业信誉（指投标人经营状况良好，无本资格声明第十条情形）和健全的财务会计制度。</w:t>
      </w:r>
      <w:r/>
    </w:p>
    <w:p>
      <w:pPr>
        <w:pStyle w:val="855"/>
        <w:ind w:firstLine="480"/>
        <w:spacing w:line="400" w:lineRule="exact"/>
        <w:rPr>
          <w:color w:val="000000"/>
        </w:rPr>
      </w:pPr>
      <w:r>
        <w:rPr>
          <w:rFonts w:hint="eastAsia"/>
          <w:color w:val="000000"/>
        </w:rPr>
        <w:t xml:space="preserve">三、我单位依法进行纳税和社会保险申报并实际履行了义务。</w:t>
      </w:r>
      <w:r/>
    </w:p>
    <w:p>
      <w:pPr>
        <w:pStyle w:val="855"/>
        <w:ind w:firstLine="480"/>
        <w:spacing w:line="400" w:lineRule="exact"/>
        <w:rPr>
          <w:color w:val="000000"/>
        </w:rPr>
      </w:pPr>
      <w:r>
        <w:rPr>
          <w:rFonts w:hint="eastAsia"/>
          <w:color w:val="000000"/>
        </w:rPr>
        <w:t xml:space="preserve">四、我单位具有履行本项目采购合同所必需的设备和专业技术能力，并具有履行合同的良好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p>
    <w:p>
      <w:pPr>
        <w:pStyle w:val="855"/>
        <w:ind w:firstLine="480"/>
        <w:spacing w:line="400" w:lineRule="exact"/>
        <w:rPr>
          <w:color w:val="000000"/>
        </w:rPr>
      </w:pPr>
      <w:r>
        <w:rPr>
          <w:rFonts w:hint="eastAsia"/>
          <w:color w:val="000000"/>
        </w:rPr>
        <w:t xml:space="preserve">主要设备有：</w:t>
      </w:r>
      <w:r>
        <w:rPr>
          <w:color w:val="000000"/>
          <w:u w:val="single"/>
        </w:rPr>
        <w:t xml:space="preserve">            </w:t>
      </w:r>
      <w:r/>
    </w:p>
    <w:p>
      <w:pPr>
        <w:pStyle w:val="855"/>
        <w:ind w:firstLine="480"/>
        <w:spacing w:line="400" w:lineRule="exact"/>
        <w:rPr>
          <w:color w:val="000000"/>
        </w:rPr>
      </w:pPr>
      <w:r>
        <w:rPr>
          <w:rFonts w:hint="eastAsia"/>
          <w:color w:val="000000"/>
        </w:rPr>
        <w:t xml:space="preserve">主要专业技术能力有</w:t>
      </w:r>
      <w:r>
        <w:rPr>
          <w:rFonts w:hint="eastAsia"/>
          <w:color w:val="000000"/>
          <w:u w:val="single"/>
        </w:rPr>
        <w:t xml:space="preserve">                 </w:t>
      </w:r>
      <w:r/>
    </w:p>
    <w:p>
      <w:pPr>
        <w:pStyle w:val="855"/>
        <w:ind w:firstLine="480"/>
        <w:spacing w:line="400" w:lineRule="exact"/>
        <w:rPr>
          <w:color w:val="000000"/>
        </w:rPr>
      </w:pPr>
      <w:r>
        <w:rPr>
          <w:rFonts w:hint="eastAsia"/>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5"/>
        <w:ind w:firstLine="480"/>
        <w:spacing w:line="400" w:lineRule="exact"/>
        <w:rPr>
          <w:color w:val="000000"/>
        </w:rPr>
      </w:pPr>
      <w:r>
        <w:rPr>
          <w:rFonts w:hint="eastAsia"/>
          <w:color w:val="000000"/>
        </w:rPr>
        <w:t xml:space="preserve">六、我单位具备法律、行政法规规定的其他条件。</w:t>
      </w:r>
      <w:r/>
    </w:p>
    <w:p>
      <w:pPr>
        <w:pStyle w:val="855"/>
        <w:ind w:firstLine="480"/>
        <w:spacing w:line="400" w:lineRule="exact"/>
        <w:rPr>
          <w:color w:val="000000"/>
        </w:rPr>
      </w:pPr>
      <w:r>
        <w:rPr>
          <w:rFonts w:hint="eastAsia"/>
          <w:color w:val="000000"/>
        </w:rPr>
        <w:t xml:space="preserve">七、与我单位存在“单位负责人为同一人或者存在直接控股、管理关系”的其他单位信息如下（如无此情形的，填写“无”）：</w:t>
      </w:r>
      <w:r/>
    </w:p>
    <w:p>
      <w:pPr>
        <w:pStyle w:val="855"/>
        <w:ind w:firstLine="480"/>
        <w:spacing w:line="40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p>
    <w:p>
      <w:pPr>
        <w:pStyle w:val="855"/>
        <w:ind w:firstLine="480"/>
        <w:spacing w:line="40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p>
    <w:p>
      <w:pPr>
        <w:pStyle w:val="855"/>
        <w:ind w:firstLine="480"/>
        <w:spacing w:line="40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p>
    <w:p>
      <w:pPr>
        <w:pStyle w:val="855"/>
        <w:ind w:firstLine="480"/>
        <w:spacing w:line="400" w:lineRule="exact"/>
        <w:rPr>
          <w:color w:val="000000"/>
        </w:rPr>
      </w:pPr>
      <w:r>
        <w:rPr>
          <w:rFonts w:hint="eastAsia"/>
          <w:color w:val="000000"/>
        </w:rPr>
        <w:t xml:space="preserve">八、</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不属于为本项目提供整体设计、规范编制或者项目管理、监理、检测等服务的投标人。</w:t>
      </w:r>
      <w:r/>
    </w:p>
    <w:p>
      <w:pPr>
        <w:pStyle w:val="855"/>
        <w:ind w:firstLine="480"/>
        <w:spacing w:line="400" w:lineRule="exact"/>
        <w:rPr>
          <w:color w:val="000000"/>
        </w:rPr>
      </w:pPr>
      <w:r>
        <w:rPr>
          <w:rFonts w:hint="eastAsia"/>
          <w:color w:val="000000"/>
        </w:rPr>
        <w:t xml:space="preserve">九、</w:t>
      </w:r>
      <w:r>
        <w:rPr>
          <w:color w:val="000000"/>
        </w:rPr>
        <w:t xml:space="preserve">我单位无以下不良信用记录情形：</w:t>
      </w:r>
      <w:r/>
    </w:p>
    <w:p>
      <w:pPr>
        <w:pStyle w:val="855"/>
        <w:ind w:firstLine="480"/>
        <w:spacing w:line="400" w:lineRule="exact"/>
        <w:rPr>
          <w:color w:val="000000"/>
        </w:rPr>
      </w:pPr>
      <w:r>
        <w:rPr>
          <w:color w:val="000000"/>
        </w:rPr>
        <w:t xml:space="preserve">1</w:t>
      </w:r>
      <w:r>
        <w:rPr>
          <w:rFonts w:hint="eastAsia"/>
          <w:color w:val="000000"/>
        </w:rPr>
        <w:t xml:space="preserve">、在“信用中国”网站被列入失信被执行人和重大税收违法案件当事人名单；</w:t>
      </w:r>
      <w:r/>
    </w:p>
    <w:p>
      <w:pPr>
        <w:pStyle w:val="855"/>
        <w:ind w:firstLine="480"/>
        <w:spacing w:line="400" w:lineRule="exact"/>
        <w:rPr>
          <w:color w:val="000000"/>
        </w:rPr>
      </w:pPr>
      <w:r>
        <w:rPr>
          <w:color w:val="000000"/>
        </w:rPr>
        <w:t xml:space="preserve">2</w:t>
      </w:r>
      <w:r>
        <w:rPr>
          <w:rFonts w:hint="eastAsia"/>
          <w:color w:val="000000"/>
        </w:rPr>
        <w:t xml:space="preserve">、在“中国政府采购网”网站被列入政府采购严重违法失信行为记录名单；</w:t>
      </w:r>
      <w:r/>
    </w:p>
    <w:p>
      <w:pPr>
        <w:pStyle w:val="855"/>
        <w:ind w:firstLine="480"/>
        <w:spacing w:line="40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p>
    <w:p>
      <w:pPr>
        <w:pStyle w:val="855"/>
        <w:ind w:firstLine="480"/>
        <w:spacing w:line="400" w:lineRule="exact"/>
        <w:rPr>
          <w:color w:val="000000"/>
        </w:rPr>
      </w:pPr>
      <w:r>
        <w:rPr>
          <w:color w:val="000000"/>
        </w:rPr>
      </w:r>
      <w:r/>
    </w:p>
    <w:p>
      <w:pPr>
        <w:pStyle w:val="855"/>
        <w:ind w:firstLine="480"/>
        <w:spacing w:line="400" w:lineRule="exact"/>
        <w:rPr>
          <w:color w:val="000000"/>
        </w:rPr>
      </w:pPr>
      <w:r>
        <w:rPr>
          <w:rFonts w:hint="eastAsia"/>
          <w:color w:val="000000"/>
        </w:rPr>
        <w:t xml:space="preserve">我单位保证上述声明的事项都是真实的，如有虚假，我单位愿意承担相应的法律责任，并承担因此所造成的一切损失。</w:t>
      </w:r>
      <w:r/>
    </w:p>
    <w:p>
      <w:pPr>
        <w:pStyle w:val="855"/>
        <w:ind w:firstLine="480"/>
        <w:spacing w:line="400" w:lineRule="exact"/>
        <w:rPr>
          <w:color w:val="000000"/>
        </w:rPr>
      </w:pPr>
      <w:r>
        <w:rPr>
          <w:color w:val="000000"/>
        </w:rPr>
      </w:r>
      <w:r/>
    </w:p>
    <w:p>
      <w:pPr>
        <w:pStyle w:val="855"/>
        <w:ind w:firstLine="480"/>
        <w:spacing w:line="400" w:lineRule="exact"/>
        <w:rPr>
          <w:color w:val="000000"/>
        </w:rPr>
      </w:pPr>
      <w:r>
        <w:rPr>
          <w:color w:val="000000"/>
        </w:rPr>
      </w:r>
      <w:r/>
    </w:p>
    <w:p>
      <w:pPr>
        <w:pStyle w:val="855"/>
        <w:ind w:firstLine="480"/>
        <w:spacing w:line="400" w:lineRule="exact"/>
        <w:rPr>
          <w:color w:val="000000"/>
        </w:rPr>
      </w:pPr>
      <w:r>
        <w:rPr>
          <w:rFonts w:hint="eastAsia"/>
          <w:color w:val="000000"/>
        </w:rPr>
        <w:t xml:space="preserve">              </w:t>
      </w:r>
      <w:r>
        <w:rPr>
          <w:rFonts w:hint="eastAsia"/>
          <w:color w:val="000000"/>
        </w:rPr>
        <w:t xml:space="preserve">                              投标人：（加盖公章）</w:t>
      </w:r>
      <w:r/>
    </w:p>
    <w:p>
      <w:pPr>
        <w:pStyle w:val="855"/>
        <w:ind w:firstLine="480"/>
        <w:spacing w:line="400" w:lineRule="exact"/>
        <w:rPr>
          <w:color w:val="000000"/>
        </w:rPr>
      </w:pPr>
      <w:r>
        <w:rPr>
          <w:rFonts w:hint="eastAsia"/>
          <w:color w:val="000000"/>
        </w:rPr>
        <w:t xml:space="preserve">             </w:t>
      </w:r>
      <w:r>
        <w:rPr>
          <w:rFonts w:hint="eastAsia"/>
          <w:color w:val="000000"/>
        </w:rPr>
        <w:t xml:space="preserve">                              法定代表人（或单位负责人）签字或盖章：</w:t>
      </w:r>
      <w:r/>
    </w:p>
    <w:p>
      <w:pPr>
        <w:pStyle w:val="855"/>
        <w:ind w:firstLine="4920"/>
        <w:spacing w:line="400" w:lineRule="exact"/>
        <w:rPr>
          <w:color w:val="000000"/>
        </w:rPr>
      </w:pPr>
      <w:r>
        <w:rPr>
          <w:rFonts w:hint="eastAsia"/>
          <w:color w:val="000000"/>
        </w:rPr>
        <w:t xml:space="preserve">日期： </w:t>
      </w:r>
      <w:r>
        <w:rPr>
          <w:rFonts w:hint="eastAsia"/>
          <w:color w:val="000000"/>
        </w:rPr>
        <w:t xml:space="preserve">   </w:t>
      </w:r>
      <w:r>
        <w:rPr>
          <w:rFonts w:hint="eastAsia"/>
          <w:color w:val="000000"/>
        </w:rPr>
        <w:t xml:space="preserve">年 </w:t>
      </w:r>
      <w:r>
        <w:rPr>
          <w:rFonts w:hint="eastAsia"/>
          <w:color w:val="000000"/>
        </w:rPr>
        <w:t xml:space="preserve">   </w:t>
      </w:r>
      <w:r>
        <w:rPr>
          <w:rFonts w:hint="eastAsia"/>
          <w:color w:val="000000"/>
        </w:rPr>
        <w:t xml:space="preserve">月 </w:t>
      </w:r>
      <w:r>
        <w:rPr>
          <w:rFonts w:hint="eastAsia"/>
          <w:color w:val="000000"/>
        </w:rPr>
        <w:t xml:space="preserve">   </w:t>
      </w:r>
      <w:r>
        <w:rPr>
          <w:rFonts w:hint="eastAsia"/>
          <w:color w:val="000000"/>
        </w:rPr>
        <w:t xml:space="preserve">日</w:t>
      </w:r>
      <w:r/>
    </w:p>
    <w:p>
      <w:pPr>
        <w:spacing w:line="400" w:lineRule="exact"/>
        <w:rPr>
          <w:color w:val="000000"/>
          <w:sz w:val="24"/>
        </w:rPr>
      </w:pPr>
      <w:r>
        <w:rPr>
          <w:color w:val="000000"/>
          <w:sz w:val="24"/>
        </w:rPr>
      </w:r>
      <w:r/>
    </w:p>
    <w:p>
      <w:pPr>
        <w:spacing w:line="400" w:lineRule="exact"/>
        <w:rPr>
          <w:color w:val="000000"/>
          <w:sz w:val="24"/>
        </w:rPr>
      </w:pPr>
      <w:r>
        <w:rPr>
          <w:color w:val="000000"/>
          <w:sz w:val="24"/>
        </w:rPr>
      </w:r>
      <w:r/>
    </w:p>
    <w:p>
      <w:pPr>
        <w:spacing w:line="400" w:lineRule="exact"/>
        <w:rPr>
          <w:color w:val="000000"/>
          <w:sz w:val="24"/>
        </w:rPr>
      </w:pPr>
      <w:r>
        <w:rPr>
          <w:color w:val="000000"/>
          <w:sz w:val="24"/>
        </w:rPr>
      </w:r>
      <w:r/>
    </w:p>
    <w:p>
      <w:pPr>
        <w:spacing w:line="400" w:lineRule="exact"/>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p>
    <w:p>
      <w:pPr>
        <w:spacing w:line="400" w:lineRule="exact"/>
        <w:tabs>
          <w:tab w:val="left" w:pos="5580" w:leader="none"/>
        </w:tabs>
        <w:rPr>
          <w:color w:val="000000"/>
          <w:sz w:val="24"/>
        </w:rPr>
        <w:sectPr>
          <w:footnotePr/>
          <w:endnotePr/>
          <w:type w:val="nextPage"/>
          <w:pgSz w:w="11905" w:h="16838" w:orient="portrait"/>
          <w:pgMar w:top="1440" w:right="1800" w:bottom="1440" w:left="1800" w:header="851" w:footer="992" w:gutter="0"/>
          <w:cols w:num="1" w:sep="0" w:space="1701" w:equalWidth="1"/>
          <w:docGrid w:linePitch="360"/>
        </w:sectPr>
      </w:pPr>
      <w:r>
        <w:rPr>
          <w:color w:val="000000"/>
          <w:sz w:val="24"/>
        </w:rPr>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2 落实政府采购政策需满足的资格要求（如有）</w:t>
      </w:r>
      <w:r/>
    </w:p>
    <w:p>
      <w:pPr>
        <w:rPr>
          <w:color w:val="000000"/>
        </w:rPr>
      </w:pPr>
      <w:r>
        <w:rPr>
          <w:color w:val="000000"/>
        </w:rPr>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2-3 </w:t>
      </w:r>
      <w:r>
        <w:rPr>
          <w:rFonts w:hint="eastAsia" w:ascii="宋体" w:hAnsi="宋体"/>
          <w:b/>
          <w:color w:val="000000"/>
          <w:sz w:val="24"/>
          <w:szCs w:val="20"/>
        </w:rPr>
        <w:t xml:space="preserve">其他</w:t>
      </w:r>
      <w:r>
        <w:rPr>
          <w:rFonts w:ascii="宋体" w:hAnsi="宋体"/>
          <w:b/>
          <w:color w:val="000000"/>
          <w:sz w:val="24"/>
        </w:rPr>
        <w:t xml:space="preserve">落实政府采购政策的资格要求</w:t>
      </w:r>
      <w:r>
        <w:rPr>
          <w:rFonts w:ascii="宋体" w:hAnsi="宋体"/>
          <w:b/>
          <w:color w:val="000000"/>
          <w:sz w:val="24"/>
          <w:szCs w:val="20"/>
        </w:rPr>
        <w:t xml:space="preserve">（如有）</w:t>
      </w:r>
      <w:r/>
    </w:p>
    <w:p>
      <w:pPr>
        <w:jc w:val="left"/>
        <w:widowControl/>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4"/>
        </w:rPr>
        <w:outlineLvl w:val="2"/>
      </w:pPr>
      <w:r>
        <w:rPr>
          <w:rFonts w:ascii="宋体" w:hAnsi="宋体"/>
          <w:b/>
          <w:color w:val="000000"/>
          <w:sz w:val="24"/>
          <w:szCs w:val="20"/>
        </w:rPr>
        <w:t xml:space="preserve">3 本项目的特定资格要求（如有）</w:t>
      </w:r>
      <w:r/>
    </w:p>
    <w:p>
      <w:pPr>
        <w:spacing w:line="390" w:lineRule="exact"/>
        <w:rPr>
          <w:rFonts w:hint="eastAsia" w:ascii="宋体" w:hAnsi="宋体" w:cs="宋体"/>
          <w:b/>
          <w:bCs/>
          <w:color w:val="000000"/>
          <w:sz w:val="24"/>
        </w:rPr>
      </w:pPr>
      <w:r>
        <w:rPr>
          <w:rFonts w:hint="eastAsia" w:ascii="宋体" w:hAnsi="宋体" w:cs="宋体"/>
          <w:b/>
          <w:bCs/>
          <w:color w:val="000000"/>
          <w:sz w:val="24"/>
        </w:rPr>
      </w:r>
      <w:r/>
    </w:p>
    <w:p>
      <w:pPr>
        <w:numPr>
          <w:ilvl w:val="0"/>
          <w:numId w:val="15"/>
        </w:numPr>
        <w:spacing w:line="360" w:lineRule="auto"/>
        <w:rPr>
          <w:rFonts w:hint="eastAsia" w:ascii="宋体" w:hAnsi="宋体"/>
          <w:b/>
          <w:color w:val="000000"/>
          <w:sz w:val="24"/>
          <w:szCs w:val="20"/>
        </w:rPr>
        <w:outlineLvl w:val="2"/>
      </w:pPr>
      <w:r>
        <w:rPr>
          <w:rFonts w:hint="eastAsia" w:ascii="宋体" w:hAnsi="宋体"/>
          <w:b/>
          <w:color w:val="000000"/>
          <w:sz w:val="24"/>
          <w:szCs w:val="20"/>
        </w:rPr>
        <w:t xml:space="preserve">营业执照</w:t>
      </w:r>
      <w:r/>
    </w:p>
    <w:p>
      <w:pPr>
        <w:rPr>
          <w:color w:val="000000"/>
        </w:rPr>
      </w:pPr>
      <w:r>
        <w:rPr>
          <w:rFonts w:hint="eastAsia"/>
          <w:color w:val="000000"/>
        </w:rPr>
        <w:br w:type="column"/>
      </w:r>
      <w:r/>
    </w:p>
    <w:p>
      <w:pPr>
        <w:jc w:val="center"/>
        <w:widowControl/>
        <w:rPr>
          <w:rFonts w:hint="eastAsia" w:ascii="宋体" w:hAnsi="宋体"/>
          <w:b/>
          <w:color w:val="000000"/>
          <w:sz w:val="32"/>
          <w:szCs w:val="32"/>
        </w:rPr>
      </w:pPr>
      <w:r>
        <w:rPr>
          <w:rFonts w:ascii="宋体" w:hAnsi="宋体"/>
          <w:b/>
          <w:color w:val="000000"/>
          <w:sz w:val="32"/>
          <w:szCs w:val="32"/>
        </w:rPr>
        <w:t xml:space="preserve">二、商务技术文件格式</w:t>
      </w:r>
      <w:bookmarkStart w:id="360" w:name="_Toc142311058"/>
      <w:r/>
      <w:bookmarkStart w:id="361" w:name="_Toc150774761"/>
      <w:r/>
      <w:bookmarkStart w:id="362" w:name="_Ref467988698"/>
      <w:r/>
      <w:bookmarkStart w:id="363" w:name="_Toc195842921"/>
      <w:r/>
      <w:bookmarkStart w:id="364" w:name="_Toc226965829"/>
      <w:r/>
      <w:bookmarkStart w:id="365" w:name="_Toc480942349"/>
      <w:r/>
      <w:bookmarkStart w:id="366" w:name="_Toc150480794"/>
      <w:r/>
      <w:bookmarkStart w:id="367" w:name="_Toc520356217"/>
      <w:r/>
      <w:bookmarkStart w:id="368" w:name="_Toc226309800"/>
      <w:r/>
      <w:bookmarkStart w:id="369" w:name="_Toc226965746"/>
      <w:r/>
      <w:bookmarkStart w:id="370" w:name="_Toc226337252"/>
      <w:r/>
      <w:bookmarkStart w:id="371" w:name="_Toc127151556"/>
      <w:r/>
      <w:r/>
    </w:p>
    <w:p>
      <w:pPr>
        <w:jc w:val="center"/>
        <w:widowControl/>
        <w:rPr>
          <w:rFonts w:hint="eastAsia" w:ascii="宋体" w:hAnsi="宋体"/>
          <w:b/>
          <w:color w:val="000000"/>
          <w:sz w:val="32"/>
          <w:szCs w:val="32"/>
        </w:rPr>
      </w:pPr>
      <w:r>
        <w:rPr>
          <w:rFonts w:hint="eastAsia" w:ascii="宋体" w:hAnsi="宋体"/>
          <w:b/>
          <w:color w:val="000000"/>
          <w:sz w:val="32"/>
          <w:szCs w:val="32"/>
        </w:rPr>
      </w:r>
      <w:r/>
    </w:p>
    <w:p>
      <w:pPr>
        <w:spacing w:line="360" w:lineRule="auto"/>
        <w:rPr>
          <w:b/>
          <w:bCs/>
          <w:color w:val="000000"/>
          <w:sz w:val="24"/>
          <w:szCs w:val="20"/>
        </w:rPr>
        <w:outlineLvl w:val="2"/>
      </w:pPr>
      <w:r>
        <w:rPr>
          <w:rFonts w:hint="eastAsia"/>
          <w:b/>
          <w:bCs/>
          <w:color w:val="000000"/>
          <w:sz w:val="24"/>
        </w:rPr>
        <w:t xml:space="preserve">1</w:t>
      </w:r>
      <w:r>
        <w:rPr>
          <w:b/>
          <w:bCs/>
          <w:color w:val="000000"/>
          <w:sz w:val="24"/>
          <w:szCs w:val="20"/>
        </w:rPr>
        <w:t xml:space="preserve">  </w:t>
      </w:r>
      <w:r>
        <w:rPr>
          <w:b/>
          <w:bCs/>
          <w:color w:val="000000"/>
          <w:sz w:val="24"/>
        </w:rPr>
        <w:t xml:space="preserve">投标</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b/>
          <w:bCs/>
          <w:color w:val="000000"/>
          <w:sz w:val="24"/>
        </w:rPr>
        <w:t xml:space="preserve">函</w:t>
      </w:r>
      <w:r>
        <w:rPr>
          <w:b/>
          <w:bCs/>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投 标 函</w:t>
      </w:r>
      <w:r/>
    </w:p>
    <w:p>
      <w:pPr>
        <w:spacing w:line="400" w:lineRule="exact"/>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400" w:lineRule="exact"/>
        <w:tabs>
          <w:tab w:val="left" w:pos="5580" w:leader="none"/>
        </w:tabs>
        <w:rPr>
          <w:color w:val="000000"/>
          <w:sz w:val="24"/>
          <w:szCs w:val="20"/>
        </w:rPr>
      </w:pPr>
      <w:r>
        <w:rPr>
          <w:color w:val="000000"/>
          <w:sz w:val="24"/>
          <w:szCs w:val="20"/>
        </w:rPr>
      </w:r>
      <w:r/>
    </w:p>
    <w:p>
      <w:pPr>
        <w:ind w:firstLine="408"/>
        <w:spacing w:line="400" w:lineRule="exact"/>
        <w:tabs>
          <w:tab w:val="left" w:pos="5580" w:leader="none"/>
        </w:tabs>
        <w:rPr>
          <w:color w:val="000000"/>
          <w:sz w:val="24"/>
          <w:szCs w:val="20"/>
        </w:rPr>
      </w:pPr>
      <w:r>
        <w:rPr>
          <w:color w:val="000000"/>
          <w:sz w:val="24"/>
          <w:szCs w:val="20"/>
        </w:rPr>
        <w:t xml:space="preserve">我方参加你方就</w:t>
      </w:r>
      <w:r>
        <w:rPr>
          <w:color w:val="000000"/>
          <w:sz w:val="24"/>
          <w:szCs w:val="20"/>
        </w:rPr>
        <w:t xml:space="preserve">___________</w:t>
      </w:r>
      <w:r>
        <w:rPr>
          <w:color w:val="000000"/>
          <w:sz w:val="24"/>
          <w:szCs w:val="20"/>
        </w:rPr>
        <w:t xml:space="preserve">（项目名称，项目编号</w:t>
      </w:r>
      <w:r>
        <w:rPr>
          <w:color w:val="000000"/>
          <w:sz w:val="24"/>
          <w:szCs w:val="20"/>
        </w:rPr>
        <w:t xml:space="preserve">/</w:t>
      </w:r>
      <w:r>
        <w:rPr>
          <w:color w:val="000000"/>
          <w:sz w:val="24"/>
          <w:szCs w:val="20"/>
        </w:rPr>
        <w:t xml:space="preserve">包号）组织的招标活动，并对此项目进行投标。</w:t>
      </w:r>
      <w:r/>
    </w:p>
    <w:p>
      <w:pPr>
        <w:ind w:firstLine="408"/>
        <w:spacing w:line="400" w:lineRule="exact"/>
        <w:tabs>
          <w:tab w:val="left" w:pos="5580" w:leader="none"/>
        </w:tabs>
        <w:rPr>
          <w:color w:val="000000"/>
          <w:sz w:val="24"/>
          <w:szCs w:val="20"/>
        </w:rPr>
      </w:pPr>
      <w:r>
        <w:rPr>
          <w:color w:val="000000"/>
          <w:sz w:val="24"/>
          <w:szCs w:val="20"/>
        </w:rPr>
        <w:t xml:space="preserve">1. </w:t>
      </w:r>
      <w:r>
        <w:rPr>
          <w:color w:val="000000"/>
          <w:sz w:val="24"/>
          <w:szCs w:val="20"/>
        </w:rPr>
        <w:t xml:space="preserve">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400" w:lineRule="exact"/>
        <w:tabs>
          <w:tab w:val="left" w:pos="720" w:leader="none"/>
          <w:tab w:val="left" w:pos="900" w:leader="none"/>
        </w:tabs>
        <w:rPr>
          <w:color w:val="000000"/>
          <w:sz w:val="24"/>
          <w:szCs w:val="20"/>
        </w:rPr>
      </w:pPr>
      <w:r>
        <w:rPr>
          <w:color w:val="000000"/>
          <w:sz w:val="24"/>
          <w:szCs w:val="20"/>
        </w:rPr>
        <w:t xml:space="preserve">（</w:t>
      </w:r>
      <w:r>
        <w:rPr>
          <w:color w:val="000000"/>
          <w:sz w:val="24"/>
          <w:szCs w:val="20"/>
        </w:rPr>
        <w:t xml:space="preserve">1</w:t>
      </w:r>
      <w:r>
        <w:rPr>
          <w:color w:val="000000"/>
          <w:sz w:val="24"/>
          <w:szCs w:val="20"/>
        </w:rPr>
        <w:t xml:space="preserve">）本投标有效期为自提交投标</w:t>
      </w:r>
      <w:r>
        <w:rPr>
          <w:rFonts w:hint="eastAsia"/>
          <w:color w:val="000000"/>
          <w:sz w:val="24"/>
          <w:szCs w:val="20"/>
        </w:rPr>
        <w:t xml:space="preserve">文件</w:t>
      </w:r>
      <w:r>
        <w:rPr>
          <w:color w:val="000000"/>
          <w:sz w:val="24"/>
          <w:szCs w:val="20"/>
        </w:rPr>
        <w:t xml:space="preserve">截止之日起</w:t>
      </w:r>
      <w:r>
        <w:rPr>
          <w:rFonts w:hint="eastAsia"/>
          <w:color w:val="000000"/>
          <w:sz w:val="24"/>
        </w:rPr>
        <w:t xml:space="preserve">60</w:t>
      </w:r>
      <w:r>
        <w:rPr>
          <w:color w:val="000000"/>
          <w:sz w:val="24"/>
          <w:szCs w:val="20"/>
        </w:rPr>
        <w:t xml:space="preserve">个日历日。</w:t>
      </w:r>
      <w:r/>
    </w:p>
    <w:p>
      <w:pPr>
        <w:ind w:left="360" w:firstLine="72"/>
        <w:spacing w:line="400" w:lineRule="exact"/>
        <w:tabs>
          <w:tab w:val="left" w:pos="720" w:leader="none"/>
          <w:tab w:val="left" w:pos="900" w:leader="none"/>
        </w:tabs>
        <w:rPr>
          <w:color w:val="000000"/>
          <w:sz w:val="24"/>
          <w:szCs w:val="20"/>
        </w:rPr>
      </w:pPr>
      <w:r>
        <w:rPr>
          <w:color w:val="000000"/>
          <w:sz w:val="24"/>
          <w:szCs w:val="20"/>
        </w:rPr>
        <w:t xml:space="preserve">（</w:t>
      </w:r>
      <w:r>
        <w:rPr>
          <w:color w:val="000000"/>
          <w:sz w:val="24"/>
          <w:szCs w:val="20"/>
        </w:rPr>
        <w:t xml:space="preserve">2</w:t>
      </w:r>
      <w:r>
        <w:rPr>
          <w:color w:val="000000"/>
          <w:sz w:val="24"/>
          <w:szCs w:val="20"/>
        </w:rPr>
        <w:t xml:space="preserve">）除合同条款及采购需求偏离表列出的偏离外，我方响应招标文件的全部要求。</w:t>
      </w:r>
      <w:r/>
    </w:p>
    <w:p>
      <w:pPr>
        <w:ind w:firstLine="420"/>
        <w:spacing w:line="400" w:lineRule="exact"/>
        <w:tabs>
          <w:tab w:val="left" w:pos="5580" w:leader="none"/>
        </w:tabs>
        <w:rPr>
          <w:color w:val="000000"/>
          <w:sz w:val="24"/>
          <w:szCs w:val="20"/>
        </w:rPr>
      </w:pPr>
      <w:r>
        <w:rPr>
          <w:color w:val="000000"/>
          <w:sz w:val="24"/>
          <w:szCs w:val="20"/>
        </w:rPr>
        <w:t xml:space="preserve">（</w:t>
      </w:r>
      <w:r>
        <w:rPr>
          <w:color w:val="000000"/>
          <w:sz w:val="24"/>
          <w:szCs w:val="20"/>
        </w:rPr>
        <w:t xml:space="preserve">3</w:t>
      </w:r>
      <w:r>
        <w:rPr>
          <w:color w:val="000000"/>
          <w:sz w:val="24"/>
          <w:szCs w:val="20"/>
        </w:rPr>
        <w:t xml:space="preserve">）我方已提供的全部文件资料是真实、准确的，并对此承担一切法律后果。</w:t>
      </w:r>
      <w:r/>
    </w:p>
    <w:p>
      <w:pPr>
        <w:ind w:firstLine="420"/>
        <w:spacing w:line="400" w:lineRule="exact"/>
        <w:tabs>
          <w:tab w:val="left" w:pos="5580" w:leader="none"/>
        </w:tabs>
        <w:rPr>
          <w:color w:val="000000"/>
          <w:sz w:val="24"/>
        </w:rPr>
      </w:pPr>
      <w:r>
        <w:rPr>
          <w:color w:val="000000"/>
          <w:sz w:val="24"/>
          <w:szCs w:val="20"/>
        </w:rPr>
        <w:t xml:space="preserve">（</w:t>
      </w:r>
      <w:r>
        <w:rPr>
          <w:color w:val="000000"/>
          <w:sz w:val="24"/>
          <w:szCs w:val="20"/>
        </w:rPr>
        <w:t xml:space="preserve">4</w:t>
      </w:r>
      <w:r>
        <w:rPr>
          <w:color w:val="000000"/>
          <w:sz w:val="24"/>
          <w:szCs w:val="20"/>
        </w:rPr>
        <w:t xml:space="preserve">）如我方中标，我方将在法律规定的期限内与你方签订合同，按照招标文件要求提交履约保证金，并在合同约定的期限内完成合同规定的全部义务。</w:t>
      </w:r>
      <w:r/>
    </w:p>
    <w:p>
      <w:pPr>
        <w:ind w:left="420"/>
        <w:spacing w:line="400" w:lineRule="exact"/>
        <w:rPr>
          <w:color w:val="000000"/>
          <w:sz w:val="24"/>
        </w:rPr>
      </w:pPr>
      <w:r>
        <w:rPr>
          <w:color w:val="000000"/>
          <w:sz w:val="24"/>
        </w:rPr>
        <w:t xml:space="preserve">2. </w:t>
      </w:r>
      <w:r>
        <w:rPr>
          <w:color w:val="000000"/>
          <w:sz w:val="24"/>
        </w:rPr>
        <w:t xml:space="preserve">其他补充条款（如有）：</w:t>
      </w:r>
      <w:r>
        <w:rPr>
          <w:color w:val="000000"/>
          <w:sz w:val="24"/>
          <w:szCs w:val="20"/>
        </w:rPr>
        <w:t xml:space="preserve">___________</w:t>
      </w:r>
      <w:r>
        <w:rPr>
          <w:color w:val="000000"/>
          <w:sz w:val="24"/>
        </w:rPr>
        <w:t xml:space="preserve">。</w:t>
      </w:r>
      <w:r/>
    </w:p>
    <w:p>
      <w:pPr>
        <w:ind w:firstLine="480"/>
        <w:spacing w:line="400" w:lineRule="exact"/>
        <w:rPr>
          <w:color w:val="000000"/>
          <w:sz w:val="24"/>
        </w:rPr>
      </w:pPr>
      <w:r>
        <w:rPr>
          <w:color w:val="000000"/>
          <w:sz w:val="24"/>
        </w:rPr>
        <w:t xml:space="preserve">与本投标有关的一切正式往来信函请寄：</w:t>
      </w:r>
      <w:r/>
    </w:p>
    <w:p>
      <w:pPr>
        <w:ind w:left="420"/>
        <w:spacing w:line="400" w:lineRule="exact"/>
        <w:tabs>
          <w:tab w:val="left" w:pos="5580" w:leader="none"/>
        </w:tabs>
        <w:rPr>
          <w:color w:val="000000"/>
          <w:sz w:val="24"/>
          <w:szCs w:val="20"/>
        </w:rPr>
      </w:pPr>
      <w:r>
        <w:rPr>
          <w:color w:val="000000"/>
          <w:sz w:val="24"/>
          <w:szCs w:val="20"/>
        </w:rPr>
      </w:r>
      <w:r/>
    </w:p>
    <w:p>
      <w:pPr>
        <w:ind w:left="420"/>
        <w:spacing w:line="400" w:lineRule="exact"/>
        <w:tabs>
          <w:tab w:val="left" w:pos="5580" w:leader="none"/>
        </w:tabs>
        <w:rPr>
          <w:color w:val="000000"/>
          <w:sz w:val="24"/>
          <w:szCs w:val="20"/>
        </w:rPr>
      </w:pPr>
      <w:r>
        <w:rPr>
          <w:color w:val="000000"/>
          <w:sz w:val="24"/>
          <w:szCs w:val="20"/>
        </w:rPr>
        <w:t xml:space="preserve">地址</w:t>
      </w:r>
      <w:r>
        <w:rPr>
          <w:color w:val="000000"/>
          <w:sz w:val="24"/>
          <w:szCs w:val="20"/>
        </w:rPr>
        <w:t xml:space="preserve">_________________________     </w:t>
      </w:r>
      <w:r/>
    </w:p>
    <w:p>
      <w:pPr>
        <w:ind w:left="420"/>
        <w:spacing w:line="400" w:lineRule="exact"/>
        <w:tabs>
          <w:tab w:val="left" w:pos="5580" w:leader="none"/>
        </w:tabs>
        <w:rPr>
          <w:color w:val="000000"/>
          <w:sz w:val="24"/>
          <w:szCs w:val="20"/>
        </w:rPr>
      </w:pPr>
      <w:r>
        <w:rPr>
          <w:color w:val="000000"/>
          <w:sz w:val="24"/>
          <w:szCs w:val="20"/>
        </w:rPr>
        <w:t xml:space="preserve">传真</w:t>
      </w:r>
      <w:r>
        <w:rPr>
          <w:color w:val="000000"/>
          <w:sz w:val="24"/>
          <w:szCs w:val="20"/>
        </w:rPr>
        <w:t xml:space="preserve">____________________________</w:t>
      </w:r>
      <w:r/>
    </w:p>
    <w:p>
      <w:pPr>
        <w:ind w:left="420"/>
        <w:spacing w:line="400" w:lineRule="exact"/>
        <w:tabs>
          <w:tab w:val="left" w:pos="5580" w:leader="none"/>
        </w:tabs>
        <w:rPr>
          <w:color w:val="000000"/>
          <w:sz w:val="24"/>
          <w:szCs w:val="20"/>
        </w:rPr>
      </w:pPr>
      <w:r>
        <w:rPr>
          <w:color w:val="000000"/>
          <w:sz w:val="24"/>
          <w:szCs w:val="20"/>
        </w:rPr>
        <w:t xml:space="preserve">电话</w:t>
      </w:r>
      <w:r>
        <w:rPr>
          <w:color w:val="000000"/>
          <w:sz w:val="24"/>
          <w:szCs w:val="20"/>
        </w:rPr>
        <w:t xml:space="preserve">_________________________     </w:t>
      </w:r>
      <w:r/>
    </w:p>
    <w:p>
      <w:pPr>
        <w:ind w:left="420"/>
        <w:spacing w:line="400" w:lineRule="exact"/>
        <w:tabs>
          <w:tab w:val="left" w:pos="5580" w:leader="none"/>
        </w:tabs>
        <w:rPr>
          <w:color w:val="000000"/>
          <w:sz w:val="24"/>
          <w:szCs w:val="20"/>
        </w:rPr>
      </w:pPr>
      <w:r>
        <w:rPr>
          <w:color w:val="000000"/>
          <w:sz w:val="24"/>
          <w:szCs w:val="20"/>
        </w:rPr>
        <w:t xml:space="preserve">电子函件</w:t>
      </w:r>
      <w:r>
        <w:rPr>
          <w:color w:val="000000"/>
          <w:sz w:val="24"/>
          <w:szCs w:val="20"/>
        </w:rPr>
        <w:t xml:space="preserve">________________________</w:t>
      </w:r>
      <w:r/>
    </w:p>
    <w:p>
      <w:pPr>
        <w:ind w:left="420"/>
        <w:spacing w:line="400" w:lineRule="exact"/>
        <w:tabs>
          <w:tab w:val="left" w:pos="5580" w:leader="none"/>
        </w:tabs>
        <w:rPr>
          <w:color w:val="000000"/>
          <w:sz w:val="24"/>
          <w:szCs w:val="20"/>
        </w:rPr>
      </w:pPr>
      <w:r>
        <w:rPr>
          <w:color w:val="000000"/>
          <w:sz w:val="24"/>
          <w:szCs w:val="20"/>
        </w:rPr>
      </w:r>
      <w:r/>
    </w:p>
    <w:p>
      <w:pPr>
        <w:ind w:left="420"/>
        <w:spacing w:line="400" w:lineRule="exact"/>
        <w:tabs>
          <w:tab w:val="left" w:pos="5580" w:leader="none"/>
        </w:tabs>
        <w:rPr>
          <w:color w:val="000000"/>
          <w:sz w:val="24"/>
          <w:szCs w:val="20"/>
        </w:rPr>
      </w:pPr>
      <w:r>
        <w:rPr>
          <w:color w:val="000000"/>
          <w:sz w:val="24"/>
          <w:szCs w:val="20"/>
        </w:rPr>
        <w:t xml:space="preserve">投标人名称（加盖公章）</w:t>
      </w:r>
      <w:r>
        <w:rPr>
          <w:color w:val="000000"/>
          <w:sz w:val="24"/>
          <w:szCs w:val="20"/>
        </w:rPr>
        <w:t xml:space="preserve"> ___________</w:t>
      </w:r>
      <w:r/>
    </w:p>
    <w:p>
      <w:pPr>
        <w:ind w:left="420"/>
        <w:spacing w:line="400" w:lineRule="exact"/>
        <w:tabs>
          <w:tab w:val="left" w:pos="5580" w:leader="none"/>
        </w:tabs>
        <w:rPr>
          <w:color w:val="000000"/>
          <w:sz w:val="24"/>
          <w:szCs w:val="20"/>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color w:val="000000"/>
          <w:sz w:val="24"/>
        </w:rPr>
      </w:pPr>
      <w:r/>
      <w:bookmarkStart w:id="372" w:name="_Hlt520355938"/>
      <w:r/>
      <w:bookmarkStart w:id="373" w:name="_Hlt520356243"/>
      <w:r/>
      <w:bookmarkEnd w:id="372"/>
      <w:r/>
      <w:bookmarkEnd w:id="373"/>
      <w:r>
        <w:rPr>
          <w:color w:val="000000"/>
          <w:sz w:val="24"/>
        </w:rPr>
        <w:br w:type="page" w:clear="all"/>
      </w:r>
      <w:r/>
    </w:p>
    <w:p>
      <w:pPr>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2  法定代表人资格证明书/授权委托书（实质性格式）</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法定代表人（单位负责人）资格证明书</w:t>
      </w:r>
      <w:r/>
    </w:p>
    <w:p>
      <w:pPr>
        <w:spacing w:line="400" w:lineRule="exact"/>
        <w:rPr>
          <w:rFonts w:hint="eastAsia" w:ascii="宋体" w:hAnsi="宋体"/>
          <w:color w:val="000000"/>
          <w:sz w:val="24"/>
        </w:rPr>
      </w:pPr>
      <w:r>
        <w:rPr>
          <w:rFonts w:hint="eastAsia" w:ascii="宋体" w:hAnsi="宋体"/>
          <w:color w:val="000000"/>
          <w:sz w:val="24"/>
        </w:rPr>
        <w:t xml:space="preserve">单位名称:</w:t>
      </w:r>
      <w:r/>
    </w:p>
    <w:p>
      <w:pPr>
        <w:spacing w:line="400" w:lineRule="exact"/>
        <w:rPr>
          <w:rFonts w:hint="eastAsia" w:ascii="宋体" w:hAnsi="宋体"/>
          <w:color w:val="000000"/>
          <w:sz w:val="24"/>
        </w:rPr>
      </w:pPr>
      <w:r>
        <w:rPr>
          <w:rFonts w:hint="eastAsia" w:ascii="宋体" w:hAnsi="宋体"/>
          <w:color w:val="000000"/>
          <w:sz w:val="24"/>
        </w:rPr>
        <w:t xml:space="preserve">地址:</w:t>
      </w:r>
      <w:r/>
    </w:p>
    <w:p>
      <w:pPr>
        <w:spacing w:line="400" w:lineRule="exact"/>
        <w:rPr>
          <w:rFonts w:hint="eastAsia" w:ascii="宋体" w:hAnsi="宋体"/>
          <w:color w:val="000000"/>
          <w:sz w:val="24"/>
        </w:rPr>
      </w:pPr>
      <w:r>
        <w:rPr>
          <w:rFonts w:hint="eastAsia" w:ascii="宋体" w:hAnsi="宋体"/>
          <w:color w:val="000000"/>
          <w:sz w:val="24"/>
        </w:rPr>
        <w:t xml:space="preserve">姓名:     性别:       年龄:      职务:</w:t>
      </w:r>
      <w:r/>
    </w:p>
    <w:p>
      <w:pPr>
        <w:spacing w:line="400" w:lineRule="exact"/>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的法定代表人（单位负责人）。为参与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p>
    <w:p>
      <w:pPr>
        <w:spacing w:line="400" w:lineRule="exact"/>
        <w:rPr>
          <w:rFonts w:hint="eastAsia" w:ascii="宋体" w:hAnsi="宋体"/>
          <w:color w:val="000000"/>
          <w:sz w:val="24"/>
        </w:rPr>
      </w:pPr>
      <w:r>
        <w:rPr>
          <w:rFonts w:hint="eastAsia" w:ascii="宋体" w:hAnsi="宋体"/>
          <w:color w:val="000000"/>
          <w:sz w:val="24"/>
        </w:rPr>
        <w:t xml:space="preserve">特此证明。</w:t>
      </w:r>
      <w:r/>
    </w:p>
    <w:p>
      <w:pPr>
        <w:spacing w:line="560" w:lineRule="exact"/>
        <w:rPr>
          <w:rFonts w:hint="eastAsia" w:ascii="宋体" w:hAnsi="宋体"/>
          <w:color w:val="000000"/>
          <w:sz w:val="24"/>
        </w:rPr>
      </w:pPr>
      <w:r>
        <w:rPr>
          <w:rFonts w:hint="eastAsia" w:ascii="宋体" w:hAnsi="宋体"/>
          <w:color w:val="000000"/>
          <w:sz w:val="24"/>
        </w:rPr>
      </w:r>
      <w:r/>
    </w:p>
    <w:p>
      <w:pPr>
        <w:pStyle w:val="860"/>
        <w:ind w:right="-46"/>
        <w:spacing w:line="583" w:lineRule="auto"/>
        <w:rPr>
          <w:rFonts w:hint="eastAsia"/>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p>
    <w:tbl>
      <w:tblPr>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10"/>
        <w:gridCol w:w="4575"/>
      </w:tblGrid>
      <w:tr>
        <w:trPr>
          <w:jc w:val="center"/>
          <w:trHeight w:val="2885"/>
        </w:trPr>
        <w:tc>
          <w:tcPr>
            <w:tcW w:w="2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246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spacing w:line="400" w:lineRule="exact"/>
        <w:rPr>
          <w:rFonts w:hint="eastAsia" w:ascii="宋体" w:hAnsi="宋体"/>
          <w:color w:val="000000"/>
          <w:sz w:val="24"/>
        </w:rPr>
      </w:pPr>
      <w:r>
        <w:rPr>
          <w:rFonts w:hint="eastAsia" w:ascii="宋体" w:hAnsi="宋体"/>
          <w:color w:val="000000"/>
          <w:sz w:val="24"/>
        </w:rPr>
        <w:t xml:space="preserve">                     投标人名称：（加盖公章）</w:t>
      </w:r>
      <w:r/>
    </w:p>
    <w:p>
      <w:pPr>
        <w:spacing w:line="400" w:lineRule="exact"/>
        <w:rPr>
          <w:rFonts w:hint="eastAsia"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p>
    <w:p>
      <w:pPr>
        <w:ind w:firstLine="4320"/>
        <w:spacing w:line="400" w:lineRule="exact"/>
        <w:rPr>
          <w:rFonts w:hint="eastAsia" w:ascii="宋体" w:hAnsi="宋体"/>
          <w:color w:val="000000"/>
          <w:sz w:val="24"/>
        </w:rPr>
      </w:pPr>
      <w:r>
        <w:rPr>
          <w:rFonts w:hint="eastAsia" w:ascii="宋体" w:hAnsi="宋体"/>
          <w:color w:val="000000"/>
          <w:sz w:val="24"/>
        </w:rPr>
        <w:t xml:space="preserve">日期：    年    月    日</w:t>
      </w:r>
      <w:r/>
    </w:p>
    <w:p>
      <w:pPr>
        <w:jc w:val="left"/>
        <w:spacing w:line="400" w:lineRule="exact"/>
        <w:widowControl/>
        <w:rPr>
          <w:color w:val="000000"/>
          <w:sz w:val="24"/>
        </w:rPr>
      </w:pPr>
      <w:r>
        <w:rPr>
          <w:color w:val="000000"/>
          <w:sz w:val="24"/>
        </w:rPr>
      </w:r>
      <w:r/>
    </w:p>
    <w:p>
      <w:pPr>
        <w:jc w:val="left"/>
        <w:spacing w:line="400" w:lineRule="exact"/>
        <w:widowControl/>
        <w:rPr>
          <w:color w:val="000000"/>
          <w:sz w:val="24"/>
        </w:rPr>
      </w:pPr>
      <w:r>
        <w:rPr>
          <w:color w:val="000000"/>
          <w:sz w:val="24"/>
        </w:rPr>
      </w:r>
      <w:r/>
    </w:p>
    <w:p>
      <w:pPr>
        <w:jc w:val="left"/>
        <w:spacing w:line="400" w:lineRule="exact"/>
        <w:widowControl/>
        <w:rPr>
          <w:color w:val="000000"/>
          <w:sz w:val="24"/>
        </w:rPr>
      </w:pPr>
      <w:r>
        <w:rPr>
          <w:color w:val="000000"/>
          <w:sz w:val="24"/>
        </w:rPr>
      </w:r>
      <w:r/>
    </w:p>
    <w:p>
      <w:pPr>
        <w:jc w:val="left"/>
        <w:spacing w:line="400" w:lineRule="exac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400" w:lineRule="exac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400" w:lineRule="exact"/>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rPr>
          <w:rFonts w:hint="eastAsia" w:ascii="宋体" w:hAnsi="宋体" w:cs="宋体"/>
          <w:bCs/>
          <w:color w:val="000000"/>
        </w:rPr>
      </w:pPr>
      <w:r>
        <w:rPr>
          <w:rFonts w:hint="eastAsia" w:ascii="宋体" w:hAnsi="宋体"/>
          <w:color w:val="000000"/>
          <w:sz w:val="24"/>
          <w:szCs w:val="20"/>
        </w:rPr>
        <w:br w:type="column"/>
      </w:r>
      <w:r/>
    </w:p>
    <w:p>
      <w:pPr>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3  政府采购供应商信用承诺书（实质性格式）</w:t>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政府采购供应商信用承诺书</w:t>
      </w:r>
      <w:r/>
    </w:p>
    <w:p>
      <w:pPr>
        <w:ind w:firstLine="640"/>
        <w:rPr>
          <w:color w:val="000000"/>
        </w:rPr>
      </w:pPr>
      <w:r>
        <w:rPr>
          <w:color w:val="000000"/>
        </w:rPr>
      </w:r>
      <w:r/>
    </w:p>
    <w:p>
      <w:pPr>
        <w:ind w:firstLine="482"/>
        <w:spacing w:line="400" w:lineRule="exact"/>
        <w:rPr>
          <w:rFonts w:hint="eastAsia"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p>
    <w:p>
      <w:pPr>
        <w:ind w:firstLine="482"/>
        <w:spacing w:line="400" w:lineRule="exact"/>
        <w:rPr>
          <w:rFonts w:hint="eastAsia"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p>
    <w:p>
      <w:pPr>
        <w:ind w:firstLine="482"/>
        <w:spacing w:line="400" w:lineRule="exact"/>
        <w:rPr>
          <w:rFonts w:hint="eastAsia"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hint="eastAsia"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hint="eastAsia"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hint="eastAsia" w:ascii="宋体" w:hAnsi="宋体"/>
          <w:color w:val="000000"/>
          <w:sz w:val="24"/>
        </w:rPr>
      </w:pPr>
      <w:r>
        <w:rPr>
          <w:rFonts w:hint="eastAsia" w:ascii="宋体" w:hAnsi="宋体"/>
          <w:color w:val="000000"/>
          <w:sz w:val="24"/>
        </w:rPr>
        <w:t xml:space="preserve">五、承诺本单位自觉接受行政管理部门、行业组织、社会公众、新闻舆论的监督。 </w:t>
      </w:r>
      <w:r/>
    </w:p>
    <w:p>
      <w:pPr>
        <w:ind w:firstLine="482"/>
        <w:spacing w:line="400" w:lineRule="exact"/>
        <w:rPr>
          <w:rFonts w:hint="eastAsia"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hint="eastAsia" w:ascii="宋体" w:hAnsi="宋体"/>
          <w:color w:val="000000"/>
          <w:sz w:val="24"/>
        </w:rPr>
      </w:pPr>
      <w:r>
        <w:rPr>
          <w:rFonts w:hint="eastAsia" w:ascii="宋体" w:hAnsi="宋体"/>
          <w:color w:val="000000"/>
          <w:sz w:val="24"/>
        </w:rPr>
        <w:t xml:space="preserve">七、承诺本单位在信用中国（江苏）网站中无违法违规、较重或严重失信记录。 </w:t>
      </w:r>
      <w:r/>
    </w:p>
    <w:p>
      <w:pPr>
        <w:ind w:firstLine="482"/>
        <w:spacing w:line="400" w:lineRule="exact"/>
        <w:rPr>
          <w:rFonts w:hint="eastAsia" w:ascii="宋体" w:hAnsi="宋体"/>
          <w:color w:val="000000"/>
          <w:sz w:val="24"/>
        </w:rPr>
      </w:pPr>
      <w:r>
        <w:rPr>
          <w:rFonts w:hint="eastAsia" w:ascii="宋体" w:hAnsi="宋体"/>
          <w:color w:val="000000"/>
          <w:sz w:val="24"/>
        </w:rPr>
        <w:t xml:space="preserve">八、承诺本单位提出政府采购质疑和投诉坚持依法依规、诚实信用原则。</w:t>
      </w:r>
      <w:r/>
    </w:p>
    <w:p>
      <w:pPr>
        <w:ind w:firstLine="482"/>
        <w:spacing w:line="400" w:lineRule="exact"/>
        <w:rPr>
          <w:rFonts w:hint="eastAsia" w:ascii="宋体" w:hAnsi="宋体"/>
          <w:color w:val="000000"/>
          <w:sz w:val="24"/>
        </w:rPr>
      </w:pPr>
      <w:r>
        <w:rPr>
          <w:rFonts w:hint="eastAsia" w:ascii="宋体" w:hAnsi="宋体"/>
          <w:color w:val="000000"/>
          <w:sz w:val="24"/>
        </w:rPr>
        <w:t xml:space="preserve">九、根据政府采购相关法律法规的规定需要作出的其他承诺。 </w:t>
      </w:r>
      <w:r/>
    </w:p>
    <w:p>
      <w:pPr>
        <w:ind w:firstLine="482"/>
        <w:spacing w:line="400" w:lineRule="exact"/>
        <w:rPr>
          <w:rFonts w:hint="eastAsia"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hint="eastAsia"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p>
    <w:p>
      <w:pPr>
        <w:pStyle w:val="1115"/>
        <w:ind w:right="1050" w:firstLine="2880"/>
        <w:jc w:val="both"/>
        <w:spacing w:line="400" w:lineRule="exact"/>
        <w:rPr>
          <w:rFonts w:hint="eastAsia" w:ascii="宋体" w:hAnsi="宋体" w:eastAsia="宋体"/>
          <w:color w:val="000000"/>
          <w:sz w:val="24"/>
          <w:szCs w:val="22"/>
        </w:rPr>
      </w:pPr>
      <w:r>
        <w:rPr>
          <w:rFonts w:hint="eastAsia" w:ascii="宋体" w:hAnsi="宋体" w:eastAsia="宋体"/>
          <w:color w:val="000000"/>
          <w:sz w:val="24"/>
          <w:szCs w:val="22"/>
        </w:rPr>
      </w:r>
      <w:r/>
    </w:p>
    <w:p>
      <w:pPr>
        <w:spacing w:line="400" w:lineRule="exact"/>
        <w:rPr>
          <w:color w:val="000000"/>
          <w:sz w:val="24"/>
          <w:lang w:val="zh-CN"/>
        </w:rPr>
      </w:pPr>
      <w:r>
        <w:rPr>
          <w:color w:val="000000"/>
          <w:sz w:val="24"/>
        </w:rPr>
        <w:t xml:space="preserve">投标人名称（加盖公章）</w:t>
      </w:r>
      <w:r>
        <w:rPr>
          <w:color w:val="000000"/>
          <w:sz w:val="24"/>
          <w:lang w:val="zh-CN"/>
        </w:rPr>
        <w:t xml:space="preserve">：</w:t>
      </w:r>
      <w:r>
        <w:rPr>
          <w:color w:val="000000"/>
          <w:sz w:val="24"/>
          <w:lang w:val="zh-CN"/>
        </w:rPr>
        <w:t xml:space="preserve">____________</w:t>
      </w:r>
      <w:r/>
    </w:p>
    <w:p>
      <w:pPr>
        <w:spacing w:line="400" w:lineRule="exact"/>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spacing w:line="360" w:lineRule="auto"/>
        <w:rPr>
          <w:rFonts w:hint="eastAsia" w:ascii="宋体" w:hAnsi="宋体" w:cs="宋体"/>
          <w:b/>
          <w:bCs/>
          <w:color w:val="000000"/>
          <w:sz w:val="24"/>
          <w:szCs w:val="20"/>
        </w:rPr>
        <w:outlineLvl w:val="2"/>
      </w:pPr>
      <w:r/>
      <w:bookmarkStart w:id="374" w:name="_Hlt520274407"/>
      <w:r/>
      <w:bookmarkStart w:id="375" w:name="_Hlt520343392"/>
      <w:r/>
      <w:bookmarkStart w:id="376" w:name="_Hlt520274393"/>
      <w:r/>
      <w:bookmarkStart w:id="377" w:name="_Hlt520274121"/>
      <w:r/>
      <w:bookmarkStart w:id="378" w:name="_Hlt520350918"/>
      <w:r/>
      <w:bookmarkStart w:id="379" w:name="_Hlt520271212"/>
      <w:r/>
      <w:bookmarkStart w:id="380" w:name="_Hlt520343000"/>
      <w:r/>
      <w:bookmarkStart w:id="381" w:name="_Hlt520274065"/>
      <w:r/>
      <w:bookmarkStart w:id="382" w:name="_Hlt520355504"/>
      <w:r/>
      <w:bookmarkStart w:id="383" w:name="_Hlt520273711"/>
      <w:r/>
      <w:bookmarkStart w:id="384" w:name="_Toc226337253"/>
      <w:r/>
      <w:bookmarkStart w:id="385" w:name="_Toc195842922"/>
      <w:r/>
      <w:bookmarkStart w:id="386" w:name="_Ref467988705"/>
      <w:r/>
      <w:bookmarkStart w:id="387" w:name="_Toc226965830"/>
      <w:r/>
      <w:bookmarkStart w:id="388" w:name="_Toc264969247"/>
      <w:r/>
      <w:bookmarkStart w:id="389" w:name="_Toc305158899"/>
      <w:r/>
      <w:bookmarkStart w:id="390" w:name="_Toc480942350"/>
      <w:r/>
      <w:bookmarkStart w:id="391" w:name="_Toc150480795"/>
      <w:r/>
      <w:bookmarkStart w:id="392" w:name="_Toc226309801"/>
      <w:r/>
      <w:bookmarkStart w:id="393" w:name="_Toc150774762"/>
      <w:r/>
      <w:bookmarkStart w:id="394" w:name="_Toc142311059"/>
      <w:r/>
      <w:bookmarkStart w:id="395" w:name="_Toc127151557"/>
      <w:r/>
      <w:bookmarkStart w:id="396" w:name="_Toc226965747"/>
      <w:r/>
      <w:bookmarkStart w:id="397" w:name="_Toc305158825"/>
      <w:r/>
      <w:bookmarkStart w:id="398" w:name="_Toc520356218"/>
      <w:r/>
      <w:bookmarkStart w:id="399" w:name="_Toc265228395"/>
      <w:r/>
      <w:bookmarkEnd w:id="374"/>
      <w:r/>
      <w:bookmarkEnd w:id="375"/>
      <w:r/>
      <w:bookmarkEnd w:id="376"/>
      <w:r/>
      <w:bookmarkEnd w:id="377"/>
      <w:r/>
      <w:bookmarkEnd w:id="378"/>
      <w:r/>
      <w:bookmarkEnd w:id="379"/>
      <w:r/>
      <w:bookmarkEnd w:id="380"/>
      <w:r/>
      <w:bookmarkEnd w:id="381"/>
      <w:r/>
      <w:bookmarkEnd w:id="382"/>
      <w:r/>
      <w:bookmarkEnd w:id="383"/>
      <w:r>
        <w:rPr>
          <w:color w:val="000000"/>
          <w:sz w:val="24"/>
          <w:szCs w:val="20"/>
        </w:rPr>
        <w:br w:type="page" w:clear="all"/>
      </w:r>
      <w:r>
        <w:rPr>
          <w:rFonts w:hint="eastAsia" w:ascii="宋体" w:hAnsi="宋体" w:cs="宋体"/>
          <w:b/>
          <w:bCs/>
          <w:color w:val="000000"/>
          <w:sz w:val="24"/>
          <w:szCs w:val="20"/>
        </w:rPr>
        <w:t xml:space="preserve">4  供应商管理关系或控股关系信息情况表（实质性格式）</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360" w:lineRule="auto"/>
        <w:rPr>
          <w:b/>
          <w:color w:val="000000"/>
          <w:sz w:val="32"/>
          <w:szCs w:val="32"/>
        </w:rPr>
      </w:pPr>
      <w:r>
        <w:rPr>
          <w:rFonts w:hint="eastAsia"/>
          <w:b/>
          <w:color w:val="000000"/>
          <w:sz w:val="32"/>
          <w:szCs w:val="32"/>
        </w:rPr>
        <w:t xml:space="preserve">供应商管理关系或控股关系信息情况表</w:t>
      </w:r>
      <w:r/>
    </w:p>
    <w:p>
      <w:pPr>
        <w:ind w:firstLine="480"/>
        <w:spacing w:before="120" w:line="360" w:lineRule="auto"/>
        <w:widowControl/>
        <w:rPr>
          <w:rFonts w:hint="eastAsia" w:ascii="宋体" w:hAnsi="宋体" w:cs="宋体"/>
          <w:color w:val="000000"/>
          <w:sz w:val="24"/>
        </w:rPr>
      </w:pPr>
      <w:r>
        <w:rPr>
          <w:rFonts w:hint="eastAsia" w:ascii="宋体" w:hAnsi="宋体" w:cs="宋体"/>
          <w:color w:val="000000"/>
          <w:sz w:val="24"/>
        </w:rPr>
        <w:t xml:space="preserve">供应商名称：</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t xml:space="preserve">法定代表人</w:t>
            </w:r>
            <w:r/>
          </w:p>
        </w:tc>
        <w:tc>
          <w:tcPr>
            <w:tcW w:w="1994"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r>
            <w:r/>
          </w:p>
        </w:tc>
        <w:tc>
          <w:tcPr>
            <w:tcW w:w="1453" w:type="dxa"/>
            <w:vAlign w:val="center"/>
            <w:textDirection w:val="lrTb"/>
            <w:noWrap w:val="false"/>
          </w:tcPr>
          <w:p>
            <w:pPr>
              <w:jc w:val="left"/>
              <w:spacing w:line="420" w:lineRule="exact"/>
              <w:rPr>
                <w:rFonts w:hint="eastAsia" w:ascii="宋体" w:hAnsi="宋体" w:cs="宋体"/>
                <w:color w:val="000000"/>
                <w:sz w:val="24"/>
              </w:rPr>
            </w:pPr>
            <w:r>
              <w:rPr>
                <w:rFonts w:hint="eastAsia" w:ascii="宋体" w:hAnsi="宋体" w:cs="宋体"/>
                <w:color w:val="000000"/>
                <w:sz w:val="24"/>
              </w:rPr>
              <w:t xml:space="preserve">成立日期</w:t>
            </w:r>
            <w:r/>
          </w:p>
        </w:tc>
        <w:tc>
          <w:tcPr>
            <w:tcW w:w="2808"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r>
            <w:r/>
          </w:p>
        </w:tc>
      </w:tr>
      <w:tr>
        <w:trPr>
          <w:cantSplit/>
          <w:jc w:val="center"/>
          <w:trHeight w:val="412"/>
        </w:trPr>
        <w:tc>
          <w:tcPr>
            <w:tcW w:w="2496"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t xml:space="preserve">企业地址</w:t>
            </w:r>
            <w:r/>
          </w:p>
        </w:tc>
        <w:tc>
          <w:tcPr>
            <w:tcW w:w="1994"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r>
            <w:r/>
          </w:p>
        </w:tc>
        <w:tc>
          <w:tcPr>
            <w:tcW w:w="1453" w:type="dxa"/>
            <w:vAlign w:val="center"/>
            <w:textDirection w:val="lrTb"/>
            <w:noWrap w:val="false"/>
          </w:tcPr>
          <w:p>
            <w:pPr>
              <w:jc w:val="left"/>
              <w:spacing w:line="420" w:lineRule="exact"/>
              <w:rPr>
                <w:rFonts w:hint="eastAsia" w:ascii="宋体" w:hAnsi="宋体" w:cs="宋体"/>
                <w:color w:val="000000"/>
                <w:sz w:val="24"/>
              </w:rPr>
            </w:pPr>
            <w:r>
              <w:rPr>
                <w:rFonts w:hint="eastAsia" w:ascii="宋体" w:hAnsi="宋体" w:cs="宋体"/>
                <w:color w:val="000000"/>
                <w:sz w:val="24"/>
              </w:rPr>
              <w:t xml:space="preserve">注册资本</w:t>
            </w:r>
            <w:r/>
          </w:p>
        </w:tc>
        <w:tc>
          <w:tcPr>
            <w:tcW w:w="2808"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t xml:space="preserve">万元</w:t>
            </w:r>
            <w:r/>
          </w:p>
        </w:tc>
      </w:tr>
      <w:tr>
        <w:trPr>
          <w:cantSplit/>
          <w:jc w:val="center"/>
          <w:trHeight w:val="412"/>
        </w:trPr>
        <w:tc>
          <w:tcPr>
            <w:tcW w:w="2496" w:type="dxa"/>
            <w:vAlign w:val="center"/>
            <w:textDirection w:val="lrTb"/>
            <w:noWrap w:val="false"/>
          </w:tcPr>
          <w:p>
            <w:pPr>
              <w:jc w:val="left"/>
              <w:spacing w:line="420" w:lineRule="exact"/>
              <w:rPr>
                <w:rFonts w:hint="eastAsia" w:ascii="宋体" w:hAnsi="宋体" w:cs="宋体"/>
                <w:color w:val="000000"/>
                <w:sz w:val="24"/>
              </w:rPr>
            </w:pPr>
            <w:r>
              <w:rPr>
                <w:rFonts w:hint="eastAsia" w:ascii="宋体" w:hAnsi="宋体" w:cs="宋体"/>
                <w:color w:val="000000"/>
                <w:sz w:val="24"/>
              </w:rPr>
              <w:t xml:space="preserve">统一社会信用代码</w:t>
            </w:r>
            <w:r/>
          </w:p>
        </w:tc>
        <w:tc>
          <w:tcPr>
            <w:gridSpan w:val="3"/>
            <w:tcW w:w="6255"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r>
            <w:r/>
          </w:p>
        </w:tc>
      </w:tr>
      <w:tr>
        <w:trPr>
          <w:cantSplit/>
          <w:jc w:val="center"/>
          <w:trHeight w:val="2164"/>
        </w:trPr>
        <w:tc>
          <w:tcPr>
            <w:tcW w:w="2496" w:type="dxa"/>
            <w:vAlign w:val="center"/>
            <w:textDirection w:val="lrTb"/>
            <w:noWrap w:val="false"/>
          </w:tcPr>
          <w:p>
            <w:pPr>
              <w:ind w:firstLine="560"/>
              <w:jc w:val="left"/>
              <w:spacing w:line="420" w:lineRule="exact"/>
              <w:rPr>
                <w:rFonts w:hint="eastAsia" w:ascii="宋体" w:hAnsi="宋体" w:cs="宋体"/>
                <w:color w:val="000000"/>
                <w:sz w:val="24"/>
              </w:rPr>
            </w:pPr>
            <w:r>
              <w:rPr>
                <w:rFonts w:hint="eastAsia" w:ascii="宋体" w:hAnsi="宋体" w:cs="宋体"/>
                <w:color w:val="000000"/>
                <w:sz w:val="24"/>
              </w:rPr>
              <w:t xml:space="preserve">股东信息</w:t>
            </w:r>
            <w:r/>
          </w:p>
        </w:tc>
        <w:tc>
          <w:tcPr>
            <w:gridSpan w:val="3"/>
            <w:tcW w:w="6255" w:type="dxa"/>
            <w:vAlign w:val="center"/>
            <w:textDirection w:val="lrTb"/>
            <w:noWrap w:val="false"/>
          </w:tcPr>
          <w:p>
            <w:pPr>
              <w:jc w:val="left"/>
              <w:spacing w:line="420" w:lineRule="exact"/>
              <w:rPr>
                <w:rFonts w:hint="eastAsia" w:ascii="宋体" w:hAnsi="宋体" w:cs="宋体"/>
                <w:color w:val="000000"/>
                <w:sz w:val="24"/>
              </w:rPr>
            </w:pPr>
            <w:r>
              <w:rPr>
                <w:rFonts w:hint="eastAsia" w:ascii="宋体" w:hAnsi="宋体" w:cs="宋体"/>
                <w:color w:val="000000"/>
                <w:sz w:val="24"/>
              </w:rPr>
              <w:t xml:space="preserve">股东1（姓名或单位名称）：</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股东1持股比例：</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股东2（姓名或单位名称）：</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股东2持股比例：</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hint="eastAsia" w:ascii="宋体" w:hAnsi="宋体" w:cs="宋体"/>
                <w:color w:val="000000"/>
                <w:sz w:val="24"/>
              </w:rPr>
            </w:pPr>
            <w:r>
              <w:rPr>
                <w:rFonts w:hint="eastAsia" w:ascii="宋体" w:hAnsi="宋体" w:cs="宋体"/>
                <w:color w:val="000000"/>
                <w:sz w:val="24"/>
              </w:rPr>
              <w:t xml:space="preserve">公司是否有直接控股、管理关系的关联企业（在</w:t>
            </w:r>
            <w:r>
              <w:rPr>
                <w:rFonts w:ascii="Wingdings 2" w:hAnsi="Wingdings 2" w:eastAsia="Wingdings 2" w:cs="Wingdings 2"/>
                <w:color w:val="000000"/>
                <w:sz w:val="24"/>
              </w:rPr>
              <w:t xml:space="preserve">£</w:t>
            </w:r>
            <w:r>
              <w:rPr>
                <w:rFonts w:hint="eastAsia" w:ascii="宋体" w:hAnsi="宋体" w:cs="宋体"/>
                <w:color w:val="000000"/>
                <w:sz w:val="24"/>
              </w:rPr>
              <w:t xml:space="preserve"> 中进行勾选）</w:t>
            </w:r>
            <w:r/>
          </w:p>
        </w:tc>
        <w:tc>
          <w:tcPr>
            <w:gridSpan w:val="3"/>
            <w:tcW w:w="6255" w:type="dxa"/>
            <w:vAlign w:val="center"/>
            <w:textDirection w:val="lrTb"/>
            <w:noWrap w:val="false"/>
          </w:tcPr>
          <w:p>
            <w:pPr>
              <w:jc w:val="left"/>
              <w:spacing w:line="420" w:lineRule="exact"/>
              <w:rPr>
                <w:rFonts w:hint="eastAsia" w:ascii="宋体" w:hAnsi="宋体" w:cs="宋体"/>
                <w:color w:val="000000"/>
                <w:sz w:val="24"/>
              </w:rPr>
            </w:pPr>
            <w:r>
              <w:rPr>
                <w:rFonts w:ascii="Wingdings 2" w:hAnsi="Wingdings 2" w:eastAsia="Wingdings 2" w:cs="Wingdings 2"/>
                <w:color w:val="000000"/>
                <w:sz w:val="24"/>
              </w:rPr>
              <w:t xml:space="preserve">£</w:t>
            </w:r>
            <w:r>
              <w:rPr>
                <w:rFonts w:hint="eastAsia" w:ascii="宋体" w:hAnsi="宋体" w:cs="宋体"/>
                <w:color w:val="000000"/>
                <w:sz w:val="24"/>
              </w:rPr>
              <w:t xml:space="preserve"> 无直接控股、管理关系的关联企业</w:t>
            </w:r>
            <w:r/>
          </w:p>
          <w:p>
            <w:pPr>
              <w:jc w:val="left"/>
              <w:spacing w:line="420" w:lineRule="exact"/>
              <w:rPr>
                <w:rFonts w:hint="eastAsia" w:ascii="宋体" w:hAnsi="宋体" w:cs="宋体"/>
                <w:color w:val="000000"/>
                <w:sz w:val="24"/>
              </w:rPr>
            </w:pPr>
            <w:r>
              <w:rPr>
                <w:rFonts w:ascii="Wingdings 2" w:hAnsi="Wingdings 2" w:eastAsia="Wingdings 2" w:cs="Wingdings 2"/>
                <w:color w:val="000000"/>
                <w:sz w:val="24"/>
              </w:rPr>
              <w:t xml:space="preserve">£</w:t>
            </w:r>
            <w:r>
              <w:rPr>
                <w:rFonts w:hint="eastAsia" w:ascii="宋体" w:hAnsi="宋体" w:cs="宋体"/>
                <w:color w:val="000000"/>
                <w:sz w:val="24"/>
              </w:rPr>
              <w:t xml:space="preserve"> 有直接控股、管理关系的关联企业，关联信息如下：</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企业1名称：</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（直接控股</w:t>
            </w:r>
            <w:r>
              <w:rPr>
                <w:rFonts w:ascii="Wingdings 2" w:hAnsi="Wingdings 2" w:eastAsia="Wingdings 2" w:cs="Wingdings 2"/>
                <w:color w:val="000000"/>
                <w:sz w:val="24"/>
              </w:rPr>
              <w:t xml:space="preserve">£</w:t>
            </w:r>
            <w:r>
              <w:rPr>
                <w:rFonts w:hint="eastAsia" w:ascii="宋体" w:hAnsi="宋体" w:cs="宋体"/>
                <w:color w:val="000000"/>
                <w:sz w:val="24"/>
              </w:rPr>
              <w:t xml:space="preserve"> （持股比例：    % ；管理关系</w:t>
            </w:r>
            <w:r>
              <w:rPr>
                <w:rFonts w:ascii="Wingdings 2" w:hAnsi="Wingdings 2" w:eastAsia="Wingdings 2" w:cs="Wingdings 2"/>
                <w:color w:val="000000"/>
                <w:sz w:val="24"/>
              </w:rPr>
              <w:t xml:space="preserve">£</w:t>
            </w:r>
            <w:r>
              <w:rPr>
                <w:rFonts w:hint="eastAsia" w:ascii="宋体" w:hAnsi="宋体" w:cs="宋体"/>
                <w:color w:val="000000"/>
                <w:sz w:val="24"/>
              </w:rPr>
              <w:t xml:space="preserve"> ）</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企业2名称：</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（直接控股</w:t>
            </w:r>
            <w:r>
              <w:rPr>
                <w:rFonts w:ascii="Wingdings 2" w:hAnsi="Wingdings 2" w:eastAsia="Wingdings 2" w:cs="Wingdings 2"/>
                <w:color w:val="000000"/>
                <w:sz w:val="24"/>
              </w:rPr>
              <w:t xml:space="preserve">£</w:t>
            </w:r>
            <w:r>
              <w:rPr>
                <w:rFonts w:hint="eastAsia" w:ascii="宋体" w:hAnsi="宋体" w:cs="宋体"/>
                <w:color w:val="000000"/>
                <w:sz w:val="24"/>
              </w:rPr>
              <w:t xml:space="preserve"> （持股比例：    % ；管理关系</w:t>
            </w:r>
            <w:r>
              <w:rPr>
                <w:rFonts w:ascii="Wingdings 2" w:hAnsi="Wingdings 2" w:eastAsia="Wingdings 2" w:cs="Wingdings 2"/>
                <w:color w:val="000000"/>
                <w:sz w:val="24"/>
              </w:rPr>
              <w:t xml:space="preserve">£</w:t>
            </w:r>
            <w:r>
              <w:rPr>
                <w:rFonts w:hint="eastAsia" w:ascii="宋体" w:hAnsi="宋体" w:cs="宋体"/>
                <w:color w:val="000000"/>
                <w:sz w:val="24"/>
              </w:rPr>
              <w:t xml:space="preserve"> ）</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hint="eastAsia" w:ascii="宋体" w:hAnsi="宋体" w:cs="宋体"/>
                <w:color w:val="000000"/>
                <w:sz w:val="24"/>
              </w:rPr>
            </w:pPr>
            <w:r>
              <w:rPr>
                <w:rFonts w:hint="eastAsia" w:ascii="宋体" w:hAnsi="宋体" w:cs="宋体"/>
                <w:color w:val="000000"/>
                <w:sz w:val="24"/>
              </w:rPr>
              <w:t xml:space="preserve">本单位承诺：</w:t>
            </w:r>
            <w:r/>
          </w:p>
          <w:p>
            <w:pPr>
              <w:numPr>
                <w:ilvl w:val="0"/>
                <w:numId w:val="16"/>
              </w:numPr>
              <w:ind w:firstLine="561"/>
              <w:jc w:val="left"/>
              <w:spacing w:line="420" w:lineRule="exact"/>
              <w:rPr>
                <w:rFonts w:hint="eastAsia" w:ascii="宋体" w:hAnsi="宋体" w:cs="宋体"/>
                <w:color w:val="000000"/>
                <w:sz w:val="24"/>
              </w:rPr>
            </w:pPr>
            <w:r>
              <w:rPr>
                <w:rFonts w:hint="eastAsia" w:ascii="宋体" w:hAnsi="宋体" w:cs="宋体"/>
                <w:color w:val="000000"/>
                <w:sz w:val="24"/>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6"/>
              </w:numPr>
              <w:ind w:firstLine="561"/>
              <w:jc w:val="left"/>
              <w:spacing w:line="420" w:lineRule="exact"/>
              <w:rPr>
                <w:rFonts w:hint="eastAsia" w:ascii="宋体" w:hAnsi="宋体"/>
                <w:color w:val="000000"/>
                <w:sz w:val="24"/>
              </w:rPr>
            </w:pPr>
            <w:r>
              <w:rPr>
                <w:rFonts w:hint="eastAsia" w:ascii="宋体" w:hAnsi="宋体"/>
                <w:color w:val="000000"/>
                <w:sz w:val="24"/>
              </w:rPr>
              <w:t xml:space="preserve">自觉接受行政管理、监督部门、行业组织、社会公众的监督。</w:t>
            </w:r>
            <w:r/>
          </w:p>
          <w:p>
            <w:pPr>
              <w:ind w:firstLine="561"/>
              <w:jc w:val="left"/>
              <w:spacing w:line="420" w:lineRule="exact"/>
              <w:rPr>
                <w:rFonts w:hint="eastAsia" w:ascii="宋体" w:hAnsi="宋体" w:cs="宋体"/>
                <w:color w:val="000000"/>
                <w:sz w:val="24"/>
              </w:rPr>
            </w:pPr>
            <w:r>
              <w:rPr>
                <w:rFonts w:hint="eastAsia" w:ascii="宋体" w:hAnsi="宋体" w:cs="宋体"/>
                <w:color w:val="000000"/>
                <w:sz w:val="24"/>
              </w:rPr>
              <w:t xml:space="preserve">3.若违背承诺约定，经查实，愿意接受相关部门、采购人的处理，承担违约责任，并依法承担相应的法律责任。</w:t>
            </w:r>
            <w:r/>
          </w:p>
          <w:p>
            <w:pPr>
              <w:ind w:firstLine="561"/>
              <w:jc w:val="left"/>
              <w:spacing w:line="420" w:lineRule="exact"/>
              <w:rPr>
                <w:rFonts w:hint="eastAsia" w:ascii="宋体" w:hAnsi="宋体" w:cs="宋体"/>
                <w:color w:val="000000"/>
                <w:sz w:val="24"/>
              </w:rPr>
            </w:pPr>
            <w:r>
              <w:rPr>
                <w:rFonts w:hint="eastAsia" w:ascii="宋体" w:hAnsi="宋体" w:cs="宋体"/>
                <w:color w:val="000000"/>
                <w:sz w:val="24"/>
              </w:rPr>
              <w:t xml:space="preserve">供应商（盖章）：</w:t>
            </w:r>
            <w:r/>
          </w:p>
          <w:p>
            <w:pPr>
              <w:ind w:firstLine="561"/>
              <w:jc w:val="left"/>
              <w:spacing w:line="420" w:lineRule="exact"/>
              <w:rPr>
                <w:rFonts w:hint="eastAsia" w:ascii="宋体" w:hAnsi="宋体" w:cs="宋体"/>
                <w:color w:val="000000"/>
                <w:sz w:val="24"/>
              </w:rPr>
            </w:pPr>
            <w:r>
              <w:rPr>
                <w:rFonts w:hint="eastAsia" w:ascii="宋体" w:hAnsi="宋体" w:cs="宋体"/>
                <w:color w:val="000000"/>
                <w:sz w:val="24"/>
              </w:rPr>
              <w:t xml:space="preserve">法定代表人（签字盖章）：</w:t>
            </w:r>
            <w:r/>
          </w:p>
          <w:p>
            <w:pPr>
              <w:ind w:firstLine="560"/>
              <w:jc w:val="left"/>
              <w:spacing w:line="420" w:lineRule="exact"/>
              <w:rPr>
                <w:rFonts w:hint="eastAsia" w:ascii="宋体" w:hAnsi="宋体" w:cs="宋体"/>
                <w:color w:val="000000"/>
                <w:sz w:val="24"/>
              </w:rPr>
            </w:pPr>
            <w:r>
              <w:rPr>
                <w:rFonts w:hint="eastAsia" w:ascii="宋体" w:hAnsi="宋体" w:cs="宋体"/>
                <w:color w:val="000000"/>
                <w:sz w:val="24"/>
              </w:rPr>
              <w:t xml:space="preserve">                 日期：   年  月  日</w:t>
            </w:r>
            <w:r/>
          </w:p>
        </w:tc>
      </w:tr>
    </w:tbl>
    <w:p>
      <w:pPr>
        <w:spacing w:line="360" w:lineRule="auto"/>
        <w:rPr>
          <w:rFonts w:hint="eastAsia" w:ascii="宋体" w:hAnsi="宋体" w:cs="宋体"/>
          <w:b/>
          <w:bCs/>
          <w:color w:val="000000"/>
          <w:sz w:val="24"/>
        </w:rPr>
        <w:outlineLvl w:val="2"/>
      </w:pPr>
      <w:r>
        <w:rPr>
          <w:rFonts w:hint="eastAsia" w:ascii="宋体" w:hAnsi="宋体" w:cs="宋体"/>
          <w:color w:val="000000"/>
          <w:sz w:val="24"/>
          <w:szCs w:val="20"/>
        </w:rPr>
        <w:br w:type="page" w:clear="all"/>
      </w:r>
      <w:r>
        <w:rPr>
          <w:rFonts w:hint="eastAsia" w:ascii="宋体" w:hAnsi="宋体" w:cs="宋体"/>
          <w:b/>
          <w:bCs/>
          <w:color w:val="000000"/>
          <w:sz w:val="24"/>
        </w:rPr>
        <w:t xml:space="preserve">5  开标一览表</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cs="宋体"/>
          <w:b/>
          <w:bCs/>
          <w:color w:val="000000"/>
          <w:sz w:val="24"/>
        </w:rPr>
        <w:t xml:space="preserve">（实质性格式）</w:t>
      </w:r>
      <w:r/>
    </w:p>
    <w:p>
      <w:pPr>
        <w:jc w:val="center"/>
        <w:spacing w:line="360" w:lineRule="exact"/>
        <w:rPr>
          <w:b/>
          <w:color w:val="000000"/>
          <w:sz w:val="36"/>
          <w:szCs w:val="36"/>
        </w:rPr>
      </w:pPr>
      <w:r/>
      <w:bookmarkStart w:id="400" w:name="_Toc305158826"/>
      <w:r/>
      <w:bookmarkStart w:id="401" w:name="_Toc265228396"/>
      <w:r/>
      <w:bookmarkStart w:id="402" w:name="_Toc226309802"/>
      <w:r/>
      <w:bookmarkStart w:id="403" w:name="_Toc226965831"/>
      <w:r/>
      <w:bookmarkStart w:id="404" w:name="_Toc226337254"/>
      <w:r/>
      <w:bookmarkStart w:id="405" w:name="_Toc164608672"/>
      <w:r/>
      <w:bookmarkStart w:id="406" w:name="_Toc305158900"/>
      <w:r/>
      <w:bookmarkStart w:id="407" w:name="_Toc164608827"/>
      <w:r/>
      <w:bookmarkStart w:id="408" w:name="_Toc226965748"/>
      <w:r/>
      <w:bookmarkStart w:id="409" w:name="_Toc195842923"/>
      <w:r/>
      <w:bookmarkStart w:id="410" w:name="_Toc264969248"/>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开标一览表</w:t>
      </w:r>
      <w:bookmarkEnd w:id="400"/>
      <w:r/>
      <w:bookmarkEnd w:id="401"/>
      <w:r/>
      <w:bookmarkEnd w:id="402"/>
      <w:r/>
      <w:bookmarkEnd w:id="403"/>
      <w:r/>
      <w:bookmarkEnd w:id="404"/>
      <w:r/>
      <w:bookmarkEnd w:id="405"/>
      <w:r/>
      <w:bookmarkEnd w:id="406"/>
      <w:r/>
      <w:bookmarkEnd w:id="407"/>
      <w:r/>
      <w:bookmarkEnd w:id="408"/>
      <w:r/>
      <w:bookmarkEnd w:id="409"/>
      <w:r/>
      <w:bookmarkEnd w:id="410"/>
      <w:r/>
      <w:r/>
    </w:p>
    <w:p>
      <w:pPr>
        <w:jc w:val="left"/>
        <w:spacing w:line="360" w:lineRule="auto"/>
        <w:tabs>
          <w:tab w:val="left" w:pos="1800" w:leader="none"/>
          <w:tab w:val="left" w:pos="5580" w:leader="none"/>
        </w:tabs>
        <w:rPr>
          <w:i/>
          <w:color w:val="000000"/>
          <w:sz w:val="24"/>
        </w:rPr>
      </w:pPr>
      <w:r>
        <w:rPr>
          <w:i/>
          <w:color w:val="000000"/>
          <w:sz w:val="24"/>
        </w:rPr>
      </w:r>
      <w:r/>
    </w:p>
    <w:p>
      <w:pPr>
        <w:ind w:firstLine="240"/>
        <w:jc w:val="left"/>
        <w:spacing w:line="360" w:lineRule="auto"/>
        <w:tabs>
          <w:tab w:val="left" w:pos="1800" w:leader="none"/>
          <w:tab w:val="left" w:pos="5580" w:leader="none"/>
        </w:tabs>
        <w:rPr>
          <w:color w:val="000000"/>
          <w:sz w:val="24"/>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_____________________     </w:t>
      </w:r>
      <w:r>
        <w:rPr>
          <w:color w:val="000000"/>
          <w:sz w:val="24"/>
        </w:rPr>
        <w:t xml:space="preserve">项目名称：</w:t>
      </w:r>
      <w:r>
        <w:rPr>
          <w:color w:val="000000"/>
          <w:sz w:val="24"/>
        </w:rPr>
        <w:t xml:space="preserve">____________</w:t>
      </w:r>
      <w:r/>
    </w:p>
    <w:p>
      <w:pPr>
        <w:ind w:firstLine="240"/>
        <w:jc w:val="right"/>
        <w:spacing w:line="360" w:lineRule="auto"/>
        <w:tabs>
          <w:tab w:val="left" w:pos="1800" w:leader="none"/>
          <w:tab w:val="left" w:pos="5580" w:leader="none"/>
        </w:tabs>
        <w:rPr>
          <w:color w:val="000000"/>
          <w:sz w:val="24"/>
        </w:rPr>
      </w:pPr>
      <w:r>
        <w:rPr>
          <w:color w:val="000000"/>
          <w:sz w:val="24"/>
        </w:rPr>
        <w:t xml:space="preserve">报价单位：人民币（元）</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09"/>
        <w:gridCol w:w="3202"/>
        <w:gridCol w:w="2024"/>
        <w:gridCol w:w="2136"/>
      </w:tblGrid>
      <w:tr>
        <w:trPr>
          <w:jc w:val="center"/>
          <w:trHeight w:val="531"/>
        </w:trPr>
        <w:tc>
          <w:tcPr>
            <w:tcW w:w="809" w:type="dxa"/>
            <w:vAlign w:val="center"/>
            <w:vMerge w:val="restart"/>
            <w:textDirection w:val="lrTb"/>
            <w:noWrap w:val="false"/>
          </w:tcPr>
          <w:p>
            <w:pPr>
              <w:jc w:val="center"/>
              <w:tabs>
                <w:tab w:val="left" w:pos="5580" w:leader="none"/>
              </w:tabs>
              <w:rPr>
                <w:b/>
                <w:color w:val="000000"/>
                <w:sz w:val="24"/>
              </w:rPr>
            </w:pPr>
            <w:r>
              <w:rPr>
                <w:b/>
                <w:color w:val="000000"/>
                <w:sz w:val="24"/>
              </w:rPr>
              <w:t xml:space="preserve">序号</w:t>
            </w:r>
            <w:r/>
          </w:p>
        </w:tc>
        <w:tc>
          <w:tcPr>
            <w:tcW w:w="3200" w:type="dxa"/>
            <w:vAlign w:val="center"/>
            <w:vMerge w:val="restart"/>
            <w:textDirection w:val="lrTb"/>
            <w:noWrap w:val="false"/>
          </w:tcPr>
          <w:p>
            <w:pPr>
              <w:jc w:val="center"/>
              <w:tabs>
                <w:tab w:val="left" w:pos="5580" w:leader="none"/>
              </w:tabs>
              <w:rPr>
                <w:b/>
                <w:color w:val="000000"/>
                <w:sz w:val="24"/>
              </w:rPr>
            </w:pPr>
            <w:r>
              <w:rPr>
                <w:rFonts w:ascii="宋体" w:hAnsi="宋体"/>
                <w:b/>
                <w:color w:val="000000"/>
                <w:sz w:val="24"/>
              </w:rPr>
              <w:t xml:space="preserve">投标人名称</w:t>
            </w:r>
            <w:r/>
          </w:p>
        </w:tc>
        <w:tc>
          <w:tcPr>
            <w:gridSpan w:val="2"/>
            <w:tcW w:w="4158" w:type="dxa"/>
            <w:vAlign w:val="center"/>
            <w:textDirection w:val="lrTb"/>
            <w:noWrap w:val="false"/>
          </w:tcPr>
          <w:p>
            <w:pPr>
              <w:jc w:val="center"/>
              <w:tabs>
                <w:tab w:val="left" w:pos="5580" w:leader="none"/>
              </w:tabs>
              <w:rPr>
                <w:b/>
                <w:color w:val="000000"/>
                <w:sz w:val="24"/>
              </w:rPr>
            </w:pPr>
            <w:r>
              <w:rPr>
                <w:b/>
                <w:color w:val="000000"/>
                <w:sz w:val="24"/>
              </w:rPr>
              <w:t xml:space="preserve">报价</w:t>
            </w:r>
            <w:r/>
          </w:p>
        </w:tc>
      </w:tr>
      <w:tr>
        <w:trPr>
          <w:jc w:val="center"/>
          <w:trHeight w:val="674"/>
        </w:trPr>
        <w:tc>
          <w:tcPr>
            <w:tcW w:w="809" w:type="dxa"/>
            <w:vAlign w:val="center"/>
            <w:vMerge w:val="continue"/>
            <w:textDirection w:val="lrTb"/>
            <w:noWrap w:val="false"/>
          </w:tcPr>
          <w:p>
            <w:pPr>
              <w:jc w:val="left"/>
              <w:widowControl/>
              <w:rPr>
                <w:b/>
                <w:color w:val="000000"/>
                <w:sz w:val="24"/>
              </w:rPr>
            </w:pPr>
            <w:r>
              <w:rPr>
                <w:b/>
                <w:color w:val="000000"/>
                <w:sz w:val="24"/>
              </w:rPr>
            </w:r>
            <w:r/>
          </w:p>
        </w:tc>
        <w:tc>
          <w:tcPr>
            <w:tcW w:w="3200" w:type="dxa"/>
            <w:vAlign w:val="center"/>
            <w:vMerge w:val="continue"/>
            <w:textDirection w:val="lrTb"/>
            <w:noWrap w:val="false"/>
          </w:tcPr>
          <w:p>
            <w:pPr>
              <w:jc w:val="left"/>
              <w:widowControl/>
              <w:rPr>
                <w:b/>
                <w:color w:val="000000"/>
                <w:sz w:val="24"/>
              </w:rPr>
            </w:pPr>
            <w:r>
              <w:rPr>
                <w:b/>
                <w:color w:val="000000"/>
                <w:sz w:val="24"/>
              </w:rPr>
            </w:r>
            <w:r/>
          </w:p>
        </w:tc>
        <w:tc>
          <w:tcPr>
            <w:tcW w:w="2023" w:type="dxa"/>
            <w:vAlign w:val="center"/>
            <w:textDirection w:val="lrTb"/>
            <w:noWrap w:val="false"/>
          </w:tcPr>
          <w:p>
            <w:pPr>
              <w:jc w:val="center"/>
              <w:tabs>
                <w:tab w:val="left" w:pos="5580" w:leader="none"/>
              </w:tabs>
              <w:rPr>
                <w:b/>
                <w:color w:val="000000"/>
                <w:sz w:val="24"/>
              </w:rPr>
            </w:pPr>
            <w:r>
              <w:rPr>
                <w:b/>
                <w:color w:val="000000"/>
                <w:sz w:val="24"/>
              </w:rPr>
              <w:t xml:space="preserve">大写</w:t>
            </w:r>
            <w:r/>
          </w:p>
        </w:tc>
        <w:tc>
          <w:tcPr>
            <w:tcW w:w="2129" w:type="dxa"/>
            <w:vAlign w:val="center"/>
            <w:textDirection w:val="lrTb"/>
            <w:noWrap w:val="false"/>
          </w:tcPr>
          <w:p>
            <w:pPr>
              <w:jc w:val="center"/>
              <w:tabs>
                <w:tab w:val="left" w:pos="5580" w:leader="none"/>
              </w:tabs>
              <w:rPr>
                <w:b/>
                <w:color w:val="000000"/>
                <w:sz w:val="24"/>
              </w:rPr>
            </w:pPr>
            <w:r>
              <w:rPr>
                <w:b/>
                <w:color w:val="000000"/>
                <w:sz w:val="24"/>
              </w:rPr>
              <w:t xml:space="preserve">小写</w:t>
            </w:r>
            <w:r/>
          </w:p>
        </w:tc>
      </w:tr>
      <w:tr>
        <w:trPr>
          <w:jc w:val="center"/>
          <w:trHeight w:val="976"/>
        </w:trPr>
        <w:tc>
          <w:tcPr>
            <w:tcW w:w="809" w:type="dxa"/>
            <w:vAlign w:val="center"/>
            <w:textDirection w:val="lrTb"/>
            <w:noWrap w:val="false"/>
          </w:tcPr>
          <w:p>
            <w:pPr>
              <w:jc w:val="center"/>
              <w:tabs>
                <w:tab w:val="left" w:pos="5580" w:leader="none"/>
              </w:tabs>
              <w:rPr>
                <w:color w:val="000000"/>
                <w:sz w:val="24"/>
              </w:rPr>
            </w:pPr>
            <w:r>
              <w:rPr>
                <w:color w:val="000000"/>
                <w:sz w:val="24"/>
              </w:rPr>
            </w:r>
            <w:r/>
          </w:p>
        </w:tc>
        <w:tc>
          <w:tcPr>
            <w:tcW w:w="3200" w:type="dxa"/>
            <w:vAlign w:val="center"/>
            <w:textDirection w:val="lrTb"/>
            <w:noWrap w:val="false"/>
          </w:tcPr>
          <w:p>
            <w:pPr>
              <w:jc w:val="center"/>
              <w:tabs>
                <w:tab w:val="left" w:pos="5580" w:leader="none"/>
              </w:tabs>
              <w:rPr>
                <w:color w:val="000000"/>
                <w:sz w:val="24"/>
              </w:rPr>
            </w:pPr>
            <w:r>
              <w:rPr>
                <w:color w:val="000000"/>
                <w:sz w:val="24"/>
              </w:rPr>
            </w:r>
            <w:r/>
          </w:p>
        </w:tc>
        <w:tc>
          <w:tcPr>
            <w:tcW w:w="2023" w:type="dxa"/>
            <w:vAlign w:val="center"/>
            <w:textDirection w:val="lrTb"/>
            <w:noWrap w:val="false"/>
          </w:tcPr>
          <w:p>
            <w:pPr>
              <w:jc w:val="center"/>
              <w:tabs>
                <w:tab w:val="left" w:pos="5580" w:leader="none"/>
              </w:tabs>
              <w:rPr>
                <w:color w:val="000000"/>
                <w:sz w:val="24"/>
              </w:rPr>
            </w:pPr>
            <w:r>
              <w:rPr>
                <w:color w:val="000000"/>
                <w:sz w:val="24"/>
              </w:rPr>
            </w:r>
            <w:r/>
          </w:p>
        </w:tc>
        <w:tc>
          <w:tcPr>
            <w:tcW w:w="2129" w:type="dxa"/>
            <w:vAlign w:val="center"/>
            <w:textDirection w:val="lrTb"/>
            <w:noWrap w:val="false"/>
          </w:tcPr>
          <w:p>
            <w:pPr>
              <w:jc w:val="center"/>
              <w:tabs>
                <w:tab w:val="left" w:pos="5580" w:leader="none"/>
              </w:tabs>
              <w:rPr>
                <w:color w:val="000000"/>
                <w:sz w:val="24"/>
              </w:rPr>
            </w:pPr>
            <w:r>
              <w:rPr>
                <w:color w:val="000000"/>
                <w:sz w:val="24"/>
              </w:rPr>
            </w:r>
            <w:r/>
          </w:p>
        </w:tc>
      </w:tr>
    </w:tbl>
    <w:p>
      <w:pPr>
        <w:pStyle w:val="873"/>
        <w:rPr>
          <w:color w:val="000000"/>
        </w:rPr>
      </w:pPr>
      <w:r>
        <w:rPr>
          <w:color w:val="000000"/>
        </w:rPr>
      </w:r>
      <w:r/>
    </w:p>
    <w:p>
      <w:pPr>
        <w:pStyle w:val="861"/>
        <w:rPr>
          <w:b/>
          <w:bCs/>
          <w:color w:val="000000"/>
        </w:rPr>
      </w:pPr>
      <w:r>
        <w:rPr>
          <w:b/>
          <w:bCs/>
          <w:color w:val="000000"/>
        </w:rPr>
      </w:r>
      <w:r/>
    </w:p>
    <w:p>
      <w:pPr>
        <w:jc w:val="left"/>
        <w:spacing w:line="40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.此表中，每包的投标报价应和《投标分项报价表》中的总价相一致。</w:t>
      </w:r>
      <w:r/>
    </w:p>
    <w:p>
      <w:pPr>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2.本表必须按包分别填写。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rPr>
          <w:rFonts w:hint="eastAsia" w:ascii="宋体" w:hAnsi="宋体" w:cs="宋体"/>
          <w:b/>
          <w:bCs/>
          <w:color w:val="000000"/>
          <w:sz w:val="24"/>
        </w:rPr>
      </w:pPr>
      <w:r/>
      <w:bookmarkStart w:id="411" w:name="_Toc305158827"/>
      <w:r/>
      <w:bookmarkStart w:id="412" w:name="_Toc142311060"/>
      <w:r/>
      <w:bookmarkStart w:id="413" w:name="_Toc226965749"/>
      <w:r/>
      <w:bookmarkStart w:id="414" w:name="_Toc226965832"/>
      <w:r/>
      <w:bookmarkStart w:id="415" w:name="_Toc264969249"/>
      <w:r/>
      <w:bookmarkStart w:id="416" w:name="_Toc127151558"/>
      <w:r/>
      <w:bookmarkStart w:id="417" w:name="_Toc226337255"/>
      <w:r/>
      <w:bookmarkStart w:id="418" w:name="_Toc265228397"/>
      <w:r/>
      <w:bookmarkStart w:id="419" w:name="_Toc226309803"/>
      <w:r/>
      <w:bookmarkStart w:id="420" w:name="_Toc195842924"/>
      <w:r/>
      <w:bookmarkStart w:id="421" w:name="_Toc150480796"/>
      <w:r/>
      <w:bookmarkStart w:id="422" w:name="_Toc305158901"/>
      <w:r/>
      <w:bookmarkStart w:id="423" w:name="_Toc150774763"/>
      <w:r>
        <w:rPr>
          <w:color w:val="000000"/>
        </w:rPr>
        <w:br w:type="page" w:clear="all"/>
      </w:r>
      <w:r>
        <w:rPr>
          <w:rFonts w:hint="eastAsia" w:ascii="宋体" w:hAnsi="宋体" w:cs="宋体"/>
          <w:b/>
          <w:bCs/>
          <w:color w:val="000000"/>
          <w:sz w:val="24"/>
        </w:rPr>
        <w:t xml:space="preserve">6  投标分项报价表</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b/>
          <w:bCs/>
          <w:color w:val="000000"/>
          <w:sz w:val="24"/>
        </w:rPr>
        <w:t xml:space="preserve">（实质性格式）</w:t>
      </w:r>
      <w:r/>
    </w:p>
    <w:p>
      <w:pPr>
        <w:jc w:val="center"/>
        <w:spacing w:line="360" w:lineRule="exact"/>
        <w:rPr>
          <w:color w:val="000000"/>
          <w:sz w:val="36"/>
          <w:szCs w:val="36"/>
        </w:rPr>
      </w:pPr>
      <w:r>
        <w:rPr>
          <w:color w:val="000000"/>
          <w:sz w:val="36"/>
          <w:szCs w:val="36"/>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投标分项报价表</w:t>
      </w:r>
      <w:r/>
    </w:p>
    <w:p>
      <w:pPr>
        <w:tabs>
          <w:tab w:val="left" w:pos="1800" w:leader="none"/>
          <w:tab w:val="left" w:pos="5580" w:leader="none"/>
        </w:tabs>
        <w:rPr>
          <w:color w:val="000000"/>
          <w:sz w:val="24"/>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___________   </w:t>
      </w:r>
      <w:r>
        <w:rPr>
          <w:color w:val="000000"/>
          <w:sz w:val="24"/>
        </w:rPr>
        <w:t xml:space="preserve">项目名称：</w:t>
      </w:r>
      <w:r>
        <w:rPr>
          <w:color w:val="000000"/>
          <w:sz w:val="24"/>
        </w:rPr>
        <w:t xml:space="preserve">__________    </w:t>
      </w:r>
      <w:r>
        <w:rPr>
          <w:color w:val="000000"/>
          <w:sz w:val="24"/>
        </w:rPr>
        <w:t xml:space="preserve">报价单位：人民币（元）</w:t>
      </w:r>
      <w:r/>
    </w:p>
    <w:tbl>
      <w:tblPr>
        <w:tblW w:w="10736" w:type="dxa"/>
        <w:jc w:val="center"/>
        <w:tblLayout w:type="fixed"/>
        <w:tblLook w:val="04A0" w:firstRow="1" w:lastRow="0" w:firstColumn="1" w:lastColumn="0" w:noHBand="0" w:noVBand="1"/>
      </w:tblPr>
      <w:tblGrid>
        <w:gridCol w:w="683"/>
        <w:gridCol w:w="700"/>
        <w:gridCol w:w="6518"/>
        <w:gridCol w:w="709"/>
        <w:gridCol w:w="709"/>
        <w:gridCol w:w="709"/>
        <w:gridCol w:w="708"/>
      </w:tblGrid>
      <w:tr>
        <w:trPr>
          <w:jc w:val="center"/>
          <w:trHeight w:val="600"/>
        </w:trPr>
        <w:tc>
          <w:tcPr>
            <w:tcBorders>
              <w:top w:val="single" w:color="000000" w:sz="8"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8"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型号规格</w:t>
            </w:r>
            <w:r/>
          </w:p>
        </w:tc>
        <w:tc>
          <w:tcPr>
            <w:tcBorders>
              <w:top w:val="single" w:color="000000" w:sz="8"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单价</w:t>
            </w:r>
            <w:r/>
          </w:p>
        </w:tc>
        <w:tc>
          <w:tcPr>
            <w:tcBorders>
              <w:top w:val="single" w:color="000000" w:sz="8"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合价</w:t>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拆除</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原有箱变设备（S11-M-500/10）整体拆除、清运至校方指定场地，由校方统一保管，协助配合校方完成设备报废申报相关工作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组合预制舱:预制舱7200*3800*3600（长*宽*高）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r>
      <w:tr>
        <w:trPr>
          <w:jc w:val="center"/>
          <w:trHeight w:val="43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基础承台整体尺寸：9200mm×5800mm×800mm，采用现浇钢筋混凝土结构，具体施工及配置标准如下：</w:t>
            </w:r>
            <w:r>
              <w:rPr>
                <w:rFonts w:hint="eastAsia" w:ascii="宋体" w:hAnsi="宋体" w:cs="宋体"/>
                <w:color w:val="000000"/>
                <w:szCs w:val="21"/>
                <w:lang w:bidi="ar"/>
              </w:rPr>
              <w:br/>
              <w:t xml:space="preserve">1、钢筋配置：详见图纸【CN26B-041常州市新北区河海实验小学_-2068245437】</w:t>
            </w:r>
            <w:r>
              <w:rPr>
                <w:rFonts w:hint="eastAsia" w:ascii="宋体" w:hAnsi="宋体" w:cs="宋体"/>
                <w:color w:val="000000"/>
                <w:szCs w:val="21"/>
                <w:lang w:bidi="ar"/>
              </w:rPr>
              <w:br/>
              <w:t xml:space="preserve">2、施工规范：混凝土保护层底部40mm、侧部30mm，混凝土垫块采用梅花式布置，间距800～1000mm；钢筋搭接位置错开布置，同一截面钢筋搭接率≤25%，钢筋锚固长度严格按照抗震规范执行。</w:t>
            </w:r>
            <w:r>
              <w:rPr>
                <w:rFonts w:hint="eastAsia" w:ascii="宋体" w:hAnsi="宋体" w:cs="宋体"/>
                <w:color w:val="000000"/>
                <w:szCs w:val="21"/>
                <w:lang w:bidi="ar"/>
              </w:rPr>
              <w:br/>
              <w:t xml:space="preserve">3、预埋施工（同步随基础浇筑施工）：</w:t>
            </w:r>
            <w:r>
              <w:rPr>
                <w:rFonts w:hint="eastAsia" w:ascii="宋体" w:hAnsi="宋体" w:cs="宋体"/>
                <w:color w:val="000000"/>
                <w:szCs w:val="21"/>
                <w:lang w:bidi="ar"/>
              </w:rPr>
              <w:br/>
              <w:t xml:space="preserve">①底座预埋槽钢：采用Q235热镀锌槽钢，槽钢顶面高出承台3～5mm，整舱顶面水平误差≤2mm/m，单舱整体长宽偏差≤±5mm，槽钢中心偏移误差≤5mm；槽钢与基础间预留10mm伸缩缝，后期采用耐候胶密封封堵。</w:t>
            </w:r>
            <w:r>
              <w:rPr>
                <w:rFonts w:hint="eastAsia" w:ascii="宋体" w:hAnsi="宋体" w:cs="宋体"/>
                <w:color w:val="000000"/>
                <w:szCs w:val="21"/>
                <w:lang w:bidi="ar"/>
              </w:rPr>
              <w:br/>
              <w:t xml:space="preserve">②接地预埋：承台内预埋40×4热镀锌扁钢，四周连通接地极；接地极采用50×50×5热镀锌角钢，单根长度2500mm，布置间距≤5m，接地电阻满足国家规范标准，扁钢于基础侧面外引预留接地接线端子。</w:t>
            </w:r>
            <w:r>
              <w:rPr>
                <w:rFonts w:hint="eastAsia" w:ascii="宋体" w:hAnsi="宋体" w:cs="宋体"/>
                <w:color w:val="000000"/>
                <w:szCs w:val="21"/>
                <w:lang w:bidi="ar"/>
              </w:rPr>
              <w:br/>
              <w:t xml:space="preserve">③电缆预埋套管：基础侧壁预留电缆进出专用镀锌钢管/HDPE套管，套管孔径比电缆外径大150mm，套管安装内高外低，设置5%排水坡度，防止雨水倒灌；套管周边混凝土浇筑密实，端口采用防火泥封堵密封。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132"/>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包含舱体本体、照明、动力配电、强弱电线槽、通风温控、消防、防鼠、辅控线材等全套配套设施，整体满足户外长期运行标准，具体参数如下：</w:t>
            </w:r>
            <w:r>
              <w:rPr>
                <w:rFonts w:hint="eastAsia" w:ascii="宋体" w:hAnsi="宋体" w:cs="宋体"/>
                <w:color w:val="000000"/>
                <w:szCs w:val="21"/>
                <w:lang w:bidi="ar"/>
              </w:rPr>
              <w:br/>
              <w:t xml:space="preserve">一、舱体本体</w:t>
            </w:r>
            <w:r>
              <w:rPr>
                <w:rFonts w:hint="eastAsia" w:ascii="宋体" w:hAnsi="宋体" w:cs="宋体"/>
                <w:color w:val="000000"/>
                <w:szCs w:val="21"/>
                <w:lang w:bidi="ar"/>
              </w:rPr>
              <w:br/>
              <w:t xml:space="preserve">1、板材配置：外板采用1.6mmSPA-H耐候瓦楞钢板/Q235B冷轧钢板，表面热喷锌+户外氟碳喷涂处理，防腐使用寿命≥15年；内板采用0.8~1.0mm镀锌钢板。</w:t>
            </w:r>
            <w:r>
              <w:rPr>
                <w:rFonts w:hint="eastAsia" w:ascii="宋体" w:hAnsi="宋体" w:cs="宋体"/>
                <w:color w:val="000000"/>
                <w:szCs w:val="21"/>
                <w:lang w:bidi="ar"/>
              </w:rPr>
              <w:br/>
              <w:t xml:space="preserve">2、保温夹层：采用A级阻燃聚氨酯/岩棉保温材料，厚度≥50mm，密度≥38kg/m³，导热系数≤0.026W/(m·K)，阻燃、隔热性能达标。</w:t>
            </w:r>
            <w:r>
              <w:rPr>
                <w:rFonts w:hint="eastAsia" w:ascii="宋体" w:hAnsi="宋体" w:cs="宋体"/>
                <w:color w:val="000000"/>
                <w:szCs w:val="21"/>
                <w:lang w:bidi="ar"/>
              </w:rPr>
              <w:br/>
              <w:t xml:space="preserve">3、底座结构：主梁采用20#a国标Q235热镀锌槽钢，底板铺设4mm花纹钢板，舱内满铺3mm黑色防静电绝缘胶垫，满足10kV耐压标准。</w:t>
            </w:r>
            <w:r>
              <w:rPr>
                <w:rFonts w:hint="eastAsia" w:ascii="宋体" w:hAnsi="宋体" w:cs="宋体"/>
                <w:color w:val="000000"/>
                <w:szCs w:val="21"/>
                <w:lang w:bidi="ar"/>
              </w:rPr>
              <w:br/>
              <w:t xml:space="preserve">4、舱门配置：双层保温门板，保温厚度≥50mm，门框采用镀锌型钢材质，配备三元乙丙密封胶条，整体防护等级IP54。</w:t>
            </w:r>
            <w:r>
              <w:rPr>
                <w:rFonts w:hint="eastAsia" w:ascii="宋体" w:hAnsi="宋体" w:cs="宋体"/>
                <w:color w:val="000000"/>
                <w:szCs w:val="21"/>
                <w:lang w:bidi="ar"/>
              </w:rPr>
              <w:br/>
              <w:t xml:space="preserve">二、照明系统（正常照明+应急照明+检修插座）</w:t>
            </w:r>
            <w:r>
              <w:rPr>
                <w:rFonts w:hint="eastAsia" w:ascii="宋体" w:hAnsi="宋体" w:cs="宋体"/>
                <w:color w:val="000000"/>
                <w:szCs w:val="21"/>
                <w:lang w:bidi="ar"/>
              </w:rPr>
              <w:br/>
              <w:t xml:space="preserve">1、正常照明：采用压铸铝外壳+PC阻燃灯罩IP54级LED平板/三防吸顶灯，功率18W/36W，AC220V供电；舱内0.75m工作面照度≥300lx，沿通道均匀布置；线路采用PVC20阻燃穿线管，BV-3×2.5mm</w:t>
            </w:r>
            <w:r>
              <w:rPr>
                <w:rFonts w:hint="eastAsia" w:ascii="宋体" w:hAnsi="宋体" w:cs="宋体"/>
                <w:color w:val="000000"/>
                <w:szCs w:val="21"/>
                <w:lang w:bidi="ar"/>
              </w:rPr>
              <w:t xml:space="preserve">²铜芯线缆敷设。</w:t>
            </w:r>
            <w:r>
              <w:rPr>
                <w:rFonts w:hint="eastAsia" w:ascii="宋体" w:hAnsi="宋体" w:cs="宋体"/>
                <w:color w:val="000000"/>
                <w:szCs w:val="21"/>
                <w:lang w:bidi="ar"/>
              </w:rPr>
              <w:br/>
              <w:t xml:space="preserve">2、应急疏散照明：符合GB17945国家标准，应急灯自带锂电池，续航时长≥90min，断电自动启动点亮，壳体为阻燃ABS材质；出口指示灯为壁挂式，AC220/DC220两用，防护等级IP40。</w:t>
            </w:r>
            <w:r>
              <w:rPr>
                <w:rFonts w:hint="eastAsia" w:ascii="宋体" w:hAnsi="宋体" w:cs="宋体"/>
                <w:color w:val="000000"/>
                <w:szCs w:val="21"/>
                <w:lang w:bidi="ar"/>
              </w:rPr>
              <w:br/>
              <w:t xml:space="preserve">3、检修插座：每2m设置一组五孔+三孔检修插座，插座铜件采用磷青铜材质，面板为PC阻燃材质，单回路独立空开控制，AC220V供电。</w:t>
            </w:r>
            <w:r>
              <w:rPr>
                <w:rFonts w:hint="eastAsia" w:ascii="宋体" w:hAnsi="宋体" w:cs="宋体"/>
                <w:color w:val="000000"/>
                <w:szCs w:val="21"/>
                <w:lang w:bidi="ar"/>
              </w:rPr>
              <w:br/>
              <w:t xml:space="preserve">三、动力配电系统（主配电箱+电缆转接箱）</w:t>
            </w:r>
            <w:r>
              <w:rPr>
                <w:rFonts w:hint="eastAsia" w:ascii="宋体" w:hAnsi="宋体" w:cs="宋体"/>
                <w:color w:val="000000"/>
                <w:szCs w:val="21"/>
                <w:lang w:bidi="ar"/>
              </w:rPr>
              <w:br/>
              <w:t xml:space="preserve">1、舱内主动力配电箱：箱体采用1.5mm冷轧钢板户外喷塑处理，IP54防护等级，壁挂式安装；配置T2紫铜镀锡母线、塑壳及微型断路器，配套Ⅱ级SPD浪涌保护器（Imax≥40kA）；进线线缆YJV-0.6/1kV-3×16+1×10，照明、空调、风机等设备分回路独立供电；具备总开关、分路漏电保护、辅控电源输出功能。</w:t>
            </w:r>
            <w:r>
              <w:rPr>
                <w:rFonts w:hint="eastAsia" w:ascii="宋体" w:hAnsi="宋体" w:cs="宋体"/>
                <w:color w:val="000000"/>
                <w:szCs w:val="21"/>
                <w:lang w:bidi="ar"/>
              </w:rPr>
              <w:br/>
              <w:t xml:space="preserve">2、侧壁电缆转接箱：箱体采用1.2mm热镀锌钢板，IP55防护等级，进出线孔配置橡胶防水护线圈；内部配备DT镀锡铜接线端子、阻燃接线端子排，舱外电缆穿墙位置采用防火泥+聚氨酯封堵剂双重密封。</w:t>
            </w:r>
            <w:r>
              <w:rPr>
                <w:rFonts w:hint="eastAsia" w:ascii="宋体" w:hAnsi="宋体" w:cs="宋体"/>
                <w:color w:val="000000"/>
                <w:szCs w:val="21"/>
                <w:lang w:bidi="ar"/>
              </w:rPr>
              <w:br/>
              <w:t xml:space="preserve">四、强弱电电缆线槽系统（强弱电分离布设）</w:t>
            </w:r>
            <w:r>
              <w:rPr>
                <w:rFonts w:hint="eastAsia" w:ascii="宋体" w:hAnsi="宋体" w:cs="宋体"/>
                <w:color w:val="000000"/>
                <w:szCs w:val="21"/>
                <w:lang w:bidi="ar"/>
              </w:rPr>
              <w:br/>
              <w:t xml:space="preserve">1、强电一次线槽（高压电缆专用）：采用2.0mm热镀锌钢板折弯成型，封闭式防火槽盒，耐火时长≥30min，规格200×100mm/300×150mm；盖板卡扣式安装，每1m设置固定支架。</w:t>
            </w:r>
            <w:r>
              <w:rPr>
                <w:rFonts w:hint="eastAsia" w:ascii="宋体" w:hAnsi="宋体" w:cs="宋体"/>
                <w:color w:val="000000"/>
                <w:szCs w:val="21"/>
                <w:lang w:bidi="ar"/>
              </w:rPr>
              <w:br/>
              <w:t xml:space="preserve">2、弱电二次线槽（控制、通讯专用）：采用1.2mm镀锌线槽，带屏蔽折边抗干扰设计，规格100×50mm/80×40mm；强弱电线槽间距≥150mm；配套同材质镀锌连接片、弯头、终端堵头，敷设BVR2.5mm²铜芯跨接接地线。</w:t>
            </w:r>
            <w:r>
              <w:rPr>
                <w:rFonts w:hint="eastAsia" w:ascii="宋体" w:hAnsi="宋体" w:cs="宋体"/>
                <w:color w:val="000000"/>
                <w:szCs w:val="21"/>
                <w:lang w:bidi="ar"/>
              </w:rPr>
              <w:br/>
              <w:t xml:space="preserve">五、温湿度联动通风系统</w:t>
            </w:r>
            <w:r>
              <w:rPr>
                <w:rFonts w:hint="eastAsia" w:ascii="宋体" w:hAnsi="宋体" w:cs="宋体"/>
                <w:color w:val="000000"/>
                <w:szCs w:val="21"/>
                <w:lang w:bidi="ar"/>
              </w:rPr>
              <w:br/>
              <w:t xml:space="preserve">1、轴流排风机：机壳为铸铝/镀锌钢板材质，全封闭IP54电机，AC380V工频供电；常规舱体单舱风量≥1200m³/h，每小时换气次数≥6次；SF6专用舱配置防爆风机，5分钟可完成全舱换气。</w:t>
            </w:r>
            <w:r>
              <w:rPr>
                <w:rFonts w:hint="eastAsia" w:ascii="宋体" w:hAnsi="宋体" w:cs="宋体"/>
                <w:color w:val="000000"/>
                <w:szCs w:val="21"/>
                <w:lang w:bidi="ar"/>
              </w:rPr>
              <w:br/>
              <w:t xml:space="preserve">2、进风装置：配备304不锈钢双层过滤网，网孔2mm，可拆卸清洗。</w:t>
            </w:r>
            <w:r>
              <w:rPr>
                <w:rFonts w:hint="eastAsia" w:ascii="宋体" w:hAnsi="宋体" w:cs="宋体"/>
                <w:color w:val="000000"/>
                <w:szCs w:val="21"/>
                <w:lang w:bidi="ar"/>
              </w:rPr>
              <w:br/>
              <w:t xml:space="preserve">3、电动密闭风阀：阀体镀锌钢板材质，AC220V执行器，联动温湿度控制系统，环境湿度＞80%RH自动开阀排风，低温环境自动关闭。</w:t>
            </w:r>
            <w:r>
              <w:rPr>
                <w:rFonts w:hint="eastAsia" w:ascii="宋体" w:hAnsi="宋体" w:cs="宋体"/>
                <w:color w:val="000000"/>
                <w:szCs w:val="21"/>
                <w:lang w:bidi="ar"/>
              </w:rPr>
              <w:br/>
              <w:t xml:space="preserve">4、防冻加热装置：配置工业翅片铝合金电加热器，AC220V供电，温控自动启停，环境温度＜5℃自动启动防冻，严禁使用民用暖风机。</w:t>
            </w:r>
            <w:r>
              <w:rPr>
                <w:rFonts w:hint="eastAsia" w:ascii="宋体" w:hAnsi="宋体" w:cs="宋体"/>
                <w:color w:val="000000"/>
                <w:szCs w:val="21"/>
                <w:lang w:bidi="ar"/>
              </w:rPr>
              <w:br/>
              <w:t xml:space="preserve">六、恒温恒湿工业空调系统</w:t>
            </w:r>
            <w:r>
              <w:rPr>
                <w:rFonts w:hint="eastAsia" w:ascii="宋体" w:hAnsi="宋体" w:cs="宋体"/>
                <w:color w:val="000000"/>
                <w:szCs w:val="21"/>
                <w:lang w:bidi="ar"/>
              </w:rPr>
              <w:br/>
              <w:t xml:space="preserve">采用预制舱专用壁挂/顶置式工业空调，IP54防护等级，冷热双制式；壳体冷轧钢板喷塑，蒸发器、冷凝器采用紫铜管+铝翅片结构；小舱制冷量2.6kW、大舱制冷量5kW；温控范围18~25℃，控湿范围40%~70%RH，温湿度控制精度±2℃；搭载NTC温湿度传感探头，可联动舱内风机、风阀协同运行；采用R410A环保冷媒，PVC20排水管外低内高布设，杜绝雨水倒灌。</w:t>
            </w:r>
            <w:r>
              <w:rPr>
                <w:rFonts w:hint="eastAsia" w:ascii="宋体" w:hAnsi="宋体" w:cs="宋体"/>
                <w:color w:val="000000"/>
                <w:szCs w:val="21"/>
                <w:lang w:bidi="ar"/>
              </w:rPr>
              <w:br/>
              <w:t xml:space="preserve">七、消防配套系统</w:t>
            </w:r>
            <w:r>
              <w:rPr>
                <w:rFonts w:hint="eastAsia" w:ascii="宋体" w:hAnsi="宋体" w:cs="宋体"/>
                <w:color w:val="000000"/>
                <w:szCs w:val="21"/>
                <w:lang w:bidi="ar"/>
              </w:rPr>
              <w:br/>
              <w:t xml:space="preserve">标配MF/ABC4干粉灭火器，筒体为优质冷轧钢板，水压试验压力2.5MPa，填充ABC磷酸铵盐干粉灭火剂；布设标准每6m1具，单舱配置不少于2具，配套1.0mm钢板阻燃灭火器箱；可选配DC24V烟感探测器，可联动报警并自动切断空调、风机电源。</w:t>
            </w:r>
            <w:r>
              <w:rPr>
                <w:rFonts w:hint="eastAsia" w:ascii="宋体" w:hAnsi="宋体" w:cs="宋体"/>
                <w:color w:val="000000"/>
                <w:szCs w:val="21"/>
                <w:lang w:bidi="ar"/>
              </w:rPr>
              <w:br/>
              <w:t xml:space="preserve">八、出入口防鼠板</w:t>
            </w:r>
            <w:r>
              <w:rPr>
                <w:rFonts w:hint="eastAsia" w:ascii="宋体" w:hAnsi="宋体" w:cs="宋体"/>
                <w:color w:val="000000"/>
                <w:szCs w:val="21"/>
                <w:lang w:bidi="ar"/>
              </w:rPr>
              <w:br/>
              <w:t xml:space="preserve">采用厚度≥1.2mm的304不锈钢板/镀锌铁板制作，整体高度500mm；边框采用30×30镀锌角钢加固，底部加装橡胶防滑密封条；门框预留专用卡槽，可抽拉拆卸，安装后缝隙＜6mm，满足防鼠要求。九、</w:t>
            </w:r>
            <w:r>
              <w:rPr>
                <w:rFonts w:hint="eastAsia" w:ascii="宋体" w:hAnsi="宋体" w:cs="宋体"/>
                <w:color w:val="000000"/>
                <w:szCs w:val="21"/>
                <w:lang w:bidi="ar"/>
              </w:rPr>
              <w:t xml:space="preserve">全线辅控布线及接地标准</w:t>
            </w:r>
            <w:r>
              <w:rPr>
                <w:rFonts w:hint="eastAsia" w:ascii="宋体" w:hAnsi="宋体" w:cs="宋体"/>
                <w:color w:val="000000"/>
                <w:szCs w:val="21"/>
                <w:lang w:bidi="ar"/>
              </w:rPr>
              <w:br/>
              <w:t xml:space="preserve">动力电缆采用YJV铜芯阻燃电缆，控制电缆采用KVVP屏蔽铜缆；明敷管线采用DN20/DN25热镀锌钢管，暗敷采用PVC阻燃线管；舱内所有金属构件采用40×4热镀锌扁钢统一做等电位接地，连通舱体接地网，整体接地电阻≤4</w:t>
            </w:r>
            <w:r>
              <w:rPr>
                <w:rFonts w:ascii="宋体" w:hAnsi="宋体" w:cs="Calibri"/>
                <w:color w:val="000000"/>
                <w:szCs w:val="21"/>
                <w:lang w:bidi="ar"/>
              </w:rPr>
              <w:t xml:space="preserve">Ω</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123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none" w:color="000000" w:sz="4" w:space="0"/>
              <w:left w:val="none" w:color="000000" w:sz="4" w:space="0"/>
              <w:bottom w:val="none" w:color="000000" w:sz="4" w:space="0"/>
              <w:right w:val="none" w:color="000000" w:sz="4" w:space="0"/>
            </w:tcBorders>
            <w:tcW w:w="700" w:type="dxa"/>
            <w:vAlign w:val="center"/>
            <w:textDirection w:val="lrTb"/>
            <w:noWrap/>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防护围栏、高度≥4m，围网框架:</w:t>
            </w:r>
            <w:r>
              <w:rPr>
                <w:rFonts w:ascii="宋体" w:hAnsi="宋体" w:cs="Calibri"/>
                <w:color w:val="000000"/>
                <w:szCs w:val="21"/>
                <w:lang w:bidi="ar"/>
              </w:rPr>
              <w:t xml:space="preserve">Φ</w:t>
            </w:r>
            <w:r>
              <w:rPr>
                <w:rFonts w:hint="eastAsia" w:ascii="宋体" w:hAnsi="宋体" w:cs="宋体"/>
                <w:color w:val="000000"/>
                <w:szCs w:val="21"/>
                <w:lang w:bidi="ar"/>
              </w:rPr>
              <w:t xml:space="preserve">60*1.5镀锌钢管(横柱)，</w:t>
            </w:r>
            <w:r>
              <w:rPr>
                <w:rFonts w:ascii="宋体" w:hAnsi="宋体" w:cs="Calibri"/>
                <w:color w:val="000000"/>
                <w:szCs w:val="21"/>
                <w:lang w:bidi="ar"/>
              </w:rPr>
              <w:t xml:space="preserve">Φ</w:t>
            </w:r>
            <w:r>
              <w:rPr>
                <w:rFonts w:hint="eastAsia" w:ascii="宋体" w:hAnsi="宋体" w:cs="宋体"/>
                <w:color w:val="000000"/>
                <w:szCs w:val="21"/>
                <w:lang w:bidi="ar"/>
              </w:rPr>
              <w:t xml:space="preserve">75*2镀锌刚钢管(立柱)，</w:t>
            </w:r>
            <w:r>
              <w:rPr>
                <w:rFonts w:ascii="宋体" w:hAnsi="宋体" w:cs="Calibri"/>
                <w:color w:val="000000"/>
                <w:szCs w:val="21"/>
                <w:lang w:bidi="ar"/>
              </w:rPr>
              <w:t xml:space="preserve">Φ</w:t>
            </w:r>
            <w:r>
              <w:rPr>
                <w:rFonts w:hint="eastAsia" w:ascii="宋体" w:hAnsi="宋体" w:cs="宋体"/>
                <w:color w:val="000000"/>
                <w:szCs w:val="21"/>
                <w:lang w:bidi="ar"/>
              </w:rPr>
              <w:t xml:space="preserve">50*2镀锌钢管(门框柱):成品钢丝网，包塑丝径4mm(孔50*50)，上述材料面喷墨绿色金属氟碳漆.含基础预埋件，含立柱与围网的连接件；围网外立面采用雪弗板与围网固定，配合校园文化公益广告内容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完成预制舱周边共计4座雨水、污水井的迁移、改造、恢复施工，确保管网排水功能正常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rPr>
                <w:rFonts w:hint="eastAsia" w:ascii="宋体" w:hAnsi="宋体" w:cs="宋体"/>
                <w:b/>
                <w:bCs/>
                <w:color w:val="000000"/>
                <w:szCs w:val="21"/>
              </w:rPr>
            </w:pPr>
            <w:r>
              <w:rPr>
                <w:rFonts w:hint="eastAsia" w:ascii="宋体" w:hAnsi="宋体" w:cs="宋体"/>
                <w:b/>
                <w:bCs/>
                <w:color w:val="000000"/>
                <w:szCs w:val="21"/>
                <w:lang w:bidi="ar"/>
              </w:rPr>
              <w:t xml:space="preserve">预制舱变电设备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配电变压器</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SC(B)-1000/10D，yn1110±2*2.5%/0.4</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Uk%=6</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干式变压器，干式变与低压屏之间母线连接部分及附件由低压柜制造厂提供。GB20052-2020中规定的1级能效及以上的配电变压器.</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所有参数满足国标1级能效技术要求</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高压开关柜</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KYN28-12（进线柜）H1采用三相CT，微机保护含零序电流保护功能）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高压开关柜</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KYN28-12（计量柜）H2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高压开关柜</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KYN28-12（PT兼出线柜）H3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低压配电屏</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GGD次总屏框架断路器额定运行短路分断能力≥65kA，智能控制器带接地故障保护，实现报警和脱扣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低压配电屏</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GGD出线屏塑壳断路器，额定运行短路分断能力≥50kA，配电子脱扣，三段保护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无功自动补偿成套装置</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GGD型补偿柜300kvar采用SVG模块补偿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10kV电力电缆</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2YJV22-10kV-3*50mm</w:t>
            </w:r>
            <w:r>
              <w:rPr>
                <w:rStyle w:val="1284"/>
                <w:rFonts w:hint="default"/>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变压器侧铜排</w:t>
            </w:r>
            <w:r/>
          </w:p>
        </w:tc>
        <w:tc>
          <w:tcPr>
            <w:shd w:val="clear" w:color="auto" w:fill="ffffff"/>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TMY-3*10*100+8*80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4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封闭母线桥</w:t>
            </w:r>
            <w:r/>
          </w:p>
        </w:tc>
        <w:tc>
          <w:tcPr>
            <w:shd w:val="clear" w:color="auto" w:fill="ffffff"/>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TMY</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100</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10+TMY</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80</w:t>
            </w: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母线伸缩节</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铜一铜-100*10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母线伸缩节</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铜一铜-80*8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矩形铜母线</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TMY-100*10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矩形铜母线</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TMY-80*8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母排绝缘套管</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ascii="Cambria" w:hAnsi="Cambria" w:cs="Cambria"/>
                <w:color w:val="000000"/>
                <w:szCs w:val="21"/>
                <w:lang w:bidi="ar"/>
              </w:rPr>
              <w:t xml:space="preserve">ϕ</w:t>
            </w:r>
            <w:r>
              <w:rPr>
                <w:rFonts w:hint="eastAsia" w:ascii="宋体" w:hAnsi="宋体" w:cs="宋体"/>
                <w:color w:val="000000"/>
                <w:szCs w:val="21"/>
                <w:lang w:bidi="ar"/>
              </w:rPr>
              <w:t xml:space="preserve">128/48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母排绝缘套管</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ascii="Cambria" w:hAnsi="Cambria" w:cs="Cambria"/>
                <w:color w:val="000000"/>
                <w:szCs w:val="21"/>
                <w:lang w:bidi="ar"/>
              </w:rPr>
              <w:t xml:space="preserve">ϕ</w:t>
            </w:r>
            <w:r>
              <w:rPr>
                <w:rFonts w:hint="eastAsia" w:ascii="宋体" w:hAnsi="宋体" w:cs="宋体"/>
                <w:color w:val="000000"/>
                <w:szCs w:val="21"/>
                <w:lang w:bidi="ar"/>
              </w:rPr>
              <w:t xml:space="preserve">100/40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微机线路保护装置</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工作电源DC110V、5A规格，进线柜专用，自带零序电流保护功能，国标合格产品，完全满足供电部门验收标准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电缆头</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10kV三相式电缆终端头，适配50mm²高压电缆，绝缘、耐压性能达标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动力照明箱</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定制箱体，内置全套动力开关、控制元器件，满足舱内动力、照明配电控制需求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热镀锌角钢</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热镀锌角钢垂直接地∠63*63*6,单根长度L=2.5m，用于接地网垂直接地极施工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热镀锌扁钢</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热镀锌扁钢-6×50，用于接地网水平连通布设，防腐、导电性能达标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小直流系统成套装置</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20Ah/110V包括开箱、检查、安装、补漆、查校线、接线、接地、含安装螺栓、接线端子、防火封堵、系统调试等一切满足设计、供电局要求及验收规范的所有工作内容。</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PVC管</w:t>
            </w:r>
            <w:r/>
          </w:p>
        </w:tc>
        <w:tc>
          <w:tcPr>
            <w:tcBorders>
              <w:top w:val="non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Calibri"/>
                <w:color w:val="000000"/>
                <w:szCs w:val="21"/>
              </w:rPr>
            </w:pPr>
            <w:r>
              <w:rPr>
                <w:rFonts w:ascii="宋体" w:hAnsi="宋体" w:cs="Calibri"/>
                <w:color w:val="000000"/>
                <w:szCs w:val="21"/>
                <w:lang w:bidi="ar"/>
              </w:rPr>
              <w:t xml:space="preserve">Φ</w:t>
            </w:r>
            <w:r>
              <w:rPr>
                <w:rStyle w:val="1285"/>
                <w:rFonts w:ascii="宋体" w:hAnsi="宋体"/>
                <w:sz w:val="21"/>
                <w:szCs w:val="21"/>
                <w:lang w:bidi="ar"/>
              </w:rPr>
              <w:t xml:space="preserve">70</w:t>
            </w:r>
            <w:r>
              <w:rPr>
                <w:rFonts w:hint="eastAsia" w:ascii="宋体" w:hAnsi="宋体" w:cs="宋体"/>
                <w:color w:val="000000"/>
                <w:szCs w:val="21"/>
                <w:lang w:bidi="ar"/>
              </w:rPr>
              <w:t xml:space="preserve">线缆专用套管（配套小直流和信号箱的线缆套管使用）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信号箱</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包括开箱、检查、安装、补漆、查校线、接线、接地、含安装螺栓、接线端子、防火封堵、系统调试等一切满足设计、供电局要求及验收规范的所有工作内容。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负荷监控装置迁移</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工作电源DC110V，适配三相5A电流监测，含全套接线端子，数据监测精准，满足供电上电验收规范要求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rPr>
                <w:rFonts w:hint="eastAsia" w:ascii="宋体" w:hAnsi="宋体" w:cs="宋体"/>
                <w:b/>
                <w:bCs/>
                <w:color w:val="000000"/>
                <w:szCs w:val="21"/>
              </w:rPr>
            </w:pPr>
            <w:r>
              <w:rPr>
                <w:rFonts w:hint="eastAsia" w:ascii="宋体" w:hAnsi="宋体" w:cs="宋体"/>
                <w:b/>
                <w:bCs/>
                <w:color w:val="000000"/>
                <w:szCs w:val="21"/>
                <w:lang w:bidi="ar"/>
              </w:rPr>
              <w:t xml:space="preserve">预制舱配套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100增强管</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ascii="Cambria Math" w:hAnsi="Cambria Math" w:cs="Cambria Math"/>
                <w:color w:val="000000"/>
                <w:szCs w:val="21"/>
                <w:lang w:bidi="ar"/>
              </w:rPr>
              <w:t xml:space="preserve">∅</w:t>
            </w:r>
            <w:r>
              <w:rPr>
                <w:rFonts w:hint="eastAsia" w:ascii="宋体" w:hAnsi="宋体" w:cs="宋体"/>
                <w:color w:val="000000"/>
                <w:szCs w:val="21"/>
                <w:lang w:bidi="ar"/>
              </w:rPr>
              <w:t xml:space="preserve">100MPP增强电力保护管，高强度、耐腐蚀，适配地下电缆防护敷设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电缆井</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1m×1m标准电缆手孔井，含井体浇筑、井盖、收口、防水处理等全套施工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桥架</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规格20×10cm，板厚1.0mm；桥架主体采用专用防静电镀层工艺处理，表面防静电、防尘、耐腐蚀、绝缘性能优良，适配强弱电室内布线场景；含全套安装固定支架、连接配件、螺丝、盖板及接地辅材，成套配齐、安装达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电缆</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电缆型号YJV4×120+1×70铜芯阻燃电力电缆，包含电缆沟槽开挖、电缆敷设、保护管安装、电缆试验、电缆头制作、沟槽回填恢复等全套施工内容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设计</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预制舱设计+审图服务，6套全套施工蓝图（含电子版）、可直接报审施工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验收</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包含设备出厂质量管控、全套电气试验及正式电试报告出具、送电调试、竣工验收；提供高压电工操作资质证书，全权负责受电工程竣工报验、对接供电部门、办理各项上电相关手续，确保项目合规送电验收通过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三年运维</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提供项目完工后3年专属运维服务，包含设备日常巡检、定期保养维护、故障排查与应急处置、辅控系统运维调试、项目资料台账整理归档等全套服务，严格按照专属运维细则执行，运维细则纳入合同履约范围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外线</w:t>
            </w:r>
            <w:r/>
          </w:p>
        </w:tc>
        <w:tc>
          <w:tcPr>
            <w:tcBorders>
              <w:top w:val="single" w:color="000000" w:sz="4" w:space="0"/>
              <w:left w:val="single" w:color="000000" w:sz="4" w:space="0"/>
              <w:bottom w:val="single" w:color="000000" w:sz="4" w:space="0"/>
              <w:right w:val="single" w:color="000000" w:sz="4" w:space="0"/>
            </w:tcBorders>
            <w:tcW w:w="651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包含外线现场勘探、专项方案设计、外线沟槽开挖敷设、业扩配套工程施工；涵盖校外施工涉及的场地测绘、绿化拆除补种、路面及设施恢复等所有外线相关改造、配套费用，无额外增项费用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455"/>
        </w:trPr>
        <w:tc>
          <w:tcPr>
            <w:gridSpan w:val="6"/>
            <w:tcBorders>
              <w:top w:val="single" w:color="000000" w:sz="4" w:space="0"/>
              <w:left w:val="single" w:color="000000" w:sz="8" w:space="0"/>
              <w:bottom w:val="single" w:color="000000" w:sz="4" w:space="0"/>
              <w:right w:val="single" w:color="000000" w:sz="4" w:space="0"/>
            </w:tcBorders>
            <w:tcW w:w="1002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jc w:val="center"/>
        <w:spacing w:line="260" w:lineRule="exact"/>
        <w:rPr>
          <w:color w:val="000000"/>
          <w:sz w:val="36"/>
          <w:szCs w:val="36"/>
        </w:rPr>
      </w:pPr>
      <w:r>
        <w:rPr>
          <w:color w:val="000000"/>
          <w:sz w:val="36"/>
          <w:szCs w:val="36"/>
        </w:rPr>
      </w:r>
      <w:r/>
    </w:p>
    <w:p>
      <w:pPr>
        <w:jc w:val="left"/>
        <w:tabs>
          <w:tab w:val="left" w:pos="1800" w:leader="none"/>
          <w:tab w:val="left" w:pos="5580" w:leader="none"/>
        </w:tabs>
        <w:rPr>
          <w:color w:val="000000"/>
          <w:sz w:val="24"/>
        </w:rPr>
      </w:pPr>
      <w:r>
        <w:rPr>
          <w:color w:val="000000"/>
          <w:sz w:val="24"/>
        </w:rPr>
      </w:r>
      <w:r/>
    </w:p>
    <w:p>
      <w:pPr>
        <w:pStyle w:val="852"/>
      </w:pPr>
      <w:r/>
      <w:r/>
    </w:p>
    <w:p>
      <w:pPr>
        <w:jc w:val="left"/>
        <w:tabs>
          <w:tab w:val="left" w:pos="1800" w:leader="none"/>
          <w:tab w:val="left" w:pos="5580" w:leader="none"/>
        </w:tabs>
        <w:rPr>
          <w:color w:val="000000"/>
          <w:sz w:val="24"/>
        </w:rPr>
      </w:pPr>
      <w:r>
        <w:rPr>
          <w:rFonts w:hint="eastAsia" w:ascii="宋体" w:hAnsi="宋体" w:cs="宋体"/>
          <w:color w:val="000000"/>
          <w:sz w:val="24"/>
        </w:rPr>
        <w:t xml:space="preserve">注：</w:t>
      </w:r>
      <w:r>
        <w:rPr>
          <w:color w:val="000000"/>
          <w:sz w:val="24"/>
        </w:rPr>
        <w:t xml:space="preserve">1.</w:t>
      </w:r>
      <w:r>
        <w:rPr>
          <w:color w:val="000000"/>
          <w:sz w:val="24"/>
        </w:rPr>
        <w:t xml:space="preserve">本表应按包分别填写。</w:t>
      </w:r>
      <w:r/>
    </w:p>
    <w:p>
      <w:pPr>
        <w:ind w:firstLine="480"/>
        <w:jc w:val="left"/>
        <w:tabs>
          <w:tab w:val="left" w:pos="1800" w:leader="none"/>
          <w:tab w:val="left" w:pos="5580" w:leader="none"/>
        </w:tabs>
        <w:rPr>
          <w:color w:val="000000"/>
          <w:sz w:val="24"/>
        </w:rPr>
      </w:pPr>
      <w:r>
        <w:rPr>
          <w:color w:val="000000"/>
          <w:sz w:val="24"/>
        </w:rPr>
        <w:t xml:space="preserve">2.</w:t>
      </w:r>
      <w:r>
        <w:rPr>
          <w:color w:val="000000"/>
          <w:sz w:val="24"/>
        </w:rPr>
        <w:t xml:space="preserve">如果不提供分项报价将视为没有实质性响应招标文件。</w:t>
      </w:r>
      <w:r/>
    </w:p>
    <w:p>
      <w:pPr>
        <w:ind w:firstLine="480"/>
        <w:jc w:val="left"/>
        <w:tabs>
          <w:tab w:val="left" w:pos="1800" w:leader="none"/>
          <w:tab w:val="left" w:pos="5580" w:leader="none"/>
        </w:tabs>
        <w:rPr>
          <w:color w:val="000000"/>
          <w:sz w:val="24"/>
        </w:rPr>
      </w:pPr>
      <w:r>
        <w:rPr>
          <w:color w:val="000000"/>
          <w:sz w:val="24"/>
        </w:rPr>
        <w:t xml:space="preserve">3.</w:t>
      </w:r>
      <w:r>
        <w:rPr>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color w:val="000000"/>
          <w:sz w:val="24"/>
        </w:rPr>
        <w:t xml:space="preserve">4.</w:t>
      </w:r>
      <w:r>
        <w:rPr>
          <w:color w:val="000000"/>
          <w:sz w:val="24"/>
        </w:rPr>
        <w:t xml:space="preserve">上述各项的服务内容如表格中填写不下的，可以逐项另页描述。</w:t>
      </w:r>
      <w:r/>
    </w:p>
    <w:p>
      <w:pPr>
        <w:ind w:firstLine="480"/>
        <w:jc w:val="left"/>
        <w:tabs>
          <w:tab w:val="left" w:pos="1800" w:leader="none"/>
          <w:tab w:val="left" w:pos="5580" w:leader="none"/>
        </w:tabs>
        <w:rPr>
          <w:color w:val="000000"/>
          <w:sz w:val="24"/>
        </w:rPr>
      </w:pPr>
      <w:r>
        <w:rPr>
          <w:color w:val="000000"/>
          <w:sz w:val="24"/>
        </w:rPr>
        <w:t xml:space="preserve">5.</w:t>
      </w:r>
      <w:r>
        <w:rPr>
          <w:color w:val="000000"/>
          <w:sz w:val="24"/>
        </w:rPr>
        <w:t xml:space="preserve">本采购包中含有多种产品时，投标人未填写本采购包中提供的符合本国产品标准的产品成本之和占该采购包提供的全部产品成本之和的比例数值的，或比例数值未达到</w:t>
      </w:r>
      <w:r>
        <w:rPr>
          <w:color w:val="000000"/>
          <w:sz w:val="24"/>
        </w:rPr>
        <w:t xml:space="preserve">80%</w:t>
      </w:r>
      <w:r>
        <w:rPr>
          <w:color w:val="000000"/>
          <w:sz w:val="24"/>
        </w:rPr>
        <w:t xml:space="preserve">的，将不享受本国产品价格评审优惠。</w:t>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spacing w:line="400" w:lineRule="exact"/>
        <w:rPr>
          <w:color w:val="000000"/>
          <w:sz w:val="24"/>
        </w:rPr>
      </w:pPr>
      <w:r>
        <w:rPr>
          <w:color w:val="000000"/>
          <w:sz w:val="24"/>
        </w:rPr>
      </w:r>
      <w:r/>
    </w:p>
    <w:p>
      <w:pPr>
        <w:spacing w:line="400" w:lineRule="exact"/>
        <w:rPr>
          <w:color w:val="000000"/>
          <w:sz w:val="24"/>
          <w:lang w:val="zh-CN"/>
        </w:rPr>
      </w:pPr>
      <w:r>
        <w:rPr>
          <w:color w:val="000000"/>
          <w:sz w:val="24"/>
        </w:rPr>
        <w:t xml:space="preserve">投标人名称（加盖公章）</w:t>
      </w:r>
      <w:r>
        <w:rPr>
          <w:color w:val="000000"/>
          <w:sz w:val="24"/>
          <w:lang w:val="zh-CN"/>
        </w:rPr>
        <w:t xml:space="preserve">：</w:t>
      </w:r>
      <w:r>
        <w:rPr>
          <w:color w:val="000000"/>
          <w:sz w:val="24"/>
          <w:lang w:val="zh-CN"/>
        </w:rPr>
        <w:t xml:space="preserve">____________</w:t>
      </w:r>
      <w:r/>
    </w:p>
    <w:p>
      <w:pPr>
        <w:spacing w:line="400" w:lineRule="exact"/>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spacing w:line="360" w:lineRule="auto"/>
        <w:rPr>
          <w:color w:val="000000"/>
          <w:sz w:val="24"/>
          <w:szCs w:val="20"/>
        </w:rPr>
        <w:outlineLvl w:val="2"/>
      </w:pPr>
      <w:r/>
      <w:bookmarkStart w:id="424" w:name="_Toc142311062"/>
      <w:r/>
      <w:bookmarkStart w:id="425" w:name="_Toc226965835"/>
      <w:r/>
      <w:bookmarkStart w:id="426" w:name="_Toc150774765"/>
      <w:r/>
      <w:bookmarkStart w:id="427" w:name="_Toc305158830"/>
      <w:r/>
      <w:bookmarkStart w:id="428" w:name="_Toc226965752"/>
      <w:r/>
      <w:bookmarkStart w:id="429" w:name="_Toc264969252"/>
      <w:r/>
      <w:bookmarkStart w:id="430" w:name="_Toc226309806"/>
      <w:r/>
      <w:bookmarkStart w:id="431" w:name="_Toc305158904"/>
      <w:r/>
      <w:bookmarkStart w:id="432" w:name="_Toc150480798"/>
      <w:r/>
      <w:bookmarkStart w:id="433" w:name="_Toc195842927"/>
      <w:r/>
      <w:bookmarkStart w:id="434" w:name="_Toc127151562"/>
      <w:r/>
      <w:bookmarkStart w:id="435" w:name="_Toc226337258"/>
      <w:r/>
      <w:bookmarkStart w:id="436" w:name="_Toc265228400"/>
      <w:r/>
      <w:bookmarkStart w:id="437" w:name="_Toc150774764"/>
      <w:r/>
      <w:bookmarkStart w:id="438" w:name="_Toc265228399"/>
      <w:r/>
      <w:bookmarkStart w:id="439" w:name="_Toc305158829"/>
      <w:r/>
      <w:bookmarkStart w:id="440" w:name="_Toc150480797"/>
      <w:r/>
      <w:bookmarkStart w:id="441" w:name="_Toc226965751"/>
      <w:r/>
      <w:bookmarkStart w:id="442" w:name="_Toc226965834"/>
      <w:r/>
      <w:bookmarkStart w:id="443" w:name="_Toc226309805"/>
      <w:r/>
      <w:bookmarkStart w:id="444" w:name="_Toc142311061"/>
      <w:r/>
      <w:bookmarkStart w:id="445" w:name="_Toc127151561"/>
      <w:r/>
      <w:bookmarkStart w:id="446" w:name="_Toc195842926"/>
      <w:r/>
      <w:bookmarkStart w:id="447" w:name="_Toc226337257"/>
      <w:r/>
      <w:bookmarkStart w:id="448" w:name="_Toc264969251"/>
      <w:r/>
      <w:bookmarkStart w:id="449" w:name="_Toc305158903"/>
      <w:r>
        <w:rPr>
          <w:color w:val="000000"/>
          <w:sz w:val="24"/>
          <w:szCs w:val="20"/>
        </w:rPr>
        <w:br w:type="page" w:clear="all"/>
      </w:r>
      <w:r>
        <w:rPr>
          <w:rFonts w:hint="eastAsia" w:ascii="宋体" w:hAnsi="宋体" w:cs="宋体"/>
          <w:b/>
          <w:bCs/>
          <w:color w:val="000000"/>
          <w:sz w:val="24"/>
        </w:rPr>
        <w:t xml:space="preserve">7  合同条款偏离表</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cs="宋体"/>
          <w:b/>
          <w:bCs/>
          <w:color w:val="000000"/>
          <w:sz w:val="24"/>
        </w:rPr>
        <w:t xml:space="preserve">（实质性格式）</w:t>
      </w:r>
      <w:r/>
    </w:p>
    <w:p>
      <w:pPr>
        <w:spacing w:line="360" w:lineRule="auto"/>
        <w:rPr>
          <w:color w:val="000000"/>
          <w:sz w:val="24"/>
          <w:szCs w:val="20"/>
        </w:rPr>
      </w:pPr>
      <w:r>
        <w:rPr>
          <w:color w:val="000000"/>
          <w:sz w:val="24"/>
          <w:szCs w:val="20"/>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_____________________     </w:t>
      </w:r>
      <w:r>
        <w:rPr>
          <w:color w:val="000000"/>
          <w:sz w:val="24"/>
        </w:rPr>
        <w:t xml:space="preserve">项目名称：</w:t>
      </w:r>
      <w:r>
        <w:rPr>
          <w:color w:val="000000"/>
          <w:sz w:val="24"/>
        </w:rPr>
        <w:t xml:space="preserve">_____________</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696"/>
        <w:gridCol w:w="1039"/>
        <w:gridCol w:w="1041"/>
        <w:gridCol w:w="1269"/>
        <w:gridCol w:w="4546"/>
      </w:tblGrid>
      <w:tr>
        <w:trPr>
          <w:jc w:val="center"/>
          <w:trHeight w:val="930"/>
        </w:trPr>
        <w:tc>
          <w:tcPr>
            <w:gridSpan w:val="6"/>
            <w:tcW w:w="9287" w:type="dxa"/>
            <w:vAlign w:val="center"/>
            <w:textDirection w:val="lrTb"/>
            <w:noWrap w:val="false"/>
          </w:tcPr>
          <w:p>
            <w:pPr>
              <w:jc w:val="lef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W w:w="69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06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06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投标文件内容</w:t>
            </w:r>
            <w:r/>
          </w:p>
        </w:tc>
        <w:tc>
          <w:tcPr>
            <w:tcW w:w="130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偏离情况</w:t>
            </w:r>
            <w:r/>
          </w:p>
        </w:tc>
        <w:tc>
          <w:tcPr>
            <w:tcW w:w="42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69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42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69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42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69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42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w:t>
            </w:r>
            <w:r/>
          </w:p>
        </w:tc>
        <w:tc>
          <w:tcPr>
            <w:tcW w:w="69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6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42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jc w:val="left"/>
        <w:tabs>
          <w:tab w:val="left" w:pos="1800" w:leader="none"/>
          <w:tab w:val="left" w:pos="5580" w:leader="none"/>
        </w:tabs>
        <w:rPr>
          <w:color w:val="000000"/>
          <w:sz w:val="24"/>
        </w:rPr>
      </w:pPr>
      <w:r>
        <w:rPr>
          <w:color w:val="000000"/>
          <w:sz w:val="24"/>
        </w:rPr>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1. 对合同条款中的所有要求，除本表所列明的所有偏离外，均视作供应商已对之理解和响应。</w:t>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 “偏离情况”列应据实填写“正偏离”、“负偏离”或“无偏离”。</w:t>
      </w:r>
      <w:r/>
    </w:p>
    <w:p>
      <w:pPr>
        <w:spacing w:line="400" w:lineRule="exact"/>
        <w:rPr>
          <w:rFonts w:hint="eastAsia" w:ascii="宋体" w:hAnsi="宋体" w:cs="宋体"/>
          <w:color w:val="000000"/>
          <w:sz w:val="24"/>
          <w:szCs w:val="20"/>
        </w:rPr>
      </w:pPr>
      <w:r>
        <w:rPr>
          <w:rFonts w:hint="eastAsia" w:ascii="宋体" w:hAnsi="宋体" w:cs="宋体"/>
          <w:color w:val="000000"/>
          <w:sz w:val="24"/>
          <w:szCs w:val="20"/>
        </w:rPr>
      </w:r>
      <w:r/>
    </w:p>
    <w:p>
      <w:pPr>
        <w:spacing w:line="400" w:lineRule="exact"/>
        <w:rPr>
          <w:rFonts w:hint="eastAsia" w:ascii="宋体" w:hAnsi="宋体" w:cs="宋体"/>
          <w:color w:val="000000"/>
          <w:sz w:val="24"/>
          <w:lang w:val="zh-CN"/>
        </w:rPr>
      </w:pPr>
      <w:r>
        <w:rPr>
          <w:rFonts w:hint="eastAsia" w:ascii="宋体" w:hAnsi="宋体" w:cs="宋体"/>
          <w:color w:val="000000"/>
          <w:sz w:val="24"/>
          <w:lang w:val="zh-CN"/>
        </w:rPr>
        <w:t xml:space="preserve">                      </w:t>
      </w:r>
      <w:r/>
    </w:p>
    <w:p>
      <w:pPr>
        <w:spacing w:line="400" w:lineRule="exact"/>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line="400" w:lineRule="exact"/>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ascii="宋体" w:hAnsi="宋体" w:cs="宋体"/>
          <w:b/>
          <w:bCs/>
          <w:color w:val="000000"/>
          <w:sz w:val="24"/>
        </w:rPr>
        <w:t xml:space="preserve">8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 w:val="24"/>
        </w:rPr>
        <w:t xml:space="preserve">采购需求偏离表（实质性格式）</w:t>
      </w:r>
      <w:r/>
    </w:p>
    <w:p>
      <w:pPr>
        <w:rPr>
          <w:color w:val="000000"/>
        </w:rPr>
      </w:pPr>
      <w:r>
        <w:rPr>
          <w:color w:val="000000"/>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_____________________     </w:t>
      </w:r>
      <w:r>
        <w:rPr>
          <w:color w:val="000000"/>
          <w:sz w:val="24"/>
        </w:rPr>
        <w:t xml:space="preserve">项目名称：</w:t>
      </w:r>
      <w:r>
        <w:rPr>
          <w:color w:val="000000"/>
          <w:sz w:val="24"/>
        </w:rPr>
        <w:t xml:space="preserve">____________</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22"/>
        <w:gridCol w:w="1345"/>
        <w:gridCol w:w="2166"/>
        <w:gridCol w:w="1931"/>
        <w:gridCol w:w="1703"/>
        <w:gridCol w:w="916"/>
      </w:tblGrid>
      <w:tr>
        <w:trPr>
          <w:jc w:val="center"/>
          <w:trHeight w:val="1053"/>
        </w:trPr>
        <w:tc>
          <w:tcPr>
            <w:tcW w:w="401" w:type="dxa"/>
            <w:vAlign w:val="center"/>
            <w:textDirection w:val="lrTb"/>
            <w:noWrap w:val="false"/>
          </w:tcPr>
          <w:p>
            <w:pPr>
              <w:jc w:val="center"/>
              <w:rPr>
                <w:color w:val="000000"/>
                <w:sz w:val="24"/>
              </w:rPr>
            </w:pPr>
            <w:r>
              <w:rPr>
                <w:color w:val="000000"/>
                <w:sz w:val="24"/>
              </w:rPr>
              <w:t xml:space="preserve">序号</w:t>
            </w:r>
            <w:r/>
          </w:p>
        </w:tc>
        <w:tc>
          <w:tcPr>
            <w:tcW w:w="767" w:type="dxa"/>
            <w:vAlign w:val="center"/>
            <w:textDirection w:val="lrTb"/>
            <w:noWrap w:val="false"/>
          </w:tcPr>
          <w:p>
            <w:pPr>
              <w:jc w:val="center"/>
              <w:rPr>
                <w:color w:val="000000"/>
                <w:sz w:val="24"/>
              </w:rPr>
            </w:pPr>
            <w:r>
              <w:rPr>
                <w:color w:val="000000"/>
                <w:sz w:val="24"/>
              </w:rPr>
              <w:t xml:space="preserve">招标文件条目号</w:t>
            </w:r>
            <w:r>
              <w:rPr>
                <w:color w:val="000000"/>
                <w:sz w:val="24"/>
              </w:rPr>
              <w:t xml:space="preserve">(</w:t>
            </w:r>
            <w:r>
              <w:rPr>
                <w:color w:val="000000"/>
                <w:sz w:val="24"/>
              </w:rPr>
              <w:t xml:space="preserve">页码</w:t>
            </w:r>
            <w:r>
              <w:rPr>
                <w:color w:val="000000"/>
                <w:sz w:val="24"/>
              </w:rPr>
              <w:t xml:space="preserve">)</w:t>
            </w:r>
            <w:r/>
          </w:p>
        </w:tc>
        <w:tc>
          <w:tcPr>
            <w:tcW w:w="1235" w:type="dxa"/>
            <w:vAlign w:val="center"/>
            <w:textDirection w:val="lrTb"/>
            <w:noWrap w:val="false"/>
          </w:tcPr>
          <w:p>
            <w:pPr>
              <w:jc w:val="center"/>
              <w:rPr>
                <w:color w:val="000000"/>
                <w:sz w:val="24"/>
              </w:rPr>
            </w:pPr>
            <w:r>
              <w:rPr>
                <w:color w:val="000000"/>
                <w:sz w:val="24"/>
              </w:rPr>
              <w:t xml:space="preserve">招标文件要求</w:t>
            </w:r>
            <w:r/>
          </w:p>
        </w:tc>
        <w:tc>
          <w:tcPr>
            <w:tcW w:w="1101" w:type="dxa"/>
            <w:vAlign w:val="center"/>
            <w:textDirection w:val="lrTb"/>
            <w:noWrap w:val="false"/>
          </w:tcPr>
          <w:p>
            <w:pPr>
              <w:jc w:val="center"/>
              <w:rPr>
                <w:color w:val="000000"/>
                <w:sz w:val="24"/>
              </w:rPr>
            </w:pPr>
            <w:r>
              <w:rPr>
                <w:color w:val="000000"/>
                <w:sz w:val="24"/>
              </w:rPr>
              <w:t xml:space="preserve">投标响应内容</w:t>
            </w:r>
            <w:r/>
          </w:p>
        </w:tc>
        <w:tc>
          <w:tcPr>
            <w:tcW w:w="971" w:type="dxa"/>
            <w:vAlign w:val="center"/>
            <w:textDirection w:val="lrTb"/>
            <w:noWrap w:val="false"/>
          </w:tcPr>
          <w:p>
            <w:pPr>
              <w:jc w:val="center"/>
              <w:rPr>
                <w:color w:val="000000"/>
                <w:sz w:val="24"/>
              </w:rPr>
            </w:pPr>
            <w:r>
              <w:rPr>
                <w:color w:val="000000"/>
                <w:sz w:val="24"/>
              </w:rPr>
              <w:t xml:space="preserve">偏离情况</w:t>
            </w:r>
            <w:r/>
          </w:p>
        </w:tc>
        <w:tc>
          <w:tcPr>
            <w:tcW w:w="522"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401" w:type="dxa"/>
            <w:vAlign w:val="center"/>
            <w:textDirection w:val="lrTb"/>
            <w:noWrap w:val="false"/>
          </w:tcPr>
          <w:p>
            <w:pPr>
              <w:jc w:val="center"/>
              <w:rPr>
                <w:color w:val="000000"/>
                <w:sz w:val="24"/>
              </w:rPr>
            </w:pPr>
            <w:r>
              <w:rPr>
                <w:color w:val="000000"/>
                <w:sz w:val="24"/>
              </w:rPr>
            </w:r>
            <w:r/>
          </w:p>
        </w:tc>
        <w:tc>
          <w:tcPr>
            <w:tcW w:w="767" w:type="dxa"/>
            <w:vAlign w:val="center"/>
            <w:textDirection w:val="lrTb"/>
            <w:noWrap w:val="false"/>
          </w:tcPr>
          <w:p>
            <w:pPr>
              <w:jc w:val="center"/>
              <w:rPr>
                <w:color w:val="000000"/>
                <w:sz w:val="24"/>
              </w:rPr>
            </w:pPr>
            <w:r>
              <w:rPr>
                <w:color w:val="000000"/>
                <w:sz w:val="24"/>
              </w:rPr>
            </w:r>
            <w:r/>
          </w:p>
        </w:tc>
        <w:tc>
          <w:tcPr>
            <w:tcW w:w="1235" w:type="dxa"/>
            <w:vAlign w:val="center"/>
            <w:textDirection w:val="lrTb"/>
            <w:noWrap w:val="false"/>
          </w:tcPr>
          <w:p>
            <w:pPr>
              <w:jc w:val="center"/>
              <w:rPr>
                <w:color w:val="000000"/>
                <w:sz w:val="24"/>
              </w:rPr>
            </w:pPr>
            <w:r>
              <w:rPr>
                <w:color w:val="000000"/>
                <w:sz w:val="24"/>
              </w:rPr>
            </w:r>
            <w:r/>
          </w:p>
        </w:tc>
        <w:tc>
          <w:tcPr>
            <w:tcW w:w="1101" w:type="dxa"/>
            <w:vAlign w:val="center"/>
            <w:textDirection w:val="lrTb"/>
            <w:noWrap w:val="false"/>
          </w:tcPr>
          <w:p>
            <w:pPr>
              <w:jc w:val="center"/>
              <w:rPr>
                <w:color w:val="000000"/>
                <w:sz w:val="24"/>
              </w:rPr>
            </w:pPr>
            <w:r>
              <w:rPr>
                <w:color w:val="000000"/>
                <w:sz w:val="24"/>
              </w:rPr>
            </w:r>
            <w:r/>
          </w:p>
        </w:tc>
        <w:tc>
          <w:tcPr>
            <w:tcW w:w="971" w:type="dxa"/>
            <w:vAlign w:val="center"/>
            <w:textDirection w:val="lrTb"/>
            <w:noWrap w:val="false"/>
          </w:tcPr>
          <w:p>
            <w:pPr>
              <w:jc w:val="center"/>
              <w:rPr>
                <w:color w:val="000000"/>
                <w:sz w:val="24"/>
              </w:rPr>
            </w:pPr>
            <w:r>
              <w:rPr>
                <w:color w:val="000000"/>
                <w:sz w:val="24"/>
              </w:rPr>
            </w:r>
            <w:r/>
          </w:p>
        </w:tc>
        <w:tc>
          <w:tcPr>
            <w:tcW w:w="522" w:type="dxa"/>
            <w:vAlign w:val="center"/>
            <w:textDirection w:val="lrTb"/>
            <w:noWrap w:val="false"/>
          </w:tcPr>
          <w:p>
            <w:pPr>
              <w:jc w:val="center"/>
              <w:rPr>
                <w:color w:val="000000"/>
                <w:sz w:val="24"/>
              </w:rPr>
            </w:pPr>
            <w:r>
              <w:rPr>
                <w:color w:val="000000"/>
                <w:sz w:val="24"/>
              </w:rPr>
            </w:r>
            <w:r/>
          </w:p>
        </w:tc>
      </w:tr>
      <w:tr>
        <w:trPr>
          <w:jc w:val="center"/>
          <w:trHeight w:val="930"/>
        </w:trPr>
        <w:tc>
          <w:tcPr>
            <w:tcW w:w="401" w:type="dxa"/>
            <w:vAlign w:val="center"/>
            <w:textDirection w:val="lrTb"/>
            <w:noWrap w:val="false"/>
          </w:tcPr>
          <w:p>
            <w:pPr>
              <w:jc w:val="center"/>
              <w:rPr>
                <w:color w:val="000000"/>
                <w:sz w:val="24"/>
              </w:rPr>
            </w:pPr>
            <w:r>
              <w:rPr>
                <w:color w:val="000000"/>
                <w:sz w:val="24"/>
              </w:rPr>
            </w:r>
            <w:r/>
          </w:p>
        </w:tc>
        <w:tc>
          <w:tcPr>
            <w:tcW w:w="767" w:type="dxa"/>
            <w:vAlign w:val="center"/>
            <w:textDirection w:val="lrTb"/>
            <w:noWrap w:val="false"/>
          </w:tcPr>
          <w:p>
            <w:pPr>
              <w:jc w:val="center"/>
              <w:rPr>
                <w:color w:val="000000"/>
                <w:sz w:val="24"/>
              </w:rPr>
            </w:pPr>
            <w:r>
              <w:rPr>
                <w:color w:val="000000"/>
                <w:sz w:val="24"/>
              </w:rPr>
            </w:r>
            <w:r/>
          </w:p>
        </w:tc>
        <w:tc>
          <w:tcPr>
            <w:tcW w:w="1235" w:type="dxa"/>
            <w:vAlign w:val="center"/>
            <w:textDirection w:val="lrTb"/>
            <w:noWrap w:val="false"/>
          </w:tcPr>
          <w:p>
            <w:pPr>
              <w:jc w:val="center"/>
              <w:rPr>
                <w:color w:val="000000"/>
                <w:sz w:val="24"/>
              </w:rPr>
            </w:pPr>
            <w:r>
              <w:rPr>
                <w:color w:val="000000"/>
                <w:sz w:val="24"/>
              </w:rPr>
            </w:r>
            <w:r/>
          </w:p>
        </w:tc>
        <w:tc>
          <w:tcPr>
            <w:tcW w:w="1101" w:type="dxa"/>
            <w:vAlign w:val="center"/>
            <w:textDirection w:val="lrTb"/>
            <w:noWrap w:val="false"/>
          </w:tcPr>
          <w:p>
            <w:pPr>
              <w:jc w:val="center"/>
              <w:rPr>
                <w:color w:val="000000"/>
                <w:sz w:val="24"/>
              </w:rPr>
            </w:pPr>
            <w:r>
              <w:rPr>
                <w:color w:val="000000"/>
                <w:sz w:val="24"/>
              </w:rPr>
            </w:r>
            <w:r/>
          </w:p>
        </w:tc>
        <w:tc>
          <w:tcPr>
            <w:tcW w:w="971" w:type="dxa"/>
            <w:vAlign w:val="center"/>
            <w:textDirection w:val="lrTb"/>
            <w:noWrap w:val="false"/>
          </w:tcPr>
          <w:p>
            <w:pPr>
              <w:jc w:val="center"/>
              <w:rPr>
                <w:color w:val="000000"/>
                <w:sz w:val="24"/>
              </w:rPr>
            </w:pPr>
            <w:r>
              <w:rPr>
                <w:color w:val="000000"/>
                <w:sz w:val="24"/>
              </w:rPr>
            </w:r>
            <w:r/>
          </w:p>
        </w:tc>
        <w:tc>
          <w:tcPr>
            <w:tcW w:w="522" w:type="dxa"/>
            <w:vAlign w:val="center"/>
            <w:textDirection w:val="lrTb"/>
            <w:noWrap w:val="false"/>
          </w:tcPr>
          <w:p>
            <w:pPr>
              <w:jc w:val="center"/>
              <w:rPr>
                <w:color w:val="000000"/>
                <w:sz w:val="24"/>
              </w:rPr>
            </w:pPr>
            <w:r>
              <w:rPr>
                <w:color w:val="000000"/>
                <w:sz w:val="24"/>
              </w:rPr>
            </w:r>
            <w:r/>
          </w:p>
        </w:tc>
      </w:tr>
      <w:tr>
        <w:trPr>
          <w:jc w:val="center"/>
          <w:trHeight w:val="930"/>
        </w:trPr>
        <w:tc>
          <w:tcPr>
            <w:tcW w:w="401" w:type="dxa"/>
            <w:vAlign w:val="center"/>
            <w:textDirection w:val="lrTb"/>
            <w:noWrap w:val="false"/>
          </w:tcPr>
          <w:p>
            <w:pPr>
              <w:jc w:val="center"/>
              <w:rPr>
                <w:color w:val="000000"/>
                <w:sz w:val="24"/>
              </w:rPr>
            </w:pPr>
            <w:r>
              <w:rPr>
                <w:color w:val="000000"/>
                <w:sz w:val="24"/>
              </w:rPr>
            </w:r>
            <w:r/>
          </w:p>
        </w:tc>
        <w:tc>
          <w:tcPr>
            <w:tcW w:w="767" w:type="dxa"/>
            <w:vAlign w:val="center"/>
            <w:textDirection w:val="lrTb"/>
            <w:noWrap w:val="false"/>
          </w:tcPr>
          <w:p>
            <w:pPr>
              <w:jc w:val="center"/>
              <w:rPr>
                <w:color w:val="000000"/>
                <w:sz w:val="24"/>
              </w:rPr>
            </w:pPr>
            <w:r>
              <w:rPr>
                <w:color w:val="000000"/>
                <w:sz w:val="24"/>
              </w:rPr>
            </w:r>
            <w:r/>
          </w:p>
        </w:tc>
        <w:tc>
          <w:tcPr>
            <w:tcW w:w="1235" w:type="dxa"/>
            <w:vAlign w:val="center"/>
            <w:textDirection w:val="lrTb"/>
            <w:noWrap w:val="false"/>
          </w:tcPr>
          <w:p>
            <w:pPr>
              <w:jc w:val="center"/>
              <w:rPr>
                <w:color w:val="000000"/>
                <w:sz w:val="24"/>
              </w:rPr>
            </w:pPr>
            <w:r>
              <w:rPr>
                <w:color w:val="000000"/>
                <w:sz w:val="24"/>
              </w:rPr>
            </w:r>
            <w:r/>
          </w:p>
        </w:tc>
        <w:tc>
          <w:tcPr>
            <w:tcW w:w="1101" w:type="dxa"/>
            <w:vAlign w:val="center"/>
            <w:textDirection w:val="lrTb"/>
            <w:noWrap w:val="false"/>
          </w:tcPr>
          <w:p>
            <w:pPr>
              <w:jc w:val="center"/>
              <w:rPr>
                <w:color w:val="000000"/>
                <w:sz w:val="24"/>
              </w:rPr>
            </w:pPr>
            <w:r>
              <w:rPr>
                <w:color w:val="000000"/>
                <w:sz w:val="24"/>
              </w:rPr>
            </w:r>
            <w:r/>
          </w:p>
        </w:tc>
        <w:tc>
          <w:tcPr>
            <w:tcW w:w="971" w:type="dxa"/>
            <w:vAlign w:val="center"/>
            <w:textDirection w:val="lrTb"/>
            <w:noWrap w:val="false"/>
          </w:tcPr>
          <w:p>
            <w:pPr>
              <w:jc w:val="center"/>
              <w:rPr>
                <w:color w:val="000000"/>
                <w:sz w:val="24"/>
              </w:rPr>
            </w:pPr>
            <w:r>
              <w:rPr>
                <w:color w:val="000000"/>
                <w:sz w:val="24"/>
              </w:rPr>
            </w:r>
            <w:r/>
          </w:p>
        </w:tc>
        <w:tc>
          <w:tcPr>
            <w:tcW w:w="522" w:type="dxa"/>
            <w:vAlign w:val="center"/>
            <w:textDirection w:val="lrTb"/>
            <w:noWrap w:val="false"/>
          </w:tcPr>
          <w:p>
            <w:pPr>
              <w:jc w:val="center"/>
              <w:rPr>
                <w:color w:val="000000"/>
                <w:sz w:val="24"/>
              </w:rPr>
            </w:pPr>
            <w:r>
              <w:rPr>
                <w:color w:val="000000"/>
                <w:sz w:val="24"/>
              </w:rPr>
            </w:r>
            <w:r/>
          </w:p>
        </w:tc>
      </w:tr>
      <w:tr>
        <w:trPr>
          <w:jc w:val="center"/>
          <w:trHeight w:val="930"/>
        </w:trPr>
        <w:tc>
          <w:tcPr>
            <w:tcW w:w="401" w:type="dxa"/>
            <w:vAlign w:val="center"/>
            <w:textDirection w:val="lrTb"/>
            <w:noWrap w:val="false"/>
          </w:tcPr>
          <w:p>
            <w:pPr>
              <w:jc w:val="center"/>
              <w:rPr>
                <w:color w:val="000000"/>
                <w:sz w:val="24"/>
              </w:rPr>
            </w:pPr>
            <w:r>
              <w:rPr>
                <w:color w:val="000000"/>
                <w:sz w:val="24"/>
              </w:rPr>
            </w:r>
            <w:r/>
          </w:p>
        </w:tc>
        <w:tc>
          <w:tcPr>
            <w:tcW w:w="767" w:type="dxa"/>
            <w:vAlign w:val="center"/>
            <w:textDirection w:val="lrTb"/>
            <w:noWrap w:val="false"/>
          </w:tcPr>
          <w:p>
            <w:pPr>
              <w:jc w:val="center"/>
              <w:rPr>
                <w:color w:val="000000"/>
                <w:sz w:val="24"/>
              </w:rPr>
            </w:pPr>
            <w:r>
              <w:rPr>
                <w:color w:val="000000"/>
                <w:sz w:val="24"/>
              </w:rPr>
            </w:r>
            <w:r/>
          </w:p>
        </w:tc>
        <w:tc>
          <w:tcPr>
            <w:tcW w:w="1235" w:type="dxa"/>
            <w:vAlign w:val="center"/>
            <w:textDirection w:val="lrTb"/>
            <w:noWrap w:val="false"/>
          </w:tcPr>
          <w:p>
            <w:pPr>
              <w:jc w:val="center"/>
              <w:rPr>
                <w:color w:val="000000"/>
                <w:sz w:val="24"/>
              </w:rPr>
            </w:pPr>
            <w:r>
              <w:rPr>
                <w:color w:val="000000"/>
                <w:sz w:val="24"/>
              </w:rPr>
            </w:r>
            <w:r/>
          </w:p>
        </w:tc>
        <w:tc>
          <w:tcPr>
            <w:tcW w:w="1101" w:type="dxa"/>
            <w:vAlign w:val="center"/>
            <w:textDirection w:val="lrTb"/>
            <w:noWrap w:val="false"/>
          </w:tcPr>
          <w:p>
            <w:pPr>
              <w:jc w:val="center"/>
              <w:rPr>
                <w:color w:val="000000"/>
                <w:sz w:val="24"/>
              </w:rPr>
            </w:pPr>
            <w:r>
              <w:rPr>
                <w:color w:val="000000"/>
                <w:sz w:val="24"/>
              </w:rPr>
            </w:r>
            <w:r/>
          </w:p>
        </w:tc>
        <w:tc>
          <w:tcPr>
            <w:tcW w:w="971" w:type="dxa"/>
            <w:vAlign w:val="center"/>
            <w:textDirection w:val="lrTb"/>
            <w:noWrap w:val="false"/>
          </w:tcPr>
          <w:p>
            <w:pPr>
              <w:jc w:val="center"/>
              <w:rPr>
                <w:color w:val="000000"/>
                <w:sz w:val="24"/>
              </w:rPr>
            </w:pPr>
            <w:r>
              <w:rPr>
                <w:color w:val="000000"/>
                <w:sz w:val="24"/>
              </w:rPr>
            </w:r>
            <w:r/>
          </w:p>
        </w:tc>
        <w:tc>
          <w:tcPr>
            <w:tcW w:w="522" w:type="dxa"/>
            <w:vAlign w:val="center"/>
            <w:textDirection w:val="lrTb"/>
            <w:noWrap w:val="false"/>
          </w:tcPr>
          <w:p>
            <w:pPr>
              <w:jc w:val="center"/>
              <w:rPr>
                <w:color w:val="000000"/>
                <w:sz w:val="24"/>
              </w:rPr>
            </w:pPr>
            <w:r>
              <w:rPr>
                <w:color w:val="000000"/>
                <w:sz w:val="24"/>
              </w:rPr>
            </w:r>
            <w:r/>
          </w:p>
        </w:tc>
      </w:tr>
      <w:tr>
        <w:trPr>
          <w:jc w:val="center"/>
          <w:trHeight w:val="930"/>
        </w:trPr>
        <w:tc>
          <w:tcPr>
            <w:tcW w:w="401" w:type="dxa"/>
            <w:vAlign w:val="center"/>
            <w:textDirection w:val="lrTb"/>
            <w:noWrap w:val="false"/>
          </w:tcPr>
          <w:p>
            <w:pPr>
              <w:jc w:val="center"/>
              <w:rPr>
                <w:color w:val="000000"/>
                <w:sz w:val="24"/>
              </w:rPr>
            </w:pPr>
            <w:r>
              <w:rPr>
                <w:color w:val="000000"/>
                <w:sz w:val="24"/>
              </w:rPr>
            </w:r>
            <w:r/>
          </w:p>
        </w:tc>
        <w:tc>
          <w:tcPr>
            <w:tcW w:w="767" w:type="dxa"/>
            <w:vAlign w:val="center"/>
            <w:textDirection w:val="lrTb"/>
            <w:noWrap w:val="false"/>
          </w:tcPr>
          <w:p>
            <w:pPr>
              <w:jc w:val="center"/>
              <w:rPr>
                <w:color w:val="000000"/>
                <w:sz w:val="24"/>
              </w:rPr>
            </w:pPr>
            <w:r>
              <w:rPr>
                <w:color w:val="000000"/>
                <w:sz w:val="24"/>
              </w:rPr>
            </w:r>
            <w:r/>
          </w:p>
        </w:tc>
        <w:tc>
          <w:tcPr>
            <w:tcW w:w="1235" w:type="dxa"/>
            <w:vAlign w:val="center"/>
            <w:textDirection w:val="lrTb"/>
            <w:noWrap w:val="false"/>
          </w:tcPr>
          <w:p>
            <w:pPr>
              <w:jc w:val="center"/>
              <w:rPr>
                <w:color w:val="000000"/>
                <w:sz w:val="24"/>
              </w:rPr>
            </w:pPr>
            <w:r>
              <w:rPr>
                <w:color w:val="000000"/>
                <w:sz w:val="24"/>
              </w:rPr>
            </w:r>
            <w:r/>
          </w:p>
        </w:tc>
        <w:tc>
          <w:tcPr>
            <w:tcW w:w="1101" w:type="dxa"/>
            <w:vAlign w:val="center"/>
            <w:textDirection w:val="lrTb"/>
            <w:noWrap w:val="false"/>
          </w:tcPr>
          <w:p>
            <w:pPr>
              <w:jc w:val="center"/>
              <w:rPr>
                <w:color w:val="000000"/>
                <w:sz w:val="24"/>
              </w:rPr>
            </w:pPr>
            <w:r>
              <w:rPr>
                <w:color w:val="000000"/>
                <w:sz w:val="24"/>
              </w:rPr>
            </w:r>
            <w:r/>
          </w:p>
        </w:tc>
        <w:tc>
          <w:tcPr>
            <w:tcW w:w="971" w:type="dxa"/>
            <w:vAlign w:val="center"/>
            <w:textDirection w:val="lrTb"/>
            <w:noWrap w:val="false"/>
          </w:tcPr>
          <w:p>
            <w:pPr>
              <w:jc w:val="center"/>
              <w:rPr>
                <w:color w:val="000000"/>
                <w:sz w:val="24"/>
              </w:rPr>
            </w:pPr>
            <w:r>
              <w:rPr>
                <w:color w:val="000000"/>
                <w:sz w:val="24"/>
              </w:rPr>
            </w:r>
            <w:r/>
          </w:p>
        </w:tc>
        <w:tc>
          <w:tcPr>
            <w:tcW w:w="522" w:type="dxa"/>
            <w:vAlign w:val="center"/>
            <w:textDirection w:val="lrTb"/>
            <w:noWrap w:val="false"/>
          </w:tcPr>
          <w:p>
            <w:pPr>
              <w:jc w:val="center"/>
              <w:rPr>
                <w:color w:val="000000"/>
                <w:sz w:val="24"/>
              </w:rPr>
            </w:pPr>
            <w:r>
              <w:rPr>
                <w:color w:val="000000"/>
                <w:sz w:val="24"/>
              </w:rPr>
            </w:r>
            <w:r/>
          </w:p>
        </w:tc>
      </w:tr>
      <w:tr>
        <w:trPr>
          <w:jc w:val="center"/>
          <w:trHeight w:val="930"/>
        </w:trPr>
        <w:tc>
          <w:tcPr>
            <w:tcW w:w="401" w:type="dxa"/>
            <w:vAlign w:val="center"/>
            <w:textDirection w:val="lrTb"/>
            <w:noWrap w:val="false"/>
          </w:tcPr>
          <w:p>
            <w:pPr>
              <w:jc w:val="center"/>
              <w:rPr>
                <w:color w:val="000000"/>
                <w:sz w:val="24"/>
              </w:rPr>
            </w:pPr>
            <w:r>
              <w:rPr>
                <w:color w:val="000000"/>
                <w:sz w:val="24"/>
              </w:rPr>
              <w:t xml:space="preserve">……</w:t>
            </w:r>
            <w:r/>
          </w:p>
        </w:tc>
        <w:tc>
          <w:tcPr>
            <w:tcW w:w="767" w:type="dxa"/>
            <w:vAlign w:val="center"/>
            <w:textDirection w:val="lrTb"/>
            <w:noWrap w:val="false"/>
          </w:tcPr>
          <w:p>
            <w:pPr>
              <w:jc w:val="center"/>
              <w:rPr>
                <w:color w:val="000000"/>
                <w:sz w:val="24"/>
              </w:rPr>
            </w:pPr>
            <w:r>
              <w:rPr>
                <w:color w:val="000000"/>
                <w:sz w:val="24"/>
              </w:rPr>
            </w:r>
            <w:r/>
          </w:p>
        </w:tc>
        <w:tc>
          <w:tcPr>
            <w:tcW w:w="1235" w:type="dxa"/>
            <w:vAlign w:val="center"/>
            <w:textDirection w:val="lrTb"/>
            <w:noWrap w:val="false"/>
          </w:tcPr>
          <w:p>
            <w:pPr>
              <w:jc w:val="center"/>
              <w:rPr>
                <w:color w:val="000000"/>
                <w:sz w:val="24"/>
              </w:rPr>
            </w:pPr>
            <w:r>
              <w:rPr>
                <w:color w:val="000000"/>
                <w:sz w:val="24"/>
              </w:rPr>
            </w:r>
            <w:r/>
          </w:p>
        </w:tc>
        <w:tc>
          <w:tcPr>
            <w:tcW w:w="1101" w:type="dxa"/>
            <w:vAlign w:val="center"/>
            <w:textDirection w:val="lrTb"/>
            <w:noWrap w:val="false"/>
          </w:tcPr>
          <w:p>
            <w:pPr>
              <w:jc w:val="center"/>
              <w:rPr>
                <w:color w:val="000000"/>
                <w:sz w:val="24"/>
              </w:rPr>
            </w:pPr>
            <w:r>
              <w:rPr>
                <w:color w:val="000000"/>
                <w:sz w:val="24"/>
              </w:rPr>
            </w:r>
            <w:r/>
          </w:p>
        </w:tc>
        <w:tc>
          <w:tcPr>
            <w:tcW w:w="971" w:type="dxa"/>
            <w:vAlign w:val="center"/>
            <w:textDirection w:val="lrTb"/>
            <w:noWrap w:val="false"/>
          </w:tcPr>
          <w:p>
            <w:pPr>
              <w:jc w:val="center"/>
              <w:rPr>
                <w:color w:val="000000"/>
                <w:sz w:val="24"/>
              </w:rPr>
            </w:pPr>
            <w:r>
              <w:rPr>
                <w:color w:val="000000"/>
                <w:sz w:val="24"/>
              </w:rPr>
            </w:r>
            <w:r/>
          </w:p>
        </w:tc>
        <w:tc>
          <w:tcPr>
            <w:tcW w:w="522"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 w:val="24"/>
        </w:rPr>
        <w:t xml:space="preserve">投标无效。</w:t>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2.“偏离情况”列应据实填写“正偏离”、“负偏离”或“无偏离”。</w:t>
      </w:r>
      <w:r/>
    </w:p>
    <w:p>
      <w:pPr>
        <w:jc w:val="left"/>
        <w:spacing w:line="40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spacing w:line="400" w:lineRule="exact"/>
        <w:rPr>
          <w:rFonts w:hint="eastAsia" w:ascii="宋体" w:hAnsi="宋体" w:cs="宋体"/>
          <w:color w:val="000000"/>
          <w:sz w:val="24"/>
          <w:lang w:val="zh-CN"/>
        </w:rPr>
      </w:pPr>
      <w:r>
        <w:rPr>
          <w:rFonts w:hint="eastAsia" w:ascii="宋体" w:hAnsi="宋体" w:cs="宋体"/>
          <w:color w:val="000000"/>
          <w:sz w:val="24"/>
          <w:lang w:val="zh-CN"/>
        </w:rPr>
        <w:t xml:space="preserve">                  </w:t>
      </w:r>
      <w:r/>
    </w:p>
    <w:p>
      <w:pPr>
        <w:spacing w:line="400" w:lineRule="exact"/>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line="400" w:lineRule="exact"/>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color w:val="000000"/>
        </w:rPr>
      </w:pPr>
      <w:r>
        <w:rPr>
          <w:color w:val="000000"/>
        </w:rPr>
      </w:r>
      <w:r/>
    </w:p>
    <w:p>
      <w:pPr>
        <w:spacing w:line="360" w:lineRule="auto"/>
        <w:rPr>
          <w:color w:val="000000"/>
          <w:sz w:val="24"/>
          <w:szCs w:val="20"/>
        </w:rPr>
        <w:outlineLvl w:val="2"/>
      </w:pPr>
      <w:r>
        <w:rPr>
          <w:color w:val="000000"/>
          <w:sz w:val="24"/>
          <w:szCs w:val="20"/>
        </w:rPr>
        <w:br w:type="page" w:clear="all"/>
      </w:r>
      <w:r>
        <w:rPr>
          <w:rFonts w:hint="eastAsia" w:ascii="宋体" w:hAnsi="宋体" w:cs="宋体"/>
          <w:b/>
          <w:bCs/>
          <w:color w:val="000000"/>
          <w:sz w:val="24"/>
        </w:rPr>
        <w:t xml:space="preserve">9  中小企业声明函</w:t>
      </w:r>
      <w:r/>
    </w:p>
    <w:p>
      <w:pPr>
        <w:spacing w:line="360" w:lineRule="auto"/>
        <w:tabs>
          <w:tab w:val="left" w:pos="5580" w:leader="none"/>
        </w:tabs>
        <w:rPr>
          <w:color w:val="000000"/>
          <w:sz w:val="24"/>
        </w:rPr>
      </w:pPr>
      <w:r>
        <w:rPr>
          <w:rFonts w:hint="eastAsia"/>
          <w:color w:val="000000"/>
          <w:sz w:val="24"/>
        </w:rPr>
        <w:t xml:space="preserve">说明：</w:t>
      </w:r>
      <w:r/>
    </w:p>
    <w:p>
      <w:pPr>
        <w:spacing w:line="360" w:lineRule="auto"/>
        <w:tabs>
          <w:tab w:val="left" w:pos="5580" w:leader="none"/>
        </w:tabs>
        <w:rPr>
          <w:color w:val="000000"/>
          <w:sz w:val="24"/>
        </w:rPr>
      </w:pPr>
      <w:r>
        <w:rPr>
          <w:rFonts w:hint="eastAsia"/>
          <w:color w:val="000000"/>
          <w:sz w:val="24"/>
        </w:rPr>
        <w:t xml:space="preserve">1</w:t>
      </w:r>
      <w:r>
        <w:rPr>
          <w:rFonts w:hint="eastAsia"/>
          <w:color w:val="000000"/>
          <w:sz w:val="24"/>
        </w:rPr>
        <w:t xml:space="preserve">）投标人如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000000"/>
          <w:sz w:val="24"/>
        </w:rPr>
      </w:pPr>
      <w:r>
        <w:rPr>
          <w:rFonts w:hint="eastAsia"/>
          <w:color w:val="000000"/>
          <w:sz w:val="24"/>
        </w:rPr>
        <w:t xml:space="preserve">2</w:t>
      </w:r>
      <w:r>
        <w:rPr>
          <w:rFonts w:hint="eastAsia"/>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sz w:val="24"/>
        </w:rPr>
      </w:pPr>
      <w:r>
        <w:rPr>
          <w:rFonts w:hint="eastAsia"/>
          <w:color w:val="000000"/>
          <w:sz w:val="24"/>
        </w:rPr>
        <w:t xml:space="preserve">3</w:t>
      </w:r>
      <w:r>
        <w:rPr>
          <w:rFonts w:hint="eastAsia"/>
          <w:color w:val="000000"/>
          <w:sz w:val="24"/>
        </w:rPr>
        <w:t xml:space="preserve">）对于多标的的采购项目，投标人应充分、准确地了解所投产品制造企业信息。对相关情况了解不清楚的，不建议填报本声明函。</w:t>
      </w:r>
      <w:r/>
    </w:p>
    <w:p>
      <w:pPr>
        <w:spacing w:line="360" w:lineRule="auto"/>
        <w:tabs>
          <w:tab w:val="left" w:pos="5580" w:leader="none"/>
        </w:tabs>
        <w:rPr>
          <w:color w:val="000000"/>
          <w:sz w:val="24"/>
        </w:rPr>
      </w:pPr>
      <w:r>
        <w:rPr>
          <w:rFonts w:hint="eastAsia"/>
          <w:color w:val="000000"/>
          <w:sz w:val="24"/>
        </w:rPr>
        <w:t xml:space="preserve">4</w:t>
      </w:r>
      <w:r>
        <w:rPr>
          <w:rFonts w:hint="eastAsia"/>
          <w:color w:val="000000"/>
          <w:sz w:val="24"/>
        </w:rPr>
        <w:t xml:space="preserve">）中小企业认定标准以《关于印发中小企业划型标准规定的通知》（工信部联企业〔</w:t>
      </w:r>
      <w:r>
        <w:rPr>
          <w:rFonts w:hint="eastAsia"/>
          <w:color w:val="000000"/>
          <w:sz w:val="24"/>
        </w:rPr>
        <w:t xml:space="preserve">2011</w:t>
      </w:r>
      <w:r>
        <w:rPr>
          <w:rFonts w:hint="eastAsia"/>
          <w:color w:val="000000"/>
          <w:sz w:val="24"/>
        </w:rPr>
        <w:t xml:space="preserve">〕</w:t>
      </w:r>
      <w:r>
        <w:rPr>
          <w:rFonts w:hint="eastAsia"/>
          <w:color w:val="000000"/>
          <w:sz w:val="24"/>
        </w:rPr>
        <w:t xml:space="preserve">300</w:t>
      </w:r>
      <w:r>
        <w:rPr>
          <w:rFonts w:hint="eastAsia"/>
          <w:color w:val="000000"/>
          <w:sz w:val="24"/>
        </w:rPr>
        <w:t xml:space="preserve">号）文件规定为准。</w:t>
      </w:r>
      <w:r/>
    </w:p>
    <w:p>
      <w:pPr>
        <w:spacing w:line="360" w:lineRule="auto"/>
        <w:tabs>
          <w:tab w:val="left" w:pos="5580" w:leader="none"/>
        </w:tabs>
        <w:rPr>
          <w:color w:val="000000"/>
          <w:sz w:val="24"/>
        </w:rPr>
      </w:pPr>
      <w:r>
        <w:rPr>
          <w:rFonts w:hint="eastAsia"/>
          <w:color w:val="000000"/>
          <w:sz w:val="24"/>
        </w:rPr>
        <w:t xml:space="preserve">5</w:t>
      </w:r>
      <w:r>
        <w:rPr>
          <w:rFonts w:hint="eastAsia"/>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9" w:tooltip="http://202.106.120.146/baosong/appweb/orgScale.html" w:history="1">
        <w:r>
          <w:rPr>
            <w:rStyle w:val="895"/>
            <w:color w:val="000000"/>
            <w:sz w:val="24"/>
          </w:rPr>
          <w:t xml:space="preserve">http://202.106.120.146/baosong/appweb/orgScale.html</w:t>
        </w:r>
      </w:hyperlink>
      <w:r>
        <w:rPr>
          <w:rFonts w:hint="eastAsia"/>
          <w:color w:val="000000"/>
          <w:sz w:val="24"/>
        </w:rPr>
        <w:t xml:space="preserve">）</w:t>
      </w:r>
      <w:r/>
    </w:p>
    <w:p>
      <w:pPr>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hint="eastAsia"/>
          <w:color w:val="000000"/>
          <w:sz w:val="24"/>
        </w:rPr>
        <w:t xml:space="preserve">）</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p>
    <w:p>
      <w:pPr>
        <w:spacing w:line="360" w:lineRule="auto"/>
        <w:tabs>
          <w:tab w:val="left" w:pos="5580" w:leader="none"/>
        </w:tabs>
        <w:rPr>
          <w:rFonts w:hint="eastAsia" w:ascii="宋体" w:hAnsi="宋体"/>
          <w:b/>
          <w:color w:val="000000"/>
          <w:sz w:val="24"/>
        </w:rPr>
      </w:pPr>
      <w:r>
        <w:rPr>
          <w:rFonts w:hint="eastAsia" w:ascii="宋体" w:hAnsi="宋体"/>
          <w:b/>
          <w:color w:val="000000"/>
          <w:sz w:val="24"/>
        </w:rPr>
        <w:t xml:space="preserve">7）小微企业未提供声明函的，价格分评审将不予价格扣除。</w:t>
      </w:r>
      <w:r/>
    </w:p>
    <w:p>
      <w:pPr>
        <w:spacing w:line="400" w:lineRule="exact"/>
        <w:rPr>
          <w:color w:val="000000"/>
          <w:sz w:val="24"/>
          <w:szCs w:val="20"/>
        </w:rPr>
      </w:pPr>
      <w:r>
        <w:rPr>
          <w:color w:val="000000"/>
          <w:sz w:val="24"/>
          <w:szCs w:val="20"/>
        </w:rPr>
      </w:r>
      <w:r/>
    </w:p>
    <w:p>
      <w:pPr>
        <w:jc w:val="center"/>
        <w:spacing w:before="240" w:after="240" w:line="360" w:lineRule="auto"/>
        <w:rPr>
          <w:b/>
          <w:color w:val="000000"/>
          <w:sz w:val="36"/>
          <w:szCs w:val="36"/>
        </w:rPr>
      </w:pPr>
      <w:r>
        <w:rPr>
          <w:color w:val="000000"/>
          <w:sz w:val="24"/>
          <w:szCs w:val="20"/>
        </w:rPr>
        <w:br w:type="page" w:clear="all"/>
      </w:r>
      <w:r>
        <w:rPr>
          <w:rFonts w:hint="eastAsia"/>
          <w:b/>
          <w:bCs/>
          <w:color w:val="000000"/>
          <w:sz w:val="32"/>
          <w:szCs w:val="32"/>
        </w:rPr>
        <w:t xml:space="preserve">中小企业声明函（货物）格式</w:t>
      </w:r>
      <w:r/>
    </w:p>
    <w:p>
      <w:pPr>
        <w:ind w:firstLine="505"/>
        <w:spacing w:line="400" w:lineRule="exact"/>
        <w:rPr>
          <w:color w:val="000000"/>
          <w:spacing w:val="6"/>
          <w:sz w:val="24"/>
        </w:rPr>
      </w:pPr>
      <w:r>
        <w:rPr>
          <w:color w:val="000000"/>
          <w:spacing w:val="6"/>
          <w:sz w:val="24"/>
        </w:rPr>
        <w:t xml:space="preserve">本公司（联合体）郑重声明，根据《政府采购促进中小企业发展管理办法》（财库﹝</w:t>
      </w:r>
      <w:r>
        <w:rPr>
          <w:color w:val="000000"/>
          <w:spacing w:val="6"/>
          <w:sz w:val="24"/>
        </w:rPr>
        <w:t xml:space="preserve">2020</w:t>
      </w:r>
      <w:r>
        <w:rPr>
          <w:color w:val="000000"/>
          <w:spacing w:val="6"/>
          <w:sz w:val="24"/>
        </w:rPr>
        <w:t xml:space="preserve">﹞</w:t>
      </w:r>
      <w:r>
        <w:rPr>
          <w:color w:val="000000"/>
          <w:spacing w:val="6"/>
          <w:sz w:val="24"/>
        </w:rPr>
        <w:t xml:space="preserve">46 </w:t>
      </w:r>
      <w:r>
        <w:rPr>
          <w:color w:val="000000"/>
          <w:spacing w:val="6"/>
          <w:sz w:val="24"/>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firstLine="505"/>
        <w:spacing w:line="400" w:lineRule="exact"/>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w:t>
      </w:r>
      <w:r>
        <w:rPr>
          <w:rFonts w:hint="eastAsia"/>
          <w:color w:val="000000"/>
          <w:spacing w:val="6"/>
          <w:sz w:val="24"/>
          <w:u w:val="single"/>
        </w:rPr>
        <w:t xml:space="preserve">工业</w:t>
      </w:r>
      <w:r>
        <w:rPr>
          <w:color w:val="000000"/>
          <w:spacing w:val="6"/>
          <w:sz w:val="24"/>
          <w:u w:val="single"/>
        </w:rPr>
        <w:t xml:space="preserve">）</w:t>
      </w:r>
      <w:r>
        <w:rPr>
          <w:color w:val="000000"/>
          <w:spacing w:val="6"/>
          <w:sz w:val="24"/>
        </w:rPr>
        <w:t xml:space="preserve">行业；制造商为</w:t>
      </w:r>
      <w:r>
        <w:rPr>
          <w:color w:val="000000"/>
          <w:spacing w:val="6"/>
          <w:sz w:val="24"/>
          <w:u w:val="single"/>
        </w:rPr>
        <w:t xml:space="preserve">（企业名称）</w:t>
      </w:r>
      <w:r>
        <w:rPr>
          <w:color w:val="000000"/>
          <w:spacing w:val="6"/>
          <w:sz w:val="24"/>
        </w:rPr>
        <w:t xml:space="preserve">，从业人员</w:t>
      </w:r>
      <w:r>
        <w:rPr>
          <w:color w:val="000000"/>
          <w:spacing w:val="6"/>
          <w:sz w:val="24"/>
        </w:rPr>
        <w:t xml:space="preserve">______</w:t>
      </w:r>
      <w:r>
        <w:rPr>
          <w:color w:val="000000"/>
          <w:spacing w:val="6"/>
          <w:sz w:val="24"/>
        </w:rPr>
        <w:t xml:space="preserve">人，营业收入为</w:t>
      </w:r>
      <w:r>
        <w:rPr>
          <w:color w:val="000000"/>
          <w:spacing w:val="6"/>
          <w:sz w:val="24"/>
        </w:rPr>
        <w:t xml:space="preserve">______</w:t>
      </w:r>
      <w:r>
        <w:rPr>
          <w:color w:val="000000"/>
          <w:spacing w:val="6"/>
          <w:sz w:val="24"/>
        </w:rPr>
        <w:t xml:space="preserve">万元，资产总额为</w:t>
      </w:r>
      <w:r>
        <w:rPr>
          <w:color w:val="000000"/>
          <w:spacing w:val="6"/>
          <w:sz w:val="24"/>
        </w:rPr>
        <w:t xml:space="preserve">______</w:t>
      </w:r>
      <w:r>
        <w:rPr>
          <w:color w:val="000000"/>
          <w:spacing w:val="6"/>
          <w:sz w:val="24"/>
        </w:rPr>
        <w:t xml:space="preserve">万元</w:t>
      </w:r>
      <w:r>
        <w:rPr>
          <w:color w:val="000000"/>
          <w:spacing w:val="6"/>
          <w:sz w:val="24"/>
          <w:vertAlign w:val="superscript"/>
        </w:rPr>
        <w:t xml:space="preserve">1</w:t>
      </w:r>
      <w:r>
        <w:rPr>
          <w:color w:val="000000"/>
          <w:spacing w:val="6"/>
          <w:sz w:val="24"/>
        </w:rPr>
        <w:t xml:space="preserve">，属于（中型企业、小型企业、微型企业）；</w:t>
      </w:r>
      <w:r/>
    </w:p>
    <w:p>
      <w:pPr>
        <w:ind w:firstLine="505"/>
        <w:spacing w:line="400" w:lineRule="exact"/>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w:t>
      </w:r>
      <w:r>
        <w:rPr>
          <w:rFonts w:hint="eastAsia"/>
          <w:color w:val="000000"/>
          <w:spacing w:val="6"/>
          <w:sz w:val="24"/>
          <w:u w:val="single"/>
        </w:rPr>
        <w:t xml:space="preserve">工业</w:t>
      </w:r>
      <w:r>
        <w:rPr>
          <w:color w:val="000000"/>
          <w:spacing w:val="6"/>
          <w:sz w:val="24"/>
          <w:u w:val="single"/>
        </w:rPr>
        <w:t xml:space="preserve">）</w:t>
      </w:r>
      <w:r>
        <w:rPr>
          <w:color w:val="000000"/>
          <w:spacing w:val="6"/>
          <w:sz w:val="24"/>
        </w:rPr>
        <w:t xml:space="preserve">行业；制造商为</w:t>
      </w:r>
      <w:r>
        <w:rPr>
          <w:color w:val="000000"/>
          <w:spacing w:val="6"/>
          <w:sz w:val="24"/>
          <w:u w:val="single"/>
        </w:rPr>
        <w:t xml:space="preserve">（企业名称）</w:t>
      </w:r>
      <w:r>
        <w:rPr>
          <w:color w:val="000000"/>
          <w:spacing w:val="6"/>
          <w:sz w:val="24"/>
        </w:rPr>
        <w:t xml:space="preserve">，从业人员</w:t>
      </w:r>
      <w:r>
        <w:rPr>
          <w:color w:val="000000"/>
          <w:spacing w:val="6"/>
          <w:sz w:val="24"/>
        </w:rPr>
        <w:t xml:space="preserve">______</w:t>
      </w:r>
      <w:r>
        <w:rPr>
          <w:color w:val="000000"/>
          <w:spacing w:val="6"/>
          <w:sz w:val="24"/>
        </w:rPr>
        <w:t xml:space="preserve">人，营业收入为</w:t>
      </w:r>
      <w:r>
        <w:rPr>
          <w:color w:val="000000"/>
          <w:spacing w:val="6"/>
          <w:sz w:val="24"/>
        </w:rPr>
        <w:t xml:space="preserve">______</w:t>
      </w:r>
      <w:r>
        <w:rPr>
          <w:color w:val="000000"/>
          <w:spacing w:val="6"/>
          <w:sz w:val="24"/>
        </w:rPr>
        <w:t xml:space="preserve">万元，资产总额为</w:t>
      </w:r>
      <w:r>
        <w:rPr>
          <w:color w:val="000000"/>
          <w:spacing w:val="6"/>
          <w:sz w:val="24"/>
        </w:rPr>
        <w:t xml:space="preserve">______</w:t>
      </w:r>
      <w:r>
        <w:rPr>
          <w:color w:val="000000"/>
          <w:spacing w:val="6"/>
          <w:sz w:val="24"/>
        </w:rPr>
        <w:t xml:space="preserve">万元，属于</w:t>
      </w:r>
      <w:r>
        <w:rPr>
          <w:color w:val="000000"/>
          <w:spacing w:val="6"/>
          <w:sz w:val="24"/>
          <w:u w:val="single"/>
        </w:rPr>
        <w:t xml:space="preserve">（中型企业、小型企业、微型企业）</w:t>
      </w:r>
      <w:r>
        <w:rPr>
          <w:color w:val="000000"/>
          <w:spacing w:val="6"/>
          <w:sz w:val="24"/>
        </w:rPr>
        <w:t xml:space="preserve">；</w:t>
      </w:r>
      <w:r/>
    </w:p>
    <w:p>
      <w:pPr>
        <w:ind w:firstLine="505"/>
        <w:spacing w:line="400" w:lineRule="exact"/>
        <w:rPr>
          <w:color w:val="000000"/>
          <w:spacing w:val="6"/>
          <w:sz w:val="24"/>
        </w:rPr>
      </w:pPr>
      <w:r>
        <w:rPr>
          <w:color w:val="000000"/>
          <w:spacing w:val="6"/>
          <w:sz w:val="24"/>
        </w:rPr>
        <w:t xml:space="preserve">……</w:t>
      </w:r>
      <w:r/>
    </w:p>
    <w:p>
      <w:pPr>
        <w:ind w:firstLine="505"/>
        <w:spacing w:line="400" w:lineRule="exact"/>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p>
    <w:p>
      <w:pPr>
        <w:ind w:firstLine="505"/>
        <w:spacing w:line="400" w:lineRule="exact"/>
        <w:rPr>
          <w:color w:val="000000"/>
          <w:spacing w:val="6"/>
          <w:sz w:val="24"/>
        </w:rPr>
      </w:pPr>
      <w:r>
        <w:rPr>
          <w:color w:val="000000"/>
          <w:spacing w:val="6"/>
          <w:sz w:val="24"/>
        </w:rPr>
        <w:t xml:space="preserve">本企业对上述声明内容的真实性负责。如有虚假，将依法承担相应责任。</w:t>
      </w:r>
      <w:r/>
    </w:p>
    <w:p>
      <w:pPr>
        <w:ind w:firstLine="504"/>
        <w:spacing w:line="360" w:lineRule="auto"/>
        <w:rPr>
          <w:color w:val="000000"/>
          <w:spacing w:val="6"/>
          <w:sz w:val="24"/>
        </w:rPr>
      </w:pPr>
      <w:r>
        <w:rPr>
          <w:color w:val="000000"/>
          <w:spacing w:val="6"/>
          <w:sz w:val="24"/>
        </w:rPr>
      </w:r>
      <w:r/>
    </w:p>
    <w:p>
      <w:pPr>
        <w:ind w:right="363" w:firstLine="482"/>
        <w:jc w:val="right"/>
        <w:spacing w:line="400" w:lineRule="exact"/>
        <w:rPr>
          <w:color w:val="000000"/>
          <w:sz w:val="24"/>
        </w:rPr>
      </w:pPr>
      <w:r>
        <w:rPr>
          <w:color w:val="000000"/>
          <w:sz w:val="24"/>
        </w:rPr>
        <w:t xml:space="preserve">企业名称（加盖公章）：</w:t>
      </w:r>
      <w:r>
        <w:rPr>
          <w:color w:val="000000"/>
          <w:sz w:val="24"/>
        </w:rPr>
        <w:t xml:space="preserve">________</w:t>
      </w:r>
      <w:r/>
    </w:p>
    <w:p>
      <w:pPr>
        <w:ind w:right="363" w:firstLine="482"/>
        <w:jc w:val="right"/>
        <w:spacing w:line="400" w:lineRule="exact"/>
        <w:rPr>
          <w:color w:val="000000"/>
          <w:sz w:val="24"/>
        </w:rPr>
      </w:pPr>
      <w:r>
        <w:rPr>
          <w:color w:val="000000"/>
          <w:sz w:val="24"/>
        </w:rPr>
        <w:t xml:space="preserve">日</w:t>
      </w:r>
      <w:r>
        <w:rPr>
          <w:color w:val="000000"/>
          <w:sz w:val="24"/>
        </w:rPr>
        <w:t xml:space="preserve"> </w:t>
      </w:r>
      <w:r>
        <w:rPr>
          <w:color w:val="000000"/>
          <w:sz w:val="24"/>
        </w:rPr>
        <w:t xml:space="preserve">期：</w:t>
      </w:r>
      <w:r>
        <w:rPr>
          <w:color w:val="000000"/>
          <w:sz w:val="24"/>
        </w:rPr>
        <w:t xml:space="preserve">________</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color w:val="000000"/>
                <w:szCs w:val="21"/>
              </w:rPr>
            </w:pPr>
            <w:r>
              <w:rPr>
                <w:rFonts w:hint="eastAsia" w:ascii="宋体" w:hAnsi="宋体" w:cs="宋体"/>
                <w:color w:val="000000"/>
                <w:sz w:val="24"/>
                <w:vertAlign w:val="superscript"/>
              </w:rPr>
              <w:t xml:space="preserve">1</w:t>
            </w:r>
            <w:r>
              <w:rPr>
                <w:rFonts w:hint="eastAsia" w:ascii="宋体" w:hAnsi="宋体" w:cs="宋体"/>
                <w:color w:val="000000"/>
                <w:sz w:val="24"/>
              </w:rPr>
              <w:t xml:space="preserve">从业人员、营业收入、资产总额填报上一年度数据，无上一年度数据的新成立企业可不填报。</w:t>
            </w:r>
            <w:r/>
          </w:p>
        </w:tc>
      </w:tr>
    </w:tbl>
    <w:p>
      <w:pPr>
        <w:ind w:firstLine="420"/>
        <w:jc w:val="left"/>
        <w:rPr>
          <w:color w:val="000000"/>
          <w:sz w:val="24"/>
        </w:rPr>
      </w:pPr>
      <w:r>
        <w:rPr>
          <w:color w:val="000000"/>
          <w:sz w:val="24"/>
        </w:rPr>
      </w:r>
      <w:r/>
    </w:p>
    <w:p>
      <w:pPr>
        <w:spacing w:line="360" w:lineRule="auto"/>
        <w:rPr>
          <w:color w:val="000000"/>
          <w:sz w:val="24"/>
        </w:rPr>
      </w:pPr>
      <w:r>
        <w:rPr>
          <w:color w:val="000000"/>
          <w:sz w:val="24"/>
        </w:rPr>
      </w:r>
      <w:r/>
    </w:p>
    <w:p>
      <w:pPr>
        <w:jc w:val="center"/>
        <w:spacing w:line="360" w:lineRule="auto"/>
        <w:rPr>
          <w:b/>
          <w:color w:val="000000"/>
          <w:sz w:val="36"/>
          <w:szCs w:val="36"/>
        </w:rPr>
        <w:outlineLvl w:val="2"/>
      </w:pPr>
      <w:r>
        <w:rPr>
          <w:color w:val="000000"/>
          <w:sz w:val="24"/>
        </w:rPr>
        <w:br w:type="page" w:clear="all"/>
      </w:r>
      <w:r>
        <w:rPr>
          <w:rFonts w:hint="eastAsia"/>
          <w:b/>
          <w:bCs/>
          <w:color w:val="000000"/>
          <w:sz w:val="32"/>
          <w:szCs w:val="32"/>
        </w:rPr>
        <w:t xml:space="preserve">残疾人福利性单位声明函格式</w:t>
      </w:r>
      <w:r/>
    </w:p>
    <w:p>
      <w:pPr>
        <w:ind w:firstLine="504"/>
        <w:spacing w:line="400"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w:t>
      </w:r>
      <w:r>
        <w:rPr>
          <w:rFonts w:hint="eastAsia" w:ascii="宋体" w:hAnsi="宋体" w:cs="宋体"/>
          <w:b/>
          <w:color w:val="000000"/>
          <w:sz w:val="24"/>
        </w:rPr>
        <w:t xml:space="preserve">（请进行勾选）</w:t>
      </w:r>
      <w:r>
        <w:rPr>
          <w:rFonts w:hint="eastAsia" w:ascii="宋体" w:hAnsi="宋体" w:cs="宋体"/>
          <w:color w:val="000000"/>
          <w:spacing w:val="6"/>
          <w:sz w:val="24"/>
        </w:rPr>
        <w:t xml:space="preserve">：</w:t>
      </w:r>
      <w:r/>
    </w:p>
    <w:p>
      <w:pPr>
        <w:ind w:firstLine="482"/>
        <w:spacing w:line="400" w:lineRule="exact"/>
        <w:rPr>
          <w:rFonts w:hint="eastAsia" w:ascii="宋体" w:hAnsi="宋体" w:cs="宋体"/>
          <w:b/>
          <w:color w:val="000000"/>
          <w:spacing w:val="6"/>
          <w:sz w:val="24"/>
        </w:rPr>
      </w:pPr>
      <w:r>
        <w:rPr>
          <w:rFonts w:hint="eastAsia" w:ascii="宋体" w:hAnsi="宋体" w:cs="宋体"/>
          <w:b/>
          <w:color w:val="000000"/>
          <w:sz w:val="24"/>
        </w:rPr>
        <w:t xml:space="preserve">□</w:t>
      </w:r>
      <w:r>
        <w:rPr>
          <w:rFonts w:hint="eastAsia" w:ascii="宋体" w:hAnsi="宋体" w:cs="宋体"/>
          <w:b/>
          <w:color w:val="000000"/>
          <w:spacing w:val="6"/>
          <w:sz w:val="24"/>
        </w:rPr>
        <w:t xml:space="preserve">不属于符合条件的残疾人福利性单位。</w:t>
      </w:r>
      <w:r/>
    </w:p>
    <w:p>
      <w:pPr>
        <w:ind w:firstLine="482"/>
        <w:spacing w:line="400" w:lineRule="exact"/>
        <w:rPr>
          <w:rFonts w:hint="eastAsia" w:ascii="宋体" w:hAnsi="宋体" w:cs="宋体"/>
          <w:color w:val="000000"/>
          <w:spacing w:val="6"/>
          <w:sz w:val="24"/>
        </w:rPr>
      </w:pPr>
      <w:r>
        <w:rPr>
          <w:rFonts w:hint="eastAsia" w:ascii="宋体" w:hAnsi="宋体" w:cs="宋体"/>
          <w:b/>
          <w:color w:val="000000"/>
          <w:sz w:val="24"/>
        </w:rPr>
        <w:t xml:space="preserve">□</w:t>
      </w:r>
      <w:r>
        <w:rPr>
          <w:rFonts w:hint="eastAsia" w:ascii="宋体" w:hAnsi="宋体" w:cs="宋体"/>
          <w:b/>
          <w:color w:val="000000"/>
          <w:spacing w:val="6"/>
          <w:sz w:val="24"/>
        </w:rPr>
        <w:t xml:space="preserve">属于符合条件的残疾人福利性单位，</w:t>
      </w:r>
      <w:r>
        <w:rPr>
          <w:rFonts w:hint="eastAsia" w:ascii="宋体" w:hAnsi="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00" w:lineRule="exact"/>
        <w:rPr>
          <w:rFonts w:hint="eastAsia" w:ascii="宋体" w:hAnsi="宋体" w:cs="宋体"/>
          <w:color w:val="000000"/>
          <w:spacing w:val="6"/>
          <w:sz w:val="24"/>
        </w:rPr>
      </w:pPr>
      <w:r>
        <w:rPr>
          <w:rFonts w:hint="eastAsia" w:ascii="宋体" w:hAnsi="宋体" w:cs="宋体"/>
          <w:b/>
          <w:color w:val="000000"/>
          <w:spacing w:val="6"/>
          <w:sz w:val="24"/>
        </w:rPr>
        <w:t xml:space="preserve">本单位对上述声明的真实性负责。如有虚假，将依法承担相应责任。</w:t>
      </w:r>
      <w:r/>
    </w:p>
    <w:p>
      <w:pPr>
        <w:ind w:firstLine="504"/>
        <w:spacing w:line="40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40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504"/>
        <w:jc w:val="center"/>
        <w:spacing w:line="40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单位名称（加盖公章）：</w:t>
      </w:r>
      <w:r/>
    </w:p>
    <w:p>
      <w:pPr>
        <w:ind w:right="1560" w:firstLine="504"/>
        <w:jc w:val="center"/>
        <w:spacing w:line="40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rPr>
          <w:color w:val="000000"/>
        </w:rPr>
      </w:pPr>
      <w:r>
        <w:rPr>
          <w:color w:val="000000"/>
        </w:rPr>
      </w:r>
      <w:r/>
    </w:p>
    <w:p>
      <w:pPr>
        <w:spacing w:line="400" w:lineRule="exact"/>
        <w:rPr>
          <w:color w:val="000000"/>
          <w:sz w:val="24"/>
          <w:szCs w:val="20"/>
        </w:rPr>
      </w:pPr>
      <w:r>
        <w:rPr>
          <w:color w:val="000000"/>
          <w:sz w:val="24"/>
          <w:szCs w:val="20"/>
        </w:rPr>
      </w:r>
      <w:r/>
    </w:p>
    <w:p>
      <w:pPr>
        <w:spacing w:line="400" w:lineRule="exact"/>
        <w:rPr>
          <w:color w:val="000000"/>
          <w:sz w:val="24"/>
          <w:szCs w:val="20"/>
        </w:rPr>
      </w:pPr>
      <w:r>
        <w:rPr>
          <w:color w:val="000000"/>
          <w:sz w:val="24"/>
          <w:szCs w:val="20"/>
        </w:rPr>
      </w:r>
      <w:r/>
    </w:p>
    <w:p>
      <w:pPr>
        <w:spacing w:line="360" w:lineRule="auto"/>
        <w:rPr>
          <w:rFonts w:hint="eastAsia" w:ascii="宋体" w:hAnsi="宋体" w:cs="宋体"/>
          <w:b/>
          <w:bCs/>
          <w:color w:val="000000"/>
          <w:sz w:val="24"/>
          <w:szCs w:val="20"/>
        </w:rPr>
        <w:outlineLvl w:val="2"/>
      </w:pPr>
      <w:r>
        <w:rPr>
          <w:color w:val="000000"/>
          <w:sz w:val="24"/>
          <w:szCs w:val="20"/>
        </w:rPr>
        <w:br w:type="page" w:clear="all"/>
      </w:r>
      <w:r>
        <w:rPr>
          <w:rFonts w:hint="eastAsia" w:ascii="宋体" w:hAnsi="宋体" w:cs="宋体"/>
          <w:b/>
          <w:bCs/>
          <w:color w:val="000000"/>
          <w:sz w:val="24"/>
          <w:szCs w:val="20"/>
        </w:rPr>
        <w:t xml:space="preserve">10  关于符合本国产品标准的声明函</w:t>
      </w:r>
      <w:r/>
    </w:p>
    <w:p>
      <w:pPr>
        <w:pStyle w:val="885"/>
        <w:ind w:firstLine="420"/>
        <w:jc w:val="center"/>
        <w:spacing w:before="0" w:beforeAutospacing="0" w:after="0" w:afterAutospacing="0" w:line="0" w:lineRule="atLeast"/>
        <w:rPr>
          <w:rFonts w:hint="eastAsia"/>
          <w:b/>
          <w:bCs/>
          <w:color w:val="000000"/>
          <w:sz w:val="32"/>
          <w:szCs w:val="32"/>
        </w:rPr>
      </w:pPr>
      <w:r>
        <w:rPr>
          <w:rFonts w:hint="eastAsia"/>
          <w:b/>
          <w:bCs/>
          <w:color w:val="000000"/>
          <w:sz w:val="32"/>
          <w:szCs w:val="32"/>
        </w:rPr>
        <w:t xml:space="preserve">关于符合本国产品标准的声明函</w:t>
      </w:r>
      <w:r/>
    </w:p>
    <w:p>
      <w:pPr>
        <w:pStyle w:val="885"/>
        <w:ind w:firstLine="420"/>
        <w:spacing w:before="0" w:beforeAutospacing="0" w:after="0" w:afterAutospacing="0" w:line="0" w:lineRule="atLeast"/>
        <w:rPr>
          <w:rFonts w:hint="eastAsia"/>
          <w:color w:val="000000"/>
        </w:rPr>
      </w:pPr>
      <w:r>
        <w:rPr>
          <w:rFonts w:hint="eastAsia"/>
          <w:color w:val="000000"/>
        </w:rPr>
      </w:r>
      <w:r/>
    </w:p>
    <w:p>
      <w:pPr>
        <w:ind w:firstLine="420"/>
        <w:jc w:val="left"/>
        <w:spacing w:line="360" w:lineRule="auto"/>
        <w:widowControl/>
        <w:rPr>
          <w:rFonts w:hint="eastAsia" w:ascii="宋体" w:hAnsi="宋体" w:cs="方正魏碑_GBK"/>
          <w:color w:val="000000"/>
          <w:sz w:val="24"/>
        </w:rPr>
      </w:pPr>
      <w:r>
        <w:rPr>
          <w:rFonts w:ascii="宋体" w:hAnsi="宋体" w:cs="方正魏碑_GBK"/>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1.</w:t>
      </w:r>
      <w:r>
        <w:rPr>
          <w:rFonts w:ascii="宋体" w:hAnsi="宋体" w:cs="方正魏碑_GBK"/>
          <w:color w:val="000000"/>
          <w:sz w:val="24"/>
          <w:u w:val="single"/>
          <w:shd w:val="clear" w:color="auto" w:fill="ffffff"/>
        </w:rPr>
        <w:t xml:space="preserve">（产品名称1）</w:t>
      </w:r>
      <w:r>
        <w:rPr>
          <w:rFonts w:ascii="宋体" w:hAnsi="宋体" w:cs="方正魏碑_GBK"/>
          <w:color w:val="000000"/>
          <w:sz w:val="24"/>
          <w:shd w:val="clear" w:color="auto" w:fill="ffffff"/>
          <w:vertAlign w:val="superscript"/>
        </w:rPr>
        <w:t xml:space="preserve">1</w:t>
      </w:r>
      <w:r>
        <w:rPr>
          <w:rFonts w:ascii="宋体" w:hAnsi="宋体" w:cs="方正魏碑_GBK"/>
          <w:color w:val="000000"/>
          <w:sz w:val="24"/>
          <w:shd w:val="clear" w:color="auto" w:fill="ffffff"/>
        </w:rPr>
        <w:t xml:space="preserve">，生产厂为</w:t>
      </w:r>
      <w:r>
        <w:rPr>
          <w:rFonts w:ascii="宋体" w:hAnsi="宋体" w:cs="方正魏碑_GBK"/>
          <w:color w:val="000000"/>
          <w:sz w:val="24"/>
          <w:u w:val="single"/>
          <w:shd w:val="clear" w:color="auto" w:fill="ffffff"/>
        </w:rPr>
        <w:t xml:space="preserve">（厂名）</w:t>
      </w:r>
      <w:r>
        <w:rPr>
          <w:rFonts w:ascii="宋体" w:hAnsi="宋体" w:cs="方正魏碑_GBK"/>
          <w:color w:val="000000"/>
          <w:sz w:val="24"/>
          <w:shd w:val="clear" w:color="auto" w:fill="ffffff"/>
          <w:vertAlign w:val="superscript"/>
        </w:rPr>
        <w:t xml:space="preserve">2</w:t>
      </w:r>
      <w:r>
        <w:rPr>
          <w:rFonts w:ascii="宋体" w:hAnsi="宋体" w:cs="方正魏碑_GBK"/>
          <w:color w:val="000000"/>
          <w:sz w:val="24"/>
          <w:shd w:val="clear" w:color="auto" w:fill="ffffff"/>
        </w:rPr>
        <w:t xml:space="preserve">，厂址为</w:t>
      </w:r>
      <w:r>
        <w:rPr>
          <w:rFonts w:ascii="宋体" w:hAnsi="宋体" w:cs="方正魏碑_GBK"/>
          <w:color w:val="000000"/>
          <w:sz w:val="24"/>
          <w:u w:val="single"/>
          <w:shd w:val="clear" w:color="auto" w:fill="ffffff"/>
        </w:rPr>
        <w:t xml:space="preserve">（生产厂址）</w:t>
      </w:r>
      <w:r>
        <w:rPr>
          <w:rFonts w:ascii="宋体" w:hAnsi="宋体" w:cs="方正魏碑_GBK"/>
          <w:color w:val="000000"/>
          <w:sz w:val="24"/>
          <w:shd w:val="clear" w:color="auto" w:fill="ffffff"/>
        </w:rPr>
        <w:t xml:space="preserve">。</w:t>
      </w:r>
      <w:r>
        <w:rPr>
          <w:rFonts w:ascii="宋体" w:hAnsi="宋体" w:cs="方正魏碑_GBK"/>
          <w:color w:val="000000"/>
          <w:sz w:val="24"/>
          <w:u w:val="single"/>
          <w:shd w:val="clear" w:color="auto" w:fill="ffffff"/>
        </w:rPr>
        <w:t xml:space="preserve"> （产品名称1） </w:t>
      </w:r>
      <w:r>
        <w:rPr>
          <w:rFonts w:ascii="宋体" w:hAnsi="宋体" w:cs="方正魏碑_GBK"/>
          <w:color w:val="000000"/>
          <w:sz w:val="24"/>
          <w:shd w:val="clear" w:color="auto" w:fill="ffffff"/>
        </w:rPr>
        <w:t xml:space="preserve">的中国境内生产的组件成本占比≥</w:t>
      </w:r>
      <w:r>
        <w:rPr>
          <w:rFonts w:ascii="宋体" w:hAnsi="宋体" w:cs="方正魏碑_GBK"/>
          <w:color w:val="000000"/>
          <w:sz w:val="24"/>
          <w:u w:val="single"/>
          <w:shd w:val="clear" w:color="auto" w:fill="ffffff"/>
        </w:rPr>
        <w:t xml:space="preserve">（规定比例）</w:t>
      </w:r>
      <w:r>
        <w:rPr>
          <w:rFonts w:ascii="宋体" w:hAnsi="宋体" w:cs="方正魏碑_GBK"/>
          <w:color w:val="000000"/>
          <w:sz w:val="24"/>
          <w:shd w:val="clear" w:color="auto" w:fill="ffffff"/>
          <w:vertAlign w:val="superscript"/>
        </w:rPr>
        <w:t xml:space="preserve">3</w:t>
      </w:r>
      <w:r>
        <w:rPr>
          <w:rFonts w:ascii="宋体" w:hAnsi="宋体" w:cs="方正魏碑_GBK"/>
          <w:color w:val="000000"/>
          <w:sz w:val="24"/>
          <w:shd w:val="clear" w:color="auto" w:fill="ffffff"/>
        </w:rPr>
        <w:t xml:space="preserve">。</w:t>
      </w:r>
      <w:r>
        <w:rPr>
          <w:rFonts w:ascii="宋体" w:hAnsi="宋体" w:cs="方正魏碑_GBK"/>
          <w:color w:val="000000"/>
          <w:sz w:val="24"/>
          <w:u w:val="single"/>
          <w:shd w:val="clear" w:color="auto" w:fill="ffffff"/>
        </w:rPr>
        <w:t xml:space="preserve">（产品名称1）</w:t>
      </w:r>
      <w:r>
        <w:rPr>
          <w:rFonts w:ascii="宋体" w:hAnsi="宋体" w:cs="方正魏碑_GBK"/>
          <w:color w:val="000000"/>
          <w:sz w:val="24"/>
          <w:shd w:val="clear" w:color="auto" w:fill="ffffff"/>
        </w:rPr>
        <w:t xml:space="preserve">的</w:t>
      </w:r>
      <w:r>
        <w:rPr>
          <w:rFonts w:ascii="宋体" w:hAnsi="宋体" w:cs="方正魏碑_GBK"/>
          <w:color w:val="000000"/>
          <w:sz w:val="24"/>
          <w:u w:val="single"/>
          <w:shd w:val="clear" w:color="auto" w:fill="ffffff"/>
        </w:rPr>
        <w:t xml:space="preserve">（关键组件）</w:t>
      </w:r>
      <w:r>
        <w:rPr>
          <w:rFonts w:ascii="宋体" w:hAnsi="宋体" w:cs="方正魏碑_GBK"/>
          <w:color w:val="000000"/>
          <w:sz w:val="24"/>
          <w:shd w:val="clear" w:color="auto" w:fill="ffffff"/>
          <w:vertAlign w:val="superscript"/>
        </w:rPr>
        <w:t xml:space="preserve">4</w:t>
      </w:r>
      <w:r>
        <w:rPr>
          <w:rFonts w:ascii="宋体" w:hAnsi="宋体" w:cs="方正魏碑_GBK"/>
          <w:color w:val="000000"/>
          <w:sz w:val="24"/>
          <w:shd w:val="clear" w:color="auto" w:fill="ffffff"/>
        </w:rPr>
        <w:t xml:space="preserve">在中国境内生产。</w:t>
      </w:r>
      <w:r>
        <w:rPr>
          <w:rFonts w:ascii="宋体" w:hAnsi="宋体" w:cs="方正魏碑_GBK"/>
          <w:color w:val="000000"/>
          <w:sz w:val="24"/>
          <w:u w:val="single"/>
          <w:shd w:val="clear" w:color="auto" w:fill="ffffff"/>
        </w:rPr>
        <w:t xml:space="preserve">（产品名称1）</w:t>
      </w:r>
      <w:r>
        <w:rPr>
          <w:rFonts w:ascii="宋体" w:hAnsi="宋体" w:cs="方正魏碑_GBK"/>
          <w:color w:val="000000"/>
          <w:sz w:val="24"/>
          <w:shd w:val="clear" w:color="auto" w:fill="ffffff"/>
        </w:rPr>
        <w:t xml:space="preserve">的</w:t>
      </w:r>
      <w:r>
        <w:rPr>
          <w:rFonts w:ascii="宋体" w:hAnsi="宋体" w:cs="方正魏碑_GBK"/>
          <w:color w:val="000000"/>
          <w:sz w:val="24"/>
          <w:u w:val="single"/>
          <w:shd w:val="clear" w:color="auto" w:fill="ffffff"/>
        </w:rPr>
        <w:t xml:space="preserve">（关键工序）</w:t>
      </w:r>
      <w:r>
        <w:rPr>
          <w:rFonts w:ascii="宋体" w:hAnsi="宋体" w:cs="方正魏碑_GBK"/>
          <w:color w:val="000000"/>
          <w:sz w:val="24"/>
          <w:shd w:val="clear" w:color="auto" w:fill="ffffff"/>
          <w:vertAlign w:val="superscript"/>
        </w:rPr>
        <w:t xml:space="preserve">5</w:t>
      </w:r>
      <w:r>
        <w:rPr>
          <w:rFonts w:ascii="宋体" w:hAnsi="宋体" w:cs="方正魏碑_GBK"/>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2.</w:t>
      </w:r>
      <w:r>
        <w:rPr>
          <w:rFonts w:ascii="宋体" w:hAnsi="宋体" w:cs="方正魏碑_GBK"/>
          <w:color w:val="000000"/>
          <w:sz w:val="24"/>
          <w:u w:val="single"/>
          <w:shd w:val="clear" w:color="auto" w:fill="ffffff"/>
        </w:rPr>
        <w:t xml:space="preserve">（产品名称2）</w:t>
      </w:r>
      <w:r>
        <w:rPr>
          <w:rFonts w:ascii="宋体" w:hAnsi="宋体" w:cs="方正魏碑_GBK"/>
          <w:color w:val="000000"/>
          <w:sz w:val="24"/>
          <w:shd w:val="clear" w:color="auto" w:fill="ffffff"/>
        </w:rPr>
        <w:t xml:space="preserve">，生产厂为</w:t>
      </w:r>
      <w:r>
        <w:rPr>
          <w:rFonts w:ascii="宋体" w:hAnsi="宋体" w:cs="方正魏碑_GBK"/>
          <w:color w:val="000000"/>
          <w:sz w:val="24"/>
          <w:u w:val="single"/>
          <w:shd w:val="clear" w:color="auto" w:fill="ffffff"/>
        </w:rPr>
        <w:t xml:space="preserve">（厂名）</w:t>
      </w:r>
      <w:r>
        <w:rPr>
          <w:rFonts w:ascii="宋体" w:hAnsi="宋体" w:cs="方正魏碑_GBK"/>
          <w:color w:val="000000"/>
          <w:sz w:val="24"/>
          <w:shd w:val="clear" w:color="auto" w:fill="ffffff"/>
        </w:rPr>
        <w:t xml:space="preserve">，厂址为</w:t>
      </w:r>
      <w:r>
        <w:rPr>
          <w:rFonts w:ascii="宋体" w:hAnsi="宋体" w:cs="方正魏碑_GBK"/>
          <w:color w:val="000000"/>
          <w:sz w:val="24"/>
          <w:u w:val="single"/>
          <w:shd w:val="clear" w:color="auto" w:fill="ffffff"/>
        </w:rPr>
        <w:t xml:space="preserve">（生产厂址）</w:t>
      </w:r>
      <w:r>
        <w:rPr>
          <w:rFonts w:ascii="宋体" w:hAnsi="宋体" w:cs="方正魏碑_GBK"/>
          <w:color w:val="000000"/>
          <w:sz w:val="24"/>
          <w:shd w:val="clear" w:color="auto" w:fill="ffffff"/>
        </w:rPr>
        <w:t xml:space="preserve">。</w:t>
      </w:r>
      <w:r>
        <w:rPr>
          <w:rFonts w:ascii="宋体" w:hAnsi="宋体" w:cs="方正魏碑_GBK"/>
          <w:color w:val="000000"/>
          <w:sz w:val="24"/>
          <w:u w:val="single"/>
          <w:shd w:val="clear" w:color="auto" w:fill="ffffff"/>
        </w:rPr>
        <w:t xml:space="preserve">（产品名称2）</w:t>
      </w:r>
      <w:r>
        <w:rPr>
          <w:rFonts w:ascii="宋体" w:hAnsi="宋体" w:cs="方正魏碑_GBK"/>
          <w:color w:val="000000"/>
          <w:sz w:val="24"/>
          <w:shd w:val="clear" w:color="auto" w:fill="ffffff"/>
        </w:rPr>
        <w:t xml:space="preserve">的中国境内生产的组件成本占比≥</w:t>
      </w:r>
      <w:r>
        <w:rPr>
          <w:rFonts w:ascii="宋体" w:hAnsi="宋体" w:cs="方正魏碑_GBK"/>
          <w:color w:val="000000"/>
          <w:sz w:val="24"/>
          <w:u w:val="single"/>
          <w:shd w:val="clear" w:color="auto" w:fill="ffffff"/>
        </w:rPr>
        <w:t xml:space="preserve">（规定比例）</w:t>
      </w:r>
      <w:r>
        <w:rPr>
          <w:rFonts w:ascii="宋体" w:hAnsi="宋体" w:cs="方正魏碑_GBK"/>
          <w:color w:val="000000"/>
          <w:sz w:val="24"/>
          <w:shd w:val="clear" w:color="auto" w:fill="ffffff"/>
        </w:rPr>
        <w:t xml:space="preserve">。</w:t>
      </w:r>
      <w:r>
        <w:rPr>
          <w:rFonts w:ascii="宋体" w:hAnsi="宋体" w:cs="方正魏碑_GBK"/>
          <w:color w:val="000000"/>
          <w:sz w:val="24"/>
          <w:u w:val="single"/>
          <w:shd w:val="clear" w:color="auto" w:fill="ffffff"/>
        </w:rPr>
        <w:t xml:space="preserve">（产品名称2）</w:t>
      </w:r>
      <w:r>
        <w:rPr>
          <w:rFonts w:ascii="宋体" w:hAnsi="宋体" w:cs="方正魏碑_GBK"/>
          <w:color w:val="000000"/>
          <w:sz w:val="24"/>
          <w:shd w:val="clear" w:color="auto" w:fill="ffffff"/>
        </w:rPr>
        <w:t xml:space="preserve">的</w:t>
      </w:r>
      <w:r>
        <w:rPr>
          <w:rFonts w:ascii="宋体" w:hAnsi="宋体" w:cs="方正魏碑_GBK"/>
          <w:color w:val="000000"/>
          <w:sz w:val="24"/>
          <w:u w:val="single"/>
          <w:shd w:val="clear" w:color="auto" w:fill="ffffff"/>
        </w:rPr>
        <w:t xml:space="preserve">（关键组件）</w:t>
      </w:r>
      <w:r>
        <w:rPr>
          <w:rFonts w:ascii="宋体" w:hAnsi="宋体" w:cs="方正魏碑_GBK"/>
          <w:color w:val="000000"/>
          <w:sz w:val="24"/>
          <w:shd w:val="clear" w:color="auto" w:fill="ffffff"/>
        </w:rPr>
        <w:t xml:space="preserve">在中国境内生产。</w:t>
      </w:r>
      <w:r>
        <w:rPr>
          <w:rFonts w:ascii="宋体" w:hAnsi="宋体" w:cs="方正魏碑_GBK"/>
          <w:color w:val="000000"/>
          <w:sz w:val="24"/>
          <w:u w:val="single"/>
          <w:shd w:val="clear" w:color="auto" w:fill="ffffff"/>
        </w:rPr>
        <w:t xml:space="preserve">（产品名称2）</w:t>
      </w:r>
      <w:r>
        <w:rPr>
          <w:rFonts w:ascii="宋体" w:hAnsi="宋体" w:cs="方正魏碑_GBK"/>
          <w:color w:val="000000"/>
          <w:sz w:val="24"/>
          <w:shd w:val="clear" w:color="auto" w:fill="ffffff"/>
        </w:rPr>
        <w:t xml:space="preserve">的</w:t>
      </w:r>
      <w:r>
        <w:rPr>
          <w:rFonts w:ascii="宋体" w:hAnsi="宋体" w:cs="方正魏碑_GBK"/>
          <w:color w:val="000000"/>
          <w:sz w:val="24"/>
          <w:u w:val="single"/>
          <w:shd w:val="clear" w:color="auto" w:fill="ffffff"/>
        </w:rPr>
        <w:t xml:space="preserve">（关键工序）</w:t>
      </w:r>
      <w:r>
        <w:rPr>
          <w:rFonts w:ascii="宋体" w:hAnsi="宋体" w:cs="方正魏碑_GBK"/>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w:t>
      </w:r>
      <w:r/>
    </w:p>
    <w:p>
      <w:pPr>
        <w:ind w:firstLine="420"/>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方正魏碑_GBK"/>
          <w:color w:val="000000"/>
          <w:sz w:val="24"/>
        </w:rPr>
      </w:pPr>
      <w:r>
        <w:rPr>
          <w:rFonts w:hint="eastAsia" w:ascii="宋体" w:hAnsi="宋体" w:cs="方正魏碑_GBK"/>
          <w:color w:val="000000"/>
          <w:sz w:val="24"/>
        </w:rPr>
      </w:r>
      <w:r/>
    </w:p>
    <w:p>
      <w:pPr>
        <w:ind w:right="480" w:firstLine="3720"/>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公司（单位）名称（盖章）：　        </w:t>
      </w:r>
      <w:r/>
    </w:p>
    <w:p>
      <w:pPr>
        <w:jc w:val="center"/>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                                日期：　   年　  月　  日         </w:t>
      </w:r>
      <w:r/>
    </w:p>
    <w:p>
      <w:pPr>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__________________</w:t>
      </w:r>
      <w:r/>
    </w:p>
    <w:p>
      <w:pPr>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方正魏碑_GBK"/>
          <w:color w:val="000000"/>
          <w:sz w:val="24"/>
        </w:rPr>
      </w:pPr>
      <w:r>
        <w:rPr>
          <w:rFonts w:ascii="宋体" w:hAnsi="宋体" w:cs="方正魏碑_GBK"/>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方正魏碑_GBK"/>
          <w:color w:val="000000"/>
          <w:sz w:val="24"/>
          <w:shd w:val="clear" w:color="auto" w:fill="ffffff"/>
        </w:rPr>
      </w:pPr>
      <w:r>
        <w:rPr>
          <w:rFonts w:ascii="宋体" w:hAnsi="宋体" w:cs="方正魏碑_GBK"/>
          <w:color w:val="000000"/>
          <w:sz w:val="24"/>
          <w:shd w:val="clear" w:color="auto" w:fill="ffffff"/>
        </w:rPr>
        <w:t xml:space="preserve">5.该产品的关键工序要求实施前，“关键工序”栏可不填，下同。</w:t>
      </w:r>
      <w:r/>
    </w:p>
    <w:p>
      <w:pPr>
        <w:pStyle w:val="885"/>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rPr>
          <w:color w:val="000000"/>
          <w:sz w:val="24"/>
          <w:szCs w:val="20"/>
        </w:rPr>
      </w:pPr>
      <w:r>
        <w:rPr>
          <w:rFonts w:hint="eastAsia"/>
          <w:color w:val="000000"/>
        </w:rPr>
        <w:br w:type="page" w:clear="all"/>
      </w:r>
      <w:r>
        <w:rPr>
          <w:rFonts w:hint="eastAsia" w:ascii="宋体" w:hAnsi="宋体" w:cs="宋体"/>
          <w:b/>
          <w:bCs/>
          <w:color w:val="000000"/>
          <w:sz w:val="24"/>
          <w:szCs w:val="20"/>
        </w:rPr>
        <w:t xml:space="preserve">11  参加本项目人员一览表</w:t>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4995"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6"/>
        <w:gridCol w:w="928"/>
        <w:gridCol w:w="928"/>
        <w:gridCol w:w="928"/>
        <w:gridCol w:w="928"/>
        <w:gridCol w:w="928"/>
        <w:gridCol w:w="928"/>
        <w:gridCol w:w="928"/>
        <w:gridCol w:w="928"/>
        <w:gridCol w:w="928"/>
      </w:tblGrid>
      <w:tr>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rHeight w:val="397"/>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397"/>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397"/>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397"/>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397"/>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397"/>
        </w:trPr>
        <w:tc>
          <w:tcPr>
            <w:tcW w:w="49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500"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注：参加本项目人员须是投标人正式职工。</w:t>
      </w:r>
      <w:r/>
    </w:p>
    <w:p>
      <w:pPr>
        <w:spacing w:line="360" w:lineRule="auto"/>
        <w:rPr>
          <w:rFonts w:hint="eastAsia" w:ascii="宋体" w:hAnsi="宋体"/>
          <w:color w:val="000000"/>
          <w:sz w:val="24"/>
        </w:rPr>
      </w:pPr>
      <w:r>
        <w:rPr>
          <w:rFonts w:hint="eastAsia" w:ascii="宋体" w:hAnsi="宋体"/>
          <w:color w:val="000000"/>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rPr>
          <w:color w:val="000000"/>
          <w:sz w:val="22"/>
        </w:rPr>
      </w:pPr>
      <w:r>
        <w:rPr>
          <w:color w:val="000000"/>
          <w:sz w:val="22"/>
        </w:rPr>
        <w:br w:type="page" w:clear="all"/>
      </w:r>
      <w:bookmarkStart w:id="450" w:name="_Toc288738839"/>
      <w:r/>
      <w:bookmarkStart w:id="451" w:name="_Toc288738397"/>
      <w:r/>
      <w:r/>
    </w:p>
    <w:p>
      <w:pPr>
        <w:spacing w:line="360" w:lineRule="auto"/>
        <w:rPr>
          <w:rFonts w:hint="eastAsia" w:ascii="宋体" w:hAnsi="宋体" w:cs="宋体"/>
          <w:b/>
          <w:bCs/>
          <w:color w:val="000000"/>
          <w:sz w:val="24"/>
          <w:szCs w:val="20"/>
        </w:rPr>
        <w:outlineLvl w:val="2"/>
      </w:pPr>
      <w:r>
        <w:rPr>
          <w:rFonts w:hint="eastAsia" w:ascii="宋体" w:hAnsi="宋体" w:cs="宋体"/>
          <w:b/>
          <w:bCs/>
          <w:color w:val="000000"/>
          <w:sz w:val="24"/>
          <w:szCs w:val="20"/>
        </w:rPr>
        <w:t xml:space="preserve">12  相关业绩案例一览表</w:t>
      </w:r>
      <w:r/>
    </w:p>
    <w:p>
      <w:pPr>
        <w:rPr>
          <w:color w:val="000000"/>
          <w:sz w:val="24"/>
          <w:szCs w:val="20"/>
        </w:rPr>
      </w:pPr>
      <w:r>
        <w:rPr>
          <w:color w:val="000000"/>
          <w:sz w:val="24"/>
          <w:szCs w:val="20"/>
        </w:rPr>
      </w:r>
      <w:r/>
    </w:p>
    <w:p>
      <w:pPr>
        <w:jc w:val="center"/>
        <w:rPr>
          <w:rFonts w:hint="eastAsia" w:ascii="宋体" w:hAnsi="宋体"/>
          <w:b/>
          <w:color w:val="000000"/>
          <w:sz w:val="32"/>
          <w:szCs w:val="32"/>
        </w:rPr>
      </w:pPr>
      <w:r>
        <w:rPr>
          <w:rFonts w:hint="eastAsia" w:ascii="宋体" w:hAnsi="宋体"/>
          <w:b/>
          <w:color w:val="000000"/>
          <w:sz w:val="32"/>
          <w:szCs w:val="32"/>
        </w:rPr>
        <w:t xml:space="preserve">相关业绩案例一览表</w:t>
      </w:r>
      <w:bookmarkEnd w:id="450"/>
      <w:r/>
      <w:bookmarkEnd w:id="451"/>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4998" w:type="pct"/>
        <w:jc w:val="center"/>
        <w:tblLook w:val="04A0" w:firstRow="1" w:lastRow="0" w:firstColumn="1" w:lastColumn="0" w:noHBand="0" w:noVBand="1"/>
      </w:tblPr>
      <w:tblGrid>
        <w:gridCol w:w="1322"/>
        <w:gridCol w:w="1731"/>
        <w:gridCol w:w="1568"/>
        <w:gridCol w:w="1234"/>
        <w:gridCol w:w="1782"/>
        <w:gridCol w:w="1646"/>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ind w:hanging="523"/>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line="360" w:lineRule="auto"/>
        <w:rPr>
          <w:rFonts w:hint="eastAsia" w:ascii="宋体" w:hAnsi="宋体" w:cs="宋体"/>
          <w:b/>
          <w:bCs/>
          <w:color w:val="000000"/>
          <w:sz w:val="24"/>
          <w:szCs w:val="20"/>
        </w:rPr>
        <w:outlineLvl w:val="2"/>
      </w:pPr>
      <w:r>
        <w:rPr>
          <w:rFonts w:hint="eastAsia"/>
          <w:color w:val="000000"/>
          <w:szCs w:val="20"/>
        </w:rPr>
        <w:br w:type="column"/>
      </w:r>
      <w:r>
        <w:rPr>
          <w:rFonts w:hint="eastAsia" w:ascii="宋体" w:hAnsi="宋体" w:cs="宋体"/>
          <w:b/>
          <w:bCs/>
          <w:color w:val="000000"/>
          <w:sz w:val="24"/>
          <w:szCs w:val="20"/>
        </w:rPr>
        <w:t xml:space="preserve">13  项目实施方案等，按照采购需求和评分标准编制。</w:t>
      </w:r>
      <w:r/>
    </w:p>
    <w:p>
      <w:pPr>
        <w:rPr>
          <w:color w:val="000000"/>
        </w:rPr>
      </w:pPr>
      <w:r>
        <w:rPr>
          <w:color w:val="000000"/>
        </w:rPr>
      </w:r>
      <w:r/>
    </w:p>
    <w:p>
      <w:pPr>
        <w:spacing w:line="360" w:lineRule="auto"/>
        <w:rPr>
          <w:rFonts w:hint="eastAsia" w:ascii="宋体" w:hAnsi="宋体" w:cs="宋体"/>
          <w:b/>
          <w:bCs/>
          <w:color w:val="000000"/>
          <w:sz w:val="24"/>
          <w:szCs w:val="20"/>
        </w:rPr>
        <w:outlineLvl w:val="2"/>
      </w:pPr>
      <w:r>
        <w:rPr>
          <w:rFonts w:hint="eastAsia" w:ascii="宋体" w:hAnsi="宋体" w:cs="宋体"/>
          <w:b/>
          <w:bCs/>
          <w:color w:val="000000"/>
          <w:sz w:val="24"/>
          <w:szCs w:val="20"/>
        </w:rPr>
        <w:t xml:space="preserve">14  招标文件要求提供或投标人认为应附的其他材料</w:t>
      </w:r>
      <w:r/>
    </w:p>
    <w:p>
      <w:pPr>
        <w:jc w:val="left"/>
        <w:widowControl/>
        <w:rPr>
          <w:b/>
          <w:color w:val="000000"/>
          <w:sz w:val="36"/>
          <w:szCs w:val="36"/>
        </w:rPr>
      </w:pPr>
      <w:r>
        <w:rPr>
          <w:b/>
          <w:color w:val="000000"/>
          <w:sz w:val="36"/>
          <w:szCs w:val="36"/>
        </w:rPr>
      </w:r>
      <w:r/>
    </w:p>
    <w:sectPr>
      <w:headerReference w:type="even" r:id="rId10"/>
      <w:headerReference w:type="first" r:id="rId11"/>
      <w:footerReference w:type="default" r:id="rId14"/>
      <w:footerReference w:type="even" r:id="rId15"/>
      <w:footerReference w:type="first" r:id="rId16"/>
      <w:footnotePr/>
      <w:endnotePr/>
      <w:type w:val="nextPage"/>
      <w:pgSz w:w="11905"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Cambria Math">
    <w:panose1 w:val="02040503050406030204"/>
  </w:font>
  <w:font w:name="Wingdings 2">
    <w:panose1 w:val="05020102010507070707"/>
  </w:font>
  <w:font w:name="Cambria">
    <w:panose1 w:val="02040503050406030204"/>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margin">
                <wp:align>center</wp:align>
              </wp:positionH>
              <wp:positionV relativeFrom="paragraph">
                <wp:posOffset>0</wp:posOffset>
              </wp:positionV>
              <wp:extent cx="476250" cy="3873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76250" cy="387350"/>
                      </a:xfrm>
                      <a:prstGeom prst="rect">
                        <a:avLst/>
                      </a:prstGeom>
                      <a:noFill/>
                      <a:ln>
                        <a:noFill/>
                      </a:ln>
                    </wps:spPr>
                    <wps:txbx>
                      <w:txbxContent>
                        <w:p>
                          <w:pPr>
                            <w:pStyle w:val="872"/>
                            <w:jc w:val="center"/>
                            <w:tabs>
                              <w:tab w:val="clear" w:pos="4153" w:leader="none"/>
                              <w:tab w:val="clear" w:pos="8306" w:leader="none"/>
                            </w:tabs>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p>
                      </w:txbxContent>
                    </wps:txbx>
                    <wps:bodyPr wrap="square" lIns="0" tIns="0" rIns="0" bIns="0" upright="1"/>
                  </wps:wsp>
                </a:graphicData>
              </a:graphic>
            </wp:anchor>
          </w:drawing>
        </mc:Choice>
        <mc:Fallback>
          <w:pict>
            <v:shape id="shape 2" o:spid="_x0000_s2" o:spt="202" type="#_x0000_t202" style="position:absolute;z-index:502790144;o:allowoverlap:true;o:allowincell:true;mso-position-horizontal-relative:margin;mso-position-horizontal:center;mso-position-vertical-relative:text;margin-top:0.0pt;mso-position-vertical:absolute;width:37.5pt;height:30.5pt;mso-wrap-distance-left:9.0pt;mso-wrap-distance-top:0.0pt;mso-wrap-distance-right:9.0pt;mso-wrap-distance-bottom:0.0pt;visibility:visible;" filled="f" stroked="f">
              <v:textbox inset="0,0,0,0">
                <w:txbxContent>
                  <w:p>
                    <w:pPr>
                      <w:pStyle w:val="872"/>
                      <w:jc w:val="center"/>
                      <w:tabs>
                        <w:tab w:val="clear" w:pos="4153" w:leader="none"/>
                        <w:tab w:val="clear" w:pos="8306" w:leader="none"/>
                      </w:tabs>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2</w:t>
    </w:r>
    <w:r>
      <w:rPr>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3"/>
      </w:rPr>
      <w:framePr w:wrap="around" w:vAnchor="text" w:hAnchor="margin" w:xAlign="right" w:y="1"/>
    </w:pPr>
    <w:r>
      <w:fldChar w:fldCharType="begin"/>
    </w:r>
    <w:r>
      <w:rPr>
        <w:rStyle w:val="893"/>
      </w:rPr>
      <w:instrText xml:space="preserve">PAGE  </w:instrText>
    </w:r>
    <w:r>
      <w:fldChar w:fldCharType="end"/>
    </w:r>
    <w:r/>
  </w:p>
  <w:p>
    <w:pPr>
      <w:pStyle w:val="872"/>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bCs/>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147483648;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b/>
      </w:rPr>
      <mc:AlternateContent>
        <mc:Choice Requires="wpg">
          <w:drawing>
            <wp:inline xmlns:wp="http://schemas.openxmlformats.org/drawingml/2006/wordprocessingDrawing" distT="0" distB="0" distL="0" distR="0">
              <wp:extent cx="906145" cy="2228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6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Cs/>
      </w:rPr>
      <w:t xml:space="preserve">         </w:t>
    </w:r>
    <w:r>
      <w:rPr>
        <w:rFonts w:hint="eastAsia"/>
        <w:bCs/>
      </w:rPr>
      <w:t xml:space="preserve">常州市新北区实验中学骨质疏松治疗仪和双能骨密度仪采购公开招标文件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6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96"/>
      <w:isLgl w:val="false"/>
      <w:suff w:val="tab"/>
      <w:lvlText w:val="%1"/>
      <w:lvlJc w:val="left"/>
      <w:pPr>
        <w:ind w:left="680" w:hanging="680"/>
      </w:pPr>
      <w:rPr>
        <w:rFonts w:hint="eastAsia" w:ascii="宋体" w:hAnsi="宋体" w:eastAsia="宋体"/>
      </w:rPr>
    </w:lvl>
    <w:lvl w:ilvl="1">
      <w:start w:val="1"/>
      <w:numFmt w:val="decimal"/>
      <w:pStyle w:val="1189"/>
      <w:isLgl w:val="false"/>
      <w:suff w:val="tab"/>
      <w:lvlText w:val="%1.%2"/>
      <w:lvlJc w:val="left"/>
      <w:pPr>
        <w:ind w:left="851" w:hanging="851"/>
      </w:pPr>
      <w:rPr>
        <w:rFonts w:hint="eastAsia" w:ascii="宋体" w:hAnsi="宋体" w:eastAsia="宋体"/>
        <w:color w:val="000000"/>
      </w:rPr>
    </w:lvl>
    <w:lvl w:ilvl="2">
      <w:start w:val="1"/>
      <w:numFmt w:val="decimal"/>
      <w:pStyle w:val="119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4">
    <w:multiLevelType w:val="hybridMultilevel"/>
    <w:lvl w:ilvl="0">
      <w:start w:val="1"/>
      <w:numFmt w:val="decimal"/>
      <w:pStyle w:val="114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ascii="宋体" w:hAnsi="宋体" w:eastAsia="宋体" w:cs="宋体"/>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7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0"/>
      <w:isLgl w:val="false"/>
      <w:suff w:val="nothing"/>
      <w:lvlText w:val="%1.%2.%3.%4.%5.%6　"/>
      <w:lvlJc w:val="left"/>
      <w:pPr>
        <w:ind w:left="-25" w:firstLine="0"/>
      </w:pPr>
      <w:rPr>
        <w:rFonts w:ascii="Times New Roman" w:hAnsi="Times New Roman" w:eastAsia="宋体"/>
        <w:b/>
        <w:i w:val="0"/>
        <w:sz w:val="28"/>
      </w:rPr>
    </w:lvl>
    <w:lvl w:ilvl="6">
      <w:start w:val="1"/>
      <w:numFmt w:val="lowerLetter"/>
      <w:pStyle w:val="117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1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lowerLetter"/>
      <w:pStyle w:val="117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4"/>
  </w:num>
  <w:num w:numId="2">
    <w:abstractNumId w:val="1"/>
  </w:num>
  <w:num w:numId="3">
    <w:abstractNumId w:val="7"/>
  </w:num>
  <w:num w:numId="4">
    <w:abstractNumId w:val="11"/>
  </w:num>
  <w:num w:numId="5">
    <w:abstractNumId w:val="14"/>
  </w:num>
  <w:num w:numId="6">
    <w:abstractNumId w:val="3"/>
  </w:num>
  <w:num w:numId="7">
    <w:abstractNumId w:val="15"/>
  </w:num>
  <w:num w:numId="8">
    <w:abstractNumId w:val="9"/>
  </w:num>
  <w:num w:numId="9">
    <w:abstractNumId w:val="0"/>
  </w:num>
  <w:num w:numId="10">
    <w:abstractNumId w:val="5"/>
  </w:num>
  <w:num w:numId="11">
    <w:abstractNumId w:val="2"/>
  </w:num>
  <w:num w:numId="12">
    <w:abstractNumId w:val="12"/>
  </w:num>
  <w:num w:numId="13">
    <w:abstractNumId w:val="8"/>
  </w:num>
  <w:num w:numId="14">
    <w:abstractNumId w:val="13"/>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Subtitle Char"/>
    <w:basedOn w:val="849"/>
    <w:link w:val="877"/>
    <w:uiPriority w:val="11"/>
    <w:rPr>
      <w:sz w:val="24"/>
      <w:szCs w:val="24"/>
    </w:rPr>
  </w:style>
  <w:style w:type="character" w:styleId="815">
    <w:name w:val="Quote Char"/>
    <w:link w:val="912"/>
    <w:uiPriority w:val="29"/>
    <w:rPr>
      <w:i/>
    </w:rPr>
  </w:style>
  <w:style w:type="character" w:styleId="816">
    <w:name w:val="Intense Quote Char"/>
    <w:link w:val="914"/>
    <w:uiPriority w:val="30"/>
    <w:rPr>
      <w:i/>
    </w:rPr>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78"/>
    <w:uiPriority w:val="99"/>
    <w:rPr>
      <w:sz w:val="18"/>
    </w:rPr>
  </w:style>
  <w:style w:type="character" w:styleId="837">
    <w:name w:val="Endnote Text Char"/>
    <w:link w:val="870"/>
    <w:uiPriority w:val="99"/>
    <w:rPr>
      <w:sz w:val="20"/>
    </w:rPr>
  </w:style>
  <w:style w:type="paragraph" w:styleId="838">
    <w:name w:val="TOC Heading"/>
    <w:uiPriority w:val="39"/>
    <w:unhideWhenUsed/>
  </w:style>
  <w:style w:type="paragraph" w:styleId="839" w:default="1">
    <w:name w:val="Normal"/>
    <w:qFormat/>
    <w:pPr>
      <w:jc w:val="both"/>
      <w:widowControl w:val="off"/>
    </w:pPr>
    <w:rPr>
      <w:sz w:val="21"/>
      <w:szCs w:val="24"/>
    </w:rPr>
  </w:style>
  <w:style w:type="paragraph" w:styleId="840">
    <w:name w:val="Heading 1"/>
    <w:basedOn w:val="839"/>
    <w:next w:val="839"/>
    <w:link w:val="1047"/>
    <w:qFormat/>
    <w:pPr>
      <w:jc w:val="center"/>
      <w:keepLines/>
      <w:keepNext/>
      <w:spacing w:before="240" w:after="120" w:line="300" w:lineRule="auto"/>
      <w:outlineLvl w:val="0"/>
    </w:pPr>
    <w:rPr>
      <w:rFonts w:ascii="宋体"/>
      <w:b/>
      <w:sz w:val="32"/>
      <w:szCs w:val="20"/>
    </w:rPr>
  </w:style>
  <w:style w:type="paragraph" w:styleId="841">
    <w:name w:val="Heading 2"/>
    <w:basedOn w:val="839"/>
    <w:next w:val="839"/>
    <w:link w:val="1048"/>
    <w:qFormat/>
    <w:pPr>
      <w:jc w:val="center"/>
      <w:keepLines/>
      <w:keepNext/>
      <w:spacing w:before="120" w:line="300" w:lineRule="auto"/>
      <w:outlineLvl w:val="1"/>
    </w:pPr>
    <w:rPr>
      <w:rFonts w:ascii="Arial" w:hAnsi="Arial" w:eastAsia="黑体"/>
      <w:b/>
      <w:sz w:val="30"/>
      <w:szCs w:val="20"/>
    </w:rPr>
  </w:style>
  <w:style w:type="paragraph" w:styleId="842">
    <w:name w:val="Heading 3"/>
    <w:basedOn w:val="839"/>
    <w:next w:val="839"/>
    <w:link w:val="1049"/>
    <w:qFormat/>
    <w:pPr>
      <w:jc w:val="left"/>
      <w:keepLines/>
      <w:keepNext/>
      <w:spacing w:before="360" w:after="120"/>
      <w:outlineLvl w:val="2"/>
    </w:pPr>
    <w:rPr>
      <w:rFonts w:ascii="宋体"/>
      <w:b/>
      <w:sz w:val="24"/>
      <w:szCs w:val="20"/>
      <w:u w:val="single"/>
    </w:rPr>
  </w:style>
  <w:style w:type="paragraph" w:styleId="843">
    <w:name w:val="Heading 4"/>
    <w:basedOn w:val="839"/>
    <w:next w:val="839"/>
    <w:link w:val="1050"/>
    <w:qFormat/>
    <w:pPr>
      <w:keepLines/>
      <w:keepNext/>
      <w:spacing w:before="280" w:after="290" w:line="376" w:lineRule="atLeast"/>
      <w:outlineLvl w:val="3"/>
    </w:pPr>
    <w:rPr>
      <w:rFonts w:ascii="Arial" w:hAnsi="Arial" w:eastAsia="黑体"/>
      <w:b/>
      <w:sz w:val="28"/>
      <w:szCs w:val="20"/>
    </w:rPr>
  </w:style>
  <w:style w:type="paragraph" w:styleId="844">
    <w:name w:val="Heading 5"/>
    <w:basedOn w:val="839"/>
    <w:next w:val="839"/>
    <w:link w:val="1051"/>
    <w:qFormat/>
    <w:pPr>
      <w:keepLines/>
      <w:keepNext/>
      <w:spacing w:before="280" w:after="290" w:line="376" w:lineRule="atLeast"/>
      <w:outlineLvl w:val="4"/>
    </w:pPr>
    <w:rPr>
      <w:b/>
      <w:sz w:val="28"/>
      <w:szCs w:val="20"/>
    </w:rPr>
  </w:style>
  <w:style w:type="paragraph" w:styleId="845">
    <w:name w:val="Heading 6"/>
    <w:basedOn w:val="839"/>
    <w:next w:val="839"/>
    <w:link w:val="1052"/>
    <w:qFormat/>
    <w:pPr>
      <w:keepLines/>
      <w:keepNext/>
      <w:spacing w:before="240" w:after="64" w:line="320" w:lineRule="atLeast"/>
      <w:outlineLvl w:val="5"/>
    </w:pPr>
    <w:rPr>
      <w:rFonts w:ascii="Arial" w:hAnsi="Arial" w:eastAsia="黑体"/>
      <w:b/>
      <w:sz w:val="24"/>
      <w:szCs w:val="20"/>
    </w:rPr>
  </w:style>
  <w:style w:type="paragraph" w:styleId="846">
    <w:name w:val="Heading 7"/>
    <w:basedOn w:val="839"/>
    <w:next w:val="839"/>
    <w:link w:val="1053"/>
    <w:qFormat/>
    <w:pPr>
      <w:keepLines/>
      <w:keepNext/>
      <w:spacing w:before="240" w:after="64" w:line="320" w:lineRule="atLeast"/>
      <w:outlineLvl w:val="6"/>
    </w:pPr>
    <w:rPr>
      <w:b/>
      <w:sz w:val="24"/>
      <w:szCs w:val="20"/>
    </w:rPr>
  </w:style>
  <w:style w:type="paragraph" w:styleId="847">
    <w:name w:val="Heading 8"/>
    <w:basedOn w:val="839"/>
    <w:next w:val="839"/>
    <w:link w:val="1054"/>
    <w:qFormat/>
    <w:pPr>
      <w:keepLines/>
      <w:keepNext/>
      <w:spacing w:before="240" w:after="64" w:line="320" w:lineRule="atLeast"/>
      <w:outlineLvl w:val="7"/>
    </w:pPr>
    <w:rPr>
      <w:rFonts w:ascii="Arial" w:hAnsi="Arial" w:eastAsia="黑体"/>
      <w:sz w:val="24"/>
      <w:szCs w:val="20"/>
    </w:rPr>
  </w:style>
  <w:style w:type="paragraph" w:styleId="848">
    <w:name w:val="Heading 9"/>
    <w:basedOn w:val="839"/>
    <w:next w:val="839"/>
    <w:link w:val="1055"/>
    <w:qFormat/>
    <w:pPr>
      <w:keepLines/>
      <w:keepNext/>
      <w:spacing w:before="240" w:after="64" w:line="320" w:lineRule="atLeast"/>
      <w:outlineLvl w:val="8"/>
    </w:pPr>
    <w:rPr>
      <w:rFonts w:ascii="Arial" w:hAnsi="Arial" w:eastAsia="黑体"/>
      <w:szCs w:val="20"/>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customStyle="1">
    <w:name w:val="段"/>
    <w:basedOn w:val="839"/>
    <w:next w:val="839"/>
    <w:qFormat/>
    <w:pPr>
      <w:ind w:firstLine="420"/>
      <w:widowControl/>
    </w:pPr>
    <w:rPr>
      <w:rFonts w:ascii="宋体"/>
      <w:szCs w:val="20"/>
    </w:rPr>
  </w:style>
  <w:style w:type="paragraph" w:styleId="853">
    <w:name w:val="toc 7"/>
    <w:basedOn w:val="839"/>
    <w:next w:val="839"/>
    <w:uiPriority w:val="39"/>
    <w:unhideWhenUsed/>
    <w:pPr>
      <w:ind w:left="1701"/>
      <w:spacing w:after="57"/>
    </w:pPr>
  </w:style>
  <w:style w:type="paragraph" w:styleId="854">
    <w:name w:val="table of authorities"/>
    <w:basedOn w:val="839"/>
    <w:next w:val="839"/>
    <w:uiPriority w:val="99"/>
    <w:unhideWhenUsed/>
    <w:qFormat/>
    <w:pPr>
      <w:ind w:left="420"/>
    </w:pPr>
  </w:style>
  <w:style w:type="paragraph" w:styleId="855">
    <w:name w:val="Normal Indent"/>
    <w:basedOn w:val="839"/>
    <w:next w:val="839"/>
    <w:link w:val="1057"/>
    <w:qFormat/>
    <w:pPr>
      <w:ind w:firstLine="420"/>
      <w:jc w:val="left"/>
    </w:pPr>
    <w:rPr>
      <w:rFonts w:ascii="宋体"/>
      <w:sz w:val="24"/>
    </w:rPr>
  </w:style>
  <w:style w:type="paragraph" w:styleId="856">
    <w:name w:val="Caption"/>
    <w:basedOn w:val="839"/>
    <w:next w:val="839"/>
    <w:qFormat/>
    <w:pPr>
      <w:spacing w:line="480" w:lineRule="auto"/>
    </w:pPr>
    <w:rPr>
      <w:rFonts w:ascii="华文中宋" w:hAnsi="华文中宋" w:eastAsia="华文中宋"/>
      <w:sz w:val="36"/>
      <w:szCs w:val="20"/>
    </w:rPr>
  </w:style>
  <w:style w:type="paragraph" w:styleId="857">
    <w:name w:val="Document Map"/>
    <w:basedOn w:val="839"/>
    <w:link w:val="1058"/>
    <w:qFormat/>
    <w:pPr>
      <w:shd w:val="clear" w:color="auto" w:fill="000080"/>
    </w:pPr>
  </w:style>
  <w:style w:type="paragraph" w:styleId="858">
    <w:name w:val="annotation text"/>
    <w:basedOn w:val="839"/>
    <w:link w:val="1059"/>
    <w:uiPriority w:val="99"/>
    <w:qFormat/>
    <w:pPr>
      <w:jc w:val="left"/>
    </w:pPr>
  </w:style>
  <w:style w:type="paragraph" w:styleId="859">
    <w:name w:val="Body Text 3"/>
    <w:basedOn w:val="839"/>
    <w:link w:val="1060"/>
    <w:qFormat/>
    <w:pPr>
      <w:spacing w:after="120"/>
    </w:pPr>
    <w:rPr>
      <w:sz w:val="16"/>
      <w:szCs w:val="16"/>
    </w:rPr>
  </w:style>
  <w:style w:type="paragraph" w:styleId="860">
    <w:name w:val="Body Text"/>
    <w:basedOn w:val="839"/>
    <w:next w:val="839"/>
    <w:link w:val="1061"/>
    <w:qFormat/>
    <w:pPr>
      <w:spacing w:before="120" w:line="22" w:lineRule="atLeast"/>
      <w:tabs>
        <w:tab w:val="left" w:pos="567" w:leader="none"/>
      </w:tabs>
    </w:pPr>
    <w:rPr>
      <w:rFonts w:ascii="宋体" w:hAnsi="宋体"/>
      <w:sz w:val="24"/>
    </w:rPr>
  </w:style>
  <w:style w:type="paragraph" w:styleId="861">
    <w:name w:val="Body Text Indent"/>
    <w:basedOn w:val="839"/>
    <w:next w:val="839"/>
    <w:link w:val="1062"/>
    <w:qFormat/>
    <w:pPr>
      <w:ind w:firstLine="570"/>
      <w:spacing w:line="360" w:lineRule="auto"/>
    </w:pPr>
    <w:rPr>
      <w:sz w:val="24"/>
    </w:rPr>
  </w:style>
  <w:style w:type="paragraph" w:styleId="862">
    <w:name w:val="List 2"/>
    <w:basedOn w:val="839"/>
    <w:qFormat/>
    <w:pPr>
      <w:ind w:left="100" w:hanging="200"/>
    </w:pPr>
  </w:style>
  <w:style w:type="paragraph" w:styleId="863">
    <w:name w:val="Block Text"/>
    <w:basedOn w:val="839"/>
    <w:qFormat/>
    <w:pPr>
      <w:ind w:left="480" w:right="-341" w:firstLine="513"/>
      <w:widowControl/>
    </w:pPr>
    <w:rPr>
      <w:sz w:val="24"/>
      <w:szCs w:val="20"/>
    </w:rPr>
  </w:style>
  <w:style w:type="paragraph" w:styleId="864">
    <w:name w:val="toc 5"/>
    <w:basedOn w:val="839"/>
    <w:next w:val="839"/>
    <w:uiPriority w:val="39"/>
    <w:unhideWhenUsed/>
    <w:pPr>
      <w:ind w:left="1134"/>
      <w:spacing w:after="57"/>
    </w:pPr>
  </w:style>
  <w:style w:type="paragraph" w:styleId="865">
    <w:name w:val="toc 3"/>
    <w:basedOn w:val="839"/>
    <w:next w:val="839"/>
    <w:uiPriority w:val="39"/>
    <w:unhideWhenUsed/>
    <w:qFormat/>
    <w:pPr>
      <w:ind w:left="567"/>
      <w:spacing w:after="57"/>
    </w:pPr>
  </w:style>
  <w:style w:type="paragraph" w:styleId="866">
    <w:name w:val="Plain Text"/>
    <w:basedOn w:val="839"/>
    <w:next w:val="855"/>
    <w:link w:val="1065"/>
    <w:qFormat/>
    <w:rPr>
      <w:rFonts w:hint="eastAsia" w:ascii="宋体" w:hAnsi="Courier New"/>
      <w:szCs w:val="20"/>
    </w:rPr>
  </w:style>
  <w:style w:type="paragraph" w:styleId="867">
    <w:name w:val="toc 8"/>
    <w:basedOn w:val="839"/>
    <w:next w:val="839"/>
    <w:uiPriority w:val="39"/>
    <w:unhideWhenUsed/>
    <w:qFormat/>
    <w:pPr>
      <w:ind w:left="1984"/>
      <w:spacing w:after="57"/>
    </w:pPr>
  </w:style>
  <w:style w:type="paragraph" w:styleId="868">
    <w:name w:val="Date"/>
    <w:basedOn w:val="839"/>
    <w:next w:val="839"/>
    <w:link w:val="1067"/>
    <w:qFormat/>
    <w:pPr>
      <w:ind w:left="100"/>
    </w:pPr>
    <w:rPr>
      <w:rFonts w:ascii="仿宋_GB2312" w:hAnsi="宋体" w:eastAsia="仿宋_GB2312"/>
      <w:color w:val="000000"/>
      <w:sz w:val="24"/>
    </w:rPr>
  </w:style>
  <w:style w:type="paragraph" w:styleId="869">
    <w:name w:val="Body Text Indent 2"/>
    <w:basedOn w:val="839"/>
    <w:link w:val="1068"/>
    <w:qFormat/>
    <w:pPr>
      <w:ind w:firstLine="480"/>
    </w:pPr>
    <w:rPr>
      <w:rFonts w:ascii="仿宋_GB2312" w:eastAsia="仿宋_GB2312"/>
      <w:sz w:val="24"/>
    </w:rPr>
  </w:style>
  <w:style w:type="paragraph" w:styleId="870">
    <w:name w:val="endnote text"/>
    <w:basedOn w:val="839"/>
    <w:link w:val="1045"/>
    <w:uiPriority w:val="99"/>
    <w:semiHidden/>
    <w:unhideWhenUsed/>
    <w:qFormat/>
    <w:rPr>
      <w:sz w:val="20"/>
    </w:rPr>
  </w:style>
  <w:style w:type="paragraph" w:styleId="871">
    <w:name w:val="Balloon Text"/>
    <w:basedOn w:val="839"/>
    <w:link w:val="1069"/>
    <w:qFormat/>
    <w:rPr>
      <w:sz w:val="18"/>
      <w:szCs w:val="18"/>
    </w:rPr>
  </w:style>
  <w:style w:type="paragraph" w:styleId="872">
    <w:name w:val="Footer"/>
    <w:basedOn w:val="839"/>
    <w:link w:val="1070"/>
    <w:uiPriority w:val="99"/>
    <w:qFormat/>
    <w:pPr>
      <w:jc w:val="left"/>
      <w:tabs>
        <w:tab w:val="center" w:pos="4153" w:leader="none"/>
        <w:tab w:val="right" w:pos="8306" w:leader="none"/>
      </w:tabs>
    </w:pPr>
    <w:rPr>
      <w:rFonts w:ascii="宋体"/>
      <w:sz w:val="18"/>
      <w:szCs w:val="20"/>
    </w:rPr>
  </w:style>
  <w:style w:type="paragraph" w:styleId="873">
    <w:name w:val="envelope return"/>
    <w:basedOn w:val="839"/>
    <w:uiPriority w:val="99"/>
    <w:unhideWhenUsed/>
    <w:qFormat/>
    <w:rPr>
      <w:rFonts w:ascii="Arial" w:hAnsi="Arial"/>
    </w:rPr>
  </w:style>
  <w:style w:type="paragraph" w:styleId="874">
    <w:name w:val="Header"/>
    <w:basedOn w:val="839"/>
    <w:link w:val="1071"/>
    <w:qFormat/>
    <w:pPr>
      <w:jc w:val="center"/>
      <w:tabs>
        <w:tab w:val="center" w:pos="4153" w:leader="none"/>
        <w:tab w:val="right" w:pos="8306" w:leader="none"/>
      </w:tabs>
      <w:pBdr>
        <w:bottom w:val="single" w:color="000000" w:sz="6" w:space="1"/>
      </w:pBdr>
    </w:pPr>
    <w:rPr>
      <w:sz w:val="18"/>
      <w:szCs w:val="18"/>
    </w:rPr>
  </w:style>
  <w:style w:type="paragraph" w:styleId="875">
    <w:name w:val="toc 1"/>
    <w:basedOn w:val="839"/>
    <w:next w:val="839"/>
    <w:uiPriority w:val="39"/>
    <w:unhideWhenUsed/>
    <w:qFormat/>
    <w:pPr>
      <w:spacing w:after="57"/>
    </w:pPr>
  </w:style>
  <w:style w:type="paragraph" w:styleId="876">
    <w:name w:val="toc 4"/>
    <w:basedOn w:val="839"/>
    <w:next w:val="839"/>
    <w:uiPriority w:val="39"/>
    <w:unhideWhenUsed/>
    <w:qFormat/>
    <w:pPr>
      <w:ind w:left="850"/>
      <w:spacing w:after="57"/>
    </w:pPr>
  </w:style>
  <w:style w:type="paragraph" w:styleId="877">
    <w:name w:val="Subtitle"/>
    <w:basedOn w:val="839"/>
    <w:next w:val="839"/>
    <w:link w:val="911"/>
    <w:uiPriority w:val="11"/>
    <w:qFormat/>
    <w:pPr>
      <w:spacing w:before="200" w:after="200"/>
    </w:pPr>
    <w:rPr>
      <w:sz w:val="24"/>
    </w:rPr>
  </w:style>
  <w:style w:type="paragraph" w:styleId="878">
    <w:name w:val="footnote text"/>
    <w:basedOn w:val="839"/>
    <w:link w:val="1044"/>
    <w:uiPriority w:val="99"/>
    <w:semiHidden/>
    <w:unhideWhenUsed/>
    <w:qFormat/>
    <w:pPr>
      <w:spacing w:after="40"/>
    </w:pPr>
    <w:rPr>
      <w:sz w:val="18"/>
    </w:rPr>
  </w:style>
  <w:style w:type="paragraph" w:styleId="879">
    <w:name w:val="toc 6"/>
    <w:basedOn w:val="839"/>
    <w:next w:val="839"/>
    <w:uiPriority w:val="39"/>
    <w:unhideWhenUsed/>
    <w:pPr>
      <w:ind w:left="1417"/>
      <w:spacing w:after="57"/>
    </w:pPr>
  </w:style>
  <w:style w:type="paragraph" w:styleId="880">
    <w:name w:val="Body Text Indent 3"/>
    <w:basedOn w:val="839"/>
    <w:link w:val="1075"/>
    <w:qFormat/>
    <w:pPr>
      <w:ind w:left="720" w:firstLine="480"/>
      <w:jc w:val="left"/>
      <w:spacing w:before="120" w:line="22" w:lineRule="atLeast"/>
    </w:pPr>
    <w:rPr>
      <w:rFonts w:ascii="宋体"/>
      <w:sz w:val="24"/>
      <w:szCs w:val="20"/>
    </w:rPr>
  </w:style>
  <w:style w:type="paragraph" w:styleId="881">
    <w:name w:val="table of figures"/>
    <w:basedOn w:val="839"/>
    <w:next w:val="839"/>
    <w:uiPriority w:val="99"/>
    <w:unhideWhenUsed/>
  </w:style>
  <w:style w:type="paragraph" w:styleId="882">
    <w:name w:val="toc 2"/>
    <w:basedOn w:val="839"/>
    <w:next w:val="839"/>
    <w:uiPriority w:val="39"/>
    <w:unhideWhenUsed/>
    <w:pPr>
      <w:ind w:left="283"/>
      <w:spacing w:after="57"/>
    </w:pPr>
  </w:style>
  <w:style w:type="paragraph" w:styleId="883">
    <w:name w:val="toc 9"/>
    <w:basedOn w:val="839"/>
    <w:next w:val="839"/>
    <w:uiPriority w:val="39"/>
    <w:unhideWhenUsed/>
    <w:pPr>
      <w:ind w:left="2268"/>
      <w:spacing w:after="57"/>
    </w:pPr>
  </w:style>
  <w:style w:type="paragraph" w:styleId="884">
    <w:name w:val="HTML Preformatted"/>
    <w:basedOn w:val="839"/>
    <w:link w:val="10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5">
    <w:name w:val="Normal (Web)"/>
    <w:basedOn w:val="839"/>
    <w:uiPriority w:val="99"/>
    <w:unhideWhenUsed/>
    <w:qFormat/>
    <w:pPr>
      <w:jc w:val="left"/>
      <w:spacing w:before="100" w:beforeAutospacing="1" w:after="100" w:afterAutospacing="1"/>
      <w:widowControl/>
    </w:pPr>
    <w:rPr>
      <w:rFonts w:ascii="宋体" w:hAnsi="宋体" w:cs="宋体"/>
      <w:sz w:val="24"/>
    </w:rPr>
  </w:style>
  <w:style w:type="paragraph" w:styleId="886">
    <w:name w:val="index 1"/>
    <w:basedOn w:val="839"/>
    <w:next w:val="839"/>
    <w:qFormat/>
    <w:rPr>
      <w:szCs w:val="20"/>
    </w:rPr>
  </w:style>
  <w:style w:type="paragraph" w:styleId="887">
    <w:name w:val="Title"/>
    <w:basedOn w:val="839"/>
    <w:link w:val="1079"/>
    <w:qFormat/>
    <w:pPr>
      <w:jc w:val="center"/>
      <w:outlineLvl w:val="0"/>
    </w:pPr>
    <w:rPr>
      <w:b/>
      <w:sz w:val="32"/>
      <w:szCs w:val="20"/>
    </w:rPr>
  </w:style>
  <w:style w:type="paragraph" w:styleId="888">
    <w:name w:val="annotation subject"/>
    <w:basedOn w:val="858"/>
    <w:next w:val="858"/>
    <w:link w:val="1080"/>
    <w:qFormat/>
    <w:rPr>
      <w:b/>
      <w:bCs/>
    </w:rPr>
  </w:style>
  <w:style w:type="paragraph" w:styleId="889">
    <w:name w:val="Body Text First Indent"/>
    <w:basedOn w:val="860"/>
    <w:uiPriority w:val="99"/>
    <w:semiHidden/>
    <w:unhideWhenUsed/>
    <w:qFormat/>
    <w:pPr>
      <w:ind w:firstLine="420"/>
      <w:spacing w:before="0" w:after="120" w:line="240" w:lineRule="auto"/>
    </w:pPr>
    <w:rPr>
      <w:rFonts w:ascii="Arial" w:hAnsi="Arial"/>
      <w:sz w:val="21"/>
      <w:szCs w:val="22"/>
    </w:rPr>
  </w:style>
  <w:style w:type="table" w:styleId="890">
    <w:name w:val="Table Grid"/>
    <w:basedOn w:val="8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qFormat/>
    <w:rPr>
      <w:b/>
      <w:bCs/>
    </w:rPr>
  </w:style>
  <w:style w:type="character" w:styleId="892">
    <w:name w:val="endnote reference"/>
    <w:uiPriority w:val="99"/>
    <w:semiHidden/>
    <w:unhideWhenUsed/>
    <w:rPr>
      <w:vertAlign w:val="superscript"/>
    </w:rPr>
  </w:style>
  <w:style w:type="character" w:styleId="893">
    <w:name w:val="page number"/>
    <w:qFormat/>
  </w:style>
  <w:style w:type="character" w:styleId="894">
    <w:name w:val="Emphasis"/>
    <w:qFormat/>
    <w:rPr>
      <w:color w:val="cc0033"/>
    </w:rPr>
  </w:style>
  <w:style w:type="character" w:styleId="895">
    <w:name w:val="Hyperlink"/>
    <w:uiPriority w:val="99"/>
    <w:qFormat/>
    <w:rPr>
      <w:color w:val="333333"/>
      <w:u w:val="none"/>
    </w:rPr>
  </w:style>
  <w:style w:type="character" w:styleId="896">
    <w:name w:val="annotation reference"/>
    <w:uiPriority w:val="99"/>
    <w:qFormat/>
    <w:rPr>
      <w:sz w:val="21"/>
      <w:szCs w:val="21"/>
    </w:rPr>
  </w:style>
  <w:style w:type="character" w:styleId="897">
    <w:name w:val="HTML Cite"/>
    <w:qFormat/>
    <w:rPr>
      <w:i/>
      <w:iCs/>
    </w:rPr>
  </w:style>
  <w:style w:type="character" w:styleId="898">
    <w:name w:val="footnote reference"/>
    <w:uiPriority w:val="99"/>
    <w:unhideWhenUsed/>
    <w:rPr>
      <w:vertAlign w:val="superscript"/>
    </w:rPr>
  </w:style>
  <w:style w:type="character" w:styleId="899" w:customStyle="1">
    <w:name w:val="Heading 1 Char"/>
    <w:uiPriority w:val="9"/>
    <w:rPr>
      <w:rFonts w:ascii="Arial" w:hAnsi="Arial" w:eastAsia="Arial" w:cs="Arial"/>
      <w:sz w:val="40"/>
      <w:szCs w:val="40"/>
    </w:rPr>
  </w:style>
  <w:style w:type="character" w:styleId="900" w:customStyle="1">
    <w:name w:val="Heading 2 Char"/>
    <w:uiPriority w:val="9"/>
    <w:rPr>
      <w:rFonts w:ascii="Arial" w:hAnsi="Arial" w:eastAsia="Arial" w:cs="Arial"/>
      <w:sz w:val="34"/>
    </w:rPr>
  </w:style>
  <w:style w:type="character" w:styleId="901" w:customStyle="1">
    <w:name w:val="Heading 3 Char"/>
    <w:uiPriority w:val="9"/>
    <w:rPr>
      <w:rFonts w:ascii="Arial" w:hAnsi="Arial" w:eastAsia="Arial" w:cs="Arial"/>
      <w:sz w:val="30"/>
      <w:szCs w:val="30"/>
    </w:rPr>
  </w:style>
  <w:style w:type="character" w:styleId="902" w:customStyle="1">
    <w:name w:val="Heading 4 Char"/>
    <w:uiPriority w:val="9"/>
    <w:rPr>
      <w:rFonts w:ascii="Arial" w:hAnsi="Arial" w:eastAsia="Arial" w:cs="Arial"/>
      <w:b/>
      <w:bCs/>
      <w:sz w:val="26"/>
      <w:szCs w:val="26"/>
    </w:rPr>
  </w:style>
  <w:style w:type="character" w:styleId="903" w:customStyle="1">
    <w:name w:val="Heading 5 Char"/>
    <w:uiPriority w:val="9"/>
    <w:rPr>
      <w:rFonts w:ascii="Arial" w:hAnsi="Arial" w:eastAsia="Arial" w:cs="Arial"/>
      <w:b/>
      <w:bCs/>
      <w:sz w:val="24"/>
      <w:szCs w:val="24"/>
    </w:rPr>
  </w:style>
  <w:style w:type="character" w:styleId="904" w:customStyle="1">
    <w:name w:val="Heading 6 Char"/>
    <w:uiPriority w:val="9"/>
    <w:rPr>
      <w:rFonts w:ascii="Arial" w:hAnsi="Arial" w:eastAsia="Arial" w:cs="Arial"/>
      <w:b/>
      <w:bCs/>
      <w:sz w:val="22"/>
      <w:szCs w:val="22"/>
    </w:rPr>
  </w:style>
  <w:style w:type="character" w:styleId="905" w:customStyle="1">
    <w:name w:val="Heading 7 Char"/>
    <w:uiPriority w:val="9"/>
    <w:rPr>
      <w:rFonts w:ascii="Arial" w:hAnsi="Arial" w:eastAsia="Arial" w:cs="Arial"/>
      <w:b/>
      <w:bCs/>
      <w:i/>
      <w:iCs/>
      <w:sz w:val="22"/>
      <w:szCs w:val="22"/>
    </w:rPr>
  </w:style>
  <w:style w:type="character" w:styleId="906" w:customStyle="1">
    <w:name w:val="Heading 8 Char"/>
    <w:uiPriority w:val="9"/>
    <w:qFormat/>
    <w:rPr>
      <w:rFonts w:ascii="Arial" w:hAnsi="Arial" w:eastAsia="Arial" w:cs="Arial"/>
      <w:i/>
      <w:iCs/>
      <w:sz w:val="22"/>
      <w:szCs w:val="22"/>
    </w:rPr>
  </w:style>
  <w:style w:type="character" w:styleId="907" w:customStyle="1">
    <w:name w:val="Heading 9 Char"/>
    <w:uiPriority w:val="9"/>
    <w:rPr>
      <w:rFonts w:ascii="Arial" w:hAnsi="Arial" w:eastAsia="Arial" w:cs="Arial"/>
      <w:i/>
      <w:iCs/>
      <w:sz w:val="21"/>
      <w:szCs w:val="21"/>
    </w:rPr>
  </w:style>
  <w:style w:type="paragraph" w:styleId="908">
    <w:name w:val="List Paragraph"/>
    <w:basedOn w:val="839"/>
    <w:link w:val="1130"/>
    <w:uiPriority w:val="34"/>
    <w:qFormat/>
    <w:pPr>
      <w:ind w:firstLine="420"/>
    </w:pPr>
    <w:rPr>
      <w:rFonts w:ascii="Calibri" w:hAnsi="Calibri"/>
      <w:szCs w:val="22"/>
    </w:rPr>
  </w:style>
  <w:style w:type="paragraph" w:styleId="909">
    <w:name w:val="No Spacing"/>
    <w:qFormat/>
    <w:pPr>
      <w:jc w:val="both"/>
      <w:widowControl w:val="off"/>
    </w:pPr>
    <w:rPr>
      <w:sz w:val="21"/>
      <w:szCs w:val="24"/>
    </w:rPr>
  </w:style>
  <w:style w:type="character" w:styleId="910" w:customStyle="1">
    <w:name w:val="Title Char"/>
    <w:uiPriority w:val="10"/>
    <w:rPr>
      <w:sz w:val="48"/>
      <w:szCs w:val="48"/>
    </w:rPr>
  </w:style>
  <w:style w:type="character" w:styleId="911" w:customStyle="1">
    <w:name w:val="副标题 字符"/>
    <w:link w:val="877"/>
    <w:uiPriority w:val="11"/>
    <w:rPr>
      <w:sz w:val="24"/>
      <w:szCs w:val="24"/>
    </w:rPr>
  </w:style>
  <w:style w:type="paragraph" w:styleId="912">
    <w:name w:val="Quote"/>
    <w:basedOn w:val="839"/>
    <w:next w:val="839"/>
    <w:link w:val="913"/>
    <w:uiPriority w:val="29"/>
    <w:qFormat/>
    <w:pPr>
      <w:ind w:left="720" w:right="720"/>
    </w:pPr>
    <w:rPr>
      <w:i/>
    </w:rPr>
  </w:style>
  <w:style w:type="character" w:styleId="913" w:customStyle="1">
    <w:name w:val="引用 字符"/>
    <w:link w:val="912"/>
    <w:uiPriority w:val="29"/>
    <w:rPr>
      <w:i/>
    </w:rPr>
  </w:style>
  <w:style w:type="paragraph" w:styleId="914">
    <w:name w:val="Intense Quote"/>
    <w:basedOn w:val="839"/>
    <w:next w:val="839"/>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rPr>
      <w:i/>
    </w:rPr>
  </w:style>
  <w:style w:type="character" w:styleId="916" w:customStyle="1">
    <w:name w:val="Header Char"/>
    <w:uiPriority w:val="99"/>
  </w:style>
  <w:style w:type="character" w:styleId="917" w:customStyle="1">
    <w:name w:val="Footer Char"/>
    <w:uiPriority w:val="99"/>
  </w:style>
  <w:style w:type="character" w:styleId="918" w:customStyle="1">
    <w:name w:val="Caption Char"/>
    <w:uiPriority w:val="99"/>
  </w:style>
  <w:style w:type="table" w:styleId="919"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0"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2" w:customStyle="1">
    <w:name w:val="无格式表格 31"/>
    <w:uiPriority w:val="99"/>
    <w:tblPr>
      <w:tblCellMar>
        <w:left w:w="0" w:type="dxa"/>
        <w:top w:w="0" w:type="dxa"/>
        <w:right w:w="0" w:type="dxa"/>
        <w:bottom w:w="0" w:type="dxa"/>
      </w:tblCellMar>
    </w:tblPr>
  </w:style>
  <w:style w:type="table" w:styleId="923" w:customStyle="1">
    <w:name w:val="无格式表格 41"/>
    <w:uiPriority w:val="99"/>
    <w:qFormat/>
    <w:tblPr>
      <w:tblCellMar>
        <w:left w:w="0" w:type="dxa"/>
        <w:top w:w="0" w:type="dxa"/>
        <w:right w:w="0" w:type="dxa"/>
        <w:bottom w:w="0" w:type="dxa"/>
      </w:tblCellMar>
    </w:tblPr>
  </w:style>
  <w:style w:type="table" w:styleId="924" w:customStyle="1">
    <w:name w:val="无格式表格 51"/>
    <w:uiPriority w:val="99"/>
    <w:tblPr>
      <w:tblCellMar>
        <w:left w:w="0" w:type="dxa"/>
        <w:top w:w="0" w:type="dxa"/>
        <w:right w:w="0" w:type="dxa"/>
        <w:bottom w:w="0" w:type="dxa"/>
      </w:tblCellMar>
    </w:tblPr>
  </w:style>
  <w:style w:type="table" w:styleId="925"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6"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2"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3"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4"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5"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6"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7"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9"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0"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5"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6"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7"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8"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9"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3"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1"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2"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3"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5"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6"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7"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8"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9"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3"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4" w:customStyle="1">
    <w:name w:val="清单表 1 浅色1"/>
    <w:uiPriority w:val="99"/>
    <w:tblPr>
      <w:tblCellMar>
        <w:left w:w="0" w:type="dxa"/>
        <w:top w:w="0" w:type="dxa"/>
        <w:right w:w="0" w:type="dxa"/>
        <w:bottom w:w="0" w:type="dxa"/>
      </w:tblCellMar>
    </w:tblPr>
  </w:style>
  <w:style w:type="table" w:styleId="975" w:customStyle="1">
    <w:name w:val="List Table 1 Light - Accent 1"/>
    <w:uiPriority w:val="99"/>
    <w:tblPr>
      <w:tblCellMar>
        <w:left w:w="0" w:type="dxa"/>
        <w:top w:w="0" w:type="dxa"/>
        <w:right w:w="0" w:type="dxa"/>
        <w:bottom w:w="0" w:type="dxa"/>
      </w:tblCellMar>
    </w:tblPr>
  </w:style>
  <w:style w:type="table" w:styleId="976" w:customStyle="1">
    <w:name w:val="List Table 1 Light - Accent 2"/>
    <w:uiPriority w:val="99"/>
    <w:tblPr>
      <w:tblCellMar>
        <w:left w:w="0" w:type="dxa"/>
        <w:top w:w="0" w:type="dxa"/>
        <w:right w:w="0" w:type="dxa"/>
        <w:bottom w:w="0" w:type="dxa"/>
      </w:tblCellMar>
    </w:tblPr>
  </w:style>
  <w:style w:type="table" w:styleId="977" w:customStyle="1">
    <w:name w:val="List Table 1 Light - Accent 3"/>
    <w:uiPriority w:val="99"/>
    <w:tblPr>
      <w:tblCellMar>
        <w:left w:w="0" w:type="dxa"/>
        <w:top w:w="0" w:type="dxa"/>
        <w:right w:w="0" w:type="dxa"/>
        <w:bottom w:w="0" w:type="dxa"/>
      </w:tblCellMar>
    </w:tblPr>
  </w:style>
  <w:style w:type="table" w:styleId="978" w:customStyle="1">
    <w:name w:val="List Table 1 Light - Accent 4"/>
    <w:uiPriority w:val="99"/>
    <w:qFormat/>
    <w:tblPr>
      <w:tblCellMar>
        <w:left w:w="0" w:type="dxa"/>
        <w:top w:w="0" w:type="dxa"/>
        <w:right w:w="0" w:type="dxa"/>
        <w:bottom w:w="0" w:type="dxa"/>
      </w:tblCellMar>
    </w:tblPr>
  </w:style>
  <w:style w:type="table" w:styleId="979" w:customStyle="1">
    <w:name w:val="List Table 1 Light - Accent 5"/>
    <w:uiPriority w:val="99"/>
    <w:tblPr>
      <w:tblCellMar>
        <w:left w:w="0" w:type="dxa"/>
        <w:top w:w="0" w:type="dxa"/>
        <w:right w:w="0" w:type="dxa"/>
        <w:bottom w:w="0" w:type="dxa"/>
      </w:tblCellMar>
    </w:tblPr>
  </w:style>
  <w:style w:type="table" w:styleId="980" w:customStyle="1">
    <w:name w:val="List Table 1 Light - Accent 6"/>
    <w:uiPriority w:val="99"/>
    <w:tblPr>
      <w:tblCellMar>
        <w:left w:w="0" w:type="dxa"/>
        <w:top w:w="0" w:type="dxa"/>
        <w:right w:w="0" w:type="dxa"/>
        <w:bottom w:w="0" w:type="dxa"/>
      </w:tblCellMar>
    </w:tblPr>
  </w:style>
  <w:style w:type="table" w:styleId="9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3"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4"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6"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7"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9"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0"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1"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2"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3"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4"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5"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7"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8"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0"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4"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5"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8"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9"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10"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11"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12"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13"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1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15"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16"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1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1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01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2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2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rPr>
      <w:color w:val="404040"/>
    </w:rPr>
    <w:tblPr>
      <w:tblCellMar>
        <w:left w:w="0" w:type="dxa"/>
        <w:top w:w="0" w:type="dxa"/>
        <w:right w:w="0" w:type="dxa"/>
        <w:bottom w:w="0" w:type="dxa"/>
      </w:tblCellMar>
    </w:tblPr>
  </w:style>
  <w:style w:type="table" w:styleId="1025" w:customStyle="1">
    <w:name w:val="Lined - Accent 2"/>
    <w:uiPriority w:val="99"/>
    <w:rPr>
      <w:color w:val="404040"/>
    </w:rPr>
    <w:tblPr>
      <w:tblCellMar>
        <w:left w:w="0" w:type="dxa"/>
        <w:top w:w="0" w:type="dxa"/>
        <w:right w:w="0" w:type="dxa"/>
        <w:bottom w:w="0" w:type="dxa"/>
      </w:tblCellMar>
    </w:tblPr>
  </w:style>
  <w:style w:type="table" w:styleId="1026" w:customStyle="1">
    <w:name w:val="Lined - Accent 3"/>
    <w:uiPriority w:val="99"/>
    <w:rPr>
      <w:color w:val="404040"/>
    </w:rPr>
    <w:tblPr>
      <w:tblCellMar>
        <w:left w:w="0" w:type="dxa"/>
        <w:top w:w="0" w:type="dxa"/>
        <w:right w:w="0" w:type="dxa"/>
        <w:bottom w:w="0" w:type="dxa"/>
      </w:tblCellMar>
    </w:tblPr>
  </w:style>
  <w:style w:type="table" w:styleId="1027" w:customStyle="1">
    <w:name w:val="Lined - Accent 4"/>
    <w:uiPriority w:val="99"/>
    <w:rPr>
      <w:color w:val="404040"/>
    </w:rPr>
    <w:tblPr>
      <w:tblCellMar>
        <w:left w:w="0" w:type="dxa"/>
        <w:top w:w="0" w:type="dxa"/>
        <w:right w:w="0" w:type="dxa"/>
        <w:bottom w:w="0" w:type="dxa"/>
      </w:tblCellMar>
    </w:tblPr>
  </w:style>
  <w:style w:type="table" w:styleId="1028" w:customStyle="1">
    <w:name w:val="Lined - Accent 5"/>
    <w:uiPriority w:val="99"/>
    <w:rPr>
      <w:color w:val="404040"/>
    </w:rPr>
    <w:tblPr>
      <w:tblCellMar>
        <w:left w:w="0" w:type="dxa"/>
        <w:top w:w="0" w:type="dxa"/>
        <w:right w:w="0" w:type="dxa"/>
        <w:bottom w:w="0" w:type="dxa"/>
      </w:tblCellMar>
    </w:tblPr>
  </w:style>
  <w:style w:type="table" w:styleId="1029" w:customStyle="1">
    <w:name w:val="Lined - Accent 6"/>
    <w:uiPriority w:val="99"/>
    <w:rPr>
      <w:color w:val="404040"/>
    </w:rPr>
    <w:tblPr>
      <w:tblCellMar>
        <w:left w:w="0" w:type="dxa"/>
        <w:top w:w="0" w:type="dxa"/>
        <w:right w:w="0" w:type="dxa"/>
        <w:bottom w:w="0" w:type="dxa"/>
      </w:tblCellMar>
    </w:tblPr>
  </w:style>
  <w:style w:type="table" w:styleId="1030"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3"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4" w:customStyle="1">
    <w:name w:val="脚注文本 字符"/>
    <w:link w:val="878"/>
    <w:uiPriority w:val="99"/>
    <w:rPr>
      <w:sz w:val="18"/>
    </w:rPr>
  </w:style>
  <w:style w:type="character" w:styleId="1045" w:customStyle="1">
    <w:name w:val="尾注文本 字符"/>
    <w:link w:val="870"/>
    <w:uiPriority w:val="99"/>
    <w:qFormat/>
    <w:rPr>
      <w:sz w:val="20"/>
    </w:rPr>
  </w:style>
  <w:style w:type="paragraph" w:styleId="1046" w:customStyle="1">
    <w:name w:val="TOC 标题1"/>
    <w:uiPriority w:val="39"/>
    <w:unhideWhenUsed/>
    <w:qFormat/>
  </w:style>
  <w:style w:type="character" w:styleId="1047" w:customStyle="1">
    <w:name w:val="标题 1 字符"/>
    <w:link w:val="840"/>
    <w:qFormat/>
    <w:rPr>
      <w:rFonts w:ascii="宋体"/>
      <w:b/>
      <w:sz w:val="32"/>
    </w:rPr>
  </w:style>
  <w:style w:type="character" w:styleId="1048" w:customStyle="1">
    <w:name w:val="标题 2 字符"/>
    <w:link w:val="841"/>
    <w:qFormat/>
    <w:rPr>
      <w:rFonts w:ascii="Arial" w:hAnsi="Arial" w:eastAsia="黑体"/>
      <w:b/>
      <w:sz w:val="30"/>
      <w:lang w:val="en-US" w:eastAsia="zh-CN" w:bidi="ar-SA"/>
    </w:rPr>
  </w:style>
  <w:style w:type="character" w:styleId="1049" w:customStyle="1">
    <w:name w:val="标题 3 字符"/>
    <w:link w:val="842"/>
    <w:qFormat/>
    <w:rPr>
      <w:rFonts w:ascii="宋体" w:eastAsia="宋体"/>
      <w:b/>
      <w:sz w:val="24"/>
      <w:u w:val="single"/>
      <w:lang w:val="en-US" w:eastAsia="zh-CN" w:bidi="ar-SA"/>
    </w:rPr>
  </w:style>
  <w:style w:type="character" w:styleId="1050" w:customStyle="1">
    <w:name w:val="标题 4 字符"/>
    <w:link w:val="843"/>
    <w:qFormat/>
    <w:rPr>
      <w:rFonts w:ascii="Arial" w:hAnsi="Arial" w:eastAsia="黑体"/>
      <w:b/>
      <w:sz w:val="28"/>
    </w:rPr>
  </w:style>
  <w:style w:type="character" w:styleId="1051" w:customStyle="1">
    <w:name w:val="标题 5 字符"/>
    <w:link w:val="844"/>
    <w:qFormat/>
    <w:rPr>
      <w:b/>
      <w:sz w:val="28"/>
    </w:rPr>
  </w:style>
  <w:style w:type="character" w:styleId="1052" w:customStyle="1">
    <w:name w:val="标题 6 字符"/>
    <w:link w:val="845"/>
    <w:qFormat/>
    <w:rPr>
      <w:rFonts w:ascii="Arial" w:hAnsi="Arial" w:eastAsia="黑体"/>
      <w:b/>
      <w:sz w:val="24"/>
    </w:rPr>
  </w:style>
  <w:style w:type="character" w:styleId="1053" w:customStyle="1">
    <w:name w:val="标题 7 字符"/>
    <w:link w:val="846"/>
    <w:qFormat/>
    <w:rPr>
      <w:b/>
      <w:sz w:val="24"/>
    </w:rPr>
  </w:style>
  <w:style w:type="character" w:styleId="1054" w:customStyle="1">
    <w:name w:val="标题 8 字符"/>
    <w:link w:val="847"/>
    <w:qFormat/>
    <w:rPr>
      <w:rFonts w:ascii="Arial" w:hAnsi="Arial" w:eastAsia="黑体"/>
      <w:sz w:val="24"/>
    </w:rPr>
  </w:style>
  <w:style w:type="character" w:styleId="1055" w:customStyle="1">
    <w:name w:val="标题 9 字符"/>
    <w:link w:val="848"/>
    <w:qFormat/>
    <w:rPr>
      <w:rFonts w:ascii="Arial" w:hAnsi="Arial" w:eastAsia="黑体"/>
      <w:sz w:val="21"/>
    </w:rPr>
  </w:style>
  <w:style w:type="paragraph" w:styleId="1056" w:customStyle="1">
    <w:name w:val="目录 71"/>
    <w:basedOn w:val="839"/>
    <w:next w:val="839"/>
    <w:qFormat/>
    <w:pPr>
      <w:ind w:left="2520"/>
    </w:pPr>
  </w:style>
  <w:style w:type="character" w:styleId="1057" w:customStyle="1">
    <w:name w:val="正文缩进 字符"/>
    <w:link w:val="855"/>
    <w:qFormat/>
    <w:rPr>
      <w:rFonts w:ascii="宋体" w:eastAsia="宋体"/>
      <w:sz w:val="24"/>
      <w:szCs w:val="24"/>
      <w:lang w:val="en-US" w:eastAsia="zh-CN" w:bidi="ar-SA"/>
    </w:rPr>
  </w:style>
  <w:style w:type="character" w:styleId="1058" w:customStyle="1">
    <w:name w:val="文档结构图 字符"/>
    <w:link w:val="857"/>
    <w:qFormat/>
    <w:rPr>
      <w:sz w:val="21"/>
      <w:szCs w:val="24"/>
      <w:shd w:val="clear" w:color="auto" w:fill="000080"/>
    </w:rPr>
  </w:style>
  <w:style w:type="character" w:styleId="1059" w:customStyle="1">
    <w:name w:val="批注文字 字符1"/>
    <w:link w:val="858"/>
    <w:uiPriority w:val="99"/>
    <w:qFormat/>
    <w:rPr>
      <w:sz w:val="21"/>
      <w:szCs w:val="24"/>
    </w:rPr>
  </w:style>
  <w:style w:type="character" w:styleId="1060" w:customStyle="1">
    <w:name w:val="正文文本 3 字符"/>
    <w:link w:val="859"/>
    <w:qFormat/>
    <w:rPr>
      <w:sz w:val="16"/>
      <w:szCs w:val="16"/>
    </w:rPr>
  </w:style>
  <w:style w:type="character" w:styleId="1061" w:customStyle="1">
    <w:name w:val="正文文本 字符1"/>
    <w:link w:val="860"/>
    <w:qFormat/>
    <w:rPr>
      <w:rFonts w:ascii="宋体" w:hAnsi="宋体" w:eastAsia="宋体" w:cs="Times New Roman"/>
      <w:sz w:val="24"/>
      <w:szCs w:val="24"/>
    </w:rPr>
  </w:style>
  <w:style w:type="character" w:styleId="1062" w:customStyle="1">
    <w:name w:val="正文文本缩进 字符"/>
    <w:link w:val="861"/>
    <w:qFormat/>
    <w:rPr>
      <w:rFonts w:eastAsia="宋体"/>
      <w:sz w:val="24"/>
      <w:szCs w:val="24"/>
      <w:lang w:val="en-US" w:eastAsia="zh-CN" w:bidi="ar-SA"/>
    </w:rPr>
  </w:style>
  <w:style w:type="paragraph" w:styleId="1063" w:customStyle="1">
    <w:name w:val="目录 51"/>
    <w:basedOn w:val="839"/>
    <w:next w:val="839"/>
    <w:qFormat/>
    <w:pPr>
      <w:ind w:left="1680"/>
    </w:pPr>
  </w:style>
  <w:style w:type="paragraph" w:styleId="1064" w:customStyle="1">
    <w:name w:val="目录 31"/>
    <w:basedOn w:val="839"/>
    <w:next w:val="839"/>
    <w:uiPriority w:val="39"/>
    <w:qFormat/>
    <w:pPr>
      <w:ind w:left="840"/>
    </w:pPr>
  </w:style>
  <w:style w:type="character" w:styleId="1065" w:customStyle="1">
    <w:name w:val="纯文本 字符2"/>
    <w:link w:val="866"/>
    <w:qFormat/>
    <w:rPr>
      <w:rFonts w:hint="eastAsia" w:ascii="宋体" w:hAnsi="Courier New" w:eastAsia="宋体" w:cs="宋体"/>
      <w:sz w:val="21"/>
    </w:rPr>
  </w:style>
  <w:style w:type="paragraph" w:styleId="1066" w:customStyle="1">
    <w:name w:val="目录 81"/>
    <w:basedOn w:val="839"/>
    <w:next w:val="839"/>
    <w:qFormat/>
    <w:pPr>
      <w:ind w:left="2940"/>
    </w:pPr>
  </w:style>
  <w:style w:type="character" w:styleId="1067" w:customStyle="1">
    <w:name w:val="日期 字符"/>
    <w:link w:val="868"/>
    <w:qFormat/>
    <w:rPr>
      <w:rFonts w:ascii="仿宋_GB2312" w:hAnsi="宋体" w:eastAsia="仿宋_GB2312"/>
      <w:color w:val="000000"/>
      <w:sz w:val="24"/>
      <w:szCs w:val="24"/>
    </w:rPr>
  </w:style>
  <w:style w:type="character" w:styleId="1068" w:customStyle="1">
    <w:name w:val="正文文本缩进 2 字符"/>
    <w:link w:val="869"/>
    <w:qFormat/>
    <w:rPr>
      <w:rFonts w:ascii="仿宋_GB2312" w:eastAsia="仿宋_GB2312"/>
      <w:sz w:val="24"/>
      <w:szCs w:val="24"/>
    </w:rPr>
  </w:style>
  <w:style w:type="character" w:styleId="1069" w:customStyle="1">
    <w:name w:val="批注框文本 字符"/>
    <w:link w:val="871"/>
    <w:qFormat/>
    <w:rPr>
      <w:sz w:val="18"/>
      <w:szCs w:val="18"/>
    </w:rPr>
  </w:style>
  <w:style w:type="character" w:styleId="1070" w:customStyle="1">
    <w:name w:val="页脚 字符"/>
    <w:link w:val="872"/>
    <w:uiPriority w:val="99"/>
    <w:qFormat/>
    <w:rPr>
      <w:rFonts w:ascii="宋体" w:eastAsia="宋体"/>
      <w:sz w:val="18"/>
      <w:lang w:val="en-US" w:eastAsia="zh-CN" w:bidi="ar-SA"/>
    </w:rPr>
  </w:style>
  <w:style w:type="character" w:styleId="1071" w:customStyle="1">
    <w:name w:val="页眉 字符"/>
    <w:link w:val="874"/>
    <w:qFormat/>
    <w:rPr>
      <w:rFonts w:eastAsia="宋体"/>
      <w:sz w:val="18"/>
      <w:szCs w:val="18"/>
      <w:lang w:val="en-US" w:eastAsia="zh-CN" w:bidi="ar-SA"/>
    </w:rPr>
  </w:style>
  <w:style w:type="paragraph" w:styleId="1072" w:customStyle="1">
    <w:name w:val="目录 11"/>
    <w:basedOn w:val="839"/>
    <w:next w:val="839"/>
    <w:uiPriority w:val="39"/>
    <w:qFormat/>
    <w:pPr>
      <w:spacing w:line="300" w:lineRule="auto"/>
      <w:tabs>
        <w:tab w:val="left" w:pos="1050" w:leader="none"/>
        <w:tab w:val="right" w:pos="8937" w:leader="dot"/>
      </w:tabs>
    </w:pPr>
    <w:rPr>
      <w:rFonts w:ascii="宋体" w:hAnsi="宋体"/>
      <w:b/>
      <w:sz w:val="24"/>
    </w:rPr>
  </w:style>
  <w:style w:type="paragraph" w:styleId="1073" w:customStyle="1">
    <w:name w:val="目录 41"/>
    <w:basedOn w:val="839"/>
    <w:next w:val="839"/>
    <w:qFormat/>
    <w:pPr>
      <w:ind w:left="1260"/>
    </w:pPr>
  </w:style>
  <w:style w:type="paragraph" w:styleId="1074" w:customStyle="1">
    <w:name w:val="目录 61"/>
    <w:basedOn w:val="839"/>
    <w:next w:val="839"/>
    <w:qFormat/>
    <w:pPr>
      <w:ind w:left="2100"/>
    </w:pPr>
  </w:style>
  <w:style w:type="character" w:styleId="1075" w:customStyle="1">
    <w:name w:val="正文文本缩进 3 字符"/>
    <w:link w:val="880"/>
    <w:qFormat/>
    <w:rPr>
      <w:rFonts w:ascii="宋体"/>
      <w:sz w:val="24"/>
    </w:rPr>
  </w:style>
  <w:style w:type="paragraph" w:styleId="1076" w:customStyle="1">
    <w:name w:val="目录 21"/>
    <w:basedOn w:val="839"/>
    <w:next w:val="839"/>
    <w:uiPriority w:val="39"/>
    <w:qFormat/>
    <w:pPr>
      <w:ind w:left="420"/>
      <w:spacing w:line="312" w:lineRule="auto"/>
      <w:tabs>
        <w:tab w:val="right" w:pos="8937" w:leader="dot"/>
      </w:tabs>
    </w:pPr>
  </w:style>
  <w:style w:type="paragraph" w:styleId="1077" w:customStyle="1">
    <w:name w:val="目录 91"/>
    <w:basedOn w:val="839"/>
    <w:next w:val="839"/>
    <w:qFormat/>
    <w:pPr>
      <w:ind w:left="3360"/>
    </w:pPr>
  </w:style>
  <w:style w:type="character" w:styleId="1078" w:customStyle="1">
    <w:name w:val="HTML 预设格式 字符"/>
    <w:link w:val="884"/>
    <w:qFormat/>
    <w:rPr>
      <w:rFonts w:ascii="宋体" w:hAnsi="宋体" w:cs="宋体"/>
      <w:sz w:val="24"/>
      <w:szCs w:val="24"/>
    </w:rPr>
  </w:style>
  <w:style w:type="character" w:styleId="1079" w:customStyle="1">
    <w:name w:val="标题 字符"/>
    <w:link w:val="887"/>
    <w:qFormat/>
    <w:rPr>
      <w:b/>
      <w:sz w:val="32"/>
    </w:rPr>
  </w:style>
  <w:style w:type="character" w:styleId="1080" w:customStyle="1">
    <w:name w:val="批注主题 字符"/>
    <w:link w:val="888"/>
    <w:qFormat/>
    <w:rPr>
      <w:rFonts w:ascii="Times New Roman" w:hAnsi="Times New Roman" w:eastAsia="宋体" w:cs="Times New Roman"/>
      <w:b/>
      <w:bCs/>
      <w:sz w:val="21"/>
      <w:szCs w:val="24"/>
      <w:lang w:val="en-US" w:eastAsia="zh-CN" w:bidi="ar-SA"/>
    </w:rPr>
  </w:style>
  <w:style w:type="paragraph" w:styleId="1081" w:customStyle="1">
    <w:name w:val="正文首行缩进1"/>
    <w:basedOn w:val="860"/>
    <w:qFormat/>
    <w:pPr>
      <w:ind w:firstLine="420"/>
      <w:spacing w:before="0" w:after="120" w:line="240" w:lineRule="auto"/>
      <w:tabs>
        <w:tab w:val="left" w:pos="0" w:leader="none"/>
        <w:tab w:val="left" w:pos="993" w:leader="none"/>
        <w:tab w:val="left" w:pos="1134" w:leader="none"/>
      </w:tabs>
    </w:pPr>
    <w:rPr>
      <w:rFonts w:ascii="Times New Roman" w:hAnsi="Times New Roman"/>
      <w:sz w:val="21"/>
    </w:rPr>
  </w:style>
  <w:style w:type="paragraph" w:styleId="1082" w:customStyle="1">
    <w:name w:val="正文首行缩进 21"/>
    <w:basedOn w:val="861"/>
    <w:next w:val="839"/>
    <w:link w:val="1083"/>
    <w:qFormat/>
    <w:pPr>
      <w:ind w:left="420" w:firstLine="420"/>
      <w:spacing w:after="120" w:line="480" w:lineRule="exact"/>
    </w:pPr>
    <w:rPr>
      <w:szCs w:val="20"/>
    </w:rPr>
  </w:style>
  <w:style w:type="character" w:styleId="1083" w:customStyle="1">
    <w:name w:val="正文文本首行缩进 2 字符"/>
    <w:link w:val="1082"/>
    <w:qFormat/>
    <w:rPr>
      <w:rFonts w:eastAsia="宋体"/>
      <w:sz w:val="24"/>
      <w:szCs w:val="24"/>
      <w:lang w:val="en-US" w:eastAsia="zh-CN" w:bidi="ar-SA"/>
    </w:rPr>
  </w:style>
  <w:style w:type="table" w:styleId="1084" w:customStyle="1">
    <w:name w:val="中等深浅网格 1 - 强调文字颜色 21"/>
    <w:basedOn w:val="850"/>
    <w:qFormat/>
    <w:rPr>
      <w:sz w:val="21"/>
      <w:szCs w:val="24"/>
    </w:rPr>
    <w:tblPr/>
  </w:style>
  <w:style w:type="character" w:styleId="1085" w:customStyle="1">
    <w:name w:val="已访问的超链接1"/>
    <w:qFormat/>
    <w:rPr>
      <w:color w:val="333333"/>
      <w:u w:val="none"/>
    </w:rPr>
  </w:style>
  <w:style w:type="character" w:styleId="1086" w:customStyle="1">
    <w:name w:val="正文文本 字符"/>
    <w:qFormat/>
    <w:rPr>
      <w:rFonts w:ascii="宋体" w:hAnsi="宋体"/>
      <w:sz w:val="24"/>
      <w:szCs w:val="24"/>
    </w:rPr>
  </w:style>
  <w:style w:type="paragraph" w:styleId="1087" w:customStyle="1">
    <w:name w:val="Default"/>
    <w:next w:val="839"/>
    <w:qFormat/>
    <w:pPr>
      <w:widowControl w:val="off"/>
    </w:pPr>
    <w:rPr>
      <w:rFonts w:ascii="Symbol" w:hAnsi="Symbol" w:cs="Symbol"/>
      <w:color w:val="000000"/>
      <w:sz w:val="24"/>
      <w:szCs w:val="24"/>
    </w:rPr>
  </w:style>
  <w:style w:type="paragraph" w:styleId="1088" w:customStyle="1">
    <w:name w:val="标题 31"/>
    <w:basedOn w:val="839"/>
    <w:next w:val="839"/>
    <w:qFormat/>
    <w:pPr>
      <w:keepLines/>
      <w:keepNext/>
      <w:spacing w:before="260" w:after="260" w:line="416" w:lineRule="auto"/>
      <w:outlineLvl w:val="2"/>
    </w:pPr>
    <w:rPr>
      <w:b/>
      <w:bCs/>
      <w:sz w:val="32"/>
      <w:szCs w:val="32"/>
    </w:rPr>
  </w:style>
  <w:style w:type="character" w:styleId="1089" w:customStyle="1">
    <w:name w:val="批注文字 字符"/>
    <w:uiPriority w:val="99"/>
    <w:qFormat/>
    <w:rPr>
      <w:rFonts w:ascii="Times New Roman" w:hAnsi="Times New Roman" w:eastAsia="宋体" w:cs="Times New Roman"/>
      <w:sz w:val="24"/>
      <w:lang w:val="en-US" w:eastAsia="zh-CN" w:bidi="ar-SA"/>
    </w:rPr>
  </w:style>
  <w:style w:type="character" w:styleId="1090" w:customStyle="1">
    <w:name w:val="列出段落 Char"/>
    <w:qFormat/>
    <w:rPr>
      <w:rFonts w:ascii="Calibri" w:hAnsi="Calibri" w:eastAsia="宋体"/>
      <w:sz w:val="21"/>
      <w:szCs w:val="22"/>
      <w:lang w:val="en-US" w:eastAsia="zh-CN" w:bidi="ar-SA"/>
    </w:rPr>
  </w:style>
  <w:style w:type="character" w:styleId="1091" w:customStyle="1">
    <w:name w:val="txt"/>
    <w:qFormat/>
  </w:style>
  <w:style w:type="character" w:styleId="1092" w:customStyle="1">
    <w:name w:val="title4"/>
    <w:qFormat/>
    <w:rPr>
      <w:b/>
      <w:bCs/>
      <w:color w:val="1d87b3"/>
      <w:sz w:val="15"/>
      <w:szCs w:val="15"/>
    </w:rPr>
  </w:style>
  <w:style w:type="character" w:styleId="1093" w:customStyle="1">
    <w:name w:val="apple-style-span"/>
    <w:qFormat/>
    <w:rPr>
      <w:rFonts w:cs="Times New Roman"/>
    </w:rPr>
  </w:style>
  <w:style w:type="character" w:styleId="1094" w:customStyle="1">
    <w:name w:val="正文大标题 Char"/>
    <w:link w:val="1095"/>
    <w:qFormat/>
    <w:rPr>
      <w:rFonts w:ascii="宋体" w:hAnsi="宋体"/>
      <w:b/>
      <w:color w:val="000000"/>
      <w:sz w:val="28"/>
      <w:szCs w:val="21"/>
    </w:rPr>
  </w:style>
  <w:style w:type="paragraph" w:styleId="1095" w:customStyle="1">
    <w:name w:val="正文大标题"/>
    <w:basedOn w:val="1096"/>
    <w:next w:val="855"/>
    <w:link w:val="1094"/>
    <w:qFormat/>
    <w:pPr>
      <w:jc w:val="center"/>
    </w:pPr>
    <w:rPr>
      <w:i w:val="0"/>
      <w:color w:val="000000"/>
      <w:sz w:val="28"/>
      <w:szCs w:val="21"/>
    </w:rPr>
  </w:style>
  <w:style w:type="paragraph" w:styleId="1096" w:customStyle="1">
    <w:name w:val="正文小标题"/>
    <w:basedOn w:val="839"/>
    <w:next w:val="855"/>
    <w:link w:val="1097"/>
    <w:qFormat/>
    <w:pPr>
      <w:ind w:firstLine="482"/>
      <w:jc w:val="left"/>
      <w:spacing w:before="312" w:after="312"/>
    </w:pPr>
    <w:rPr>
      <w:rFonts w:ascii="宋体" w:hAnsi="宋体"/>
      <w:b/>
      <w:i/>
      <w:color w:val="ff0000"/>
      <w:sz w:val="24"/>
      <w:szCs w:val="20"/>
    </w:rPr>
  </w:style>
  <w:style w:type="character" w:styleId="1097" w:customStyle="1">
    <w:name w:val="正文小标题 Char"/>
    <w:link w:val="1096"/>
    <w:qFormat/>
    <w:rPr>
      <w:rFonts w:ascii="宋体" w:hAnsi="宋体"/>
      <w:b/>
      <w:i/>
      <w:color w:val="ff0000"/>
      <w:sz w:val="24"/>
    </w:rPr>
  </w:style>
  <w:style w:type="character" w:styleId="1098" w:customStyle="1">
    <w:name w:val="中等深浅网格 1 - 强调文字颜色 2 Char"/>
    <w:link w:val="1099"/>
    <w:qFormat/>
    <w:rPr>
      <w:sz w:val="21"/>
      <w:szCs w:val="24"/>
      <w:lang w:val="zh-CN" w:eastAsia="zh-CN" w:bidi="ar-SA"/>
    </w:rPr>
  </w:style>
  <w:style w:type="paragraph" w:styleId="1099" w:customStyle="1">
    <w:name w:val="1"/>
    <w:link w:val="1098"/>
    <w:qFormat/>
    <w:rPr>
      <w:sz w:val="21"/>
      <w:szCs w:val="24"/>
      <w:lang w:val="zh-CN"/>
    </w:rPr>
  </w:style>
  <w:style w:type="character" w:styleId="1100" w:customStyle="1">
    <w:name w:val="正文重点 Char"/>
    <w:link w:val="1101"/>
    <w:qFormat/>
    <w:rPr>
      <w:b/>
      <w:sz w:val="24"/>
    </w:rPr>
  </w:style>
  <w:style w:type="paragraph" w:styleId="1101" w:customStyle="1">
    <w:name w:val="正文重点"/>
    <w:basedOn w:val="839"/>
    <w:link w:val="1100"/>
    <w:qFormat/>
    <w:pPr>
      <w:ind w:firstLine="482"/>
      <w:jc w:val="left"/>
      <w:spacing w:line="360" w:lineRule="auto"/>
    </w:pPr>
    <w:rPr>
      <w:b/>
      <w:sz w:val="24"/>
      <w:szCs w:val="20"/>
    </w:rPr>
  </w:style>
  <w:style w:type="character" w:styleId="1102" w:customStyle="1">
    <w:name w:val="正文缩进 Char"/>
    <w:qFormat/>
    <w:rPr>
      <w:rFonts w:ascii="宋体" w:eastAsia="宋体"/>
      <w:sz w:val="24"/>
      <w:szCs w:val="24"/>
      <w:lang w:val="en-US" w:eastAsia="zh-CN" w:bidi="ar-SA"/>
    </w:rPr>
  </w:style>
  <w:style w:type="character" w:styleId="1103" w:customStyle="1">
    <w:name w:val="标题 3 Char"/>
    <w:qFormat/>
    <w:rPr>
      <w:rFonts w:ascii="宋体" w:eastAsia="宋体"/>
      <w:b/>
      <w:sz w:val="24"/>
      <w:u w:val="single"/>
      <w:lang w:val="en-US" w:eastAsia="zh-CN" w:bidi="ar-SA"/>
    </w:rPr>
  </w:style>
  <w:style w:type="character" w:styleId="1104" w:customStyle="1">
    <w:name w:val="纯文本 字符1"/>
    <w:qFormat/>
    <w:rPr>
      <w:rFonts w:ascii="宋体" w:hAnsi="Courier New"/>
    </w:rPr>
  </w:style>
  <w:style w:type="character" w:styleId="1105" w:customStyle="1">
    <w:name w:val="标题 2 Char Char"/>
    <w:qFormat/>
    <w:rPr>
      <w:rFonts w:ascii="Arial" w:hAnsi="Arial" w:eastAsia="黑体"/>
      <w:b/>
      <w:bCs/>
      <w:sz w:val="32"/>
      <w:szCs w:val="32"/>
      <w:lang w:val="en-US" w:eastAsia="zh-CN" w:bidi="ar-SA"/>
    </w:rPr>
  </w:style>
  <w:style w:type="character" w:styleId="1106" w:customStyle="1">
    <w:name w:val="纯文本 Char1"/>
    <w:qFormat/>
    <w:rPr>
      <w:rFonts w:ascii="宋体" w:hAnsi="Courier New" w:eastAsia="宋体"/>
      <w:sz w:val="21"/>
      <w:lang w:val="en-US" w:eastAsia="zh-CN" w:bidi="ar-SA"/>
    </w:rPr>
  </w:style>
  <w:style w:type="character" w:styleId="1107" w:customStyle="1">
    <w:name w:val="标题 2 Char"/>
    <w:qFormat/>
    <w:rPr>
      <w:rFonts w:ascii="Arial" w:hAnsi="Arial" w:eastAsia="黑体"/>
      <w:b/>
      <w:sz w:val="30"/>
      <w:lang w:val="en-US" w:eastAsia="zh-CN" w:bidi="ar-SA"/>
    </w:rPr>
  </w:style>
  <w:style w:type="character" w:styleId="1108" w:customStyle="1">
    <w:name w:val="Char Char11"/>
    <w:qFormat/>
    <w:rPr>
      <w:rFonts w:ascii="宋体" w:eastAsia="宋体"/>
      <w:b/>
      <w:sz w:val="24"/>
      <w:u w:val="single"/>
      <w:lang w:val="en-US" w:eastAsia="zh-CN" w:bidi="ar-SA"/>
    </w:rPr>
  </w:style>
  <w:style w:type="character" w:styleId="1109" w:customStyle="1">
    <w:name w:val="标题 Char"/>
    <w:qFormat/>
    <w:rPr>
      <w:b/>
      <w:sz w:val="32"/>
    </w:rPr>
  </w:style>
  <w:style w:type="character" w:styleId="1110" w:customStyle="1">
    <w:name w:val="正文文本缩进 Char"/>
    <w:qFormat/>
    <w:rPr>
      <w:rFonts w:eastAsia="宋体"/>
      <w:sz w:val="24"/>
      <w:szCs w:val="24"/>
      <w:lang w:val="en-US" w:eastAsia="zh-CN" w:bidi="ar-SA"/>
    </w:rPr>
  </w:style>
  <w:style w:type="character" w:styleId="1111" w:customStyle="1">
    <w:name w:val="street-address"/>
    <w:qFormat/>
  </w:style>
  <w:style w:type="character" w:styleId="1112" w:customStyle="1">
    <w:name w:val="段1 Char"/>
    <w:qFormat/>
    <w:rPr>
      <w:rFonts w:ascii="宋体" w:eastAsia="宋体"/>
      <w:sz w:val="24"/>
      <w:lang w:val="en-US" w:eastAsia="zh-CN" w:bidi="ar-SA"/>
    </w:rPr>
  </w:style>
  <w:style w:type="character" w:styleId="1113" w:customStyle="1">
    <w:name w:val="Char Char111"/>
    <w:qFormat/>
    <w:rPr>
      <w:rFonts w:ascii="宋体" w:eastAsia="宋体"/>
      <w:b/>
      <w:sz w:val="24"/>
      <w:u w:val="single"/>
      <w:lang w:val="en-US" w:eastAsia="zh-CN" w:bidi="ar-SA"/>
    </w:rPr>
  </w:style>
  <w:style w:type="character" w:styleId="1114" w:customStyle="1">
    <w:name w:val="成文日期 Char"/>
    <w:link w:val="1115"/>
    <w:qFormat/>
    <w:rPr>
      <w:rFonts w:ascii="仿宋_GB2312" w:eastAsia="仿宋_GB2312"/>
      <w:sz w:val="32"/>
    </w:rPr>
  </w:style>
  <w:style w:type="paragraph" w:styleId="1115" w:customStyle="1">
    <w:name w:val="成文日期"/>
    <w:basedOn w:val="839"/>
    <w:link w:val="1114"/>
    <w:qFormat/>
    <w:pPr>
      <w:ind w:right="400" w:firstLine="200"/>
      <w:jc w:val="right"/>
      <w:spacing w:line="570" w:lineRule="exact"/>
    </w:pPr>
    <w:rPr>
      <w:rFonts w:ascii="仿宋_GB2312" w:eastAsia="仿宋_GB2312"/>
      <w:sz w:val="32"/>
      <w:szCs w:val="20"/>
    </w:rPr>
  </w:style>
  <w:style w:type="character" w:styleId="1116" w:customStyle="1">
    <w:name w:val="locality"/>
    <w:qFormat/>
  </w:style>
  <w:style w:type="character" w:styleId="1117" w:customStyle="1">
    <w:name w:val="页眉 Char"/>
    <w:qFormat/>
    <w:rPr>
      <w:rFonts w:eastAsia="宋体"/>
      <w:sz w:val="18"/>
      <w:szCs w:val="18"/>
      <w:lang w:val="en-US" w:eastAsia="zh-CN" w:bidi="ar-SA"/>
    </w:rPr>
  </w:style>
  <w:style w:type="character" w:styleId="1118" w:customStyle="1">
    <w:name w:val="标题 3 Char Char"/>
    <w:qFormat/>
    <w:rPr>
      <w:rFonts w:eastAsia="宋体"/>
      <w:b/>
      <w:bCs/>
      <w:sz w:val="32"/>
      <w:szCs w:val="32"/>
      <w:lang w:val="en-US" w:eastAsia="zh-CN" w:bidi="ar-SA"/>
    </w:rPr>
  </w:style>
  <w:style w:type="character" w:styleId="1119" w:customStyle="1">
    <w:name w:val="chanpin1"/>
    <w:qFormat/>
    <w:rPr>
      <w:rFonts w:ascii="ˎ̥" w:hAnsi="ˎ̥"/>
      <w:color w:val="000000"/>
      <w:sz w:val="20"/>
      <w:szCs w:val="20"/>
      <w:u w:val="none"/>
    </w:rPr>
  </w:style>
  <w:style w:type="character" w:styleId="1120" w:customStyle="1">
    <w:name w:val="正文文本缩进 Char1"/>
    <w:link w:val="1121"/>
    <w:qFormat/>
    <w:rPr>
      <w:rFonts w:ascii="宋体" w:hAnsi="宋体" w:eastAsia="宋体"/>
      <w:sz w:val="24"/>
      <w:szCs w:val="24"/>
      <w:lang w:bidi="ar-SA"/>
    </w:rPr>
  </w:style>
  <w:style w:type="paragraph" w:styleId="1121" w:customStyle="1">
    <w:name w:val="正文文本缩进1"/>
    <w:basedOn w:val="839"/>
    <w:link w:val="1120"/>
    <w:qFormat/>
    <w:pPr>
      <w:ind w:firstLine="480"/>
      <w:spacing w:line="480" w:lineRule="exact"/>
    </w:pPr>
    <w:rPr>
      <w:rFonts w:ascii="宋体" w:hAnsi="宋体"/>
      <w:sz w:val="24"/>
    </w:rPr>
  </w:style>
  <w:style w:type="character" w:styleId="1122" w:customStyle="1">
    <w:name w:val="正文缩进 Char Char"/>
    <w:link w:val="1123"/>
    <w:qFormat/>
    <w:rPr>
      <w:rFonts w:ascii="宋体" w:eastAsia="宋体"/>
      <w:color w:val="000000"/>
      <w:sz w:val="28"/>
      <w:lang w:bidi="ar-SA"/>
    </w:rPr>
  </w:style>
  <w:style w:type="paragraph" w:styleId="1123" w:customStyle="1">
    <w:name w:val="正文缩进1"/>
    <w:basedOn w:val="839"/>
    <w:link w:val="1122"/>
    <w:qFormat/>
    <w:pPr>
      <w:ind w:firstLine="567"/>
      <w:spacing w:line="480" w:lineRule="exact"/>
      <w:widowControl/>
    </w:pPr>
    <w:rPr>
      <w:rFonts w:ascii="宋体"/>
      <w:color w:val="000000"/>
      <w:sz w:val="28"/>
      <w:szCs w:val="20"/>
    </w:rPr>
  </w:style>
  <w:style w:type="character" w:styleId="1124" w:customStyle="1">
    <w:name w:val="正文表格 Char"/>
    <w:link w:val="1125"/>
    <w:qFormat/>
    <w:rPr>
      <w:rFonts w:ascii="宋体" w:hAnsi="宋体"/>
      <w:color w:val="000000"/>
      <w:sz w:val="21"/>
      <w:szCs w:val="21"/>
    </w:rPr>
  </w:style>
  <w:style w:type="paragraph" w:styleId="1125" w:customStyle="1">
    <w:name w:val="正文表格"/>
    <w:basedOn w:val="839"/>
    <w:link w:val="1124"/>
    <w:qFormat/>
    <w:pPr>
      <w:jc w:val="left"/>
    </w:pPr>
    <w:rPr>
      <w:rFonts w:ascii="宋体" w:hAnsi="宋体"/>
      <w:color w:val="000000"/>
      <w:szCs w:val="21"/>
    </w:rPr>
  </w:style>
  <w:style w:type="character" w:styleId="1126" w:customStyle="1">
    <w:name w:val="普通文字1 Char1"/>
    <w:qFormat/>
    <w:rPr>
      <w:rFonts w:ascii="宋体" w:hAnsi="Courier New" w:eastAsia="宋体"/>
      <w:sz w:val="21"/>
      <w:lang w:val="en-US" w:eastAsia="zh-CN" w:bidi="ar-SA"/>
    </w:rPr>
  </w:style>
  <w:style w:type="character" w:styleId="1127" w:customStyle="1">
    <w:name w:val="c21"/>
    <w:qFormat/>
    <w:rPr>
      <w:rFonts w:ascii="ˎ̥" w:hAnsi="ˎ̥"/>
      <w:color w:val="000000"/>
      <w:sz w:val="20"/>
      <w:szCs w:val="20"/>
      <w:u w:val="none"/>
    </w:rPr>
  </w:style>
  <w:style w:type="character" w:styleId="1128" w:customStyle="1">
    <w:name w:val="页脚 Char"/>
    <w:qFormat/>
    <w:rPr>
      <w:rFonts w:ascii="宋体" w:eastAsia="宋体"/>
      <w:sz w:val="18"/>
      <w:lang w:val="en-US" w:eastAsia="zh-CN" w:bidi="ar-SA"/>
    </w:rPr>
  </w:style>
  <w:style w:type="character" w:styleId="1129" w:customStyle="1">
    <w:name w:val="black1"/>
    <w:qFormat/>
    <w:rPr>
      <w:color w:val="000000"/>
    </w:rPr>
  </w:style>
  <w:style w:type="character" w:styleId="1130" w:customStyle="1">
    <w:name w:val="列表段落 字符"/>
    <w:link w:val="908"/>
    <w:uiPriority w:val="34"/>
    <w:qFormat/>
    <w:rPr>
      <w:rFonts w:ascii="Calibri" w:hAnsi="Calibri" w:eastAsia="宋体"/>
      <w:sz w:val="21"/>
      <w:szCs w:val="22"/>
      <w:lang w:val="en-US" w:eastAsia="zh-CN" w:bidi="ar-SA"/>
    </w:rPr>
  </w:style>
  <w:style w:type="character" w:styleId="1131" w:customStyle="1">
    <w:name w:val="chanpin拷贝"/>
    <w:qFormat/>
  </w:style>
  <w:style w:type="character" w:styleId="1132" w:customStyle="1">
    <w:name w:val="注释 Char"/>
    <w:link w:val="1133"/>
    <w:qFormat/>
    <w:rPr>
      <w:rFonts w:ascii="宋体" w:hAnsi="宋体"/>
      <w:sz w:val="21"/>
      <w:szCs w:val="21"/>
    </w:rPr>
  </w:style>
  <w:style w:type="paragraph" w:styleId="1133" w:customStyle="1">
    <w:name w:val="注释"/>
    <w:basedOn w:val="839"/>
    <w:link w:val="1132"/>
    <w:qFormat/>
    <w:pPr>
      <w:ind w:left="420" w:hanging="420"/>
      <w:jc w:val="left"/>
    </w:pPr>
    <w:rPr>
      <w:rFonts w:ascii="宋体" w:hAnsi="宋体"/>
      <w:szCs w:val="21"/>
    </w:rPr>
  </w:style>
  <w:style w:type="character" w:styleId="1134" w:customStyle="1">
    <w:name w:val="纯文本 字符"/>
    <w:uiPriority w:val="99"/>
    <w:qFormat/>
    <w:rPr>
      <w:rFonts w:ascii="宋体" w:hAnsi="Courier New" w:eastAsia="宋体" w:cs="Times New Roman"/>
      <w:sz w:val="21"/>
      <w:szCs w:val="21"/>
      <w:lang w:val="en-US" w:eastAsia="zh-CN" w:bidi="ar-SA"/>
    </w:rPr>
  </w:style>
  <w:style w:type="character" w:styleId="1135" w:customStyle="1">
    <w:name w:val="bjh-p"/>
    <w:qFormat/>
  </w:style>
  <w:style w:type="character" w:styleId="1136" w:customStyle="1">
    <w:name w:val="正文格式 Char"/>
    <w:link w:val="1137"/>
    <w:qFormat/>
    <w:rPr>
      <w:rFonts w:ascii="宋体" w:hAnsi="宋体"/>
      <w:sz w:val="24"/>
      <w:szCs w:val="24"/>
      <w:lang w:val="en-GB"/>
    </w:rPr>
  </w:style>
  <w:style w:type="paragraph" w:styleId="1137" w:customStyle="1">
    <w:name w:val="正文格式"/>
    <w:basedOn w:val="839"/>
    <w:link w:val="1136"/>
    <w:qFormat/>
    <w:pPr>
      <w:ind w:firstLine="480"/>
      <w:spacing w:line="360" w:lineRule="auto"/>
    </w:pPr>
    <w:rPr>
      <w:rFonts w:ascii="宋体" w:hAnsi="宋体"/>
      <w:sz w:val="24"/>
      <w:lang w:val="en-GB"/>
    </w:rPr>
  </w:style>
  <w:style w:type="character" w:styleId="1138" w:customStyle="1">
    <w:name w:val="批注文字 Char"/>
    <w:uiPriority w:val="99"/>
    <w:qFormat/>
    <w:rPr>
      <w:sz w:val="21"/>
      <w:szCs w:val="24"/>
    </w:rPr>
  </w:style>
  <w:style w:type="paragraph" w:styleId="1139" w:customStyle="1">
    <w:name w:val="字元 字元1"/>
    <w:basedOn w:val="839"/>
    <w:qFormat/>
    <w:rPr>
      <w:rFonts w:ascii="Tahoma" w:hAnsi="Tahoma"/>
      <w:sz w:val="24"/>
      <w:szCs w:val="20"/>
    </w:rPr>
  </w:style>
  <w:style w:type="paragraph" w:styleId="1140" w:customStyle="1">
    <w:name w:val="1名"/>
    <w:basedOn w:val="839"/>
    <w:qFormat/>
    <w:pPr>
      <w:numPr>
        <w:numId w:val="1"/>
      </w:numPr>
      <w:spacing w:before="120"/>
    </w:pPr>
    <w:rPr>
      <w:rFonts w:ascii="宋体"/>
      <w:sz w:val="28"/>
      <w:szCs w:val="20"/>
    </w:rPr>
  </w:style>
  <w:style w:type="paragraph" w:styleId="1141" w:customStyle="1">
    <w:name w:val="Char3 Char Char Char"/>
    <w:basedOn w:val="839"/>
    <w:qFormat/>
    <w:rPr>
      <w:rFonts w:ascii="Tahoma" w:hAnsi="Tahoma"/>
      <w:sz w:val="24"/>
      <w:szCs w:val="20"/>
    </w:rPr>
  </w:style>
  <w:style w:type="paragraph" w:styleId="1142" w:customStyle="1">
    <w:name w:val="文档正文"/>
    <w:basedOn w:val="839"/>
    <w:qFormat/>
    <w:pPr>
      <w:spacing w:before="120" w:after="120" w:line="180" w:lineRule="auto"/>
    </w:pPr>
    <w:rPr>
      <w:rFonts w:ascii="Arial" w:hAnsi="Arial"/>
      <w:szCs w:val="20"/>
    </w:rPr>
  </w:style>
  <w:style w:type="paragraph" w:styleId="1143" w:customStyle="1">
    <w:name w:val="Char Char Char Char Char Char Char Char Char Char1"/>
    <w:basedOn w:val="839"/>
    <w:qFormat/>
    <w:rPr>
      <w:rFonts w:ascii="宋体" w:hAnsi="宋体" w:cs="Courier New"/>
      <w:sz w:val="32"/>
      <w:szCs w:val="32"/>
    </w:rPr>
  </w:style>
  <w:style w:type="paragraph" w:styleId="1144" w:customStyle="1">
    <w:name w:val="Char22"/>
    <w:basedOn w:val="839"/>
    <w:qFormat/>
    <w:rPr>
      <w:rFonts w:ascii="Tahoma" w:hAnsi="Tahoma"/>
      <w:sz w:val="24"/>
      <w:szCs w:val="20"/>
    </w:rPr>
  </w:style>
  <w:style w:type="paragraph" w:styleId="1145" w:customStyle="1">
    <w:name w:val="Char Char Char1"/>
    <w:basedOn w:val="839"/>
    <w:qFormat/>
    <w:rPr>
      <w:rFonts w:ascii="Tahoma" w:hAnsi="Tahoma"/>
      <w:sz w:val="24"/>
      <w:szCs w:val="20"/>
    </w:rPr>
  </w:style>
  <w:style w:type="paragraph" w:styleId="1146" w:customStyle="1">
    <w:name w:val="xl43"/>
    <w:basedOn w:val="83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customStyle="1">
    <w:name w:val="Char Char Char"/>
    <w:basedOn w:val="839"/>
    <w:qFormat/>
    <w:rPr>
      <w:rFonts w:ascii="Tahoma" w:hAnsi="Tahoma"/>
      <w:sz w:val="24"/>
      <w:szCs w:val="20"/>
    </w:rPr>
  </w:style>
  <w:style w:type="paragraph" w:styleId="1148" w:customStyle="1">
    <w:name w:val="font8"/>
    <w:basedOn w:val="839"/>
    <w:qFormat/>
    <w:pPr>
      <w:jc w:val="left"/>
      <w:spacing w:before="100" w:beforeAutospacing="1" w:after="100" w:afterAutospacing="1"/>
      <w:widowControl/>
    </w:pPr>
    <w:rPr>
      <w:sz w:val="36"/>
      <w:szCs w:val="36"/>
    </w:rPr>
  </w:style>
  <w:style w:type="paragraph" w:styleId="1149" w:customStyle="1">
    <w:name w:val="default"/>
    <w:basedOn w:val="839"/>
    <w:qFormat/>
    <w:pPr>
      <w:jc w:val="left"/>
      <w:spacing w:before="100" w:beforeAutospacing="1" w:after="100" w:afterAutospacing="1"/>
      <w:widowControl/>
    </w:pPr>
    <w:rPr>
      <w:rFonts w:ascii="宋体" w:hAnsi="宋体" w:cs="宋体"/>
      <w:sz w:val="24"/>
    </w:rPr>
  </w:style>
  <w:style w:type="paragraph" w:styleId="1150" w:customStyle="1">
    <w:name w:val="样式 宋体 五号 行距: 单倍行距"/>
    <w:basedOn w:val="839"/>
    <w:qFormat/>
    <w:pPr>
      <w:jc w:val="left"/>
    </w:pPr>
    <w:rPr>
      <w:rFonts w:ascii="宋体" w:hAnsi="宋体"/>
      <w:szCs w:val="20"/>
    </w:rPr>
  </w:style>
  <w:style w:type="paragraph" w:styleId="1151" w:customStyle="1">
    <w:name w:val="xl41"/>
    <w:basedOn w:val="83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customStyle="1">
    <w:name w:val="缺省文本"/>
    <w:basedOn w:val="839"/>
    <w:qFormat/>
    <w:pPr>
      <w:jc w:val="left"/>
    </w:pPr>
    <w:rPr>
      <w:sz w:val="24"/>
    </w:rPr>
  </w:style>
  <w:style w:type="paragraph" w:styleId="1153" w:customStyle="1">
    <w:name w:val="Char"/>
    <w:basedOn w:val="839"/>
    <w:qFormat/>
    <w:pPr>
      <w:tabs>
        <w:tab w:val="left" w:pos="360" w:leader="none"/>
      </w:tabs>
    </w:pPr>
    <w:rPr>
      <w:sz w:val="24"/>
    </w:rPr>
  </w:style>
  <w:style w:type="paragraph" w:styleId="1154" w:customStyle="1">
    <w:name w:val="正文 + 宋体"/>
    <w:basedOn w:val="839"/>
    <w:qFormat/>
    <w:pPr>
      <w:ind w:left="360" w:hanging="360"/>
      <w:jc w:val="left"/>
      <w:widowControl/>
    </w:pPr>
    <w:rPr>
      <w:rFonts w:ascii="宋体" w:hAnsi="宋体" w:cs="宋体"/>
      <w:b/>
      <w:bCs/>
      <w:color w:val="000000"/>
      <w:sz w:val="18"/>
      <w:szCs w:val="18"/>
    </w:rPr>
  </w:style>
  <w:style w:type="paragraph" w:styleId="1155" w:customStyle="1">
    <w:name w:val="xl52"/>
    <w:basedOn w:val="8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6" w:customStyle="1">
    <w:name w:val="xl36"/>
    <w:basedOn w:val="83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Char Char1 Char Char Char Char Char Char"/>
    <w:basedOn w:val="839"/>
    <w:qFormat/>
    <w:pPr>
      <w:jc w:val="left"/>
      <w:spacing w:after="160" w:line="240" w:lineRule="exact"/>
      <w:widowControl/>
    </w:pPr>
    <w:rPr>
      <w:rFonts w:ascii="Verdana" w:hAnsi="Verdana" w:eastAsia="仿宋_GB2312"/>
      <w:sz w:val="24"/>
      <w:szCs w:val="20"/>
      <w:lang w:eastAsia="en-US"/>
    </w:rPr>
  </w:style>
  <w:style w:type="paragraph" w:styleId="1158" w:customStyle="1">
    <w:name w:val="xl40"/>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xl38"/>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0" w:customStyle="1">
    <w:name w:val="xl39"/>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Char Char Char Char Char Char Char Char Char Char Char Char Char Char Char Char"/>
    <w:basedOn w:val="839"/>
    <w:qFormat/>
    <w:pPr>
      <w:jc w:val="center"/>
      <w:spacing w:after="160" w:line="240" w:lineRule="exact"/>
      <w:widowControl/>
    </w:pPr>
    <w:rPr>
      <w:rFonts w:ascii="宋体" w:hAnsi="宋体"/>
      <w:b/>
      <w:sz w:val="30"/>
      <w:szCs w:val="30"/>
      <w:lang w:eastAsia="en-US"/>
    </w:rPr>
  </w:style>
  <w:style w:type="paragraph" w:styleId="1162" w:customStyle="1">
    <w:name w:val="项目编号2"/>
    <w:basedOn w:val="1163"/>
    <w:qFormat/>
    <w:pPr>
      <w:numPr>
        <w:numId w:val="2"/>
      </w:numPr>
    </w:pPr>
  </w:style>
  <w:style w:type="paragraph" w:styleId="1163" w:customStyle="1">
    <w:name w:val="项目编号1"/>
    <w:basedOn w:val="839"/>
    <w:qFormat/>
    <w:pPr>
      <w:numPr>
        <w:numId w:val="3"/>
      </w:numPr>
      <w:spacing w:before="100" w:beforeAutospacing="1" w:after="100" w:afterAutospacing="1" w:line="360" w:lineRule="auto"/>
    </w:pPr>
    <w:rPr>
      <w:sz w:val="24"/>
    </w:rPr>
  </w:style>
  <w:style w:type="paragraph" w:styleId="1164" w:customStyle="1">
    <w:name w:val="xl50"/>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customStyle="1">
    <w:name w:val="List Paragraph1"/>
    <w:basedOn w:val="839"/>
    <w:qFormat/>
    <w:pPr>
      <w:ind w:firstLine="420"/>
    </w:pPr>
    <w:rPr>
      <w:rFonts w:ascii="Calibri" w:hAnsi="Calibri"/>
      <w:szCs w:val="22"/>
    </w:rPr>
  </w:style>
  <w:style w:type="paragraph" w:styleId="1166" w:customStyle="1">
    <w:name w:val="列出段落2"/>
    <w:basedOn w:val="839"/>
    <w:qFormat/>
    <w:pPr>
      <w:ind w:firstLine="420"/>
    </w:pPr>
    <w:rPr>
      <w:rFonts w:ascii="Calibri" w:hAnsi="Calibri"/>
      <w:szCs w:val="22"/>
    </w:rPr>
  </w:style>
  <w:style w:type="paragraph" w:styleId="1167" w:customStyle="1">
    <w:name w:val="xl45"/>
    <w:basedOn w:val="83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8" w:customStyle="1">
    <w:name w:val="font5"/>
    <w:basedOn w:val="839"/>
    <w:qFormat/>
    <w:pPr>
      <w:jc w:val="left"/>
      <w:spacing w:before="100" w:beforeAutospacing="1" w:after="100" w:afterAutospacing="1"/>
      <w:widowControl/>
    </w:pPr>
    <w:rPr>
      <w:rFonts w:ascii="宋体" w:hAnsi="宋体" w:cs="宋体"/>
      <w:sz w:val="18"/>
      <w:szCs w:val="18"/>
    </w:rPr>
  </w:style>
  <w:style w:type="paragraph" w:styleId="1169" w:customStyle="1">
    <w:name w:val="字元 字元"/>
    <w:basedOn w:val="839"/>
    <w:qFormat/>
    <w:rPr>
      <w:rFonts w:ascii="Tahoma" w:hAnsi="Tahoma"/>
      <w:sz w:val="24"/>
      <w:szCs w:val="20"/>
    </w:rPr>
  </w:style>
  <w:style w:type="paragraph" w:styleId="1170" w:customStyle="1">
    <w:name w:val="正文列项_字母"/>
    <w:basedOn w:val="839"/>
    <w:qFormat/>
    <w:pPr>
      <w:numPr>
        <w:ilvl w:val="6"/>
        <w:numId w:val="4"/>
      </w:numPr>
      <w:ind w:left="480" w:hanging="180"/>
      <w:spacing w:line="460" w:lineRule="exact"/>
      <w:tabs>
        <w:tab w:val="clear" w:pos="635" w:leader="none"/>
      </w:tabs>
      <w:outlineLvl w:val="6"/>
    </w:pPr>
    <w:rPr>
      <w:rFonts w:ascii="宋体"/>
      <w:sz w:val="28"/>
      <w:szCs w:val="20"/>
    </w:rPr>
  </w:style>
  <w:style w:type="paragraph" w:styleId="1171" w:customStyle="1">
    <w:name w:val="font6"/>
    <w:basedOn w:val="839"/>
    <w:qFormat/>
    <w:pPr>
      <w:jc w:val="left"/>
      <w:spacing w:before="100" w:beforeAutospacing="1" w:after="100" w:afterAutospacing="1"/>
      <w:widowControl/>
    </w:pPr>
    <w:rPr>
      <w:rFonts w:ascii="宋体" w:hAnsi="宋体" w:cs="宋体"/>
      <w:sz w:val="20"/>
      <w:szCs w:val="20"/>
    </w:rPr>
  </w:style>
  <w:style w:type="paragraph" w:styleId="1172" w:customStyle="1">
    <w:name w:val="xl37"/>
    <w:basedOn w:val="8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26"/>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4" w:customStyle="1">
    <w:name w:val="二级条标题"/>
    <w:basedOn w:val="1175"/>
    <w:next w:val="839"/>
    <w:qFormat/>
    <w:pPr>
      <w:numPr>
        <w:ilvl w:val="0"/>
        <w:numId w:val="0"/>
      </w:numPr>
      <w:ind w:hanging="840"/>
      <w:outlineLvl w:val="2"/>
    </w:pPr>
    <w:rPr>
      <w:rFonts w:ascii="宋体" w:eastAsia="宋体"/>
      <w:b w:val="0"/>
    </w:rPr>
  </w:style>
  <w:style w:type="paragraph" w:styleId="1175" w:customStyle="1">
    <w:name w:val="一级条标题"/>
    <w:basedOn w:val="1176"/>
    <w:next w:val="839"/>
    <w:qFormat/>
    <w:pPr>
      <w:numPr>
        <w:ilvl w:val="1"/>
      </w:numPr>
      <w:ind w:left="0" w:hanging="840"/>
      <w:tabs>
        <w:tab w:val="left" w:pos="360" w:leader="none"/>
        <w:tab w:val="left" w:pos="840" w:leader="none"/>
      </w:tabs>
      <w:outlineLvl w:val="1"/>
    </w:pPr>
  </w:style>
  <w:style w:type="paragraph" w:styleId="1176" w:customStyle="1">
    <w:name w:val="章标题"/>
    <w:next w:val="839"/>
    <w:qFormat/>
    <w:pPr>
      <w:numPr>
        <w:numId w:val="4"/>
      </w:numPr>
      <w:ind w:left="0"/>
      <w:jc w:val="both"/>
      <w:spacing w:before="156" w:after="156" w:line="460" w:lineRule="exact"/>
      <w:outlineLvl w:val="0"/>
    </w:pPr>
    <w:rPr>
      <w:rFonts w:ascii="黑体" w:eastAsia="黑体"/>
      <w:b/>
      <w:sz w:val="28"/>
    </w:rPr>
  </w:style>
  <w:style w:type="paragraph" w:styleId="1177" w:customStyle="1">
    <w:name w:val="项目编号3"/>
    <w:basedOn w:val="1178"/>
    <w:qFormat/>
    <w:pPr>
      <w:numPr>
        <w:numId w:val="5"/>
      </w:numPr>
    </w:pPr>
  </w:style>
  <w:style w:type="paragraph" w:styleId="1178" w:customStyle="1">
    <w:name w:val="正文文本样式"/>
    <w:basedOn w:val="839"/>
    <w:qFormat/>
    <w:pPr>
      <w:ind w:firstLine="482"/>
      <w:spacing w:line="360" w:lineRule="auto"/>
    </w:pPr>
    <w:rPr>
      <w:rFonts w:cs="宋体"/>
      <w:sz w:val="24"/>
      <w:szCs w:val="20"/>
    </w:rPr>
  </w:style>
  <w:style w:type="paragraph" w:styleId="1179" w:customStyle="1">
    <w:name w:val="Char1 Char Char Char1"/>
    <w:basedOn w:val="839"/>
    <w:qFormat/>
    <w:rPr>
      <w:rFonts w:ascii="Tahoma" w:hAnsi="Tahoma" w:cs="仿宋_GB2312"/>
      <w:sz w:val="24"/>
      <w:szCs w:val="28"/>
    </w:rPr>
  </w:style>
  <w:style w:type="paragraph" w:styleId="1180" w:customStyle="1">
    <w:name w:val="修订1"/>
    <w:qFormat/>
    <w:rPr>
      <w:sz w:val="21"/>
      <w:szCs w:val="24"/>
    </w:rPr>
  </w:style>
  <w:style w:type="paragraph" w:styleId="1181" w:customStyle="1">
    <w:name w:val="Char3 Char Char Char2"/>
    <w:basedOn w:val="839"/>
    <w:qFormat/>
    <w:rPr>
      <w:rFonts w:ascii="Tahoma" w:hAnsi="Tahoma"/>
      <w:sz w:val="24"/>
      <w:szCs w:val="20"/>
    </w:rPr>
  </w:style>
  <w:style w:type="paragraph" w:styleId="1182" w:customStyle="1">
    <w:name w:val="font7"/>
    <w:basedOn w:val="839"/>
    <w:qFormat/>
    <w:pPr>
      <w:jc w:val="left"/>
      <w:spacing w:before="100" w:beforeAutospacing="1" w:after="100" w:afterAutospacing="1"/>
      <w:widowControl/>
    </w:pPr>
    <w:rPr>
      <w:rFonts w:eastAsia="Arial Unicode MS"/>
      <w:b/>
      <w:bCs/>
      <w:color w:val="000000"/>
      <w:sz w:val="20"/>
      <w:szCs w:val="20"/>
    </w:rPr>
  </w:style>
  <w:style w:type="paragraph" w:styleId="1183" w:customStyle="1">
    <w:name w:val="图中文字"/>
    <w:basedOn w:val="839"/>
    <w:qFormat/>
    <w:pPr>
      <w:jc w:val="center"/>
      <w:spacing w:line="0" w:lineRule="atLeast"/>
    </w:pPr>
    <w:rPr>
      <w:sz w:val="24"/>
      <w:szCs w:val="20"/>
    </w:rPr>
  </w:style>
  <w:style w:type="paragraph" w:styleId="1184" w:customStyle="1">
    <w:name w:val="列出段落1"/>
    <w:basedOn w:val="839"/>
    <w:qFormat/>
    <w:pPr>
      <w:ind w:firstLine="420"/>
    </w:pPr>
    <w:rPr>
      <w:rFonts w:ascii="Calibri" w:hAnsi="Calibri"/>
      <w:szCs w:val="22"/>
    </w:rPr>
  </w:style>
  <w:style w:type="paragraph" w:styleId="1185" w:customStyle="1">
    <w:name w:val="xl46"/>
    <w:basedOn w:val="83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customStyle="1">
    <w:name w:val="Char Char Char Char Char Char Char Char Char Char2"/>
    <w:basedOn w:val="839"/>
    <w:qFormat/>
    <w:rPr>
      <w:rFonts w:ascii="宋体" w:hAnsi="宋体" w:cs="Courier New"/>
      <w:sz w:val="32"/>
      <w:szCs w:val="32"/>
    </w:rPr>
  </w:style>
  <w:style w:type="paragraph" w:styleId="1187" w:customStyle="1">
    <w:name w:val="xl25"/>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customStyle="1">
    <w:name w:val="表格文字"/>
    <w:basedOn w:val="861"/>
    <w:next w:val="860"/>
    <w:qFormat/>
    <w:pPr>
      <w:ind w:firstLine="0"/>
      <w:spacing w:before="20" w:after="20" w:line="240" w:lineRule="auto"/>
    </w:pPr>
    <w:rPr>
      <w:rFonts w:ascii="Century Gothic" w:hAnsi="Century Gothic"/>
      <w:sz w:val="20"/>
      <w:szCs w:val="20"/>
    </w:rPr>
  </w:style>
  <w:style w:type="paragraph" w:styleId="1189" w:customStyle="1">
    <w:name w:val="正文须知-2级"/>
    <w:basedOn w:val="839"/>
    <w:qFormat/>
    <w:pPr>
      <w:numPr>
        <w:ilvl w:val="1"/>
        <w:numId w:val="6"/>
      </w:numPr>
      <w:spacing w:line="300" w:lineRule="auto"/>
    </w:pPr>
    <w:rPr>
      <w:rFonts w:ascii="宋体" w:hAnsi="Calibri"/>
      <w:sz w:val="24"/>
      <w:szCs w:val="21"/>
    </w:rPr>
  </w:style>
  <w:style w:type="paragraph" w:styleId="1190" w:customStyle="1">
    <w:name w:val="??"/>
    <w:qFormat/>
    <w:pPr>
      <w:jc w:val="both"/>
      <w:widowControl w:val="off"/>
    </w:pPr>
    <w:rPr>
      <w:sz w:val="21"/>
      <w:lang w:eastAsia="en-US"/>
    </w:rPr>
  </w:style>
  <w:style w:type="paragraph" w:styleId="1191" w:customStyle="1">
    <w:name w:val="纯文本1"/>
    <w:basedOn w:val="839"/>
    <w:qFormat/>
    <w:rPr>
      <w:rFonts w:ascii="宋体" w:hAnsi="Courier New" w:cs="Courier New"/>
      <w:sz w:val="24"/>
      <w:szCs w:val="21"/>
    </w:rPr>
  </w:style>
  <w:style w:type="paragraph" w:styleId="1192" w:customStyle="1">
    <w:name w:val="Char2"/>
    <w:basedOn w:val="839"/>
    <w:qFormat/>
    <w:rPr>
      <w:rFonts w:ascii="Tahoma" w:hAnsi="Tahoma"/>
      <w:sz w:val="24"/>
      <w:szCs w:val="20"/>
    </w:rPr>
  </w:style>
  <w:style w:type="paragraph" w:styleId="1193" w:customStyle="1">
    <w:name w:val="正文须知-3级"/>
    <w:basedOn w:val="839"/>
    <w:qFormat/>
    <w:pPr>
      <w:numPr>
        <w:ilvl w:val="2"/>
        <w:numId w:val="6"/>
      </w:numPr>
      <w:ind w:hanging="355"/>
      <w:spacing w:line="300" w:lineRule="auto"/>
    </w:pPr>
    <w:rPr>
      <w:rFonts w:ascii="宋体" w:hAnsi="Calibri"/>
      <w:sz w:val="24"/>
      <w:szCs w:val="21"/>
    </w:rPr>
  </w:style>
  <w:style w:type="paragraph" w:styleId="1194" w:customStyle="1">
    <w:name w:val="1 Char Char Char Char"/>
    <w:basedOn w:val="839"/>
    <w:qFormat/>
    <w:rPr>
      <w:rFonts w:ascii="Tahoma" w:hAnsi="Tahoma"/>
      <w:sz w:val="24"/>
      <w:szCs w:val="20"/>
    </w:rPr>
  </w:style>
  <w:style w:type="paragraph" w:styleId="1195" w:customStyle="1">
    <w:name w:val="xl35"/>
    <w:basedOn w:val="8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customStyle="1">
    <w:name w:val="正文须知-1级"/>
    <w:basedOn w:val="839"/>
    <w:next w:val="839"/>
    <w:qFormat/>
    <w:pPr>
      <w:numPr>
        <w:numId w:val="6"/>
      </w:numPr>
      <w:spacing w:line="300" w:lineRule="auto"/>
    </w:pPr>
    <w:rPr>
      <w:rFonts w:ascii="宋体" w:hAnsi="Calibri"/>
      <w:sz w:val="24"/>
      <w:szCs w:val="21"/>
    </w:rPr>
  </w:style>
  <w:style w:type="paragraph" w:styleId="1197" w:customStyle="1">
    <w:name w:val="xl49"/>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8" w:customStyle="1">
    <w:name w:val="Char Char Char2"/>
    <w:basedOn w:val="839"/>
    <w:qFormat/>
    <w:rPr>
      <w:rFonts w:ascii="Tahoma" w:hAnsi="Tahoma"/>
      <w:sz w:val="24"/>
      <w:szCs w:val="20"/>
    </w:rPr>
  </w:style>
  <w:style w:type="paragraph" w:styleId="1199" w:customStyle="1">
    <w:name w:val="无标题条"/>
    <w:next w:val="839"/>
    <w:qFormat/>
    <w:pPr>
      <w:jc w:val="both"/>
    </w:pPr>
    <w:rPr>
      <w:sz w:val="21"/>
    </w:rPr>
  </w:style>
  <w:style w:type="paragraph" w:styleId="1200" w:customStyle="1">
    <w:name w:val="Normal_1"/>
    <w:qFormat/>
    <w:rPr>
      <w:rFonts w:ascii="Calibri" w:hAnsi="Calibri"/>
      <w:sz w:val="24"/>
      <w:szCs w:val="24"/>
    </w:rPr>
  </w:style>
  <w:style w:type="paragraph" w:styleId="1201" w:customStyle="1">
    <w:name w:val="Char Char Char1 Char"/>
    <w:basedOn w:val="839"/>
    <w:qFormat/>
    <w:rPr>
      <w:rFonts w:ascii="Tahoma" w:hAnsi="Tahoma"/>
      <w:sz w:val="24"/>
      <w:szCs w:val="20"/>
    </w:rPr>
  </w:style>
  <w:style w:type="paragraph" w:styleId="1202" w:customStyle="1">
    <w:name w:val="四级条标题"/>
    <w:basedOn w:val="1203"/>
    <w:next w:val="839"/>
    <w:qFormat/>
    <w:pPr>
      <w:numPr>
        <w:ilvl w:val="4"/>
      </w:numPr>
      <w:ind w:left="0" w:hanging="840"/>
      <w:outlineLvl w:val="4"/>
    </w:pPr>
  </w:style>
  <w:style w:type="paragraph" w:styleId="1203" w:customStyle="1">
    <w:name w:val="三级条标题"/>
    <w:basedOn w:val="1174"/>
    <w:next w:val="839"/>
    <w:qFormat/>
    <w:pPr>
      <w:numPr>
        <w:ilvl w:val="3"/>
        <w:numId w:val="4"/>
      </w:numPr>
      <w:ind w:left="0" w:hanging="840"/>
      <w:outlineLvl w:val="3"/>
    </w:pPr>
  </w:style>
  <w:style w:type="paragraph" w:styleId="1204" w:customStyle="1">
    <w:name w:val="默认段落字体 Para Char Char Char Char"/>
    <w:basedOn w:val="839"/>
    <w:qFormat/>
    <w:rPr>
      <w:rFonts w:ascii="Arial" w:hAnsi="Arial" w:cs="Arial"/>
      <w:szCs w:val="21"/>
    </w:rPr>
  </w:style>
  <w:style w:type="paragraph" w:styleId="1205" w:customStyle="1">
    <w:name w:val="Char Char1 Char Char Char Char Char Char Char Char"/>
    <w:basedOn w:val="839"/>
    <w:qFormat/>
    <w:pPr>
      <w:jc w:val="left"/>
      <w:spacing w:after="160" w:line="240" w:lineRule="exact"/>
      <w:widowControl/>
    </w:pPr>
    <w:rPr>
      <w:rFonts w:ascii="Verdana" w:hAnsi="Verdana"/>
      <w:sz w:val="20"/>
      <w:szCs w:val="20"/>
      <w:lang w:eastAsia="en-US"/>
    </w:rPr>
  </w:style>
  <w:style w:type="paragraph" w:styleId="1206" w:customStyle="1">
    <w:name w:val="background1"/>
    <w:basedOn w:val="839"/>
    <w:qFormat/>
    <w:pPr>
      <w:jc w:val="left"/>
      <w:spacing w:before="100" w:beforeAutospacing="1" w:after="100" w:afterAutospacing="1"/>
      <w:widowControl/>
    </w:pPr>
    <w:rPr>
      <w:rFonts w:ascii="宋体" w:hAnsi="宋体" w:cs="宋体"/>
      <w:sz w:val="24"/>
    </w:rPr>
  </w:style>
  <w:style w:type="paragraph" w:styleId="1207" w:customStyle="1">
    <w:name w:val="xl24"/>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Char Char Char Char Char Char Char"/>
    <w:basedOn w:val="839"/>
    <w:qFormat/>
    <w:pPr>
      <w:ind w:firstLine="200"/>
      <w:spacing w:line="360" w:lineRule="auto"/>
    </w:pPr>
    <w:rPr>
      <w:rFonts w:eastAsia="仿宋_GB2312"/>
      <w:sz w:val="24"/>
    </w:rPr>
  </w:style>
  <w:style w:type="paragraph" w:styleId="1209" w:customStyle="1">
    <w:name w:val="Table Paragraph"/>
    <w:basedOn w:val="839"/>
    <w:uiPriority w:val="1"/>
    <w:qFormat/>
    <w:pPr>
      <w:jc w:val="left"/>
    </w:pPr>
    <w:rPr>
      <w:rFonts w:ascii="宋体" w:hAnsi="宋体" w:cs="宋体"/>
      <w:sz w:val="22"/>
      <w:szCs w:val="22"/>
      <w:lang w:eastAsia="en-US"/>
    </w:rPr>
  </w:style>
  <w:style w:type="paragraph" w:styleId="1210" w:customStyle="1">
    <w:name w:val="五级条标题"/>
    <w:basedOn w:val="1202"/>
    <w:next w:val="839"/>
    <w:qFormat/>
    <w:pPr>
      <w:numPr>
        <w:ilvl w:val="5"/>
      </w:numPr>
      <w:ind w:left="0" w:hanging="840"/>
      <w:outlineLvl w:val="5"/>
    </w:pPr>
  </w:style>
  <w:style w:type="paragraph" w:styleId="1211" w:customStyle="1">
    <w:name w:val="正文列项_数字"/>
    <w:basedOn w:val="839"/>
    <w:qFormat/>
    <w:pPr>
      <w:numPr>
        <w:ilvl w:val="7"/>
        <w:numId w:val="4"/>
      </w:numPr>
      <w:ind w:left="680" w:hanging="150"/>
      <w:spacing w:line="460" w:lineRule="exact"/>
      <w:tabs>
        <w:tab w:val="clear" w:pos="860" w:leader="none"/>
      </w:tabs>
      <w:outlineLvl w:val="7"/>
    </w:pPr>
    <w:rPr>
      <w:rFonts w:ascii="宋体"/>
      <w:sz w:val="28"/>
      <w:szCs w:val="20"/>
    </w:rPr>
  </w:style>
  <w:style w:type="paragraph" w:styleId="1212" w:customStyle="1">
    <w:name w:val="Char1"/>
    <w:basedOn w:val="839"/>
    <w:qFormat/>
    <w:pPr>
      <w:tabs>
        <w:tab w:val="left" w:pos="360" w:leader="none"/>
      </w:tabs>
    </w:pPr>
    <w:rPr>
      <w:sz w:val="24"/>
    </w:rPr>
  </w:style>
  <w:style w:type="paragraph" w:styleId="1213" w:customStyle="1">
    <w:name w:val="样式2"/>
    <w:basedOn w:val="886"/>
    <w:qFormat/>
    <w:pPr>
      <w:jc w:val="center"/>
      <w:spacing w:line="360" w:lineRule="auto"/>
    </w:pPr>
    <w:rPr>
      <w:sz w:val="24"/>
    </w:rPr>
  </w:style>
  <w:style w:type="paragraph" w:styleId="1214" w:customStyle="1">
    <w:name w:val="xl32"/>
    <w:basedOn w:val="8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customStyle="1">
    <w:name w:val="Char Char1"/>
    <w:basedOn w:val="857"/>
    <w:qFormat/>
    <w:rPr>
      <w:rFonts w:ascii="Tahoma" w:hAnsi="Tahoma"/>
      <w:sz w:val="24"/>
    </w:rPr>
  </w:style>
  <w:style w:type="paragraph" w:styleId="1216" w:customStyle="1">
    <w:name w:val="xl30"/>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customStyle="1">
    <w:name w:val="正文文本样式 加粗"/>
    <w:basedOn w:val="1178"/>
    <w:qFormat/>
    <w:rPr>
      <w:b/>
    </w:rPr>
  </w:style>
  <w:style w:type="paragraph" w:styleId="1218" w:customStyle="1">
    <w:name w:val="Char Char4"/>
    <w:basedOn w:val="839"/>
    <w:qFormat/>
    <w:pPr>
      <w:jc w:val="center"/>
      <w:spacing w:line="400" w:lineRule="exact"/>
      <w:widowControl/>
    </w:pPr>
  </w:style>
  <w:style w:type="paragraph" w:styleId="1219" w:customStyle="1">
    <w:name w:val="样式 标题 2 + 宋体 五号 行距: 单倍行距"/>
    <w:basedOn w:val="841"/>
    <w:qFormat/>
    <w:pPr>
      <w:numPr>
        <w:ilvl w:val="1"/>
        <w:numId w:val="7"/>
      </w:numPr>
      <w:jc w:val="left"/>
      <w:spacing w:before="260" w:after="260" w:line="240" w:lineRule="auto"/>
    </w:pPr>
    <w:rPr>
      <w:rFonts w:ascii="宋体" w:hAnsi="宋体" w:eastAsia="宋体"/>
      <w:bCs/>
      <w:sz w:val="21"/>
    </w:rPr>
  </w:style>
  <w:style w:type="paragraph" w:styleId="1220" w:customStyle="1">
    <w:name w:val="表格1"/>
    <w:basedOn w:val="839"/>
    <w:qFormat/>
    <w:pPr>
      <w:ind w:firstLine="480"/>
      <w:jc w:val="center"/>
    </w:pPr>
    <w:rPr>
      <w:sz w:val="24"/>
      <w:szCs w:val="20"/>
    </w:rPr>
  </w:style>
  <w:style w:type="paragraph" w:styleId="1221" w:customStyle="1">
    <w:name w:val="项目符号1"/>
    <w:basedOn w:val="1178"/>
    <w:qFormat/>
    <w:pPr>
      <w:ind w:left="-25" w:firstLine="0"/>
    </w:pPr>
  </w:style>
  <w:style w:type="paragraph" w:styleId="1222" w:customStyle="1">
    <w:name w:val="xl27"/>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customStyle="1">
    <w:name w:val="字元 字元2"/>
    <w:basedOn w:val="839"/>
    <w:qFormat/>
    <w:rPr>
      <w:rFonts w:ascii="Tahoma" w:hAnsi="Tahoma"/>
      <w:sz w:val="24"/>
      <w:szCs w:val="20"/>
    </w:rPr>
  </w:style>
  <w:style w:type="paragraph" w:styleId="1224" w:customStyle="1">
    <w:name w:val="图文"/>
    <w:basedOn w:val="839"/>
    <w:qFormat/>
    <w:pPr>
      <w:spacing w:after="50" w:line="360" w:lineRule="auto"/>
    </w:pPr>
    <w:rPr>
      <w:sz w:val="24"/>
    </w:rPr>
  </w:style>
  <w:style w:type="paragraph" w:styleId="1225" w:customStyle="1">
    <w:name w:val="xl53"/>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customStyle="1">
    <w:name w:val="22222222222222"/>
    <w:basedOn w:val="839"/>
    <w:qFormat/>
    <w:pPr>
      <w:ind w:firstLine="480"/>
      <w:jc w:val="left"/>
      <w:spacing w:line="360" w:lineRule="auto"/>
      <w:widowControl/>
    </w:pPr>
    <w:rPr>
      <w:color w:val="ff0000"/>
      <w:sz w:val="24"/>
      <w:szCs w:val="20"/>
    </w:rPr>
  </w:style>
  <w:style w:type="paragraph" w:styleId="1227" w:customStyle="1">
    <w:name w:val="正文缩进11"/>
    <w:basedOn w:val="839"/>
    <w:uiPriority w:val="99"/>
    <w:qFormat/>
    <w:pPr>
      <w:ind w:firstLine="200"/>
    </w:pPr>
    <w:rPr>
      <w:sz w:val="24"/>
    </w:rPr>
  </w:style>
  <w:style w:type="paragraph" w:styleId="1228" w:customStyle="1">
    <w:name w:val="Char3"/>
    <w:basedOn w:val="839"/>
    <w:qFormat/>
    <w:pPr>
      <w:tabs>
        <w:tab w:val="left" w:pos="360" w:leader="none"/>
      </w:tabs>
    </w:pPr>
    <w:rPr>
      <w:sz w:val="24"/>
    </w:rPr>
  </w:style>
  <w:style w:type="paragraph" w:styleId="1229" w:customStyle="1">
    <w:name w:val="xl33"/>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customStyle="1">
    <w:name w:val="Char21"/>
    <w:basedOn w:val="839"/>
    <w:qFormat/>
    <w:rPr>
      <w:rFonts w:ascii="Tahoma" w:hAnsi="Tahoma"/>
      <w:sz w:val="24"/>
      <w:szCs w:val="20"/>
    </w:rPr>
  </w:style>
  <w:style w:type="paragraph" w:styleId="1231" w:customStyle="1">
    <w:name w:val="xl42"/>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customStyle="1">
    <w:name w:val="Char2 Char Char Char Char Char Char1"/>
    <w:basedOn w:val="839"/>
    <w:qFormat/>
    <w:pPr>
      <w:jc w:val="center"/>
      <w:spacing w:line="400" w:lineRule="exact"/>
      <w:widowControl/>
    </w:pPr>
  </w:style>
  <w:style w:type="paragraph" w:styleId="1233" w:customStyle="1">
    <w:name w:val="xl44"/>
    <w:basedOn w:val="83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customStyle="1">
    <w:name w:val="xl34"/>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5" w:customStyle="1">
    <w:name w:val="标题1-附件"/>
    <w:basedOn w:val="840"/>
    <w:qFormat/>
    <w:pPr>
      <w:jc w:val="left"/>
    </w:pPr>
    <w:rPr>
      <w:sz w:val="24"/>
      <w:szCs w:val="24"/>
    </w:rPr>
  </w:style>
  <w:style w:type="paragraph" w:styleId="1236" w:customStyle="1">
    <w:name w:val="xl51"/>
    <w:basedOn w:val="8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customStyle="1">
    <w:name w:val="xl48"/>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customStyle="1">
    <w:name w:val="Char Char1 Char Char Char Char Char Char1"/>
    <w:basedOn w:val="839"/>
    <w:qFormat/>
    <w:pPr>
      <w:jc w:val="left"/>
      <w:spacing w:after="160" w:line="240" w:lineRule="exact"/>
      <w:widowControl/>
    </w:pPr>
    <w:rPr>
      <w:rFonts w:ascii="Verdana" w:hAnsi="Verdana" w:eastAsia="仿宋_GB2312"/>
      <w:sz w:val="24"/>
      <w:szCs w:val="20"/>
      <w:lang w:eastAsia="en-US"/>
    </w:rPr>
  </w:style>
  <w:style w:type="paragraph" w:styleId="1239" w:customStyle="1">
    <w:name w:val="font9"/>
    <w:basedOn w:val="839"/>
    <w:qFormat/>
    <w:pPr>
      <w:jc w:val="left"/>
      <w:spacing w:before="100" w:beforeAutospacing="1" w:after="100" w:afterAutospacing="1"/>
      <w:widowControl/>
    </w:pPr>
    <w:rPr>
      <w:rFonts w:hint="eastAsia" w:ascii="宋体" w:hAnsi="宋体" w:cs="Arial Unicode MS"/>
      <w:color w:val="000000"/>
      <w:sz w:val="20"/>
      <w:szCs w:val="20"/>
    </w:rPr>
  </w:style>
  <w:style w:type="paragraph" w:styleId="1240" w:customStyle="1">
    <w:name w:val="Char Char41"/>
    <w:basedOn w:val="839"/>
    <w:qFormat/>
    <w:pPr>
      <w:jc w:val="center"/>
      <w:spacing w:line="400" w:lineRule="exact"/>
      <w:widowControl/>
    </w:pPr>
  </w:style>
  <w:style w:type="paragraph" w:styleId="1241" w:customStyle="1">
    <w:name w:val="Char Char Char1 Char1"/>
    <w:basedOn w:val="839"/>
    <w:qFormat/>
    <w:rPr>
      <w:rFonts w:ascii="Tahoma" w:hAnsi="Tahoma"/>
      <w:sz w:val="24"/>
      <w:szCs w:val="20"/>
    </w:rPr>
  </w:style>
  <w:style w:type="paragraph" w:styleId="1242" w:customStyle="1">
    <w:name w:val="正文文本缩进2"/>
    <w:basedOn w:val="839"/>
    <w:qFormat/>
    <w:pPr>
      <w:ind w:firstLine="480"/>
      <w:spacing w:line="480" w:lineRule="exact"/>
    </w:pPr>
    <w:rPr>
      <w:rFonts w:ascii="宋体" w:hAnsi="宋体"/>
      <w:sz w:val="24"/>
      <w:lang w:val="zh-CN"/>
    </w:rPr>
  </w:style>
  <w:style w:type="paragraph" w:styleId="1243" w:customStyle="1">
    <w:name w:val="Char Char Char Char Char Char Char Char Char Char"/>
    <w:basedOn w:val="839"/>
    <w:qFormat/>
  </w:style>
  <w:style w:type="paragraph" w:styleId="1244" w:customStyle="1">
    <w:name w:val="Char3 Char Char Char1"/>
    <w:basedOn w:val="839"/>
    <w:qFormat/>
    <w:rPr>
      <w:rFonts w:ascii="Tahoma" w:hAnsi="Tahoma"/>
      <w:sz w:val="24"/>
      <w:szCs w:val="20"/>
    </w:rPr>
  </w:style>
  <w:style w:type="paragraph" w:styleId="1245" w:customStyle="1">
    <w:name w:val="Char Char Char Char Char Char Char2"/>
    <w:basedOn w:val="839"/>
    <w:qFormat/>
    <w:pPr>
      <w:ind w:firstLine="200"/>
      <w:spacing w:line="360" w:lineRule="auto"/>
    </w:pPr>
    <w:rPr>
      <w:rFonts w:eastAsia="仿宋_GB2312"/>
      <w:sz w:val="24"/>
    </w:rPr>
  </w:style>
  <w:style w:type="paragraph" w:styleId="1246" w:customStyle="1">
    <w:name w:val="xl28"/>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47"/>
    <w:basedOn w:val="83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xl31"/>
    <w:basedOn w:val="8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9" w:customStyle="1">
    <w:name w:val="xl23"/>
    <w:basedOn w:val="839"/>
    <w:qFormat/>
    <w:pPr>
      <w:spacing w:before="100" w:beforeAutospacing="1" w:after="100" w:afterAutospacing="1" w:line="360" w:lineRule="auto"/>
      <w:widowControl/>
    </w:pPr>
    <w:rPr>
      <w:sz w:val="24"/>
      <w:szCs w:val="20"/>
    </w:rPr>
  </w:style>
  <w:style w:type="paragraph" w:styleId="1250" w:customStyle="1">
    <w:name w:val="正文 + 楷体_GB2312"/>
    <w:basedOn w:val="839"/>
    <w:qFormat/>
    <w:pPr>
      <w:jc w:val="left"/>
      <w:widowControl/>
    </w:pPr>
    <w:rPr>
      <w:rFonts w:ascii="楷体_GB2312" w:eastAsia="楷体_GB2312" w:cs="Arial"/>
      <w:sz w:val="24"/>
    </w:rPr>
  </w:style>
  <w:style w:type="paragraph" w:styleId="1251" w:customStyle="1">
    <w:name w:val="Char Char Char Char Char Char Char Char Char Char Char Char Char Char Char Char1"/>
    <w:basedOn w:val="839"/>
    <w:qFormat/>
    <w:pPr>
      <w:jc w:val="center"/>
      <w:spacing w:after="160" w:line="240" w:lineRule="exact"/>
      <w:widowControl/>
    </w:pPr>
    <w:rPr>
      <w:rFonts w:ascii="宋体" w:hAnsi="宋体"/>
      <w:b/>
      <w:sz w:val="30"/>
      <w:szCs w:val="30"/>
      <w:lang w:eastAsia="en-US"/>
    </w:rPr>
  </w:style>
  <w:style w:type="paragraph" w:styleId="1252" w:customStyle="1">
    <w:name w:val="Char Char Char Char Char Char Char1"/>
    <w:basedOn w:val="839"/>
    <w:qFormat/>
    <w:pPr>
      <w:ind w:firstLine="200"/>
      <w:spacing w:line="360" w:lineRule="auto"/>
    </w:pPr>
    <w:rPr>
      <w:rFonts w:eastAsia="仿宋_GB2312"/>
      <w:sz w:val="24"/>
    </w:rPr>
  </w:style>
  <w:style w:type="paragraph" w:styleId="1253" w:customStyle="1">
    <w:name w:val="索引 11"/>
    <w:basedOn w:val="839"/>
    <w:next w:val="839"/>
    <w:qFormat/>
    <w:pPr>
      <w:spacing w:line="360" w:lineRule="auto"/>
    </w:pPr>
    <w:rPr>
      <w:rFonts w:ascii="仿宋_GB2312" w:eastAsia="仿宋_GB2312"/>
      <w:sz w:val="24"/>
      <w:szCs w:val="20"/>
    </w:rPr>
  </w:style>
  <w:style w:type="paragraph" w:styleId="1254" w:customStyle="1">
    <w:name w:val="Char Char Char1 Char2"/>
    <w:basedOn w:val="839"/>
    <w:qFormat/>
    <w:rPr>
      <w:rFonts w:ascii="Tahoma" w:hAnsi="Tahoma"/>
      <w:sz w:val="24"/>
      <w:szCs w:val="20"/>
    </w:rPr>
  </w:style>
  <w:style w:type="paragraph" w:styleId="1255" w:customStyle="1">
    <w:name w:val="xl29"/>
    <w:basedOn w:val="8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customStyle="1">
    <w:name w:val="图例"/>
    <w:basedOn w:val="839"/>
    <w:qFormat/>
    <w:pPr>
      <w:jc w:val="center"/>
      <w:spacing w:before="120" w:after="120" w:line="360" w:lineRule="auto"/>
    </w:pPr>
    <w:rPr>
      <w:rFonts w:eastAsia="仿宋_GB2312"/>
      <w:b/>
      <w:sz w:val="24"/>
      <w:szCs w:val="20"/>
    </w:rPr>
  </w:style>
  <w:style w:type="paragraph" w:styleId="1257" w:customStyle="1">
    <w:name w:val="_Style 160"/>
    <w:qFormat/>
    <w:rPr>
      <w:sz w:val="21"/>
      <w:szCs w:val="24"/>
    </w:rPr>
  </w:style>
  <w:style w:type="paragraph" w:styleId="1258" w:customStyle="1">
    <w:name w:val="p0"/>
    <w:basedOn w:val="839"/>
    <w:qFormat/>
    <w:pPr>
      <w:widowControl/>
    </w:pPr>
    <w:rPr>
      <w:szCs w:val="21"/>
    </w:rPr>
  </w:style>
  <w:style w:type="paragraph" w:styleId="1259" w:customStyle="1">
    <w:name w:val="Char2 Char Char Char Char Char Char"/>
    <w:basedOn w:val="839"/>
    <w:qFormat/>
    <w:pPr>
      <w:jc w:val="center"/>
      <w:spacing w:line="400" w:lineRule="exact"/>
      <w:widowControl/>
    </w:pPr>
  </w:style>
  <w:style w:type="paragraph" w:styleId="1260" w:customStyle="1">
    <w:name w:val="正文缩进2"/>
    <w:basedOn w:val="839"/>
    <w:qFormat/>
    <w:pPr>
      <w:ind w:firstLine="567"/>
      <w:spacing w:line="480" w:lineRule="exact"/>
      <w:widowControl/>
    </w:pPr>
    <w:rPr>
      <w:rFonts w:ascii="宋体"/>
      <w:color w:val="000000"/>
      <w:sz w:val="28"/>
      <w:szCs w:val="20"/>
      <w:lang w:val="zh-CN"/>
    </w:rPr>
  </w:style>
  <w:style w:type="table" w:styleId="126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62" w:customStyle="1">
    <w:name w:val="GP正文(首行缩进)"/>
    <w:basedOn w:val="839"/>
    <w:uiPriority w:val="99"/>
    <w:qFormat/>
    <w:pPr>
      <w:ind w:firstLine="200"/>
      <w:jc w:val="left"/>
      <w:spacing w:line="360" w:lineRule="auto"/>
    </w:pPr>
    <w:rPr>
      <w:sz w:val="24"/>
      <w:szCs w:val="20"/>
    </w:rPr>
  </w:style>
  <w:style w:type="character" w:styleId="1263" w:customStyle="1">
    <w:name w:val="NormalCharacter1"/>
    <w:uiPriority w:val="99"/>
    <w:semiHidden/>
    <w:qFormat/>
  </w:style>
  <w:style w:type="paragraph" w:styleId="1264" w:customStyle="1">
    <w:name w:val="Table Text"/>
    <w:basedOn w:val="839"/>
    <w:semiHidden/>
    <w:qFormat/>
    <w:rPr>
      <w:rFonts w:ascii="宋体" w:hAnsi="宋体" w:cs="宋体"/>
      <w:sz w:val="24"/>
      <w:lang w:eastAsia="en-US"/>
    </w:rPr>
  </w:style>
  <w:style w:type="character" w:styleId="1265" w:customStyle="1">
    <w:name w:val="disabled"/>
    <w:rPr>
      <w:color w:val="38322d"/>
    </w:rPr>
  </w:style>
  <w:style w:type="character" w:styleId="1266" w:customStyle="1">
    <w:name w:val="current"/>
    <w:rPr>
      <w:b/>
      <w:bCs/>
      <w:color w:val="ffffff"/>
      <w:shd w:val="clear" w:color="auto" w:fill="38322d"/>
    </w:rPr>
  </w:style>
  <w:style w:type="character" w:styleId="1267" w:customStyle="1">
    <w:name w:val="sp"/>
    <w:rPr>
      <w:color w:val="ffffff"/>
      <w:shd w:val="clear" w:color="auto" w:fill="dddddd"/>
    </w:rPr>
  </w:style>
  <w:style w:type="paragraph" w:styleId="1268" w:customStyle="1">
    <w:name w:val="列表段落1"/>
    <w:basedOn w:val="839"/>
    <w:uiPriority w:val="34"/>
    <w:qFormat/>
    <w:pPr>
      <w:ind w:firstLine="420"/>
    </w:pPr>
  </w:style>
  <w:style w:type="paragraph" w:styleId="1269" w:customStyle="1">
    <w:name w:val="AONormal"/>
    <w:qFormat/>
    <w:pPr>
      <w:ind w:firstLine="440"/>
      <w:spacing w:line="400" w:lineRule="exact"/>
    </w:pPr>
    <w:rPr>
      <w:rFonts w:ascii="华文楷体" w:hAnsi="华文楷体" w:eastAsia="华文楷体" w:cs="华文楷体"/>
      <w:sz w:val="22"/>
      <w:szCs w:val="21"/>
    </w:rPr>
  </w:style>
  <w:style w:type="character" w:styleId="1270" w:customStyle="1">
    <w:name w:val="font21"/>
    <w:qFormat/>
    <w:rPr>
      <w:rFonts w:ascii="宋体" w:hAnsi="宋体" w:eastAsia="宋体" w:cs="宋体"/>
      <w:b/>
      <w:color w:val="000000"/>
      <w:sz w:val="22"/>
      <w:szCs w:val="22"/>
      <w:u w:val="none"/>
    </w:rPr>
  </w:style>
  <w:style w:type="character" w:styleId="1271" w:customStyle="1">
    <w:name w:val="font01"/>
    <w:qFormat/>
    <w:rPr>
      <w:rFonts w:ascii="微软雅黑" w:hAnsi="微软雅黑" w:eastAsia="微软雅黑" w:cs="微软雅黑"/>
      <w:b/>
      <w:color w:val="000000"/>
      <w:sz w:val="22"/>
      <w:szCs w:val="22"/>
      <w:u w:val="none"/>
    </w:rPr>
  </w:style>
  <w:style w:type="paragraph" w:styleId="1272" w:customStyle="1">
    <w:name w:val="pt-ad"/>
    <w:basedOn w:val="839"/>
    <w:qFormat/>
    <w:pPr>
      <w:jc w:val="left"/>
      <w:spacing w:before="100" w:beforeAutospacing="1" w:after="100" w:afterAutospacing="1"/>
      <w:widowControl/>
    </w:pPr>
    <w:rPr>
      <w:rFonts w:ascii="宋体" w:hAnsi="宋体" w:cs="宋体"/>
      <w:sz w:val="24"/>
    </w:rPr>
  </w:style>
  <w:style w:type="character" w:styleId="1273" w:customStyle="1">
    <w:name w:val="pt-a0-000020"/>
    <w:qFormat/>
    <w:rPr>
      <w:sz w:val="21"/>
      <w:szCs w:val="24"/>
      <w:lang w:val="en-US" w:eastAsia="zh-CN" w:bidi="ar-SA"/>
    </w:rPr>
  </w:style>
  <w:style w:type="paragraph" w:styleId="1274" w:customStyle="1">
    <w:name w:val="pt-a-000025"/>
    <w:basedOn w:val="839"/>
    <w:qFormat/>
    <w:pPr>
      <w:jc w:val="left"/>
      <w:spacing w:before="100" w:beforeAutospacing="1" w:after="100" w:afterAutospacing="1"/>
      <w:widowControl/>
    </w:pPr>
    <w:rPr>
      <w:rFonts w:ascii="宋体" w:hAnsi="宋体" w:cs="宋体"/>
      <w:sz w:val="24"/>
    </w:rPr>
  </w:style>
  <w:style w:type="character" w:styleId="1275" w:customStyle="1">
    <w:name w:val="pt-a0-000004"/>
    <w:basedOn w:val="849"/>
    <w:qFormat/>
  </w:style>
  <w:style w:type="character" w:styleId="1276" w:customStyle="1">
    <w:name w:val="pt-a0-000005"/>
    <w:basedOn w:val="849"/>
    <w:qFormat/>
  </w:style>
  <w:style w:type="paragraph" w:styleId="1277" w:customStyle="1">
    <w:name w:val="普通(网站)11"/>
    <w:basedOn w:val="839"/>
    <w:uiPriority w:val="99"/>
    <w:unhideWhenUsed/>
    <w:qFormat/>
    <w:pPr>
      <w:jc w:val="left"/>
      <w:spacing w:before="100" w:beforeAutospacing="1" w:after="100" w:afterAutospacing="1"/>
      <w:widowControl/>
    </w:pPr>
    <w:rPr>
      <w:rFonts w:ascii="宋体" w:hAnsi="宋体" w:cs="宋体"/>
      <w:sz w:val="24"/>
    </w:rPr>
  </w:style>
  <w:style w:type="paragraph" w:styleId="1278" w:customStyle="1">
    <w:name w:val="Plain Text1"/>
    <w:basedOn w:val="839"/>
    <w:qFormat/>
    <w:rPr>
      <w:rFonts w:ascii="宋体" w:hAnsi="Courier New" w:eastAsia="楷体_GB2312"/>
      <w:sz w:val="26"/>
      <w:szCs w:val="20"/>
    </w:rPr>
  </w:style>
  <w:style w:type="character" w:styleId="1279" w:customStyle="1">
    <w:name w:val="NormalCharacter"/>
    <w:qFormat/>
  </w:style>
  <w:style w:type="character" w:styleId="1280" w:customStyle="1">
    <w:name w:val="font11"/>
    <w:rPr>
      <w:rFonts w:hint="eastAsia" w:ascii="宋体" w:hAnsi="宋体" w:eastAsia="宋体" w:cs="宋体"/>
      <w:color w:val="000000"/>
      <w:sz w:val="20"/>
      <w:szCs w:val="20"/>
      <w:u w:val="none"/>
    </w:rPr>
  </w:style>
  <w:style w:type="character" w:styleId="1281" w:customStyle="1">
    <w:name w:val="font61"/>
    <w:rPr>
      <w:rFonts w:ascii="Calibri" w:hAnsi="Calibri" w:cs="Calibri"/>
      <w:color w:val="000000"/>
      <w:sz w:val="20"/>
      <w:szCs w:val="20"/>
      <w:u w:val="none"/>
    </w:rPr>
  </w:style>
  <w:style w:type="character" w:styleId="1282" w:customStyle="1">
    <w:name w:val="font31"/>
    <w:rPr>
      <w:rFonts w:hint="eastAsia" w:ascii="宋体" w:hAnsi="宋体" w:eastAsia="宋体" w:cs="宋体"/>
      <w:color w:val="000000"/>
      <w:sz w:val="20"/>
      <w:szCs w:val="20"/>
      <w:u w:val="none"/>
    </w:rPr>
  </w:style>
  <w:style w:type="character" w:styleId="1283" w:customStyle="1">
    <w:name w:val="font71"/>
    <w:rPr>
      <w:rFonts w:hint="eastAsia" w:ascii="宋体" w:hAnsi="宋体" w:eastAsia="宋体" w:cs="宋体"/>
      <w:color w:val="000000"/>
      <w:sz w:val="20"/>
      <w:szCs w:val="20"/>
      <w:u w:val="none"/>
      <w:vertAlign w:val="superscript"/>
    </w:rPr>
  </w:style>
  <w:style w:type="character" w:styleId="1284" w:customStyle="1">
    <w:name w:val="font81"/>
    <w:rPr>
      <w:rFonts w:hint="eastAsia" w:ascii="宋体" w:hAnsi="宋体" w:eastAsia="宋体" w:cs="宋体"/>
      <w:color w:val="000000"/>
      <w:sz w:val="20"/>
      <w:szCs w:val="20"/>
      <w:u w:val="none"/>
      <w:vertAlign w:val="superscript"/>
    </w:rPr>
  </w:style>
  <w:style w:type="character" w:styleId="1285" w:customStyle="1">
    <w:name w:val="font91"/>
    <w:rPr>
      <w:rFonts w:hint="default" w:ascii="Calibri" w:hAnsi="Calibri" w:cs="Calibri"/>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8"/>
    <customShpInfo spid="_x0000_s1027"/>
    <customShpInfo spid="_x0000_s1026"/>
    <customShpInfo spid="_x0000_s1025"/>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81EE91-8F55-4EFD-B34B-0587143E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黄越</cp:lastModifiedBy>
  <cp:revision>71</cp:revision>
  <dcterms:created xsi:type="dcterms:W3CDTF">2022-05-30T08:08:00Z</dcterms:created>
  <dcterms:modified xsi:type="dcterms:W3CDTF">2026-06-23T02:21:07Z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eyJoZGlkIjoiMTdkN2MzMDk5NmU4ZDAwYzBlMjY3MzUzNzg1Y2YyNWYiLCJ1c2VySWQiOiIzNDQ3NjY2MjkifQ==</vt:lpwstr>
  </property>
  <property fmtid="{D5CDD505-2E9C-101B-9397-08002B2CF9AE}" pid="3" name="KSOProductBuildVer">
    <vt:lpwstr>2052-12.1.0.26895</vt:lpwstr>
  </property>
  <property fmtid="{D5CDD505-2E9C-101B-9397-08002B2CF9AE}" pid="4" name="ICV">
    <vt:lpwstr>C8F5AC4FC7184EFC9E835DFA9F255548_12</vt:lpwstr>
  </property>
</Properties>
</file>