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cs="宋体"/>
          <w:b/>
          <w:bCs/>
          <w:color w:val="auto"/>
          <w:sz w:val="76"/>
          <w:szCs w:val="76"/>
          <w:highlight w:val="none"/>
        </w:rPr>
      </w:pPr>
      <w:r>
        <w:rPr>
          <w:rFonts w:hint="eastAsia" w:ascii="宋体" w:hAnsi="宋体" w:cs="宋体"/>
          <w:b/>
          <w:bCs/>
          <w:color w:val="auto"/>
          <w:sz w:val="76"/>
          <w:szCs w:val="76"/>
          <w:highlight w:val="none"/>
        </w:rPr>
        <w:t xml:space="preserve">公开招标文件</w:t>
      </w:r>
      <w:r/>
    </w:p>
    <w:p>
      <w:pPr>
        <w:jc w:val="right"/>
        <w:spacing w:line="360" w:lineRule="auto"/>
        <w:rPr>
          <w:rFonts w:hint="eastAsia" w:ascii="宋体" w:hAnsi="宋体" w:cs="宋体"/>
          <w:b/>
          <w:bCs/>
          <w:color w:val="auto"/>
          <w:sz w:val="32"/>
          <w:highlight w:val="none"/>
        </w:rPr>
      </w:pPr>
      <w:r/>
      <w:bookmarkStart w:id="132" w:name="_GoBack"/>
      <w:r/>
      <w:bookmarkEnd w:id="132"/>
      <w:r/>
      <w:r/>
    </w:p>
    <w:p>
      <w:pP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tbl>
      <w:tblPr>
        <w:tblStyle w:val="721"/>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ind w:firstLine="883"/>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t xml:space="preserve">项目编号：JSZC-320192-JHRA-G2026-0023</w:t>
            </w:r>
            <w:r>
              <w:rPr>
                <w:rFonts w:hint="eastAsia" w:ascii="宋体" w:hAnsi="宋体" w:cs="宋体"/>
                <w:b/>
                <w:bCs/>
                <w:color w:val="auto"/>
                <w:sz w:val="44"/>
                <w:highlight w:val="none"/>
              </w:rPr>
              <w:tab/>
            </w:r>
            <w:r>
              <w:rPr>
                <w:rFonts w:hint="eastAsia" w:ascii="宋体" w:hAnsi="宋体" w:cs="宋体"/>
                <w:b/>
                <w:bCs/>
                <w:color w:val="auto"/>
                <w:sz w:val="44"/>
                <w:highlight w:val="none"/>
              </w:rPr>
              <w:t xml:space="preserve"> </w:t>
            </w:r>
            <w:r/>
          </w:p>
          <w:p>
            <w:pPr>
              <w:ind w:left="3087" w:hanging="2209"/>
              <w:spacing w:line="288" w:lineRule="auto"/>
              <w:widowControl/>
              <w:rPr>
                <w:rFonts w:hint="eastAsia" w:ascii="宋体" w:hAnsi="宋体" w:cs="宋体"/>
                <w:b/>
                <w:bCs/>
                <w:color w:val="auto"/>
                <w:sz w:val="44"/>
                <w:highlight w:val="none"/>
                <w:lang w:val="zh-CN"/>
              </w:rPr>
            </w:pPr>
            <w:r>
              <w:rPr>
                <w:rFonts w:hint="eastAsia" w:ascii="宋体" w:hAnsi="宋体" w:cs="宋体"/>
                <w:b/>
                <w:bCs/>
                <w:color w:val="auto"/>
                <w:sz w:val="44"/>
                <w:highlight w:val="none"/>
              </w:rPr>
              <w:t xml:space="preserve">项目名称：</w:t>
            </w:r>
            <w:r>
              <w:rPr>
                <w:rFonts w:hint="eastAsia" w:ascii="宋体" w:hAnsi="宋体" w:cs="宋体"/>
                <w:b/>
                <w:bCs/>
                <w:color w:val="auto"/>
                <w:sz w:val="44"/>
                <w:highlight w:val="none"/>
                <w:lang w:val="zh-CN"/>
              </w:rPr>
              <w:t xml:space="preserve">南京师范大学附属中学江北新区学校新建工程项目实验室装备采购</w:t>
            </w:r>
            <w:r/>
          </w:p>
          <w:p>
            <w:pPr>
              <w:pStyle w:val="722"/>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left="3087" w:hanging="2209"/>
              <w:spacing w:line="360" w:lineRule="auto"/>
              <w:rPr>
                <w:rFonts w:hint="eastAsia" w:ascii="宋体" w:hAnsi="宋体" w:cs="宋体"/>
                <w:b/>
                <w:bCs/>
                <w:color w:val="auto"/>
                <w:sz w:val="44"/>
                <w:szCs w:val="44"/>
                <w:highlight w:val="none"/>
                <w:lang w:val="zh-CN"/>
              </w:rPr>
            </w:pPr>
            <w:r>
              <w:rPr>
                <w:rFonts w:hint="eastAsia" w:ascii="宋体" w:hAnsi="宋体" w:cs="宋体"/>
                <w:b/>
                <w:bCs/>
                <w:color w:val="auto"/>
                <w:sz w:val="44"/>
                <w:szCs w:val="44"/>
                <w:highlight w:val="none"/>
                <w:lang w:val="zh-CN"/>
              </w:rPr>
            </w:r>
            <w:r/>
          </w:p>
        </w:tc>
      </w:tr>
    </w:tbl>
    <w:p>
      <w:pP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722"/>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722"/>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采购人：</w:t>
      </w:r>
      <w:bookmarkStart w:id="0" w:name="OLE_LINK29"/>
      <w:r/>
      <w:bookmarkStart w:id="1" w:name="OLE_LINK28"/>
      <w:r>
        <w:rPr>
          <w:rFonts w:hint="eastAsia" w:ascii="宋体" w:hAnsi="宋体" w:cs="宋体"/>
          <w:b/>
          <w:bCs/>
          <w:color w:val="auto"/>
          <w:sz w:val="36"/>
          <w:szCs w:val="16"/>
          <w:highlight w:val="none"/>
          <w:lang w:val="zh-CN"/>
        </w:rPr>
        <w:t xml:space="preserve">南京江北新区管理委员会教育局</w:t>
      </w:r>
      <w:bookmarkEnd w:id="0"/>
      <w:r/>
      <w:bookmarkEnd w:id="1"/>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采购代理机构：捷宏润安工程顾问（江苏）有限公司</w:t>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日期：二〇二六年六月</w:t>
      </w:r>
      <w:r/>
    </w:p>
    <w:p>
      <w:pPr>
        <w:jc w:val="center"/>
        <w:rPr>
          <w:b/>
          <w:bCs/>
          <w:color w:val="auto"/>
          <w:sz w:val="48"/>
          <w:szCs w:val="48"/>
          <w:highlight w:val="none"/>
        </w:rPr>
      </w:pPr>
      <w:r>
        <w:rPr>
          <w:rFonts w:ascii="宋体" w:hAnsi="宋体"/>
          <w:color w:val="auto"/>
          <w:highlight w:val="none"/>
        </w:rPr>
        <w:br w:type="page" w:clear="all"/>
      </w:r>
      <w:r>
        <w:rPr>
          <w:rFonts w:ascii="宋体" w:hAnsi="宋体"/>
          <w:b/>
          <w:bCs/>
          <w:color w:val="auto"/>
          <w:sz w:val="48"/>
          <w:szCs w:val="48"/>
          <w:highlight w:val="none"/>
        </w:rPr>
        <w:t xml:space="preserve">目录</w:t>
      </w:r>
      <w:r/>
    </w:p>
    <w:p>
      <w:pPr>
        <w:pStyle w:val="803"/>
        <w:spacing w:before="0" w:after="0" w:line="360" w:lineRule="auto"/>
        <w:tabs>
          <w:tab w:val="right" w:pos="9514" w:leader="dot"/>
        </w:tabs>
        <w:rPr>
          <w:rFonts w:ascii="宋体" w:hAnsi="宋体"/>
          <w:caps w:val="0"/>
          <w:color w:val="auto"/>
          <w:sz w:val="24"/>
          <w:szCs w:val="24"/>
          <w:highlight w:val="none"/>
        </w:rPr>
      </w:pPr>
      <w:r>
        <w:rPr>
          <w:rFonts w:hint="eastAsia" w:ascii="宋体" w:hAnsi="宋体" w:cs="宋体"/>
          <w:b w:val="0"/>
          <w:bCs/>
          <w:color w:val="auto"/>
          <w:spacing w:val="-10"/>
          <w:sz w:val="24"/>
          <w:szCs w:val="24"/>
          <w:highlight w:val="none"/>
        </w:rPr>
        <w:fldChar w:fldCharType="begin"/>
      </w:r>
      <w:r>
        <w:rPr>
          <w:rFonts w:hint="eastAsia" w:ascii="宋体" w:hAnsi="宋体" w:cs="宋体"/>
          <w:b w:val="0"/>
          <w:bCs/>
          <w:color w:val="auto"/>
          <w:spacing w:val="-10"/>
          <w:sz w:val="24"/>
          <w:szCs w:val="24"/>
          <w:highlight w:val="none"/>
        </w:rPr>
        <w:instrText xml:space="preserve">TOC \o "1-3" \h \u </w:instrText>
      </w:r>
      <w:r>
        <w:rPr>
          <w:rFonts w:hint="eastAsia" w:ascii="宋体" w:hAnsi="宋体" w:cs="宋体"/>
          <w:b w:val="0"/>
          <w:bCs/>
          <w:color w:val="auto"/>
          <w:spacing w:val="-10"/>
          <w:sz w:val="24"/>
          <w:szCs w:val="24"/>
          <w:highlight w:val="none"/>
        </w:rPr>
        <w:fldChar w:fldCharType="separate"/>
      </w: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"_Toc228350056"</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rPr>
        <w:t xml:space="preserve">第一章</w:t>
      </w:r>
      <w:r>
        <w:rPr>
          <w:rStyle w:val="838"/>
          <w:rFonts w:ascii="宋体" w:hAnsi="宋体" w:cs="宋体"/>
          <w:bCs/>
          <w:color w:val="auto"/>
          <w:spacing w:val="-10"/>
          <w:sz w:val="24"/>
          <w:szCs w:val="24"/>
          <w:highlight w:val="none"/>
        </w:rPr>
        <w:t xml:space="preserve">  </w:t>
      </w:r>
      <w:r>
        <w:rPr>
          <w:rStyle w:val="838"/>
          <w:rFonts w:hint="eastAsia" w:ascii="宋体" w:hAnsi="宋体" w:cs="宋体"/>
          <w:bCs/>
          <w:color w:val="auto"/>
          <w:spacing w:val="-10"/>
          <w:sz w:val="24"/>
          <w:szCs w:val="24"/>
          <w:highlight w:val="none"/>
        </w:rPr>
        <w:t xml:space="preserve">投标邀请</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"_Toc228350057"</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一、项目基本情况：</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"_Toc228350058"</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二、申请人的资格要求：</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"_Toc228350059"</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三、获取招标文件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"_Toc228350060"</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四、提交投标文件开始时间、开标时间</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"_Toc228350061"</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五、开启</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"_Toc228350062"</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六、公告期限</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"_Toc228350063"</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七、其他补充事宜</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"_Toc228350064"</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rPr>
        <w:t xml:space="preserve">第二章</w:t>
      </w:r>
      <w:r>
        <w:rPr>
          <w:rStyle w:val="838"/>
          <w:rFonts w:ascii="宋体" w:hAnsi="宋体" w:cs="宋体"/>
          <w:bCs/>
          <w:color w:val="auto"/>
          <w:spacing w:val="-10"/>
          <w:sz w:val="24"/>
          <w:szCs w:val="24"/>
          <w:highlight w:val="none"/>
        </w:rPr>
        <w:t xml:space="preserve">  </w:t>
      </w:r>
      <w:r>
        <w:rPr>
          <w:rStyle w:val="838"/>
          <w:rFonts w:hint="eastAsia" w:ascii="宋体" w:hAnsi="宋体" w:cs="宋体"/>
          <w:bCs/>
          <w:color w:val="auto"/>
          <w:spacing w:val="-10"/>
          <w:sz w:val="24"/>
          <w:szCs w:val="24"/>
          <w:highlight w:val="none"/>
        </w:rPr>
        <w:t xml:space="preserve">供应商须知</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"_Toc228350065"</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一、总则</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"_Toc228350066"</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二、招标文件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11</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"_Toc228350067"</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三、投标</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11</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"_Toc228350068"</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四、开标、评标与确定中标供应商</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"_Toc228350069"</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五、签订合同</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20</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"_Toc228350070"</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六、质疑和投诉</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21</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"_Toc228350071"</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lang w:val="zh-CN"/>
        </w:rPr>
        <w:t xml:space="preserve">第三章</w:t>
      </w:r>
      <w:r>
        <w:rPr>
          <w:rStyle w:val="838"/>
          <w:rFonts w:ascii="宋体" w:hAnsi="宋体" w:cs="宋体"/>
          <w:bCs/>
          <w:color w:val="auto"/>
          <w:spacing w:val="-10"/>
          <w:sz w:val="24"/>
          <w:szCs w:val="24"/>
          <w:highlight w:val="none"/>
        </w:rPr>
        <w:t xml:space="preserve">  </w:t>
      </w:r>
      <w:r>
        <w:rPr>
          <w:rStyle w:val="838"/>
          <w:rFonts w:hint="eastAsia" w:ascii="宋体" w:hAnsi="宋体" w:cs="宋体"/>
          <w:bCs/>
          <w:color w:val="auto"/>
          <w:spacing w:val="-10"/>
          <w:sz w:val="24"/>
          <w:szCs w:val="24"/>
          <w:highlight w:val="none"/>
          <w:lang w:val="zh-CN"/>
        </w:rPr>
        <w:t xml:space="preserve">评标方法和标准</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"_Toc228350072"</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lang w:val="zh-CN"/>
        </w:rPr>
        <w:t xml:space="preserve">一、采用综合评分法</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"_Toc228350073"</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lang w:val="zh-CN"/>
        </w:rPr>
        <w:t xml:space="preserve">二、综合评分法评审评分细则</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"_Toc228350074"</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lang w:val="zh-CN"/>
        </w:rPr>
        <w:t xml:space="preserve">第四章</w:t>
      </w:r>
      <w:r>
        <w:rPr>
          <w:rStyle w:val="838"/>
          <w:rFonts w:ascii="宋体" w:hAnsi="宋体" w:cs="宋体"/>
          <w:bCs/>
          <w:color w:val="auto"/>
          <w:spacing w:val="-10"/>
          <w:sz w:val="24"/>
          <w:szCs w:val="24"/>
          <w:highlight w:val="none"/>
          <w:lang w:val="zh-CN"/>
        </w:rPr>
        <w:t xml:space="preserve">  </w:t>
      </w:r>
      <w:r>
        <w:rPr>
          <w:rStyle w:val="838"/>
          <w:rFonts w:hint="eastAsia" w:ascii="宋体" w:hAnsi="宋体" w:cs="宋体"/>
          <w:bCs/>
          <w:color w:val="auto"/>
          <w:spacing w:val="-10"/>
          <w:sz w:val="24"/>
          <w:szCs w:val="24"/>
          <w:highlight w:val="none"/>
          <w:lang w:val="zh-CN"/>
        </w:rPr>
        <w:t xml:space="preserve">采购</w:t>
      </w:r>
      <w:bookmarkStart w:id="2" w:name="_Hlt231371588"/>
      <w:r>
        <w:rPr>
          <w:rStyle w:val="838"/>
          <w:rFonts w:hint="eastAsia" w:ascii="宋体" w:hAnsi="宋体" w:cs="宋体"/>
          <w:bCs/>
          <w:color w:val="auto"/>
          <w:spacing w:val="-10"/>
          <w:sz w:val="24"/>
          <w:szCs w:val="24"/>
          <w:highlight w:val="none"/>
          <w:lang w:val="zh-CN"/>
        </w:rPr>
        <w:t xml:space="preserve">需</w:t>
      </w:r>
      <w:bookmarkEnd w:id="2"/>
      <w:r>
        <w:rPr>
          <w:rStyle w:val="838"/>
          <w:rFonts w:hint="eastAsia" w:ascii="宋体" w:hAnsi="宋体" w:cs="宋体"/>
          <w:bCs/>
          <w:color w:val="auto"/>
          <w:spacing w:val="-10"/>
          <w:sz w:val="24"/>
          <w:szCs w:val="24"/>
          <w:highlight w:val="none"/>
          <w:lang w:val="zh-CN"/>
        </w:rPr>
        <w:t xml:space="preserve">求</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33</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"_Toc228350075"</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lang w:val="zh-CN"/>
        </w:rPr>
        <w:t xml:space="preserve">第五章</w:t>
      </w:r>
      <w:r>
        <w:rPr>
          <w:rStyle w:val="838"/>
          <w:rFonts w:ascii="宋体" w:hAnsi="宋体" w:cs="宋体"/>
          <w:bCs/>
          <w:color w:val="auto"/>
          <w:spacing w:val="-10"/>
          <w:sz w:val="24"/>
          <w:szCs w:val="24"/>
          <w:highlight w:val="none"/>
          <w:lang w:val="zh-CN"/>
        </w:rPr>
        <w:t xml:space="preserve">  </w:t>
      </w:r>
      <w:r>
        <w:rPr>
          <w:rStyle w:val="838"/>
          <w:rFonts w:hint="eastAsia" w:ascii="宋体" w:hAnsi="宋体" w:cs="宋体"/>
          <w:bCs/>
          <w:color w:val="auto"/>
          <w:spacing w:val="-10"/>
          <w:sz w:val="24"/>
          <w:szCs w:val="24"/>
          <w:highlight w:val="none"/>
          <w:lang w:val="zh-CN"/>
        </w:rPr>
        <w:t xml:space="preserve">合同主</w:t>
      </w:r>
      <w:bookmarkStart w:id="3" w:name="_Hlt231223353"/>
      <w:r/>
      <w:bookmarkStart w:id="4" w:name="_Hlt231223352"/>
      <w:r>
        <w:rPr>
          <w:rStyle w:val="838"/>
          <w:rFonts w:hint="eastAsia" w:ascii="宋体" w:hAnsi="宋体" w:cs="宋体"/>
          <w:bCs/>
          <w:color w:val="auto"/>
          <w:spacing w:val="-10"/>
          <w:sz w:val="24"/>
          <w:szCs w:val="24"/>
          <w:highlight w:val="none"/>
          <w:lang w:val="zh-CN"/>
        </w:rPr>
        <w:t xml:space="preserve">要</w:t>
      </w:r>
      <w:bookmarkEnd w:id="3"/>
      <w:r/>
      <w:bookmarkEnd w:id="4"/>
      <w:r>
        <w:rPr>
          <w:rStyle w:val="838"/>
          <w:rFonts w:hint="eastAsia" w:ascii="宋体" w:hAnsi="宋体" w:cs="宋体"/>
          <w:bCs/>
          <w:color w:val="auto"/>
          <w:spacing w:val="-10"/>
          <w:sz w:val="24"/>
          <w:szCs w:val="24"/>
          <w:highlight w:val="none"/>
          <w:lang w:val="zh-CN"/>
        </w:rPr>
        <w:t xml:space="preserve">条款及格式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537</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b w:val="0"/>
          <w:caps w:val="0"/>
          <w:color w:val="auto"/>
          <w:sz w:val="24"/>
          <w:szCs w:val="24"/>
          <w:highlight w:val="none"/>
        </w:rPr>
      </w:pPr>
      <w:r>
        <w:rPr>
          <w:rStyle w:val="838"/>
          <w:rFonts w:ascii="宋体" w:hAnsi="宋体"/>
          <w:b/>
          <w:color w:val="auto"/>
          <w:sz w:val="24"/>
          <w:szCs w:val="24"/>
          <w:highlight w:val="none"/>
        </w:rPr>
        <w:fldChar w:fldCharType="begin"/>
      </w:r>
      <w:r>
        <w:rPr>
          <w:rStyle w:val="838"/>
          <w:rFonts w:ascii="宋体" w:hAnsi="宋体"/>
          <w:b/>
          <w:color w:val="auto"/>
          <w:sz w:val="24"/>
          <w:szCs w:val="24"/>
          <w:highlight w:val="none"/>
        </w:rPr>
        <w:instrText xml:space="preserve"> </w:instrText>
      </w:r>
      <w:r>
        <w:rPr>
          <w:rFonts w:ascii="宋体" w:hAnsi="宋体"/>
          <w:b w:val="0"/>
          <w:color w:val="auto"/>
          <w:sz w:val="24"/>
          <w:szCs w:val="24"/>
          <w:highlight w:val="none"/>
        </w:rPr>
        <w:instrText xml:space="preserve">HYPERLINK \l "_Toc228350076"</w:instrText>
      </w:r>
      <w:r>
        <w:rPr>
          <w:rStyle w:val="838"/>
          <w:rFonts w:ascii="宋体" w:hAnsi="宋体"/>
          <w:b/>
          <w:color w:val="auto"/>
          <w:sz w:val="24"/>
          <w:szCs w:val="24"/>
          <w:highlight w:val="none"/>
        </w:rPr>
        <w:instrText xml:space="preserve"> </w:instrText>
      </w:r>
      <w:r>
        <w:rPr>
          <w:rStyle w:val="838"/>
          <w:rFonts w:ascii="宋体" w:hAnsi="宋体"/>
          <w:b/>
          <w:color w:val="auto"/>
          <w:sz w:val="24"/>
          <w:szCs w:val="24"/>
          <w:highlight w:val="none"/>
        </w:rPr>
        <w:fldChar w:fldCharType="separate"/>
      </w:r>
      <w:r>
        <w:rPr>
          <w:rStyle w:val="838"/>
          <w:rFonts w:hint="eastAsia" w:ascii="宋体" w:hAnsi="宋体" w:cs="宋体"/>
          <w:b/>
          <w:bCs/>
          <w:color w:val="auto"/>
          <w:sz w:val="24"/>
          <w:szCs w:val="24"/>
          <w:highlight w:val="none"/>
          <w:lang w:val="zh-CN"/>
        </w:rPr>
        <w:t xml:space="preserve">第六章</w:t>
      </w:r>
      <w:r>
        <w:rPr>
          <w:rStyle w:val="838"/>
          <w:rFonts w:ascii="宋体" w:hAnsi="宋体" w:cs="宋体"/>
          <w:b/>
          <w:bCs/>
          <w:color w:val="auto"/>
          <w:sz w:val="24"/>
          <w:szCs w:val="24"/>
          <w:highlight w:val="none"/>
          <w:lang w:val="zh-CN"/>
        </w:rPr>
        <w:t xml:space="preserve">  </w:t>
      </w:r>
      <w:r>
        <w:rPr>
          <w:rStyle w:val="838"/>
          <w:rFonts w:hint="eastAsia" w:ascii="宋体" w:hAnsi="宋体" w:cs="宋体"/>
          <w:b/>
          <w:bCs/>
          <w:color w:val="auto"/>
          <w:sz w:val="24"/>
          <w:szCs w:val="24"/>
          <w:highlight w:val="none"/>
        </w:rPr>
        <w:t xml:space="preserve">投标文件</w:t>
      </w:r>
      <w:r>
        <w:rPr>
          <w:rStyle w:val="838"/>
          <w:rFonts w:hint="eastAsia" w:ascii="宋体" w:hAnsi="宋体" w:cs="宋体"/>
          <w:b/>
          <w:bCs/>
          <w:color w:val="auto"/>
          <w:sz w:val="24"/>
          <w:szCs w:val="24"/>
          <w:highlight w:val="none"/>
          <w:lang w:val="zh-CN"/>
        </w:rPr>
        <w:t xml:space="preserve">格式及附件</w:t>
      </w:r>
      <w:r>
        <w:rPr>
          <w:rFonts w:ascii="宋体" w:hAnsi="宋体"/>
          <w:b w:val="0"/>
          <w:color w:val="auto"/>
          <w:sz w:val="24"/>
          <w:szCs w:val="24"/>
          <w:highlight w:val="none"/>
        </w:rPr>
        <w:tab/>
      </w:r>
      <w:r>
        <w:rPr>
          <w:rFonts w:ascii="宋体" w:hAnsi="宋体"/>
          <w:b w:val="0"/>
          <w:color w:val="auto"/>
          <w:sz w:val="24"/>
          <w:szCs w:val="24"/>
          <w:highlight w:val="none"/>
        </w:rPr>
        <w:fldChar w:fldCharType="begin"/>
      </w:r>
      <w:r>
        <w:rPr>
          <w:rFonts w:ascii="宋体" w:hAnsi="宋体"/>
          <w:b w:val="0"/>
          <w:color w:val="auto"/>
          <w:sz w:val="24"/>
          <w:szCs w:val="24"/>
          <w:highlight w:val="none"/>
        </w:rPr>
        <w:instrText xml:space="preserve"> PAGEREF _Toc228350076 \h </w:instrText>
      </w:r>
      <w:r>
        <w:rPr>
          <w:rFonts w:ascii="宋体" w:hAnsi="宋体"/>
          <w:b w:val="0"/>
          <w:color w:val="auto"/>
          <w:sz w:val="24"/>
          <w:szCs w:val="24"/>
          <w:highlight w:val="none"/>
        </w:rPr>
        <w:fldChar w:fldCharType="separate"/>
      </w:r>
      <w:r>
        <w:rPr>
          <w:rFonts w:ascii="宋体" w:hAnsi="宋体"/>
          <w:b w:val="0"/>
          <w:color w:val="auto"/>
          <w:sz w:val="24"/>
          <w:szCs w:val="24"/>
          <w:highlight w:val="none"/>
        </w:rPr>
        <w:t xml:space="preserve">548</w:t>
      </w:r>
      <w:r>
        <w:rPr>
          <w:rFonts w:ascii="宋体" w:hAnsi="宋体"/>
          <w:b w:val="0"/>
          <w:color w:val="auto"/>
          <w:sz w:val="24"/>
          <w:szCs w:val="24"/>
          <w:highlight w:val="none"/>
        </w:rPr>
        <w:fldChar w:fldCharType="end"/>
      </w:r>
      <w:r>
        <w:rPr>
          <w:rStyle w:val="838"/>
          <w:rFonts w:ascii="宋体" w:hAnsi="宋体"/>
          <w:b/>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"_Toc228350077"</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附件一、投标申请及声明格式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549</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"_Toc228350078"</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附件二、法定代表人授权书格式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551</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"_Toc228350079"</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附件三、开标一览表格式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552</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"_Toc228350080"</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附件五、技术条款偏离表格式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"_Toc228350081"</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附件六、商务条款偏离表格式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"_Toc228350082"</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附件七、核心产品品牌一览表（实质性格式）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557</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"_Toc228350083"</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附件八、供应商类似业绩表</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558</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"_Toc228350084"</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附件九、服务方案</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559</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"_Toc228350085"</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附件十、资格证明文件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560</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"_Toc228350086"</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附件十一、政府采购政策</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562</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"_Toc228350087"</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附件十二、南京市政府采购供应商信用记录表暨信用承诺书</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"_Toc228350088"</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附件十三、供应商资格承诺声明函</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"_Toc228350089"</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附件十四、联合体协议</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569</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"_Toc228350090"</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附件十五、关于符合本国产品标准的声明函</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_Toc228350090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570</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jc w:val="left"/>
        <w:spacing w:line="360" w:lineRule="auto"/>
        <w:rPr>
          <w:rFonts w:hint="eastAsia" w:ascii="宋体" w:hAnsi="宋体" w:cs="宋体"/>
          <w:bCs/>
          <w:color w:val="auto"/>
          <w:spacing w:val="-10"/>
          <w:sz w:val="24"/>
          <w:szCs w:val="24"/>
          <w:highlight w:val="none"/>
        </w:rPr>
      </w:pPr>
      <w:r>
        <w:rPr>
          <w:rFonts w:hint="eastAsia" w:ascii="宋体" w:hAnsi="宋体" w:cs="宋体"/>
          <w:bCs/>
          <w:color w:val="auto"/>
          <w:spacing w:val="-10"/>
          <w:sz w:val="24"/>
          <w:szCs w:val="24"/>
          <w:highlight w:val="none"/>
        </w:rPr>
        <w:fldChar w:fldCharType="end"/>
      </w:r>
      <w:r/>
    </w:p>
    <w:p>
      <w:pPr>
        <w:jc w:val="center"/>
        <w:spacing w:line="360" w:lineRule="auto"/>
        <w:rPr>
          <w:rFonts w:hint="eastAsia" w:ascii="宋体" w:hAnsi="宋体" w:cs="宋体"/>
          <w:bCs/>
          <w:color w:val="auto"/>
          <w:spacing w:val="-10"/>
          <w:szCs w:val="36"/>
          <w:highlight w:val="none"/>
        </w:rPr>
      </w:pPr>
      <w:r>
        <w:rPr>
          <w:rFonts w:hint="eastAsia" w:ascii="宋体" w:hAnsi="宋体" w:cs="宋体"/>
          <w:bCs/>
          <w:color w:val="auto"/>
          <w:spacing w:val="-10"/>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z w:val="36"/>
          <w:szCs w:val="36"/>
          <w:highlight w:val="none"/>
          <w:lang w:val="zh-CN"/>
        </w:rPr>
        <w:outlineLvl w:val="0"/>
      </w:pPr>
      <w:r>
        <w:rPr>
          <w:rFonts w:ascii="宋体" w:hAnsi="宋体" w:cs="宋体"/>
          <w:b/>
          <w:bCs/>
          <w:color w:val="auto"/>
          <w:spacing w:val="-10"/>
          <w:sz w:val="36"/>
          <w:szCs w:val="36"/>
          <w:highlight w:val="none"/>
        </w:rPr>
        <w:br w:type="page" w:clear="all"/>
      </w:r>
      <w:bookmarkStart w:id="5" w:name="_Toc228350056"/>
      <w:r>
        <w:rPr>
          <w:rFonts w:hint="eastAsia" w:ascii="宋体" w:hAnsi="宋体" w:cs="宋体"/>
          <w:b/>
          <w:bCs/>
          <w:color w:val="auto"/>
          <w:spacing w:val="-10"/>
          <w:sz w:val="36"/>
          <w:szCs w:val="36"/>
          <w:highlight w:val="none"/>
        </w:rPr>
        <w:t xml:space="preserve">第一章  投标邀请</w:t>
      </w:r>
      <w:bookmarkEnd w:id="5"/>
      <w:r/>
      <w:r/>
    </w:p>
    <w:p>
      <w:pPr>
        <w:ind w:firstLine="482"/>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捷宏润安工程顾问（江苏）有限公司</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代理机构名称，</w:t>
      </w:r>
      <w:r>
        <w:rPr>
          <w:rFonts w:hint="eastAsia" w:ascii="宋体" w:hAnsi="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rPr>
        <w:t xml:space="preserve">南京江北新区管理委员会教育局</w:t>
      </w:r>
      <w:r>
        <w:rPr>
          <w:rFonts w:hint="eastAsia" w:ascii="宋体" w:hAnsi="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rPr>
        <w:t xml:space="preserve">南京师范大学附属中学江北新区学校新建工程项目实验室装备采购</w:t>
      </w:r>
      <w:r>
        <w:rPr>
          <w:rFonts w:hint="eastAsia" w:ascii="宋体" w:hAnsi="宋体" w:cs="宋体"/>
          <w:bCs/>
          <w:color w:val="auto"/>
          <w:sz w:val="24"/>
          <w:szCs w:val="24"/>
          <w:highlight w:val="none"/>
        </w:rPr>
        <w:t xml:space="preserve">（项目名称）进行公开招标，</w:t>
      </w:r>
      <w:r>
        <w:rPr>
          <w:rFonts w:hint="eastAsia" w:ascii="宋体" w:hAnsi="宋体" w:cs="宋体"/>
          <w:bCs/>
          <w:color w:val="auto"/>
          <w:sz w:val="24"/>
          <w:szCs w:val="24"/>
          <w:highlight w:val="none"/>
          <w:lang w:val="zh-CN"/>
        </w:rPr>
        <w:t xml:space="preserve">兹邀请符合资格条件的供应商投标。</w:t>
      </w:r>
      <w:r/>
    </w:p>
    <w:p>
      <w:pPr>
        <w:ind w:firstLine="482"/>
        <w:jc w:val="left"/>
        <w:spacing w:before="120" w:line="360" w:lineRule="auto"/>
        <w:shd w:val="clear" w:color="auto" w:fill="ffffff"/>
        <w:widowControl/>
        <w:rPr>
          <w:rFonts w:hint="eastAsia" w:ascii="宋体" w:hAnsi="宋体" w:cs="宋体"/>
          <w:color w:val="auto"/>
          <w:sz w:val="24"/>
          <w:szCs w:val="24"/>
          <w:highlight w:val="none"/>
        </w:rPr>
        <w:outlineLvl w:val="1"/>
      </w:pPr>
      <w:r/>
      <w:bookmarkStart w:id="6" w:name="_Toc228350057"/>
      <w:r>
        <w:rPr>
          <w:rFonts w:hint="eastAsia" w:ascii="宋体" w:hAnsi="宋体" w:cs="宋体"/>
          <w:b/>
          <w:bCs/>
          <w:color w:val="auto"/>
          <w:sz w:val="24"/>
          <w:szCs w:val="24"/>
          <w:highlight w:val="none"/>
        </w:rPr>
        <w:t xml:space="preserve">一、项目基本情况：</w:t>
      </w:r>
      <w:bookmarkEnd w:id="6"/>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1、项目编号：JSZC-320192-JHRA-G2026-0023</w:t>
      </w:r>
      <w:r>
        <w:rPr>
          <w:rFonts w:hint="eastAsia" w:ascii="宋体" w:hAnsi="宋体" w:cs="宋体"/>
          <w:bCs/>
          <w:color w:val="auto"/>
          <w:sz w:val="24"/>
          <w:szCs w:val="24"/>
          <w:highlight w:val="none"/>
          <w:lang w:val="zh-CN"/>
        </w:rPr>
        <w:tab/>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2、项目名称：南京师范大学附属中学江北新区学校新建工程项目实验室装备采购</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3、采购需求：</w:t>
      </w:r>
      <w:r>
        <w:rPr>
          <w:rFonts w:hint="eastAsia" w:ascii="宋体" w:hAnsi="宋体" w:cs="宋体"/>
          <w:bCs/>
          <w:color w:val="auto"/>
          <w:sz w:val="24"/>
          <w:szCs w:val="24"/>
          <w:highlight w:val="none"/>
        </w:rPr>
        <w:t xml:space="preserve">南京师范大学附属中学江北新区学校新建工程项目实验室装备采购</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详见采购文件。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4、采购方式：公开招标</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采购预算：</w:t>
      </w:r>
      <w:r>
        <w:rPr>
          <w:rFonts w:ascii="宋体" w:hAnsi="宋体" w:cs="宋体"/>
          <w:b/>
          <w:color w:val="auto"/>
          <w:sz w:val="24"/>
          <w:szCs w:val="24"/>
          <w:highlight w:val="none"/>
        </w:rPr>
        <w:t xml:space="preserve">579.15935</w:t>
      </w:r>
      <w:r>
        <w:rPr>
          <w:rFonts w:hint="eastAsia" w:ascii="宋体" w:hAnsi="宋体" w:cs="宋体"/>
          <w:bCs/>
          <w:color w:val="auto"/>
          <w:sz w:val="24"/>
          <w:szCs w:val="24"/>
          <w:highlight w:val="none"/>
        </w:rPr>
        <w:t xml:space="preserve">万元</w:t>
      </w:r>
      <w:r/>
    </w:p>
    <w:p>
      <w:pPr>
        <w:ind w:firstLine="482"/>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6、最高限价：</w:t>
      </w:r>
      <w:r>
        <w:rPr>
          <w:rFonts w:ascii="宋体" w:hAnsi="宋体" w:cs="宋体"/>
          <w:b/>
          <w:color w:val="auto"/>
          <w:sz w:val="24"/>
          <w:szCs w:val="24"/>
          <w:highlight w:val="none"/>
        </w:rPr>
        <w:t xml:space="preserve">579.15935</w:t>
      </w:r>
      <w:r>
        <w:rPr>
          <w:rFonts w:hint="eastAsia" w:ascii="宋体" w:hAnsi="宋体" w:cs="宋体"/>
          <w:b/>
          <w:color w:val="auto"/>
          <w:sz w:val="24"/>
          <w:szCs w:val="24"/>
          <w:highlight w:val="none"/>
        </w:rPr>
        <w:t xml:space="preserve">万元</w:t>
      </w:r>
      <w:r>
        <w:rPr>
          <w:rFonts w:hint="eastAsia" w:ascii="宋体" w:hAnsi="宋体" w:cs="宋体"/>
          <w:color w:val="auto"/>
          <w:sz w:val="24"/>
          <w:szCs w:val="24"/>
          <w:highlight w:val="none"/>
        </w:rPr>
        <w:t xml:space="preserve">（超过最高限价的投标报价将被作为无效标处理）</w:t>
      </w:r>
      <w:r/>
    </w:p>
    <w:p>
      <w:pPr>
        <w:ind w:firstLine="480"/>
        <w:spacing w:line="360" w:lineRule="auto"/>
        <w:rPr>
          <w:rFonts w:hint="eastAsia"/>
          <w:color w:val="auto"/>
          <w:highlight w:val="none"/>
        </w:rPr>
      </w:pPr>
      <w:r>
        <w:rPr>
          <w:rFonts w:hint="eastAsia" w:ascii="宋体" w:hAnsi="宋体" w:cs="宋体"/>
          <w:bCs/>
          <w:color w:val="auto"/>
          <w:sz w:val="24"/>
          <w:szCs w:val="24"/>
          <w:highlight w:val="none"/>
          <w:lang w:val="zh-CN"/>
        </w:rPr>
        <w:t xml:space="preserve">7、合同履行期限：</w:t>
      </w:r>
      <w:r>
        <w:rPr>
          <w:rFonts w:hint="eastAsia" w:ascii="宋体" w:hAnsi="宋体" w:cs="宋体"/>
          <w:bCs/>
          <w:color w:val="auto"/>
          <w:sz w:val="24"/>
          <w:szCs w:val="24"/>
          <w:highlight w:val="none"/>
        </w:rPr>
        <w:t xml:space="preserve">收到采购人指令后30个日历天内安装调试完毕，并投入正常使用。</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本项目不接受联合体。</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7" w:name="_Toc35393630"/>
      <w:r/>
      <w:bookmarkStart w:id="8" w:name="_Toc28359090"/>
      <w:r/>
      <w:bookmarkStart w:id="9" w:name="_Toc35393799"/>
      <w:r/>
      <w:bookmarkStart w:id="10" w:name="_Toc28359013"/>
      <w:r/>
      <w:bookmarkStart w:id="11" w:name="_Toc228350058"/>
      <w:r>
        <w:rPr>
          <w:rFonts w:hint="eastAsia" w:ascii="宋体" w:hAnsi="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zh-CN"/>
        </w:rPr>
        <w:t xml:space="preserve">、满足《中华人民共和国政府采购法》第二十二条规定。</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（2）具有良好的商业信誉和健全的财务会计制度（提供2024年经审计的财务报告或2024年财务报表，或投标文件提交截止时间前六个月内银行出具的资信证明，成立不满一年无需提供）。</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（3）具有履行合同所必需的设备和专业技术能力（供应商根据履行采购项目合同需要，提供履行合同所必需的设备和专业技术能力的证明材料）。</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2"/>
        <w:jc w:val="left"/>
        <w:spacing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2、落实政府采购政策需满足的资格要求：</w:t>
      </w:r>
      <w:bookmarkStart w:id="12" w:name="OLE_LINK2"/>
      <w:r>
        <w:rPr>
          <w:rFonts w:hint="eastAsia" w:ascii="宋体" w:hAnsi="宋体" w:cs="宋体"/>
          <w:bCs/>
          <w:color w:val="auto"/>
          <w:spacing w:val="8"/>
          <w:sz w:val="24"/>
          <w:szCs w:val="24"/>
          <w:highlight w:val="none"/>
        </w:rPr>
        <w:t xml:space="preserve">本项目为非预留份额的采购项目或采购包，执行价格扣除优惠政策，具体详见招标文件第三章评标标准。</w:t>
      </w:r>
      <w:bookmarkEnd w:id="12"/>
      <w:r/>
      <w:r/>
    </w:p>
    <w:p>
      <w:pPr>
        <w:pStyle w:val="1148"/>
        <w:ind w:firstLine="482"/>
        <w:spacing w:line="360" w:lineRule="auto"/>
        <w:rPr>
          <w:rFonts w:hint="eastAsia" w:hAnsi="宋体"/>
          <w:b/>
          <w:bCs/>
          <w:color w:val="auto"/>
          <w:highlight w:val="none"/>
        </w:rPr>
      </w:pPr>
      <w:r>
        <w:rPr>
          <w:rFonts w:hint="eastAsia" w:hAnsi="宋体"/>
          <w:b/>
          <w:bCs/>
          <w:color w:val="auto"/>
          <w:highlight w:val="none"/>
        </w:rPr>
        <w:t xml:space="preserve">3、</w:t>
      </w:r>
      <w:r>
        <w:rPr>
          <w:rFonts w:hint="eastAsia" w:hAnsi="宋体"/>
          <w:b/>
          <w:bCs/>
          <w:color w:val="auto"/>
          <w:highlight w:val="none"/>
          <w:lang w:val="zh-CN"/>
        </w:rPr>
        <w:t xml:space="preserve">本项目的特定资格：</w:t>
      </w:r>
      <w:r>
        <w:rPr>
          <w:rFonts w:hint="eastAsia" w:hAnsi="宋体"/>
          <w:b/>
          <w:bCs/>
          <w:color w:val="auto"/>
          <w:highlight w:val="none"/>
        </w:rPr>
        <w:t xml:space="preserve">无</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4、拒绝下述供应商参加本次采购活动：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（3）拒绝列入失信被执行人、重大税收违法案件当事人名单、政府采购严重违法失信行为记录名单中的供应商参与本项目的采购活动。</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5、是否接受进口产品：否。</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3" w:name="_Toc228350059"/>
      <w:r>
        <w:rPr>
          <w:rFonts w:hint="eastAsia" w:ascii="宋体" w:hAnsi="宋体" w:cs="宋体"/>
          <w:b/>
          <w:bCs/>
          <w:color w:val="auto"/>
          <w:sz w:val="24"/>
          <w:szCs w:val="24"/>
          <w:highlight w:val="none"/>
        </w:rPr>
        <w:t xml:space="preserve">三、获取招标文件</w:t>
      </w:r>
      <w:bookmarkEnd w:id="13"/>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时间：自</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获取方式：网上下载</w:t>
      </w:r>
      <w:r/>
    </w:p>
    <w:p>
      <w:pPr>
        <w:ind w:firstLine="426"/>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售价：0.00元</w:t>
      </w:r>
      <w:r/>
    </w:p>
    <w:p>
      <w:pPr>
        <w:ind w:firstLine="426"/>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4" w:name="_Toc228350060"/>
      <w:r>
        <w:rPr>
          <w:rFonts w:hint="eastAsia" w:ascii="宋体" w:hAnsi="宋体" w:cs="宋体"/>
          <w:b/>
          <w:bCs/>
          <w:color w:val="auto"/>
          <w:sz w:val="24"/>
          <w:szCs w:val="24"/>
          <w:highlight w:val="none"/>
        </w:rPr>
        <w:t xml:space="preserve">四、提交投标文件开始时间、开标时间</w:t>
      </w:r>
      <w:bookmarkEnd w:id="14"/>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提交投标文件开始时间：</w:t>
      </w:r>
      <w:r>
        <w:rPr>
          <w:rFonts w:hint="eastAsia" w:ascii="宋体" w:hAnsi="宋体" w:cs="宋体"/>
          <w:b/>
          <w:color w:val="auto"/>
          <w:sz w:val="24"/>
          <w:szCs w:val="24"/>
          <w:highlight w:val="none"/>
        </w:rPr>
        <w:t xml:space="preserve">2026年</w:t>
      </w: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27</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分（北京时间）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提交投标文件截止时间及开标时间：</w:t>
      </w:r>
      <w:r>
        <w:rPr>
          <w:rFonts w:hint="eastAsia" w:ascii="宋体" w:hAnsi="宋体" w:cs="宋体"/>
          <w:b/>
          <w:color w:val="auto"/>
          <w:sz w:val="24"/>
          <w:szCs w:val="24"/>
          <w:highlight w:val="none"/>
        </w:rPr>
        <w:t xml:space="preserve">2026年7月</w:t>
      </w:r>
      <w:r>
        <w:rPr>
          <w:rFonts w:hint="eastAsia" w:ascii="宋体" w:hAnsi="宋体" w:cs="宋体"/>
          <w:b/>
          <w:color w:val="auto"/>
          <w:sz w:val="24"/>
          <w:szCs w:val="24"/>
          <w:highlight w:val="none"/>
          <w:lang w:val="en-US" w:eastAsia="zh-CN"/>
        </w:rPr>
        <w:t xml:space="preserve">27</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00</w:t>
      </w:r>
      <w:r>
        <w:rPr>
          <w:rFonts w:hint="eastAsia" w:ascii="宋体" w:hAnsi="宋体" w:cs="宋体"/>
          <w:b/>
          <w:color w:val="auto"/>
          <w:sz w:val="24"/>
          <w:szCs w:val="24"/>
          <w:highlight w:val="none"/>
        </w:rPr>
        <w:t xml:space="preserve">分（北京时间）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递交</w:t>
      </w:r>
      <w:r>
        <w:rPr>
          <w:rFonts w:hint="eastAsia" w:ascii="宋体" w:hAnsi="宋体" w:cs="宋体"/>
          <w:bCs/>
          <w:color w:val="auto"/>
          <w:sz w:val="24"/>
          <w:szCs w:val="24"/>
          <w:highlight w:val="none"/>
        </w:rPr>
        <w:t xml:space="preserve">投标文件</w:t>
      </w:r>
      <w:r>
        <w:rPr>
          <w:rFonts w:hint="eastAsia" w:ascii="宋体" w:hAnsi="宋体" w:cs="宋体"/>
          <w:bCs/>
          <w:color w:val="auto"/>
          <w:sz w:val="24"/>
          <w:szCs w:val="24"/>
          <w:highlight w:val="none"/>
          <w:lang w:val="zh-CN"/>
        </w:rPr>
        <w:t xml:space="preserve">、开标地点：</w:t>
      </w:r>
      <w:r>
        <w:rPr>
          <w:rFonts w:hint="eastAsia" w:ascii="宋体" w:hAnsi="宋体" w:cs="宋体"/>
          <w:color w:val="auto"/>
          <w:sz w:val="24"/>
          <w:szCs w:val="24"/>
          <w:highlight w:val="none"/>
        </w:rPr>
        <w:t xml:space="preserve">江苏省政府采购管理交易系统（苏采云）</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5" w:name="_Toc228350061"/>
      <w:r>
        <w:rPr>
          <w:rFonts w:hint="eastAsia" w:ascii="宋体" w:hAnsi="宋体" w:cs="宋体"/>
          <w:b/>
          <w:bCs/>
          <w:color w:val="auto"/>
          <w:sz w:val="24"/>
          <w:szCs w:val="24"/>
          <w:highlight w:val="none"/>
        </w:rPr>
        <w:t xml:space="preserve">五、开启</w:t>
      </w:r>
      <w:bookmarkEnd w:id="15"/>
      <w:r/>
      <w:r/>
    </w:p>
    <w:p>
      <w:pPr>
        <w:ind w:firstLine="420"/>
        <w:spacing w:line="360" w:lineRule="auto"/>
        <w:rPr>
          <w:rFonts w:hint="eastAsia" w:ascii="宋体" w:hAnsi="宋体" w:cs="宋体"/>
          <w:color w:val="auto"/>
          <w:spacing w:val="8"/>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b/>
          <w:color w:val="auto"/>
          <w:sz w:val="24"/>
          <w:szCs w:val="24"/>
          <w:highlight w:val="none"/>
        </w:rPr>
        <w:t xml:space="preserve">2026年7月</w:t>
      </w:r>
      <w:r>
        <w:rPr>
          <w:rFonts w:hint="eastAsia" w:ascii="宋体" w:hAnsi="宋体" w:cs="宋体"/>
          <w:b/>
          <w:color w:val="auto"/>
          <w:sz w:val="24"/>
          <w:szCs w:val="24"/>
          <w:highlight w:val="none"/>
          <w:lang w:val="en-US" w:eastAsia="zh-CN"/>
        </w:rPr>
        <w:t xml:space="preserve">27</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00</w:t>
      </w:r>
      <w:r>
        <w:rPr>
          <w:rFonts w:hint="eastAsia" w:ascii="宋体" w:hAnsi="宋体" w:cs="宋体"/>
          <w:b/>
          <w:color w:val="auto"/>
          <w:sz w:val="24"/>
          <w:szCs w:val="24"/>
          <w:highlight w:val="none"/>
        </w:rPr>
        <w:t xml:space="preserve">分（北京时间）</w:t>
      </w:r>
      <w:r/>
    </w:p>
    <w:p>
      <w:pPr>
        <w:ind w:firstLine="420"/>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地点：</w:t>
      </w:r>
      <w:r>
        <w:rPr>
          <w:rFonts w:hint="eastAsia" w:ascii="宋体" w:hAnsi="宋体" w:cs="宋体"/>
          <w:color w:val="auto"/>
          <w:sz w:val="24"/>
          <w:szCs w:val="24"/>
          <w:highlight w:val="none"/>
        </w:rPr>
        <w:t xml:space="preserve">“苏采云”网上开标大厅</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6" w:name="_Toc228350062"/>
      <w:r>
        <w:rPr>
          <w:rFonts w:hint="eastAsia" w:ascii="宋体" w:hAnsi="宋体" w:cs="宋体"/>
          <w:b/>
          <w:bCs/>
          <w:color w:val="auto"/>
          <w:sz w:val="24"/>
          <w:szCs w:val="24"/>
          <w:highlight w:val="none"/>
        </w:rPr>
        <w:t xml:space="preserve">六、公告期限</w:t>
      </w:r>
      <w:bookmarkEnd w:id="16"/>
      <w:r/>
      <w:r/>
    </w:p>
    <w:p>
      <w:pPr>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自本公告在法定媒体发布之日起五个工作日</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7" w:name="_Toc228350063"/>
      <w:r>
        <w:rPr>
          <w:rFonts w:hint="eastAsia" w:ascii="宋体" w:hAnsi="宋体" w:cs="宋体"/>
          <w:b/>
          <w:bCs/>
          <w:color w:val="auto"/>
          <w:sz w:val="24"/>
          <w:szCs w:val="24"/>
          <w:highlight w:val="none"/>
        </w:rPr>
        <w:t xml:space="preserve">七、其他补充事宜</w:t>
      </w:r>
      <w:bookmarkEnd w:id="17"/>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1．是否接受进口产品：不接受。</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（1）符合国家相关规定的财务状况报告；</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（2）依法缴纳税收的证明材料；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（3）依法缴纳社会保障资金的证明材料；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供应商涉及以下情形的，不适用信用承诺：</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（1）供应商被列入严重失信主体名单；</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供应商对信用承诺内容的真实性、合法性、有效性负责。如作出虚假信用承诺，视同为“提供虚假材料谋取中标、成交”的违法行为。</w:t>
      </w:r>
      <w:r/>
    </w:p>
    <w:p>
      <w:pPr>
        <w:numPr>
          <w:ilvl w:val="0"/>
          <w:numId w:val="6"/>
        </w:num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numPr>
          <w:ilvl w:val="0"/>
          <w:numId w:val="6"/>
        </w:num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本项目采购公告在江苏政府采购网、南京公共采购信息网发布。有关本次采购的事项若存在变动或修改，敬请及时关注在“江苏政府采购网”发布的更正公告。</w:t>
      </w:r>
      <w:r/>
    </w:p>
    <w:p>
      <w:pPr>
        <w:numPr>
          <w:ilvl w:val="0"/>
          <w:numId w:val="6"/>
        </w:numPr>
        <w:ind w:firstLine="482"/>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名称：南京江北新区管理委员会教育局</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地址：南京市浦口区行知路8号</w:t>
      </w:r>
      <w:r/>
    </w:p>
    <w:p>
      <w:pPr>
        <w:ind w:firstLine="480"/>
        <w:spacing w:line="360" w:lineRule="auto"/>
        <w:shd w:val="clear" w:color="auto" w:fill="ffffff"/>
        <w:widowControl/>
        <w:rPr>
          <w:rFonts w:ascii="宋体" w:hAnsi="宋体" w:cs="宋体"/>
          <w:color w:val="auto"/>
          <w:sz w:val="24"/>
          <w:szCs w:val="24"/>
          <w:highlight w:val="none"/>
        </w:rPr>
      </w:pPr>
      <w:r/>
      <w:bookmarkStart w:id="18" w:name="OLE_LINK14"/>
      <w:r/>
      <w:bookmarkStart w:id="19" w:name="OLE_LINK33"/>
      <w:r/>
      <w:bookmarkStart w:id="20" w:name="OLE_LINK17"/>
      <w:r>
        <w:rPr>
          <w:rFonts w:hint="eastAsia" w:ascii="宋体" w:hAnsi="宋体" w:cs="宋体"/>
          <w:color w:val="auto"/>
          <w:sz w:val="24"/>
          <w:szCs w:val="24"/>
          <w:highlight w:val="none"/>
        </w:rPr>
        <w:t xml:space="preserve">联系人：奚老师</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End w:id="18"/>
      <w:r/>
      <w:bookmarkEnd w:id="19"/>
      <w:r/>
      <w:bookmarkEnd w:id="20"/>
      <w:r>
        <w:rPr>
          <w:rFonts w:hint="eastAsia" w:ascii="宋体" w:hAnsi="宋体" w:cs="宋体"/>
          <w:color w:val="auto"/>
          <w:sz w:val="24"/>
          <w:szCs w:val="24"/>
          <w:highlight w:val="none"/>
        </w:rPr>
        <w:t xml:space="preserve">025-58111956</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名称：捷宏润安工程顾问（江苏）有限公司</w:t>
      </w:r>
      <w:r/>
    </w:p>
    <w:p>
      <w:pPr>
        <w:ind w:firstLine="480"/>
        <w:spacing w:line="360" w:lineRule="auto"/>
        <w:shd w:val="clear" w:color="auto" w:fill="ffffff"/>
        <w:widowControl/>
        <w:rPr>
          <w:rFonts w:hint="eastAsia" w:ascii="宋体" w:hAnsi="宋体" w:cs="宋体"/>
          <w:color w:val="auto"/>
          <w:sz w:val="24"/>
          <w:szCs w:val="24"/>
          <w:highlight w:val="none"/>
        </w:rPr>
      </w:pPr>
      <w:r/>
      <w:bookmarkStart w:id="21" w:name="OLE_LINK20"/>
      <w:r>
        <w:rPr>
          <w:rFonts w:hint="eastAsia" w:ascii="宋体" w:hAnsi="宋体" w:cs="宋体"/>
          <w:color w:val="auto"/>
          <w:sz w:val="24"/>
          <w:szCs w:val="24"/>
          <w:highlight w:val="none"/>
        </w:rPr>
        <w:t xml:space="preserve">地址：</w:t>
      </w:r>
      <w:bookmarkStart w:id="22" w:name="OLE_LINK19"/>
      <w:r/>
      <w:bookmarkStart w:id="23" w:name="OLE_LINK18"/>
      <w:r>
        <w:rPr>
          <w:rFonts w:hint="eastAsia" w:ascii="宋体" w:hAnsi="宋体" w:cs="宋体"/>
          <w:color w:val="auto"/>
          <w:sz w:val="24"/>
          <w:szCs w:val="24"/>
          <w:highlight w:val="none"/>
        </w:rPr>
        <w:t xml:space="preserve">南京市玄武区板仓街9号B7栋三楼</w:t>
      </w:r>
      <w:bookmarkEnd w:id="22"/>
      <w:r/>
      <w:bookmarkEnd w:id="23"/>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联系人：费星宇</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联系方式：15951749695</w:t>
      </w:r>
      <w:bookmarkEnd w:id="21"/>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项目联系人：费星宇</w:t>
      </w:r>
      <w:r/>
    </w:p>
    <w:p>
      <w:pPr>
        <w:ind w:firstLine="480"/>
        <w:jc w:val="left"/>
        <w:shd w:val="clear" w:color="auto" w:fill="ffffff"/>
        <w:widowControl/>
        <w:rPr>
          <w:rFonts w:hint="eastAsia" w:ascii="宋体" w:hAnsi="宋体" w:cs="宋体"/>
          <w:b/>
          <w:bCs/>
          <w:color w:val="auto"/>
          <w:spacing w:val="-10"/>
          <w:sz w:val="10"/>
          <w:szCs w:val="10"/>
          <w:highlight w:val="none"/>
        </w:rPr>
      </w:pPr>
      <w:r>
        <w:rPr>
          <w:rFonts w:hint="eastAsia" w:ascii="宋体" w:hAnsi="宋体" w:cs="宋体"/>
          <w:color w:val="auto"/>
          <w:sz w:val="24"/>
          <w:szCs w:val="24"/>
          <w:highlight w:val="none"/>
        </w:rPr>
        <w:t xml:space="preserve">电话：15951749695</w:t>
      </w:r>
      <w:r>
        <w:rPr>
          <w:rFonts w:ascii="宋体" w:hAnsi="宋体" w:cs="宋体"/>
          <w:b/>
          <w:bCs/>
          <w:color w:val="auto"/>
          <w:spacing w:val="-10"/>
          <w:sz w:val="36"/>
          <w:szCs w:val="36"/>
          <w:highlight w:val="none"/>
        </w:rPr>
        <w:br w:type="page" w:clear="all"/>
      </w:r>
      <w:bookmarkStart w:id="24" w:name="_Toc228350064"/>
      <w:r/>
      <w:r/>
    </w:p>
    <w:p>
      <w:pPr>
        <w:ind w:firstLine="683"/>
        <w:jc w:val="center"/>
        <w:spacing w:line="360" w:lineRule="auto"/>
        <w:shd w:val="clear" w:color="auto" w:fill="ffffff"/>
        <w:widowControl/>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t xml:space="preserve">第二章  供应商须知</w:t>
      </w:r>
      <w:bookmarkEnd w:id="24"/>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5" w:name="_Toc228350065"/>
      <w:r/>
      <w:bookmarkStart w:id="26" w:name="_Hlk156125564"/>
      <w:r>
        <w:rPr>
          <w:rFonts w:hint="eastAsia" w:ascii="宋体" w:hAnsi="宋体" w:cs="宋体"/>
          <w:b/>
          <w:bCs/>
          <w:color w:val="auto"/>
          <w:sz w:val="24"/>
          <w:szCs w:val="24"/>
          <w:highlight w:val="none"/>
        </w:rPr>
        <w:t xml:space="preserve">一、总则</w:t>
      </w:r>
      <w:bookmarkEnd w:id="25"/>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1.适用法律</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1.1《中华人民共和国政府采购法》《中华人民共和国政府采购法实施条例》《政府采购货物和服务招标投标管理办法》等法律、法规、规章和规定。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2.定义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“供应商”“投标人”是指参加投标竞争，并符合招标文件规定资格条件的法人、其他组织或者自然人。</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3.政策功能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3.1促进中小企业发展。在政府采购活动中，供应商提供的货物、工程或者服务符合下列情形的，享受中小企业扶持政策：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（1）在货物采购项目中，货物由中小企业制造，即货物由中小企业生产且使用该中小企业商号或者注册商标；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（2）在工程采购项目中，工程由中小企业承建，即工程施工单位为中小企业；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（3）在服务采购项目中，服务由中小企业承接，即提供服务的人员为中小企业依照《中华人民共和国劳动合同法》订立劳动合同的从业人员。</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82"/>
        <w:jc w:val="left"/>
        <w:spacing w:line="360" w:lineRule="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特别说明：</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在货物采购项目中，供应商提供的货物既有中小企业制造货物，也有大型企业制造货物的，不享受中小企业扶持政策。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中小企业供应商参加政府采购活动，应当出具《中小企业声明函》，否则不享受相关中小企业扶持政策。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3.7绿色包装规定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（2）本项目中涉及涂料、胶黏剂、油墨、清洗剂等挥发性有机物产品的，属于强制性标准的，供应商应当提供符合国家和江苏省相关VOCs含量限制标准的产品。</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3.8实施本国产品标准及相关政策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3.8.2本国产品应当符合以下条件：</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（1）在中国境内生产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（2）在中国境内生产的组件成本占比达到规定比例</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（3）特定产品的关键组件、关键工序符合相关要求</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3.8.3本国产品标准的适用范围</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3.8.4对本国产品的支持政策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3.8.5政策执行要求</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7" w:name="_Toc228350066"/>
      <w:r>
        <w:rPr>
          <w:rFonts w:hint="eastAsia" w:ascii="宋体" w:hAnsi="宋体" w:cs="宋体"/>
          <w:b/>
          <w:bCs/>
          <w:color w:val="auto"/>
          <w:sz w:val="24"/>
          <w:szCs w:val="24"/>
          <w:highlight w:val="none"/>
        </w:rPr>
        <w:t xml:space="preserve">二、招标文件</w:t>
      </w:r>
      <w:bookmarkEnd w:id="27"/>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4.招标文件组成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4.1招标文件由投标邀请、供应商须知、评标办法、采购需求、合同条款、附件等组成。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5.招标文件的澄清修改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5.1</w:t>
      </w:r>
      <w:r>
        <w:rPr>
          <w:rFonts w:hint="eastAsia" w:ascii="宋体" w:hAnsi="宋体" w:cs="宋体"/>
          <w:bCs/>
          <w:color w:val="auto"/>
          <w:sz w:val="24"/>
          <w:szCs w:val="24"/>
          <w:highlight w:val="none"/>
          <w:lang w:val="zh-CN"/>
        </w:rPr>
        <w:t xml:space="preserve">代理机构</w:t>
      </w:r>
      <w:r>
        <w:rPr>
          <w:rFonts w:hint="eastAsia" w:ascii="宋体" w:hAnsi="宋体" w:cs="宋体"/>
          <w:color w:val="auto"/>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5.2</w:t>
      </w:r>
      <w:r>
        <w:rPr>
          <w:rFonts w:hint="eastAsia" w:ascii="宋体" w:hAnsi="宋体" w:cs="宋体"/>
          <w:bCs/>
          <w:color w:val="auto"/>
          <w:sz w:val="24"/>
          <w:szCs w:val="24"/>
          <w:highlight w:val="none"/>
          <w:lang w:val="zh-CN"/>
        </w:rPr>
        <w:t xml:space="preserve">代理机构</w:t>
      </w:r>
      <w:r>
        <w:rPr>
          <w:rFonts w:hint="eastAsia" w:ascii="宋体" w:hAnsi="宋体" w:cs="宋体"/>
          <w:color w:val="auto"/>
          <w:sz w:val="24"/>
          <w:szCs w:val="24"/>
          <w:highlight w:val="none"/>
          <w:lang w:bidi="ar"/>
        </w:rPr>
        <w:t xml:space="preserve">在招标文件要求提交投标文件截止时间前，有权决定延长投标截止时间和开标时间，并在原采购信息发布媒体上发布变更公告。</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5.3供应商应在投标截止时间前关注原采购信息发布媒体有关本招标项目有无变更公告。</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8" w:name="_Toc228350067"/>
      <w:r>
        <w:rPr>
          <w:rFonts w:hint="eastAsia" w:ascii="宋体" w:hAnsi="宋体" w:cs="宋体"/>
          <w:b/>
          <w:bCs/>
          <w:color w:val="auto"/>
          <w:sz w:val="24"/>
          <w:szCs w:val="24"/>
          <w:highlight w:val="none"/>
        </w:rPr>
        <w:t xml:space="preserve">三、投标</w:t>
      </w:r>
      <w:bookmarkEnd w:id="28"/>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6</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投标</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6.1供应商应由其法定代表人或法定代表人授权委托人在规定的投标时间内，按时递交投标文件。</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供应商应当对招标文件提出的要求和条件作出实质性响应，</w:t>
      </w:r>
      <w:r>
        <w:rPr>
          <w:rFonts w:hint="eastAsia" w:ascii="宋体" w:hAnsi="宋体" w:cs="宋体"/>
          <w:bCs/>
          <w:color w:val="auto"/>
          <w:sz w:val="24"/>
          <w:szCs w:val="24"/>
          <w:highlight w:val="none"/>
        </w:rPr>
        <w:t xml:space="preserve">并在投标文件中逐条应答。</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供应商应当提供的资格证明文件（如资质证书、资格证书）、技术资料（如白皮书、彩页、手册、检测报告等）。</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供应商应逐一说明投标产品品牌、型号、产地、性能参数。</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投标产品属于国家认定的节能产品、环保产品、信息安全产品，应附认证证书扫描件。</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6供应商符合《政府采购促进中小企业发展管理办法》（财库【2020】46号）规定的，应按要求在投标文件中填写《中小企业声明函》，否则不享受相应政策。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zh-CN"/>
        </w:rPr>
        <w:t xml:space="preserve">供应商拟在中标后将中标项目的非主体、非关键性工作交由他人完成的，应当在投标文件中载明。</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7.投标文件的语言、计量单位、货币、技术标准和编制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7.2供应商所使用的计量单位应为国家法定计量单位。</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7.3供应商应用人民币报价。</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7.4供应商所使用的技术标准应遵循国家最新标准及规范。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8.联合投标和分包</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8.1采购项目如接受联合体投标的，两个以上的自然人、法人或者其他组织可以组成一个联合体，以一个供应商的身份共同参加投标。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8.5享受中小企业扶持政策获得政府采购合同的，小微企业不得将合同分包给大中型企业，中型企业不得将合同分包给大型企业。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9.投标费用</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9.1供应商应承担所有与准备和参加投标有关的费用，无论采购结果如何，代理机构和采购人在任何情况下均无义务和责任承担这些费用。</w:t>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 xml:space="preserve">9.2</w:t>
      </w:r>
      <w:bookmarkStart w:id="29" w:name="OLE_LINK69"/>
      <w:r/>
      <w:bookmarkStart w:id="30" w:name="OLE_LINK34"/>
      <w:r/>
      <w:bookmarkStart w:id="31" w:name="OLE_LINK13"/>
      <w:r/>
      <w:bookmarkStart w:id="32" w:name="OLE_LINK70"/>
      <w:r/>
      <w:bookmarkStart w:id="33" w:name="OLE_LINK32"/>
      <w:r>
        <w:rPr>
          <w:rFonts w:hint="eastAsia" w:ascii="宋体" w:hAnsi="宋体" w:cs="宋体"/>
          <w:b/>
          <w:bCs/>
          <w:color w:val="auto"/>
          <w:sz w:val="24"/>
          <w:szCs w:val="24"/>
          <w:highlight w:val="none"/>
        </w:rPr>
        <w:t xml:space="preserve">本项目</w:t>
      </w:r>
      <w:r>
        <w:rPr>
          <w:rFonts w:hint="eastAsia" w:ascii="宋体" w:hAnsi="宋体" w:cs="宋体"/>
          <w:b/>
          <w:color w:val="auto"/>
          <w:sz w:val="24"/>
          <w:szCs w:val="24"/>
          <w:highlight w:val="none"/>
        </w:rPr>
        <w:t xml:space="preserve">招标代理费</w:t>
      </w:r>
      <w:r>
        <w:rPr>
          <w:rFonts w:hint="eastAsia" w:ascii="宋体" w:hAnsi="宋体" w:cs="宋体"/>
          <w:b/>
          <w:bCs/>
          <w:color w:val="auto"/>
          <w:sz w:val="24"/>
          <w:szCs w:val="24"/>
          <w:highlight w:val="none"/>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9"/>
      <w:r/>
      <w:bookmarkEnd w:id="30"/>
      <w:r/>
      <w:bookmarkEnd w:id="31"/>
      <w:r/>
      <w:bookmarkEnd w:id="32"/>
      <w:r/>
      <w:bookmarkEnd w:id="33"/>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10.投标文件组成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投标文件由商务部分、技术部分、价格部分，以及其他部分组成。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11.投标文件的商务部分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（1）★投标函（投标申请及声明，格式见附件）；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（2）★法定代表人授权委托书（格式见附件）及委托代理人的身份证扫描件；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cs="宋体"/>
          <w:color w:val="auto"/>
          <w:sz w:val="24"/>
          <w:szCs w:val="24"/>
          <w:highlight w:val="none"/>
          <w:lang w:bidi="ar"/>
        </w:rPr>
        <w:t xml:space="preserve">条规定的资格证明材料；</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（4）★《南京市政府采购供应商信用记录表暨信用承诺书》；</w:t>
      </w:r>
      <w:r/>
    </w:p>
    <w:p>
      <w:pPr>
        <w:ind w:firstLine="480"/>
        <w:jc w:val="left"/>
        <w:spacing w:line="360" w:lineRule="auto"/>
        <w:widowControl/>
        <w:rPr>
          <w:rFonts w:hint="eastAsia"/>
          <w:color w:val="auto"/>
          <w:highlight w:val="none"/>
        </w:rPr>
      </w:pPr>
      <w:r>
        <w:rPr>
          <w:rFonts w:hint="eastAsia" w:ascii="宋体" w:hAnsi="宋体" w:cs="宋体"/>
          <w:color w:val="auto"/>
          <w:sz w:val="24"/>
          <w:szCs w:val="24"/>
          <w:highlight w:val="none"/>
          <w:lang w:bidi="ar"/>
        </w:rPr>
        <w:t xml:space="preserve">（5）★《关于符合本国产品标准的声明函》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（6）供应商认为需要提供的其他资格证明文件和商务资料。</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12.投标文件的技术部分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12.2若技术性能无特殊说明，则按国家有关部门最新颁布的标准及规范为准。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12.3提供的技术如与招标文件要求有不符之处，应说明其差别之所在并逐条说明。</w:t>
      </w:r>
      <w:r>
        <w:rPr>
          <w:rFonts w:hint="eastAsia" w:ascii="宋体" w:hAnsi="宋体" w:cs="宋体"/>
          <w:b/>
          <w:color w:val="auto"/>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bidi="ar"/>
        </w:rPr>
        <w:t xml:space="preserve">12.4</w:t>
      </w:r>
      <w:r>
        <w:rPr>
          <w:rFonts w:hint="eastAsia" w:ascii="宋体" w:hAnsi="宋体" w:cs="宋体"/>
          <w:bCs/>
          <w:color w:val="auto"/>
          <w:sz w:val="24"/>
          <w:szCs w:val="24"/>
          <w:highlight w:val="none"/>
          <w:lang w:val="zh-CN"/>
        </w:rPr>
        <w:t xml:space="preserve">投标文件应按照招标文件要求技术资料、文件和有关证明，</w:t>
      </w:r>
      <w:r>
        <w:rPr>
          <w:rFonts w:hint="eastAsia" w:ascii="宋体" w:hAnsi="宋体" w:cs="宋体"/>
          <w:color w:val="auto"/>
          <w:sz w:val="24"/>
          <w:szCs w:val="24"/>
          <w:highlight w:val="none"/>
          <w:lang w:val="zh-CN"/>
        </w:rPr>
        <w:t xml:space="preserve">包括但不限于下列文件，其中加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项目不得有缺失或无效：</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（1）★服务方案（格式自拟）；</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（2）★《技术条款偏离表》；</w:t>
      </w:r>
      <w:r/>
    </w:p>
    <w:p>
      <w:pPr>
        <w:pStyle w:val="828"/>
        <w:ind w:firstLine="480"/>
        <w:jc w:val="left"/>
        <w:spacing w:after="0"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）★《供货一览表》；</w:t>
      </w:r>
      <w:r/>
    </w:p>
    <w:p>
      <w:pPr>
        <w:pStyle w:val="828"/>
        <w:ind w:firstLine="480"/>
        <w:jc w:val="left"/>
        <w:spacing w:after="0"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）★货物质量保证承诺书；</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）验收标准；</w:t>
      </w:r>
      <w:r/>
    </w:p>
    <w:p>
      <w:pPr>
        <w:ind w:firstLine="480"/>
        <w:jc w:val="left"/>
        <w:spacing w:line="360" w:lineRule="auto"/>
        <w:rPr>
          <w:rFonts w:hint="eastAsia" w:ascii="宋体" w:hAnsi="宋体" w:cs="宋体"/>
          <w:b/>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）供应商认为需要提供的其他技术资料。</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13.投标文件的价格部分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13.1供应商应对清单中的产品和服务分别报价，每一项产品和服务仅接受一个价格。</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13.3供应商的任何错漏、优惠、竞争性报价不得作为减轻责任、减少服务、增加收费、降低质量的理由。</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14.投标文件的其他部分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供应商编制投标文件需要提供的其他相关文件。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15.投标保证金</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本项目不收取保证金。</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16.投标有效期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16.1自开标之日起九十日内投标有效。</w:t>
      </w:r>
      <w:r/>
    </w:p>
    <w:p>
      <w:pPr>
        <w:ind w:firstLine="480"/>
        <w:jc w:val="left"/>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17.投标报价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17.1供应商应对招标文件内的《产品清单》分别报价，并汇总报价。</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lang w:val="zh-CN"/>
        </w:rPr>
        <w:t xml:space="preserve">、投标文件的递交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.1供应商应当按照《操作手册》规定，在</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公告规定的提交</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文件截止时间前制作并上传电子</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应充分考虑网络环境、网络带宽等因素可能对投标产生的影响，如因供应商自身原因造成的电子投标文件上传不成功的，按照本招标文件第二章第21.2.2.4条规定做无效响应处理。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.3采购代理机构可以按照规定，通过修改</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文件酌情延长提交</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文件截止日期，在此情况下，</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的所有权利和义务均以延长后新的截止日期为准。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文件应加盖投标供应商公章。</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文件中注明须签字的地方应由</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的法定代表人或委托代理人签字，如为委托代理人签字的应附“法定代表人授权委托书”。</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18</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文件的拒收</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18.1</w:t>
      </w:r>
      <w:r>
        <w:rPr>
          <w:rFonts w:hint="eastAsia" w:ascii="宋体" w:hAnsi="宋体" w:cs="宋体"/>
          <w:color w:val="auto"/>
          <w:sz w:val="24"/>
          <w:szCs w:val="24"/>
          <w:highlight w:val="none"/>
          <w:lang w:val="zh-CN"/>
        </w:rPr>
        <w:t xml:space="preserve">采购代理机构拒绝接收提交投标文件截止时间后上传的任何电子投标文件。</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9</w:t>
      </w:r>
      <w:r>
        <w:rPr>
          <w:rFonts w:hint="eastAsia" w:ascii="宋体" w:hAnsi="宋体" w:cs="宋体"/>
          <w:b/>
          <w:bCs/>
          <w:color w:val="auto"/>
          <w:sz w:val="24"/>
          <w:szCs w:val="24"/>
          <w:highlight w:val="none"/>
          <w:lang w:val="zh-CN"/>
        </w:rPr>
        <w:t xml:space="preserve">.投标文件的修改和撤回</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9</w:t>
      </w:r>
      <w:r>
        <w:rPr>
          <w:rFonts w:hint="eastAsia" w:ascii="宋体" w:hAnsi="宋体" w:cs="宋体"/>
          <w:b/>
          <w:bCs/>
          <w:color w:val="auto"/>
          <w:sz w:val="24"/>
          <w:szCs w:val="24"/>
          <w:highlight w:val="none"/>
          <w:lang w:val="zh-CN"/>
        </w:rPr>
        <w:t xml:space="preserve">.1投标文件的撤回</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（1）投标人可在提交投标文件截止时间前撤回其电子投标文件，具体操作方法见《操作手册》。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（2）投标人撤回电子投标文件，则认为其不再参与本项目投标活动。</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.2投标文件的修改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（1）投标人可在提交投标文件截止时间前对其电子投标文件进行修改，具体操作方法见《操作手册》。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（2）提交投标文件截止时间之后，投标人不得对其电子投标文件作任何修改。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.3在提交投标文件截止时间至招标文件中规定的投标有效期满之间的这段时间内，投标人不得撤回其投标文件。</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34" w:name="_Toc228350068"/>
      <w:r>
        <w:rPr>
          <w:rFonts w:hint="eastAsia" w:ascii="宋体" w:hAnsi="宋体" w:cs="宋体"/>
          <w:b/>
          <w:bCs/>
          <w:color w:val="auto"/>
          <w:sz w:val="24"/>
          <w:szCs w:val="24"/>
          <w:highlight w:val="none"/>
        </w:rPr>
        <w:t xml:space="preserve">四、开标、评标与确定中标供应商</w:t>
      </w:r>
      <w:bookmarkEnd w:id="34"/>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20</w:t>
      </w:r>
      <w:r>
        <w:rPr>
          <w:rFonts w:hint="eastAsia" w:ascii="宋体" w:hAnsi="宋体" w:cs="宋体"/>
          <w:b/>
          <w:bCs/>
          <w:color w:val="auto"/>
          <w:sz w:val="24"/>
          <w:szCs w:val="24"/>
          <w:highlight w:val="none"/>
          <w:lang w:val="zh-CN"/>
        </w:rPr>
        <w:t xml:space="preserve">.开标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.2投标人在开标过程中涉及到的投标文件解密、开标结果确认等工作，应按照《操作手册》规定执行。</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.3投标人如果对开标过程和开标结果有疑义，应当根据《操作手册》规定提出，苏采云系统中《开标一览表》公布后5分钟内未提出的，视同认可开标结果。</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21.评标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21.1评标组织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21.1.1评标工作由代理机构组织，具体评标事务由依法组建的评标委员会负责，并独立履行下列职责：</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审查、评价投标文件是否符合招标文件的商务、技术等实质性要求；</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要求投标人对投标文件有关事项作出澄清或者说明；</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对投标文件进行比较和评价；</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推荐中标候选人或根据采购人委托直接确定中标供应商；</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向采购人、财政部门报告评标中发现的违法行为。</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21.2评标程序</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21.2.1投标文件的资格审查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21.2.1.1采购人代表依法对投标人的资格进行审查。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21.2.1.4投标文件有下列情况之一的，在资格性审查时按照无效投标处理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（1）不具备招标文件规定资格条件的；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21.2.2投标文件的符合性审查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21.2.2.2实质性要求是指本招标文件中带“★”的商务和技术要求。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p>
    <w:p>
      <w:pPr>
        <w:ind w:firstLine="482"/>
        <w:jc w:val="left"/>
        <w:spacing w:line="360" w:lineRule="auto"/>
        <w:rPr>
          <w:rFonts w:hint="eastAsia" w:ascii="宋体" w:hAnsi="宋体" w:cs="宋体"/>
          <w:color w:val="auto"/>
          <w:sz w:val="24"/>
          <w:szCs w:val="24"/>
          <w:highlight w:val="none"/>
          <w:lang w:val="zh-CN"/>
        </w:rPr>
      </w:pPr>
      <w:r>
        <w:rPr>
          <w:rFonts w:hint="eastAsia" w:ascii="宋体" w:hAnsi="宋体" w:cs="宋体"/>
          <w:b/>
          <w:bCs/>
          <w:color w:val="auto"/>
          <w:sz w:val="24"/>
          <w:szCs w:val="24"/>
          <w:highlight w:val="none"/>
          <w:lang w:val="zh-CN"/>
        </w:rPr>
        <w:t xml:space="preserve">21.2.2.4投标文件有下列情况之一的，在符合性审查时按照无效投标处理：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（1）没有按照招标文件要求盖章或签字的；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（2）投标总价超出采购项目预算或者最高限价的；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（3）不同供应商的投标文件由同一单位或者个人编制；</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（4）不同供应商委托同一单位或者个人办理投标事宜；</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）不同供应商的投标文件载明的项目管理成员为同一人；</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（6）不同供应商的投标文件异常一致或者投标报价呈规律性差异；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）不同供应商的负责人为同一人或者存在控股、管理关系的；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属于投标邀请中第</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条第</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款拒绝参加本次采购活动供应商的</w:t>
      </w:r>
      <w:r>
        <w:rPr>
          <w:rFonts w:hint="eastAsia" w:ascii="宋体" w:hAnsi="宋体" w:cs="宋体"/>
          <w:color w:val="auto"/>
          <w:sz w:val="24"/>
          <w:szCs w:val="24"/>
          <w:highlight w:val="none"/>
          <w:lang w:val="zh-CN"/>
        </w:rPr>
        <w:t xml:space="preserve">；</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CN"/>
        </w:rPr>
        <w:t xml:space="preserve">）投标文件含有采购人不能接受的附加条件的；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21.2.2.5有下列情形之一的予以废标：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（1）符合资格条件的供应商或者对招标文件作实质性响应的供应商不足三家的；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（2）出现影响采购公正的违法、违规行为的；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（3）供应商的报价均超过了采购预算或最高限价，采购人不能支付的；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（4）因重大变故，采购任务取消的；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（5）招标文件存在歧义、重大缺陷，或者招标文件内容违反国家有关强制性规定的。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（6）预留份额的采购项目或采购包，通过发布公告方式邀请供应商后，符合资格条件的中小企业数量不足3家的。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）因苏采云系统故障造成开标不成功。</w:t>
      </w:r>
      <w:r/>
    </w:p>
    <w:p>
      <w:pPr>
        <w:ind w:firstLine="480"/>
        <w:spacing w:line="360" w:lineRule="auto"/>
        <w:rPr>
          <w:rFonts w:hint="eastAsia" w:ascii="宋体" w:hAnsi="宋体" w:cs="宋体"/>
          <w:color w:val="auto"/>
          <w:sz w:val="24"/>
          <w:szCs w:val="24"/>
          <w:highlight w:val="none"/>
        </w:rPr>
      </w:pPr>
      <w:r/>
      <w:bookmarkStart w:id="35" w:name="OLE_LINK44"/>
      <w:r>
        <w:rPr>
          <w:rFonts w:hint="eastAsia" w:ascii="宋体" w:hAnsi="宋体" w:cs="宋体"/>
          <w:color w:val="auto"/>
          <w:sz w:val="24"/>
          <w:szCs w:val="24"/>
          <w:highlight w:val="none"/>
        </w:rPr>
        <w:t xml:space="preserve">21.2.2.6根据财政部《关于推动解决政府采购异常低价问题的通知》(财库【2026】2号)要求，评审过程中出现下列情形之一的，评审委员会应当启动异常低价投标(响应)审查程序: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（3）投标(响应)报价低于采购项目最高限价45%的，即投标(响应)报价＜采购项目最高限价×45%；</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具体要求按《关于推动解决政府采购异常低价问题的通知》(财库【2026】2号)执行。</w:t>
      </w:r>
      <w:bookmarkEnd w:id="35"/>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如出现投标截止时间后参加的投标人或者对招标文件作出实质性响应的各包投标人不足三家的情况，按政府采购相关规定执行。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澄清有关问题。</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投标人的澄清、说明或者补正不得超出投标文件的范围或者改变投标文件的实质性内容。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评标委员会并非对每个投标人都做澄清要求。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）接到评标委员会澄清、说明和补正要求的，投标人如未按规定作出澄清、说明和补正，其风险由投标人自行承担。</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21.2.</w:t>
      </w: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投标文件报价出现前后不一致的，除招标文件另有规定外，按照下列规定修正：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（1）投标文件中开标一览表内容与投标文件中相应内容不一致的，以开标一览表为准；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（2）大写金额和小写金额不一致的，以大写金额为准；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（3）单价金额小数点或者百分比有明显错位的，以开标一览表的总价为准，并修改单价；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（4）总价金额与按单价汇总金额不一致的，以单价金额计算结果为准。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同时出现两种以上不一致的，按照前款规定的顺序修正。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21.2.5比较与评价。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按照招标文件中规定的评标方法和标准，对资格性检查和符合性检查合格的投标文件进行商务和技术评估，综合比较与评价。</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w:t>
      </w:r>
      <w:r>
        <w:rPr>
          <w:rFonts w:hint="eastAsia" w:ascii="宋体" w:hAnsi="宋体" w:cs="宋体"/>
          <w:b/>
          <w:bCs/>
          <w:color w:val="auto"/>
          <w:sz w:val="24"/>
          <w:szCs w:val="24"/>
          <w:highlight w:val="none"/>
        </w:rPr>
        <w:t xml:space="preserve">1.2.6</w:t>
      </w:r>
      <w:r>
        <w:rPr>
          <w:rFonts w:hint="eastAsia" w:ascii="宋体" w:hAnsi="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21.3评标方法和标准</w:t>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bCs/>
          <w:color w:val="auto"/>
          <w:sz w:val="24"/>
          <w:szCs w:val="24"/>
          <w:highlight w:val="none"/>
          <w:lang w:val="zh-CN"/>
        </w:rPr>
        <w:t xml:space="preserve">21.3.2</w:t>
      </w:r>
      <w:r>
        <w:rPr>
          <w:rFonts w:hint="eastAsia" w:ascii="宋体" w:hAnsi="宋体" w:cs="宋体"/>
          <w:b/>
          <w:bCs/>
          <w:color w:val="auto"/>
          <w:sz w:val="24"/>
          <w:szCs w:val="24"/>
          <w:highlight w:val="none"/>
        </w:rPr>
        <w:t xml:space="preserve">本次采购采用综合评分法，评标方法和标准，详见本招标文件第三章。</w:t>
      </w:r>
      <w:r>
        <w:rPr>
          <w:rFonts w:hint="eastAsia" w:ascii="宋体" w:hAnsi="宋体" w:cs="宋体"/>
          <w:color w:val="auto"/>
          <w:sz w:val="24"/>
          <w:szCs w:val="24"/>
          <w:highlight w:val="none"/>
        </w:rPr>
        <w:t xml:space="preserve">综合评分法，是指投标文件满足招标文件全部实质性要求，且按照评审因素的量化指标评审得分最高的投标人为中标候选人的评标方法。</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22.确定中标供应商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6" w:name="_Hlk44576646"/>
      <w:r>
        <w:rPr>
          <w:rFonts w:hint="eastAsia" w:ascii="宋体" w:hAnsi="宋体" w:cs="宋体"/>
          <w:color w:val="auto"/>
          <w:sz w:val="24"/>
          <w:szCs w:val="24"/>
          <w:highlight w:val="none"/>
        </w:rPr>
        <w:t xml:space="preserve">投标文件满足招标文件全部实质性要求，</w:t>
      </w:r>
      <w:bookmarkEnd w:id="36"/>
      <w:r/>
      <w:bookmarkStart w:id="37" w:name="_Hlk128053036"/>
      <w:r>
        <w:rPr>
          <w:rFonts w:hint="eastAsia" w:ascii="宋体" w:hAnsi="宋体" w:cs="宋体"/>
          <w:color w:val="auto"/>
          <w:sz w:val="24"/>
          <w:szCs w:val="24"/>
          <w:highlight w:val="none"/>
        </w:rPr>
        <w:t xml:space="preserve">且按照评审因素的量化指标评审得分，经采购人授权，评标委员会确定中标人。</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22.2中标人确定后，采购代理机构在</w:t>
      </w:r>
      <w:r>
        <w:rPr>
          <w:rFonts w:hint="eastAsia" w:ascii="宋体" w:hAnsi="宋体" w:cs="宋体"/>
          <w:color w:val="auto"/>
          <w:sz w:val="24"/>
          <w:szCs w:val="24"/>
          <w:highlight w:val="none"/>
          <w:lang w:val="zh-CN"/>
        </w:rPr>
        <w:t xml:space="preserve">“江苏政府采购网”发布</w:t>
      </w:r>
      <w:r>
        <w:rPr>
          <w:rFonts w:hint="eastAsia" w:ascii="宋体" w:hAnsi="宋体" w:cs="宋体"/>
          <w:color w:val="auto"/>
          <w:sz w:val="24"/>
          <w:szCs w:val="24"/>
          <w:highlight w:val="none"/>
        </w:rPr>
        <w:t xml:space="preserve">中标公告，公告期限为1个工作日。</w:t>
      </w:r>
      <w:bookmarkEnd w:id="37"/>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23.中标通知书</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23.l中标结果确定后，采购代理机构将向中标人发出中标通知书。中标人可在中标结果公告届满之日起三十日内,登录苏采云系统下载。</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23.3中标人在领取中标通知书时，需向采购代理机构提供纸质版投标文件一式叁份（盖章版本），投标文件提倡按照A4幅面打印或复印并进行装订（采用胶装形式递交）。</w:t>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24.评标过程的保密性</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24.1采购人和采购代理机构将采取必要措施，保证评标在严格保密的情况下进行。</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24.2任何单位和个人不得非法干预、影响评标办法的确定，以及评标过程和结果。</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24.3凡是与审查、澄清、评价和比较投标的有关资料等，均不向投标人及与评标无关的其他人员透露。</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24.4采购代理机构和评标委员会不向未中标的投标人解释未中标原因，也不公布评标过程中的相关细节。</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38" w:name="_Hlk176188663"/>
      <w:r/>
      <w:bookmarkStart w:id="39" w:name="_Toc228350069"/>
      <w:r>
        <w:rPr>
          <w:rFonts w:hint="eastAsia" w:ascii="宋体" w:hAnsi="宋体" w:cs="宋体"/>
          <w:b/>
          <w:bCs/>
          <w:color w:val="auto"/>
          <w:sz w:val="24"/>
          <w:szCs w:val="24"/>
          <w:highlight w:val="none"/>
        </w:rPr>
        <w:t xml:space="preserve">五、签订合同</w:t>
      </w:r>
      <w:bookmarkEnd w:id="38"/>
      <w:r/>
      <w:bookmarkEnd w:id="39"/>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25.签订合同</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25.2采购人不得向中标人提出任何不合理的要求作为签订合同的条件。</w:t>
      </w:r>
      <w:r/>
    </w:p>
    <w:p>
      <w:pPr>
        <w:ind w:firstLine="480"/>
        <w:jc w:val="left"/>
        <w:spacing w:line="360" w:lineRule="auto"/>
        <w:shd w:val="clear" w:color="auto" w:fill="ffffff"/>
        <w:widowControl/>
        <w:rPr>
          <w:rFonts w:hint="eastAsia" w:ascii="宋体" w:hAnsi="宋体" w:cs="宋体"/>
          <w:color w:val="auto"/>
          <w:sz w:val="24"/>
          <w:szCs w:val="24"/>
          <w:highlight w:val="none"/>
        </w:rPr>
      </w:pPr>
      <w:r/>
      <w:bookmarkStart w:id="40" w:name="_Hlk128053131"/>
      <w:r>
        <w:rPr>
          <w:rFonts w:hint="eastAsia" w:ascii="宋体" w:hAnsi="宋体" w:cs="宋体"/>
          <w:color w:val="auto"/>
          <w:sz w:val="24"/>
          <w:szCs w:val="24"/>
          <w:highlight w:val="none"/>
        </w:rPr>
        <w:t xml:space="preserve">25.3</w:t>
      </w:r>
      <w:bookmarkStart w:id="41" w:name="_Hlk134712780"/>
      <w:r>
        <w:rPr>
          <w:rFonts w:hint="eastAsia" w:ascii="宋体" w:hAnsi="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40"/>
      <w:r/>
      <w:bookmarkEnd w:id="41"/>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25.4政府采购合同履行中，采购人需追加与合同标的相同的</w:t>
      </w:r>
      <w:bookmarkStart w:id="42" w:name="_Hlk176352307"/>
      <w:r>
        <w:rPr>
          <w:rFonts w:hint="eastAsia" w:ascii="宋体" w:hAnsi="宋体" w:cs="宋体"/>
          <w:color w:val="auto"/>
          <w:sz w:val="24"/>
          <w:szCs w:val="24"/>
          <w:highlight w:val="none"/>
        </w:rPr>
        <w:t xml:space="preserve">服务（包含与服务相关的货物）</w:t>
      </w:r>
      <w:bookmarkEnd w:id="42"/>
      <w:r>
        <w:rPr>
          <w:rFonts w:hint="eastAsia" w:ascii="宋体" w:hAnsi="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25.5招标文件、中标人的投标文件及招标过程中有关澄清、承诺文件均作为合同附件。</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25.6采购人与中标人应当根据合同的约定依法履行合同义务。</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43" w:name="_Toc228350070"/>
      <w:r>
        <w:rPr>
          <w:rFonts w:hint="eastAsia" w:ascii="宋体" w:hAnsi="宋体" w:cs="宋体"/>
          <w:b/>
          <w:bCs/>
          <w:color w:val="auto"/>
          <w:sz w:val="24"/>
          <w:szCs w:val="24"/>
          <w:highlight w:val="none"/>
        </w:rPr>
        <w:t xml:space="preserve">六、质疑和投诉</w:t>
      </w:r>
      <w:bookmarkEnd w:id="43"/>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26.质疑</w:t>
      </w:r>
      <w:r/>
    </w:p>
    <w:p>
      <w:pPr>
        <w:ind w:firstLine="480"/>
        <w:jc w:val="left"/>
        <w:spacing w:line="360" w:lineRule="auto"/>
        <w:shd w:val="clear" w:color="auto" w:fill="ffffff"/>
        <w:widowControl/>
        <w:rPr>
          <w:rFonts w:hint="eastAsia" w:ascii="宋体" w:hAnsi="宋体" w:cs="宋体"/>
          <w:color w:val="auto"/>
          <w:sz w:val="24"/>
          <w:szCs w:val="24"/>
          <w:highlight w:val="none"/>
        </w:rPr>
      </w:pPr>
      <w:r/>
      <w:bookmarkStart w:id="44" w:name="_Hlk135041925"/>
      <w:r>
        <w:rPr>
          <w:rFonts w:hint="eastAsia" w:ascii="宋体" w:hAnsi="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以联合体形式参加政府采购活动的，其质疑应当由组成联合体的所有投标人共同提出，联合体各方均须按要求加盖公章。</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投标人必须在法定质疑期内一次性提出针对同一采购程序环节的质疑。</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26.4投标人提出质疑应当按照《政府采购质疑和投诉办法》的规定提交质疑函和必要的证明材料。质疑函应当包括下列内容：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（1）投标人的姓名或者名称、地址、邮编、联系人及联系电话；</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26.5质疑函应当现场提交至采购代理机构联系人处，提交时应出示有效身份证明。未按上述要求提交质疑函的，质疑不予受理。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26.7采购代理机构在收到投标人的书面质疑后将及时组织调查核实，在</w:t>
      </w:r>
      <w:r>
        <w:rPr>
          <w:rFonts w:hint="eastAsia" w:ascii="宋体" w:hAnsi="宋体" w:cs="宋体"/>
          <w:b/>
          <w:bCs/>
          <w:color w:val="auto"/>
          <w:sz w:val="24"/>
          <w:szCs w:val="24"/>
          <w:highlight w:val="none"/>
        </w:rPr>
        <w:t xml:space="preserve">七个工作日内</w:t>
      </w:r>
      <w:r>
        <w:rPr>
          <w:rFonts w:hint="eastAsia" w:ascii="宋体" w:hAnsi="宋体" w:cs="宋体"/>
          <w:color w:val="auto"/>
          <w:sz w:val="24"/>
          <w:szCs w:val="24"/>
          <w:highlight w:val="none"/>
        </w:rPr>
        <w:t xml:space="preserve">作出答复，并以书面或在网站公告形式通知质疑投标人和其他有关投标人，答复的内容不涉及商业秘密。</w:t>
      </w:r>
      <w:bookmarkEnd w:id="44"/>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27.投诉</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27.2投标人投诉应当有明确的请求和必要的证明材料。投标人投诉的事项不得超出已质疑事项的范围。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27.4投诉人在全国范围12个月内3次以上投诉查无实据的，由财政部门列入不良行为记录名单。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27.5投诉人有下列行为之一的，属于虚假、恶意投诉，由财政部门列入不良行为记录名单，禁止其1至3年内参加政府采购活动：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（1）捏造事实；</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（2）提供虚假材料；</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ind w:firstLine="683"/>
        <w:jc w:val="center"/>
        <w:spacing w:line="360" w:lineRule="auto"/>
        <w:rPr>
          <w:rFonts w:hint="eastAsia" w:ascii="宋体" w:hAnsi="宋体" w:cs="宋体"/>
          <w:b/>
          <w:bCs/>
          <w:color w:val="auto"/>
          <w:spacing w:val="-10"/>
          <w:sz w:val="36"/>
          <w:szCs w:val="36"/>
          <w:highlight w:val="none"/>
          <w:lang w:val="zh-CN"/>
        </w:rPr>
      </w:pPr>
      <w:r>
        <w:rPr>
          <w:rFonts w:hint="eastAsia" w:ascii="宋体" w:hAnsi="宋体" w:cs="宋体"/>
          <w:b/>
          <w:bCs/>
          <w:color w:val="auto"/>
          <w:spacing w:val="-10"/>
          <w:sz w:val="36"/>
          <w:szCs w:val="36"/>
          <w:highlight w:val="none"/>
          <w:lang w:val="zh-CN"/>
        </w:rPr>
        <w:br w:type="page" w:clear="all"/>
      </w:r>
      <w:bookmarkStart w:id="45" w:name="_Toc228350071"/>
      <w:r>
        <w:rPr>
          <w:rFonts w:hint="eastAsia" w:ascii="宋体" w:hAnsi="宋体" w:cs="宋体"/>
          <w:b/>
          <w:bCs/>
          <w:color w:val="auto"/>
          <w:spacing w:val="-10"/>
          <w:sz w:val="36"/>
          <w:szCs w:val="36"/>
          <w:highlight w:val="none"/>
          <w:lang w:val="zh-CN"/>
        </w:rPr>
        <w:t xml:space="preserve">第三章</w:t>
      </w:r>
      <w:r>
        <w:rPr>
          <w:rFonts w:hint="eastAsia" w:ascii="宋体" w:hAnsi="宋体" w:cs="宋体"/>
          <w:b/>
          <w:bCs/>
          <w:color w:val="auto"/>
          <w:spacing w:val="-10"/>
          <w:sz w:val="36"/>
          <w:szCs w:val="36"/>
          <w:highlight w:val="none"/>
        </w:rPr>
        <w:t xml:space="preserve">  </w:t>
      </w:r>
      <w:r>
        <w:rPr>
          <w:rFonts w:hint="eastAsia" w:ascii="宋体" w:hAnsi="宋体" w:cs="宋体"/>
          <w:b/>
          <w:bCs/>
          <w:color w:val="auto"/>
          <w:spacing w:val="-10"/>
          <w:sz w:val="36"/>
          <w:szCs w:val="36"/>
          <w:highlight w:val="none"/>
          <w:lang w:val="zh-CN"/>
        </w:rPr>
        <w:t xml:space="preserve">评标方法和标准</w:t>
      </w:r>
      <w:bookmarkEnd w:id="45"/>
      <w:r/>
      <w:r/>
    </w:p>
    <w:p>
      <w:pPr>
        <w:jc w:val="left"/>
        <w:spacing w:line="360" w:lineRule="auto"/>
        <w:rPr>
          <w:rFonts w:hint="eastAsia" w:ascii="宋体" w:hAnsi="宋体" w:cs="宋体"/>
          <w:b/>
          <w:bCs/>
          <w:color w:val="auto"/>
          <w:sz w:val="24"/>
          <w:szCs w:val="24"/>
          <w:highlight w:val="none"/>
          <w:lang w:val="zh-CN"/>
        </w:rPr>
        <w:outlineLvl w:val="1"/>
      </w:pPr>
      <w:r/>
      <w:bookmarkStart w:id="46" w:name="_Toc228350072"/>
      <w:r>
        <w:rPr>
          <w:rFonts w:hint="eastAsia" w:ascii="宋体" w:hAnsi="宋体" w:cs="宋体"/>
          <w:b/>
          <w:bCs/>
          <w:color w:val="auto"/>
          <w:sz w:val="24"/>
          <w:szCs w:val="24"/>
          <w:highlight w:val="none"/>
          <w:lang w:val="zh-CN"/>
        </w:rPr>
        <w:t xml:space="preserve">一、采用综合评分法</w:t>
      </w:r>
      <w:bookmarkEnd w:id="46"/>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jc w:val="left"/>
        <w:spacing w:line="360" w:lineRule="auto"/>
        <w:rPr>
          <w:rFonts w:hint="eastAsia" w:ascii="宋体" w:hAnsi="宋体" w:cs="宋体"/>
          <w:b/>
          <w:bCs/>
          <w:color w:val="auto"/>
          <w:sz w:val="24"/>
          <w:szCs w:val="24"/>
          <w:highlight w:val="none"/>
          <w:lang w:val="zh-CN"/>
        </w:rPr>
        <w:outlineLvl w:val="1"/>
      </w:pPr>
      <w:r/>
      <w:bookmarkStart w:id="47" w:name="_Toc228350073"/>
      <w:r/>
      <w:bookmarkStart w:id="48" w:name="OLE_LINK3"/>
      <w:r/>
      <w:bookmarkStart w:id="49" w:name="OLE_LINK4"/>
      <w:r>
        <w:rPr>
          <w:rFonts w:hint="eastAsia" w:ascii="宋体" w:hAnsi="宋体" w:cs="宋体"/>
          <w:b/>
          <w:bCs/>
          <w:color w:val="auto"/>
          <w:sz w:val="24"/>
          <w:szCs w:val="24"/>
          <w:highlight w:val="none"/>
          <w:lang w:val="zh-CN"/>
        </w:rPr>
        <w:t xml:space="preserve">二、综合评分法评审评分细则</w:t>
      </w:r>
      <w:bookmarkEnd w:id="47"/>
      <w:r/>
      <w:r/>
    </w:p>
    <w:p>
      <w:pPr>
        <w:pStyle w:val="844"/>
        <w:rPr>
          <w:rFonts w:hint="eastAsia" w:cs="宋体"/>
          <w:color w:val="auto"/>
          <w:szCs w:val="21"/>
          <w:highlight w:val="none"/>
        </w:rPr>
      </w:pPr>
      <w:r>
        <w:rPr>
          <w:rFonts w:hint="eastAsia" w:cs="宋体"/>
          <w:color w:val="auto"/>
          <w:szCs w:val="21"/>
          <w:highlight w:val="none"/>
        </w:rPr>
      </w:r>
      <w:r/>
    </w:p>
    <w:tbl>
      <w:tblPr>
        <w:tblStyle w:val="721"/>
        <w:tblW w:w="9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5"/>
        <w:gridCol w:w="709"/>
        <w:gridCol w:w="992"/>
      </w:tblGrid>
      <w:tr>
        <w:trPr>
          <w:jc w:val="center"/>
          <w:trHeight w:val="454"/>
          <w:tblHeader/>
        </w:trPr>
        <w:tc>
          <w:tcPr>
            <w:tcW w:w="623"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序号</w:t>
            </w:r>
            <w:r/>
          </w:p>
        </w:tc>
        <w:tc>
          <w:tcPr>
            <w:tcW w:w="1276"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评审因素</w:t>
            </w:r>
            <w:r/>
          </w:p>
        </w:tc>
        <w:tc>
          <w:tcPr>
            <w:tcW w:w="6235"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评审细则</w:t>
            </w:r>
            <w:r/>
          </w:p>
        </w:tc>
        <w:tc>
          <w:tcPr>
            <w:tcW w:w="709"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分值</w:t>
            </w:r>
            <w:r/>
          </w:p>
        </w:tc>
        <w:tc>
          <w:tcPr>
            <w:tcW w:w="992"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类型</w:t>
            </w:r>
            <w:r/>
          </w:p>
        </w:tc>
      </w:tr>
      <w:tr>
        <w:trPr>
          <w:jc w:val="center"/>
          <w:trHeight w:val="460"/>
        </w:trPr>
        <w:tc>
          <w:tcPr>
            <w:gridSpan w:val="5"/>
            <w:tcW w:w="9835" w:type="dxa"/>
            <w:vAlign w:val="top"/>
            <w:textDirection w:val="lrTb"/>
            <w:noWrap w:val="false"/>
          </w:tcPr>
          <w:p>
            <w:pPr>
              <w:ind w:left="114"/>
              <w:spacing w:before="122"/>
              <w:rPr>
                <w:rFonts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030"/>
        </w:trPr>
        <w:tc>
          <w:tcPr>
            <w:tcW w:w="623" w:type="dxa"/>
            <w:vAlign w:val="center"/>
            <w:textDirection w:val="lrTb"/>
            <w:noWrap w:val="false"/>
          </w:tcPr>
          <w:p>
            <w:pPr>
              <w:jc w:val="center"/>
              <w:spacing w:before="68"/>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W w:w="1276" w:type="dxa"/>
            <w:vAlign w:val="center"/>
            <w:textDirection w:val="lrTb"/>
            <w:noWrap w:val="false"/>
          </w:tcPr>
          <w:p>
            <w:pPr>
              <w:jc w:val="left"/>
              <w:spacing w:before="68"/>
              <w:rPr>
                <w:rFonts w:ascii="宋体" w:hAnsi="宋体" w:cs="宋体"/>
                <w:color w:val="auto"/>
                <w:highlight w:val="none"/>
              </w:rPr>
            </w:pPr>
            <w:r>
              <w:rPr>
                <w:rFonts w:ascii="宋体" w:hAnsi="宋体" w:cs="宋体"/>
                <w:color w:val="auto"/>
                <w:spacing w:val="-2"/>
                <w:highlight w:val="none"/>
              </w:rPr>
              <w:t xml:space="preserve">价格分</w:t>
            </w:r>
            <w:r/>
          </w:p>
        </w:tc>
        <w:tc>
          <w:tcPr>
            <w:tcW w:w="6235" w:type="dxa"/>
            <w:vAlign w:val="center"/>
            <w:textDirection w:val="lrTb"/>
            <w:noWrap w:val="false"/>
          </w:tcPr>
          <w:p>
            <w:pPr>
              <w:ind w:firstLine="212"/>
              <w:jc w:val="left"/>
              <w:spacing w:line="360" w:lineRule="auto"/>
              <w:rPr>
                <w:rFonts w:ascii="宋体" w:hAnsi="宋体" w:cs="宋体"/>
                <w:color w:val="auto"/>
                <w:highlight w:val="none"/>
              </w:rPr>
            </w:pPr>
            <w:r>
              <w:rPr>
                <w:rFonts w:ascii="宋体" w:hAnsi="宋体" w:cs="宋体"/>
                <w:color w:val="auto"/>
                <w:spacing w:val="1"/>
                <w:highlight w:val="none"/>
              </w:rPr>
              <w:t xml:space="preserve">采用低价优先</w:t>
            </w:r>
            <w:r>
              <w:rPr>
                <w:rFonts w:ascii="宋体" w:hAnsi="宋体" w:cs="宋体"/>
                <w:color w:val="auto"/>
                <w:highlight w:val="none"/>
              </w:rPr>
              <w:t xml:space="preserve">法计算，即满足招标文件要求且投标价格最低的投标</w:t>
            </w:r>
            <w:r>
              <w:rPr>
                <w:rFonts w:ascii="宋体" w:hAnsi="宋体" w:cs="宋体"/>
                <w:color w:val="auto"/>
                <w:spacing w:val="1"/>
                <w:highlight w:val="none"/>
              </w:rPr>
              <w:t xml:space="preserve">报价为评标基准</w:t>
            </w:r>
            <w:r>
              <w:rPr>
                <w:rFonts w:ascii="宋体" w:hAnsi="宋体" w:cs="宋体"/>
                <w:color w:val="auto"/>
                <w:highlight w:val="none"/>
              </w:rPr>
              <w:t xml:space="preserve">价，其价格分为满分。其他投标人的价格分统一按</w:t>
            </w:r>
            <w:r>
              <w:rPr>
                <w:rFonts w:ascii="宋体" w:hAnsi="宋体" w:cs="宋体"/>
                <w:color w:val="auto"/>
                <w:spacing w:val="-1"/>
                <w:highlight w:val="none"/>
              </w:rPr>
              <w:t xml:space="preserve">照下列公</w:t>
            </w:r>
            <w:r>
              <w:rPr>
                <w:rFonts w:ascii="宋体" w:hAnsi="宋体" w:cs="宋体"/>
                <w:color w:val="auto"/>
                <w:highlight w:val="none"/>
              </w:rPr>
              <w:t xml:space="preserve">式计算：投标报价得分=(评标基准价/投标报价)×</w:t>
            </w:r>
            <w:r>
              <w:rPr>
                <w:rFonts w:hint="eastAsia" w:ascii="宋体" w:hAnsi="宋体" w:cs="宋体"/>
                <w:color w:val="auto"/>
                <w:highlight w:val="none"/>
              </w:rPr>
              <w:t xml:space="preserve">价格分值（小数点保留两位）</w:t>
            </w:r>
            <w:r/>
          </w:p>
        </w:tc>
        <w:tc>
          <w:tcPr>
            <w:tcW w:w="709"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30</w:t>
            </w:r>
            <w:r/>
          </w:p>
        </w:tc>
        <w:tc>
          <w:tcPr>
            <w:tcW w:w="992" w:type="dxa"/>
            <w:vAlign w:val="center"/>
            <w:textDirection w:val="lrTb"/>
            <w:noWrap w:val="false"/>
          </w:tcPr>
          <w:p>
            <w:pPr>
              <w:jc w:val="center"/>
              <w:spacing w:before="68"/>
              <w:rPr>
                <w:rFonts w:ascii="宋体" w:hAnsi="宋体" w:cs="宋体"/>
                <w:color w:val="auto"/>
                <w:highlight w:val="none"/>
              </w:rPr>
            </w:pPr>
            <w:r>
              <w:rPr>
                <w:rFonts w:ascii="宋体" w:hAnsi="宋体" w:cs="宋体"/>
                <w:color w:val="auto"/>
                <w:highlight w:val="none"/>
              </w:rPr>
              <w:t xml:space="preserve">价格分</w:t>
            </w:r>
            <w:r/>
          </w:p>
        </w:tc>
      </w:tr>
      <w:tr>
        <w:trPr>
          <w:jc w:val="center"/>
          <w:trHeight w:val="460"/>
        </w:trPr>
        <w:tc>
          <w:tcPr>
            <w:gridSpan w:val="5"/>
            <w:tcW w:w="9835" w:type="dxa"/>
            <w:vAlign w:val="top"/>
            <w:textDirection w:val="lrTb"/>
            <w:noWrap w:val="false"/>
          </w:tcPr>
          <w:p>
            <w:pPr>
              <w:ind w:left="114"/>
              <w:spacing w:before="123"/>
              <w:rPr>
                <w:rFonts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891"/>
        </w:trPr>
        <w:tc>
          <w:tcPr>
            <w:tcW w:w="623" w:type="dxa"/>
            <w:vAlign w:val="center"/>
            <w:textDirection w:val="lrTb"/>
            <w:noWrap w:val="false"/>
          </w:tcPr>
          <w:p>
            <w:pPr>
              <w:jc w:val="center"/>
              <w:spacing w:before="68"/>
              <w:rPr>
                <w:rFonts w:ascii="宋体" w:hAnsi="宋体" w:cs="宋体"/>
                <w:color w:val="auto"/>
                <w:spacing w:val="-2"/>
                <w:highlight w:val="none"/>
              </w:rPr>
            </w:pPr>
            <w:r>
              <w:rPr>
                <w:rFonts w:ascii="宋体" w:hAnsi="宋体" w:cs="宋体"/>
                <w:color w:val="auto"/>
                <w:spacing w:val="-2"/>
                <w:highlight w:val="none"/>
              </w:rPr>
              <w:t xml:space="preserve">2.1</w:t>
            </w:r>
            <w:r/>
          </w:p>
        </w:tc>
        <w:tc>
          <w:tcPr>
            <w:tcW w:w="1276" w:type="dxa"/>
            <w:vAlign w:val="center"/>
            <w:textDirection w:val="lrTb"/>
            <w:noWrap w:val="false"/>
          </w:tcPr>
          <w:p>
            <w:pPr>
              <w:jc w:val="left"/>
              <w:spacing w:before="68"/>
              <w:rPr>
                <w:rFonts w:ascii="宋体" w:hAnsi="宋体" w:cs="宋体"/>
                <w:color w:val="auto"/>
                <w:spacing w:val="-2"/>
                <w:highlight w:val="none"/>
              </w:rPr>
            </w:pPr>
            <w:r>
              <w:rPr>
                <w:rFonts w:ascii="宋体" w:hAnsi="宋体" w:cs="宋体"/>
                <w:color w:val="auto"/>
                <w:spacing w:val="-2"/>
                <w:highlight w:val="none"/>
              </w:rPr>
              <w:t xml:space="preserve">产品技术参数</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技术参数完全满足招标文件技术参数要求的得满分24分；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招标文件中标▲号为重要指标项，每负偏离1项扣1分；其他技术参数，每负偏离1项扣0.5分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以上</w:t>
            </w:r>
            <w:r>
              <w:rPr>
                <w:rFonts w:hint="eastAsia" w:ascii="宋体" w:hAnsi="宋体" w:cs="宋体"/>
                <w:color w:val="auto"/>
                <w:highlight w:val="none"/>
              </w:rPr>
              <w:t xml:space="preserve">扣完为止。</w:t>
            </w:r>
            <w:r>
              <w:rPr>
                <w:rFonts w:hint="eastAsia" w:ascii="宋体" w:hAnsi="宋体" w:cs="宋体"/>
                <w:color w:val="auto"/>
                <w:highlight w:val="none"/>
              </w:rPr>
              <w:t xml:space="preserve">（不含产品演示项）</w:t>
            </w:r>
            <w:r/>
          </w:p>
          <w:p>
            <w:pPr>
              <w:ind w:firstLine="210"/>
              <w:jc w:val="left"/>
              <w:spacing w:line="360" w:lineRule="auto"/>
              <w:rPr>
                <w:rFonts w:ascii="宋体" w:hAnsi="宋体" w:cs="宋体"/>
                <w:color w:val="auto"/>
                <w:spacing w:val="1"/>
                <w:highlight w:val="none"/>
              </w:rPr>
            </w:pPr>
            <w:r>
              <w:rPr>
                <w:rFonts w:hint="eastAsia" w:ascii="宋体" w:hAnsi="宋体" w:cs="宋体"/>
                <w:color w:val="auto"/>
                <w:highlight w:val="none"/>
              </w:rPr>
              <w:t xml:space="preserve">注：评委根据投标单位提供的投标文件中技术支持资料（如白皮书、彩页、手册、检测报告等）及《技术要求响应表》的响应描述和偏离情况说明作为评审依据，未一一对应填写或未响应的均视为负偏离，另外响应描述严重偏离且影响产品性能的，经半数以上评委认定，视为负偏离。</w:t>
            </w:r>
            <w:r/>
          </w:p>
        </w:tc>
        <w:tc>
          <w:tcPr>
            <w:tcW w:w="709"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24</w:t>
            </w:r>
            <w:r/>
          </w:p>
        </w:tc>
        <w:tc>
          <w:tcPr>
            <w:tcW w:w="992" w:type="dxa"/>
            <w:vAlign w:val="center"/>
            <w:textDirection w:val="lrTb"/>
            <w:noWrap w:val="false"/>
          </w:tcPr>
          <w:p>
            <w:pPr>
              <w:jc w:val="center"/>
              <w:spacing w:before="68"/>
              <w:rPr>
                <w:rFonts w:ascii="宋体" w:hAnsi="宋体" w:cs="宋体"/>
                <w:color w:val="auto"/>
                <w:highlight w:val="none"/>
              </w:rPr>
            </w:pPr>
            <w:r/>
            <w:bookmarkStart w:id="50" w:name="OLE_LINK8"/>
            <w:r/>
            <w:bookmarkStart w:id="51" w:name="OLE_LINK7"/>
            <w:r>
              <w:rPr>
                <w:rFonts w:hint="eastAsia" w:ascii="宋体" w:hAnsi="宋体" w:cs="宋体"/>
                <w:color w:val="auto"/>
                <w:spacing w:val="-6"/>
                <w:highlight w:val="none"/>
              </w:rPr>
              <w:t xml:space="preserve">客</w:t>
            </w:r>
            <w:bookmarkEnd w:id="50"/>
            <w:r/>
            <w:bookmarkEnd w:id="51"/>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91"/>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2.2</w:t>
            </w:r>
            <w:r/>
          </w:p>
        </w:tc>
        <w:tc>
          <w:tcPr>
            <w:tcW w:w="1276" w:type="dxa"/>
            <w:vAlign w:val="center"/>
            <w:textDirection w:val="lrTb"/>
            <w:noWrap w:val="false"/>
          </w:tcPr>
          <w:p>
            <w:pPr>
              <w:jc w:val="left"/>
              <w:spacing w:before="68"/>
              <w:rPr>
                <w:rFonts w:ascii="宋体" w:hAnsi="宋体" w:cs="宋体"/>
                <w:color w:val="auto"/>
                <w:spacing w:val="-2"/>
                <w:highlight w:val="none"/>
              </w:rPr>
            </w:pPr>
            <w:r>
              <w:rPr>
                <w:rFonts w:hint="eastAsia" w:ascii="宋体" w:hAnsi="宋体" w:cs="宋体"/>
                <w:color w:val="auto"/>
                <w:highlight w:val="none"/>
              </w:rPr>
              <w:t xml:space="preserve">视频演示</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实验方法与仪器的使用便捷性及实验现象是否明显等仅凭书面方式不能准确描述采购需求，现需要投标人提交演示视频。全部演示时间不超过15分钟，由评标委员会根据实验演示效果进行综合评审，演示内容如下：</w:t>
            </w:r>
            <w:r/>
          </w:p>
          <w:p>
            <w:pPr>
              <w:ind w:firstLine="211"/>
              <w:jc w:val="left"/>
              <w:spacing w:line="360" w:lineRule="auto"/>
              <w:rPr>
                <w:rFonts w:hint="eastAsia" w:ascii="宋体" w:hAnsi="宋体" w:cs="宋体"/>
                <w:b/>
                <w:color w:val="auto"/>
                <w:highlight w:val="none"/>
              </w:rPr>
            </w:pPr>
            <w:r>
              <w:rPr>
                <w:rFonts w:hint="eastAsia" w:ascii="宋体" w:hAnsi="宋体" w:cs="宋体"/>
                <w:b/>
                <w:color w:val="auto"/>
                <w:highlight w:val="none"/>
              </w:rPr>
              <w:t xml:space="preserve">演示1：用无线彩屏力与加速度传感器及附件完成“向心力与角速度关系的实验”及功能演示（4分）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功能性演示：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1、传感器自带彩屏、硬件调整小数位数、hold键；传感器与终端（电脑或平板或手机）连接使用无线方式，无需数据采集器、数据线；</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2、自带彩屏上可显示力或加速度或角速度的实时数据；软件中，显示力-时间、加速度X-时间或加速度Y-时间或加速度Z-时间、角速度-时间的实时曲线。</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3、演示软件公式编辑功能：如何获取角速度平方。</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实验演示：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使用1个力传感器、1套向心力实验器完成向心力与角速度关系的实验；在研究向心力与角速度关系的实验中，开始实验后，实时显示力与角速度图像，力与角速度平方实际数据点与拟合曲线的误差R&gt;0.9（数据点紧密围绕拟合曲线分布）,RMSE&lt;0.02（平均误差&lt;0.02N）。</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(注:本项演示结果拟合曲线的误差需R&gt;0.9，演示成功，得分，实验演示结果不成功，则整个产品演示项不得分。</w:t>
            </w:r>
            <w:r/>
          </w:p>
          <w:p>
            <w:pPr>
              <w:ind w:firstLine="211"/>
              <w:jc w:val="left"/>
              <w:spacing w:line="360" w:lineRule="auto"/>
              <w:rPr>
                <w:rFonts w:hint="eastAsia" w:ascii="宋体" w:hAnsi="宋体" w:cs="宋体"/>
                <w:color w:val="auto"/>
                <w:highlight w:val="none"/>
              </w:rPr>
            </w:pPr>
            <w:r>
              <w:rPr>
                <w:rFonts w:hint="eastAsia" w:ascii="宋体" w:hAnsi="宋体" w:cs="宋体"/>
                <w:b/>
                <w:color w:val="auto"/>
                <w:highlight w:val="none"/>
              </w:rPr>
              <w:t xml:space="preserve">演示2：用无线彩屏滴数传感器、无线彩屏PH传感器及附件完成“酸碱中和滴定实验”及功能演示（3分）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功能性演示：</w:t>
            </w:r>
            <w:r/>
          </w:p>
          <w:p>
            <w:pPr>
              <w:ind w:firstLine="210"/>
              <w:jc w:val="left"/>
              <w:spacing w:line="360" w:lineRule="auto"/>
              <w:rPr>
                <w:color w:val="auto"/>
                <w:highlight w:val="none"/>
              </w:rPr>
            </w:pPr>
            <w:r>
              <w:rPr>
                <w:rFonts w:hint="eastAsia" w:ascii="宋体" w:hAnsi="宋体" w:cs="宋体"/>
                <w:color w:val="auto"/>
                <w:highlight w:val="none"/>
              </w:rPr>
              <w:t xml:space="preserve">1、无线彩屏滴数传感器：内置显示屏≥0.91英寸，至少具有内置滴数状态指示灯、电源指示灯、充电/充满状态灯、蓝牙状态指示灯，全窗口检测区域≥20mmX15mm，在区域内无需对准某个固定位置，可以任意调整位置都能检测到滴数变化。具有设备固定结构，可以固定到铁架台等实验设备、滴数传感器内置≥3个固定接口，可以固定温度探头及2个电极。能够脱机实验、不用连接任何设备、按开始按钮直接读取显示滴数。</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2、无线彩屏pH传感器：传感器自带彩屏、硬件量程、hold键，可测量pH值、和电极电压mV值；传感器与终端（电脑或平板或手机）连接使用无线方式，无需数据采集器、数据线；功耗待机，能够实现待机休眠、智能关机；能够实现无线充电功能；能够实现脱机实验、离线实验、无线实验、usb线连实验四种实验模式。</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实验演示：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运用pH传感器测量未知溶液pH值，滴定传感器测量滴定体积，完成酸碱中和滴定实验；其中使用配置的滴管及双阀门进行操作，在滴管下方，无需调节即可保证液滴单滴滴入采集区域且被传感器采集（数据采集软件中需明显看到液滴滴入后，采集数据随之变化的实验图像）；</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点击实验模版进入实验，无线方式连接传感器后，可采集pH-V曲线；</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滴定终点可在表格数据中找寻或直接在图形上显示（在数据采集软件中需明显看到滴定终点的图形变化）。</w:t>
            </w:r>
            <w:r/>
          </w:p>
          <w:p>
            <w:pPr>
              <w:ind w:firstLine="211"/>
              <w:jc w:val="left"/>
              <w:spacing w:line="360" w:lineRule="auto"/>
              <w:rPr>
                <w:rFonts w:hint="eastAsia" w:ascii="宋体" w:hAnsi="宋体" w:cs="宋体"/>
                <w:color w:val="auto"/>
                <w:highlight w:val="none"/>
              </w:rPr>
            </w:pPr>
            <w:r>
              <w:rPr>
                <w:rFonts w:hint="eastAsia" w:ascii="宋体" w:hAnsi="宋体" w:cs="宋体"/>
                <w:b/>
                <w:color w:val="auto"/>
                <w:highlight w:val="none"/>
              </w:rPr>
              <w:t xml:space="preserve">演示3：用无线彩屏溶解氧/温度二合一传感器及附件完成“探究水中溶解氧含量与温度的关系实验”及功能演示（3分）</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功能性演示：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自带彩屏≥2英寸、显示蓝牙连接标识、电池电量状态、测量数据。内嵌硬件按钮可以实现菜单功能选择；模式切换显示溶解氧或温度数值；实验数据锁存保持功能。可以通过内置菜单设置显示小数位数，校准溶解氧数值。</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内置无线充电模块演示无线充电功能；智能节能管理：充电时红灯亮，充满时自动停止充电且绿灯亮，实现节能。智能低功耗待机，能够实现待机休眠、智能关机；可以灵活设置闲置状态时自动关机时间（默认10分钟）；可以灵活设置闲置状态时屏幕休眠时间（默认不限制）。</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2、能够实现脱机实验、离线实验、无线实验、usb线连实验四种实验模式。</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传感器通过切换按钮可以实时显示溶解氧和温度数值、无需外接温度传感器。荧光检测技术，无需填充电极缓冲液。</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实验演示：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运用无线彩屏溶解氧/温度二合一传感器完成探究水中溶解氧含量与温度的关系实验，采用无线连接的方式连接数据采集软件，开始采集后数据采集软件要可以同时显示溶解氧、温度与时间的变化曲线。逐渐加热水温、明显看出随温度变化溶解氧的含量变化。温度升高液体中溶解氧含量变低。</w:t>
            </w:r>
            <w:r/>
          </w:p>
          <w:p>
            <w:pPr>
              <w:ind w:firstLine="211"/>
              <w:jc w:val="left"/>
              <w:spacing w:line="360" w:lineRule="auto"/>
              <w:rPr>
                <w:rFonts w:hint="eastAsia"/>
                <w:b/>
                <w:color w:val="auto"/>
                <w:highlight w:val="none"/>
              </w:rPr>
            </w:pPr>
            <w:r>
              <w:rPr>
                <w:rFonts w:hint="eastAsia" w:ascii="宋体" w:hAnsi="宋体" w:cs="宋体"/>
                <w:b/>
                <w:color w:val="auto"/>
                <w:highlight w:val="none"/>
              </w:rPr>
              <w:t xml:space="preserve">注：每成功演示1条，得1分；无演示或演示结果未成功的，本项不得分。本项满分为10分</w:t>
            </w:r>
            <w:r/>
          </w:p>
        </w:tc>
        <w:tc>
          <w:tcPr>
            <w:tcW w:w="709"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highlight w:val="none"/>
              </w:rPr>
              <w:t xml:space="preserve">10</w:t>
            </w:r>
            <w:r/>
          </w:p>
        </w:tc>
        <w:tc>
          <w:tcPr>
            <w:tcW w:w="992" w:type="dxa"/>
            <w:vAlign w:val="center"/>
            <w:textDirection w:val="lrTb"/>
            <w:noWrap w:val="false"/>
          </w:tcPr>
          <w:p>
            <w:pPr>
              <w:jc w:val="center"/>
              <w:spacing w:before="68"/>
              <w:rPr>
                <w:rFonts w:hint="eastAsia" w:ascii="宋体" w:hAnsi="宋体" w:cs="宋体"/>
                <w:color w:val="auto"/>
                <w:spacing w:val="-4"/>
                <w:highlight w:val="none"/>
              </w:rPr>
            </w:pPr>
            <w:r>
              <w:rPr>
                <w:rFonts w:hint="eastAsia" w:ascii="宋体" w:hAnsi="宋体" w:cs="宋体"/>
                <w:color w:val="auto"/>
                <w:spacing w:val="-4"/>
                <w:highlight w:val="none"/>
              </w:rPr>
              <w:t xml:space="preserve">主观分</w:t>
            </w:r>
            <w:r/>
          </w:p>
        </w:tc>
      </w:tr>
      <w:tr>
        <w:trPr>
          <w:jc w:val="center"/>
          <w:trHeight w:val="891"/>
        </w:trPr>
        <w:tc>
          <w:tcPr>
            <w:tcW w:w="623" w:type="dxa"/>
            <w:vAlign w:val="center"/>
            <w:textDirection w:val="lrTb"/>
            <w:noWrap w:val="false"/>
          </w:tcPr>
          <w:p>
            <w:pPr>
              <w:jc w:val="center"/>
              <w:spacing w:before="68"/>
              <w:rPr>
                <w:rFonts w:hint="eastAsia" w:ascii="宋体" w:hAnsi="宋体" w:cs="宋体"/>
                <w:color w:val="auto"/>
                <w:spacing w:val="-2"/>
                <w:highlight w:val="none"/>
              </w:rPr>
            </w:pPr>
            <w:r>
              <w:rPr>
                <w:rFonts w:hint="eastAsia" w:ascii="宋体" w:hAnsi="宋体" w:cs="宋体"/>
                <w:color w:val="auto"/>
                <w:spacing w:val="-2"/>
                <w:highlight w:val="none"/>
              </w:rPr>
              <w:t xml:space="preserve">2.3</w:t>
            </w:r>
            <w:r/>
          </w:p>
        </w:tc>
        <w:tc>
          <w:tcPr>
            <w:tcW w:w="1276" w:type="dxa"/>
            <w:vAlign w:val="center"/>
            <w:textDirection w:val="lrTb"/>
            <w:noWrap w:val="false"/>
          </w:tcPr>
          <w:p>
            <w:pPr>
              <w:jc w:val="left"/>
              <w:spacing w:before="68"/>
              <w:rPr>
                <w:rFonts w:hint="eastAsia" w:ascii="宋体" w:hAnsi="宋体" w:cs="宋体"/>
                <w:color w:val="auto"/>
                <w:highlight w:val="none"/>
              </w:rPr>
            </w:pPr>
            <w:r>
              <w:rPr>
                <w:rFonts w:hint="eastAsia" w:ascii="宋体" w:hAnsi="宋体" w:cs="宋体"/>
                <w:color w:val="auto"/>
                <w:highlight w:val="none"/>
              </w:rPr>
              <w:t xml:space="preserve">样品</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项目采购标的外观工艺、材质质量、结构精度、做工细节、耐用性及瑕疵性等核心技术及质量要求，符合采购人实际使用需求。鉴于上述指标无法仅通过文字全面描述与评判，现要求各投标人按招标文件要求提供以下样品，由评标委员会进行综合评审：</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样品清单如下：</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1、无线光电门传感器（双门）；</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2、无线彩屏温湿度二合一传感器；</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样品质量优良、工艺精细、材质可靠、精度高、瑕疵较少的，得5分/个；</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样品质量较好、工艺规范、材质合格、瑕疵较多的，得3分/个；</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样品质量一般、工艺较差、材质一般，瑕疵很多的，得1分/个。</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未按要求提供样品，或样品存在明显缺陷、质量低劣、不满足采购需求，得0分。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工艺瑕疵指的是：脱胶、明显透胶、鼓泡、凹陷、压痕、表面划伤、麻点；表面存在裂缝、叠缝、波纹不均匀、不圆滑、锈蚀现象；零件间结合牢固；涂层存在手感不光滑，有明显粒子、涨边或不平整现象；电镀层存在剥落、返锈、毛刺、起泡、针孔、裂纹、花斑、划痕、烧焦现象；人体接触或收藏物品的部位有毛刺、刃口、棱角等。</w:t>
            </w:r>
            <w:r/>
          </w:p>
        </w:tc>
        <w:tc>
          <w:tcPr>
            <w:tcW w:w="709"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highlight w:val="none"/>
              </w:rPr>
              <w:t xml:space="preserve">10</w:t>
            </w:r>
            <w:r/>
          </w:p>
        </w:tc>
        <w:tc>
          <w:tcPr>
            <w:tcW w:w="992"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highlight w:val="none"/>
              </w:rPr>
              <w:t xml:space="preserve">主观分</w:t>
            </w:r>
            <w:r/>
          </w:p>
        </w:tc>
      </w:tr>
      <w:tr>
        <w:trPr>
          <w:jc w:val="center"/>
          <w:trHeight w:val="472"/>
        </w:trPr>
        <w:tc>
          <w:tcPr>
            <w:gridSpan w:val="5"/>
            <w:tcW w:w="9835" w:type="dxa"/>
            <w:vAlign w:val="center"/>
            <w:textDirection w:val="lrTb"/>
            <w:noWrap w:val="false"/>
          </w:tcPr>
          <w:p>
            <w:pPr>
              <w:spacing w:before="68"/>
              <w:rPr>
                <w:rFonts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90"/>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3.1</w:t>
            </w:r>
            <w:r/>
          </w:p>
        </w:tc>
        <w:tc>
          <w:tcPr>
            <w:tcW w:w="1276"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实施方案</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投标人须依据本项目采购需求，提供项目实施方案，内容应涵盖但不限于：①项目具体实施流程及难点分析；②项目施工组织计划与实施流程；③项目施工进度保障措施；④安全文明施工措施等。</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(1)方案涵盖上述内容，优于并满足采购需求，得3分；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(2)方案涵盖上述内容，完全满足采购需求，得2分；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(3)方案涵盖上述内容，基本满足采购需求，得1分；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strike/>
                <w:color w:val="auto"/>
                <w:highlight w:val="none"/>
              </w:rPr>
            </w:pPr>
            <w:r>
              <w:rPr>
                <w:rFonts w:hint="eastAsia" w:ascii="宋体" w:hAnsi="宋体" w:cs="宋体"/>
                <w:color w:val="auto"/>
                <w:highlight w:val="none"/>
              </w:rPr>
              <w:t xml:space="preserve">注：投标人须提供为本项目配备的项目实施管理团队人员名单及对应的分工说明（格式自拟），团队至少须包括项目总负责人，商务负责人，财务负责人，生产负责人，且以上职责不得相互兼任。未按要求提供完整人员名单及分工说明的，或名单不完整、或存在人员兼任情况的，本项“项目实施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3.2</w:t>
            </w:r>
            <w:r/>
          </w:p>
        </w:tc>
        <w:tc>
          <w:tcPr>
            <w:tcW w:w="1276" w:type="dxa"/>
            <w:vAlign w:val="center"/>
            <w:textDirection w:val="lrTb"/>
            <w:noWrap w:val="false"/>
          </w:tcPr>
          <w:p>
            <w:pPr>
              <w:jc w:val="left"/>
              <w:spacing w:before="68"/>
              <w:rPr>
                <w:rFonts w:ascii="宋体" w:hAnsi="宋体" w:cs="宋体"/>
                <w:color w:val="auto"/>
                <w:spacing w:val="-2"/>
                <w:highlight w:val="none"/>
              </w:rPr>
            </w:pPr>
            <w:r>
              <w:rPr>
                <w:rFonts w:hint="eastAsia" w:ascii="宋体" w:hAnsi="宋体" w:cs="宋体"/>
                <w:color w:val="auto"/>
                <w:spacing w:val="-2"/>
                <w:highlight w:val="none"/>
              </w:rPr>
              <w:t xml:space="preserve">产品质量保证方案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投标人须依据本项目采购需求，提供产品质量保证方案，内容应涵盖但不限于：①质量保障体系及目标；②产品的质量性能及原材料的控制；③生产过程中控制措施；④质量回访流程及方案等。</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须提供为本项目配备的项目产品质量保证团队人员名单及对应的分工说明（格式自拟），团队至少须包括质量保障体系总负责人，质量性能及原材料的控制负责人，生产过程控制负责人，质量回访流程负责人，且以上职责不得相互兼任。未按要求提供完整人员名单及分工说明的，或名单不完整、或存在人员兼任情况的，本项“产品质量保证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3.3</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安装调试方案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投标人须依据本项目采购需求，提供设备安装调试方案，内容应涵盖但不限于：①安装组织架构与分工②货物安装前期准备工作③核心安装实施流程等。</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须提供为本项目配备的安装实施团队人员名单及对应的分工说明（格式自拟），团队至少须包括①实验室家具类安装调试小组负责人；②教学仪器类安装调试小组负责人。且以上职责不得相互兼任。未按要求提供完整人员名单及分工说明的，或名单不完整、或存在人员兼任情况的，本项“安装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bookmarkStart w:id="52" w:name="OLE_LINK10"/>
            <w:r/>
            <w:bookmarkStart w:id="53" w:name="OLE_LINK9"/>
            <w:r/>
            <w:bookmarkStart w:id="54" w:name="_Hlk231227270"/>
            <w:r>
              <w:rPr>
                <w:rFonts w:hint="eastAsia" w:ascii="宋体" w:hAnsi="宋体" w:cs="宋体"/>
                <w:color w:val="auto"/>
                <w:spacing w:val="-2"/>
                <w:highlight w:val="none"/>
              </w:rPr>
              <w:t xml:space="preserve">3.4</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应急方案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应急预案，内容应涵盖但不限于：①供应链与生产风险预案及应对措施；②物流与运输风险预案及应对措施；③履约与交付风险预案及应对措施等。(1)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bookmarkEnd w:id="52"/>
            <w:r/>
            <w:bookmarkEnd w:id="53"/>
            <w:r/>
            <w:bookmarkEnd w:id="54"/>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3.5</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验收方案</w:t>
            </w:r>
            <w:r/>
          </w:p>
        </w:tc>
        <w:tc>
          <w:tcPr>
            <w:tcW w:w="6235" w:type="dxa"/>
            <w:vAlign w:val="center"/>
            <w:textDirection w:val="lrTb"/>
            <w:noWrap w:val="false"/>
          </w:tcPr>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投标人须依据本项目采购需求，提供验收方案，内容应涵盖但不限于：①验收依据及验收范围；②验收流程；③验收不合格的处置措施及整改方案等。</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(1)方案涵盖上述内容，优于并满足采购需求，验收流程科学、处置措施完善，得3分；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(2)方案涵盖上述内容，完全满足采购需求，验收流程合理、处置措施可行，得2分；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(3)方案涵盖上述内容，基本满足采购需求，验收流程基本合理、处置措施基本可行，得1分；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(4)未提供方案，或方案未涵盖上述内容或与与项目设备验收实际需求存在偏差，不能满足采购需求的，不得分。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3.6</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培训方案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投标人须依据本项目采购需求，提供设备专项培训方案，内容应涵盖但不限于①培训组织架构②培训内容、培训考核与验收③培训资料与交付成果等内容。</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须提供为本项目配备的技术培训团队人员名单及对应的分工说明（格式自拟），团队至少须包括①实验室家具类培训小组负责人；②教学仪器类安装培训小组负责人。且以上职责不得相互兼任。未按要求提供完整人员名单及分工说明的，或名单不完整、或存在人员兼任情况的，本项“培训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3.7</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售后服务方案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投标人须依据本项目采购需求，提供设备售后方案，内容应涵盖但不限于①售后服务内容及质保期承诺②拟投入服务人员与技术力量、③响应时效与故障解决机制等内容。</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为本项目配备的售后服务团队人员名单及对应的分工说明（格式自拟），团队至少须包括①实验室家具类售后小组负责人；②教学仪器类售后小组负责人。且以上职责不得相互兼任。未按要求提供完整人员名单及分工说明的，或名单不完整、或存在人员兼任情况的，本项“售后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455"/>
        </w:trPr>
        <w:tc>
          <w:tcPr>
            <w:gridSpan w:val="5"/>
            <w:tcW w:w="9835" w:type="dxa"/>
            <w:vAlign w:val="center"/>
            <w:textDirection w:val="lrTb"/>
            <w:noWrap w:val="false"/>
          </w:tcPr>
          <w:p>
            <w:pPr>
              <w:rPr>
                <w:rFonts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513"/>
        </w:trPr>
        <w:tc>
          <w:tcPr>
            <w:tcW w:w="623" w:type="dxa"/>
            <w:vAlign w:val="center"/>
            <w:textDirection w:val="lrTb"/>
            <w:noWrap w:val="false"/>
          </w:tcPr>
          <w:p>
            <w:pPr>
              <w:jc w:val="center"/>
              <w:spacing w:before="68"/>
              <w:rPr>
                <w:rFonts w:ascii="宋体" w:hAnsi="宋体" w:cs="宋体"/>
                <w:color w:val="auto"/>
                <w:spacing w:val="-2"/>
                <w:highlight w:val="none"/>
              </w:rPr>
            </w:pPr>
            <w:r/>
            <w:bookmarkStart w:id="55" w:name="OLE_LINK12"/>
            <w:r/>
            <w:bookmarkStart w:id="56" w:name="OLE_LINK11"/>
            <w:r/>
            <w:bookmarkStart w:id="57" w:name="_Hlk231227385"/>
            <w:r>
              <w:rPr>
                <w:rFonts w:hint="eastAsia" w:ascii="宋体" w:hAnsi="宋体" w:cs="宋体"/>
                <w:color w:val="auto"/>
                <w:spacing w:val="-2"/>
                <w:highlight w:val="none"/>
              </w:rPr>
              <w:t xml:space="preserve">4.1</w:t>
            </w:r>
            <w:r/>
          </w:p>
        </w:tc>
        <w:tc>
          <w:tcPr>
            <w:tcW w:w="1276" w:type="dxa"/>
            <w:vAlign w:val="center"/>
            <w:textDirection w:val="lrTb"/>
            <w:noWrap w:val="false"/>
          </w:tcPr>
          <w:p>
            <w:pPr>
              <w:spacing w:before="69" w:line="264" w:lineRule="auto"/>
              <w:rPr>
                <w:rFonts w:ascii="宋体" w:hAnsi="宋体" w:cs="宋体"/>
                <w:color w:val="auto"/>
                <w:spacing w:val="-2"/>
                <w:highlight w:val="none"/>
              </w:rPr>
            </w:pPr>
            <w:r>
              <w:rPr>
                <w:rFonts w:hint="eastAsia" w:ascii="宋体" w:hAnsi="宋体" w:cs="宋体"/>
                <w:color w:val="auto"/>
                <w:spacing w:val="-1"/>
                <w:highlight w:val="none"/>
              </w:rPr>
              <w:t xml:space="preserve">投标人业绩</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投标人自2023年1月1日以来，已完成的同类项目业绩。每提供1个满足要求的有效同类业绩得1分，本项最高得3分。</w:t>
            </w:r>
            <w:r/>
          </w:p>
          <w:p>
            <w:pPr>
              <w:ind w:firstLine="210"/>
              <w:jc w:val="left"/>
              <w:spacing w:line="360" w:lineRule="auto"/>
              <w:rPr>
                <w:rFonts w:eastAsia="方正仿宋_GBK"/>
                <w:color w:val="auto"/>
                <w:szCs w:val="21"/>
                <w:highlight w:val="none"/>
                <w:lang w:bidi="zh-CN"/>
              </w:rPr>
            </w:pPr>
            <w:r>
              <w:rPr>
                <w:rFonts w:hint="eastAsia" w:ascii="宋体" w:hAnsi="宋体" w:cs="宋体"/>
                <w:color w:val="auto"/>
                <w:highlight w:val="none"/>
              </w:rPr>
              <w:t xml:space="preserve">注：1.业绩完成时间以采购合同签订时间为准；2.须同时提供项目采购合同关键页（须包含合同双方、项目名称、服务内容、金额、签字盖章页）扫描件及验收单扫描件作为凭证。</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客观分</w:t>
            </w:r>
            <w:bookmarkEnd w:id="55"/>
            <w:r/>
            <w:bookmarkEnd w:id="56"/>
            <w:r/>
            <w:bookmarkEnd w:id="57"/>
            <w:r/>
            <w:r/>
          </w:p>
        </w:tc>
      </w:tr>
      <w:tr>
        <w:trPr>
          <w:jc w:val="center"/>
          <w:trHeight w:val="513"/>
        </w:trPr>
        <w:tc>
          <w:tcPr>
            <w:gridSpan w:val="5"/>
            <w:tcW w:w="9835" w:type="dxa"/>
            <w:vAlign w:val="center"/>
            <w:textDirection w:val="lrTb"/>
            <w:noWrap w:val="false"/>
          </w:tcPr>
          <w:p>
            <w:pPr>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5.信誉</w:t>
            </w:r>
            <w:r/>
          </w:p>
        </w:tc>
      </w:tr>
      <w:tr>
        <w:trPr>
          <w:jc w:val="center"/>
          <w:trHeight w:val="513"/>
        </w:trPr>
        <w:tc>
          <w:tcPr>
            <w:tcW w:w="623" w:type="dxa"/>
            <w:vAlign w:val="center"/>
            <w:textDirection w:val="lrTb"/>
            <w:noWrap w:val="false"/>
          </w:tcPr>
          <w:p>
            <w:pPr>
              <w:jc w:val="center"/>
              <w:spacing w:before="68"/>
              <w:rPr>
                <w:rFonts w:hint="eastAsia" w:ascii="宋体" w:hAnsi="宋体" w:cs="宋体"/>
                <w:color w:val="auto"/>
                <w:spacing w:val="-2"/>
                <w:highlight w:val="none"/>
              </w:rPr>
            </w:pPr>
            <w:r>
              <w:rPr>
                <w:rFonts w:hint="eastAsia" w:ascii="宋体" w:hAnsi="宋体" w:cs="宋体"/>
                <w:color w:val="auto"/>
                <w:spacing w:val="-2"/>
                <w:highlight w:val="none"/>
              </w:rPr>
              <w:t xml:space="preserve">5.1</w:t>
            </w:r>
            <w:r/>
          </w:p>
        </w:tc>
        <w:tc>
          <w:tcPr>
            <w:tcW w:w="1276"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企业信誉</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投标人具备ISO9001质量管理体系认证证书、ISO14001环境管理体系认证证书及ISO45001职业健康安全管理体系认证证书的得2分，缺一个扣1分，扣完为止；本项最高得2分。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注：须提供证书彩色扫描件及中国国家认证认可监督管理委员会网站http://www.cnca.gov.cn 查询截图并加盖投标人公章。否则评审委员会将不予计分。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客观分</w:t>
            </w:r>
            <w:r/>
          </w:p>
        </w:tc>
      </w:tr>
      <w:tr>
        <w:trPr>
          <w:jc w:val="center"/>
          <w:trHeight w:val="464"/>
        </w:trPr>
        <w:tc>
          <w:tcPr>
            <w:tcW w:w="623" w:type="dxa"/>
            <w:vAlign w:val="center"/>
            <w:textDirection w:val="lrTb"/>
            <w:noWrap w:val="false"/>
          </w:tcPr>
          <w:p>
            <w:pPr>
              <w:jc w:val="center"/>
              <w:rPr>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W w:w="7511" w:type="dxa"/>
            <w:vAlign w:val="center"/>
            <w:textDirection w:val="lrTb"/>
            <w:noWrap w:val="false"/>
          </w:tcPr>
          <w:p>
            <w:pPr>
              <w:ind w:left="172"/>
              <w:jc w:val="center"/>
              <w:spacing w:before="123"/>
              <w:rPr>
                <w:rFonts w:ascii="宋体" w:hAnsi="宋体" w:cs="宋体"/>
                <w:color w:val="auto"/>
                <w:spacing w:val="-2"/>
                <w:highlight w:val="none"/>
              </w:rPr>
            </w:pPr>
            <w:r>
              <w:rPr>
                <w:rFonts w:ascii="宋体" w:hAnsi="宋体" w:cs="宋体"/>
                <w:color w:val="auto"/>
                <w:spacing w:val="-2"/>
                <w:highlight w:val="none"/>
              </w:rPr>
            </w:r>
            <w:r/>
          </w:p>
        </w:tc>
        <w:tc>
          <w:tcPr>
            <w:gridSpan w:val="2"/>
            <w:tcW w:w="1701" w:type="dxa"/>
            <w:vAlign w:val="center"/>
            <w:textDirection w:val="lrTb"/>
            <w:noWrap w:val="false"/>
          </w:tcPr>
          <w:p>
            <w:pPr>
              <w:jc w:val="center"/>
              <w:rPr>
                <w:color w:val="auto"/>
                <w:highlight w:val="none"/>
              </w:rPr>
            </w:pPr>
            <w:r>
              <w:rPr>
                <w:rFonts w:ascii="宋体" w:hAnsi="宋体" w:cs="宋体"/>
                <w:color w:val="auto"/>
                <w:spacing w:val="-11"/>
                <w:highlight w:val="none"/>
              </w:rPr>
              <w:t xml:space="preserve">100分</w:t>
            </w:r>
            <w:r/>
          </w:p>
        </w:tc>
      </w:tr>
      <w:tr>
        <w:trPr>
          <w:jc w:val="center"/>
          <w:trHeight w:val="464"/>
        </w:trPr>
        <w:tc>
          <w:tcPr>
            <w:gridSpan w:val="5"/>
            <w:tcW w:w="9835" w:type="dxa"/>
            <w:vAlign w:val="center"/>
            <w:textDirection w:val="lrTb"/>
            <w:noWrap w:val="false"/>
          </w:tcPr>
          <w:p>
            <w:pPr>
              <w:jc w:val="center"/>
              <w:rPr>
                <w:rFonts w:ascii="宋体" w:hAnsi="宋体" w:cs="宋体"/>
                <w:color w:val="auto"/>
                <w:spacing w:val="-11"/>
                <w:highlight w:val="none"/>
              </w:rPr>
            </w:pPr>
            <w:r>
              <w:rPr>
                <w:rFonts w:ascii="宋体" w:hAnsi="宋体"/>
                <w:b/>
                <w:bCs/>
                <w:color w:val="auto"/>
                <w:sz w:val="24"/>
                <w:szCs w:val="24"/>
                <w:highlight w:val="none"/>
                <w:lang w:val="zh-CN"/>
              </w:rPr>
              <w:t xml:space="preserve">需要补充的其他内容：</w:t>
            </w:r>
            <w:r/>
          </w:p>
        </w:tc>
      </w:tr>
      <w:tr>
        <w:trPr>
          <w:jc w:val="center"/>
          <w:trHeight w:val="464"/>
        </w:trPr>
        <w:tc>
          <w:tcPr>
            <w:gridSpan w:val="5"/>
            <w:tcW w:w="9835" w:type="dxa"/>
            <w:vAlign w:val="center"/>
            <w:textDirection w:val="lrTb"/>
            <w:noWrap w:val="false"/>
          </w:tcPr>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1．核心产品评审。</w:t>
            </w:r>
            <w:r>
              <w:rPr>
                <w:rFonts w:hint="eastAsia" w:ascii="宋体" w:hAnsi="宋体"/>
                <w:color w:val="auto"/>
                <w:sz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2</w:t>
            </w:r>
            <w:r>
              <w:rPr>
                <w:rFonts w:hint="eastAsia" w:ascii="宋体" w:hAnsi="宋体"/>
                <w:color w:val="auto"/>
                <w:sz w:val="22"/>
                <w:highlight w:val="none"/>
              </w:rPr>
              <w:t xml:space="preserve">．</w:t>
            </w:r>
            <w:r>
              <w:rPr>
                <w:rFonts w:hint="eastAsia" w:ascii="宋体" w:hAnsi="宋体"/>
                <w:b/>
                <w:bCs/>
                <w:color w:val="auto"/>
                <w:sz w:val="22"/>
                <w:highlight w:val="none"/>
                <w:lang w:val="zh-CN"/>
              </w:rPr>
              <w:t xml:space="preserve">小微企业价格扣除</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.1货物采购项目对小微企业生产的产品给予报价的</w:t>
            </w:r>
            <w:r>
              <w:rPr>
                <w:rFonts w:hint="eastAsia" w:ascii="宋体" w:hAnsi="宋体"/>
                <w:b/>
                <w:bCs/>
                <w:color w:val="auto"/>
                <w:sz w:val="22"/>
                <w:highlight w:val="none"/>
                <w:lang w:val="zh-CN"/>
              </w:rPr>
              <w:t xml:space="preserve">10%</w:t>
            </w:r>
            <w:r>
              <w:rPr>
                <w:rFonts w:hint="eastAsia" w:ascii="宋体" w:hAnsi="宋体"/>
                <w:color w:val="auto"/>
                <w:sz w:val="22"/>
                <w:highlight w:val="none"/>
                <w:lang w:val="zh-CN"/>
              </w:rPr>
              <w:t xml:space="preserve">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.2大中型企业和其他自然人、法人或者其他组织与小型、微型企业组成联合体共同参加</w:t>
            </w:r>
            <w:r>
              <w:rPr>
                <w:rFonts w:hint="eastAsia" w:ascii="宋体" w:hAnsi="宋体"/>
                <w:color w:val="auto"/>
                <w:sz w:val="22"/>
                <w:highlight w:val="none"/>
              </w:rPr>
              <w:t xml:space="preserve">评审</w:t>
            </w:r>
            <w:r>
              <w:rPr>
                <w:rFonts w:hint="eastAsia" w:ascii="宋体" w:hAnsi="宋体"/>
                <w:color w:val="auto"/>
                <w:sz w:val="22"/>
                <w:highlight w:val="none"/>
                <w:lang w:val="zh-CN"/>
              </w:rPr>
              <w:t xml:space="preserve">，</w:t>
            </w:r>
            <w:r>
              <w:rPr>
                <w:rFonts w:hint="eastAsia" w:ascii="宋体" w:hAnsi="宋体"/>
                <w:color w:val="auto"/>
                <w:sz w:val="22"/>
                <w:highlight w:val="none"/>
              </w:rPr>
              <w:t xml:space="preserve">对于联合协议或者分包意向协议约定小微企业的合同份额占到合同总金额</w:t>
            </w:r>
            <w:r>
              <w:rPr>
                <w:rFonts w:hint="eastAsia" w:ascii="宋体" w:hAnsi="宋体"/>
                <w:b/>
                <w:bCs/>
                <w:color w:val="auto"/>
                <w:sz w:val="22"/>
                <w:highlight w:val="none"/>
              </w:rPr>
              <w:t xml:space="preserve">30%</w:t>
            </w:r>
            <w:r>
              <w:rPr>
                <w:rFonts w:hint="eastAsia" w:ascii="宋体" w:hAnsi="宋体"/>
                <w:color w:val="auto"/>
                <w:sz w:val="22"/>
                <w:highlight w:val="none"/>
              </w:rPr>
              <w:t xml:space="preserve">以上的，给予联合体</w:t>
            </w:r>
            <w:r>
              <w:rPr>
                <w:rFonts w:hint="eastAsia" w:ascii="宋体" w:hAnsi="宋体"/>
                <w:b/>
                <w:bCs/>
                <w:color w:val="auto"/>
                <w:sz w:val="22"/>
                <w:highlight w:val="none"/>
              </w:rPr>
              <w:t xml:space="preserve">4%</w:t>
            </w:r>
            <w:r>
              <w:rPr>
                <w:rFonts w:hint="eastAsia" w:ascii="宋体" w:hAnsi="宋体"/>
                <w:color w:val="auto"/>
                <w:sz w:val="22"/>
                <w:highlight w:val="none"/>
              </w:rPr>
              <w:t xml:space="preserve">的价格扣除。</w:t>
            </w:r>
            <w:r>
              <w:rPr>
                <w:rFonts w:hint="eastAsia" w:ascii="宋体" w:hAnsi="宋体"/>
                <w:color w:val="auto"/>
                <w:sz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小企业（含小型、微型企业）应当同时符合以下条件：</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（1）供应商为小企业，且符合中小企业划分标准；</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监狱和戒毒企业的价格扣除</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.1本项目对监狱和戒毒企业，给予10%的价格扣除，用扣除后的价格参与评审。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3</w:t>
            </w:r>
            <w:r>
              <w:rPr>
                <w:rFonts w:hint="eastAsia" w:ascii="宋体" w:hAnsi="宋体"/>
                <w:color w:val="auto"/>
                <w:sz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3</w:t>
            </w:r>
            <w:r>
              <w:rPr>
                <w:rFonts w:hint="eastAsia" w:ascii="宋体" w:hAnsi="宋体"/>
                <w:color w:val="auto"/>
                <w:sz w:val="22"/>
                <w:highlight w:val="none"/>
                <w:lang w:val="zh-CN"/>
              </w:rPr>
              <w:t xml:space="preserve">.3监狱企业标准请参照《关于政府采购支持监狱企业发展有关问题的通知》（财库〔2014〕68号）。</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4．</w:t>
            </w:r>
            <w:r>
              <w:rPr>
                <w:rFonts w:hint="eastAsia" w:ascii="宋体" w:hAnsi="宋体"/>
                <w:b/>
                <w:bCs/>
                <w:color w:val="auto"/>
                <w:sz w:val="22"/>
                <w:highlight w:val="none"/>
                <w:lang w:val="zh-CN"/>
              </w:rPr>
              <w:t xml:space="preserve">残疾人福利性单位的价格扣除</w:t>
            </w:r>
            <w:r/>
          </w:p>
          <w:p>
            <w:pPr>
              <w:ind w:firstLine="442"/>
              <w:spacing w:line="360" w:lineRule="auto"/>
              <w:rPr>
                <w:rFonts w:ascii="宋体" w:hAnsi="宋体"/>
                <w:color w:val="auto"/>
                <w:sz w:val="22"/>
                <w:highlight w:val="none"/>
                <w:lang w:val="zh-CN"/>
              </w:rPr>
            </w:pPr>
            <w:r>
              <w:rPr>
                <w:rFonts w:hint="eastAsia" w:ascii="宋体" w:hAnsi="宋体"/>
                <w:b/>
                <w:bCs/>
                <w:color w:val="auto"/>
                <w:sz w:val="22"/>
                <w:highlight w:val="none"/>
              </w:rPr>
              <w:t xml:space="preserve">4</w:t>
            </w:r>
            <w:r>
              <w:rPr>
                <w:rFonts w:hint="eastAsia" w:ascii="宋体" w:hAnsi="宋体"/>
                <w:b/>
                <w:bCs/>
                <w:color w:val="auto"/>
                <w:sz w:val="22"/>
                <w:highlight w:val="none"/>
                <w:lang w:val="zh-CN"/>
              </w:rPr>
              <w:t xml:space="preserve">.1本项目对残疾人福利性单位，给予10%的价格扣除，用扣除后的价格参与评审。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4</w:t>
            </w:r>
            <w:r>
              <w:rPr>
                <w:rFonts w:hint="eastAsia" w:ascii="宋体" w:hAnsi="宋体"/>
                <w:color w:val="auto"/>
                <w:sz w:val="22"/>
                <w:highlight w:val="none"/>
                <w:lang w:val="zh-CN"/>
              </w:rPr>
              <w:t xml:space="preserve">.2残疾人福利性单位需提供《残疾人福利性单位声明函》。</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4</w:t>
            </w:r>
            <w:r>
              <w:rPr>
                <w:rFonts w:hint="eastAsia" w:ascii="宋体" w:hAnsi="宋体"/>
                <w:color w:val="auto"/>
                <w:sz w:val="22"/>
                <w:highlight w:val="none"/>
                <w:lang w:val="zh-CN"/>
              </w:rPr>
              <w:t xml:space="preserve">.3残疾人福利性单位标准请参照《关于促进残疾人就业政府采购政策的通知》（财库〔2017〕141号）。</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5</w:t>
            </w:r>
            <w:r>
              <w:rPr>
                <w:rFonts w:hint="eastAsia" w:ascii="宋体" w:hAnsi="宋体"/>
                <w:color w:val="auto"/>
                <w:sz w:val="22"/>
                <w:highlight w:val="none"/>
              </w:rPr>
              <w:t xml:space="preserve">．</w:t>
            </w:r>
            <w:r>
              <w:rPr>
                <w:rFonts w:hint="eastAsia" w:ascii="宋体" w:hAnsi="宋体"/>
                <w:b/>
                <w:bCs/>
                <w:color w:val="auto"/>
                <w:sz w:val="22"/>
                <w:highlight w:val="none"/>
                <w:lang w:val="zh-CN"/>
              </w:rPr>
              <w:t xml:space="preserve">监狱企业、残疾人福利性单位属于小型、微型企业的，不重复享受政策。</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6．</w:t>
            </w:r>
            <w:r>
              <w:rPr>
                <w:rFonts w:hint="eastAsia" w:ascii="宋体" w:hAnsi="宋体"/>
                <w:color w:val="auto"/>
                <w:sz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highlight w:val="none"/>
              </w:rPr>
              <w:t xml:space="preserve">扫描件</w:t>
            </w:r>
            <w:r>
              <w:rPr>
                <w:rFonts w:hint="eastAsia" w:ascii="宋体" w:hAnsi="宋体"/>
                <w:color w:val="auto"/>
                <w:sz w:val="22"/>
                <w:highlight w:val="none"/>
                <w:lang w:val="zh-CN"/>
              </w:rPr>
              <w:t xml:space="preserve">为准）。</w:t>
            </w:r>
            <w:r/>
          </w:p>
          <w:p>
            <w:pPr>
              <w:ind w:firstLine="442"/>
              <w:spacing w:line="360" w:lineRule="auto"/>
              <w:rPr>
                <w:rFonts w:ascii="宋体" w:hAnsi="宋体"/>
                <w:b/>
                <w:bCs/>
                <w:color w:val="auto"/>
                <w:sz w:val="22"/>
                <w:highlight w:val="none"/>
              </w:rPr>
            </w:pPr>
            <w:r>
              <w:rPr>
                <w:rFonts w:hint="eastAsia" w:ascii="宋体" w:hAnsi="宋体"/>
                <w:b/>
                <w:bCs/>
                <w:color w:val="auto"/>
                <w:sz w:val="22"/>
                <w:highlight w:val="none"/>
              </w:rPr>
              <w:t xml:space="preserve">7.采购本国产品的支持政策</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8</w:t>
            </w:r>
            <w:r>
              <w:rPr>
                <w:rFonts w:hint="eastAsia" w:ascii="宋体" w:hAnsi="宋体"/>
                <w:b/>
                <w:bCs/>
                <w:color w:val="auto"/>
                <w:sz w:val="22"/>
                <w:highlight w:val="none"/>
                <w:lang w:val="zh-CN"/>
              </w:rPr>
              <w:t xml:space="preserve">．所有证明材料均以有效的扫描</w:t>
            </w:r>
            <w:r>
              <w:rPr>
                <w:rFonts w:hint="eastAsia" w:ascii="宋体" w:hAnsi="宋体"/>
                <w:b/>
                <w:bCs/>
                <w:color w:val="auto"/>
                <w:sz w:val="22"/>
                <w:highlight w:val="none"/>
              </w:rPr>
              <w:t xml:space="preserve">件</w:t>
            </w:r>
            <w:r>
              <w:rPr>
                <w:rFonts w:hint="eastAsia" w:ascii="宋体" w:hAnsi="宋体"/>
                <w:b/>
                <w:bCs/>
                <w:color w:val="auto"/>
                <w:sz w:val="22"/>
                <w:highlight w:val="none"/>
                <w:lang w:val="zh-CN"/>
              </w:rPr>
              <w:t xml:space="preserve">为依据。</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（1）供应商业绩和人员业绩：以提供的合同或</w:t>
            </w:r>
            <w:r>
              <w:rPr>
                <w:rFonts w:hint="eastAsia" w:ascii="宋体" w:hAnsi="宋体"/>
                <w:b/>
                <w:bCs/>
                <w:color w:val="auto"/>
                <w:sz w:val="22"/>
                <w:highlight w:val="none"/>
              </w:rPr>
              <w:t xml:space="preserve">相关业绩证明材料扫描件</w:t>
            </w:r>
            <w:r>
              <w:rPr>
                <w:rFonts w:hint="eastAsia" w:ascii="宋体" w:hAnsi="宋体"/>
                <w:b/>
                <w:bCs/>
                <w:color w:val="auto"/>
                <w:sz w:val="22"/>
                <w:highlight w:val="none"/>
                <w:lang w:val="zh-CN"/>
              </w:rPr>
              <w:t xml:space="preserve">为准。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w:t>
            </w:r>
            <w:r>
              <w:rPr>
                <w:rFonts w:hint="eastAsia" w:ascii="宋体" w:hAnsi="宋体"/>
                <w:b/>
                <w:bCs/>
                <w:color w:val="auto"/>
                <w:sz w:val="22"/>
                <w:highlight w:val="none"/>
              </w:rPr>
              <w:t xml:space="preserve">2</w:t>
            </w:r>
            <w:r>
              <w:rPr>
                <w:rFonts w:hint="eastAsia" w:ascii="宋体" w:hAnsi="宋体"/>
                <w:b/>
                <w:bCs/>
                <w:color w:val="auto"/>
                <w:sz w:val="22"/>
                <w:highlight w:val="none"/>
                <w:lang w:val="zh-CN"/>
              </w:rPr>
              <w:t xml:space="preserve">）人员业绩和供应商业绩可重复计算（如有）。</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w:t>
            </w: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）提供的合同、中标（成交）通知书或履约证明材料或咨询成果等材料均不能</w:t>
            </w:r>
            <w:r>
              <w:rPr>
                <w:rFonts w:hint="eastAsia" w:ascii="宋体" w:hAnsi="宋体"/>
                <w:b/>
                <w:bCs/>
                <w:color w:val="auto"/>
                <w:sz w:val="22"/>
                <w:highlight w:val="none"/>
              </w:rPr>
              <w:t xml:space="preserve">反映</w:t>
            </w:r>
            <w:r>
              <w:rPr>
                <w:rFonts w:hint="eastAsia" w:ascii="宋体" w:hAnsi="宋体"/>
                <w:b/>
                <w:bCs/>
                <w:color w:val="auto"/>
                <w:sz w:val="22"/>
                <w:highlight w:val="none"/>
                <w:lang w:val="zh-CN"/>
              </w:rPr>
              <w:t xml:space="preserve">出相关数据、内容的，视为未提供。</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ascii="宋体" w:hAnsi="宋体"/>
                <w:bCs/>
                <w:color w:val="auto"/>
                <w:sz w:val="22"/>
                <w:highlight w:val="none"/>
                <w:lang w:val="zh-CN"/>
              </w:rPr>
            </w:pPr>
            <w:r/>
            <w:bookmarkStart w:id="58" w:name="OLE_LINK31"/>
            <w:r/>
            <w:bookmarkStart w:id="59" w:name="OLE_LINK30"/>
            <w:r>
              <w:rPr>
                <w:rFonts w:hint="eastAsia" w:ascii="宋体" w:hAnsi="宋体"/>
                <w:bCs/>
                <w:color w:val="auto"/>
                <w:sz w:val="22"/>
                <w:highlight w:val="none"/>
                <w:lang w:val="zh-CN"/>
              </w:rPr>
              <w:t xml:space="preserve">9．根据财政部</w:t>
            </w:r>
            <w:bookmarkStart w:id="60" w:name="OLE_LINK36"/>
            <w:r/>
            <w:bookmarkStart w:id="61" w:name="OLE_LINK37"/>
            <w:r>
              <w:rPr>
                <w:rFonts w:hint="eastAsia" w:ascii="宋体" w:hAnsi="宋体"/>
                <w:bCs/>
                <w:color w:val="auto"/>
                <w:sz w:val="22"/>
                <w:highlight w:val="none"/>
                <w:lang w:val="zh-CN"/>
              </w:rPr>
              <w:t xml:space="preserve">《关于推动解决政府采购异常低价问题的通知》(财库【2026】2号)</w:t>
            </w:r>
            <w:bookmarkEnd w:id="60"/>
            <w:r/>
            <w:bookmarkEnd w:id="61"/>
            <w:r>
              <w:rPr>
                <w:rFonts w:hint="eastAsia" w:ascii="宋体" w:hAnsi="宋体"/>
                <w:bCs/>
                <w:color w:val="auto"/>
                <w:sz w:val="22"/>
                <w:highlight w:val="none"/>
                <w:lang w:val="zh-CN"/>
              </w:rPr>
              <w:t xml:space="preserve">要求，评审过程中出现下列情形之一的，评审委员会应当启动异常低价投标(响应)审查程序:</w:t>
            </w:r>
            <w:r/>
          </w:p>
          <w:p>
            <w:pPr>
              <w:ind w:firstLine="440"/>
              <w:spacing w:line="360" w:lineRule="auto"/>
              <w:rPr>
                <w:rFonts w:ascii="宋体" w:hAnsi="宋体"/>
                <w:bCs/>
                <w:color w:val="auto"/>
                <w:sz w:val="22"/>
                <w:highlight w:val="none"/>
                <w:lang w:val="zh-CN"/>
              </w:rPr>
            </w:pPr>
            <w:r/>
            <w:bookmarkStart w:id="62" w:name="OLE_LINK21"/>
            <w:r/>
            <w:bookmarkStart w:id="63" w:name="OLE_LINK22"/>
            <w:r>
              <w:rPr>
                <w:rFonts w:hint="eastAsia" w:ascii="宋体" w:hAnsi="宋体"/>
                <w:bCs/>
                <w:color w:val="auto"/>
                <w:sz w:val="22"/>
                <w:highlight w:val="none"/>
                <w:lang w:val="zh-CN"/>
              </w:rPr>
              <w:t xml:space="preserve">（1）投标（响应）报价低于全部通过符合性审查供应商投标(响应)报价平均值50%的，即投标(响应)报价</w:t>
            </w:r>
            <w:bookmarkStart w:id="64" w:name="OLE_LINK23"/>
            <w:r>
              <w:rPr>
                <w:rFonts w:hint="eastAsia" w:ascii="宋体" w:hAnsi="宋体"/>
                <w:bCs/>
                <w:color w:val="auto"/>
                <w:sz w:val="22"/>
                <w:highlight w:val="none"/>
                <w:lang w:val="zh-CN"/>
              </w:rPr>
              <w:t xml:space="preserve">＜</w:t>
            </w:r>
            <w:bookmarkEnd w:id="64"/>
            <w:r>
              <w:rPr>
                <w:rFonts w:hint="eastAsia" w:ascii="宋体" w:hAnsi="宋体"/>
                <w:bCs/>
                <w:color w:val="auto"/>
                <w:sz w:val="22"/>
                <w:highlight w:val="none"/>
                <w:lang w:val="zh-CN"/>
              </w:rPr>
              <w:t xml:space="preserve">全部通过符合性审查供应商投标(响应)报价平均值</w:t>
            </w:r>
            <w:bookmarkStart w:id="65" w:name="OLE_LINK25"/>
            <w:r/>
            <w:bookmarkStart w:id="66" w:name="OLE_LINK24"/>
            <w:r>
              <w:rPr>
                <w:rFonts w:hint="eastAsia" w:ascii="宋体" w:hAnsi="宋体"/>
                <w:bCs/>
                <w:color w:val="auto"/>
                <w:sz w:val="22"/>
                <w:highlight w:val="none"/>
                <w:lang w:val="zh-CN"/>
              </w:rPr>
              <w:t xml:space="preserve">×</w:t>
            </w:r>
            <w:bookmarkEnd w:id="65"/>
            <w:r/>
            <w:bookmarkEnd w:id="66"/>
            <w:r>
              <w:rPr>
                <w:rFonts w:hint="eastAsia" w:ascii="宋体" w:hAnsi="宋体"/>
                <w:bCs/>
                <w:color w:val="auto"/>
                <w:sz w:val="22"/>
                <w:highlight w:val="none"/>
                <w:lang w:val="zh-CN"/>
              </w:rPr>
              <w:t xml:space="preserve">50%；</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（2）投标(响应)报价低于通过符合性审查的次低报价供应商投标(响应)报价50%的，即投标(响应)报价</w:t>
            </w:r>
            <w:bookmarkStart w:id="67" w:name="OLE_LINK26"/>
            <w:r/>
            <w:bookmarkStart w:id="68" w:name="OLE_LINK27"/>
            <w:r>
              <w:rPr>
                <w:rFonts w:hint="eastAsia" w:ascii="宋体" w:hAnsi="宋体"/>
                <w:bCs/>
                <w:color w:val="auto"/>
                <w:sz w:val="22"/>
                <w:highlight w:val="none"/>
                <w:lang w:val="zh-CN"/>
              </w:rPr>
              <w:t xml:space="preserve">＜</w:t>
            </w:r>
            <w:bookmarkEnd w:id="67"/>
            <w:r/>
            <w:bookmarkEnd w:id="68"/>
            <w:r>
              <w:rPr>
                <w:rFonts w:hint="eastAsia" w:ascii="宋体" w:hAnsi="宋体"/>
                <w:bCs/>
                <w:color w:val="auto"/>
                <w:sz w:val="22"/>
                <w:highlight w:val="none"/>
                <w:lang w:val="zh-CN"/>
              </w:rPr>
              <w:t xml:space="preserve">通过符合性审查的次低报价供应商投标(响应)报价×50%；</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（3）投标(响应)报价低于采购项目最高限价45%的，即投标(响应)报价＜采购项目最高限价×45%；</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（4）评审委员会基于专业判断，认为供应商报价过低，有可能影响产品质量或者不能诚信履约的其他情形。</w:t>
            </w:r>
            <w:bookmarkEnd w:id="62"/>
            <w:r/>
            <w:bookmarkEnd w:id="63"/>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具体要求按《关于推动解决政府采购异常低价问题的通知》(财库【2026】2号)执行。</w:t>
            </w:r>
            <w:bookmarkEnd w:id="58"/>
            <w:r/>
            <w:bookmarkEnd w:id="59"/>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10</w:t>
            </w:r>
            <w:r>
              <w:rPr>
                <w:rFonts w:hint="eastAsia" w:ascii="宋体" w:hAnsi="宋体"/>
                <w:color w:val="auto"/>
                <w:sz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ascii="宋体" w:hAnsi="宋体" w:cs="宋体"/>
                <w:color w:val="auto"/>
                <w:spacing w:val="-11"/>
                <w:highlight w:val="none"/>
              </w:rPr>
            </w:pPr>
            <w:r>
              <w:rPr>
                <w:rFonts w:hint="eastAsia" w:ascii="宋体" w:hAnsi="宋体"/>
                <w:color w:val="auto"/>
                <w:sz w:val="22"/>
                <w:szCs w:val="21"/>
                <w:highlight w:val="none"/>
              </w:rPr>
              <w:t xml:space="preserve">11</w:t>
            </w:r>
            <w:r>
              <w:rPr>
                <w:rFonts w:hint="eastAsia" w:ascii="宋体" w:hAnsi="宋体"/>
                <w:color w:val="auto"/>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p>
        </w:tc>
      </w:tr>
    </w:tbl>
    <w:p>
      <w:pPr>
        <w:pStyle w:val="849"/>
        <w:rPr>
          <w:rFonts w:hint="eastAsia"/>
          <w:color w:val="auto"/>
          <w:highlight w:val="none"/>
        </w:rPr>
      </w:pPr>
      <w:r>
        <w:rPr>
          <w:rFonts w:hint="eastAsia"/>
          <w:color w:val="auto"/>
          <w:highlight w:val="none"/>
        </w:rPr>
      </w:r>
      <w:bookmarkEnd w:id="48"/>
      <w:r/>
      <w:bookmarkEnd w:id="49"/>
      <w:r/>
      <w:r/>
    </w:p>
    <w:p>
      <w:pPr>
        <w:pStyle w:val="722"/>
        <w:ind w:firstLine="0"/>
        <w:spacing w:line="360" w:lineRule="auto"/>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844"/>
        <w:rPr>
          <w:rFonts w:hint="eastAsia" w:cs="宋体"/>
          <w:color w:val="auto"/>
          <w:szCs w:val="21"/>
          <w:highlight w:val="none"/>
        </w:rPr>
      </w:pPr>
      <w:r>
        <w:rPr>
          <w:rFonts w:hint="eastAsia" w:cs="宋体"/>
          <w:color w:val="auto"/>
          <w:szCs w:val="21"/>
          <w:highlight w:val="none"/>
        </w:rPr>
      </w:r>
      <w:r/>
    </w:p>
    <w:p>
      <w:pPr>
        <w:pStyle w:val="849"/>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s="宋体"/>
          <w:b/>
          <w:bCs/>
          <w:color w:val="auto"/>
          <w:spacing w:val="-10"/>
          <w:sz w:val="36"/>
          <w:szCs w:val="36"/>
          <w:highlight w:val="none"/>
          <w:lang w:val="zh-CN"/>
        </w:rPr>
        <w:outlineLvl w:val="0"/>
      </w:pPr>
      <w:r>
        <w:rPr>
          <w:rFonts w:hint="eastAsia" w:ascii="宋体" w:hAnsi="宋体" w:cs="宋体"/>
          <w:b/>
          <w:bCs/>
          <w:color w:val="auto"/>
          <w:sz w:val="36"/>
          <w:szCs w:val="36"/>
          <w:highlight w:val="none"/>
          <w:lang w:val="zh-CN"/>
        </w:rPr>
        <w:br w:type="page" w:clear="all"/>
      </w:r>
      <w:bookmarkStart w:id="69" w:name="_Toc228350074"/>
      <w:r>
        <w:rPr>
          <w:rFonts w:hint="eastAsia" w:ascii="宋体" w:hAnsi="宋体" w:cs="宋体"/>
          <w:b/>
          <w:bCs/>
          <w:color w:val="auto"/>
          <w:spacing w:val="-10"/>
          <w:sz w:val="36"/>
          <w:szCs w:val="36"/>
          <w:highlight w:val="none"/>
          <w:lang w:val="zh-CN"/>
        </w:rPr>
        <w:t xml:space="preserve">第四章  采购需求</w:t>
      </w:r>
      <w:bookmarkEnd w:id="69"/>
      <w:r/>
      <w:r/>
    </w:p>
    <w:p>
      <w:pPr>
        <w:ind w:firstLine="482"/>
        <w:spacing w:line="360" w:lineRule="auto"/>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二、项目概况</w:t>
      </w:r>
      <w:r/>
    </w:p>
    <w:p>
      <w:pPr>
        <w:ind w:firstLine="480"/>
        <w:spacing w:line="360" w:lineRule="auto"/>
        <w:rPr>
          <w:rFonts w:hint="eastAsia" w:ascii="宋体" w:hAnsi="宋体" w:cs="宋体"/>
          <w:bCs/>
          <w:color w:val="auto"/>
          <w:sz w:val="24"/>
          <w:szCs w:val="24"/>
          <w:highlight w:val="none"/>
        </w:rPr>
      </w:pPr>
      <w:r/>
      <w:bookmarkStart w:id="70" w:name="OLE_LINK46"/>
      <w:r>
        <w:rPr>
          <w:rFonts w:hint="eastAsia" w:ascii="宋体" w:hAnsi="宋体" w:cs="宋体"/>
          <w:bCs/>
          <w:color w:val="auto"/>
          <w:sz w:val="24"/>
          <w:szCs w:val="24"/>
          <w:highlight w:val="none"/>
        </w:rPr>
        <w:t xml:space="preserve">（一）项目背景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本项目为南京师范大学附属中学江北新区学校物理、化学、生物等实验室设备采购、安装、调试并培训使用，保障学校正常教学活动开展，具体详见采购需求。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bookmarkEnd w:id="70"/>
      <w:r/>
      <w:r/>
    </w:p>
    <w:p>
      <w:pPr>
        <w:ind w:firstLine="480"/>
        <w:spacing w:line="360" w:lineRule="auto"/>
        <w:rPr>
          <w:rFonts w:hint="eastAsia" w:ascii="宋体" w:hAnsi="宋体" w:cs="宋体"/>
          <w:bCs/>
          <w:color w:val="auto"/>
          <w:sz w:val="24"/>
          <w:szCs w:val="24"/>
          <w:highlight w:val="none"/>
        </w:rPr>
      </w:pPr>
      <w:r/>
      <w:bookmarkStart w:id="71" w:name="OLE_LINK35"/>
      <w:r/>
      <w:bookmarkStart w:id="72" w:name="OLE_LINK38"/>
      <w:r>
        <w:rPr>
          <w:rFonts w:hint="eastAsia" w:ascii="宋体" w:hAnsi="宋体" w:cs="宋体"/>
          <w:bCs/>
          <w:color w:val="auto"/>
          <w:sz w:val="24"/>
          <w:szCs w:val="24"/>
          <w:highlight w:val="none"/>
        </w:rPr>
        <w:t xml:space="preserve">（三）资产配置标准</w:t>
      </w:r>
      <w:r/>
    </w:p>
    <w:p>
      <w:pPr>
        <w:ind w:firstLine="480"/>
        <w:spacing w:line="360" w:lineRule="auto"/>
        <w:rPr>
          <w:rFonts w:hint="eastAsia"/>
          <w:color w:val="auto"/>
          <w:highlight w:val="none"/>
        </w:rPr>
      </w:pPr>
      <w:r>
        <w:rPr>
          <w:rFonts w:hint="eastAsia" w:ascii="宋体" w:hAnsi="宋体" w:cs="宋体"/>
          <w:bCs/>
          <w:color w:val="auto"/>
          <w:sz w:val="24"/>
          <w:szCs w:val="24"/>
          <w:highlight w:val="none"/>
        </w:rPr>
        <w:t xml:space="preserve">符合《南京市中小学通用资产配置标准》</w:t>
      </w:r>
      <w:bookmarkEnd w:id="71"/>
      <w:r/>
      <w:bookmarkEnd w:id="72"/>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三、项目清单</w:t>
      </w:r>
      <w:r/>
    </w:p>
    <w:tbl>
      <w:tblPr>
        <w:tblStyle w:val="721"/>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416"/>
        <w:gridCol w:w="2213"/>
        <w:gridCol w:w="1041"/>
        <w:gridCol w:w="814"/>
        <w:gridCol w:w="1416"/>
        <w:gridCol w:w="1417"/>
        <w:gridCol w:w="1417"/>
      </w:tblGrid>
      <w:tr>
        <w:trPr>
          <w:trHeight w:val="72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ascii="宋体" w:hAnsi="宋体" w:cs="等线"/>
                <w:b/>
                <w:color w:val="auto"/>
                <w:szCs w:val="21"/>
                <w:highlight w:val="none"/>
              </w:rPr>
            </w:pPr>
            <w:r>
              <w:rPr>
                <w:rFonts w:hint="eastAsia" w:ascii="宋体" w:hAnsi="宋体" w:cs="等线"/>
                <w:b/>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widowControl/>
              <w:rPr>
                <w:rFonts w:hint="eastAsia" w:ascii="宋体" w:hAnsi="宋体" w:cs="等线"/>
                <w:b/>
                <w:color w:val="auto"/>
                <w:szCs w:val="21"/>
                <w:highlight w:val="none"/>
              </w:rPr>
            </w:pPr>
            <w:r>
              <w:rPr>
                <w:rFonts w:hint="eastAsia" w:ascii="宋体" w:hAnsi="宋体" w:cs="等线"/>
                <w:b/>
                <w:color w:val="auto"/>
                <w:szCs w:val="21"/>
                <w:highlight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ascii="宋体" w:hAnsi="宋体" w:cs="微软雅黑"/>
                <w:b/>
                <w:bCs/>
                <w:color w:val="auto"/>
                <w:szCs w:val="21"/>
                <w:highlight w:val="none"/>
              </w:rPr>
            </w:pPr>
            <w:r>
              <w:rPr>
                <w:rFonts w:hint="eastAsia" w:ascii="宋体" w:hAnsi="宋体" w:cs="微软雅黑"/>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b/>
                <w:color w:val="auto"/>
                <w:szCs w:val="21"/>
                <w:highlight w:val="none"/>
              </w:rPr>
            </w:pPr>
            <w:r>
              <w:rPr>
                <w:rFonts w:hint="eastAsia" w:ascii="宋体" w:hAnsi="宋体" w:cs="等线"/>
                <w:b/>
                <w:color w:val="auto"/>
                <w:szCs w:val="21"/>
                <w:highlight w:val="none"/>
                <w:lang w:bidi="ar"/>
              </w:rPr>
              <w:t xml:space="preserve">产品类型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b/>
                <w:color w:val="auto"/>
                <w:szCs w:val="21"/>
                <w:highlight w:val="none"/>
              </w:rPr>
            </w:pPr>
            <w:r>
              <w:rPr>
                <w:rFonts w:hint="eastAsia" w:ascii="宋体" w:hAnsi="宋体" w:cs="等线"/>
                <w:b/>
                <w:color w:val="auto"/>
                <w:szCs w:val="21"/>
                <w:highlight w:val="none"/>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b/>
                <w:color w:val="auto"/>
                <w:szCs w:val="21"/>
                <w:highlight w:val="none"/>
              </w:rPr>
            </w:pPr>
            <w:r>
              <w:rPr>
                <w:rFonts w:hint="eastAsia" w:ascii="宋体" w:hAnsi="宋体" w:cs="等线"/>
                <w:b/>
                <w:color w:val="auto"/>
                <w:szCs w:val="21"/>
                <w:highlight w:val="none"/>
                <w:lang w:bidi="ar"/>
              </w:rPr>
              <w:t xml:space="preserve">属性</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bookmarkStart w:id="73" w:name="OLE_LINK39"/>
            <w:r/>
            <w:bookmarkStart w:id="74" w:name="OLE_LINK40"/>
            <w:r>
              <w:rPr>
                <w:rFonts w:hint="eastAsia" w:ascii="宋体" w:hAnsi="宋体" w:cs="微软雅黑"/>
                <w:color w:val="auto"/>
                <w:szCs w:val="21"/>
                <w:highlight w:val="none"/>
                <w:lang w:bidi="ar"/>
              </w:rPr>
              <w:t xml:space="preserve">教师演示讲台</w:t>
            </w:r>
            <w:bookmarkEnd w:id="73"/>
            <w:r/>
            <w:bookmarkEnd w:id="74"/>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bookmarkStart w:id="75" w:name="OLE_LINK45"/>
            <w:r/>
            <w:bookmarkStart w:id="76" w:name="OLE_LINK41"/>
            <w:r>
              <w:rPr>
                <w:rFonts w:hint="eastAsia" w:ascii="宋体" w:hAnsi="宋体" w:cs="宋体"/>
                <w:color w:val="auto"/>
                <w:szCs w:val="21"/>
                <w:highlight w:val="none"/>
              </w:rPr>
              <w:t xml:space="preserve">核心产品</w:t>
            </w:r>
            <w:bookmarkEnd w:id="75"/>
            <w:r/>
            <w:bookmarkEnd w:id="76"/>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豪华电学物理电源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无线彩屏多量程微电流传感器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法拉第电磁感应定律演示仪（I)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法拉第电磁感应定律演示仪（II)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交直流发电机模型实验仪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探究安培力实验器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探究影响交流电动势的因素</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测定液体的电阻率实验器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温差电流实验器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描绘二极管的伏安特性曲线实验板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探究影响导体电阻的因素实验板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探究电源内外电压关系实验板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交流电的有效值实验板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探究电容器电压与电量的关系实验板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自感现象实验板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光电效应的定量研究实验板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伏特矩阵电学实验箱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电学实验板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双缝干涉实验仪（教师端）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无线彩屏微力传感器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无线彩屏分体位移传感器（收发）</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无线彩屏一体位移（运动）传感器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无线光电门传感器（双门）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光电门扩展模块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无线数智小车套装高阶版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平抛运动数字实验仪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力的合成与分解实验器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作用力与反作用力演示器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超失重演示器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冲力研究实验器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向心力实验器（含转动平台）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斜面上力的分解实验器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光电门单摆实验装置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探究弹力与形变量的关系实验器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电磁定位系统-自由落体实验器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大电流电源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调频交流电源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高中物理电学实验箱（学生专用）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双缝干涉实验仪（学生端）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无线光电门传感器（双门）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无线数智小车套装标准版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平抛运动数字实验仪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力的合成与分解实验器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向心力实验器（含转动平台）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玻意尔定律演示器（压缩气体做功）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豪华电学物理电源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小推车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直联泵</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抽气盘</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充磁器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升降台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蓄电池</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调压变压器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电池盒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感应圈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电子起电机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木直尺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钢直尺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钢直尺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金属钩码(高中组)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金属槽码(高中组)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机械停表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数字计时器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频闪光源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寒暑表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圆盘测力计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拉压测力计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双向测力计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学生数字测力计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高中数字演示电表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绝缘电阻表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直流电压表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交流电流表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微电流放大器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湿度计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空盒气压表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量角器(圆等分器)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惯性演示器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力的合成分解演示器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高中静力学演示教具</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高中力学演示板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离心轨道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电动离心转台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毛钱管(牛顿管)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气垫导轨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小型气源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牛顿第二定律实验仪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平抛竖落仪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平抛和碰撞实验器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凹凸桥演示器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声速测量仪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单摆组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纸盘扬声器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玻棒(附丝绸)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胶棒(附毛皮)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指针验电器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枕形导体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小灯座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学生线路实验板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范氏起电机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球形导体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移电球(验电球)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尖形布电器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静电实验箱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金属网罩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库仑定律演示器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电势演示仪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等势线描绘实验器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电场中带电粒子运动模拟演示器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条形强磁体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蹄形强磁体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强磁针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电子束演示器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电磁波的发送和接收演示器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磁分子模型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镊子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家庭电路器材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一般材料(高中)</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彩色透光片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滚上体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频闪观察器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测电笔</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电工刀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手摇钻</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木锉</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木工锤</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錾子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锉刀(平板)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什锦锉</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直角尺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电烙铁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台钻</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钻头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台虎钳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砂轮机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钳工工作台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烙铁架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冲子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水平尺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棉线手套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高压绝缘凳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演示通风柜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落地式紧急冲淋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铝合金万向罩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万向吸风罩底座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pH强酸强碱电极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pH纯水电极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无线彩屏温湿度二合一传感器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无线彩屏通用离子传感器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多用途生化传感器支架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无线色度传感器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无线浊度传感器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演示通风柜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落地式紧急冲淋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铝合金万向罩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万向吸风罩底座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通风柜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风机及附件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药品柜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药品柜风管支路安装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实验室废水综合处理设备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打孔夹板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打孔器刮刀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手摇钻孔器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电加热器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水浴锅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保温漏斗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试剂瓶托盘</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聚光小手电筒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万能夹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泥三角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多用滴管架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比色管架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多用电表（47型）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密度计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密度计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贮气装置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中和热测定仪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化学实验废液处理装置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氢燃料电池演示器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氢燃料电池实验器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电解槽演示器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电泳演示器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丁达尔现象实验器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二氧化氮球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碳-60结构模型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分子立体结构模型绘制软件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燃烧管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Y形试管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三口烧瓶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干燥塔</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气体洗瓶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抽滤瓶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抽气管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气体发生器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牛角管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布氏漏斗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T形管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Y形管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比色管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活塞</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活塞</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玻璃钟罩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下口瓶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称量瓶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坩埚</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坩埚钳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镊子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水止皮管夹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螺旋皮管夹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石棉网</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二连球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燃烧匙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软胶塞</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橡胶管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洗耳球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试管刷</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烧瓶刷</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滴定管刷</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结晶皿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表面皿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表面皿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蒸发皿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蒸发皿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反应板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井穴板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井穴板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白金丝</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pH广范围试纸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蓝石蕊试纸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红石蕊试纸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淀粉碘化钾试纸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份</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电极材料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手锤</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剪刀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玻璃管切割器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防护面罩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防毒口罩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耐酸型乳胶手套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一次性乳胶手套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实验防护屏</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安全光源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无线彩屏相对压强传感器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pH玻璃电极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pH纯水电极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无线彩屏温湿度二合一传感器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无线彩屏土壤温度/湿度二合一传感器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气液生态室</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气液生态室</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安全光源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单目生物显微镜（1000倍）</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双目生物显微镜（100X-1000X）</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放大镜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恒温培养箱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光照培养箱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整理箱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分析天平（200g，0.0001g）</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血球计数板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计数器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接种环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研磨过滤器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普通手术剪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眼用手术剪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手术刀柄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手术刀片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解剖镊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解剖镊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牙用镊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眼用镊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电泳仪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垂直电泳槽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微量进样器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凝胶色谱柱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DNA电泳图谱观察仪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PCR仪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组织捣碎匀浆机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纯水机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玻璃三角刮刀(涂布器)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黑藻叶装片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酵母菌装片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水绵装片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蛙血涂片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心肌切片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线粒体切片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石棉网</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洗耳球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培养皿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培养皿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测电笔</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活扳手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bl>
    <w:p>
      <w:pPr>
        <w:pStyle w:val="722"/>
        <w:ind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四、拟采购标的需要满足的技术、商务要求</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21"/>
        <w:tblpPr w:horzAnchor="page" w:tblpX="1189" w:vertAnchor="text" w:tblpY="45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60"/>
        <w:gridCol w:w="1661"/>
        <w:gridCol w:w="4816"/>
        <w:gridCol w:w="760"/>
        <w:gridCol w:w="833"/>
        <w:gridCol w:w="910"/>
      </w:tblGrid>
      <w:tr>
        <w:trPr>
          <w:trHeight w:val="34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微软雅黑"/>
                <w:b/>
                <w:bCs/>
                <w:color w:val="auto"/>
                <w:szCs w:val="21"/>
                <w:highlight w:val="none"/>
              </w:rPr>
            </w:pPr>
            <w:r>
              <w:rPr>
                <w:rFonts w:hint="eastAsia" w:ascii="宋体" w:hAnsi="宋体" w:cs="微软雅黑"/>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物料名称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材质或技术参数描述</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b/>
                <w:bCs/>
                <w:color w:val="auto"/>
                <w:szCs w:val="21"/>
                <w:highlight w:val="none"/>
                <w:lang w:bidi="ar"/>
              </w:rPr>
              <w:t xml:space="preserve">备注</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2、柜体：全钢结构，采用≥1.0mm高强度镀锌钢板，表面经环氧树脂喷涂处理；预留电脑主机、键盘托、实物展台、教师电源安装位置。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4、门板及抽面：采用双层结构，单层钢板双面喷涂处理，门板中间填充隔音材料，防撞胶垫：装于抽屉及门板内侧，减缓碰撞，保护柜体。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规格：550*450*300mm±10mm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1、采用PP一体化成型水槽，易清洁，耐腐蚀特点。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2、实验室专用水槽技术要求满足：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(1)、垂直冲击试验要求：检测条件高度:300mm次数:500 次，a,零部件无断裂、无豁裂;b,零部件未出现严重影响使用功能的磨损和变形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规格：550*230*170mm±10mm，鹅颈式实验室专用优质化验水嘴，主体材质为加厚H65铜管，主体管径2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7、教师演示电源技术要求满足：JY/T0374-2004《教学实验室设备电源系统》、GB4943.1-2022《音视频、信息技术和通信技术设备第1部分：安全要求》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1、教师电源交流输出电压的测试符合标准。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2、教师电源直流稳压输出电压的测试符合标准。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3、机械强度之250N恒定力试验符合标准。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4、机械强度之外壳冲击试验符合标准。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5、未接地的可触及零部件符合标准。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6、抗电强度试验符合标准。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2、结构：新型钢塑结构，学生位镂空式，专用书包斗ABS注塑一体注塑成型尺寸不小于410*320*110mm，中间设挂凳卡。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连接，便于组装及拆卸，易碰撞处全部采用倒圆角。金属表面经环氧树脂粉末喷涂高温固化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4、后档水板采用不小于105*12*2mm厚一体成型铝合金型材、左右堵头连接件采用铸铝件磨具一体成型，固定台面不易脱落，并用高强度内六角螺丝连接，便于组装及拆卸。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5、桌脚：采用一体注塑模具成型，采用防滑调整脚，后脚预留不小于一寸定向轮安装位置。可以配置脚轮方便移动，同时可以与地面固定，防止桌移动。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1、整体采用实验室专用PP材质，四周圆弧处理，前后二块拼接而成，可拆装，内部隐藏实验线管及通风管道，方便检修。≥宽345mm深200mm高750mm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2、多功能柱技术要求满足：GB/T 32487-2016塑料家具通用技术条件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(1)、耐老化性（室内720h）满足：外观颜色不低于≥4级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5、实验凳技术要求满足：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（1）、重金属：1.1可溶性铅(Pb)；1.2可溶性镉(Cd)；1.3可溶性铬(Cr)；1.4可溶性汞(Hg)；均未检出。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（2）、承重测试、跌落测试、凳面抗老化测试：2.1承重测试： 静态载荷150KG后应无破损，无断裂；2.2跌落测试 样品从20cm高度落下应无破损；2.3凳面抗老化测试 高温60℃,120h  低温-10℃,120h，凳面无变形。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（3）、附着力、耐腐蚀测试：3.1附着力 根据SEFA-8M-2016检测，划正方形网格；划格间距：2mm  每方向划格线数：6;胶带类型：3M898   胶带剥离角度：180°;材质类型：硬质，检测结果不小于5B级；3.2耐腐蚀测试 耐酸性  温度：(23±2)℃  试液：30%H</w:t>
            </w:r>
            <w:r>
              <w:rPr>
                <w:rStyle w:val="1337"/>
                <w:color w:val="auto"/>
                <w:sz w:val="21"/>
                <w:szCs w:val="21"/>
                <w:highlight w:val="none"/>
                <w:lang w:bidi="ar"/>
              </w:rPr>
              <w:t xml:space="preserve">₂</w:t>
            </w:r>
            <w:r>
              <w:rPr>
                <w:rFonts w:hint="eastAsia" w:ascii="宋体" w:hAnsi="宋体" w:cs="微软雅黑"/>
                <w:color w:val="auto"/>
                <w:szCs w:val="21"/>
                <w:highlight w:val="none"/>
                <w:lang w:bidi="ar"/>
              </w:rPr>
              <w:t xml:space="preserve">SO4溶液 时间：480h 凳面无腐蚀、变形；耐碱性  温度：   (23±2)℃  试液：30%NaOH溶液  时间：480h 凳面无腐蚀、变形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实验柜尺寸：1430*450*1880mm；实验柜内部布局应合理，使用抽屉式摆放，将不同的实验器材和组件分类存放，方便查找和使用。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249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81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2、柜体：全钢结构，采用≥1.0mm高强度镀锌钢板，表面经环氧树脂喷涂处理；预留电脑主机、键盘托、实物展台、教师电源安装位置。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4、门板及抽面：采用双层结构，单层钢板双面喷涂处理，门板中间填充隔音材料，防撞胶垫：装于抽屉及门板内侧，减缓碰撞，保护柜体。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规格：550*450*300mm±10mm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1、采用PP一体化成型水槽，易清洁，耐腐蚀特点。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2、实验室专用水槽技术要求满足：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(1)、垂直冲击试验要求：检测条件高度:300mm次数:500 次，a,零部件无断裂、无豁裂;b,零部件未出现严重影响使用功能的磨损和变形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规格：550*230*170mm±10mm，鹅颈式实验室专用优质化验水嘴，主体材质为加厚H65铜管，主体管径2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7、教师演示电源技术要求满足：JY/T0374-2004《教学实验室设备电源系统》、GB4943.1-2022《音视频、信息技术和通信技术设备第1部分：安全要求》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1、教师电源交流输出电压的测试符合标准。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2、教师电源直流稳压输出电压的测试符合标准。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3、机械强度之250N恒定力试验符合标准。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4、机械强度之外壳冲击试验符合标准。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5、未接地的可触及零部件符合标准。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6、抗电强度试验符合标准。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2、结构：新型钢塑结构，学生位镂空式，专用书包斗ABS注塑一体注塑成型尺寸不小于410*320*110mm，中间设挂凳卡。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连接，便于组装及拆卸，易碰撞处全部采用倒圆角。金属表面经环氧树脂粉末喷涂高温固化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4、后档水板采用不小于105*12*2mm厚一体成型铝合金型材、左右堵头连接件采用铸铝件磨具一体成型，固定台面不易脱落，并用高强度内六角螺丝连接，便于组装及拆卸。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5、桌脚：采用一体注塑模具成型，采用防滑调整脚，后脚预留不小于一寸定向轮安装位置。可以配置脚轮方便移动，同时可以与地面固定，防止桌移动。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1、整体采用实验室专用PP材质，四周圆弧处理，前后二块拼接而成，可拆装，内部隐藏实验线管及通风管道，方便检修。345*200*750mm±10mm。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2、多功能柱技术要求满足：GB/T 32487-2016塑料家具通用技术条件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(1)、耐老化性（室内720h）满足：外观颜色不低于≥4级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72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豪华电学物理电源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1、输入电源：AC220V±10%、频率50Hz。</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2、工作环境：温度-10ºC~+40ºC相对湿度&lt;85％（25ºC）海拔&lt;4000M。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3、电源盒采用全新ABS料一次注塑成型，电源盒置于台面，面板与台面呈夹角，既便于读取参数又便于操作。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4、学生电源尺寸:1180mm*170mm*130mm(W*D*H)。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套电源采用两个独立的电源盒整装而成，一组为低压交直流电源加220V电源，学生低压直流电源采用数字开关电源，贴片元件生产技术，独立的指针式多量程测试表，方便学生做其它升级实验，A表：0.2～0.6A/1～3A,，V表：1～3V/5～15V，G表：-300uA～300uA，各表均有外置调零装置，便于随时调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直流电源是通过接受教师主机下传的信号，在学生电源上显示和输出相关实验所需电压值，电压范围为1.5～30V，最小调节单元为0.1V，额定电流2A，具有过载保护智能检测功能（电流高于过载点则自动保护，电流低于过载点则自动恢复至设定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学生低压交流电源也是通过接受教师主机下传的信号，在学生电源上显示和输出相关实验所需电压值，电压范围为1～30V，最小调节单元为1V，额定电流2A，亦具有过载保护智能检测功能（电流高于过载点则自动保护，电流低于过载点则自动恢复至设定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学生交流220V电源同样是通过接受教师主机下传的信号，在学生电源上的国标五孔插座输出220V电源为其它用电器提供电源（根据市电电压而定），额定电流为5A，通过一次性熔断保险管保护用电设备（保险管熔断后必须更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5、实验凳技术要求满足：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（1）、重金属：1.1可溶性铅(Pb)；1.2可溶性镉(Cd)；1.3可溶性铬(Cr)；1.4可溶性汞(Hg)；均未检出。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（2）、承重测试、跌落测试、凳面抗老化测试：2.1承重测试： 静态载荷150KG后应无破损，无断裂；2.2跌落测试 样品从20cm高度落下应无破损；2.3凳面抗老化测试 高温60℃,120h  低温-10℃,120h，凳面无变形。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（3）、附着力、耐腐蚀测试：3.1附着力 根据SEFA-8M-2016检测，划正方形网格；划格间距：2mm  每方向划格线数：6;胶带类型：3M898   胶带剥离角度：180°;材质类型：硬质，检测结果不小于5B级；3.2耐腐蚀测试 耐酸性  温度：(23±2)℃  试液：30%H</w:t>
            </w:r>
            <w:r>
              <w:rPr>
                <w:color w:val="auto"/>
                <w:szCs w:val="21"/>
                <w:highlight w:val="none"/>
                <w:lang w:bidi="ar"/>
              </w:rPr>
              <w:t xml:space="preserve">₂</w:t>
            </w:r>
            <w:r>
              <w:rPr>
                <w:rFonts w:hint="eastAsia" w:ascii="宋体" w:hAnsi="宋体" w:cs="微软雅黑"/>
                <w:color w:val="auto"/>
                <w:szCs w:val="21"/>
                <w:highlight w:val="none"/>
                <w:lang w:bidi="ar"/>
              </w:rPr>
              <w:t xml:space="preserve">SO4溶液 时间：480h 凳面无腐蚀、变形；耐碱性  温度：   (23±2)℃  试液：30%NaOH溶液  时间：480h 凳面无腐蚀、变形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4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实验柜尺寸：1430*450*1880mm；实验柜内部布局应合理，使用抽屉式摆放，将不同的实验器材和组件分类存放，方便查找和使用。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5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2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1、测量范围：≥-20V～+20V，分辨率 ：≤0.01V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2、测量范围：≥-5V～+5V，分辨率：≤0.001V；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3、测量范围：≥-500mV～+500mV，分辨率：≤0.1mV。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24Bit高精度高速采样,精度：≤±0.5%F.S。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1、测量范围：≥-3A～3A，分辨率 ：≤0.01A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2、测量范围：≥-500mA～500mA，分辨率：≤0.1mA；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3、测量范围：≥--20mA～+20mA，分辨率：≤0.01mA。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3A、±500mA、±20mA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79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无线彩屏多量程微电流传感器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量程：1、测量范围：≥-100μA～+100μA，分辨率 ：≤0.1μA ；2、测量范围：≥-10μA～10μA，分辨率：≤0.01μA；</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100μA、±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1、铝管长度：50cm；内径：24mm；外径：28mm；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2、有机玻璃管外径：30mm与35cm两层管，其余参数同铝管；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3、线圈数量：5个串联；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4、线圈匝数：20匝/个；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5、线圈间距：100mm；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6、磁性圆柱体长：35mm；直径：20mm；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7、铝圆柱体长：35mm；直径：20mm；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8、可与电流或电压传感器配合使用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法拉第电磁感应定律演示仪（I)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胶木底板1块、亚克力管1套、线圈1套3组线圈（100匝、200匝、400匝）、通过三档换项开关选择匝数、强磁铁（20*30mm)1，尺寸≥300*300*1100mm；回路中感应电动势的大小，跟穿过这一回路的磁通量的变化率成正比，这就是法拉第电磁感应定律，表达式为E=n△φ/△t，其中n为线圈匝数，△φ/△t为磁通量的变化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实验教具通过在同一位置改变线圈的匝数来研究感应电动势与匝数之间的关系，通过磁铁经过线圈的速度代表磁通量的变化率，来研究感应电动势与磁通量变化率的关系。在研究探究感应电动势与线圈匝数的关系实验中，获取线圈匝数与电压的数据及图像，可对图像进行线性拟合；实际数据点与拟合曲线的误差R&gt;0.98（数据点紧密围绕拟合曲线分布）,RMSE&lt;0.2（平均误差&lt;0.2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可搭配传感器：无线电压传感器*1（传感器需另配）。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法拉第电磁感应定律演示仪（II)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小螺母管600匝，电阻12欧姆； 大线圈1000匝，电阻34欧姆；需智能电源（需另配）），配合电流、电压传感器使用（传感器需另配）。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交直流发电机模型实验仪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材质及主要部件：方框支架、电刷、电刷架、大线圈、磁铁、大电流电源1个、导线2根；尺寸：≥长200mm*高280mm；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可以完成交、直流发电（需要微电流传感器）；可作为简易电动机。微电流传感器别配。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探究安培力实验器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不同宽度的线圈3个（15、30、45mm），多组线圈1个（20匝）（线圈通入3A电流时间&lt;20s)；强磁铁（蹄形）、线圈支架（可360度旋转，角度精度1度），无线电子天平传感器（精度0.01g)；尺寸：≥240*200*280mm；若磁感应强度B的方向与电流方向成角，导线所受的安培力F=BILsin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实验通过控制变量法，保持其它量不变的情况下，只改变电流，研究安培力与电流的关系；同样，可以研究安培力与导体长度、导线与磁场的夹角之间的关系。实验中的安培力是通过电子天平，导线受到安培力的反作用力作用到磁极上，由天平测出其大小。可研究安培力与电流强度、导线长度、电流与磁场的夹角关系实验，精度高，安培力与电流强度的实际数据点与拟合曲线的误差R&gt;0.9（数据点紧密围绕拟合曲线分布）,RMSE&lt;0.05（平均误差&lt;0.05N）。需恒流电源*1（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478"/>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探究影响交流电动势的因素</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线圈3.5*4cm、三组绕线（50匝、100匝、150匝）、U形磁铁1只；线圈在匀强磁场中匀速转动，在线圈中产生了正弦交流电。该实验装置，能观察产生交流电的图形；研究交流电的最大电动势与线圈匝数的关系，与线圈转动速度的关系。可搭配传感器：无线电压传感器*1（传感器需另配）；需与多功能转动平台配合使用（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测定液体的电阻率实验器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规格尺寸：透明亚克力管（外径32mm，内径28mm，长360mm），底座430×160mm,需要微电流传感器与电压传感器配合使用。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温差电流实验器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底座150*220mm，70*100*5mm玻璃容器，3mm直径康铜丝，直径1.5mm铜丝，12V7.5W加热片。可绘制热电流与温度的变化曲线，并能定量测康铜的塞贝克系数。实验需要12V电源1只、温度传感器2只、微电流传感器1只（电源、温度传感器、微电流传感器均需要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描绘二极管的伏安特性曲线实验板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材质及主要部件：电源（5V，直流电源)1只、电压传感器支架1只、电流传感器支架1只、二极管1只、电位器1只、亚克力底座2块；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当对晶体二极管加上正向偏置电压，此时有正向电流流过二极管，且随着正向偏置电压的增大而增大。当正向偏置电压增大至接近二极管的导通电压，电流明显变化。在导通后，电流就会急剧变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当对晶体二极管加上反向偏置电压时，二极管处于反向截止状态，会有很小的反向电流。当反向偏置电压增至该二极管的击穿电压时，二极管PN结被反向击穿，电流会急剧增大。可搭配传感器：无线电压传感器*1、无线电流传感器*1（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探究影响导体电阻的因素实验板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3V直流电源）1只、电压传感器支架1只、电流传感器支架1只、镍铬电阻丝（直径0.1mm、长度550mm）1根、镍铬电阻丝（直径0.2mm、长度550mm）1根、镍铬电阻丝（直径0.3mm、长度550mm）1根、康铜电阻丝（直径0.2mm、长度550mm）1根、铁电阻丝（直径0.2mm、长度550mm）1根、20Ω电位器1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尺寸≥800*260*650mm；可搭配传感器：无线电压*1、无线电流*1（另配传感器）。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探究电源内外电压关系实验板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材质及主要部件：化学电池装置1只、电压传感器支架2只、30V数显电压表2只、导线4根、亚克力底座2块；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可乐电池就是由铜板、锌板、可乐（也可取其它酸性溶液）组成的电池，取材方便，制作简单。闭合电路可以分为两部分，其中电源外部的电路叫做外电路，电源内部的电路叫做内电路。外电路两端的电压称为外电压（U外），它是电源正负极两端的电压；内电路两端的电压，称为内电压（U内）。实验表明，电源内外电压之和为恒量，这一恒量称为电源电动势（E），E=U外+U内。可搭配传感器：无线电压传感器*2（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交流电的有效值实验板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材质及主要部件：电源（4V直流电源）1只、电压传感器支架2只、3.8V灯泡2只、亚克力底座2块；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让交变电流与恒定电流分别通过大小相同的电阻，如果使同一电阻产生的热效应相同，我们将直流电的电压（或电流）值称之为交流电的有效值。该实验的电阻是用两只完全相同的灯泡，在实验中通过调节直流电路中的电压，通过观察两灯泡亮度，亮度相同，可认为热功率相同。此实验主要目的是让学生了解何为交流电的有效值。需搭配：高中学生电源（有交流输出）（另配）；可搭配传感器：无线电压*2（另配传感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探究电容器电压与电量的关系实验板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材质及主要部件：电源（3V直流电源）1只、电压传感器支架1只、470μF电容器2只、亚克力底座2块；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实验表明，电容器的电量变为原来的一半时，其两极板间的电压也变为原来的一半。精确的实验表明，一个电容器所带的电量Q与两极板之间的电压U之比是不变的。电量Q与电压U之比表征了电容器储存电荷的特性，这个比值叫作电容器的电容。用C表示，C=Q/U。可搭配传感器：无线电压*1（另配传感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自感现象实验板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材质及主要部件：电源（3V直流电源）1只、电流传感器支架2只、灯泡底座2只、2.5V灯泡2只，电感线圈1只、亚克力底座2块；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尺寸≥800*260*650mm；因线圈中电流变化而在线圈自身引起的电磁感应现象叫做自感现象，所产生的电动势叫做自感电动势。根据楞次定律可知，自感电动势会阻碍电流的变化。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通路自感，自感线圈与小灯泡串联，但闭合电键时，由于自感线圈产生自感电动势，阻碍电流的增加，可以看到与线圈串联的灯泡会较慢地亮起来，而另一个并联的灯泡立即达到最高亮度。断路自感，自感线圈与灯泡并联，在电路断开时，线圈中产生的自感电动势通过灯泡回路产生电流，这样小灯泡不会立即熄灭。可搭配传感器：无线电流传感器*2（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72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光电效应的定量研究实验板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材质及主要部件：尺寸≥800*260*650mm，光电管1只、5种色光光源1套、直流调压电源（双输出，DC3.7V，DC</w:t>
            </w:r>
            <w:r>
              <w:rPr>
                <w:rFonts w:hint="eastAsia" w:ascii="宋体" w:hAnsi="宋体" w:cs="微软雅黑"/>
                <w:color w:val="auto"/>
                <w:szCs w:val="21"/>
                <w:highlight w:val="none"/>
                <w:lang w:val="en-US" w:eastAsia="zh-CN" w:bidi="ar"/>
              </w:rPr>
              <w:t xml:space="preserve">5-25</w:t>
            </w:r>
            <w:r>
              <w:rPr>
                <w:rFonts w:hint="eastAsia" w:ascii="宋体" w:hAnsi="宋体" w:cs="微软雅黑"/>
                <w:color w:val="auto"/>
                <w:szCs w:val="21"/>
                <w:highlight w:val="none"/>
                <w:lang w:bidi="ar"/>
              </w:rPr>
              <w:t xml:space="preserve">V可调）1只、数显电压表(量程30V、分辨率0.0001V）1只、数显微安表（量程700uA，分辨率0.01uA)1只、内置1K调压电阻、换向开关、光强调节开关（3档）、色光光源选择开关（5档）、传感器支架2只、亚克力底座2块。可完成实验：1、光电效应现象； 2、产生光电流的条件； 3、饱和电流与光强的关系； 4、绘制光电流与电压的关系（正反电压）；5、绘制最大初动能与入射光频率关系图。</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爱因斯坦光电效应方程：Ek=hν-W逸；最大初动能与遏止电压的关系：Ek=eU遏，综上可得：U遏=(hν-W逸)/e，同一光电管，同种颜色的光的遏止电压是相同的，与光的强度无关。光的频率越大，遏止电压也会越大。但饱和光电流取决于光的强度，光强不变的情况下，随着正向电压的增大，最后光电流会稳定。该实验装置可以研究光电效应现象、定性研究饱和光电流与光强的关系，不同光照的遏止电压与频率的关系，从而验证光电效应的基本规律，继而求出普朗克常量。可搭配传感器：无线微电流传感器*1、无线电压传感器*1（传感器需另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w:t>
            </w:r>
            <w:r>
              <w:rPr>
                <w:rFonts w:hint="default" w:ascii="宋体" w:hAnsi="宋体" w:cs="微软雅黑"/>
                <w:color w:val="auto"/>
                <w:szCs w:val="21"/>
                <w:highlight w:val="none"/>
                <w:lang w:bidi="ar"/>
              </w:rPr>
              <w:t xml:space="preserve">产品彩页或功能截图或检测报告等技术证明资料</w:t>
            </w:r>
            <w:r>
              <w:rPr>
                <w:rFonts w:hint="eastAsia" w:ascii="宋体" w:hAnsi="宋体"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496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伏特矩阵电学实验箱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尺寸：≥590*410*180mm；可完成高中电学实验与电磁学实验，模块背面带有强磁4块，可以在磁性黑板中完成实验，方便教师进行教学演示。电学实验箱配集成130多种电子元件，组合成50多种实验模块，可搭配传感器：无线电压传感器、无线电流传感器、多量程微电流传感器（传感器需另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1、主要模块包含可调压直流电源（1.2-5.8V连续可调，有数据电压电流表监控，输出电流&lt;2A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实验模板：固定5号电池电源（1.5V、3V、4，5V，带开关）1只、调压电源（1.2-5V可调，有数显电压表）1个、1.5V电源（专供测电动势与内阻实验专用）1个、交直流电源（7-8V，带电压数显表）1个、5-28V可调电源（专供光电效应实验，带数显电压表）1只、光伏电池1个、数</w:t>
            </w:r>
            <w:r>
              <w:rPr>
                <w:rFonts w:hint="eastAsia" w:ascii="宋体" w:hAnsi="宋体" w:cs="微软雅黑"/>
                <w:color w:val="auto"/>
                <w:szCs w:val="21"/>
                <w:highlight w:val="none"/>
                <w:lang w:bidi="ar"/>
              </w:rPr>
              <w:t xml:space="preserve">显电流表（0-3A，精度0.001A）、数显电压表（0-33V，精度0.0001V）、数显毫安表（0-50mA，精度0.001mA）、霍尔元件1个、单刀开关2个、单刀双掷开关1个、双刀双掷开关1个、复位开关1个、电磁继电器1个、电容器（内置47、470、4700μF电容各一只）1个、元件插座1个、定值电阻I（100、500、1000Ω）1个、定值电阻III（5、10、15Ω）1个、电阻箱（×0.1Ω）1个、电阻箱（×1Ω）、1个电阻箱（×10Ω）1个电阻箱（×100Ω）1个、电阻箱（×1kΩ）1个、电动机1</w:t>
            </w:r>
            <w:r>
              <w:rPr>
                <w:rFonts w:hint="eastAsia" w:ascii="宋体" w:hAnsi="宋体" w:cs="微软雅黑"/>
                <w:color w:val="auto"/>
                <w:szCs w:val="21"/>
                <w:highlight w:val="none"/>
                <w:lang w:bidi="ar"/>
              </w:rPr>
              <w:t xml:space="preserve">个、蜂鸣器1个、发光二极管1个、双向发光二极管1个、二极管1个、三极管1个、光敏与热敏电阻1个、干簧管1个、保险丝1根、与门1个、或门1个、非门1个、焦尔定律演示I（5Ω）1个、焦尔定律演示II（10Ω）1个、变压器1个、电感线圈1个、线圈1个、分线器（II）2个、电阻丝I(镍铬）1根、电阻丝II(镍铬）1根、电阻丝III(镍铬）1根、电阻丝IV(康铜）1根、电阻丝V（铝）1根、保险丝I1根、保险丝II1根、小灯泡I1只、小灯泡II1只、小灯泡III1只、电容器1个、导线I8根、导线II2根、铝合金箱1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配合电流电压传感器，可完成下列实验：1 用传感器观察电容器的放电过程；2 电源电动势和内阻的测量；3 利用传感器制作简单的自动控制装置；4、跟所带电量的关系；5、探究影响电容器放电时间的因素；6、观察电源放电与电容放电的区别；7、绘制不同导体两端电</w:t>
            </w:r>
            <w:r>
              <w:rPr>
                <w:rFonts w:hint="eastAsia" w:ascii="宋体" w:hAnsi="宋体" w:cs="微软雅黑"/>
                <w:color w:val="auto"/>
                <w:szCs w:val="21"/>
                <w:highlight w:val="none"/>
                <w:lang w:bidi="ar"/>
              </w:rPr>
              <w:t xml:space="preserve">压与电流图线；8、探究影响导体电阻的因素；9、描绘小灯泡的伏安特性曲线；10、描绘二极管的伏安特性曲线；11、测金属导体的电阻率；12、探究串联电路的特点；13、探究并联电路的特点；14、两种分压电路的实验研究；15、体验恒流源与恒压源；16、用电流半偏法测电流表的内阻；17、电流表的改装与校正；18、用电压半偏法测电压表的内阻；19、电压表的改装与校正；20、改装双量程的电压表；21、改装双量程的电流表；22、伏安法测电阻的误差分析与研究；23、欧姆表的改装；24、探究影响电流热效应的因素；25、电路中的</w:t>
            </w:r>
            <w:r>
              <w:rPr>
                <w:rFonts w:hint="eastAsia" w:ascii="宋体" w:hAnsi="宋体" w:cs="微软雅黑"/>
                <w:color w:val="auto"/>
                <w:szCs w:val="21"/>
                <w:highlight w:val="none"/>
                <w:lang w:bidi="ar"/>
              </w:rPr>
              <w:t xml:space="preserve">能量转化；26、探究电池内外电压的关系；27、探究路端电压与外电路电阻的关系；28、化学电池电动势与内阻的测定；29、风力发电、光伏电池；30、探究电源输出功率与外电路电阻的关系；31、探究影响感应电流方向的因素；32、自感现象；33、电容、电感对交变电流的作用；34、观察交流电的产生；35、探究变压器原、副线圈电压与匝数的关系；36、观察LC阻尼振荡曲线；37、绘制热敏电阻电阻值与温度的关系曲线；38、利用热敏电阻制作控制电路；39、光敏电阻的特性；40、干簧管的特性；41、霍尔效应；42、三种逻辑电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电压表、电流表、微安表选配为无线蓝牙传感器电表。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电学实验板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共25快，包含半波整流与滤波，全波整流与滤波，复杂电路分析，RC、RL移相，伏安法测电池的电动势和内阻，补偿法测量电池电动势，分压与限流电路，伏安法测电阻、测电阻丝电阻率，二极管特性曲线，三极管特性曲线，三极管放大电路，恒压源、恒流源、双稳态电路、多谐振荡、电容充放电及串并联、振荡电路、自感现象、描绘小灯泡的伏安特性曲线、与门电路、或门电路、非门电路、电感、电阻串并联，简单传感器应用等实验板，可完成几十例中学电学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测量范围：0Lx～5000LX~150000Lx；自动量程 ；分辨率 ：≤1Lx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光传感器探头及滤光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7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双缝干涉实验仪（教师端）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材质及主要部件：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1、激光笔3支，分别为红光（波长650nm）、绿光（波长520nm）、紫光（405nm ）</w:t>
            </w:r>
            <w:r>
              <w:rPr>
                <w:rFonts w:hint="eastAsia" w:ascii="宋体" w:hAnsi="宋体" w:cs="微软雅黑"/>
                <w:color w:val="auto"/>
                <w:szCs w:val="21"/>
                <w:highlight w:val="none"/>
                <w:lang w:bidi="ar"/>
              </w:rPr>
              <w:t xml:space="preserve">,配0.2m</w:t>
            </w:r>
            <w:r>
              <w:rPr>
                <w:rFonts w:hint="eastAsia" w:ascii="宋体" w:hAnsi="宋体" w:cs="微软雅黑"/>
                <w:color w:val="auto"/>
                <w:szCs w:val="21"/>
                <w:highlight w:val="none"/>
                <w:lang w:bidi="ar"/>
              </w:rPr>
              <w:t xml:space="preserve">的双缝头；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2、激光光源（红光650nm），与四组双缝、4组多缝，4组单缝，4组小孔组合；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3、光强分布传感器（分辨率为0.01mm）。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4、光具座：长1.2m，宽16cm,带1米长的毫米刻度尺，可卷进行收纳。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主要研究光的干涉与衍射各种现象，同时可通过干涉现象测定光的波长。</w:t>
            </w:r>
            <w:r/>
          </w:p>
          <w:p>
            <w:pPr>
              <w:jc w:val="left"/>
              <w:widowControl/>
              <w:rPr>
                <w:rFonts w:hint="eastAsia"/>
                <w:color w:val="auto"/>
                <w:highlight w:val="none"/>
              </w:rPr>
            </w:pPr>
            <w:r>
              <w:rPr>
                <w:rFonts w:hint="eastAsia" w:ascii="宋体" w:hAnsi="宋体" w:eastAsia="宋体" w:cs="宋体"/>
                <w:color w:val="auto"/>
                <w:szCs w:val="21"/>
                <w:highlight w:val="none"/>
                <w:lang w:bidi="ar"/>
              </w:rPr>
              <w:t xml:space="preserve">▲</w:t>
            </w:r>
            <w:r>
              <w:rPr>
                <w:rFonts w:hint="eastAsia" w:ascii="宋体" w:hAnsi="宋体" w:cs="微软雅黑"/>
                <w:color w:val="auto"/>
                <w:szCs w:val="21"/>
                <w:highlight w:val="none"/>
                <w:lang w:bidi="ar"/>
              </w:rPr>
              <w:t xml:space="preserve">投标时须提供</w:t>
            </w:r>
            <w:r>
              <w:rPr>
                <w:rFonts w:hint="default" w:ascii="宋体" w:hAnsi="宋体" w:cs="微软雅黑"/>
                <w:color w:val="auto"/>
                <w:szCs w:val="21"/>
                <w:highlight w:val="none"/>
                <w:lang w:bidi="ar"/>
              </w:rPr>
              <w:t xml:space="preserve">产品彩页或功能截图或检测报告等技术证明资料</w:t>
            </w:r>
            <w:r>
              <w:rPr>
                <w:rFonts w:hint="eastAsia" w:ascii="宋体" w:hAnsi="宋体"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1、测量范围：力：≥-50N～+50N，分辨率：≤0.01N，24Bit高精度高速采样；；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2、测量范围：3轴加速度（x、y、z）：≥-16g～+16g ，分辨率：≤0.01g；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3、测量范围：3轴角速度（x、y、z）：≥-35rad/s（-2000°/s）～+35rad/s（+2000°/s）。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白色面壳内嵌1块≥2.0英寸彩色横屏、5个深灰色圆形硬件功能按键（设置、上、下、确认、取消的标识），底部配有M4螺丝孔及测力钩（拉力）和缓冲头（压力），侧面为开关机按键及Type-C数据传输及充电通用接口，电源指示灯及充电状态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调零、“HOLD”功能快捷键分别与5个深灰色圆形硬件功能按键（设置、上、下、确认、取消的标识）相对应，能够实现菜单功能选择；实验数据模式切换：力、加速度（3轴：x、y、z）、角速度（3轴：x、y、z）；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08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无线彩屏微力传感器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测量范围：力：≥-10N～+10N，分辨率：≤0.001N；24Bit高精度高速采样，精度：≤±2%F.S。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白色面壳内嵌1块≥2.0英寸彩色横屏、5个深灰色圆形硬件功能按键（设置、上、下、确认、取消的标识），底部配有M4螺丝孔及测力钩（拉力）和缓冲头（压力），侧面为开关机按键及Type-C数据传输及充电通用接口，电源指示灯及充电状态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调零、“HOLD”功能快捷键分别与5个深灰色圆形硬件功能按键（设置、上、下、确认、取消的标识）相对应，能够实现菜单功能选择；实验数据模式切换，切换数字形式显示或图线形式显示实时实验数据；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无线彩屏分体位移传感器（收发）</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测量范围：≥0cm～200cm，分辨率 ：≤1mm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w:t>
            </w:r>
            <w:r>
              <w:rPr>
                <w:rFonts w:hint="eastAsia" w:ascii="宋体" w:hAnsi="宋体" w:cs="微软雅黑"/>
                <w:color w:val="auto"/>
                <w:szCs w:val="21"/>
                <w:highlight w:val="none"/>
                <w:lang w:bidi="ar"/>
              </w:rPr>
              <w:t xml:space="preserve">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发射端：下端内嵌红外发射探头及超声波发射探头，接收端：下端内嵌红外接收探头及超声波接收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2、蓝牙模块（接收端）：低功耗蓝牙，兼容蓝牙4.0、蓝牙5.0，数据传输空中速率≥2Mbps；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3、电池：≥800mAh可充电电池；发射端：电池：≥1200mAh可充电电池；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4、存储（接收端）：内置数据存储芯片，容量≥128Mbit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传感器接收端：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传感器发射端：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2、彩色液晶屏，屏幕右上角显示电池充电及电量存余状态，屏幕中间显示传感器工作状态。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3、屏幕底部为显示“设置”、“1个深灰色圆形硬件功能按键（“菜单”）相对应，能够实现菜单功能选择；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无线彩屏一体位移（运动）传感器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测量范围：≥0.15m～6m，分辨率 ：≤1mm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w:t>
            </w:r>
            <w:r>
              <w:rPr>
                <w:rFonts w:hint="eastAsia" w:ascii="宋体" w:hAnsi="宋体" w:cs="微软雅黑"/>
                <w:color w:val="auto"/>
                <w:szCs w:val="21"/>
                <w:highlight w:val="none"/>
                <w:lang w:bidi="ar"/>
              </w:rPr>
              <w:t xml:space="preserve">、外壳结构：固定底座与可调角度传感器白色主体上下组合、横屏显示结构；顶部内嵌1块≥0.91英寸彩色横屏，电源状态指示灯组（电源/充电/充满）、蓝牙指示灯。正面内嵌直径≥40mm超声波发射器。底端底部内嵌M6螺母，方便固定传感器；底端前部配有1对不锈钢卡簧，方便与实验轨道固定。传感器左端内嵌开关机按键及Type-C数据传输及充电通用接口、“开始/停止” 按键。传感器右端内嵌可调把手，及刻度盘，能实现传感器0～180°方向可调；底座左侧内嵌M6螺母与异性椭圆通孔垂直对应，与配套螺丝用于传感器固定于圆杆或铁架台。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1、彩屏：≥0.91英寸；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3、能够智能低功耗待机，智能关机；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实现脱机实验、无线实验、usb线连实验三种实验模式。脱机实验模式为传感器可以直接采集实验数据并通过内置彩屏实时显示实验数据或曲线；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无线光电门传感器（双门）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1、内嵌≥2路高速触发计时测速传感器，相当于2个传统光电门；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2、内嵌≥1路激光计时触发器，可以测量物体运动计时速度；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3、内嵌≥1路扩展触发器，可以外接震动开关、磁性开关、同步光电门等扩展模块；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分辨率 ：≤1μS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2、外壳结构：U形白色主体上下组合、主体内测内嵌2组光电门（双光电门）收发探头，双光电门间距离≥15mm，光电门发射端具有方向标识， 顶部内嵌光电门状态指示灯（挡光/透光），上端正面依次：内嵌电源指示灯组（电源/充电/充满）、蓝牙连接指示灯，蓝牙识别码（能够使电脑、平板、智慧黑板等数据采集终端进行选择性连接）、灰色开关按键；上端背面依次：内嵌2.5mm通信（扩展）接口≥1、内嵌U行固定座、Type-C数据传输及充电通用接口、激光传感器接收口；传感器外侧2端内嵌M6螺丝固定孔≥2。</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1、光电门：≥2组；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3、电池：≥900mAh可充电电池；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2、能够智能低功耗待机，智能关机；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实现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4、通过软件于光电门结构能够实现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1）智能光门计时器模式：（不用设置挡光条宽度）直接测量出挡光时间及速度；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2）光门和摆锤模式：测量摆的周期、速度；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3）光门与光栅模式：测量位置、速度、加速度；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4）光门计时模式（1个光电门）：测量门内时间、速度（设置挡光条宽度）；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5）数字输入模式：实时采集光门状态（挡光/透光）；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6）通用计数模式：采集时间内挡光次数；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7）激光计时模式：配合激光发射装置，测量直径大于嵌入式光电门宽度的大物体的门内时间及速度。可以测量被      测物直径≥75mm的运动物速度。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8）激光计数模式：可以测量直径≥75mm物体单位时间通过的次数。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9）飞行计时模式：通过扩展接口，接入震动等触发器。可以测量通过光门时间及触发器触发的时间，如测量平抛运动初始速度及飞行时间等；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10)双门模式：通过扩展接口，接入扩展门模块能够测量2个门通过时间和门间时间，计算相应速度。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投标时需提供该产品的实物样品。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光电门扩展模块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单光电门模块，内置固定孔，可以配合无线光电门（双门）进行扩展实验。测量长距离门间时间，计算门间速度。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无线数智小车套装高阶版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无线数智小车系统（含无线蓝牙适配器）：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无线数智小车*2套、动力学轨道*1套、滑轮*2个、光电门支撑架*1套、挡光片*1套、轻质软弹簧*2个、固定螺栓*2个、钩码固定底座*1个、塑料透明小桶*1个、5g配重*6个、智能化电机*1套、摩擦块*1个、摩擦面*1套、50g钩码*5个、向心力转台*1个、直角夹1个、万向夹1个、铁架台夹子2个、铁架台2个、无线蓝牙适配器*1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1、无线数智小车：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1）数智小车内置蓝牙无线模块；数智小车与数据采集终端（电脑、平板或手机） 直接通过蓝牙无线连接，便于运动情况下的数据测量及各种实验环境中的数据采集；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2）数智小车使用时，无需数据采集器；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数智小车是多合一的传感器仪器，能够同时测量位移、速度、加速度、角速度、力；在牛顿力学实验设计中，使用一辆数智小车，无需其它配件，即可探究加速度与力的关系，从而精确地测量出运动物体的质量（人教版必修一P96）；在研究弹簧弹力与形变量的关系实验中，获取F-△X的图像，可对图像进行线性拟合；实际数据点与拟合曲线的误差R&gt;0.98（数据点紧密围绕拟合曲线分布）,RMSE&lt;0.01（平均误差&lt;0.01N）；</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4）小车内置传感器具有数字标识码，便于数据终端选择性连接；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5）使用可充电锂聚合物，内置1500mAh大容量可充电电池；通用TypeC标准充电数据接口；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6）校零方式：可使用软件设置为自动校零或手动校零；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7）节能方式：传感器打开电源，但无连接或连接无活动，自动关闭电源；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 售后服务:本产品需供应商提供5年免费维修质保（人为恶意损坏除外），质保期内3次无理由免费更换新产品。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主要部件及参数：无线数智小车2个；24Bit高精度高速采样；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1）力-测量范围：-50N~+50N，分辨率：0.01N；</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2）位移-分辨率：±0.2mm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3）速度-测量范围：±3m/s；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4）加速度-测量范围：3轴；-16g~+16g(g=9.8m/s²)；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5）陀螺仪-测量范围：-35rad/s~+35rad/s（±2000d/s）；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动力学轨道：该运动学组件为一条长度为1.2米的低摩擦动力学轨道。此轨道设计用于减少运动过程中的摩擦阻力，确保实验对象（如小车、滑块等）在其上运动时能更准确地反映动力学原理。轨道结构稳固，表面经过特殊处理，以实现低摩擦特性，适合进行各种物理学实验，特别是那些需要精确测量速度、加速度、力及能量转换等参数的实验。整条轨道作为一个单元提供，便于安装与拆卸，是进行运动学及动力学研究的理想实验器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3、滑轮：滑轮专为牛顿力学实验设计，采用双轴承，结构坚固，确保实验精确，适用于动量、机械能守恒等研究。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智能化电机：智能减速电机、配套传动装置，配有防滑轮；增加运动的平稳性；配有1200mAh容量可充电锂电池；配有标准2.5mm耳机插孔，实现数字控制；能够实现智能调速；快速、慢速、前进，后退，停止等操作；电机与数智小车组合，可研究摩擦力等实验（人教版必修一P62），使小车作匀速运动，从而匀速拉动摩擦块完成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可完成实验：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1.高中物理：探究弹簧弹力与形变量的关系——学生分组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2.高中物理：探究物体的加速度与力、质量的关系——学生分组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3.高中物理：探究向心加速度角速度的关系——学生分组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4.高中物理：验证小车沿斜面下滑过程中的机械能守恒——学生分组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5.高中物理：完全非弹性碰撞过程中的动量守恒——学生分组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6.高中物理：完全弹性碰撞过程中的动量守恒——学生分组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7.高中物理：描述运动量的测量——教师演示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8.高中物理：运动规律的研究——教师演示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9.高中物理：摩擦力的研究——教师演示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10.高中物理：探究作用力与反作用力——教师演示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11.高中物理：超重与失重——教师演示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12.高中物理：探究动能与速度的关系——教师演示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13.高中物理：探究变力作用下的动量定理——教师演示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14.高中物理：弹簧振子振动的研究——教师演示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15.高中物理：利用单摆测重力加速度——教师演示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16.物理创新：运动图像分析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17.物理创新：速度和速度图像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18.物理创新：摩擦系数-静摩擦力与滑动摩擦力</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19.物理创新：探究弹性和非弹性碰撞的动量与动能是否守恒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20.物理创新：功和动能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21.物理创新：功能关系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22.物理创新：简谐运动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23.物理创新：周期性运动：质量和弹簧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初中实验：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1.平均速度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2.探究影响滑动摩擦力大小的因素——学生分组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3.探究浮力大小跟哪些因素有关——学生分组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4.二力平衡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平抛运动数字实验仪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规格大小：金属导轨斜面长度≤600mm；小球、光电门固定座；内嵌振动传感器及连接接口。可以验证不同高度的平抛实验。实验需要光电门传感器（传感器需另配）配合使用。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5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亚克力管1根、空心压缩机1台、压力表1个；尺寸：≥300*300*1300mm；鸡毛与铁球在空气中下落，由于空气阻力的影响，铁球下落明显快于鸡毛。牛顿管是一个两端封闭的亚克力管，可以将内部大部分空气抽去，再做鸡毛与铁球的下落实验，由于空气阻力影响较小，可以看到两物下落快慢几乎相同，由此说明，在忽略空气阻力的情况下，任何物体下落一样快。另配一台真空抽气机，抽气流量96L/min,最高真空度0.11atm(11kpa)。需气压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力的合成与分解实验器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材质及主要部件：胶木底板1块、板后螺丝1套、角度盘1块、线轴1套；角度盘直径D≥500mm；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配合两只力传感器。主要研究两力分力的合力遵循平行四边形法则。特点：既可作为演示实验教具，也可用于学生分析实验，实验操作过程简单，实验精度高。</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可搭配传感器：无线力传感器*2（传感器需另配）。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作用力与反作用力演示器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400*102*25mm铝型材底座,12mm*38mm,M8固定力传感器支柱。研究静态与动态，弹力、磁力间的相互作用力与反作用力。需要两只力传感器配合使用（传感器需另配）。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超失重演示器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等主要部件：物理支架270*270*1300mm，转轴圆盘d120mm。超失重演示器是一种用于演示物体在超重和失重状态下的物理现象的教学仪器；配合无线力传感器，通过无线力传感器，可以同时得到力与加速度两个物理量。可搭配传感器：无线力/加速度*1（传感器需另配）。特点：可以分别研究匀加速上升与下降、匀减速上升与下降物体的超失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冲力研究实验器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底板1块、电子天平1套、砂漏1个；尺寸：≥150*150mm；物体下落时以一定的速度撞击地面，并在很短时间内停止，根据动量定理，由于作用时间较短，物体受到地面冲击力较大。将砂漏置于台秤上，首先测出内部砂不流动时台秤的读数G0，再将砂漏倒置，砂从上向下流动，此时天平的读数是大于、等于还是小于G0。通过该装置进行实际测量，并通过动量定理对实验结果进行理论分析论证。实验过程中，在未放置砂时，台秤要置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向心力实验器（含转动平台）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工业欧标4080L-2.0铝型材，长50cm，表面加带有刻度的亚克力面板，板上固定有力使用器固定件、小球定位管（直径3.0cm,长15cm)。半径分别为15mm、20mm、25mm的小球3只。该实验要力传感器与转动平台配合完成（含转动平台）。特点：实验操作方便，效果好，精度高。其中力与角速度平方曲线R的平方值&gt;0.98,RMSE&lt;0.01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材料与主要部件：含亚克力板面与底坐、20*20*400mm铝型材支住，直径D=25mm不锈钢球1个、M3环扣1个、磁铁1个等；摆长35mm,摆线的质量不大于摆球质量1% 。有7个位置可固定光电门传感器，相邻固定位置的高度差为35mm；能够完成验证机械能守恒定律实验。必须搭配传感器：无线光电门（双门）1只（传感器需另配）。因空气阻力产生的误差不大于5%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含亚克力管（直径40mm，壁厚3mm，高1m）、管壁带有毫米刻度尺，方形底座支架，20*30圆柱形不锈钢，配合光电门（双光电门），可验证自由落体的机械能守恒定律。需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底座、刻度板（含释放与收纳装置、挡光片）、立柱、光电门传感器（内置）、传感器电路、摆锤、摆杆、固定螺栓组成，内嵌无线模块可以实现有线无线通信，通过摆锤的一次运动，可同量获得六个不同高度的实验数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大小≤600*120mm；材质及主要部件：电动机1只、开关1只、调压电源1套、底座1块、摩擦块1块、圆柱体铁块（100g)3块，铝质转动盘(25mm)1只，不锈钢柱1根，Tyepc充电接口。功能：电动机的转速可调，转动方向可变，电源可充电。可研究动摩擦力与不同相对速、不同压力、不同粗糙程度的关系；可描绘摩擦力随时间的变化曲线，探究最大静摩擦力及滑动摩擦力的相关规律。可搭配传感器：无线力/加速度传感器*1（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斜面上力的分解实验器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由座架、直杆和内置式力传感器、角度标尺、重物构成。完成在斜面上力的分解合成实验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光电门单摆实验装置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方型支架高度不小于1m,立杆304不锈钢，直径1.2cm,小球直径1.2cm，底光电门底座，在悬点配有角度面板。该实验装置需要光电门传感器（传感器需另配）配合使用。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探究弹力与形变量的关系实验器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由亚克力管1根≥320cm、弹簧1根≥18*200mm、不透钢拉钩2个（240mm）组成。主要研究弹簧弹力与伸长量、压缩量之间的关系。在研究弹簧弹力与形变量的关系实验中，获取F-△X的图像，可对图像进行线性拟合；实际数据点与拟合曲线的误差R&gt;0.9（数据点紧密围绕拟合曲线分布）,RMSE&lt;0.1（平均误差&lt;0.1N）；可搭配传感器：数智小车*1或无线力/加速度*1（传感器与小车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由支架、电磁定位板、信号源、发射装置、附件组成。定位范围：≥550mm×330mm；最高采样频率：200Hz/s；定位精度：≤1mm。通过实时定位，检测跟踪信号源在定位板上的投影位置，研究物体在二维平面内运动规律。配套辅助配件可完成平抛运动、单摆、自由落体运动等十几个相关二维运动分析与研究的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电磁定位系统-自由落体实验器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1.由手动释放器、信号源保护夹、缓冲紧固件构成。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2.与电磁定位板、信号源及软件配合使用，在定位范围内，在二维坐标系中能够以50Hz或100Hz精准定位物体自由下落过程中的轨迹点。需电磁定位系统（电磁定位板、信号源）配合使用（需另配）。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4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数字化实验室数据采集系统，主要实现传感器数据采集、数据分析处理，数据存储等多功能的实验教学系统平台。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一、系统环境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（1）支持台式机、笔记本、智慧黑板、平板等多种终端平台；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（2）支持Windows、Androd、 macOS、iOS、HarmonyOS、KylinOS和UOS等国产系统;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二、系统结构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（1）实验结构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系统包含通用软件、专用软件，通用软件能够自由设置根据需求灵活设置实验参数，如采集速率，图线参数，变量及公式等。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专用软件根据教材，不用设置打开软件就能开始实验；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专用软件多种分类形式。方面查找实验；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可以按教材划分；按年级（小学、初中、高中）划分；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按学科（物理、化学、生物、科学、地理）划分；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按教学对象（学生分组、教师演示、创新案例）划分；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教师自定义模版创建与管理（按年级、学科、教学对象)划分；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系统按多文档布局结构。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可选页面布局（≥16个）；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每个实验可以创建多个实验页（≥5个）；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每页可以设置多个模块组合（≥3个）；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系统可添加模块≥5个，如图形模块、表格模块、数字模块、仪表盘模块、示波器模块、柱状图模块、文本模块、图像模块；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三、功能模块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（1）、数据通信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实现无线、有线传感自动搜索识别传感器、配置传感器，离线数据采集；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支持手动采集/自动周期采集，可以设置采集频率；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支持定时实验，支持阙值开始/停止实验；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支持多设备相同速率/不同速率实验；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支持设备离线采集设置；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支持传感器量程切换、校准、调零、正负号。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（3）、数据量设置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传感器自动变量、可以设置数据变量、数据公式、数据常量；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实验运行，变量公式实现自动计算；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数据量可以设置小数位数、单位、手动变量支持数据保护避免重复输入或误删；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公式支持常规数学函数计算和三角函数计算，至少包含如下常用计算公式：+、-、x、/、幂运行、指数运算、对数运算、正弦、余弦、正切、反正弦、反余弦、反正切等。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（4）、数据显示功能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显示形式：图形、表格、仪表盘、示波器、数字、文本、图片；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图线可以（拖动或滚轮）任意调整放大缩小；可以区域放大；锁存坐标轴等、设置显示形式：点、线、颜色等；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图形数据曲线根据实验数据可以自动适应调整显示；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每个图形模块可以设置多区域显示：≥4个区域，同时采集≥4个纵轴变量与横轴变量的实时曲线。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每个图形模块可以设置多纵轴显示：≥4个纵轴变量，同时采集≥4个纵轴变量与横轴变量的实时曲线。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多实验记录显示：图线可以显示多次实验数据，每次实验数据曲线有相应的标识、可以任意显示某次实验数据或曲线、也可以显示多次实验数据进行对比分析。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（5）、数据分析功能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（6）、数据表格功能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表格可以选中行列操作、增加列、删除指定列、删除指定行（手动实验）、统计工具（最大、最小、平均、标准、计数）、下载导出表格数据；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（7）、数据存储功能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实验实时存储数据、可随时调取历史运行数据；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实验可以保存实验模板（参数）页可以保存实验（参数及数据）；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存储实验可以任意拷贝、打开分析。也可把多页实验页存储成实验报告文档。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（8）、视频功能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实验录屏功能和摄像头及桌面捕捉录制并保存视频格式，方便回放实验操作、分析指导实验。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（9）、AI智能辅助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内嵌AI智能助手，自动捕捉实验数据或图线利用AI平台大数据对实验操数据进行分析处理、提出问题及指导。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（10）、智能帮助及系统升级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实验模版点击帮助可查看实验视频；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查看软件操作指南视频；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传感器固件及软件版本更新，自动提醒用户更新终生免费升级。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大电流电源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尺寸：200*150*90mm；电流值≤20A；大电流电源是一种能够提供大电流的电源设备。其工作原理主要是通过将输入的交流电源转换成直流电源，并利用电力电子器件将直流电压调整到所需的电流值，以输出大电流。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该装置的直流输出可做：直线电流的磁场（奥斯特实验）、模拟直流电流的磁感线、模拟环形电流的磁感线、演示安培力等实验。交流输出可做：平行通电直导线相互作用力、电磁跳环实验、互感实验。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调频交流电源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200*140*90mm；阻抗≥8Ω，功率≤20W；通常的高中学生电源，只有不同电压的交流电，但频率只能固定在50Hz。而有些实验，需要改变交流电的频率，如研究电感、电容对交流的阻碍，及感抗与容抗与交流电的频率有关。该电源可以提供所有振荡器的电源，也可以作为声音的信号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直流交流稳压2V-16V/3A，每2V一档，共8档；最大值不超过3A，超过将自动启动过载保护关断。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1、测量范围：≥-20V～+20V，分辨率 ：≤0.01V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2、测量范围：≥-5V～+5V，分辨率：≤0.001V；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3、测量范围：≥-500mV～+500mV，分辨率：≤0.1mV。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24Bit高精度高速采样,精度：≤±0.5%F.S。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1、测量范围：≥-3A～3A，分辨率 ：≤0.01A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2、测量范围：≥-500mA～500mA，分辨率：≤0.1mA；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3、测量范围：≥--20mA～+20mA，分辨率：≤0.01mA。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3A、±500mA、±20mA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1、铝管长度：50cm；内径：24mm；外径：28mm；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2、有机玻璃管外径：30mm与35cm两层管，其余参数同铝管；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3、线圈数量：5个串联；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4、线圈匝数：20匝/个；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5、线圈间距：100mm；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6、磁性圆柱体长：35mm；直径：20mm；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7、铝圆柱体长：35mm；直径：20mm；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8、可与电流或电压传感器配合使用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高中物理电学实验箱（学生专用）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电学实验箱集成了34种电学元件，3只数显电表与4只电磁式仪表，3种不同倍率的电阻箱。可以完成高中所有电学实验。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电表选用了传统的电磁式仪表（0-3-6V电压表、0-0.6-3A电</w:t>
            </w:r>
            <w:r>
              <w:rPr>
                <w:rFonts w:hint="eastAsia" w:ascii="宋体" w:hAnsi="宋体" w:cs="微软雅黑"/>
                <w:color w:val="auto"/>
                <w:szCs w:val="21"/>
                <w:highlight w:val="none"/>
                <w:lang w:bidi="ar"/>
              </w:rPr>
              <w:t xml:space="preserve">流表、±300μA检流计），还集成数显电压表（0-20V ，分辨率0.01V，精度±0.8%，内阻2MΩ，有反接与超量程保护），数显电流表（0-10A，分辨率0.01A，精度±0.8%，内阻0.1Ω，有反接与超量程保护），数显毫安表（0-200mA, 分辨率0.01mA，精度±0.8%，内阻0.1Ω，有反接与超量程保护）测量方便、安全、精确。为了收装电表，还专门配制一只（1mA，0.1A，1V）三种不同量程的电磁式仪表，即可以当电表使用，也可以进行电流表、电压表、欧姆表的改装用表，并配制了6种刻度的刻度盘。</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箱内内置4节5号电池，可以输出可调，范围在1.2V-4.8V，输出电压与电流可通过电表显示。内有1A的保险丝，起到保护电源的作用。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配制×1、 ×10、×100三只电阻箱，组成一只0-999Ω的电阻箱，能满足高中物理实验的要求。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该实验箱体积小，重量轻，元件多，自带电表与电源，方便学生携带，可以带回家使用，可以带进课堂，边学边实验。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双缝干涉实验仪（学生端）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1、1个光源：波长650nm；含双缝距离0.2mm，缝宽0.04mm；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2、1个光强分布传感器：测量范围大于29mm，分度大于120点/毫米；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3、光具座：长1.2m，宽16cm,带1米长的毫米刻度尺，可卷进行收纳。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4、光学支架2个。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当一束激光通过双缝后，将会产生明暗相间的干涉条纹，将干涉条纹投射到光强分布传感器上，可测定光的波长。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0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numPr>
                <w:ilvl w:val="0"/>
                <w:numId w:val="8"/>
              </w:numPr>
              <w:jc w:val="left"/>
              <w:widowControl/>
              <w:rPr>
                <w:rFonts w:hint="eastAsia" w:ascii="宋体" w:hAnsi="宋体" w:cs="微软雅黑"/>
                <w:color w:val="auto"/>
                <w:szCs w:val="21"/>
                <w:highlight w:val="none"/>
                <w:lang w:eastAsia="zh-CN" w:bidi="ar"/>
              </w:rPr>
            </w:pPr>
            <w:r>
              <w:rPr>
                <w:rFonts w:hint="eastAsia" w:ascii="宋体" w:hAnsi="宋体" w:cs="微软雅黑"/>
                <w:color w:val="auto"/>
                <w:szCs w:val="21"/>
                <w:highlight w:val="none"/>
                <w:lang w:bidi="ar"/>
              </w:rPr>
              <w:t xml:space="preserve">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1、测量范围：力：≥-50N～+50N，分辨率：≤0.01N，24Bit高精度高速采样；；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2、测量范围：3轴加速度（x、y、z）：≥-16g～+16g ，分辨率：≤0.01g；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3、测量范围：3轴角速度（x、y、z）：≥-35rad/s（-2000°/s）～+35rad/s（+2000°/s）。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eastAsia="zh-CN" w:bidi="ar"/>
              </w:rPr>
              <w:t xml:space="preserve">。</w:t>
            </w:r>
            <w:r/>
          </w:p>
          <w:p>
            <w:pPr>
              <w:numPr>
                <w:ilvl w:val="0"/>
                <w:numId w:val="0"/>
              </w:num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白色面壳内嵌1块≥2.0英寸彩色横屏、5个深灰色圆形硬件功能按键（设置、上、下、确认、取消的标识），底部配有M4螺丝孔及测力钩（拉力）和缓冲头（压力），侧面为开关机按键及Type-C数据传输及充电通用接口，电源指示灯及充电状态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调零、“HOLD”功能快捷键分别与5个深灰色圆形硬件功能按键（设置、上、下、确认、取消的标识）相对应，能够实现菜单功能选择；实验数据模式切换：力、加速度（3轴：x、y、z）、角速度（3轴：x、y、z）；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41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无线光电门传感器（双门）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1、内嵌≥2路高速触发计时测速传感器，相当于2个传统光电门；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2、内嵌≥1路激光计时触发器，可以测量物体运动计时速度；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3、内嵌≥1路扩展触发器，可以外接震动开关、磁性开关、同步光电门等扩展模块；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分辨率 ：≤1μS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2、外壳结构：U形白色主体上下组合、主体内测内嵌2组光电门（双光电门）收发探头，双光电门间距离≥15mm，光电门发射端具有方向标识， 顶部内嵌光电门状态指示灯（挡光/透光），上端正面依次：内嵌电源指示灯组（电源/充电/充满）、蓝牙连接指示灯，蓝牙识别码（能够使电脑、平板、智慧黑板等数据采集终端进行选择性连接）、灰色开关按键；上端背面依次：内嵌2.5mm通信（扩展）接口≥1、内嵌U行固定座、Type-C数据传输及充电通用接口、激光传感器接收口；传感器外侧2端内嵌M6螺丝固定孔≥2。</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1、光电门：≥2组；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3、电池：≥900mAh可充电电池；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2、能够智能低功耗待机，智能关机；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实现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4、通过软件于光电门结构能够实现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1）智能光门计时器模式：（不用设置挡光条宽度）直接测量出挡光时间及速度；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2）光门和摆锤模式：测量摆的周期、速度；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3）光门与光栅模式：测量位置、速度、加速度；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4）光门计时模式（1个光电门）：测量门内时间、速度（设置挡光条宽度）；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5）数字输入模式：实时采集光门状态（挡光/透光）；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6）通用计数模式：采集时间内挡光次数；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7）激光计时模式：配合激光发射装置，测量直径大于嵌入式光电门宽度的大物体的门内时间及速度。可以测量被      测物直径≥75mm的运动物速度。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8）激光计数模式：可以测量直径≥75mm物体单位时间通过的次数。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9）飞行计时模式：通过扩展接口，接入震动等触发器。可以测量通过光门时间及触发器触发的时间，如测量平抛运动初始速度及飞行时间等；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10)双门模式：通过扩展接口，接入扩展门模块能够测量2个门通过时间和门间时间，计算相应速度。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74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无线数智小车套装标准版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装（含无线蓝牙适配器），含无线数智小车*1、1.2米动力学轨道*1、滑轮*1、光电门支撑架*1、挡光片*1、轻质软弹簧*2、固定螺栓*2，钩码固定底座*1个、塑料透明小桶*1个、5g配重*6个、50g钩码*5个、无线蓝牙适配器*1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主要技术参数：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1）数智小车内置蓝牙无线模块；数智小车与数据采集终端（电脑、平板或手机） 直接通过蓝牙无线连接，便于运动情况下的数据测量及各种实验环境中的数据采集；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2）数智小车使用时，无需数据采集器；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数智小车是多合一的传感器仪器，能够同时测量位移、速度、加速度、角速度、力；在牛顿力学实验设计中，使用一辆数智小车，无需其它配件，即可探究加速度与力的关系，从而精确地测量出运动物体的质量（人教版必修一P96）；在研究弹簧弹力与形变量的关系实验中，获取F-△X的图像，可对图像进行线性拟合；实际数据点与拟合曲线的误差R&gt;0.98（数据点紧密围绕拟合曲线分布）,RMSE&lt;0.01（平均误差&lt;0.01N）</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4）小车内置传感器具有数字标识码，便于数据终端选择性连接；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5）使用可充电锂聚合物，内置1500mAh大容量可充电电池；通用TypeC标准充电数据接口；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6）校零方式：可使用软件设置为自动校零或手动校零；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7）节能方式：传感器打开电源，但无连接或连接无活动，自动关闭电源；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 售后服务:本产品需供应商提供5年免费维修质保（人为恶意损坏除外），质保期内3次无理由免费更换新产品。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val="en-US" w:eastAsia="zh-CN" w:bidi="ar"/>
              </w:rPr>
              <w:t xml:space="preserve">9</w:t>
            </w:r>
            <w:r>
              <w:rPr>
                <w:rFonts w:hint="eastAsia" w:ascii="宋体" w:hAnsi="宋体" w:cs="微软雅黑"/>
                <w:color w:val="auto"/>
                <w:szCs w:val="21"/>
                <w:highlight w:val="none"/>
                <w:lang w:bidi="ar"/>
              </w:rPr>
              <w:t xml:space="preserve">)主要部件及参数：无线数智小车1个： 24Bit高精度高速采样；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力-测量范围：-50N~+50N，分辨率：0.01N；</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位移-分辨率：±0.2mm</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速度-测量范围：±3m/s；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加速度-测量范围：3轴，-16g~+16g(g=9.8m/s²)；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陀螺仪-测量范围：-35rad/s~+35rad/s（±2000d/s）；</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可完成实验：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01.高中物理：描述运动量的测量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02.高中物理：运动规律的研究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03.高中物理：探究弹簧弹力与形变量的关系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04.高中物理：探究物体的加速度与力、质量的关系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05.高中物理：超重与失重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06.高中物理：探究动能与速度的关系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07.高中物理：验证小车沿斜面下滑过程中的机械能守恒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08.高中物理：探究变力作用下的动量定理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09.高中物理：弹簧振子振动的研究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10.高中物理：利用单摆测重力加速度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11.物理创新：运动图像分析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12.物理创新：速度和速度图像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13.物理创新：平均速度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14.物理创新：摩擦系数-静摩擦力与滑动摩擦力</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15.物理创新：功和动能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16.物理创新：功能关系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17.物理创新：简谐运动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18.物理创新：周期性运动:质量和弹簧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初中实验：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1.平均速度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2.探究浮力大小跟哪些因素有关——学生分组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平抛运动数字实验仪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规格大小：金属导轨斜面长度≤600mm；小球、光电门固定座；内嵌振动传感器及连接接口。可以验证不同高度的平抛实验。实验需要光电门传感器（传感器需另配）配合使用。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力的合成与分解实验器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材质及主要部件：胶木底板1块、板后螺丝1套、角度盘1块、线轴1套；角度盘直径D≥500mm；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配合两只力传感器。主要研究两力分力的合力遵循平行四边形法则。特点：既可作为演示实验教具，也可用于学生分析实验，实验操作过程简单，实验精度高。</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可搭配传感器：无线力传感器*2（传感器需另配）。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向心力实验器（含转动平台）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工业欧标4080L-2.0铝型材，长50cm，表面加带有刻度的亚克力面板，板上固定有力使用器固定件、小球定位管（直径3.0cm,长15cm)。半径分别为15mm、20mm、25mm的小球3只。该实验要力传感器与转动平台配合完成（含转动平台）。特点：实验操作方便，效果好，精度高。其中力与角速度平方曲线R的平方值&gt;0.98,RMSE&lt;0.01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5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材料与主要部件：含亚克力板面与底坐、20*20*400mm铝型材支住，直径D=25mm不锈钢球1个、M3环扣1个、磁铁1个等；摆长35mm,摆线的质量不大于摆球质量1% 。有7个位置可固定光电门传感器，相邻固定位置的高度差为35mm；能够完成验证机械能守恒定律实验。必须搭配传感器：无线光电门（双门）1只（传感器需另配）。因空气阻力产生的误差不大于5%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含亚克力管（直径40mm，壁厚3mm，高1m）、管壁带有毫米刻度尺，方形底座支架，20*30圆柱形不锈钢，配合光电门（双光电门），可验证自由落体的机械能守恒定律。需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底座、刻度板（含释放与收纳装置、挡光片）、立柱、光电门传感器（内置）、传感器电路、摆锤、摆杆、固定螺栓组成，内嵌无线模块可以实现有线无线通信，通过摆锤的一次运动，可同量获得六个不同高度的实验数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4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玻意尔定律演示器（压缩气体做功）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材质及主要部件：底座、有机玻璃、玻璃针筒；尺寸：≥256*160mm，高度≥300mm；注射</w:t>
            </w:r>
            <w:r>
              <w:rPr>
                <w:rFonts w:hint="eastAsia" w:ascii="宋体" w:hAnsi="宋体" w:cs="微软雅黑"/>
                <w:color w:val="auto"/>
                <w:szCs w:val="21"/>
                <w:highlight w:val="none"/>
                <w:lang w:bidi="ar"/>
              </w:rPr>
              <w:t xml:space="preserve">器体积100mL，可承受压强0-10atm；内置PT1000温度传感器探头（可配合快速温度传感器使用），外置压强传感器连接口（可连接压强传感器）。注射器内置于容器中，可改变注射器内气体的温度。在研究气体等温变化时，实验数据点与拟合曲线的相关系数R&gt;0.98（数据点紧密围绕拟合曲线分布）,RMSE&lt;2（平均误差&lt;2kPa）；同时可以研究气体的等容与等压变化（但实验过程中，测温时，需要较长的测量时间，不建议用该仪器研究气体的等压与等容实验，实验数据误差较大）。配合无线温度传感器、无线压强传感器（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直流交流稳压2V-16V/3A，每2V一档，共8档；最大值不超过3A，超过将自动启动过载保护关断。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47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集成式数据处理终端，可实现传感器数据采集、分析处理及存储等多功能的实验教学系统平台。</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系统平台核心应用功能： </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1.系统兼容：微软、安卓、鸿蒙等，未来可升级为兼容国产操作系统。</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2.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3.数据来源：包括传感器数据、输入数据、自带常量、计算数据；可设置多区域多Y轴/X轴，便于实验数据对比分析。</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4.数据处理：包括图线处理与表格处理，图线处理-支持多种函数的拟合（显示拟合函数表达式）、积分、最大值、最小值、平均值，同时可以显示任意点的坐标、斜率；表格处理-支持多种数据的最大值、最小值、平均值、标准偏差，同时通过公式建立变量之间的关系；</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5.实验模板：内置实验模板，依照教材顺序进行选择实验，适合入门用户；可生成自建模板并进行系统化管理；同时允许熟练用户根据需求自定义模板。含有物理、化学、生物、科学、地理等课标实验及拓展实验。</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6.智能管理：打开电源的传感器且自动搜索，按距离排序，支持通过识别码选择性连接。传感器单位转换、实验报告编写与生成、数据表格导出及界面截图。</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7.更新提示：软件版本更新时，自动提醒用户并支持在线升级。</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8.在线帮助：每个实验中可点击帮助，查看实验视频，内置软件使用指南及实验视频操作。</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9.兼容实验：集通用软件、专用软件、测试软件及理化生软件功能于一体，生成一个桌面快捷方式，无需额外软件，全面适用于项目所有数字化产品的软件。</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终端硬件性能配置标准：</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1、显示屏：屏幕尺寸≥ 14 英寸，FHD 全高清分辨率（≥1920×1080），IPS 液晶显示面板，集成式处理方式。</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2、处理器：核心线程≥6 核 12 线程、最大睿频：≥4.6GHz。</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3、内存：≥16GB 。</w:t>
            </w:r>
            <w:r/>
          </w:p>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4、存储：≥512GB 固态硬盘。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2、柜体：全钢结构，采用≥1.0mm高强度镀锌钢板，表面经环氧树脂喷涂处理；预留电脑主机、键盘托、实物展台、教师电源安装位置。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4、门板及抽面：采用双层结构，单层钢板双面喷涂处理，门板中间填充隔音材料，防撞胶垫：装于抽屉及门板内侧，减缓碰撞，保护柜体。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规格：550*450*300mm±10mm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1、采用PP一体化成型水槽，易清洁，耐腐蚀特点。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2、实验室专用水槽技术要求满足：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(1)、垂直冲击试验要求：检测条件高度:300mm次数:500 次，a,零部件无断裂、无豁裂;b,零部件未出现严重影响使用功能的磨损和变形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规格：550*230*170mm±10mm，鹅颈式实验室专用优质化验水嘴，主体材质为加厚H65铜管，主体管径2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7、教师演示电源技术要求满足：JY/T0374-2004《教学实验室设备电源系统》、GB4943.1-2022《音视频、信息技术和通信技术设备第1部分：安全要求》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1、教师电源交流输出电压的测试符合标准。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2、教师电源直流稳压输出电压的测试符合标准。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3、机械强度之250N恒定力试验符合标准。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4、机械强度之外壳冲击试验符合标准。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5、未接地的可触及零部件符合标准。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6、抗电强度试验符合标准。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2、结构：新型钢塑结构，学生位镂空式，专用书包斗ABS注塑一体注塑成型尺寸不小于410*320*110mm，中间设挂凳卡。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连接，便于组装及拆卸，易碰撞处全部采用倒圆角。金属表面经环氧树脂粉末喷涂高温固化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4、后档水板采用不小于105*12*2mm厚一体成型铝合金型材、左右堵头连接件采用铸铝件磨具一体成型，固定台面不易脱落，并用高强度内六角螺丝连接，便于组装及拆卸。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5、桌脚：采用一体注塑模具成型，采用防滑调整脚，后脚预留不小于一寸定向轮安装位置。可以配置脚轮方便移动，同时可以与地面固定，防止桌移动。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1、整体采用实验室专用PP材质，四周圆弧处理，前后二块拼接而成，可拆装，内部隐藏实验线管及通风管道，方便检修。≥宽345mm深200mm高750mm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2、多功能柱技术要求满足：GB/T 32487-2016塑料家具通用技术条件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(1)、耐老化性（室内720h）满足：外观颜色不低于≥4级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72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豪华电学物理电源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1、输入电源：AC220V±10%、频率50Hz。</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2、工作环境：温度-10ºC~+40ºC相对湿度&lt;85％（25ºC）海拔&lt;4000M。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3、电源盒采用全新ABS料一次注塑成型，电源盒置于台面，面板与台面呈夹角，既便于读取参数又便于操作。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4、学生电源尺寸:1180mm*170mm*130mm(W*D*H)。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套电源采用两个独立的电源盒整装而成，一组为低压交直流电源加220V电源，学生低压直流电源采用数字开关电源，贴片元件生产技术，独立的指针式多量程测试表，方便学生做其它升级实验，A表：0.2～0.6A/1～3A,，V表：1～3V/5～15V，G表：-300uA～300uA，各表均有外置调零装置，便于随时调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直流电源是通过接受教师主机下传的信号，在学生电源上显示和输出相关实验所需电压值，电压范围为1.5～30V，最小调节单元为0.1V，额定电流2A，具有过载保护智能检测功能（电流高于过载点则自动保护，电流低于过载点则自动恢复至设定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学生低压交流电源也是通过接受教师主机下传的信号，在学生电源上显示和输出相关实验所需电压值，电压范围为1～30V，最小调节单元为1V，额定电流2A，亦具有过载保护智能检测功能（电流高于过载点则自动保护，电流低于过载点则自动恢复至设定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学生交流220V电源同样是通过接受教师主机下传的信号，在学生电源上的国标五孔插座输出220V电源为其它用电器提供电源（根据市电电压而定），额定电流为5A，通过一次性熔断保险管保护用电设备（保险管熔断后必须更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5、实验凳技术要求满足：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（1）、重金属：1.1可溶性铅(Pb)；1.2可溶性镉(Cd)；1.3可溶性铬(Cr)；1.4可溶性汞(Hg)；均未检出。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（2）、承重测试、跌落测试、凳面抗老化测试：2.1承重测试： 静态载荷150KG后应无破损，无断裂；2.2跌落测试 样品从20cm高度落下应无破损；2.3凳面抗老化测试 高温60℃,120h  低温-10℃,120h，凳面无变形。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（3）、附着力、耐腐蚀测试：3.1附着力 根据SEFA-8M-2016检测，划正方形网格；划格间距：2mm  每方向划格线数：6;胶带类型：3M898   胶带剥离角度：180°;材质类型：硬质，检测结果不小于5B级；3.2耐腐蚀测试 耐酸性  温度：(23±2)℃  试液：30%H</w:t>
            </w:r>
            <w:r>
              <w:rPr>
                <w:color w:val="auto"/>
                <w:szCs w:val="21"/>
                <w:highlight w:val="none"/>
                <w:lang w:bidi="ar"/>
              </w:rPr>
              <w:t xml:space="preserve">₂</w:t>
            </w:r>
            <w:r>
              <w:rPr>
                <w:rFonts w:hint="eastAsia" w:ascii="宋体" w:hAnsi="宋体" w:cs="微软雅黑"/>
                <w:color w:val="auto"/>
                <w:szCs w:val="21"/>
                <w:highlight w:val="none"/>
                <w:lang w:bidi="ar"/>
              </w:rPr>
              <w:t xml:space="preserve">SO4溶液 时间：480h 凳面无腐蚀、变形；耐碱性  温度：   (23±2)℃  试液：30%NaOH溶液  时间：480h 凳面无腐蚀、变形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84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实验柜尺寸：1430*450*1880mm；实验柜内部布局应合理，使用抽屉式摆放，将不同的实验器材和组件分类存放，方便查找和使用。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47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36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规格：3000*1200*850mm±10mm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3、门板及抽面：采用双层结构，单层钢板双面喷涂处理，门板中间填充隔音材料。防撞胶垫：装于抽屉及门板内侧，减缓碰撞，保护柜体。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1、钢制线盒，主框架采用裸板实际厚度大于1.0mm厚优质钢材产一级高强度镀锌钢板经CNC机压成形、焊接制作，表面经磷化处理、环氧树脂静电粉末涂装处理。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2、220V交流输出为五孔插座，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小推车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800*500*1100mm±10mm，车轮能制动，上面板有护栏，高度20mm～30mm。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共4个实验柜，每个尺寸实验柜：1430*450*1880mm；实验柜内部布局应合理，使用抽屉式摆放，将不同的实验器材和组件分类存放，方便查找和使用。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根据设计要求进行相关的电路接线。室内地面面积约35平方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规格：3000*1200*850mm±10mm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采用≥12.7mm厚实验室专用理化板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1.规格：≥800*460*325mm;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32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规格：≥2200*300*750mm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1、铝合金结构，表面喷涂高温固化匀乳白环氧树脂喷涂理处理，具有较强的耐蚀性能，上下带塑胶模具堵头；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2、试剂架立柱截面尺寸：42mm*82mm,型材壁厚≥1.2mm；试剂架立柱双面升降槽，侧面双面镶嵌另色色条；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3、试剂架托架≥1.0mm高强度镀锌钢板，一次性冲压成型；试剂架护栏：护栏壁厚≥1.2mm，单面镶嵌另色色条。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4、立杆牢固固定于C型钢架底端，层板采用≥8mm厚的玻璃，安装后用户可根据试剂大小上下高低无级调节。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1、整体采用PP材质，耐腐蚀性能好，抗紫外线辐射强，不易老化、脆化，韧性强，弹性好，易于安装。</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2、滴水架主体与集水盘由模具注塑一体成型（非PP板焊接而成）。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3、滴水棒卡扣与主板卡槽紧密契合，不易松动，极好地保护实验器具。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共4个实验柜，每个尺寸实验柜：1430*450*1880mm；实验柜内部布局应合理，使用抽屉式摆放，将不同的实验器材和组件分类存放，方便查找和使用。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根据设计要求进行相关的电路接线。室内地面面积约35平方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根据设计要求进行相关的水路管路接线。室内地面面积约35平方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四件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直联泵</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2XZ-1型，单相，有防回油功能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抽气盘</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直径不小于180mm，附钟罩</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800mm×500mm×1100mm，车轮能制动，上面板有护栏，高度20mm～30mm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充磁器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1、壳体由ABS塑料注塑成形，表面光滑，色彩均匀。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2、充磁后最小值：≥0.04T，消磁后最大值≤0.01T。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3、电源电压：AC220V 50Hz。</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4、充退磁窗口尺寸≥54×27×105mm。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5、充磁电流3.5－4A，充磁后磁极断面平均磁感强度≥25mT。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6、退磁电流3.5－4A，退磁后磁极断面平均剩磁≤4mT。</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φ100mm×300mm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立杆Φ12 mm×500 mm、Φ12 mm×700 mm 各 1 根；A 形座 2 个，质量分别不小于 1.5 kg和 3.0 kg；平行夹 2 个、垂直夹 2 个、烧瓶夹 1 个、万向夹 1 个、台边夹 1 个、大铁环1 个、圆托盘 1 个、绝缘杆 1 个、吊杆 1 个、吊钩 4 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1．由矩形底座、立杆、烧瓶夹、大小铁环、垂直夹（2只）、平行夹等组成。2．方座支架的底座尺寸为210×135mm，立杆直径为ф10mm，一端有M10×18mm螺纹，底座和立杆表面作防锈处理。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多功能实验支架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1、物理实验室通用仪器，可组装成垂直、平行、吊挂、夹持、放置等多种实验支架。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2、有大小A型座各1个，立杆两支（500mm、Φ12mm和700mm、Φ12mm各一支），平行夹1只，垂直夹2只，烧瓶夹1只，万向夹1只，台边夹1只，大铁环1个，圆托盘1个，吊钩2只，吊钩杆1个，绝缘杆1支，滴定夹，漏斗架。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升降台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升降范围不小于150mm，载荷不小于10kg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1.由铁环和3只脚组成；2.铁环内径：74mm，外径：90mm，高：130mm。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交流：2V～16V/3A，每2V一档      直流稳压：2V～16V/2A，每2V一档</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双路0V～12V稳压连续可调,1.5A，两路可串联使用，有过载保护。交流一路，0V～15V，3A，连续可调正弦波。带不低于2.5级电压表，有过载保护</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交流：2V～24V，每2V一档，2V～6V/12A，8V～12V/6A，14V～24V/3A；                                                  直流稳压：1V～25V分档连续可调，2V～6V/6A，8V～12V/4A，14V～24V/2A；                                                  40A、8s自动关断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蓄电池</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6V，15Ah，阀控式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调压变压器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2kVA，TDGC2系列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电池盒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4个一组，1号电池</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感应圈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电子开关式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电子起电机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输入DC6V，输出电压范围：-17.5 kV～+17.5 kV，短路电流不大于500µA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单充阀控式铅蓄电池或单充可调内阻电池或组合式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木直尺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钢直尺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钢直尺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150mm，0.02mm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0mm～25mm，0.01mm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150mm，0.01mm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500g，0.02g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200g，0.02g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200g，0.2g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500g，0.5g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100g，0.01g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1000g，0.1g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0g～160kg，500g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金属钩码(高中组)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50g×4，200g×2</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金属槽码(高中组)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机械停表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0.1s</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0.01s</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单频率：0.02s，火花距离不小于10mm，平均电流不大于0.5mA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打点周期为0.02秒；纸带为标准电报纸带，宽度为17.5mm；纸带移动速度≤3米/秒时，点子的增长不大于1.2mm不小于0.3mm；打点器工作时，受到的阻力不大于2.94*10²N；使用新复写纸时，不出现漏点。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数字计时器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四位及以上，数据存贮，显示：10个挡光间隔时间、10周振动、n次振动时间总和、加速度计时三个时间、自由落体时间不少于二个、二路光电门分别计二个挡光时间(对碰、追碰)，有光电门接口和电磁铁接口，统一接口</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频闪光源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25Hz，50Hz，100Hz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红液，0℃～100℃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水银，0℃～200℃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集成温度传感器，-50℃～+150℃，  分辩率0.1℃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寒暑表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1．指针式。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2．测量温度范围：-30～50℃，精度：±1℃。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圆盘测力计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拉压测力计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供物理实验测量拉、压两个方向力的大小。拉力最大量程：10N,压力最大量程：10N，分度值：1N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双向测力计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1、产品主要由具有测量性能的耐疲劳弹簧、指针、调节器、分度板等组成；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2、使用时指针在所测力的方向上（无负荷时）必要时对准零位；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3、不在零位时，只要旋动两端的调节器，可使指针移向零位；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学生数字测力计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量程2N，分辨率0.001N，误差≤0.2%满量程±1/2字，有调零、内置校准、记忆(能显示稳定值)功能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高中数字演示电表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直流/交流电压、电流，检流；4-1/2位数码管，不小于5cm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绝缘电阻表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2.5级，0.6A，3A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2.5级，200μA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直流电压表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2.5级，3V，15V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±300μA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指针式，不低于2.5级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数字式，3-1/2位，电压﹑电流﹑电阻﹑温度测试﹑电容﹑二极管测试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交流电流表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2.5级，毫安级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2.5级，检流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微电流放大器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产品由输入端、输出端、放大调节及电源开关等组成。1、电压：DC3V。2、放大倍数：50-800倍连续可调。3、输出方式：接线叉输出，配合演示电表使用。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湿度计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空盒气压表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800hPa～1060hPa，1hPa；误差≤±2.0hPa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量角器(圆等分器)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半圆直径不小于190mm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惯性演示器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仪器为工程塑料制作而成，由壳体、启动键、拉簧、绳线、金属挡片、玻璃球等组成。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底板和摩擦块组成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0.5N，1N，2N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3N，5N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由摩擦板、摩擦块、摩擦材料、匀速电机、定滑轮、测力计、测力计支架、细绳、钩码等组成。提供同一种材料 3 种不同粗糙程度的摩擦面，同种材料、相同粗糙程度的不同面积的摩擦面。摩擦板不小于800 mm×100 mm×10 mm，平面度误差不大于 0.6 mm，质地坚硬，表面均匀。摩擦块尺寸不小于 110 mm×50 mm×35 mm，两摩擦面平面度误差应不大于 0.1 mm，侧面有挂钩。电机拉动速度 0～5 cm/s，可调节，可显示。匀速运动速度误差≤±5%</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利用光杠杆原理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力的合成分解演示器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360度角度板为铝合金板，可在铁板上移动，两个可活动滑轮，一个定滑轮。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每套带支杆单滑轮、尼龙线、桌边夹各3件，小铁环1件，支杆高度可调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高中静力学演示教具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1、结构组成：实验底板：工程塑料压制成形，单板面积≥360×240mm，96个插孔</w:t>
            </w:r>
            <w:r>
              <w:rPr>
                <w:rFonts w:hint="eastAsia" w:ascii="宋体" w:hAnsi="宋体" w:cs="微软雅黑"/>
                <w:color w:val="auto"/>
                <w:szCs w:val="21"/>
                <w:highlight w:val="none"/>
                <w:lang w:bidi="ar"/>
              </w:rPr>
              <w:t xml:space="preserve">，塑料三角板，塑料紧固销，塑料吊环，金属支承细杆：≥Φ4×80mm，塑料力矩盘：≥Φ270mm，色圈，螺旋弹簧，塑料小接插座，双向测力计：5N。加长杆，定位杆，小车，塑料小滑轮：≥Φ60mm，塑料大滑轮：≥Φ120mm，滑轮联杆，钢丝挂钩，重锤，双向插头，叉形金属调节杆，钢丝卡环，惯性块，车钩，滑轮挂钩，压簧：1N，5N，单向插头。2、完成演示实验：47个。3、演示实验可见距离：＞5m。4、定量实验误差：＜8%；5、测力计示值误差和回零误差：不大于1个分度；将测力计倒置，示值误差和回零误差：不大于2个分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高中力学演示板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1、为手提式组合教具，全部教具装于塑料箱内。仪器由实验底板4块、大三角支板4个、紧固销、塑料吊杯、支撑杆、平直导轨、双向测力计等不少于36种配件组成。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完成高中物理力学“用弹簧称测力”、“弹簧的伸长跟所受的拉力成正比”、“二力平衡的条件”、“物体的惯性”、“摩擦”、“杠杆的作用和平衡条件”、“轮轴的作用和平衡条件”、“定滑轮、动滑轮和滑轮组的作用”、“功的原理”、“斜面”、“机械效率”等不少于52种实验项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滚摆摆体（摆轮和摆轴）悬线、支柱、横梁和底座组成。摆轴镀铬。底座应稳固，表面涂漆，支柱表面应作防锈处理。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离心轨道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有捕球网</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由机座、主动轮（带手柄）、从动轮、支杆等组成；从动轮与主动轮的转速比不低于 6的整数倍，支杆直径 10 mm，全长 140 mm，支杆装配中心与从动轮轴的距离为 140 mm±1 mm；从动轮轴孔上段为圆柱孔，下段为圆锥孔，锥度为 1:20，大端直径 10 mm，上偏差允许＋0.15 mm；深度不小于 45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电动离心转台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可调速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毛钱管(牛顿管)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带释放装置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长度不小于1200mm，一端高度可连续升降，连接曲面光滑</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利用电火花计时，车拖纸带式，打点有效距离不小于900mm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车拖纸带打点式，打点有效距离不小于600mm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带挡板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气垫导轨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不小于1200mm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小型气源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气压不小于5kPa，低噪声</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4个光电门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含铝合金底座、支架、1.2m平行双轨平行铝合金轨道、轨道滑块、轨道堵头、轨道小车、显示屏直读的专用加速度计、配套钩码（注塑成型挂钩，挂钩的受力点与轴心一致，精度1%）、配重等。轨道配有电磁释放装置，可同时释放2个轨道小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牛顿第二定律实验仪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含铝合金底座、支架、1.2m平行双轨平行铝合金轨道、轨道滑块、轨道堵头、轨道小车、显示屏直读的专用加速度计、配套钩码（注塑成型挂钩，挂钩的受力点与轴心一致，精度1%）、配重等。轨道配有电磁释放装置，可同时释放2个轨道小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有两种以上表现形式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记忆式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半定量实验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平抛竖落仪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仪器能被固定在物理支架上使用，也可放置在桌边使用。产品由仪器主体、释球板、撞击器和两颗钢球组成。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平抛和碰撞实验器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产品由铝制导轨、钢球、玻璃球、重锤、接球槽、支球总成和演示板组成。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同步计时打点描迹，悬浮式平抛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数显</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质量、半径和角速度均可调，向心力综合实验相对误差平均值不大于5%</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凹凸桥演示器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仪器由支架、导轨、钢球等组成。应用于演示物体受重力和支持力的合力产生向上的加速度，速度越大给支撑面的压力越大。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256Hz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512Hz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声速测量仪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共鸣法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单摆组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5个摆球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纸盘扬声器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玻棒(附丝绸)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胶棒(附毛皮)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指针验电器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带法拉第圆筒</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由起电盘、底座、莱顿瓶、集电杆、放电杆电刷、电刷杆、皮带轮、连接片等组成。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枕形导体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用于演示静电感应和感应起电。结构：二只金属制成的空心圆筒；一端为半球面，另一端为平口，将二只圆筒的平口对合起来，就成为一个枕形导体，每只导体均有绝缘支杆及底座。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小灯座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由底座、接线柱和灯座等组成。底座应采用硬质绝缘材料制成，最高工作电压应为36V最大工作电流应为2.5A。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产品由底座、接线柱、闸刀、刀座、手柄等组成。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20Ω，2A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50Ω，1.5A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200Ω，1.25A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由底板、2 种金属导线（康铜、镍铬）、接线柱、连接片、支撑架等组成；康铜导线 2</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根（长均为 1000 mm，直径分别为 0.5 mm、0.3 mm）；镍铬线 2 根（长分别为 1000 mm500 mm，直径均为 0.3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不少于四根导线，长度、截面积、材料不同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高中演示组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学生线路实验板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底座、接线柱，闸刀，刀座，双刀承和绝缘手柄组成。开关的最高工作电压36V，额定工作电流6A。底座为塑料注塑成型。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底座、接线柱，双闸刀，刀座，双刀承和绝缘手柄组成。开关的最高工作电压36V，额定工作电流6A。底座为塑料注塑成型。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演示用，供中学物理演示焦耳定律，研究电流的热效应。产品由演示板、贮气盒两只，电阻：5Ω线绕电阻、玻璃管2根等组成。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通过实验，演示保险丝对电路的保护作用，以及保险丝的选择不当对电路所造成的影响。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范氏起电机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由蓄电球、集电梳、皮带轮、有机玻璃圆筒、橡胶带、电动机、白炽灯、放电球、放电球绝缘杆和底座组成。蓄电球≥Φ200mm，放电球的≥Φ60mm，火花距离≥50mm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球形导体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球形导体由球体、绝缘支杆、底座三部分组成。球体采用铜质空芯球体，表面镀镍。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附验电球。燕型铁丝穿过有机玻璃棒，由锁紧螺丝固定。</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移电球(验电球)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带有绝缘棒的金属小球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产品由底座、支架、丝线固定卡、丝线等组成，每套配两只，底座采用工程塑料制作。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面长方形的铜丝网，用三根绝缘支柱支起，绝缘支柱由三部分组成。为增加仪器的稳定，使用铁底座，绝缘部分用有机玻璃制成，支杆部分与铜丝网固定，在铜丝网的两面悬挂红色丝线。使用完毕后，可将其从绝缘支柱中抽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尖形布电器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演示导体表面电荷的分布；主体采用金属材质，由一个圆柱形和锥形焊接而成，规格≥Φ70×160mm，塑料底座，中间用塑料支杆连接。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仪器适用于中学物理实验，它可以检验摩擦起电的电荷、电容等带电体的正负，以及演示静电感应。1.检验器的探头为金属制品，表面镀铬处理；2.检验器上的红灯指示为正电荷，绿灯指示为负电荷。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静电实验箱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金属网罩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演示静电屏蔽现象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尺寸≥300*300mm，底板尺寸≥30*100*25mm，板的尺寸≥275*200mm，带电小球φ60mm，配有移电棒，轻质铝箔小球。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库仑定律演示器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精确到千分位的电子天平，三个带有绝缘底座的相同的金属小球，带刻度（最小刻度1mm）的支架，一个金属小球通过绝缘杆连接在支架上，并可自由升降和固定。将以上仪器封装于矩形有机玻璃罩内，有开口可进行相应调节，另附红外干燥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用电力线把电场中各点场强的大小和方向形象地表示出来，产品由五块电场线演示板组成，分别为单点电极演示板、双点电极演示板、平行板电极演示板、环形电极演示板、尖形导体演示板。演示板采用透明材料制作，由盒座和盒盖组成，盒座内注满机油和适量发屑后与盒盖密封良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电势演示仪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电势、电势差、等势面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等势线描绘实验器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导电玻璃型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演示平行板电容器电容大小的因素，产品由两块圆形铝板、绝缘板一块、支杆、底脚构成。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1.铝板和绝缘板直径应相同。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2.绝缘板手柄采用透明有机玻璃制。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3.铝板支杆采用透明有机玻璃制。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4.底脚为大半圆形，内有配重。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电场中带电粒子运动模拟演示器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模拟电场中带电粒子加速、偏转</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铝铁碳，180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铝铁碳，100mm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条形、蹄形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永磁、电磁场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产品由有孔塑料板、小磁针、脚及条形磁铁组成。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直流导线、圆线圈、螺线管的磁场分布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1、翼形针体和支座各两件组成。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2、针体长度：140mm±2.0mm,宽度8mm±0.7mm。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3、支座：底座直径：71mm±1.5mm ，总高度112mm±1.7mm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4、磁针体的中间铆接铜轴承套，内嵌玻璃轴承。铆嵌要牢固。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5、磁针体表面喷漆，漆层均匀无脱落。指北极（N极）红色，指南极（S极）蓝色或白色</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条形强磁体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蹄形强磁体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强磁针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高磁能积磁体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电子束演示器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演示示波器原理，显示电子束轨迹。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阻尼振荡,等幅振荡,振荡频率与振荡电路的电容 、电感关系</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电磁波的发送和接收演示器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发射器频率225MHz～250MHz,等幅、调幅；接收器有声、光、电显示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磁分子模型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外型长方体，全透明塑料盒，下底安插≥24枚小钢针，排列成四行，每行六枚，钢针安放≥24枚小磁针。</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φ32mm×200mm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圆底长颈，500mL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平底长颈，250mL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镊子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平头，长125mm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或塑料管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鳄鱼夹、插口夹、香蕉插头、电阻丝、锌片、铜片、灯泡(15W、60W)、小电池(5号、纽扣、太阳电池)、保险丝、保险管(不同规格的合金熔丝、保险管)、焊锡、绝缘胶布、导线等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电阻(碳膜电阻、瓷管电阻、线绕电阻、电位器、光敏电阻、热敏电阻等)；玩具电动机、电磁继电器、电容、电感、二极管、发光二极管、三极管、集成电路块等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家庭电路器材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空气开关、漏电保护器、螺丝口灯座、卡口灯座、三孔插座、三孔插头、插入式保险盒、拉线开关、按钮开关、声控开关、光控开关、导线等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一般材料(高中)</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彩色透光片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红、绿、蓝</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2.5V或3.8V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打点纸带、墨粉纸、坐标纸、复印纸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滚上体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演示椎体在斜双杠上自由滚动现象，可自动滚向斜双杠较高的一端。斜面椎体，滚动行程：500mm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频闪观察器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仪器由底座、动画圆盘、LED灯、减速电机等组成。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测电笔</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氖泡式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φ3mm或φ6mm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φ3mm或φ6mm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电工刀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特殊钢，用于电工剥线。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手摇钻</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木工工具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木锉</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带把手锯</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木工锤</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0.25kg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粗、细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钢制斧头，根据教育部理科实验室装备目录标准配备。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铁制，产品总长≥165mm，钳口长度≥40mm。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錾子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扁凿，刃宽≥12mm，总长≥160mm。根据教育部理科实验室装备目录标准配备。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锉刀(平板)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250mm，带柄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250mm，带柄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什锦锉</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高碳钢铸造，多种（不少于4种）锉刀组合</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直角尺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钳工工具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电烙铁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60W，20W，橡胶线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台钻</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φ1mm～φ13mm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钻头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φ1mm～φ13mm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台虎钳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砂轮机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单相或三相，300W，3000r/min，含安全护板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钳工工作台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钢木结构。工作尺寸≥：900×500×750mm。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烙铁架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插、架、高温海绵池合一。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冲子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打孔器具，高碳钢制作。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水平尺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全棉材质，均码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防强光，上部衰减10倍～20倍，下部透射比≥75％</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防机械冲击</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棉线手套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棉纱线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高压绝缘凳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绝缘耐受电压不小于120kV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2、柜体：全钢结构，采用≥1.0mm高强度镀锌钢板，切割折弯成型，组件焊接工艺，打磨平整，表面经环氧树脂喷涂处理；整体结构设计合理，预留电脑主机、键盘托、实物展台、教师电源安装位置。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0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演示通风柜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1200*850*2100mm；2、通风柜外壳采用厚≥1.0mm优质冷轧钢板冲压成型制作，表面经耐酸碱环氧树脂喷涂处理；3、柜体采用三段组合式柜体，上部柜体三面为厚度≥12mm热弯整块玻璃，视线无任何遮挡，实验时学生全方位观看柜内操作过程。中间为操作台面。下部柜体，内含单侧独立抽气式组成柜及另侧独立水、电、气体管线系统容纳柜；4、台面采用≥12mm厚实芯理化板，边缘呈圆弧形；5、照明采用≥30W日光灯，并设有约5</w:t>
            </w:r>
            <w:r>
              <w:rPr>
                <w:rFonts w:hint="eastAsia" w:ascii="宋体" w:hAnsi="宋体" w:cs="微软雅黑"/>
                <w:color w:val="auto"/>
                <w:szCs w:val="21"/>
                <w:highlight w:val="none"/>
                <w:lang w:bidi="ar"/>
              </w:rPr>
              <w:t xml:space="preserve">mm厚磨沙玻璃；6、拉手采用ABS注塑；7、顶部气流板采用约5mm厚抗倍特板，安装位置与角度需使排气分布均匀，无死角，在标准状况下，导流板上方与中、下方出风口排风量比例各约50±10%，以确保不同比重之气体均能有效排除，另并具手动可调排风量比例设计，可提高中、下方出风口排风量比例至80%以上；8、化验水斗采用PP制作，耐酸碱一体成型小水杯；9、化验水咀采用实验室专用单口烤漆水咀；10、窗口采用约5mm厚的钢化防暴玻璃，内部采用垂体平衡装置，可以停留在上下任何位置；11、标配3个220V/10A国标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36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落地式紧急冲淋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1、紧急冲淋洗眼装置的关节采用插拔式的连接方式。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2、主体、冲淋阀、洗眼阀、洗眼盆、拉手、推手和脚踏等部件均采用卫生级304不锈钢无缝钢管，镍含量超过8%，耐腐蚀性能出众。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3、采用冷轧工艺生产，不易变形，同时管壁光滑无油脂，经久耐用。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4、洗眼喷头内置减压装置，防止对眼睛二次伤害；配置水压调节系统来适应不同场所的水压。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5、冲淋球阀和洗眼球阀均采用双片式阀门结构，密封性和抗压性能更好，使用寿命更长。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6、阀门管道采用由任（即活接头）的管道连接设计，使维修保养费用极低，避免了由于阀门或部件损坏后无法更换而导致整个洗眼器报废的情况。</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1、台面：采用≥12.7mm厚实芯理化板制作，切割处正反面去毛刺切口打磨平整。表面有良好的耐腐蚀性及具有良好的承重性能，台面工作尺寸≥1200*600mm；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2、左右两侧及后围边采用铝合金材质，高于台面≥36mm，其中左右两侧围边长度≥317mm；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3、台面下两侧主体支撑采用高强度铝合金一体压铸成型，成型尺寸≥587*88*90，壁厚≥2.5mm 中间设置三根铝合金横梁尺寸分别为：前 后 中；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4、主立柱采用拉伸铝合金一体成型，成型尺寸≥100*44*710mm，下两侧支撑脚采用高强度铝合金一体压铸成型，成型尺寸≥527*56*95mm ，桌侧脚预留专用孔位可与地面固定，孔上采用塑料配色装饰件装饰，金属表面均经环氧树脂粉末喷涂高温固化处理，耐酸碱、耐腐蚀。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规格：≥450*600*800mm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水槽为整体模具一体成型，尺寸≥450*600*250，并设有溢水口，底部带S弯防臭设计，与地面下水管密封连接。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配套水槽安装，PP材质，耐用易安装拆卸。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尺寸345*200*750mm±10mm，整体采用实验室专用PP材质，四周圆弧处理，前后二块拼接而成，可拆装，内部隐藏实验线管及通风管道，方便检修。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2、市电AC220V/3A输出为2个五孔插座，尺寸≥92*152mm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42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铝合金万向罩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1、关节：高密度PP材质表面磨砂，可360°旋转调节。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2、关节密封圈：高密度橡胶。在关节之间随着旋钮压力加大而产生阻尼效果。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3、关节连接杆：304不锈钢双头连接杆。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4、关节盖：高密度PP材质表面磨砂，组合式安装拆装方便。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5、关节松紧选钮：高密度PP材质，调节旋流可以调节关节旋转扭矩。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6、铝合金万向罩口：直径不小于230mm，高密度铝合金制成，防止实验时的火焰使其燃烧。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7、导管：4节直径不小于55mm的抗氧化抗腐蚀的镁硅铝合金，表面做特氟龙表面处理，耐酸、耐碱、耐划痕。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8、旋转关节：采用抗氧化抗腐蚀的镁硅铝合金，和铝合金万向罩口连接的导管设计旋转功能。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9、扭簧：使用90度的4mm专用弹簧钢抗氧化处理，防止吸风罩自重导致导管下滑。</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万向吸风罩底座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钢制固定底座，抗氧化抗腐蚀的镁硅铝合金方管，根据不同的组合方式可选择丝口和挂口结构，拆装方便。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5、内置无线充电模块，实现无线快充。</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6、传感器具有数字标识码，能够使数据终端进行选择性连接。</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5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71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测量范围1： 0mS/cm～20mS/cm，自动切换量程； 分辨率 ：≤0.01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测量范围2： 0mS/cm～2mS/cm，分辨率 ：≤0.001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测量范围3： 0mS/cm～200μS/cm, 分辨率 ：≤0.1 μS/cm；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电导率电极匹配连接使用。内含电导率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37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测量范围：pH值：0～14，分辨率 ：≤0.01，精度：≤±2%F.S。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pH电极匹配连接使用。内含pH复合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切换pH或者pH电压值；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pH强酸强碱电极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玻璃pH污水复合电极，可填充型 ，用途：常规实验室使用；适用于强酸强碱的水溶液的测试；可以测试含有粘性物质，有机介质等溶液的测试；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pH纯水电极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玻璃pH纯水复合电极，可填充型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用途：低电导溶液或纯水的测试；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计数能力≥20次/秒，液滴直径≥2mm；测量液滴计数，小颗粒物体计数（直径≥2mm）全窗口检测区域≥20mmX15mm，在区域内无需对准某个固定位置，可以任意调整位置。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上下为白色一体成型，侧面内嵌Type-C数据传输及充电通用接口（含硅胶塞防水设计）、开关机按键、开始/停止采集按键；正面顶部配有M6的内嵌螺丝孔，与配套手拧螺丝配合实现与圆杆或铁架台等固定装置固定进行实验；上部为一体成型屏框内嵌1块≥0.91英寸彩色横屏，屏框下部有开机状态显示灯，电源指示灯、充电/充满状态灯、drop灯（检测状态灯）、蓝牙指示灯；一体成型白色底壳印有产品名称型号等信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1、显示屏：≥0.91英寸；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4、内置≥8路红外液滴检测电路。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3、能够智能低功耗待机，能够实现待机休眠、智能关机；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4、能够实现脱机实验 、无线实验、usb线连实验三种实验模式。脱机实验模式为传感器可以直接采集实验数据并通过内置彩屏实时显示实验数据或曲线；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由两通阀*2 ，1.6mm鲁尔滴头，60ml储液器*1，固定夹*1。双两通阀能够分别实现速度调整和液体开关功能，方便实验操作。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测量范围：≥0ppm～100000ppm；分辨率 ：≤1ppm。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二氧化碳探头，探头长度≥70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上“、“确认”）相对应，能够实现菜单功能选择；量程切换，切换pH或者pH电压值；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08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测量范围：0～100％；分辨率 ：≤0.1%。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w:t>
            </w:r>
            <w:r>
              <w:rPr>
                <w:rFonts w:hint="eastAsia" w:ascii="宋体" w:hAnsi="宋体" w:cs="微软雅黑"/>
                <w:color w:val="auto"/>
                <w:szCs w:val="21"/>
                <w:highlight w:val="none"/>
                <w:lang w:bidi="ar"/>
              </w:rPr>
              <w:t xml:space="preserve">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3.5mm数据传输接口，通过数据连接线（长度≥500mm）与氧气探头连接，方便更换氧气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校准”、“HOLD”功能快捷键分别与2个深灰色圆形硬件功能按键（“菜单”、"下“、“确认”）相对应，能够实现菜单功能选择；校准传感器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1、测量范围：≥-20V～+20V，分辨率 ：≤0.01V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2、测量范围：≥-5V～+5V，分辨率：≤0.001V；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3、测量范围：≥-500mV～+500mV，分辨率：≤0.1mV。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24Bit高精度高速采样,精度：≤±0.5%F.S。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1、测量范围：≥-3A～3A，分辨率 ：≤0.01A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2、测量范围：≥-500mA～500mA，分辨率：≤0.1mA；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3、测量范围：≥--20mA～+20mA，分辨率：≤0.01mA。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3A、±500mA、±20mA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1、测量范围：溶解氧≥ 0 mg/L～20mg/L， 分辨率 ：≤0.1mg/L；气中氧：0 ～100%，分辨率：≤0.1%；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2、测量范围：温度 ≥ 0～50℃，分辨率 ：≤0.10.1℃。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自动温度补偿；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荧光检测技术，不用填充电极缓冲液。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4芯航空接口与溶解氧电极连接使用。内含溶解氧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显示溶解氧或温度数值；实验数据锁存保持功能。可以通过内置菜单设置显示小数位数，校准溶解氧数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11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 4.4ppm～1800ppm， 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二氧化碳原电极匹配连接使用。内含二氧化碳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无线彩屏温湿度二合一传感器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1、测量范围：0～100%；分辨率 ≤0.1%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2、测量范围：≥-40ºC～125ºC，分辨率≤0.1ºC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温湿度探头，探头长度≥100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切换温度/湿度数字显示；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开标时需提供实物样品。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无线彩屏通用离子传感器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1、测量范围电压：≥-1000mV～+1000mV ，分辨率：≤0.1mV，精度：≤±1%F.S；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2、测量范围氯离子：≥1.8ppm～35500ppm，分辨率：≤0.1ppm；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3、测量范围钠离子：≥0.02ppm～23000ppm，分辨率：≤0.1ppm；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4、测量范围钾离子：≥0.04ppm～39000ppm，分辨率：≤0.1ppm；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5、测量范围钙离子：≥0.02ppm～40100ppm，分辨率：≤0.1ppm；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6、测量范围亚硝酸根离子：≥4.6ppm～4600ppm，分辨率：≤0.1ppm；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7、测量范围碳酸根离子：≥4.4ppm～440ppm，分辨率：≤0.1ppm；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8、测量范围硝酸根离子：≥0.6～6200ppm ，分辨率：≤0.1ppm；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9、测量范围铵根离子：≥0.1～1700ppm，分辨率：≤0.1ppm。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通过设置量程自动适配电极参数，显示实验数据。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BNC连接器，可以连接适配多种离子电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调零”、“HOLD”功能快捷键分别与4个深灰色圆形硬件功能按键（“菜单”、“上”、“下”、“确认”）相对应，能够实现菜单功能选择；模式：实现量程切换：电压、氯离子、钠离子、钾离子、钙离子、亚硝酸根离子、碳酸根离子、硝酸根离子、铵根离子；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多用途生化传感器支架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机械臂、传感器电极夹及固定夹组成，机械臂固定在实验台边，能在三维空间内灵活移动并准确定位，稳定性好；电极夹口径适合常用生化传感器的电极，方便生化实验操作，具有保护传感器不受损坏、提高空间利用率和实验效率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1.使用温度：室温-300摄氏度，显示分辨率：≤0.1℃，温控精度：≤1℃，转速控制分辨率：≤10rpm；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2.转速：200-1500rpm，加热功率300w，电压100-230V；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3.盘面尺寸：约140mm，外尺寸：约250*150*95mm。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无线色度传感器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1、测量范围：透光率（6通道）：0～100% ，分辨率≤0.02%；</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2、测量范围：吸光度（6通道）≤0～3；</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通道数：≥6通道 ：450 nm (紫色 )，500nm (蓝色 )，550 nm（绿色），570nm (黄色 )，600 nm (橙色 )，650 nm ( 红色)。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结构；上下为白色一体成型，顶部内嵌Type-C数据传输及充电通用接口；正面中心配有标准比色皿孔，翻盖后可放入标准比色皿，合盖后可实现无光源污染实验；正面两侧有充电状态指示灯、蓝牙指示灯；正面下方标有产品唯一识别蓝牙码；一体成型白色底壳印有产品名称型号等信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1、轻触开关2秒即开关机，开机后蓝牙指示灯闪烁；智能节能管理：充电时红灯亮，充满时自动停止充电且绿灯亮，实现节能；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2、能够智能低功耗待机，能够实现待机休眠、智能关机；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79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无线浊度传感器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测量范围：≥0～400NTU，分辨率≤0.1NUT；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结构；上下为白色一体成型，顶部内嵌Type-C数据传输及充电通用接口；正面中心配有标准比色皿孔，翻盖后可放入标准比色皿，合盖后可实现无光源污染实验；正面两侧有充电状态指示灯、蓝牙指示灯；正面下方标有产品唯一识别蓝牙码；一体成型白色底壳印有产品名称型号等信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1、轻触开关2秒即开关机，开机后蓝牙指示灯闪烁；智能节能管理：充电时红灯亮，充满时自动停止充电且绿灯亮，实现节能；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2、能够智能低功耗待机，能够实现待机休眠、智能关机；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69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数字化实验室数据采集系统，主要实现传感器数据采集、数据分析处理，数据存储等多功能的实验教学系统平台。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一、系统环境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（1）支持台式机、笔记本、智慧黑板、平板等多种终端平台；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（2）支持Windows、Androd、 macOS、iOS、HarmonyOS、KylinOS和UOS等国产系统;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二、系统结构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（1）实验结构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系统包含通用软件、专用软件，通用软件能够自由设置根据需求灵活设置实验参数，如采集速率，图线参数，变量及公式等。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专用软件根据教材，不用设置打开软件就能开始实验；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专用软件多种分类形式。方面查找实验；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可以按教材划分；按年级（小学、初中、高中）划分；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按学科（物理、化学、生物、科学、地理）划分；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按教学对象（学生分组、教师演示、创新案例）划分；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教师自定义模版创建与管理（按年级、学科、教学对象)划分；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系统按多文档布局结构。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可选页面布局（≥16个）；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每个实验可以创建多个实验页（≥5个）；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每页可以设置多个模块组合（≥3个）；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系统可添加模块≥5个，如图形模块、表格模块、数字模块、仪表盘模块、示波器模块、柱状图模块、文本模块、图像模块；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三、功能模块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（1）、数据通信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实现无线、有线传感自动搜索识别传感器、配置传感器，离线数据采集；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支持手动采集/自动周期采集，可以设置采集频率；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支持定时实验，支持阙值开始/停止实验；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支持多设备相同速率/不同速率实验；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支持设备离线采集设置；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支持传感器量程切换、校准、调零、正负号。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（3）、数据量设置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传感器自动变量、可以设置数据变量、数据公式、数据常量；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实验运行，变量公式实现自动计算；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数据量可以设置小数位数、单位、手动变量支持数据保护避免重复输入或误删；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公式支持常规数学函数计算和三角函数计算，至少包含如下常用计算公式：+、-、x、/、幂运行、指数运算、对数运算、正弦、余弦、正切、反正弦、反余弦、反正切等。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（4）、数据显示功能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显示形式：图形、表格、仪表盘、示波器、数字、文本、图片；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图线可以（拖动或滚轮）任意调整放大缩小；可以区域放大；锁存坐标轴等、设置显示形式：点、线、颜色等；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图形数据曲线根据实验数据可以自动适应调整显示；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每个图形模块可以设置多区域显示：≥4个区域，同时采集≥4个纵轴变量与横轴变量的实时曲线。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每个图形模块可以设置多纵轴显示：≥4个纵轴变量，同时采集≥4个纵轴变量与横轴变量的实时曲线。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多实验记录显示：图线可以显示多次实验数据，每次实验数据曲线有相应的标识、可以任意显示某次实验数据或曲线、也可以显示多次实验数据进行对比分析。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（5）、数据分析功能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（6）、数据表格功能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表格可以选中行列操作、增加列、删除指定列、删除指定行（手动实验）、统计工具（最大、最小、平均、标准、计数）、下载导出表格数据；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（7）、数据存储功能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实验实时存储数据、可随时调取历史运行数据；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实验可以保存实验模板（参数）页可以保存实验（参数及数据）；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存储实验可以任意拷贝、打开分析。也可把多页实验页存储成实验报告文档。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（8）、视频功能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实验录屏功能和摄像头及桌面捕捉录制并保存视频格式，方便回放实验操作、分析指导实验。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（9）、AI智能辅助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内嵌AI智能助手，自动捕捉实验数据或图线利用AI平台大数据对实验操数据进行分析处理、提出问题及指导。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（10）、智能帮助及系统升级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实验模版点击帮助可查看实验视频；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查看软件操作指南视频；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传感器固件及软件版本更新，自动提醒用户更新终生免费升级。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65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54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测量范围1： 0mS/cm～20mS/cm，自动切换量程； 分辨率 ：≤0.01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测量范围2： 0mS/cm～2mS/cm，分辨率 ：≤0.001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测量范围3： 0mS/cm～200μS/cm, 分辨率 ：≤0.1 μS/cm；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电导率电极匹配连接使用。内含电导率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31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测量范围：pH值：0～14，分辨率 ：≤0.01，精度：≤±2%F.S。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pH电极匹配连接使用。内含pH复合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切换pH或者pH电压值；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计数能力≥20次/秒，液滴直径≥2mm；测量液滴计数，小颗粒物体计数（直径≥2mm）全窗口检测区域≥20mmX15mm，在区域内无需对准某个固定位置，可以任意调整位置。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上下为白色一体成型，侧面内嵌Type-C数据传输及充电通用接口（含硅胶塞防水设计）、开关机按键、开始/停止采集按键；正面顶部配有M6的内嵌螺丝孔，与配套手拧螺丝配合实现与圆杆或铁架台等固定装置固定进行实验；上部为一体成型屏框内嵌1块≥0.91英寸彩色横屏，屏框下部有开机状态显示灯，电源指示灯、充电/充满状态灯、drop灯（检测状态灯）、蓝牙指示灯；一体成型白色底壳印有产品名称型号等信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1、显示屏：≥0.91英寸；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4、内置≥8路红外液滴检测电路。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3、能够智能低功耗待机，能够实现待机休眠、智能关机；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4、能够实现脱机实验 、无线实验、usb线连实验三种实验模式。脱机实验模式为传感器可以直接采集实验数据并通过内置彩屏实时显示实验数据或曲线；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由两通阀*2 ，1.6mm鲁尔滴头，60ml储液器*1，固定夹*1。双两通阀能够分别实现速度调整和液体开关功能，方便实验操作。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测量范围：≥0ppm～100000ppm；分辨率 ：≤1ppm。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二氧化碳探头，探头长度≥70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上“、“确认”）相对应，能够实现菜单功能选择；量程切换，切换pH或者pH电压值；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09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测量范围：0～100％；分辨率 ：≤0.1%。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w:t>
            </w:r>
            <w:r>
              <w:rPr>
                <w:rFonts w:hint="eastAsia" w:ascii="宋体" w:hAnsi="宋体" w:cs="微软雅黑"/>
                <w:color w:val="auto"/>
                <w:szCs w:val="21"/>
                <w:highlight w:val="none"/>
                <w:lang w:bidi="ar"/>
              </w:rPr>
              <w:t xml:space="preserve">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3.5mm数据传输接口，通过数据连接线（长度≥500mm）与氧气探头连接，方便更换氧气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校准”、“HOLD”功能快捷键分别与2个深灰色圆形硬件功能按键（“菜单”、"下“、“确认”）相对应，能够实现菜单功能选择；校准传感器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1、测量范围：≥-20V～+20V，分辨率 ：≤0.01V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2、测量范围：≥-5V～+5V，分辨率：≤0.001V；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3、测量范围：≥-500mV～+500mV，分辨率：≤0.1mV。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24Bit高精度高速采样,精度：≤±0.5%F.S。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1、测量范围：≥-3A～3A，分辨率 ：≤0.01A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2、测量范围：≥-500mA～500mA，分辨率：≤0.1mA；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3、测量范围：≥--20mA～+20mA，分辨率：≤0.01mA。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3A、±500mA、±20mA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1.使用温度：室温-300摄氏度，显示分辨率：≤0.1℃，温控精度：≤1℃，转速控制分辨率：≤10rpm；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2.转速：200-1500rpm，加热功率300w，电压100-230V；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3.盘面尺寸：约140mm，外尺寸：约250*150*95mm。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508"/>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集成式数据处理终端，可实现传感器数据采集、分析处理及存储等多功能的实验教学系统平台。</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系统平台核心应用功能：</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1.系统兼容：微软、安卓、鸿蒙等，未来可升级为兼容国产操作系统。</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2.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3.数据来源：包括传感器数据、输入数据、自带常量、计算数据；可设置多区域多Y轴/X轴，便于实验数据对比分析。</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4.数据处理：包括图线处理与表格处理，图线处理-支持多种函数的拟合（显示拟合函数表达式）、积分、最大值、最小值、平均值，同时可以显示任意点的坐标、斜率；表格处理-支持多种数据的最大值、最小值、平均值、标准偏差，同时通过公式建立变量之间的关系；</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5.实验模板：内置实验模板，依照教材顺序进行选择实验，适合入门用户；可生成自建模板并进行系统化管理；同时允许熟练用户根据需求自定义模板。含有物理、化学、生物、科学、地理等课标实验及拓展实验。</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6.智能管理：打开电源的传感器且自动搜索，按距离排序，支持通过识别码选择性连接。传感器单位转换、实验报告编写与生成、数据表格导出及界面截图。</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7.更新提示：软件版本更新时，自动提醒用户并支持在线升级。</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8.在线帮助：每个实验中可点击帮助，查看实验视频，内置软件使用指南及实验视频操作。</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9.兼容实验：集通用软件、专用软件、测试软件及理化生软件功能于一体，生成一个桌面快捷方式，无需额外软件，全面适用于项目所有数字化产品的软件。</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终端硬件性能配置标准：</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1、显示屏：屏幕尺寸≥ 14 英寸，FHD 全高清分辨率（≥1920×1080），IPS 液晶显示面板，集成式处理方式。</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2、处理器：核心线程≥6 核 12 线程、最大睿频：≥4.6GHz。</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3、内存：≥16GB 。</w:t>
            </w:r>
            <w:r/>
          </w:p>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4、存储：≥512GB 固态硬盘。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2、柜体：全钢结构，采用≥1.0mm高强度镀锌钢板，切割折弯成型，组件焊接工艺，打磨平整，表面经环氧树脂喷涂处理；整体结构设计合理，预留电脑主机、键盘托、实物展台、教师电源安装位置。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演示通风柜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1200*850*2100mm；2、通风柜外壳采用厚≥1.0mm优质冷轧钢板冲压成型制作，表面经耐酸碱环氧树脂喷涂处理；3、柜体采用三段组合式柜体，上部柜体三面为厚度≥12mm热弯整块玻璃，视线无任何遮挡，实验时学生全方位观看柜内操作过程。中间为操作台面。下部柜体，内含单侧独立抽气式组成柜及另侧独立水、电、气体管线系统容纳柜；4、台面采用≥12mm厚实芯理化板，边缘呈圆弧形；5、照明采用≥30W日光灯，并设有约5</w:t>
            </w:r>
            <w:r>
              <w:rPr>
                <w:rFonts w:hint="eastAsia" w:ascii="宋体" w:hAnsi="宋体" w:cs="微软雅黑"/>
                <w:color w:val="auto"/>
                <w:szCs w:val="21"/>
                <w:highlight w:val="none"/>
                <w:lang w:bidi="ar"/>
              </w:rPr>
              <w:t xml:space="preserve">mm厚磨沙玻璃；6、拉手采用ABS注塑；7、顶部气流板采用约5mm厚抗倍特板，安装位置与角度需使排气分布均匀，无死角，在标准状况下，导流板上方与中、下方出风口排风量比例各约50±10%，以确保不同比重之气体均能有效排除，另并具手动可调排风量比例设计，可提高中、下方出风口排风量比例至80%以上；8、化验水斗采用PP制作，耐酸碱一体成型小水杯；9、化验水咀采用实验室专用单口烤漆水咀；10、窗口采用约5mm厚的钢化防暴玻璃，内部采用垂体平衡装置，可以停留在上下任何位置；11、标配3个220V/10A国标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36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落地式紧急冲淋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1、紧急冲淋洗眼装置的关节采用插拔式的连接方式。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2、主体、冲淋阀、洗眼阀、洗眼盆、拉手、推手和脚踏等部件均采用卫生级304不锈钢无缝钢管，镍含量超过8%，耐腐蚀性能出众。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3、采用冷轧工艺生产，不易变形，同时管壁光滑无油脂，经久耐用。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4、洗眼喷头内置减压装置，防止对眼睛二次伤害；配置水压调节系统来适应不同场所的水压。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5、冲淋球阀和洗眼球阀均采用双片式阀门结构，密封性和抗压性能更好，使用寿命更长。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6、阀门管道采用由任（即活接头）的管道连接设计，使维修保养费用极低，避免了由于阀门或部件损坏后无法更换而导致整个洗眼器报废的情况。</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1、台面：采用≥12.7mm厚实芯理化板制作，切割处正反面去毛刺切口打磨平整。表面有良好的耐腐蚀性及具有良好的承重性能，台面工作尺寸≥1200*600mm；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2、左右两侧及后围边采用铝合金材质，高于台面≥36mm，其中左右两侧围边长度≥317mm；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3、台面下两侧主体支撑采用高强度铝合金一体压铸成型，成型尺寸≥587*88*90，壁厚≥2.5mm 中间设置三根铝合金横梁尺寸分别为：前 后 中；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4、主立柱采用拉伸铝合金一体成型，成型尺寸≥100*44*710mm，下两侧支撑脚采用高强度铝合金一体压铸成型，成型尺寸≥527*56*95mm ，桌侧脚预留专用孔位可与地面固定，孔上采用塑料配色装饰件装饰，金属表面均经环氧树脂粉末喷涂高温固化处理，耐酸碱、耐腐蚀。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规格：≥450*600*800mm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水槽为整体模具一体成型，尺寸≥450*600*250，并设有溢水口，底部带S弯防臭设计，与地面下水管密封连接。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配套水槽安装，PP材质，耐用易安装拆卸。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尺寸≥360*245*735mm，整体采用实验室专用PP材质，四周圆弧处理，前后二块拼接而成，可拆装，内部隐藏实验线管及通风管道，方便检修。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2、市电AC220V/3A输出为2个五孔插座，尺寸≥92*152mm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铝合金万向罩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1、关节：高密度PP材质表面磨砂，可360°旋转调节。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2、关节密封圈：高密度橡胶。在关节之间随着旋钮压力加大而产生阻尼效果。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3、关节连接杆：304不锈钢双头连接杆。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4、关节盖：高密度PP材质表面磨砂，组合式安装拆装方便。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5、关节松紧选钮：高密度PP材质，调节旋流可以调节关节旋转扭矩。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6、铝合金万向罩口：直径不小于230mm，高密度铝合金制成，防止实验时的火焰使其燃烧。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7、导管：4节直径不小于55mm的抗氧化抗腐蚀的镁硅铝合金，表面做特氟龙表面处理，耐酸、耐碱、耐划痕。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8、旋转关节：采用抗氧化抗腐蚀的镁硅铝合金，和铝合金万向罩口连接的导管设计旋转功能。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9、扭簧：使用90度的4mm专用弹簧钢抗氧化处理，防止吸风罩自重导致导管下滑。</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万向吸风罩底座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钢制固定底座，抗氧化抗腐蚀的镁硅铝合金方管，根据不同的组合方式可选择丝口和挂口结构，拆装方便。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51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规格：≥3000*1200*800mm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采用≥12.7mm厚实验室专用理化板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22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规格：≥2200*300*750mm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1、铝合金结构，表面喷涂高温固化匀乳白环氧树脂喷涂理处理，具有较强的耐蚀性能，上下带塑胶模具堵头；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2、试剂架立柱截面尺寸：42mm*82mm,型材壁厚1.2mm；试剂架立柱双面升降槽，侧面双面镶嵌另色色条；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3、试剂架托架≥1.0mm高强度镀锌钢板，一次性冲压成型；试剂架护栏：护栏壁厚≥1.2mm，单面镶嵌另色色条。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4、立杆牢固固定于C型钢架底端，层板采用≥8mm厚的玻璃，安装后用户可根据试剂大小上下高低无级调节。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49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通风柜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规格：≥1500*850*2350mm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1、结构组合：采用三段组合式柜体，上部柜体（通风柜），中间（操作台面），下部柜体（独立水、电、气体管线系统容纳柜设计）。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2、外壳：全钢结构，采用≥1.0mm高强度镀锌钢板，表面经环氧树脂喷涂处理。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3、内壳：采用≥5mm厚耐酸碱、耐高温的抗倍特板制作。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5、照明：采用≥30W日光灯，并设有5mm厚磨沙玻璃。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6、移门拉手：采用铝合金一字拉手。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7、气流板：采用≥5mm厚抗倍特板，安装位置与角度满足排气顺畅。</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8、化验水斗：采用PP制作，耐酸碱一体成型小水杯。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9、化验水咀：采用实验室专用单口烤漆水咀。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10、窗口：采用≥6mm厚的防爆钢化玻璃。内部采用垂体平衡装置，可以停留在上下任何位置。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风机及附件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1.通风风机：110W轴流风机。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2.安装辅件及标准化安装：含固定支架、连接管、耗材等。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根据设计要求进行相关的电路接线。室内地面面积约35平方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根据设计要求进行相关的水路管路接线。室内地面面积约35平方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药品柜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化学药品室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药品柜风管支路安装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标准化安装，含安装所需附件。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化学药品室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实验室废水综合处理设备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一、基础性能：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日处理量≥2吨；尺寸≥1700*850*1900mm；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该设备用于对实验室所产生的实验室综合废水（包括实验室排出的少量药品、化学试剂、试液、残留试剂、容器洗涤、仪器清洗等）进行全自动处理，处理达标后自动排入市政排污管道。电源输入：220V，功率：≤3.95kw；</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设备反应池采用PP材质焊接一体成型；PP板密度≥0.9g/cm³，符合GB/T1033.1-2008《塑料.非泡沫塑料密度的测定，第一部分：浸渍法，液体比重瓶法和滴定法》的要求；拉伸屈服应力≥30Mpa；弯曲模量≥1000Mpa；冲击强度：测试条件23℃下≥25 kJ/m²；耐酸碱性能：10%盐酸，10%氢氧化钠，24h，无明显变色、溶胀、开裂；（</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3.设备采用金属外壳，做防腐蚀喷涂处理，漆膜理化性能（耐冲击）：在温度15-35℃，大气压力86-106Kpa，撞击能力1J条件下，冲击高度≥（3次）100cm，漆膜表面无裂痕、无剥落、无裂纹；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4.设备为室外机，防雨防晒，内部含保温；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二、系统工作原理及技术要求：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 主要处理实验室废水有害物质的种类：无机物类、有机物类、生物类废水等；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全流程深度处理工艺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采用废水收集→pH 精准调节→重金属捕捉→光催化氧化→絮凝沉淀→高级氧化→多介质过滤→新型微滤装置→杀菌消毒一体化闭环处理工艺，污染物去除彻底、出水稳定达标。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出水水质标准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经系统处理后，废水可直接排入市政污水管网，满足城市污水排放及生态环保要求。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 智能液位自动控制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搭载高精度液位传感模块，自动控制进水泵及整机运行，实现无人值守、按需启停。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 在线 pH 智能调控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配置工业级在线 pH 监测仪表，支持迟滞量自定义设置，自动控制加药泵启停与投加速率，实现酸碱度精准调节。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 重金属螯合与混凝沉降系统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采用新型环保高效重金属螯合剂及助凝剂，高效去除重金属、胶体、悬浮物等污染物，处理效果稳定可靠。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 高级氧化装置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采用臭氧高级氧化技术，实现消毒、脱色、除异味、降解酚 / 氰类物质、去除铁锰离子等多重功效。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 光催化氧化装置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利用紫外光催化氧化作用，高效去除水体异味、微生物、胶体、色素及小分子有机污染物，显著提升出水品质。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 多介质复合过滤系统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多级复合过滤单元，深度去除悬浮物、胶体、残留重金属及细菌、病毒，保障出水清澈安全。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10.新型微滤装置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深度净化，进一步过滤实验废液里的蛋白胶体、有机大分子絮团、乳化杂质等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11.杀菌消毒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杀灭或清除废水中的的病原微生物（细菌、病毒、真菌等）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三、智能化控制系统：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1.全天候全自动运行：PLC触摸屏控制，设备具备全自动启停、自适应运行功能，无需人工定时开关机，可匹配实验室加班及非工作时段运行需求，24 小时稳定运行。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2.手动维护与校准功能：支持手动模式下设备清洗、参数校正、单元调试，便于日常维护、检修与精度校准。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3.在线监测系统:可实时监测污废水处理过程当中的PH,进水流量等各项指标，实时监测设备运行状态。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四、设备性能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1.用电安全：耐压试验：动力电路导线和保护联结电路之间至少1s时间，施加1000V，不应出现击穿放电现象；外壳刚性满足静态：30N力通过 12mm硬棒施加，动态：5J能量钢球撞击后无裂纹</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2.活性炭吸附性能：碘吸附值≥1000mg/g，活性炭灰分≤1.0%，四氯化碳吸附率≥80%，比表面积≥1200㎡/g，强度≥90%</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3.设备出厂需做防渗漏试验，设备箱体内盛满水并静置24h后，无渗漏现象</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废液处理设备</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刀口式，材质为不锈钢管、钢管或黄铜管，每组不少于 4 支，外径分别为 9 mm、8 mm、7 mm、6 mm，并配一支带柄金属通扦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打孔夹板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具有足够强度，正常情况下使用不断裂。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打孔器刮刀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1.由壳体及油石组成。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2.打孔器刮刀装配牢固，无松动现象。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手摇钻孔器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1.组成：仪器由旋转立柱、夹持固定装置、刀头及捅条组成。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2.刀口锋利，无卷边。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600 mm×400 mm×800 mm，不锈钢材质，至少两层，总载重≥60 kg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0r/min～3000r/min，10mL×6</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.使用电源： AC 220V±22V  50Hz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2.能够搅拌1000 ml 玻璃烧杯中的实验物质。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3.搅拌时噪声不大于55 dB（A）。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4.最大搅拌量1L，搅拌速度0rpm～1200rpm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坐式，铜制，壶体容积≥300 mL，火焰高度为 150 mm～180 mm，火焰温度为 960 ℃±60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电加热器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工作电压：220V±20V，功率：1000W。</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1、外壳采用优质冷轧板，外表喷塑，内室采用优质冷轧板或不锈钢薄板制作。自然对流通风式结构，设有观察窗。控温装置为电调式温度自动控制仪或数显电子控温仪。传感器采用热敏电阻或铂电阻。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2、工作室尺寸约360mm*320mm*300mm，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3、控温范围：室温+3℃-200℃，1.5 级（温度均匀性 为≤±0.03 ℃，温度波动性为≤1.5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4、电源：220V 50Hz。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水浴锅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容积约1000ml，盖子由从小到大的五层圈组成。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保温漏斗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1.材质：≥0.5mm厚的铜皮；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2.由分漏斗体，漏斗颈，加热头三部分组成，带有手柄。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试剂瓶托盘</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1、尺寸370mm×250mm×65mm，一盘内可同时放小试剂瓶约30个。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2、材质为耐酸碱塑料注塑成型，化学稳定性好，防腐蚀；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可固定试管、试剂瓶等仪器。435*300*112mm，附手柄，中间隔开，两边尺寸435*130*112mm，中间九个可以固定试管的孔径15-23mm。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1.半透明塑料注塑成型。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2.外形尺寸：约250mm×180mm×100mm。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1、由玻璃密封管体和手柄组成，管体和手柄彼此独立，不连通。管的高度≥45mm，直径≥30mm。管内密封碘的质量≥0.1克。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2、手柄长≥70mm，直径为Φ6±1mm。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3、管体外形端正，玻璃熔接平滑均匀，无气泡、无条纹。管体在90℃热水中检测无泄漏（无气泡溢出）。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4、管体耐80℃温差的急冷骤热。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5、升华与凝华的全过程耗时≤2分钟。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聚光小手电筒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1.手提，可充电式，塑料外壳。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2.前灯一个为圆形，直径55mm；侧灯12个为长方形；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3.尺寸：约60mm×20mm。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万能夹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1.由夹杆、夹头组成。夹头分三爪，铝合金压铸成夹叉形，夹口为张紧螺丝张口，双向紧固，每一夹叉上均粘接软木底垫。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2.上下夹口转动灵活自如，最大开口≥40mm，夹杆Φ7mm。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1.由铁环和3只脚组成；2.铁环内径：74mm，外径：90mm，高：130mm。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泥三角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由金属丝和套在其上的石棉筒组成。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金属丝用Φ约2㎜的钢丝接成等边三角形，三角形的单边长≥80㎜，钢丝接头绞合，绞合长度≥20㎜。</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石棉筒内径约为Φ4mm，外径约为Φ10mm。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 金属丝作防锈处理。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1.木质，由顶板、底板、插杆组成，6孔、6柱；</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2.顶板外形尺寸：约240×35×4.5（mm），6孔分布均匀，孔径约21mm；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3.底板外形尺寸：约240×70×5（mm），底板6个凹槽与顶板6孔同心，孔深约2mm；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4.插杆为长约60mm，与底板孔对应成排。</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木质两孔漏斗架。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1、底座台面为大理石或人造石；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2、立柱由约Φ10mm圆钢制成，表面镀铬，置于工作台面上与台面垂直≤5°；</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3、底座四脚有橡胶垫脚，放置平衡不晃动。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1、塑料制，外形光滑美观。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2、固定支杆为M5螺丝，滴管夹子弹性强，夹持牢固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多用滴管架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由ABS塑料组成。由上架板、中架板、下架板和两块侧板粘接而成。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1.梯形8孔，采用厚度约3mm的有机玻璃制成；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2.规格：约220×110×205mm。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比色管架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塑料制，6孔</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交流：2V～16V/3A，每2V一档    直流稳压：2V～16V/2A，每2V一档</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交流：2V～24V，每2V一档，2V～6V/12A，8V～12V/6A，14V～24V/3A；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直流稳压：1V～25V分档连续可调，2V～6V/6A，8V～12V/4A，14V～24V/2A；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40A、8s自动关断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1.最大称量100g，分度值0.1g,标尺称量0-10g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2.秤量允许误差为±0.5d(分度值)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3.含砝码5个（10g、20g*2、50g*2、）和镊子一个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1.最大称量500g，分度值0.5g，标尺称量0-5g；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2.秤量允许误差为0.5d（分度值）；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3.砝码组合的总质量（包括标尺计量值）为天平的最大秤量。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称重范围0-100g，读数精度100mg，电源220V/50Hz。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最大称量200g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实际分度值0.001g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重复性（≤g）±0.001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最大允许误差（≤g）±0.002</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1.最大称量：400g，读数精度0.1g；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2.电源220V/50hz。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1.教学用电子秒表，具有秒表（最小读数1/10秒）、定时器、节拍器、时钟和定时闹响功能。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2.以扣式电池为能源的液晶数字式石英秒表。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3.秒表在工作温度为-5~+50℃内各功能应显示完整、正常。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4.按钮工作灵活可靠，手感或声感与按钮同步，不发生误动作，且按钮使用寿命不少于20000次。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6.标准配置中包含标称工作电压的新扣式电池，电池更换周期大于一年。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红液，0℃～100℃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水银，0℃～360℃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量程-30 ℃～200 ℃，分辨力 0.1 ℃。不接电脑， 可独立运行，自带显示屏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多用电表（47型）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指针式电表，不低于2.5级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2.5级，检流，按照教育部理科实验室装备标准配备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密度计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1.量程：＜1 g/cm3；</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2.材质：无铅玻璃。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密度计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1.量程：＞1 g/cm3；</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2.材质：无铅玻璃。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1.测量范围：0～14.0pH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2.准确度：0.1pH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包括缸体、带固定接线柱和电极夹的缸体盖板、铜电极板、锌电极板、铁电极板、碳棒、发光二极管、导线等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贮气装置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1、由出水管、贮水室、导气阀、贮气室、底座、乳胶管等组成，贮气装置用优质透明塑料和ABS工程塑料注塑成型。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2、贮气装置外形尺寸：直径约160mm,高约200mm，表面标有刻度线，最小刻度200mL，容量约3000mL。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3、各焊接部位牢固、密封、无漏气现象。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4、本装置有效贮气容量大于0.5L。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1.由演示板、溶液盒5套等组成，演示板采用塑料注塑成型，板上印有线路图，安装有5个6.2V的灯泡、开关、指示灯及10个接线柱。</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2.溶液盒5套，盒体采用透明塑料注塑成型，表面光洁透明，溶液盒盖采用橡胶压制而成，盖上安装石墨碳棒电极两根，外接导线及接线叉。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3.供电DC6Ｖ。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4.可同时进行五组演示实验。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中和热测定仪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又称简易量热计，包括反应容器、温度计、环形玻璃搅拌棒</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化学实验废液处理装置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不小于20升/次，无极变速双搅拌，附循环泵</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氢燃料电池演示器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两个质子交换膜电极，膜电极不小于33mm×33mm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氢燃料电池实验器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一个质子交换膜电极，膜电极不小于15mm×15mm，带电流、电压表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电解槽演示器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1.主要由阳极（钛钌铂等贵重金属）、阴极（铂金）、离子交换膜、槽体及底座组成。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2.槽体采用透明塑料制成。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电泳演示器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1.由底座电源装置，U形管、电极插座和开关等组成。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2.主要技术参数：输入电压：AC12V；输出电压≥120V；输出电流80mA。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丁达尔现象实验器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1、由盒体，电池盒，集光电珠，方形试管等组成。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2、盒体呈长方形，装有集光电珠的电池盒可以沿盒槽上下移动。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3、通过盒体前端的观察窗，就能看见胶体的丁达尔现象。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二氧化氮球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玻璃制品，双球，成U型，内封NO2和N2O4。</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产品结构：由底座、闪光装置、安全防护罩、手控按钮、开关、指示灯，能演示甲烷与氯气的反应</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模型高度≥650 mm。主要结构应用标签注明，标注应准确、清晰、牢固。各部件位置正确、连接牢固，不得因正常震动、碰触而开裂、松脱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1.球棍式，分组用。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2.包含：直径约30mm的氢（20个），直径约40mm的碳（三种）、氧（三种）和氮，直径约50mm的氯和溴，长约10mm的比例键45个。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碳原子：Φ 30 mm 的 4 孔黑色塑料球 30 个；化学键：Φ 3 mm×35 mm 镀镍金属杆 40 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碳原子：Φ 30 mm 的 5 孔黑色塑料球 39 个；化学键：Φ 3 mm×50 mm 镀镍金属杆 45 根，Φ 3 mm×90 mm 镀镍金属杆 14 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碳-60结构模型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由约Ø23mm的黑色塑料球60个、管状塑料约Ø5mm×25mm单键（黄色）60根、管状塑料约Ø5mm×35mm双键（绿色）30根组成。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1.全塑料制，演示用，由Φ30mm的氯原子13个、钠原子14个、长键54根组成。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2.氯原子为绿色、钠原子为灰色。长约60mm。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1.含氯原子1个，直径约30mm（8孔）绿色球；铯原子8个直径约30mm（4孔）红色球；长键12根，长约110mm;短键8根，长约90mm；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2.连接键由金属制成，表面电镀处理。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1.含碳原子14个（6孔6个和8孔8个）黑色球，直径约30mm；氧原子28个，蓝色球，直径约30mm；短键14根，长约60mm,；中键24根，长约90mm；长键12根，长约130mm;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2.连接键由金属制成，表面电镀处理。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1.全塑料制；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2.包含：硅原子14个， 4孔白球；氧原子16个， 5孔天兰球；单键32根。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1.全塑料制；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2.包含：长约110mm的塑料杆12根，长约85mm的塑料杆24根，直径约30mm的实心蓝色球14个。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模型包括：S电子云及SP、SP2、SP3、Px、Py、Pz杂化轨道模型，共7件一套。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1.模型采用拆装式，由1气体摩尔体积正方体组成；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2.由厚度≥2mm的透明有机玻璃构成，再用专门设计的透明塑料角联结。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不少于 5 种，耐用，不易损坏，便于保存，适合观察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不少于 8 种，耐用，易于储存，便于观察，密封完好，固定牢固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不少于 10 种，材料新颖，标识清楚，固定结实，不易脱落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由收纳盒和标本，标本包含氧化铝陶瓷、氮化硅陶瓷、光导纤维；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分子立体结构模型绘制软件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光盘，新课标人教版</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酸式，25mL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酸式，50mL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碱式，25mL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碱式，50mL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φ12mm×70mm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φ18mm×180mm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φ32mm×200mm，硬质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φ40mm×200mm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φ18mm×180mm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φ20mm×250mm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燃烧管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φ25mm×300mm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Y形试管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圆底，长颈，250mL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圆底，长颈，500mL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平底，长颈，250mL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三口烧瓶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150mL，单头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250mL，单头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250mL，双头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干燥塔</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气体洗瓶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抽滤瓶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抽气管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1.材质：玻璃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2.长约330mm，带支管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气体发生器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直形，300mm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牛角管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弯形，φ18mm×150mm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锥(梨)形，100mL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布氏漏斗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T形管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φ7mm～8mm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Y形管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φ7mm～8mm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单球，150mm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U型，φ15mm×150mm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U型，φ20mm×200mm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U型，具支，φ15mm×150mm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比色管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25mL硼硅酸盐玻璃制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活塞</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活塞</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T形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φ200mm×100mm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φ270mm×140mm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玻璃钟罩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φ150mm×280mm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棕色，125mL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棕色，125mL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棕色，3000mL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下口瓶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称量瓶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φ25mm×40mm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坩埚</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坩埚钳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1、钢制或不锈钢制造。总长度约为200mm；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2、钳子的夹持端为弯头，端头有齿纹，便于夹住物体，吻合一致。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铁制烧杯夹，长约295mm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镊子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不锈钢板材制成，平头，长125mm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1．木制或竹制。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2．长度约200mm，宽度约20mm，厚度约20mm。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水止皮管夹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1．用直径Φ3mm的钢丝制成；作防锈处理；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2．制作光滑、平整、无缺陷；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3．夹持角度不小于60°，夹持可靠，吻合好，弹性好。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螺旋皮管夹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由支架管和带压板的螺杆等组成。外形尺寸约为33 mm×20 mm×8 mm，旋转方便，不易变形，压板厚度≥1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石棉网</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由金属网和附在网上的石棉组成。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金属网由Φ0.1㎜左右的钢丝编织而成，密度均匀，织网密度间距≤2㎜，金属网为边长≤125㎜的正方形，边缘作卷边处理。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金属网上所附石棉圈为双面附着的正圆形，直径≥Φ100㎜，厚度约3㎜.</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二连球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由橡皮手捏充气球和橡皮贮气球及橡胶导气管相连接而成。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燃烧匙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由半圆面和金属丝结合制成。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半圆面为铜材制造，直径Φ为25㎜左右。光滑圆润无毛剌。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金属丝用Φ3㎜的钢丝制造，长度约为250㎜。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3个1组，大中小三个，勺长分别约为12cm、13.5cm、15cm。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φ5mm～φ6mm，长约200mm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φ7mm～φ8mm，长约200mm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φ3mm～φ4mm，长约200mm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φ5mm～φ6mm，长约200mm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软胶塞</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用天然橡胶制造，白色0号～12号。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橡胶管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产品用优质天然橡胶制造。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产品内径为7~8㎜，壁厚1㎜。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外径约7 mm， 内径约5 mm 弹力好，可承受拉长为自身的6倍， 回弹力100%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洗耳球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 12 mm手持部分顶端应为环状，顶部要有刷丝，铁丝不可外露</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 mL 烧瓶用手持部分顶端应为环状，顶部要有刷丝，铁丝不可外露</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由金属丝和绞合在其上的猪鬃毛制成，中号一个。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结晶皿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表面皿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表面皿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瓷，90mm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蒸发皿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蒸发皿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反应板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至少6穴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井穴板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9孔，0.7mL×9</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井穴板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6孔，5mL×6，附带双导气管的井穴塞</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用能耐酸碱盐的塑料制成，3mL。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白金丝</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φ0.5mm×50mm；具金属柄，可拆卸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pH广范围试纸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rPr>
                <w:rFonts w:hint="eastAsia" w:ascii="MS Mincho" w:hAnsi="MS Mincho" w:eastAsia="MS Mincho" w:cs="MS Mincho"/>
                <w:color w:val="auto"/>
                <w:szCs w:val="21"/>
                <w:highlight w:val="none"/>
                <w:lang w:bidi="ar"/>
              </w:rPr>
              <w:t xml:space="preserve">〜</w:t>
            </w:r>
            <w:r>
              <w:rPr>
                <w:rFonts w:hint="eastAsia" w:ascii="宋体" w:hAnsi="宋体" w:cs="微软雅黑"/>
                <w:color w:val="auto"/>
                <w:szCs w:val="21"/>
                <w:highlight w:val="none"/>
                <w:lang w:bidi="ar"/>
              </w:rPr>
              <w:t xml:space="preserve">14，80条/本</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蓝石蕊试纸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红石蕊试纸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淀粉碘化钾试纸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试纸，100条/本</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快速，直径约9cm,100张/盒</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份</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电极材料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石墨、铜、锌、镁、铁、锡等电极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规格：杆长约75mm，直径约4.8mm；手柄长约76mm，直径约20mm，为塑料材质。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规格：杆长约75mm，直径约4.8mm；手柄长约76mm，直径约20mm，为塑料材质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长150mm，铁质。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手锤</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规格：接触面直径20mm，手柄木质，柄长220mm。2．  锤头为圆头，无毛刺，手柄光滑。3．  手柄与锤头装配紧密牢固。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尺寸250mm带柄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剪刀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铁制品，150 mm，A 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玻璃管切割器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由切割头、手柄两大部分组成；总长约160mm；切割头由金属架和金刚石刻刀组成，手柄为塑料制。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棉质，成人大小尺寸，白色。所用材料能满足日常穿用和中学实验室日常使用要求，具有一定耐穿性和牢固性。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侧面完全遮挡，耐酸碱，抗冲击</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防护面罩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防冲击面屏，聚碳酸酯材质，耐 45 m/s 粒子冲击，通过弹簧箍与安全帽相连，面屏可更换，起到头部与面部双重保护作用，光洁，透明度高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防毒口罩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活性炭式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耐酸型乳胶手套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耐酸型乳胶手套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一次性乳胶手套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乳胶手套，25双/盒，密封无渗漏，耐刺穿，磨砂防滑。S/M/L规格可选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实验防护屏</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三片折叠式结构，由透明度好的有机玻璃制造。</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2、柜体：全钢结构，采用≥1.0mm高强度镀锌钢板，切割折弯成型，组件焊接工艺，打磨平整，表面经环氧树脂喷涂处理；整体结构设计合理，预留电脑主机、键盘托、实物展台、教师电源安装位置。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9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1、台面：采用≥12.7mm厚实芯理化板制作，切割处正反面去毛刺切口打磨平整。表面有良好的耐腐蚀性及具有良好的承重性能，台面工作尺寸≥1200*600mm；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2、左右两侧及后围边采用铝合金材质，高于台面≥36mm，其中左右两侧围边长度≥317mm；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3、台面下两侧主体支撑采用高强度铝合金一体压铸成型，成型尺寸≥587*88*90，壁厚≥2.5mm 中间设置三根铝合金横梁尺寸分别为：前 后 中；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4、主立柱采用拉伸铝合金一体成型，成型尺寸≥100*44*710mm，下两侧支撑脚采用高强度铝合金一体压铸成型，成型尺寸≥527*56*95mm ，桌侧脚预留专用孔位可与地面固定，孔上采用塑料配色装饰件装饰，金属表面均经环氧树脂粉末喷涂高温固化处理，耐酸碱、耐腐蚀。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规格：≥450*600*800mm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水槽为整体模具一体成型，尺寸≥450*600*250，并设有溢水口，底部带S弯防臭设计，与地面下水管密封连接。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配套水槽安装，PP材质，耐用易安装拆卸。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尺寸≥360*245*735mm，整体采用实验室专用PP材质，四周圆弧处理，前后二块拼接而成，可拆装，内部隐藏实验线管及通风管道，方便检修。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安全光源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不锈钢LED灯，支架采用不锈钢材质，灯管角度可以自由调节，灯管采用LED灯，光照亮度温和，使用寿命长。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9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2、市电AC220V/3A输出为2个五孔插座，尺寸≥92*152mm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1、钢制线盒，主框架采用裸板实际厚度≥1.0mm厚优质钢材产一级高强度镀锌钢板经CNC机压成形、焊接制作，表面经磷化处理、环氧树脂静电粉末涂装处理。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2.220V交流输出为五孔插座，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1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54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91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无线彩屏相对压强传感器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测量范围：≥-50kPa～+50kPa，分辨率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w:t>
            </w:r>
            <w:r>
              <w:rPr>
                <w:rFonts w:hint="eastAsia" w:ascii="宋体" w:hAnsi="宋体" w:cs="微软雅黑"/>
                <w:color w:val="auto"/>
                <w:szCs w:val="21"/>
                <w:highlight w:val="none"/>
                <w:lang w:bidi="ar"/>
              </w:rPr>
              <w:t xml:space="preserve">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切换压强量程单位Pa或kPa；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58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测量范围：0Lx～5000LX~150000Lx；自动量程 ；分辨率 ：≤1Lx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光传感器探头及滤光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07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测量范围1： 0mS/cm～20mS/cm，自动切换量程； 分辨率 ：≤0.01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测量范围2： 0mS/cm～2mS/cm，分辨率 ：≤0.001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测量范围3： 0mS/cm～200μS/cm, 分辨率 ：≤0.1 μS/cm；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电导率电极匹配连接使用。内含电导率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34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测量范围：pH值：0～14，分辨率 ：≤0.01，精度：≤±2%F.S。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pH电极匹配连接使用。内含pH复合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切换pH或者pH电压值；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pH玻璃电极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实验室常规玻璃pH复合电极，可填充型；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用途：常规实验室使用；不能用于高浓度强酸强碱的溶液测试（&lt;1mol可测）；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pH纯水电极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玻璃pH纯水复合电极，可填充型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用途：低电导溶液或纯水的测试；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测量范围：0～100％；分辨率 ：≤0.1%。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w:t>
            </w:r>
            <w:r>
              <w:rPr>
                <w:rFonts w:hint="eastAsia" w:ascii="宋体" w:hAnsi="宋体" w:cs="微软雅黑"/>
                <w:color w:val="auto"/>
                <w:szCs w:val="21"/>
                <w:highlight w:val="none"/>
                <w:lang w:bidi="ar"/>
              </w:rPr>
              <w:t xml:space="preserve">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3.5mm数据传输接口，通过数据连接线（长度≥500mm）与氧气探头连接，方便更换氧气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校准”、“HOLD”功能快捷键分别与2个深灰色圆形硬件功能按键（“菜单”、"下“、“确认”）相对应，能够实现菜单功能选择；校准传感器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开标时需提供实物样品。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35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测量范围：≥0ppm～100000ppm；分辨率 ：≤1ppm。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二氧化碳探头，探头长度≥70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上“、“确认”）相对应，能够实现菜单功能选择；量程切换，切换pH或者pH电压值；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67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无线彩屏温湿度二合一传感器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numPr>
                <w:ilvl w:val="0"/>
                <w:numId w:val="9"/>
              </w:num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1、测量范围：0～100%；分辨率 ≤0.1%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2、测量范围：≥-40ºC～125ºC，分辨率≤0.1ºC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p>
          <w:p>
            <w:pPr>
              <w:numPr>
                <w:ilvl w:val="0"/>
                <w:numId w:val="0"/>
              </w:num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温湿度探头，探头长度≥100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切换温度/湿度数字显示；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1、测量范围：溶解氧≥ 0 mg/L～20mg/L， 分辨率 ：≤0.1mg/L；气中氧：0 ～100%，分辨率：≤0.1%；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2、测量范围：温度 ≥ 0～50℃，分辨率 ：≤0.10.1℃。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自动温度补偿；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荧光检测技术，不用填充电极缓冲液。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4芯航空接口与溶解氧电极连接使用。内含溶解氧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显示溶解氧或温度数值；实验数据锁存保持功能。可以通过内置菜单设置显示小数位数，校准溶解氧数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87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numPr>
                <w:ilvl w:val="0"/>
                <w:numId w:val="10"/>
              </w:numPr>
              <w:jc w:val="left"/>
              <w:widowControl/>
              <w:rPr>
                <w:rFonts w:hint="eastAsia" w:ascii="宋体" w:hAnsi="宋体" w:cs="微软雅黑"/>
                <w:color w:val="auto"/>
                <w:szCs w:val="21"/>
                <w:highlight w:val="none"/>
                <w:lang w:eastAsia="zh-CN" w:bidi="ar"/>
              </w:rPr>
            </w:pPr>
            <w:r>
              <w:rPr>
                <w:rFonts w:hint="eastAsia" w:ascii="宋体" w:hAnsi="宋体" w:cs="微软雅黑"/>
                <w:color w:val="auto"/>
                <w:szCs w:val="21"/>
                <w:highlight w:val="none"/>
                <w:lang w:bidi="ar"/>
              </w:rPr>
              <w:t xml:space="preserve">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 4.4ppm～1800ppm， 分辨率：≤0.1ppm。（</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二氧化碳原电极匹配连接使用。内含二氧化碳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p>
          <w:p>
            <w:pPr>
              <w:numPr>
                <w:ilvl w:val="0"/>
                <w:numId w:val="0"/>
              </w:num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1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无线彩屏土壤温度/湿度二合一传感器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1、测量范围：湿度≥0～100%，分辨率：≤0.1％；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2、测量范围：温度≥-40ºC～80ºC，分辨率：≤0.1ºC。</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底部为下壳带有产品名称标识等信息；侧面配有通用M6内嵌螺母，方便实验时固定传感器。下端配有航空连接器，可连接土壤探针，线长≥1600mm、内含土壤温湿度探头≥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3个深灰色圆形硬件功能按键（“菜单”、“上”、“确认”）相对应，能够实现菜单功能选择；量程切换：湿度、温度；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80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数字化实验室数据采集系统，主要实现传感器数据采集、数据分析处理，数据存储等多功能的实验教学系统平台。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一、系统环境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（1）支持台式机、笔记本、智慧黑板、平板等多种终端平台；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（2）支持Windows、Androd、 macOS、iOS、HarmonyOS、KylinOS和UOS等国产系统;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二、系统结构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（1）实验结构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系统包含通用软件、专用软件，通用软件能够自由设置根据需求灵活设置实验参数，如采集速率，图线参数，变量及公式等。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专用软件根据教材，不用设置打开软件就能开始实验；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专用软件多种分类形式。方面查找实验；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可以按教材划分；按年级（小学、初中、高中）划分；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按学科（物理、化学、生物、科学、地理）划分；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按教学对象（学生分组、教师演示、创新案例）划分；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教师自定义模版创建与管理（按年级、学科、教学对象)划分；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系统按多文档布局结构。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可选页面布局（≥16个）；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每个实验可以创建多个实验页（≥5个）；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每页可以设置多个模块组合（≥3个）；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系统可添加模块≥5个，如图形模块、表格模块、数字模块、仪表盘模块、示波器模块、柱状图模块、文本模块、图像模块；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三、功能模块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（1）、数据通信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实现无线、有线传感自动搜索识别传感器、配置传感器，离线数据采集；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支持手动采集/自动周期采集，可以设置采集频率；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支持定时实验，支持阙值开始/停止实验；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支持多设备相同速率/不同速率实验；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支持设备离线采集设置；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支持传感器量程切换、校准、调零、正负号。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（3）、数据量设置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传感器自动变量、可以设置数据变量、数据公式、数据常量；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实验运行，变量公式实现自动计算；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数据量可以设置小数位数、单位、手动变量支持数据保护避免重复输入或误删；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公式支持常规数学函数计算和三角函数计算，至少包含如下常用计算公式：+、-、x、/、幂运行、指数运算、对数运算、正弦、余弦、正切、反正弦、反余弦、反正切等。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（4）、数据显示功能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显示形式：图形、表格、仪表盘、示波器、数字、文本、图片；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图线可以（拖动或滚轮）任意调整放大缩小；可以区域放大；锁存坐标轴等、设置显示形式：点、线、颜色等；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图形数据曲线根据实验数据可以自动适应调整显示；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每个图形模块可以设置多区域显示：≥4个区域，同时采集≥4个纵轴变量与横轴变量的实时曲线。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每个图形模块可以设置多纵轴显示：≥4个纵轴变量，同时采集≥4个纵轴变量与横轴变量的实时曲线。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多实验记录显示：图线可以显示多次实验数据，每次实验数据曲线有相应的标识、可以任意显示某次实验数据或曲线、也可以显示多次实验数据进行对比分析。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（5）、数据分析功能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（6）、数据表格功能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表格可以选中行列操作、增加列、删除指定列、删除指定行（手动实验）、统计工具（最大、最小、平均、标准、计数）、下载导出表格数据；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（7）、数据存储功能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实验实时存储数据、可随时调取历史运行数据；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实验可以保存实验模板（参数）页可以保存实验（参数及数据）；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存储实验可以任意拷贝、打开分析。也可把多页实验页存储成实验报告文档。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（8）、视频功能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实验录屏功能和摄像头及桌面捕捉录制并保存视频格式，方便回放实验操作、分析指导实验。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（9）、AI智能辅助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内嵌AI智能助手，自动捕捉实验数据或图线利用AI平台大数据对实验操数据进行分析处理、提出问题及指导。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（10）、智能帮助及系统升级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实验模版点击帮助可查看实验视频；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查看软件操作指南视频；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传感器固件及软件版本更新，自动提醒用户更新终生免费升级。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气液生态室</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1.高透光性材质，容积≥2L，含上盖。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2.上盖含传感器孔位3个，配套6个硅胶塞。</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用于光合作用，呼吸作用，蒸腾作用，种子发芽等实验；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53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58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576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测量范围：0Lx～5000LX~150000Lx；自动量程 ；分辨率 ：≤1Lx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光传感器探头及滤光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测量范围：pH值：0～14，分辨率 ：≤0.01，精度：≤±2%F.S。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pH电极匹配连接使用。内含pH复合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切换pH或者pH电压值；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测量范围：0～100％；分辨率 ：≤0.1%。（</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w:t>
            </w:r>
            <w:r>
              <w:rPr>
                <w:rFonts w:hint="eastAsia" w:ascii="宋体" w:hAnsi="宋体" w:cs="微软雅黑"/>
                <w:color w:val="auto"/>
                <w:szCs w:val="21"/>
                <w:highlight w:val="none"/>
                <w:lang w:bidi="ar"/>
              </w:rPr>
              <w:t xml:space="preserve">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3.5mm数据传输接口，通过数据连接线（长度≥500mm）与氧气探头连接，方便更换氧气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校准”、“HOLD”功能快捷键分别与2个深灰色圆形硬件功能按键（“菜单”、"下“、“确认”）相对应，能够实现菜单功能选择；校准传感器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7、传感器使用时，无需数据采集器；传感器具有数字标识码，能够使数据终端进行选择性连接。（</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38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测量范围：≥0ppm～100000ppm；分辨率 ：≤1ppm。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二氧化碳探头，探头长度≥70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上“、“确认”）相对应，能够实现菜单功能选择；量程切换，切换pH或者pH电压值；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1、测量范围：溶解氧≥ 0 mg/L～20mg/L， 分辨率 ：≤0.1mg/L；气中氧：0 ～100%，分辨率：≤0.1%；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w:t>
            </w:r>
            <w:r>
              <w:rPr>
                <w:rFonts w:hint="eastAsia" w:ascii="宋体" w:hAnsi="宋体" w:cs="微软雅黑"/>
                <w:color w:val="auto"/>
                <w:szCs w:val="21"/>
                <w:highlight w:val="none"/>
                <w:lang w:bidi="ar"/>
              </w:rPr>
              <w:t xml:space="preserve">测量范围：温度 ≥ 0～50℃，分辨率 ：≤0.1℃。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自动温度补偿；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荧光检测技术，不用填充电极缓冲液。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4芯航空接口与溶解氧电极连接使用。内含溶解氧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显示溶解氧或温度数值；实验数据锁存保持功能。可以通过内置菜单设置显示小数位数，校准溶解氧数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气液生态室</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1.高透光性材质，容积≥2L，含上盖。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2.上盖含传感器孔位3个，配套6个硅胶塞。</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用于光合作用，呼吸作用，蒸腾作用，种子发芽等实验；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49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集成式数据处理终端，可实现传感器数据采集、分析处理及存储等多功能的实验教学系统平台。</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系统平台核心应用功能：</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1.系统兼容：微软、安卓、鸿蒙等，未来可升级为兼容国产操作系统。</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2.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3.数据来源：包括传感器数据、输入数据、自带常量、计算数据；可设置多区域多Y轴/X轴，便于实验数据对比分析。</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4.数据处理：包括图线处理与表格处理，图线处理-支持多种函数的拟合（显示拟合函数表达式）、积分、最大值、最小值、平均值，同时可以显示任意点的坐标、斜率；表格处理-支持多种数据的最大值、最小值、平均值、标准偏差，同时通过公式建立变量之间的关系；</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5.实验模板：内置实验模板，依照教材顺序进行选择实验，适合入门用户；可生成自建模板并进行系统化管理；同时允许熟练用户根据需求自定义模板。含有物理、化学、生物、科学、地理等课标实验及拓展实验。</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6.智能管理：打开电源的传感器且自动搜索，按距离排序，支持通过识别码选择性连接。传感器单位转换、实验报告编写与生成、数据表格导出及界面截图。</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7.更新提示：软件版本更新时，自动提醒用户并支持在线升级。</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8.在线帮助：每个实验中可点击帮助，查看实验视频，内置软件使用指南及实验视频操作。</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9.兼容实验：集通用软件、专用软件、测试软件及理化生软件功能于一体，生成一个桌面快捷方式，无需额外软件，全面适用于项目所有数字化产品的软件。</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终端硬件性能配置标准：</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1、显示屏：屏幕尺寸≥ 14 英寸，FHD 全高清分辨率（≥1920×1080），IPS 液晶显示面板，集成式处理方式。</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2、处理器：核心线程≥6 核 12 线程、最大睿频：≥4.6GHz。</w:t>
            </w:r>
            <w:r/>
          </w:p>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3、内存：≥16GB 。</w:t>
            </w:r>
            <w:r/>
          </w:p>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4、存储：≥512GB 固态硬盘。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2、柜体：全钢结构，采用≥1.0mm高强度镀锌钢板，切割折弯成型，组件焊接工艺，打磨平整，表面经环氧树脂喷涂处理；整体结构设计合理，预留电脑主机、键盘托、实物展台、教师电源安装位置。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1、台面：采用≥12.7mm厚实芯理化板制作，切割处正反面去毛刺切口打磨平整。表面有良好的耐腐蚀性及具有良好的承重性能，台面工作尺寸≥1200*600mm；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2、左右两侧及后围边采用铝合金材质，高于台面≥36mm，其中左右两侧围边长度≥317mm；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3、台面下两侧主体支撑采用高强度铝合金一体压铸成型，成型尺寸≥587*88*90，壁厚≥2.5mm 中间设置三根铝合金横梁尺寸分别为：前 后 中；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4、主立柱采用拉伸铝合金一体成型，成型尺寸≥100*44*710mm，下两侧支撑脚采用高强度铝合金一体压铸成型，成型尺寸≥527*56*95mm ，桌侧脚预留专用孔位可与地面固定，孔上采用塑料配色装饰件装饰，金属表面均经环氧树脂粉末喷涂高温固化处理，耐酸碱、耐腐蚀。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规格：≥450*600*800mm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54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水槽为整体模具一体成型，尺寸≥450*600*250，并设有溢水口，底部带S弯防臭设计，与地面下水管密封连接。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配套水槽安装，PP材质，耐用易安装拆卸。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尺寸≥360*245*735mm，整体采用实验室专用PP材质，四周圆弧处理，前后二块拼接而成，可拆装，内部隐藏实验线管及通风管道，方便检修。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安全光源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不锈钢LED灯，支架采用不锈钢材质，灯管角度可以自由调节，灯管采用LED灯，光照亮度温和，使用寿命长。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2、市电AC220V/3A输出为2个五孔插座，尺寸≥92*152mm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1、钢制线盒，主框架采用裸板实际厚度≥1.0mm厚优质钢材产一级高强度镀锌钢板经CNC机压成形、焊接制作，表面经磷化处理、环氧树脂静电粉末涂装处理。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2.220V交流输出为五孔插座，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规格：≥3000*1200*800mm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采用≥12.7mm厚实验室专用理化板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1.规格：≥800*460*325mm;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30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规格：≥2200*300*750mm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1、铝合金结构，表面喷涂高温固化匀乳白环氧树脂喷涂理处理，具有较强的耐蚀性能，上下带塑胶模具堵头；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2、试剂架立柱截面尺寸：42mm*82mm,型材壁厚≥1.2mm；试剂架立柱双面升降槽，侧面双面镶嵌另色色条；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3、试剂架托架≥1.0mm高强度镀锌钢板，一次性冲压成型；试剂架护栏：护栏壁厚≥1.2mm，单面镶嵌另色色条。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4、立杆牢固固定于C型钢架底端，层板采用≥8mm厚的玻璃，安装后用户可根据试剂大小上下高低无级调节。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1、整体采用PP材质，耐腐蚀性能好，抗紫外线辐射强，不易老化、脆化，韧性强，弹性好，易于安装。</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2、滴水架主体与集水盘由模具注塑一体成型（非PP板焊接而成）。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3、滴水棒卡扣与主板卡槽紧密契合，不易松动，极好地保护实验器具。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根据设计要求进行相关的电路接线。室内地面面积约35平方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根据设计要求进行相关的水路管路接线。室内地面面积约35平方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刀口式，材质为不锈钢管、钢管或黄铜管，每组不少于 4 支，外径分别为 9 mm、8 mm、7 mm、6 mm，并配一支带柄金属通扦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双层物架，尺寸为：600 mm×400 mm×800 mm；采用不锈钢板制作，总载重≥60 kg。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单目生物显微镜（1000倍）</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放大倍数：50X-1000X；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观察镜筒：单目直筒，弯臂支架可45°倾斜；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目    镜：惠更斯H5X/20，H10X/13；</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物    镜：消色差物镜10X、40X（弹）、100X（弹油）；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转 换 器：三孔；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载 物 台：单层方平台，移动尺大小≥120mm×120mm，移动范围≥60mm×30mm；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调焦机构：粗微动不同轴，粗调50mm，微调2mm；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聚 光 镜：阿贝聚光镜，N.A.=1.25，可变光阑；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光    源：平凹反光镜，φ50mm。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11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双目生物显微镜（100X-1000X）</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放大倍数：100X-1000X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观察镜筒：铰链双目镜筒，30°倾斜，双目两系统放大率差≤0.43%，双目系统左右视场中心偏差上下≤0.06mm 左右内侧≤0.08mm，360°旋转时目镜焦平面上像中心的位移≤0.20mm；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目    镜：广角WF10X/18mm，目镜放大率准确度不超过±0.95%；</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物    镜：10X成像清晰圆直径不小于15.3mm，40X成像清晰圆直径不小于15.0mm，100X成像清晰圆直径不小于14.7mm；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物镜转换的齐焦：10X转40X不超过±0.013mm，40X转100X不超过±0.009mm；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转 换 器：三孔外倾，带有限位装置，转换器定位稳定性≤0.010mm；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载 物 台：双层机械移动平台大小≥115×125mm，移动范围76×52mm，载物台侧向受5N水平方向作用力最大位移≤0.015mm，不重复性≤0.004mm；5mm</w:t>
            </w:r>
            <w:r>
              <w:rPr>
                <w:rFonts w:hint="eastAsia" w:ascii="MS Mincho" w:hAnsi="MS Mincho" w:eastAsia="MS Mincho" w:cs="MS Mincho"/>
                <w:color w:val="auto"/>
                <w:szCs w:val="21"/>
                <w:highlight w:val="none"/>
                <w:lang w:bidi="ar"/>
              </w:rPr>
              <w:t xml:space="preserve">✕</w:t>
            </w:r>
            <w:r>
              <w:rPr>
                <w:rFonts w:hint="eastAsia" w:ascii="宋体" w:hAnsi="宋体" w:cs="微软雅黑"/>
                <w:color w:val="auto"/>
                <w:szCs w:val="21"/>
                <w:highlight w:val="none"/>
                <w:lang w:bidi="ar"/>
              </w:rPr>
              <w:t xml:space="preserve">5mm范围内移动时的离焦量≤0.008mm；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调焦机构：粗微动不同轴，粗调20mm，微调1.3mm空回≤0.005mm；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聚 光 镜：阿贝聚光镜，N.A.=1.25，可变光阑，拨杆升降，聚光镜上升到最高位置，顶端低于载物台表面的距离为0.15mm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光    源：高亮LED，冷光源，可充电，亮度可调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    源：外置稳压电源适配器，DC5V/2A.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总放大倍数：40X；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目镜：广角：WF10X；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观察镜筒：铰链双目，直筒，瞳间距：55-75mm；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物镜：4X；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支架调焦机构：粗调行程：45mm；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载物台：立柱式底座。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放大镜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由凸透镜、透镜框及手柄组成。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凸透镜直径不小于φ30mm, 放大倍率：5×。</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透镜应无明显条纹。气泡度q为φ1.0 [0.5]。</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0r/min～4000 r/min          10mL×8，无刷电机，带电锁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3000 r/min～16000 r/min    1.5mL×12+0.5mL×12          无刷电机，带电锁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容量：20mL～3000mL           转速：0 r/min～1200 r/min，无级调速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使用电源： AC 220V±22V  50Hz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加热功率：不小于 400W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结构：箱体采用冷轧钢板压制加工成长方形盒，外层表面喷塑处理。不锈钢内锅。单孔。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  采用微电脑控制温度和时间，数字显示。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  有循环装置，温度波动不大于±0.5℃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1、外壳采用优质冷轧板，外表喷塑，内室采用优质冷轧板或不锈钢薄板制作。自然对流通风式结构，设有观察窗。控温装置为电调式温度自动控制仪或数显电子控温仪。传感器采用热敏电阻或铂电阻。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2、工作室尺寸约360mm*320mm*300mm，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3、控温范围：室温+3℃-200℃，1.5 级（温度均匀性 为≤±0.03 ℃，温度波动性为≤1.5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4、电源：220V 50Hz。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恒温培养箱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控温范围：室温+5℃-60℃；</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冷轧板外壳，外表喷塑，冷轧板或不锈钢薄板内室，设有观察窗，电子控温。</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光照培养箱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容积：250L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光照强度：0lx～12000lx分级可调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控温范围：10℃～50℃(有光照)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温度波动性：±1℃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温度均匀度：±2℃</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双人单面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洁净度 100 级@≥0.5μm(美联邦 209E)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菌落数＜0.5 个/皿.时（直径 90mm 培养平皿）噪音≤62dB（A)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平均风速 0.25-0.45m/s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振动半峰值≤0.5um（x，y，z 方向）照度≥300LX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电源 AC，单相 220V/50HZ（200W）最大功耗 600W</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重量 150KG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工作尺寸 1150*500*520mm外形尺寸 1300*580*1600mm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高效过滤器规格及数量 1135*460*38*1荧光灯/紫外灯规格及量 30W*1/30W*1特点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1.垂直流型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2.准闭合式玻璃风门，可有效防止外部气流透入，及操作异味对人体的刺激。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3.采用可调风量风机系统，数显式控制界面。保证工作区风速始终处于理想状态。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4.LED 液晶控制面板操作控制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5.工作区域采用 304 不锈钢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整理箱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整理箱矮型，储存及分发药品用。食品级塑料。适用于-20到120℃。外形尺寸：25cm*17cm*9cm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产品造型为有一喷出水咀的瓶体，容量为250ml。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1．由矩形底座、立杆、烧瓶夹、大小铁环、垂直夹（2只）、平行夹等组成。2．方座支架的底座尺寸为210×135mm，立杆直径为ф10mm，一端有M10×18mm螺纹，底座和立杆表面作防锈处理。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1.由铁环和3只脚组成；2.铁环内径：74mm，外径：90mm，高：130mm。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12孔，12柱，与φ15mm×150mm试管匹配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32孔，铝合金，与φ15mm×150mm试管匹配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200g，0.2g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最大称量 200g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实际分度值 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重复性（≤g）±0.01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最大允许误差（≤g）±0.02秤盘尺寸（mm）Ф90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分析天平（200g，0.0001g）</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精度：0.1mg；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最大称量范围：200g；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重复性误差：≤0.0001g；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线性误差：≤±0.0002g；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秤盘尺寸：约90mm；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外形尺寸：约365×223×338（mm）；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电磁力传感器，不锈钢秤盘。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1.规格：长约30cm，直径约0.6cm，实验用玻璃仪器，测量范围：0～100℃。</w:t>
            </w:r>
            <w:r>
              <w:rPr>
                <w:rFonts w:ascii="宋体" w:hAnsi="宋体" w:eastAsia="宋体" w:cs="宋体"/>
                <w:color w:val="auto"/>
                <w:sz w:val="24"/>
                <w:szCs w:val="24"/>
                <w:highlight w:val="none"/>
              </w:rPr>
              <w:t xml:space="preserve">红液</w:t>
            </w:r>
            <w:r>
              <w:rPr>
                <w:rFonts w:hint="eastAsia" w:ascii="宋体" w:hAnsi="宋体" w:cs="宋体"/>
                <w:color w:val="auto"/>
                <w:sz w:val="24"/>
                <w:szCs w:val="24"/>
                <w:highlight w:val="none"/>
                <w:lang w:eastAsia="zh-CN"/>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2.最小分度值：1℃。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4.允许误差：±1℃。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5.玻管要直，不得弯曲，不得崩损缺口。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4.色泽；无色透明。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1.测量范围：0～14.0pH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2.准确度：0.1pH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血球计数板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H型凹槽，两个计数池，计数池深度0.1mm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计数器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1.计数范围： 0 ～ 99999 五位。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2.按压一次计数按钮，计数递增1，逢10自动进位。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3.顺时针旋转调零柄，计数器号码应复归“00000”状态。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4.外观  应符合JY 0001—2003的有关规定。</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接种环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1、由手柄及接种丝组成；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2、全长约：18.3cm。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研磨过滤器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容量20m。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实用多层，安装方便，插孔暗式布线，独立开关，光照强度3000lx-5000lx-7000lx三档可调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普通手术剪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不锈钢，直尖头，140mm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眼用手术剪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不锈钢，直尖头，100mm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手术刀柄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刀柄外形轮廓应清晰，刀柄与手术刀片配合时，插卸应轻松</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手术刀片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刀片应平整，刃口应锋利</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解剖镊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不锈钢，尖头，约125mm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解剖镊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不锈钢，阔头，约125mm。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牙用镊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不锈钢，单弯，约160mm。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眼用镊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不锈钢，直唇头齿,约100mm。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电泳仪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四组输出，输出电压：2V～200V、输出电流：2mA～200mA，具有36V电压限制功能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聚碳酸脂注塑成型，凝胶托盘带有荧光标尺，具有开盖断电功能，凝胶板规格：60mm×60mm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垂直电泳槽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聚碳酸脂注塑成型槽体，可实现原位制胶功能，凝胶板规格：75mm×83mm，同时可以两块凝胶电泳</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微量进样器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50µL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凝胶色谱柱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约16mm×500mm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量程：0.5-10ul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1.轻便且设计符合人机工效学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2.数字视窗，令所设定量程一目了然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3.使用附件工具，能方便快捷地进行校准和维修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4.精确的分液，每支移液器都按 EN/ISO8655 标准进行校准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5.下半支可高温高压消毒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6.采用新型材料</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量程：10-100ul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1.轻便且设计符合人机工效学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2.数字视窗，令所设定量程一目了然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3.使用附件工具，能方便快捷地进行校准和维修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4.精确的分液，每支移液器都按 EN/ISO8655 标准进行校准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5.下半支可高温高压消毒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6.采用新型材料</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平板式，亚克力材料，4-5 个位置。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DNA电泳图谱观察仪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非紫外光源，观察凝胶面积＞100mm×100mm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PCR仪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1.温度、时间液晶显示；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2.样本容量:30x0.2 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组织捣碎匀浆机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0r/min～1200r/min，无级调速  最大容量：1L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纯水机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进水水源：城市自来水，水温 5—40℃，水压 1—5 ㎏，TDS﹤200ppm；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制水量：≥10L/H，可制取 RO 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出水水质：RO 水电导率≤1μS/cm@25℃；电阻率≥1Μ Ω·cm@25℃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水质标准优于中国国家实验室用水（GB6682-2008）三级水标准，优于一般蒸馏水；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瞬间取水量：RO 水 2L/min；</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主机体积：长约 360mm*宽约 340mm*高约 420 mm；电 源：220V/50HZ，功率：50W；</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储水桶：3.2G 真空无菌压力桶。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功能：1、中文和图形结合的显示系统，液晶屏（注：不是指示灯）上显示电源、制水、缺水、冲洗、备用、检修等各种运行状态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2、微电脑全自动控制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3、人性化操作显示系统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玻璃三角刮刀(涂布器)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玻璃，全长约130mm。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整套模型由化石模型和复原模型两部分组成。复原模型显示背羽、头骨、上下颌、齿、前肢、后肢、跗骨、四趾、爪和尾的形态及构造。</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模型显示动物细胞形态及构造，按细胞形态作一“∟"型切面，示细胞膜、细胞质、细胞核。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模型示组成细胞膜中磷脂分子与蛋白质分子的排列和相互位置。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由塑料成型及底座组成，材料环保，便于演示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材料环保，便于演示。1.双螺旋的直径20°;2.螺距34°,但相邻碱基对的间距3.4°;3.相邻碱基的方向差36°;4.每螺距内碱基对数10对；5.氢键长度2.5-3.0°;6.大小沟宽20°,14"。</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四种碱基、脱氧核糖、磷酸彼此分离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该模型组件主要由：碱基（腺嘌呤A；胸腺嘧啶T；鸟嘌呤G；胞嘧啶C）、磷酸P和脱氧核糖S等组成。由于化学分子结构的原因，碱基A与T、C与G才可以结合，因此模型组件在形状和结构上加以区别和配合。2.材质：塑料。</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1.标本在80x和200x学生显微镜下观察叶下表皮形态和气孔结构。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能看清不规则形的下表皮细胞，及其胞核和分散在下表皮细胞间的气孔。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3.能看清正常开放的气孔形态和新月形的保卫细胞、胞核和叶绿体。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1.标本在400×生物显微镜下植物细胞有丝分裂的各期形态。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2.期能看清分裂期间的细胞和分裂过程中的前期、中期、后期、末期的分裂形态。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还能看清分裂各期染色体的位置，纺锤体隐约可见。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1.标本在400×生物显微镜下观察植物细胞的胞间连丝形态。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2.能看清胚乳的多边形厚壁贮藏细胞，认出细胞壁、胞间层和细胞腔。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3.能看清许多细小的胞间连丝将两个相邻细胞的原生质体连在一起。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黑藻叶装片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酵母菌装片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标本在80×和200×学生显微镜下观察酵母菌的结构。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水绵装片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1.标本在80×和200×学生显微镜下观察水绵营养时期的结构。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2.能看清丝状体内圆柱形的营养细胞，位于中央的胞核，呈星芒状的原生质、平立的细胞横壁，作螺旋盘绕的叶绿体呈带状，以及纵列于叶绿体上的蛋白核等。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标本在80×和200×学生显微镜下观察大肠杆菌的结构。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细胞形态清晰可见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1.标本在50×和100×生物显微镜下，观察草履虫分裂时的形态。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2.能分别认出：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a．未分裂草履虫的形态。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b．大核变长，小核分裂为二。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c．虫体中部出现缢痕，大核中间变细或断开，小核远离。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d．虫体沿中部横裂变细，尚未断开，大核缩短。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标本在50×和100×生物显微镜下，观察蝗虫精巢减数分裂时的形态。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蛙血涂片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标本在50×和100×生物显微镜下，观察蛙血的形态。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蛙或蝾螈</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48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1.标本在80X和200X学生显微镜下观察骨骼肌纵横切破片标志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2.在纵断面上能起看清肌外膜和成束的股双维,股纤维上有显暗相间的横纹,即明带和暗带。在肌膜下可见圆形或长形的胞核。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3.在横断面上能起看清肌外膜、肌束膜、肌纤维及其胞核和小血管等。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1.标本在80x和200x学生显微镜下观察平滑肌细胞的形态。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2.能看请大部分被分离成单个的长棱形平滑肌细胞，在细胞中部有被染成深色杆状或椭圆状的细胞核。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心肌切片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1.标本在80x和200x学生显微镜下观察心肌的结构。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2.在心肌的断面上能看清柱状并具有分枝的肌纤维（肌细胞），胞核呈圆形或椭圆形，位于肌纤维的中央。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1.标本在80x和200x学生显微镜下观察运动神经原的形态。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2.能看清运动神经原的细胞体和突起、细胞体内的胞核、少量的神经纤维和神经胶质细胞的胞核。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标本在80x和200x学生显微镜下观察胰腺横切的形态。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1.标本在1000×生物显微镜下，观察46条人染色体。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2.应能认出每条染色体含有两条染色单体，借着一个着丝粒彼此连接。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3.能认出着丝粒向两端伸展的染色体臂以及区别长臂与短臂并在此基础上认出中央着丝粒，空中央着丝粒，近端着丝粒染色体。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标本在1000×生物显微镜下，观察DNA和RAN在细胞中的分布。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线粒体切片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标本在1000×生物显微镜下，观察线粒体切片。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 15 mm × 150 mm透明硼硅酸盐玻璃制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 mL透明，硼硅酸盐玻璃制，刻度应清晰耐久，应在容量标志下有记号面积</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500ml、采用3.3硼硅酸盐玻璃制造，全高约140±3mm，瓶外径约85±2mm，壁厚≥1mm。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小口，具塞，2000ml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直固，300mm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 mm直形，滴管尖嘴口径 1 mm，上端有防滑脱翻口，翻口处直径比滴管直径略多 1 mm～2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1．木制。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2．长度约200mm，宽度约20mm，厚度约20mm。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石棉网</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由金属网和附在网上的石棉组成。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金属网由Φ0.1㎜左右的钢丝编织而成，密度均匀，织网密度间距≤2㎜，金属网为边长≤125㎜的正方形，边缘作卷边处理。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金属网上所附石棉圈为双面附着的正圆形，直径≥Φ100㎜，厚度约3㎜.</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约160mm，双头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φ5mm～φ6mm，长约300mm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洗耳球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培养皿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培养皿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测电笔</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由电阻与氖氩指示灯泡构成。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长150mm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φ6mm，长150mm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铁制，产品总长≥165mm，钳口长度≥40mm。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活扳手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150mm、250mm两把一套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侧面完全遮挡，耐酸碱，抗冲击</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bl>
    <w:p>
      <w:pPr>
        <w:pStyle w:val="722"/>
        <w:ind w:firstLine="0"/>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722"/>
        <w:rPr>
          <w:rFonts w:hint="eastAsia"/>
          <w:color w:val="auto"/>
          <w:highlight w:val="none"/>
        </w:rPr>
      </w:pPr>
      <w:r>
        <w:rPr>
          <w:rFonts w:hint="eastAsia"/>
          <w:color w:val="auto"/>
          <w:highlight w:val="none"/>
        </w:rPr>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（1）供应商中标后，应提供产品材质清单、原材料产地证明，需就拟投入本项目生产的原材料和主要辅材进行送检，送检内容和受检机构需经采购人认可。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★（二）商务要求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（1）总体要求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供应商中标后提供设备安装日程计划。</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（2）质量要求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（3）安全实施要求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供应商应采取安全措施，确保实施安全。因本项目实施产生的实施人员和学校师生人身安全问题由供应商承担全部责任。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①本项目所有产品质保期限为3年（自验收报告签字确认日起，开始进入质保期）。质保期内，每年维护保养1次，维护保养及更换损坏件的费用包含在投标总价中。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②质保期内产品的一切质量问题，更换部件及产品本身质量原因造成的直接经济损失全部由中标供应商负责。无法短时间完成维修的，应向采购人提供应急备用产品。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质保期外，中标供应商提供终生服务，在货物的设计使用寿命周期内，中标供应商能保证采购人更换到原厂正宗的备件材料，确保产品的正常使用。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⑤供应商提供售后服务承诺书，包括质保期、质量问题处理方法。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⑥供应商必须通过“南京市教育装备项目管理平台”提供售后维护维保服务。南京市教育装备项目管理平台网址：</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"http://nj.cneefix.com" </w:instrText>
      </w:r>
      <w:r>
        <w:rPr>
          <w:rFonts w:ascii="宋体" w:hAnsi="宋体" w:cs="宋体"/>
          <w:color w:val="auto"/>
          <w:sz w:val="24"/>
          <w:szCs w:val="24"/>
          <w:highlight w:val="none"/>
        </w:rPr>
        <w:fldChar w:fldCharType="separate"/>
      </w:r>
      <w:r>
        <w:rPr>
          <w:rStyle w:val="838"/>
          <w:rFonts w:hint="eastAsia" w:cs="宋体"/>
          <w:color w:val="auto"/>
          <w:sz w:val="24"/>
          <w:highlight w:val="none"/>
        </w:rPr>
        <w:t xml:space="preserve">http://nj.cneefix.com</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以第三章合同文本内容为准。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4.交付时间及地点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（1）交付时间：采购人确认现场满足条件及合同签订后，30天内交付并完成安装调试及验收等相关工作。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其他要求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360" w:lineRule="auto"/>
        <w:rPr>
          <w:rFonts w:ascii="宋体" w:hAnsi="宋体" w:cs="宋体"/>
          <w:b/>
          <w:bCs/>
          <w:color w:val="auto"/>
          <w:sz w:val="24"/>
          <w:szCs w:val="24"/>
          <w:highlight w:val="none"/>
        </w:rPr>
      </w:pPr>
      <w:r/>
      <w:bookmarkStart w:id="77" w:name="OLE_LINK101"/>
      <w:r/>
      <w:bookmarkStart w:id="78" w:name="OLE_LINK102"/>
      <w:r>
        <w:rPr>
          <w:rFonts w:hint="eastAsia" w:ascii="宋体" w:hAnsi="宋体" w:cs="宋体"/>
          <w:b/>
          <w:bCs/>
          <w:color w:val="auto"/>
          <w:sz w:val="24"/>
          <w:szCs w:val="24"/>
          <w:highlight w:val="none"/>
        </w:rPr>
        <w:t xml:space="preserve">（三）演示要求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bookmarkEnd w:id="77"/>
      <w:r/>
      <w:bookmarkEnd w:id="78"/>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）样品要求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1.供应商提供以下样品：无线光电门传感器（双门）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无线彩屏温湿度二合一传感器，制作标准和要求与本次采购对应产品的参数一致。</w:t>
      </w:r>
      <w:r/>
    </w:p>
    <w:p>
      <w:pPr>
        <w:ind w:firstLine="480"/>
        <w:spacing w:line="360" w:lineRule="auto"/>
        <w:rPr>
          <w:rFonts w:ascii="宋体" w:hAnsi="宋体" w:eastAsia="宋体" w:cs="Times New Roman"/>
          <w:b/>
          <w:color w:val="auto"/>
          <w:sz w:val="22"/>
          <w:szCs w:val="22"/>
          <w:highlight w:val="none"/>
          <w:lang w:val="zh-CN"/>
        </w:rPr>
      </w:pPr>
      <w:r>
        <w:rPr>
          <w:rFonts w:hint="eastAsia" w:ascii="宋体" w:hAnsi="宋体" w:eastAsia="宋体" w:cs="Times New Roman"/>
          <w:b/>
          <w:color w:val="auto"/>
          <w:sz w:val="22"/>
          <w:szCs w:val="22"/>
          <w:highlight w:val="none"/>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ascii="宋体" w:hAnsi="宋体" w:eastAsia="宋体" w:cs="Times New Roman"/>
          <w:b/>
          <w:color w:val="auto"/>
          <w:sz w:val="22"/>
          <w:szCs w:val="22"/>
          <w:highlight w:val="none"/>
          <w:lang w:val="zh-CN"/>
        </w:rPr>
      </w:pPr>
      <w:r>
        <w:rPr>
          <w:rFonts w:hint="eastAsia" w:ascii="宋体" w:hAnsi="宋体" w:eastAsia="宋体" w:cs="Times New Roman"/>
          <w:b/>
          <w:color w:val="auto"/>
          <w:sz w:val="22"/>
          <w:szCs w:val="22"/>
          <w:highlight w:val="none"/>
          <w:lang w:val="zh-CN"/>
        </w:rPr>
        <w:t xml:space="preserve">3.样品提交时间：投标截止时间前半小时开始接收，投标截止时间后不再接受。</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4.其他说明</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（1）样品的所有费用由供应商承担。中标供应商的样品由采购人封存、保管，作为履约验收的参考。</w:t>
      </w:r>
      <w:r/>
    </w:p>
    <w:p>
      <w:pPr>
        <w:pStyle w:val="722"/>
        <w:rPr>
          <w:color w:val="auto"/>
          <w:highlight w:val="none"/>
        </w:rPr>
      </w:pPr>
      <w:r>
        <w:rPr>
          <w:color w:val="auto"/>
          <w:highlight w:val="none"/>
        </w:rPr>
      </w:r>
      <w:r/>
    </w:p>
    <w:p>
      <w:pPr>
        <w:pStyle w:val="1336"/>
        <w:rPr>
          <w:color w:val="auto"/>
          <w:highlight w:val="none"/>
          <w:lang w:val="en-US"/>
        </w:rPr>
      </w:pPr>
      <w:r>
        <w:rPr>
          <w:color w:val="auto"/>
          <w:highlight w:val="none"/>
          <w:lang w:val="en-US"/>
        </w:rPr>
      </w:r>
      <w:r/>
    </w:p>
    <w:p>
      <w:pPr>
        <w:rPr>
          <w:color w:val="auto"/>
          <w:highlight w:val="none"/>
        </w:rPr>
      </w:pPr>
      <w:r>
        <w:rPr>
          <w:color w:val="auto"/>
          <w:highlight w:val="none"/>
        </w:rPr>
      </w:r>
      <w:r/>
    </w:p>
    <w:p>
      <w:pPr>
        <w:pStyle w:val="785"/>
        <w:jc w:val="center"/>
        <w:spacing w:line="360" w:lineRule="auto"/>
        <w:rPr>
          <w:rFonts w:hint="eastAsia" w:ascii="宋体" w:hAnsi="宋体" w:eastAsia="宋体" w:cs="宋体"/>
          <w:color w:val="auto"/>
          <w:szCs w:val="21"/>
          <w:highlight w:val="none"/>
          <w:lang w:val="zh-CN"/>
        </w:rPr>
        <w:outlineLvl w:val="0"/>
      </w:pPr>
      <w:r>
        <w:rPr>
          <w:rFonts w:ascii="宋体" w:hAnsi="宋体" w:eastAsia="宋体" w:cs="宋体"/>
          <w:b/>
          <w:bCs/>
          <w:color w:val="auto"/>
          <w:spacing w:val="-10"/>
          <w:sz w:val="36"/>
          <w:szCs w:val="36"/>
          <w:highlight w:val="none"/>
          <w:lang w:val="zh-CN"/>
        </w:rPr>
        <w:br w:type="page" w:clear="all"/>
      </w:r>
      <w:bookmarkStart w:id="79" w:name="_Toc228350075"/>
      <w:r>
        <w:rPr>
          <w:rFonts w:hint="eastAsia" w:ascii="宋体" w:hAnsi="宋体" w:eastAsia="宋体" w:cs="宋体"/>
          <w:b/>
          <w:bCs/>
          <w:color w:val="auto"/>
          <w:spacing w:val="-10"/>
          <w:sz w:val="36"/>
          <w:szCs w:val="36"/>
          <w:highlight w:val="none"/>
          <w:lang w:val="zh-CN"/>
        </w:rPr>
        <w:t xml:space="preserve">第五章  合同主要条款及格式</w:t>
      </w:r>
      <w:bookmarkEnd w:id="79"/>
      <w:r/>
      <w:bookmarkEnd w:id="26"/>
      <w:r/>
      <w:r/>
    </w:p>
    <w:p>
      <w:pPr>
        <w:ind w:firstLine="640"/>
        <w:jc w:val="center"/>
        <w:spacing w:line="360" w:lineRule="auto"/>
        <w:widowControl/>
        <w:rPr>
          <w:rFonts w:hint="eastAsia" w:ascii="Calibri" w:hAnsi="Calibri" w:cs="方正小标宋简体"/>
          <w:bCs/>
          <w:color w:val="auto"/>
          <w:sz w:val="32"/>
          <w:szCs w:val="32"/>
          <w:highlight w:val="none"/>
        </w:rPr>
      </w:pPr>
      <w:r/>
      <w:bookmarkStart w:id="80" w:name="_Toc16496"/>
      <w:r>
        <w:rPr>
          <w:rFonts w:hint="eastAsia" w:ascii="Calibri" w:hAnsi="Calibri" w:cs="方正小标宋简体"/>
          <w:bCs/>
          <w:color w:val="auto"/>
          <w:sz w:val="32"/>
          <w:szCs w:val="32"/>
          <w:highlight w:val="none"/>
        </w:rPr>
        <w:t xml:space="preserve">政府采购合同（货物）</w:t>
      </w:r>
      <w:r/>
    </w:p>
    <w:p>
      <w:pPr>
        <w:ind w:firstLine="480"/>
        <w:jc w:val="center"/>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合同编号：</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                                       </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甲方（买方）：南京江北新区管理委员会教育局</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bookmarkStart w:id="81" w:name="OLE_LINK64"/>
      <w:r/>
      <w:bookmarkStart w:id="82" w:name="OLE_LINK65"/>
      <w:r>
        <w:rPr>
          <w:rFonts w:hint="eastAsia" w:ascii="宋体" w:hAnsi="宋体" w:cs="宋体"/>
          <w:color w:val="auto"/>
          <w:sz w:val="24"/>
          <w:szCs w:val="24"/>
          <w:highlight w:val="none"/>
        </w:rPr>
        <w:t xml:space="preserve">卖方</w:t>
      </w:r>
      <w:bookmarkEnd w:id="81"/>
      <w:r/>
      <w:bookmarkEnd w:id="82"/>
      <w:r>
        <w:rPr>
          <w:rFonts w:hint="eastAsia" w:ascii="宋体" w:hAnsi="宋体" w:cs="宋体"/>
          <w:color w:val="auto"/>
          <w:sz w:val="24"/>
          <w:szCs w:val="24"/>
          <w:highlight w:val="none"/>
        </w:rPr>
        <w:t xml:space="preserve">）：</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83" w:name="OLE_LINK58"/>
      <w:r/>
      <w:bookmarkStart w:id="84" w:name="OLE_LINK59"/>
      <w:r>
        <w:rPr>
          <w:rFonts w:hint="eastAsia" w:ascii="宋体" w:hAnsi="宋体" w:cs="宋体"/>
          <w:color w:val="auto"/>
          <w:sz w:val="24"/>
          <w:szCs w:val="24"/>
          <w:highlight w:val="none"/>
        </w:rPr>
        <w:t xml:space="preserve">南京市江北新区公共工程建设中心</w:t>
      </w:r>
      <w:bookmarkEnd w:id="83"/>
      <w:r/>
      <w:bookmarkEnd w:id="84"/>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鉴于受托代建单位</w:t>
      </w:r>
      <w:bookmarkStart w:id="85" w:name="OLE_LINK73"/>
      <w:r/>
      <w:bookmarkStart w:id="86" w:name="OLE_LINK72"/>
      <w:r>
        <w:rPr>
          <w:rFonts w:hint="eastAsia" w:ascii="宋体" w:hAnsi="宋体" w:cs="宋体"/>
          <w:color w:val="auto"/>
          <w:sz w:val="24"/>
          <w:szCs w:val="24"/>
          <w:highlight w:val="none"/>
        </w:rPr>
        <w:t xml:space="preserve">南京市江北新区公共工程建设中心</w:t>
      </w:r>
      <w:bookmarkEnd w:id="85"/>
      <w:r/>
      <w:bookmarkEnd w:id="86"/>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auto"/>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auto"/>
          <w:sz w:val="24"/>
          <w:szCs w:val="24"/>
          <w:highlight w:val="none"/>
          <w:u w:val="single"/>
        </w:rPr>
        <w:t xml:space="preserve">南京师范大学附属中学江北新区学校新建工程项目实验室装备采购</w:t>
      </w:r>
      <w:r>
        <w:rPr>
          <w:rFonts w:hint="eastAsia" w:ascii="宋体" w:hAnsi="宋体" w:cs="宋体"/>
          <w:color w:val="auto"/>
          <w:sz w:val="24"/>
          <w:szCs w:val="24"/>
          <w:highlight w:val="none"/>
        </w:rPr>
        <w:t xml:space="preserve">及有关事项协商一致，共同达成如下协议：</w:t>
      </w:r>
      <w:r/>
    </w:p>
    <w:p>
      <w:pPr>
        <w:ind w:firstLine="482"/>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一、合同内容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1.1标的名称：</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1.2标的质量：【按采购文件及投标文件执行】</w:t>
      </w:r>
      <w:r/>
    </w:p>
    <w:p>
      <w:pPr>
        <w:ind w:firstLine="480"/>
        <w:jc w:val="left"/>
        <w:spacing w:line="360" w:lineRule="auto"/>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1.3标的数量（规模）：</w:t>
      </w:r>
      <w:r/>
    </w:p>
    <w:tbl>
      <w:tblPr>
        <w:tblStyle w:val="721"/>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4" w:space="0"/>
              <w:left w:val="none" w:color="000000" w:sz="4" w:space="0"/>
              <w:bottom w:val="none" w:color="000000" w:sz="4" w:space="0"/>
              <w:right w:val="none" w:color="000000" w:sz="4" w:space="0"/>
            </w:tcBorders>
            <w:tcW w:w="9639" w:type="dxa"/>
            <w:vAlign w:val="top"/>
            <w:textDirection w:val="lrTb"/>
            <w:noWrap w:val="false"/>
          </w:tcPr>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乙方根据甲方需求提供下列货物：</w:t>
            </w:r>
            <w:r/>
          </w:p>
          <w:tbl>
            <w:tblPr>
              <w:tblStyle w:val="721"/>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30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ind w:firstLine="480"/>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1.4履行时间（期限）：【按采购文件及投标文件执行】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1.5履行地点：【按采购文件及投标文件执行】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1.6履行方式：【按采购文件及投标文件执行】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1.7包装方式：【按采购文件及投标文件执行】</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二、合同金额</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2.1本合同金额为（大写）：______________（____________________元）人民币。</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三、技术资料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3.1乙方应按采购文件规定的时间向甲方（或丙方）提供货物（包含与货物相关的服务）的有关技术资料。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3.2没有甲方（或丙方）事先书面同意，乙方不得将由甲</w:t>
      </w:r>
      <w:r>
        <w:rPr>
          <w:rFonts w:hint="eastAsia" w:ascii="宋体" w:hAnsi="宋体" w:cs="宋体"/>
          <w:color w:val="auto"/>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四、知识产权</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五、产权担保</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5.1乙方保证所交付的货物（包含与货物相关的服务）的所有权完全属于乙方且无任何抵押、查封等产权瑕疵。</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六、履约保证金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6.1本项目乙方无需缴纳履约保证金。</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七、合同转包或分包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7.1乙方不得将合同标的转包给他人履行。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7.2除采购文件接受分包并经甲方同意，乙方可按分包意向协议分包情况外，乙方不得将合同标的分包给他人履行。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7.3乙方如有转包或未经甲方同意的分包行为，甲方有权终止合同。</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八、合同款项支付</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8.1合同签订后支付合同总额10%的预付款。</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8.2施工、安装、调试完毕，由甲方组织相关学校进行验收，验收合格并由乙方协助学校完成资产入库登记，六个月内支付合同总额的50%。</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8.3在本工程项目竣工验收合格，一年内支付合同总额的35%，剩余5%为质保金。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8.4质保金在质保期满后一次性付清。</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8.5具体支付依据当年新区财政资金状况而定。</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8.6发票及付款流程</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8.6.1乙方所开发票名称为“南京江北新区管理委员会教育局”，依据付款要求，提供相应材料。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九、税费</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9.1本合同执行中的相关税费均由乙方负担。</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十、质量保修范围和保修期及售后服务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10.1乙方应按采购文件规定的货物性能、技术要求、质量标准向甲方提供未经使用的全新产品。</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10.2乙方提供的货物在质保期内因货物本身的质量问题发生故障，乙方应负责免费更换。对达不到技术要求者，根据实际情况，经双方协商可按以下方式处理：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10.2.1更换：由乙方承担所发生的全部费用。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10.2.2贬值处理：由甲乙双方合议定价。</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10.2.3退货处理：乙方应退还甲方支付的合同款，同时应承担该货物的直接费用（运输、保险、检验、货款利息及银行手续费等）。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10.3如在使用过程中发生质量问题，乙方应在接到甲方通知后【1】小时内到达甲方现场。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10.4质保期内，乙方应对货物出现的质量及安全问题负责处理解决并承担一切费用。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w:t>
      </w:r>
      <w:bookmarkStart w:id="87" w:name="OLE_LINK5"/>
      <w:r>
        <w:rPr>
          <w:rFonts w:hint="eastAsia" w:ascii="宋体" w:hAnsi="宋体" w:cs="宋体"/>
          <w:color w:val="auto"/>
          <w:sz w:val="24"/>
          <w:szCs w:val="24"/>
          <w:highlight w:val="none"/>
        </w:rPr>
        <w:t xml:space="preserve">质保期</w:t>
      </w:r>
      <w:bookmarkEnd w:id="87"/>
      <w:r>
        <w:rPr>
          <w:rFonts w:hint="eastAsia" w:ascii="宋体" w:hAnsi="宋体" w:cs="宋体"/>
          <w:color w:val="auto"/>
          <w:sz w:val="24"/>
          <w:szCs w:val="24"/>
          <w:highlight w:val="none"/>
        </w:rPr>
        <w:t xml:space="preserve">为自交货验收合格之日起【3】年，因人为因素出现的故障不在质保范围内。超过质保期的乙方负责终身维修，维修时只收取部件成本费。</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11.1甲方依法组织履约验收工作，具体工作由甲方委托丙方组织进行，乙方必须服从丙方安排。</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11.3对于实际使用人和甲方（或丙方）分离的项目，甲方（或丙方）邀请实际使用人参与验收。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11.4如有必要，甲方（或丙方）可邀请参加本项目投标的其他供应商或第三方专业机构及专家参与验收，相关意见将作为验收结论的参考。</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十二、货物的包装、发运及运输</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12.2使用说明书、质量检验证明书、随配附件和工具以及清单一并附于货物内。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12.3乙方在货物发运手续办理完毕后24小时内或货到甲方（或丙方）48小时前通知甲方（或丙方），以准备接货。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12.4货物在交付甲方（或丙方）前发生的风险均由乙方负责。</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12.5货物在规定的交付期限内由乙方送达甲方（或丙方）指定的地点视为交付，乙方同时需通知甲方（或丙方）货物已送达。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w:t>
      </w:r>
      <w:bookmarkStart w:id="88" w:name="OLE_LINK6"/>
      <w:r/>
      <w:bookmarkStart w:id="89" w:name="OLE_LINK1"/>
      <w:r>
        <w:rPr>
          <w:rFonts w:hint="eastAsia" w:ascii="宋体" w:hAnsi="宋体" w:cs="宋体"/>
          <w:color w:val="auto"/>
          <w:sz w:val="24"/>
          <w:szCs w:val="24"/>
          <w:highlight w:val="none"/>
        </w:rPr>
        <w:t xml:space="preserve">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bookmarkEnd w:id="88"/>
      <w:r/>
      <w:bookmarkEnd w:id="89"/>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w:t>
      </w:r>
      <w:r>
        <w:rPr>
          <w:rFonts w:ascii="宋体" w:hAnsi="宋体" w:cs="宋体"/>
          <w:color w:val="auto"/>
          <w:sz w:val="24"/>
          <w:szCs w:val="24"/>
          <w:highlight w:val="none"/>
        </w:rPr>
        <w:t xml:space="preserve">合同正本叁份、副本肆份</w:t>
      </w:r>
      <w:r>
        <w:rPr>
          <w:rFonts w:hint="eastAsia" w:ascii="宋体" w:hAnsi="宋体" w:cs="宋体"/>
          <w:color w:val="auto"/>
          <w:sz w:val="24"/>
          <w:szCs w:val="24"/>
          <w:highlight w:val="none"/>
        </w:rPr>
        <w:t xml:space="preserve">，具有同等法律效力，甲方、乙方、丙方各执正本1份和副本1份，1份副本交采购机构存档。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90"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90"/>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color w:val="auto"/>
          <w:highlight w:val="none"/>
        </w:rPr>
      </w:pPr>
      <w:r>
        <w:rPr>
          <w:rFonts w:hint="eastAsia" w:ascii="Calibri" w:hAnsi="Calibri"/>
          <w:color w:val="auto"/>
          <w:sz w:val="24"/>
          <w:szCs w:val="22"/>
          <w:highlight w:val="none"/>
          <w:lang w:bidi="ar"/>
        </w:rPr>
        <w:t xml:space="preserve">签订日期：</w:t>
      </w:r>
      <w:r/>
    </w:p>
    <w:p>
      <w:pPr>
        <w:ind w:firstLine="420"/>
        <w:spacing w:before="120" w:after="120"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left="560"/>
        <w:jc w:val="center"/>
        <w:spacing w:line="360" w:lineRule="auto"/>
        <w:rPr>
          <w:rFonts w:hint="eastAsia" w:ascii="宋体" w:hAnsi="宋体" w:cs="宋体"/>
          <w:b/>
          <w:bCs/>
          <w:color w:val="auto"/>
          <w:sz w:val="36"/>
          <w:szCs w:val="36"/>
          <w:highlight w:val="none"/>
          <w:lang w:val="zh-CN"/>
        </w:rPr>
        <w:outlineLvl w:val="0"/>
      </w:pPr>
      <w:r>
        <w:rPr>
          <w:rFonts w:ascii="宋体" w:hAnsi="宋体" w:cs="宋体"/>
          <w:b/>
          <w:bCs/>
          <w:color w:val="auto"/>
          <w:sz w:val="36"/>
          <w:szCs w:val="36"/>
          <w:highlight w:val="none"/>
          <w:lang w:val="zh-CN"/>
        </w:rPr>
        <w:br w:type="page" w:clear="all"/>
      </w:r>
      <w:bookmarkStart w:id="91" w:name="_Toc228350076"/>
      <w:r>
        <w:rPr>
          <w:rFonts w:hint="eastAsia" w:ascii="宋体" w:hAnsi="宋体" w:cs="宋体"/>
          <w:b/>
          <w:bCs/>
          <w:color w:val="auto"/>
          <w:sz w:val="36"/>
          <w:szCs w:val="36"/>
          <w:highlight w:val="none"/>
          <w:lang w:val="zh-CN"/>
        </w:rPr>
        <w:t xml:space="preserve">第六章  </w:t>
      </w:r>
      <w:r>
        <w:rPr>
          <w:rFonts w:hint="eastAsia" w:ascii="宋体" w:hAnsi="宋体" w:cs="宋体"/>
          <w:b/>
          <w:bCs/>
          <w:color w:val="auto"/>
          <w:sz w:val="36"/>
          <w:szCs w:val="36"/>
          <w:highlight w:val="none"/>
        </w:rPr>
        <w:t xml:space="preserve">投标文件</w:t>
      </w:r>
      <w:r>
        <w:rPr>
          <w:rFonts w:hint="eastAsia" w:ascii="宋体" w:hAnsi="宋体" w:cs="宋体"/>
          <w:b/>
          <w:bCs/>
          <w:color w:val="auto"/>
          <w:sz w:val="36"/>
          <w:szCs w:val="36"/>
          <w:highlight w:val="none"/>
          <w:lang w:val="zh-CN"/>
        </w:rPr>
        <w:t xml:space="preserve">格式及附件</w:t>
      </w:r>
      <w:bookmarkEnd w:id="80"/>
      <w:r/>
      <w:bookmarkEnd w:id="91"/>
      <w:r/>
      <w:r/>
    </w:p>
    <w:p>
      <w:pPr>
        <w:ind w:left="560"/>
        <w:jc w:val="center"/>
        <w:spacing w:line="360" w:lineRule="auto"/>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投标文件</w:t>
      </w:r>
      <w:r/>
    </w:p>
    <w:p>
      <w:pPr>
        <w:ind w:firstLine="3708"/>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 号：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 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宋体" w:hAnsi="宋体" w:cs="宋体"/>
          <w:b/>
          <w:color w:val="auto"/>
          <w:sz w:val="24"/>
          <w:szCs w:val="24"/>
          <w:highlight w:val="none"/>
        </w:rPr>
        <w:outlineLvl w:val="1"/>
      </w:pPr>
      <w:r>
        <w:rPr>
          <w:rFonts w:ascii="宋体" w:hAnsi="宋体" w:cs="宋体"/>
          <w:b/>
          <w:color w:val="auto"/>
          <w:sz w:val="24"/>
          <w:szCs w:val="24"/>
          <w:highlight w:val="none"/>
          <w:lang w:val="zh-CN"/>
        </w:rPr>
        <w:br w:type="page" w:clear="all"/>
      </w:r>
      <w:bookmarkStart w:id="92" w:name="_Toc228350077"/>
      <w:r>
        <w:rPr>
          <w:rFonts w:hint="eastAsia" w:ascii="宋体" w:hAnsi="宋体" w:cs="宋体"/>
          <w:b/>
          <w:color w:val="auto"/>
          <w:sz w:val="24"/>
          <w:szCs w:val="24"/>
          <w:highlight w:val="none"/>
          <w:lang w:val="zh-CN"/>
        </w:rPr>
        <w:t xml:space="preserve">附件一、投标申请及声明格式</w:t>
      </w:r>
      <w:bookmarkEnd w:id="92"/>
      <w:r/>
      <w:r/>
    </w:p>
    <w:p>
      <w:pPr>
        <w:jc w:val="center"/>
        <w:spacing w:before="120" w:after="120" w:line="360" w:lineRule="auto"/>
        <w:rPr>
          <w:rFonts w:hint="eastAsia" w:ascii="宋体" w:hAnsi="宋体" w:cs="宋体"/>
          <w:b/>
          <w:bCs/>
          <w:color w:val="auto"/>
          <w:sz w:val="28"/>
          <w:szCs w:val="28"/>
          <w:highlight w:val="none"/>
        </w:rPr>
      </w:pPr>
      <w:r/>
      <w:bookmarkStart w:id="93" w:name="_Toc30921"/>
      <w:r/>
      <w:bookmarkStart w:id="94" w:name="_Toc32604"/>
      <w:r/>
      <w:bookmarkStart w:id="95" w:name="_Toc4379"/>
      <w:r>
        <w:rPr>
          <w:rFonts w:hint="eastAsia" w:ascii="宋体" w:hAnsi="宋体" w:cs="宋体"/>
          <w:b/>
          <w:bCs/>
          <w:color w:val="auto"/>
          <w:sz w:val="28"/>
          <w:szCs w:val="28"/>
          <w:highlight w:val="none"/>
          <w:lang w:val="zh-CN"/>
        </w:rPr>
        <w:t xml:space="preserve">投标申请及声明</w:t>
      </w:r>
      <w:bookmarkEnd w:id="93"/>
      <w:r/>
      <w:bookmarkEnd w:id="94"/>
      <w:r/>
      <w:bookmarkEnd w:id="95"/>
      <w:r/>
      <w:r/>
    </w:p>
    <w:p>
      <w:pPr>
        <w:pStyle w:val="1321"/>
        <w:spacing w:line="360" w:lineRule="auto"/>
        <w:rPr>
          <w:rFonts w:hint="eastAsia" w:hAnsi="宋体" w:cs="宋体"/>
          <w:color w:val="auto"/>
          <w:sz w:val="24"/>
          <w:szCs w:val="24"/>
          <w:highlight w:val="none"/>
        </w:rPr>
      </w:pPr>
      <w:r/>
      <w:bookmarkStart w:id="96" w:name="_Toc18647"/>
      <w:r/>
      <w:bookmarkStart w:id="97" w:name="_Toc27899"/>
      <w:r>
        <w:rPr>
          <w:rFonts w:hint="eastAsia" w:hAnsi="宋体" w:cs="宋体"/>
          <w:color w:val="auto"/>
          <w:sz w:val="24"/>
          <w:szCs w:val="24"/>
          <w:highlight w:val="none"/>
          <w:lang w:val="zh-CN"/>
        </w:rPr>
        <w:t xml:space="preserve">致：招标人：</w:t>
      </w:r>
      <w:bookmarkEnd w:id="96"/>
      <w:r/>
      <w:bookmarkEnd w:id="97"/>
      <w:r>
        <w:rPr>
          <w:rFonts w:hint="eastAsia" w:hAnsi="宋体" w:cs="宋体"/>
          <w:color w:val="auto"/>
          <w:sz w:val="24"/>
          <w:szCs w:val="24"/>
          <w:highlight w:val="none"/>
          <w:u w:val="single"/>
          <w:lang w:val="zh-CN"/>
        </w:rPr>
        <w:t xml:space="preserve"> 南京江北新区管理委员会教育局</w:t>
      </w:r>
      <w:r/>
    </w:p>
    <w:p>
      <w:pPr>
        <w:pStyle w:val="1321"/>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   </w:t>
      </w:r>
      <w:bookmarkStart w:id="98" w:name="_Toc9373"/>
      <w:r/>
      <w:bookmarkStart w:id="99" w:name="_Toc4607"/>
      <w:r>
        <w:rPr>
          <w:rFonts w:hint="eastAsia" w:hAnsi="宋体" w:cs="宋体"/>
          <w:color w:val="auto"/>
          <w:sz w:val="24"/>
          <w:szCs w:val="24"/>
          <w:highlight w:val="none"/>
          <w:lang w:val="zh-CN"/>
        </w:rPr>
        <w:t xml:space="preserve">根据贵方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zh-CN"/>
        </w:rPr>
        <w:t xml:space="preserve">（项目名称）</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zh-CN"/>
        </w:rPr>
        <w:t xml:space="preserve">（项目编号）</w:t>
      </w:r>
      <w:r>
        <w:rPr>
          <w:rFonts w:hint="eastAsia" w:hAnsi="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rPr>
        <w:t xml:space="preserve">     </w:t>
      </w:r>
      <w:r>
        <w:rPr>
          <w:rFonts w:hint="eastAsia" w:hAnsi="宋体" w:cs="宋体"/>
          <w:color w:val="auto"/>
          <w:sz w:val="24"/>
          <w:szCs w:val="24"/>
          <w:highlight w:val="none"/>
          <w:lang w:val="zh-CN"/>
        </w:rPr>
        <w:t xml:space="preserve">(姓名和职务)代表投标人</w:t>
      </w:r>
      <w:r>
        <w:rPr>
          <w:rFonts w:hint="eastAsia" w:hAnsi="宋体" w:cs="宋体"/>
          <w:color w:val="auto"/>
          <w:sz w:val="24"/>
          <w:szCs w:val="24"/>
          <w:highlight w:val="none"/>
          <w:u w:val="single"/>
        </w:rPr>
        <w:t xml:space="preserve">                 </w:t>
      </w:r>
      <w:r>
        <w:rPr>
          <w:rFonts w:hint="eastAsia" w:hAnsi="宋体" w:cs="宋体"/>
          <w:color w:val="auto"/>
          <w:sz w:val="24"/>
          <w:szCs w:val="24"/>
          <w:highlight w:val="none"/>
          <w:lang w:val="zh-CN"/>
        </w:rPr>
        <w:t xml:space="preserve">（投标人名称），提交投标文件。</w:t>
      </w:r>
      <w:bookmarkEnd w:id="98"/>
      <w:r/>
      <w:bookmarkEnd w:id="99"/>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w:t>
      </w:r>
      <w:r>
        <w:rPr>
          <w:rFonts w:hint="eastAsia" w:ascii="宋体" w:hAnsi="宋体" w:cs="宋体"/>
          <w:b/>
          <w:color w:val="auto"/>
          <w:sz w:val="24"/>
          <w:szCs w:val="24"/>
          <w:highlight w:val="none"/>
          <w:lang w:val="zh-CN"/>
        </w:rPr>
        <w:t xml:space="preserve">我们的资格条件完全符合政府采购法和本次招标要求</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我们</w:t>
      </w:r>
      <w:r>
        <w:rPr>
          <w:rFonts w:hint="eastAsia" w:ascii="宋体" w:hAnsi="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按招标要求，我们的投标总报价为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（大写）元人民币。其中，小型企业的产品为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（大写）元人民币。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auto"/>
          <w:sz w:val="24"/>
          <w:szCs w:val="24"/>
          <w:highlight w:val="none"/>
          <w:lang w:val="zh-CN"/>
        </w:rPr>
        <w:t xml:space="preserve">不对招标文件本身提出质疑</w:t>
      </w:r>
      <w:r>
        <w:rPr>
          <w:rFonts w:hint="eastAsia" w:ascii="宋体" w:hAnsi="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、与本投标有关的正式联系方式为：</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地址：</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电话：</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传真：</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银行账号：</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供应商授权代表姓名（签字）：</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供应商名称：（盖章）</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spacing w:line="360" w:lineRule="auto"/>
        <w:rPr>
          <w:rFonts w:hint="eastAsia" w:ascii="宋体" w:hAnsi="宋体" w:cs="宋体"/>
          <w:color w:val="auto"/>
          <w:sz w:val="24"/>
          <w:szCs w:val="24"/>
          <w:highlight w:val="none"/>
        </w:rPr>
        <w:outlineLvl w:val="1"/>
      </w:pPr>
      <w:r>
        <w:rPr>
          <w:rFonts w:ascii="宋体" w:hAnsi="宋体" w:cs="宋体"/>
          <w:b/>
          <w:color w:val="auto"/>
          <w:sz w:val="24"/>
          <w:szCs w:val="24"/>
          <w:highlight w:val="none"/>
          <w:lang w:val="zh-CN"/>
        </w:rPr>
        <w:br w:type="page" w:clear="all"/>
      </w:r>
      <w:bookmarkStart w:id="100" w:name="_Toc228350078"/>
      <w:r>
        <w:rPr>
          <w:rFonts w:hint="eastAsia" w:ascii="宋体" w:hAnsi="宋体" w:cs="宋体"/>
          <w:b/>
          <w:color w:val="auto"/>
          <w:sz w:val="24"/>
          <w:szCs w:val="24"/>
          <w:highlight w:val="none"/>
          <w:lang w:val="zh-CN"/>
        </w:rPr>
        <w:t xml:space="preserve">附件二、法定代表人授权书格式</w:t>
      </w:r>
      <w:bookmarkEnd w:id="100"/>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法定代表人授权委托书</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南京江北新区管理委员会教育局、捷宏润安工程顾问（江苏）有限公司 ：</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本授权书声明：注册于</w:t>
      </w:r>
      <w:r>
        <w:rPr>
          <w:rFonts w:hint="eastAsia" w:ascii="宋体" w:hAnsi="宋体" w:cs="宋体"/>
          <w:color w:val="auto"/>
          <w:sz w:val="24"/>
          <w:szCs w:val="24"/>
          <w:highlight w:val="none"/>
          <w:u w:val="single"/>
          <w:lang w:val="zh-CN"/>
        </w:rPr>
        <w:t xml:space="preserve">             （投标人住址）</w:t>
      </w:r>
      <w:r>
        <w:rPr>
          <w:rFonts w:hint="eastAsia" w:ascii="宋体" w:hAnsi="宋体" w:cs="宋体"/>
          <w:color w:val="auto"/>
          <w:sz w:val="24"/>
          <w:szCs w:val="24"/>
          <w:highlight w:val="none"/>
          <w:lang w:val="zh-CN"/>
        </w:rPr>
        <w:t xml:space="preserve">的 </w:t>
      </w:r>
      <w:r>
        <w:rPr>
          <w:rFonts w:hint="eastAsia" w:ascii="宋体" w:hAnsi="宋体" w:cs="宋体"/>
          <w:color w:val="auto"/>
          <w:sz w:val="24"/>
          <w:szCs w:val="24"/>
          <w:highlight w:val="none"/>
          <w:u w:val="single"/>
          <w:lang w:val="zh-CN"/>
        </w:rPr>
        <w:t xml:space="preserve">       （投标人名称）</w:t>
      </w:r>
      <w:r>
        <w:rPr>
          <w:rFonts w:hint="eastAsia" w:ascii="宋体" w:hAnsi="宋体" w:cs="宋体"/>
          <w:color w:val="auto"/>
          <w:sz w:val="24"/>
          <w:szCs w:val="24"/>
          <w:highlight w:val="none"/>
          <w:lang w:val="zh-CN"/>
        </w:rPr>
        <w:t xml:space="preserve">法定代表人 </w:t>
      </w:r>
      <w:r>
        <w:rPr>
          <w:rFonts w:hint="eastAsia" w:ascii="宋体" w:hAnsi="宋体" w:cs="宋体"/>
          <w:color w:val="auto"/>
          <w:sz w:val="24"/>
          <w:szCs w:val="24"/>
          <w:highlight w:val="none"/>
          <w:u w:val="single"/>
          <w:lang w:val="zh-CN"/>
        </w:rPr>
        <w:t xml:space="preserve">      （法定代表人姓名、职务）</w:t>
      </w:r>
      <w:r>
        <w:rPr>
          <w:rFonts w:hint="eastAsia" w:ascii="宋体" w:hAnsi="宋体" w:cs="宋体"/>
          <w:color w:val="auto"/>
          <w:sz w:val="24"/>
          <w:szCs w:val="24"/>
          <w:highlight w:val="none"/>
          <w:lang w:val="zh-CN"/>
        </w:rPr>
        <w:t xml:space="preserve">代表本公司授权在下面签字的 </w:t>
      </w:r>
      <w:r>
        <w:rPr>
          <w:rFonts w:hint="eastAsia" w:ascii="宋体" w:hAnsi="宋体" w:cs="宋体"/>
          <w:color w:val="auto"/>
          <w:sz w:val="24"/>
          <w:szCs w:val="24"/>
          <w:highlight w:val="none"/>
          <w:u w:val="single"/>
          <w:lang w:val="zh-CN"/>
        </w:rPr>
        <w:t xml:space="preserve">        （投标人代表姓名、职务）</w:t>
      </w:r>
      <w:r>
        <w:rPr>
          <w:rFonts w:hint="eastAsia" w:ascii="宋体" w:hAnsi="宋体" w:cs="宋体"/>
          <w:color w:val="auto"/>
          <w:sz w:val="24"/>
          <w:szCs w:val="24"/>
          <w:highlight w:val="none"/>
          <w:lang w:val="zh-CN"/>
        </w:rPr>
        <w:t xml:space="preserve">为本公司的合法代理人，就贵方组织的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法定代表人签字：</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授权委托人签字：        </w:t>
      </w:r>
      <w:r/>
    </w:p>
    <w:p>
      <w:pPr>
        <w:pStyle w:val="1080"/>
        <w:spacing w:line="480" w:lineRule="exact"/>
        <w:tabs>
          <w:tab w:val="left" w:pos="360" w:leader="none"/>
        </w:tabs>
        <w:rPr>
          <w:rFonts w:hint="eastAsia" w:ascii="宋体" w:hAnsi="宋体" w:cs="宋体"/>
          <w:color w:val="auto"/>
          <w:szCs w:val="24"/>
          <w:highlight w:val="none"/>
        </w:rPr>
      </w:pPr>
      <w:r>
        <w:rPr>
          <w:rFonts w:hint="eastAsia" w:ascii="宋体" w:hAnsi="宋体" w:cs="宋体"/>
          <w:color w:val="auto"/>
          <w:szCs w:val="24"/>
          <w:highlight w:val="none"/>
          <w:lang w:val="zh-CN"/>
        </w:rPr>
        <w:t xml:space="preserve">单位名称：（加盖电子公章）   </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    月    日</w:t>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法定代表人</w:t>
      </w:r>
      <w:r>
        <w:rPr>
          <w:rFonts w:hint="eastAsia" w:ascii="宋体" w:hAnsi="宋体" w:cs="宋体"/>
          <w:b/>
          <w:bCs/>
          <w:color w:val="auto"/>
          <w:sz w:val="24"/>
          <w:szCs w:val="24"/>
          <w:highlight w:val="none"/>
        </w:rPr>
        <w:t xml:space="preserve">身份证原件扫描件：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被授权人</w:t>
      </w:r>
      <w:r>
        <w:rPr>
          <w:rFonts w:hint="eastAsia" w:ascii="宋体" w:hAnsi="宋体" w:cs="宋体"/>
          <w:b/>
          <w:bCs/>
          <w:color w:val="auto"/>
          <w:sz w:val="24"/>
          <w:szCs w:val="24"/>
          <w:highlight w:val="none"/>
          <w:lang w:val="zh-CN"/>
        </w:rPr>
        <w:t xml:space="preserve">的身份证明文件的扫描件：</w:t>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rPr>
        <w:outlineLvl w:val="1"/>
      </w:pPr>
      <w:r>
        <w:rPr>
          <w:rFonts w:ascii="宋体" w:hAnsi="宋体" w:cs="宋体"/>
          <w:b/>
          <w:color w:val="auto"/>
          <w:sz w:val="24"/>
          <w:szCs w:val="24"/>
          <w:highlight w:val="none"/>
          <w:lang w:val="zh-CN"/>
        </w:rPr>
        <w:br w:type="page" w:clear="all"/>
      </w:r>
      <w:bookmarkStart w:id="101" w:name="_Toc228350079"/>
      <w:r>
        <w:rPr>
          <w:rFonts w:hint="eastAsia" w:ascii="宋体" w:hAnsi="宋体" w:cs="宋体"/>
          <w:b/>
          <w:color w:val="auto"/>
          <w:sz w:val="24"/>
          <w:szCs w:val="24"/>
          <w:highlight w:val="none"/>
          <w:lang w:val="zh-CN"/>
        </w:rPr>
        <w:t xml:space="preserve">附件三、开标一览表格式</w:t>
      </w:r>
      <w:bookmarkEnd w:id="101"/>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开标一览表</w:t>
      </w:r>
      <w:r/>
    </w:p>
    <w:tbl>
      <w:tblPr>
        <w:tblStyle w:val="721"/>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项目名称： </w:t>
            </w:r>
            <w:r/>
          </w:p>
        </w:tc>
        <w:tc>
          <w:tcPr>
            <w:gridSpan w:val="2"/>
            <w:tcW w:w="3347"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名               称</w:t>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单位</w:t>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1</w:t>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z w:val="24"/>
                <w:szCs w:val="24"/>
                <w:highlight w:val="none"/>
              </w:rPr>
              <w:t xml:space="preserve">南京师范大学附属中学江北新区学校新建工程项目实验室装备采购</w:t>
            </w:r>
            <w:r/>
          </w:p>
        </w:tc>
        <w:tc>
          <w:tcPr>
            <w:tcW w:w="872"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10：X</w:t>
            </w:r>
            <w:r/>
          </w:p>
        </w:tc>
      </w:tr>
    </w:tbl>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说明：</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zh-CN"/>
        </w:rPr>
        <w:t xml:space="preserve">、</w:t>
      </w:r>
      <w:r>
        <w:rPr>
          <w:rFonts w:hint="eastAsia" w:ascii="宋体" w:hAnsi="宋体" w:cs="宋体"/>
          <w:color w:val="auto"/>
          <w:sz w:val="24"/>
          <w:szCs w:val="24"/>
          <w:highlight w:val="none"/>
          <w:lang w:val="zh-CN"/>
        </w:rPr>
        <w:t xml:space="preserve">在“投标货物中有无进口产品”栏后“有”或“无”上打“√”。</w:t>
      </w:r>
      <w:r/>
    </w:p>
    <w:p>
      <w:pPr>
        <w:ind w:firstLine="420"/>
        <w:jc w:val="center"/>
        <w:spacing w:line="360" w:lineRule="auto"/>
        <w:widowControl/>
        <w:rPr>
          <w:rFonts w:hint="eastAsia" w:ascii="宋体" w:hAnsi="宋体" w:cs="宋体"/>
          <w:b/>
          <w:bCs/>
          <w:color w:val="auto"/>
          <w:sz w:val="28"/>
          <w:szCs w:val="28"/>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、在“供应商是否属于小和微型企业”栏后“是”或“否”上打“√”。</w:t>
      </w:r>
      <w:r>
        <w:rPr>
          <w:rFonts w:cs="宋体"/>
          <w:color w:val="auto"/>
          <w:sz w:val="24"/>
          <w:szCs w:val="24"/>
          <w:highlight w:val="none"/>
          <w:lang w:val="zh-CN"/>
        </w:rPr>
        <w:br w:type="page" w:clear="all"/>
      </w:r>
      <w:r>
        <w:rPr>
          <w:rFonts w:hint="eastAsia" w:ascii="宋体" w:hAnsi="宋体" w:cs="宋体"/>
          <w:b/>
          <w:bCs/>
          <w:color w:val="auto"/>
          <w:sz w:val="28"/>
          <w:szCs w:val="28"/>
          <w:highlight w:val="none"/>
          <w:lang w:val="zh-CN"/>
        </w:rPr>
        <w:t xml:space="preserve">分项报价表</w:t>
      </w:r>
      <w:r/>
    </w:p>
    <w:tbl>
      <w:tblPr>
        <w:tblStyle w:val="721"/>
        <w:tblW w:w="10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jc w:val="center"/>
          <w:trHeight w:val="624"/>
        </w:trPr>
        <w:tc>
          <w:tcPr>
            <w:tcW w:w="78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shd w:val="clear" w:color="auto" w:fill="ffffff"/>
            <w:tcW w:w="252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产品名称</w:t>
            </w:r>
            <w:r/>
          </w:p>
        </w:tc>
        <w:tc>
          <w:tcPr>
            <w:shd w:val="clear" w:color="auto" w:fill="ffffff"/>
            <w:tcW w:w="213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技术参数要求</w:t>
            </w:r>
            <w:r/>
          </w:p>
        </w:tc>
        <w:tc>
          <w:tcPr>
            <w:shd w:val="clear" w:color="auto" w:fill="ffffff"/>
            <w:tcW w:w="81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shd w:val="clear" w:color="auto" w:fill="ffffff"/>
            <w:tcW w:w="95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数量</w:t>
            </w:r>
            <w:r/>
          </w:p>
        </w:tc>
        <w:tc>
          <w:tcPr>
            <w:shd w:val="clear" w:color="auto" w:fill="ffffff"/>
            <w:tcW w:w="1452" w:type="dxa"/>
            <w:vAlign w:val="center"/>
            <w:textDirection w:val="lrTb"/>
            <w:noWrap w:val="false"/>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单价（元）</w:t>
            </w:r>
            <w:r/>
          </w:p>
        </w:tc>
        <w:tc>
          <w:tcPr>
            <w:shd w:val="clear" w:color="auto" w:fill="ffffff"/>
            <w:tcW w:w="1740" w:type="dxa"/>
            <w:vAlign w:val="center"/>
            <w:textDirection w:val="lrTb"/>
            <w:noWrap w:val="false"/>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合价（元）</w:t>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gridSpan w:val="5"/>
            <w:shd w:val="clear" w:color="auto" w:fill="ffffff"/>
            <w:tcW w:w="788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总价：</w:t>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5</w:t>
            </w:r>
            <w:r/>
          </w:p>
        </w:tc>
        <w:tc>
          <w:tcPr>
            <w:gridSpan w:val="5"/>
            <w:shd w:val="clear" w:color="auto" w:fill="ffffff"/>
            <w:tcW w:w="7881" w:type="dxa"/>
            <w:vAlign w:val="center"/>
            <w:textDirection w:val="lrTb"/>
            <w:noWrap w:val="false"/>
          </w:tcPr>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总价（含税）：</w:t>
            </w:r>
            <w:r/>
          </w:p>
        </w:tc>
        <w:tc>
          <w:tcPr>
            <w:shd w:val="clear" w:color="auto" w:fill="ffffff"/>
            <w:tcW w:w="1740" w:type="dxa"/>
            <w:vAlign w:val="center"/>
            <w:textDirection w:val="lrTb"/>
            <w:noWrap w:val="false"/>
          </w:tcPr>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bl>
    <w:p>
      <w:pPr>
        <w:ind w:firstLine="360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    月   日</w:t>
      </w:r>
      <w:r/>
    </w:p>
    <w:p>
      <w:pPr>
        <w:pStyle w:val="847"/>
        <w:rPr>
          <w:rFonts w:hint="eastAsia" w:ascii="宋体" w:hAnsi="宋体" w:cs="宋体"/>
          <w:color w:val="auto"/>
          <w:szCs w:val="24"/>
          <w:highlight w:val="none"/>
        </w:rPr>
      </w:pPr>
      <w:r>
        <w:rPr>
          <w:rFonts w:hint="eastAsia" w:ascii="宋体" w:hAnsi="宋体" w:cs="宋体"/>
          <w:color w:val="auto"/>
          <w:szCs w:val="24"/>
          <w:highlight w:val="none"/>
        </w:rPr>
      </w:r>
      <w:r/>
    </w:p>
    <w:p>
      <w:pPr>
        <w:jc w:val="left"/>
        <w:spacing w:line="360" w:lineRule="auto"/>
        <w:widowControl/>
        <w:rPr>
          <w:rFonts w:hint="eastAsia" w:ascii="宋体" w:hAnsi="宋体" w:cs="宋体"/>
          <w:b/>
          <w:color w:val="auto"/>
          <w:sz w:val="24"/>
          <w:szCs w:val="24"/>
          <w:highlight w:val="none"/>
        </w:rPr>
        <w:outlineLvl w:val="1"/>
      </w:pPr>
      <w:r>
        <w:rPr>
          <w:rFonts w:ascii="宋体" w:hAnsi="宋体" w:cs="宋体"/>
          <w:b/>
          <w:color w:val="auto"/>
          <w:sz w:val="24"/>
          <w:szCs w:val="24"/>
          <w:highlight w:val="none"/>
        </w:rPr>
        <w:br w:type="page" w:clear="all"/>
      </w:r>
      <w:bookmarkStart w:id="102" w:name="_Toc10499"/>
      <w:r>
        <w:rPr>
          <w:rFonts w:hint="eastAsia" w:ascii="宋体" w:hAnsi="宋体" w:cs="宋体"/>
          <w:b/>
          <w:color w:val="auto"/>
          <w:sz w:val="24"/>
          <w:szCs w:val="24"/>
          <w:highlight w:val="none"/>
          <w:lang w:val="zh-CN"/>
        </w:rPr>
        <w:t xml:space="preserve">附件四、供货一览表格式</w:t>
      </w:r>
      <w:bookmarkEnd w:id="102"/>
      <w:r/>
      <w:r/>
    </w:p>
    <w:p>
      <w:pPr>
        <w:jc w:val="center"/>
        <w:spacing w:line="360" w:lineRule="auto"/>
        <w:rPr>
          <w:rStyle w:val="1299"/>
          <w:rFonts w:hint="eastAsia" w:ascii="宋体" w:hAnsi="宋体" w:cs="宋体"/>
          <w:b/>
          <w:color w:val="auto"/>
          <w:sz w:val="24"/>
          <w:szCs w:val="22"/>
          <w:highlight w:val="none"/>
        </w:rPr>
      </w:pPr>
      <w:r>
        <w:rPr>
          <w:rStyle w:val="1299"/>
          <w:rFonts w:hint="eastAsia" w:ascii="宋体" w:hAnsi="宋体" w:cs="宋体"/>
          <w:b/>
          <w:color w:val="auto"/>
          <w:sz w:val="24"/>
          <w:szCs w:val="22"/>
          <w:highlight w:val="none"/>
        </w:rPr>
        <w:t xml:space="preserve">供货一览表(格式供参考)</w:t>
      </w:r>
      <w:r/>
    </w:p>
    <w:p>
      <w:pPr>
        <w:pStyle w:val="1322"/>
        <w:ind w:left="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pStyle w:val="1322"/>
        <w:ind w:left="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货物品类</w:t>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货物名称</w:t>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品牌/规格</w:t>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供应商（</w:t>
      </w:r>
      <w:r>
        <w:rPr>
          <w:rFonts w:hint="eastAsia" w:ascii="宋体" w:hAnsi="宋体" w:cs="宋体"/>
          <w:color w:val="auto"/>
          <w:sz w:val="24"/>
          <w:highlight w:val="none"/>
        </w:rPr>
        <w:t xml:space="preserve">加盖电子公章</w:t>
      </w:r>
      <w:r>
        <w:rPr>
          <w:rFonts w:hint="eastAsia" w:ascii="宋体" w:hAnsi="宋体" w:cs="宋体"/>
          <w:color w:val="auto"/>
          <w:sz w:val="24"/>
          <w:highlight w:val="none"/>
          <w:lang w:val="zh-CN"/>
        </w:rPr>
        <w:t xml:space="preserve">）：   </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日期：年  月 日</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pStyle w:val="722"/>
        <w:rPr>
          <w:rFonts w:hint="eastAsia"/>
          <w:color w:val="auto"/>
          <w:highlight w:val="none"/>
          <w:lang w:val="zh-CN"/>
        </w:rPr>
      </w:pPr>
      <w:r>
        <w:rPr>
          <w:rFonts w:hint="eastAsia"/>
          <w:color w:val="auto"/>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bookmarkStart w:id="103" w:name="_Toc228350080"/>
      <w:r>
        <w:rPr>
          <w:rFonts w:hint="eastAsia" w:ascii="宋体" w:hAnsi="宋体" w:cs="宋体"/>
          <w:b/>
          <w:color w:val="auto"/>
          <w:sz w:val="24"/>
          <w:szCs w:val="24"/>
          <w:highlight w:val="none"/>
          <w:lang w:val="zh-CN"/>
        </w:rPr>
        <w:t xml:space="preserve">附件五、技术条款偏离表格式</w:t>
      </w:r>
      <w:bookmarkEnd w:id="103"/>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技术条款偏离表</w:t>
      </w:r>
      <w:r/>
    </w:p>
    <w:tbl>
      <w:tblPr>
        <w:tblStyle w:val="72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W w:w="9651" w:type="dxa"/>
            <w:vAlign w:val="top"/>
            <w:textDirection w:val="lrTb"/>
            <w:noWrap w:val="false"/>
          </w:tcPr>
          <w:p>
            <w:pPr>
              <w:jc w:val="left"/>
              <w:spacing w:before="240" w:line="400" w:lineRule="exact"/>
              <w:rPr>
                <w:rFonts w:ascii="宋体" w:hAnsi="宋体"/>
                <w:color w:val="auto"/>
                <w:sz w:val="24"/>
                <w:szCs w:val="24"/>
                <w:highlight w:val="non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名称</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651" w:type="dxa"/>
            <w:vAlign w:val="top"/>
            <w:textDirection w:val="lrTb"/>
            <w:noWrap w:val="false"/>
          </w:tcPr>
          <w:p>
            <w:pPr>
              <w:jc w:val="left"/>
              <w:spacing w:before="240" w:line="400" w:lineRule="exact"/>
              <w:rPr>
                <w:rFonts w:ascii="宋体" w:hAnsi="宋体"/>
                <w:bCs/>
                <w:color w:val="auto"/>
                <w:sz w:val="24"/>
                <w:szCs w:val="24"/>
                <w:highlight w:val="none"/>
                <w:u w:val="singl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编号</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651" w:type="dxa"/>
            <w:vAlign w:val="center"/>
            <w:textDirection w:val="lrTb"/>
            <w:noWrap w:val="false"/>
          </w:tcPr>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对本项目技术条款的偏离情况（应进行选择，未选择响应无效）：</w:t>
            </w:r>
            <w:r/>
          </w:p>
          <w:p>
            <w:pPr>
              <w:jc w:val="left"/>
              <w:spacing w:line="400" w:lineRule="exact"/>
              <w:rPr>
                <w:rFonts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jc w:val="left"/>
              <w:spacing w:line="400" w:lineRule="exact"/>
              <w:rPr>
                <w:rFonts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W w:w="775"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序号</w:t>
            </w:r>
            <w:r/>
          </w:p>
        </w:tc>
        <w:tc>
          <w:tcPr>
            <w:tcW w:w="1482"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W w:w="2384" w:type="dxa"/>
            <w:vAlign w:val="center"/>
            <w:textDirection w:val="lrTb"/>
            <w:noWrap w:val="false"/>
          </w:tcPr>
          <w:p>
            <w:pPr>
              <w:jc w:val="center"/>
              <w:spacing w:line="400" w:lineRule="exact"/>
              <w:rPr>
                <w:rFonts w:ascii="宋体" w:hAnsi="宋体"/>
                <w:color w:val="auto"/>
                <w:sz w:val="24"/>
                <w:szCs w:val="24"/>
                <w:highlight w:val="none"/>
                <w:lang w:eastAsia="en-US"/>
              </w:rPr>
            </w:pPr>
            <w:r>
              <w:rPr>
                <w:rFonts w:hint="eastAsia" w:ascii="宋体" w:hAnsi="宋体"/>
                <w:color w:val="auto"/>
                <w:sz w:val="24"/>
                <w:szCs w:val="24"/>
                <w:highlight w:val="none"/>
              </w:rPr>
              <w:t xml:space="preserve">招标文件</w:t>
            </w:r>
            <w:r>
              <w:rPr>
                <w:rFonts w:ascii="宋体" w:hAnsi="宋体"/>
                <w:color w:val="auto"/>
                <w:sz w:val="24"/>
                <w:szCs w:val="24"/>
                <w:highlight w:val="none"/>
                <w:lang w:eastAsia="en-US"/>
              </w:rPr>
              <w:t xml:space="preserve">要求</w:t>
            </w:r>
            <w:r/>
          </w:p>
        </w:tc>
        <w:tc>
          <w:tcPr>
            <w:tcW w:w="2126"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响应内容</w:t>
            </w:r>
            <w:r/>
          </w:p>
        </w:tc>
        <w:tc>
          <w:tcPr>
            <w:tcW w:w="18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（据实填写）</w:t>
            </w:r>
            <w:r/>
          </w:p>
        </w:tc>
        <w:tc>
          <w:tcPr>
            <w:tcW w:w="1009"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说明</w:t>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bl>
    <w:p>
      <w:pPr>
        <w:jc w:val="left"/>
        <w:spacing w:line="400" w:lineRule="exact"/>
        <w:tabs>
          <w:tab w:val="left" w:pos="1800" w:leader="none"/>
          <w:tab w:val="left" w:pos="5580" w:leader="none"/>
        </w:tabs>
        <w:rPr>
          <w:rFonts w:ascii="宋体" w:hAnsi="宋体"/>
          <w:color w:val="auto"/>
          <w:sz w:val="24"/>
          <w:szCs w:val="24"/>
          <w:highlight w:val="none"/>
          <w:lang w:eastAsia="en-US"/>
        </w:rPr>
      </w:pPr>
      <w:r>
        <w:rPr>
          <w:rFonts w:ascii="宋体" w:hAnsi="宋体"/>
          <w:color w:val="auto"/>
          <w:sz w:val="24"/>
          <w:szCs w:val="24"/>
          <w:highlight w:val="none"/>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bookmarkStart w:id="104" w:name="_Hlk108605718"/>
      <w:r>
        <w:rPr>
          <w:rFonts w:hint="eastAsia" w:ascii="宋体" w:hAnsi="宋体"/>
          <w:color w:val="auto"/>
          <w:sz w:val="24"/>
          <w:szCs w:val="24"/>
          <w:highlight w:val="none"/>
        </w:rPr>
        <w:t xml:space="preserve">《第四章 采购需求》</w:t>
      </w:r>
      <w:bookmarkEnd w:id="104"/>
      <w:r>
        <w:rPr>
          <w:rFonts w:hint="eastAsia" w:ascii="宋体" w:hAnsi="宋体"/>
          <w:color w:val="auto"/>
          <w:sz w:val="24"/>
          <w:szCs w:val="24"/>
          <w:highlight w:val="none"/>
        </w:rPr>
        <w:t xml:space="preserve">中</w:t>
      </w:r>
      <w:r>
        <w:rPr>
          <w:rFonts w:ascii="宋体" w:hAnsi="宋体"/>
          <w:color w:val="auto"/>
          <w:sz w:val="24"/>
          <w:szCs w:val="24"/>
          <w:highlight w:val="none"/>
        </w:rPr>
        <w:t xml:space="preserve">的所有技术要求，除本表所列明的所有偏离外，均视作供应商已对之理解和响应。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jc w:val="left"/>
        <w:spacing w:line="400" w:lineRule="exact"/>
        <w:rPr>
          <w:rFonts w:ascii="Calibri" w:hAnsi="Calibri"/>
          <w:color w:val="auto"/>
          <w:sz w:val="24"/>
          <w:szCs w:val="24"/>
          <w:highlight w:val="none"/>
        </w:rPr>
      </w:pPr>
      <w:r>
        <w:rPr>
          <w:rFonts w:ascii="Calibri" w:hAnsi="Calibri"/>
          <w:color w:val="auto"/>
          <w:sz w:val="24"/>
          <w:szCs w:val="24"/>
          <w:highlight w:val="none"/>
        </w:rPr>
      </w:r>
      <w:r/>
    </w:p>
    <w:p>
      <w:pPr>
        <w:ind w:right="360"/>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before="25" w:after="25" w:line="400" w:lineRule="exact"/>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（加盖公章）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jc w:val="left"/>
        <w:spacing w:line="360" w:lineRule="auto"/>
        <w:widowControl/>
        <w:rPr>
          <w:rFonts w:ascii="宋体" w:hAnsi="宋体" w:cs="宋体"/>
          <w:b/>
          <w:color w:val="auto"/>
          <w:sz w:val="24"/>
          <w:szCs w:val="24"/>
          <w:highlight w:val="none"/>
          <w:lang w:val="zh-CN"/>
        </w:rPr>
        <w:outlineLvl w:val="1"/>
      </w:pPr>
      <w:r>
        <w:rPr>
          <w:rFonts w:ascii="宋体" w:hAnsi="宋体"/>
          <w:b/>
          <w:color w:val="auto"/>
          <w:sz w:val="22"/>
          <w:szCs w:val="24"/>
          <w:highlight w:val="none"/>
        </w:rPr>
        <w:br w:type="page" w:clear="all"/>
      </w:r>
      <w:bookmarkStart w:id="105" w:name="_Toc228350081"/>
      <w:r>
        <w:rPr>
          <w:rFonts w:hint="eastAsia" w:ascii="宋体" w:hAnsi="宋体" w:cs="宋体"/>
          <w:b/>
          <w:color w:val="auto"/>
          <w:sz w:val="24"/>
          <w:szCs w:val="24"/>
          <w:highlight w:val="none"/>
          <w:lang w:val="zh-CN"/>
        </w:rPr>
        <w:t xml:space="preserve">附件六、商务条款偏离表格式</w:t>
      </w:r>
      <w:bookmarkEnd w:id="105"/>
      <w:r/>
      <w:r/>
    </w:p>
    <w:p>
      <w:pPr>
        <w:jc w:val="center"/>
        <w:spacing w:before="120" w:after="120" w:line="360" w:lineRule="auto"/>
        <w:rPr>
          <w:rFonts w:ascii="宋体" w:hAnsi="宋体"/>
          <w:color w:val="auto"/>
          <w:sz w:val="32"/>
          <w:szCs w:val="32"/>
          <w:highlight w:val="none"/>
          <w:lang w:eastAsia="en-US"/>
        </w:rPr>
      </w:pPr>
      <w:r/>
      <w:bookmarkStart w:id="106" w:name="_Hlk108563484"/>
      <w:r>
        <w:rPr>
          <w:rFonts w:hint="eastAsia" w:ascii="宋体" w:hAnsi="宋体" w:cs="宋体"/>
          <w:b/>
          <w:bCs/>
          <w:color w:val="auto"/>
          <w:sz w:val="28"/>
          <w:szCs w:val="28"/>
          <w:highlight w:val="none"/>
          <w:lang w:val="zh-CN"/>
        </w:rPr>
        <w:t xml:space="preserve">商务条款偏离表</w:t>
      </w:r>
      <w:bookmarkEnd w:id="106"/>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jc w:val="center"/>
          <w:trHeight w:val="851"/>
        </w:trPr>
        <w:tc>
          <w:tcPr>
            <w:gridSpan w:val="6"/>
            <w:tcW w:w="9986" w:type="dxa"/>
            <w:vAlign w:val="top"/>
            <w:textDirection w:val="lrTb"/>
            <w:noWrap w:val="false"/>
          </w:tcPr>
          <w:p>
            <w:pPr>
              <w:jc w:val="left"/>
              <w:spacing w:before="240" w:line="400" w:lineRule="exact"/>
              <w:rPr>
                <w:rFonts w:ascii="宋体" w:hAnsi="宋体"/>
                <w:bCs/>
                <w:color w:val="auto"/>
                <w:sz w:val="24"/>
                <w:szCs w:val="24"/>
                <w:highlight w:val="none"/>
                <w:lang w:eastAsia="en-US"/>
              </w:rPr>
            </w:pPr>
            <w:r/>
            <w:bookmarkStart w:id="107" w:name="_Hlk108563504"/>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名称</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986" w:type="dxa"/>
            <w:vAlign w:val="top"/>
            <w:textDirection w:val="lrTb"/>
            <w:noWrap w:val="false"/>
          </w:tcPr>
          <w:p>
            <w:pPr>
              <w:jc w:val="left"/>
              <w:spacing w:before="240" w:line="400" w:lineRule="exact"/>
              <w:rPr>
                <w:rFonts w:ascii="宋体" w:hAnsi="宋体"/>
                <w:bCs/>
                <w:color w:val="auto"/>
                <w:sz w:val="24"/>
                <w:szCs w:val="24"/>
                <w:highlight w:val="none"/>
                <w:u w:val="singl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编号</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986" w:type="dxa"/>
            <w:vAlign w:val="center"/>
            <w:textDirection w:val="lrTb"/>
            <w:noWrap w:val="false"/>
          </w:tcPr>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对本项目商务条款的偏离情况（应进行选择，未选择响应无效）：</w:t>
            </w:r>
            <w:r/>
          </w:p>
          <w:p>
            <w:pPr>
              <w:jc w:val="left"/>
              <w:spacing w:line="400" w:lineRule="exact"/>
              <w:rPr>
                <w:rFonts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jc w:val="left"/>
              <w:spacing w:line="400" w:lineRule="exact"/>
              <w:rPr>
                <w:rFonts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W w:w="801"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序号</w:t>
            </w:r>
            <w:r/>
          </w:p>
        </w:tc>
        <w:tc>
          <w:tcPr>
            <w:tcW w:w="153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W w:w="2467" w:type="dxa"/>
            <w:vAlign w:val="center"/>
            <w:textDirection w:val="lrTb"/>
            <w:noWrap w:val="false"/>
          </w:tcPr>
          <w:p>
            <w:pPr>
              <w:jc w:val="center"/>
              <w:spacing w:line="400" w:lineRule="exact"/>
              <w:rPr>
                <w:rFonts w:ascii="宋体" w:hAnsi="宋体"/>
                <w:color w:val="auto"/>
                <w:sz w:val="24"/>
                <w:szCs w:val="24"/>
                <w:highlight w:val="none"/>
                <w:lang w:eastAsia="en-US"/>
              </w:rPr>
            </w:pPr>
            <w:r>
              <w:rPr>
                <w:rFonts w:hint="eastAsia" w:ascii="宋体" w:hAnsi="宋体"/>
                <w:color w:val="auto"/>
                <w:sz w:val="24"/>
                <w:szCs w:val="24"/>
                <w:highlight w:val="none"/>
              </w:rPr>
              <w:t xml:space="preserve">招标文件</w:t>
            </w:r>
            <w:r>
              <w:rPr>
                <w:rFonts w:ascii="宋体" w:hAnsi="宋体"/>
                <w:color w:val="auto"/>
                <w:sz w:val="24"/>
                <w:szCs w:val="24"/>
                <w:highlight w:val="none"/>
                <w:lang w:eastAsia="en-US"/>
              </w:rPr>
              <w:t xml:space="preserve">要求</w:t>
            </w:r>
            <w:r/>
          </w:p>
        </w:tc>
        <w:tc>
          <w:tcPr>
            <w:tcW w:w="2200"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响应内容</w:t>
            </w:r>
            <w:r/>
          </w:p>
        </w:tc>
        <w:tc>
          <w:tcPr>
            <w:tcW w:w="194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（据实填写）</w:t>
            </w:r>
            <w:r/>
          </w:p>
        </w:tc>
        <w:tc>
          <w:tcPr>
            <w:tcW w:w="1045"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说明</w:t>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bookmarkEnd w:id="107"/>
            <w:r/>
            <w:r/>
          </w:p>
        </w:tc>
      </w:tr>
    </w:tbl>
    <w:p>
      <w:pPr>
        <w:jc w:val="left"/>
        <w:spacing w:line="400" w:lineRule="exact"/>
        <w:tabs>
          <w:tab w:val="left" w:pos="1800" w:leader="none"/>
          <w:tab w:val="left" w:pos="5580" w:leader="none"/>
        </w:tabs>
        <w:rPr>
          <w:rFonts w:ascii="宋体" w:hAnsi="宋体"/>
          <w:color w:val="auto"/>
          <w:sz w:val="24"/>
          <w:szCs w:val="24"/>
          <w:highlight w:val="none"/>
          <w:lang w:eastAsia="en-US"/>
        </w:rPr>
      </w:pPr>
      <w:r>
        <w:rPr>
          <w:rFonts w:ascii="宋体" w:hAnsi="宋体"/>
          <w:color w:val="auto"/>
          <w:sz w:val="24"/>
          <w:szCs w:val="24"/>
          <w:highlight w:val="none"/>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《第四章 采购需求》中</w:t>
      </w:r>
      <w:r>
        <w:rPr>
          <w:rFonts w:ascii="宋体" w:hAnsi="宋体"/>
          <w:color w:val="auto"/>
          <w:sz w:val="24"/>
          <w:szCs w:val="24"/>
          <w:highlight w:val="none"/>
        </w:rPr>
        <w:t xml:space="preserve">的所有</w:t>
      </w:r>
      <w:r>
        <w:rPr>
          <w:rFonts w:hint="eastAsia" w:ascii="宋体" w:hAnsi="宋体"/>
          <w:color w:val="auto"/>
          <w:sz w:val="24"/>
          <w:szCs w:val="24"/>
          <w:highlight w:val="none"/>
        </w:rPr>
        <w:t xml:space="preserve">商务</w:t>
      </w:r>
      <w:r>
        <w:rPr>
          <w:rFonts w:ascii="宋体" w:hAnsi="宋体"/>
          <w:color w:val="auto"/>
          <w:sz w:val="24"/>
          <w:szCs w:val="24"/>
          <w:highlight w:val="none"/>
        </w:rPr>
        <w:t xml:space="preserve">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before="25" w:after="25" w:line="400" w:lineRule="exact"/>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（加盖公章）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jc w:val="left"/>
        <w:spacing w:line="360" w:lineRule="auto"/>
        <w:widowControl/>
        <w:rPr>
          <w:rFonts w:hint="eastAsia" w:ascii="宋体" w:hAnsi="宋体" w:cs="宋体"/>
          <w:b/>
          <w:color w:val="auto"/>
          <w:sz w:val="24"/>
          <w:szCs w:val="24"/>
          <w:highlight w:val="none"/>
          <w:lang w:val="zh-CN"/>
        </w:rPr>
        <w:outlineLvl w:val="1"/>
      </w:pPr>
      <w:r>
        <w:rPr>
          <w:rFonts w:ascii="Calibri" w:hAnsi="Calibri"/>
          <w:color w:val="auto"/>
          <w:sz w:val="22"/>
          <w:szCs w:val="22"/>
          <w:highlight w:val="none"/>
        </w:rPr>
        <w:br w:type="page" w:clear="all"/>
      </w:r>
      <w:bookmarkStart w:id="108" w:name="_Toc228350082"/>
      <w:r>
        <w:rPr>
          <w:rFonts w:hint="eastAsia" w:ascii="宋体" w:hAnsi="宋体" w:cs="宋体"/>
          <w:b/>
          <w:color w:val="auto"/>
          <w:sz w:val="24"/>
          <w:szCs w:val="24"/>
          <w:highlight w:val="none"/>
          <w:lang w:val="zh-CN"/>
        </w:rPr>
        <w:t xml:space="preserve">附件七、核心产品品牌一览表（实质性格式）</w:t>
      </w:r>
      <w:bookmarkEnd w:id="108"/>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21"/>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b/>
          <w:color w:val="auto"/>
          <w:sz w:val="22"/>
          <w:szCs w:val="24"/>
          <w:highlight w:val="none"/>
        </w:rPr>
        <w:br w:type="page" w:clear="all"/>
      </w:r>
      <w:bookmarkStart w:id="109" w:name="_Toc228350083"/>
      <w:r/>
      <w:bookmarkStart w:id="110" w:name="_Hlk108563601"/>
      <w:r>
        <w:rPr>
          <w:rFonts w:hint="eastAsia" w:ascii="宋体" w:hAnsi="宋体" w:cs="宋体"/>
          <w:b/>
          <w:color w:val="auto"/>
          <w:sz w:val="24"/>
          <w:szCs w:val="24"/>
          <w:highlight w:val="none"/>
          <w:lang w:val="zh-CN"/>
        </w:rPr>
        <w:t xml:space="preserve">附件八、供应商类似业绩表</w:t>
      </w:r>
      <w:bookmarkEnd w:id="109"/>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2023年1月1日</w:t>
      </w:r>
      <w:r>
        <w:rPr>
          <w:rFonts w:ascii="宋体" w:hAnsi="宋体" w:cs="宋体"/>
          <w:b/>
          <w:bCs/>
          <w:color w:val="auto"/>
          <w:sz w:val="28"/>
          <w:szCs w:val="28"/>
          <w:highlight w:val="none"/>
          <w:lang w:val="zh-CN"/>
        </w:rPr>
        <w:t xml:space="preserve">以来类似项目</w:t>
      </w:r>
      <w:r>
        <w:rPr>
          <w:rFonts w:hint="eastAsia" w:ascii="宋体" w:hAnsi="宋体" w:cs="宋体"/>
          <w:b/>
          <w:bCs/>
          <w:color w:val="auto"/>
          <w:sz w:val="28"/>
          <w:szCs w:val="28"/>
          <w:highlight w:val="none"/>
          <w:lang w:val="zh-CN"/>
        </w:rPr>
        <w:t xml:space="preserve">及</w:t>
      </w:r>
      <w:r>
        <w:rPr>
          <w:rFonts w:ascii="宋体" w:hAnsi="宋体" w:cs="宋体"/>
          <w:b/>
          <w:bCs/>
          <w:color w:val="auto"/>
          <w:sz w:val="28"/>
          <w:szCs w:val="28"/>
          <w:highlight w:val="none"/>
          <w:lang w:val="zh-CN"/>
        </w:rPr>
        <w:t xml:space="preserve">更优项目业绩</w:t>
      </w:r>
      <w:bookmarkEnd w:id="110"/>
      <w:r/>
      <w:r/>
    </w:p>
    <w:tbl>
      <w:tblPr>
        <w:tblStyle w:val="721"/>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序号</w:t>
            </w:r>
            <w:r/>
          </w:p>
        </w:tc>
        <w:tc>
          <w:tcPr>
            <w:tcW w:w="2523"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项目名称</w:t>
            </w:r>
            <w:r/>
          </w:p>
        </w:tc>
        <w:tc>
          <w:tcPr>
            <w:tcW w:w="1417"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用户单位</w:t>
            </w:r>
            <w:r/>
          </w:p>
        </w:tc>
        <w:tc>
          <w:tcPr>
            <w:tcW w:w="1276"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工作内容</w:t>
            </w:r>
            <w:r/>
          </w:p>
        </w:tc>
        <w:tc>
          <w:tcPr>
            <w:tcW w:w="1559"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合同履行期限</w:t>
            </w:r>
            <w:r/>
          </w:p>
        </w:tc>
        <w:tc>
          <w:tcPr>
            <w:tcW w:w="1276"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合同金额</w:t>
            </w:r>
            <w:r/>
          </w:p>
        </w:tc>
        <w:tc>
          <w:tcPr>
            <w:tcW w:w="1044"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备注</w:t>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bl>
    <w:p>
      <w:pPr>
        <w:jc w:val="left"/>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auto"/>
          <w:sz w:val="24"/>
          <w:szCs w:val="24"/>
          <w:highlight w:val="none"/>
        </w:rPr>
        <w:t xml:space="preserve">扫描件</w:t>
      </w:r>
      <w:r>
        <w:rPr>
          <w:rFonts w:hint="eastAsia" w:ascii="宋体" w:hAnsi="宋体"/>
          <w:b/>
          <w:color w:val="auto"/>
          <w:sz w:val="24"/>
          <w:szCs w:val="24"/>
          <w:highlight w:val="none"/>
        </w:rPr>
        <w:t xml:space="preserve">，提供的证明材料中相关信息需符合采购文件的规定。</w:t>
      </w:r>
      <w:r/>
    </w:p>
    <w:p>
      <w:pPr>
        <w:jc w:val="left"/>
        <w:spacing w:line="360" w:lineRule="auto"/>
        <w:widowControl/>
        <w:rPr>
          <w:rFonts w:ascii="宋体" w:hAnsi="宋体" w:cs="宋体"/>
          <w:b/>
          <w:color w:val="auto"/>
          <w:sz w:val="24"/>
          <w:szCs w:val="24"/>
          <w:highlight w:val="none"/>
          <w:lang w:val="zh-CN"/>
        </w:rPr>
        <w:outlineLvl w:val="1"/>
      </w:pPr>
      <w:r>
        <w:rPr>
          <w:rFonts w:hint="eastAsia" w:ascii="宋体" w:hAnsi="宋体"/>
          <w:b/>
          <w:color w:val="auto"/>
          <w:sz w:val="24"/>
          <w:szCs w:val="24"/>
          <w:highlight w:val="none"/>
        </w:rPr>
        <w:br w:type="page" w:clear="all"/>
      </w:r>
      <w:bookmarkStart w:id="111" w:name="_Toc228350084"/>
      <w:r/>
      <w:bookmarkStart w:id="112" w:name="_Toc489655335"/>
      <w:r>
        <w:rPr>
          <w:rFonts w:hint="eastAsia" w:ascii="宋体" w:hAnsi="宋体" w:cs="宋体"/>
          <w:b/>
          <w:color w:val="auto"/>
          <w:sz w:val="24"/>
          <w:szCs w:val="24"/>
          <w:highlight w:val="none"/>
          <w:lang w:val="zh-CN"/>
        </w:rPr>
        <w:t xml:space="preserve">附件九、服务方案</w:t>
      </w:r>
      <w:bookmarkEnd w:id="111"/>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服务方案</w:t>
      </w:r>
      <w:r/>
    </w:p>
    <w:p>
      <w:pPr>
        <w:pStyle w:val="722"/>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主要内容包括但不限于：</w:t>
      </w:r>
      <w:r/>
    </w:p>
    <w:p>
      <w:pPr>
        <w:pStyle w:val="722"/>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1.实施方案</w:t>
      </w:r>
      <w:r/>
    </w:p>
    <w:p>
      <w:pPr>
        <w:pStyle w:val="722"/>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2.质量控制方案</w:t>
      </w:r>
      <w:r/>
    </w:p>
    <w:p>
      <w:pPr>
        <w:pStyle w:val="722"/>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3.售后服务方案</w:t>
      </w:r>
      <w:r/>
    </w:p>
    <w:p>
      <w:pPr>
        <w:jc w:val="left"/>
        <w:spacing w:line="360" w:lineRule="auto"/>
        <w:widowControl/>
        <w:rPr>
          <w:rFonts w:ascii="宋体" w:hAnsi="宋体" w:cs="宋体"/>
          <w:b/>
          <w:color w:val="auto"/>
          <w:sz w:val="24"/>
          <w:szCs w:val="24"/>
          <w:highlight w:val="none"/>
          <w:lang w:val="zh-CN"/>
        </w:rPr>
        <w:outlineLvl w:val="1"/>
      </w:pPr>
      <w:r>
        <w:rPr>
          <w:rFonts w:ascii="Calibri" w:hAnsi="Calibri"/>
          <w:color w:val="auto"/>
          <w:sz w:val="22"/>
          <w:szCs w:val="22"/>
          <w:highlight w:val="none"/>
        </w:rPr>
        <w:br w:type="page" w:clear="all"/>
      </w:r>
      <w:bookmarkEnd w:id="112"/>
      <w:r/>
      <w:bookmarkStart w:id="113" w:name="_Toc228350085"/>
      <w:r>
        <w:rPr>
          <w:rFonts w:hint="eastAsia" w:ascii="宋体" w:hAnsi="宋体" w:cs="宋体"/>
          <w:b/>
          <w:color w:val="auto"/>
          <w:sz w:val="24"/>
          <w:szCs w:val="24"/>
          <w:highlight w:val="none"/>
          <w:lang w:val="zh-CN"/>
        </w:rPr>
        <w:t xml:space="preserve">附件十、资格证明文件</w:t>
      </w:r>
      <w:bookmarkEnd w:id="113"/>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资格证明文件</w:t>
      </w:r>
      <w:r/>
    </w:p>
    <w:tbl>
      <w:tblPr>
        <w:tblStyle w:val="721"/>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序号</w:t>
            </w:r>
            <w:r/>
          </w:p>
        </w:tc>
        <w:tc>
          <w:tcPr>
            <w:tcW w:w="1199"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审查因素</w:t>
            </w:r>
            <w:r/>
          </w:p>
        </w:tc>
        <w:tc>
          <w:tcPr>
            <w:tcW w:w="204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审查内容</w:t>
            </w:r>
            <w:r/>
          </w:p>
        </w:tc>
        <w:tc>
          <w:tcPr>
            <w:tcW w:w="1285"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格式要求</w:t>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满足《中华人民共和国政府采购法》第二十二条规定及法律法规的其他规定</w:t>
            </w:r>
            <w:r/>
          </w:p>
        </w:tc>
        <w:tc>
          <w:tcPr>
            <w:tcW w:w="2048"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具体规定见第一章《采购公告》</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1-1</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具有独立承担民事责任的能力</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供应商为企业（包括合伙企业）的，应提供有效的“营业执照”；</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供应商为事业单位的，应提供有效的“事业单位法人证书”；</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供应商是非企业机构的，应提供有效的“执业许可证”、“登记证书”等证明文件；</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供应商是个体工商户的，应提供有效的“个体工商户营业执照”；</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供应商是自然人的，应提供有效的自然人身份证明。</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提供证明文件的扫描件</w:t>
            </w:r>
            <w:r>
              <w:rPr>
                <w:rFonts w:hint="eastAsia" w:ascii="宋体" w:hAnsi="宋体" w:cs="宋体"/>
                <w:b/>
                <w:color w:val="auto"/>
                <w:sz w:val="22"/>
                <w:szCs w:val="21"/>
                <w:highlight w:val="none"/>
              </w:rPr>
              <w:t xml:space="preserve">并加盖供应商公章</w:t>
            </w:r>
            <w:r/>
          </w:p>
        </w:tc>
      </w:tr>
      <w:tr>
        <w:trPr>
          <w:cantSplit/>
          <w:trHeight w:val="5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1-2</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具有良好的商业信誉和健全的财务会计制度</w:t>
            </w:r>
            <w:r/>
          </w:p>
        </w:tc>
        <w:tc>
          <w:tcPr>
            <w:tcW w:w="2048" w:type="dxa"/>
            <w:vAlign w:val="center"/>
            <w:textDirection w:val="lrTb"/>
            <w:noWrap w:val="false"/>
          </w:tcPr>
          <w:p>
            <w:pPr>
              <w:spacing w:line="320" w:lineRule="exact"/>
              <w:tabs>
                <w:tab w:val="left" w:pos="1080" w:leader="none"/>
              </w:tabs>
              <w:rPr>
                <w:rFonts w:hint="eastAsia" w:ascii="宋体" w:hAnsi="宋体" w:cs="宋体"/>
                <w:bCs/>
                <w:color w:val="auto"/>
                <w:sz w:val="22"/>
                <w:szCs w:val="21"/>
                <w:highlight w:val="none"/>
              </w:rPr>
            </w:pPr>
            <w:r>
              <w:rPr>
                <w:rFonts w:hint="eastAsia" w:ascii="宋体" w:hAnsi="宋体" w:cs="宋体"/>
                <w:bCs/>
                <w:color w:val="auto"/>
                <w:sz w:val="22"/>
                <w:szCs w:val="21"/>
                <w:highlight w:val="none"/>
              </w:rPr>
              <w:t xml:space="preserve">提供2024年经审计的财务报告或2024年财务报表，或投标文件提交截止时间前六个月内银行出具的资信证明，成立不满一年无需提供</w:t>
            </w:r>
            <w:r/>
          </w:p>
        </w:tc>
        <w:tc>
          <w:tcPr>
            <w:tcW w:w="1285" w:type="dxa"/>
            <w:vAlign w:val="center"/>
            <w:vMerge w:val="restart"/>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Calibri" w:hAnsi="Calibri"/>
                <w:color w:val="auto"/>
                <w:sz w:val="22"/>
                <w:szCs w:val="22"/>
                <w:highlight w:val="none"/>
              </w:rPr>
              <w:t xml:space="preserve">提供《南京市政府采购供应商信用记录表暨信用承诺书》</w:t>
            </w:r>
            <w:r>
              <w:rPr>
                <w:rFonts w:hint="eastAsia" w:ascii="Calibri" w:hAnsi="Calibri"/>
                <w:color w:val="auto"/>
                <w:sz w:val="22"/>
                <w:szCs w:val="22"/>
                <w:highlight w:val="none"/>
              </w:rPr>
              <w:t xml:space="preserve">，</w:t>
            </w:r>
            <w:r>
              <w:rPr>
                <w:rFonts w:ascii="Calibri" w:hAnsi="Calibri"/>
                <w:b/>
                <w:bCs/>
                <w:color w:val="auto"/>
                <w:sz w:val="22"/>
                <w:szCs w:val="22"/>
                <w:highlight w:val="none"/>
                <w:u w:val="single"/>
              </w:rPr>
              <w:t xml:space="preserve">经法定代表人签名并加盖供应商公章</w:t>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1-3</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具有履行合同所必需的设备和专业技术能力</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供应商根据履行采购项目合同需要，提供履行合同所必需的设备和专业技术能力的证明材料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1-4</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有依法缴纳税收和社会保障资金的良好记录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1-5</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参加政府采购活动前三年内，在经营活动中没有重大违法记录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提供参加政府采购活动前3年内在经营活动中没有重大违法记录的书面声明</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1-6</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法律、行政法规规定的其他条件</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提供具备法律、行政法规规定的其他条件的证明材料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ascii="宋体" w:hAnsi="宋体" w:cs="宋体"/>
                <w:bCs/>
                <w:color w:val="auto"/>
                <w:sz w:val="22"/>
                <w:szCs w:val="21"/>
                <w:highlight w:val="none"/>
                <w:lang w:eastAsia="en-US"/>
              </w:rPr>
              <w:t xml:space="preserve">2</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供应商信用记录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查询渠道：信用中国网站和中国政府采购网；</w:t>
            </w:r>
            <w:r/>
          </w:p>
          <w:p>
            <w:pPr>
              <w:spacing w:line="320" w:lineRule="exact"/>
              <w:tabs>
                <w:tab w:val="left" w:pos="900" w:leader="none"/>
                <w:tab w:val="left" w:pos="19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截止时点：响应截止时间以后、资格审查阶段采购人或采购代理机构的实际查询时间；</w:t>
            </w:r>
            <w:r/>
          </w:p>
          <w:p>
            <w:pPr>
              <w:spacing w:line="320" w:lineRule="exact"/>
              <w:tabs>
                <w:tab w:val="left" w:pos="900" w:leader="none"/>
                <w:tab w:val="left" w:pos="19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auto"/>
                <w:sz w:val="22"/>
                <w:szCs w:val="21"/>
                <w:highlight w:val="none"/>
                <w:u w:val="single"/>
              </w:rPr>
              <w:t xml:space="preserve">投标无效</w:t>
            </w:r>
            <w:r>
              <w:rPr>
                <w:rFonts w:hint="eastAsia" w:ascii="宋体" w:hAnsi="宋体" w:cs="宋体"/>
                <w:bCs/>
                <w:color w:val="auto"/>
                <w:sz w:val="22"/>
                <w:szCs w:val="21"/>
                <w:highlight w:val="none"/>
              </w:rPr>
              <w:t xml:space="preserve">。</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ascii="宋体" w:hAnsi="宋体" w:cs="宋体"/>
                <w:bCs/>
                <w:color w:val="auto"/>
                <w:sz w:val="22"/>
                <w:szCs w:val="21"/>
                <w:highlight w:val="none"/>
                <w:lang w:eastAsia="en-US"/>
              </w:rPr>
              <w:t xml:space="preserve">3</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供应商资格承诺声明函</w:t>
            </w:r>
            <w:r/>
          </w:p>
        </w:tc>
        <w:tc>
          <w:tcPr>
            <w:tcW w:w="2048"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提供符合采购文件要求的《供应商资格承诺声明函》。</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格式见《供应商资格承诺声明函》</w:t>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ascii="宋体" w:hAnsi="宋体" w:cs="宋体"/>
                <w:b/>
                <w:color w:val="auto"/>
                <w:sz w:val="22"/>
                <w:szCs w:val="21"/>
                <w:highlight w:val="none"/>
                <w:lang w:eastAsia="en-US"/>
              </w:rPr>
              <w:t xml:space="preserve">4</w:t>
            </w:r>
            <w:r/>
          </w:p>
        </w:tc>
        <w:tc>
          <w:tcPr>
            <w:tcW w:w="1199" w:type="dxa"/>
            <w:vAlign w:val="center"/>
            <w:textDirection w:val="lrTb"/>
            <w:noWrap w:val="false"/>
          </w:tcPr>
          <w:p>
            <w:pPr>
              <w:jc w:val="left"/>
              <w:spacing w:line="320" w:lineRule="exact"/>
              <w:tabs>
                <w:tab w:val="left" w:pos="1080" w:leader="none"/>
              </w:tabs>
              <w:rPr>
                <w:rFonts w:ascii="宋体" w:hAnsi="宋体" w:cs="宋体"/>
                <w:b/>
                <w:color w:val="auto"/>
                <w:sz w:val="22"/>
                <w:szCs w:val="21"/>
                <w:highlight w:val="none"/>
              </w:rPr>
            </w:pPr>
            <w:r>
              <w:rPr>
                <w:rFonts w:hint="eastAsia" w:ascii="宋体" w:hAnsi="宋体" w:cs="宋体"/>
                <w:b/>
                <w:color w:val="auto"/>
                <w:sz w:val="22"/>
                <w:szCs w:val="21"/>
                <w:highlight w:val="none"/>
              </w:rPr>
              <w:t xml:space="preserve">本项目的特定资格要求</w:t>
            </w:r>
            <w:r/>
          </w:p>
        </w:tc>
        <w:tc>
          <w:tcPr>
            <w:tcW w:w="2048" w:type="dxa"/>
            <w:vAlign w:val="center"/>
            <w:textDirection w:val="lrTb"/>
            <w:noWrap w:val="false"/>
          </w:tcPr>
          <w:p>
            <w:pPr>
              <w:jc w:val="left"/>
              <w:spacing w:line="320" w:lineRule="exact"/>
              <w:rPr>
                <w:rFonts w:ascii="宋体" w:hAnsi="宋体" w:cs="宋体"/>
                <w:b/>
                <w:color w:val="auto"/>
                <w:sz w:val="22"/>
                <w:szCs w:val="21"/>
                <w:highlight w:val="none"/>
                <w:shd w:val="clear" w:color="auto" w:fill="ffffff"/>
              </w:rPr>
            </w:pPr>
            <w:r>
              <w:rPr>
                <w:rFonts w:hint="eastAsia" w:ascii="宋体" w:hAnsi="宋体" w:cs="宋体"/>
                <w:b/>
                <w:color w:val="auto"/>
                <w:sz w:val="22"/>
                <w:szCs w:val="21"/>
                <w:highlight w:val="none"/>
              </w:rPr>
              <w:t xml:space="preserve">具体规定见第一章《采购公告》</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
                <w:color w:val="auto"/>
                <w:sz w:val="22"/>
                <w:szCs w:val="21"/>
                <w:highlight w:val="none"/>
              </w:rPr>
              <w:t xml:space="preserve">提供证明文件的扫描件并加盖供应商公章</w:t>
            </w:r>
            <w:r/>
          </w:p>
        </w:tc>
      </w:tr>
    </w:tbl>
    <w:p>
      <w:pPr>
        <w:jc w:val="left"/>
        <w:spacing w:line="360" w:lineRule="auto"/>
        <w:widowControl/>
        <w:rPr>
          <w:rFonts w:ascii="宋体" w:hAnsi="宋体" w:cs="宋体"/>
          <w:b/>
          <w:color w:val="auto"/>
          <w:sz w:val="24"/>
          <w:szCs w:val="24"/>
          <w:highlight w:val="none"/>
          <w:lang w:val="zh-CN"/>
        </w:rPr>
        <w:outlineLvl w:val="1"/>
      </w:pPr>
      <w:r/>
      <w:bookmarkStart w:id="114" w:name="_Hlk94112048"/>
      <w:r/>
      <w:bookmarkStart w:id="115" w:name="_Hlk85644930"/>
      <w:r>
        <w:rPr>
          <w:rFonts w:hint="eastAsia" w:ascii="仿宋" w:hAnsi="仿宋" w:eastAsia="仿宋"/>
          <w:b/>
          <w:bCs/>
          <w:color w:val="auto"/>
          <w:sz w:val="32"/>
          <w:szCs w:val="32"/>
          <w:highlight w:val="none"/>
        </w:rPr>
        <w:br w:type="page" w:clear="all"/>
      </w:r>
      <w:bookmarkStart w:id="116" w:name="_Toc228350086"/>
      <w:r>
        <w:rPr>
          <w:rFonts w:hint="eastAsia" w:ascii="宋体" w:hAnsi="宋体" w:cs="宋体"/>
          <w:b/>
          <w:color w:val="auto"/>
          <w:sz w:val="24"/>
          <w:szCs w:val="24"/>
          <w:highlight w:val="none"/>
          <w:lang w:val="zh-CN"/>
        </w:rPr>
        <w:t xml:space="preserve">附件十一、政府采购政策</w:t>
      </w:r>
      <w:bookmarkEnd w:id="116"/>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政府采购政策</w:t>
      </w:r>
      <w:r/>
    </w:p>
    <w:p>
      <w:pPr>
        <w:spacing w:before="120"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1．企业声明函格式</w:t>
      </w:r>
      <w:r/>
    </w:p>
    <w:p>
      <w:pPr>
        <w:jc w:val="center"/>
        <w:rPr>
          <w:rFonts w:ascii="Calibri" w:hAnsi="Calibri"/>
          <w:color w:val="auto"/>
          <w:sz w:val="22"/>
          <w:szCs w:val="22"/>
          <w:highlight w:val="none"/>
        </w:rPr>
      </w:pPr>
      <w:r>
        <w:rPr>
          <w:rFonts w:hint="eastAsia" w:ascii="宋体" w:hAnsi="宋体"/>
          <w:b/>
          <w:color w:val="auto"/>
          <w:sz w:val="32"/>
          <w:szCs w:val="24"/>
          <w:highlight w:val="none"/>
        </w:rPr>
        <w:t xml:space="preserve">中小企业声明函（工程、货物、服务）</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2"/>
        <w:spacing w:line="36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firstLine="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440" w:firstLine="480"/>
        <w:jc w:val="right"/>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ind w:firstLine="480"/>
        <w:jc w:val="left"/>
        <w:spacing w:line="340" w:lineRule="exact"/>
        <w:tabs>
          <w:tab w:val="left" w:pos="1800" w:leader="none"/>
          <w:tab w:val="left" w:pos="5580" w:leader="none"/>
        </w:tabs>
        <w:rPr>
          <w:rFonts w:ascii="宋体" w:hAnsi="宋体"/>
          <w:color w:val="auto"/>
          <w:sz w:val="24"/>
          <w:szCs w:val="22"/>
          <w:highlight w:val="none"/>
        </w:rPr>
      </w:pPr>
      <w:r/>
      <w:bookmarkStart w:id="117" w:name="_Hlk73391674"/>
      <w:r>
        <w:rPr>
          <w:rFonts w:ascii="宋体" w:hAnsi="宋体"/>
          <w:color w:val="auto"/>
          <w:sz w:val="24"/>
          <w:szCs w:val="22"/>
          <w:highlight w:val="none"/>
        </w:rPr>
        <w:t xml:space="preserve">注：</w:t>
      </w:r>
      <w:bookmarkEnd w:id="117"/>
      <w:r/>
      <w:r/>
    </w:p>
    <w:p>
      <w:pPr>
        <w:ind w:firstLine="480"/>
        <w:jc w:val="left"/>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color w:val="auto"/>
          <w:sz w:val="24"/>
          <w:szCs w:val="22"/>
          <w:highlight w:val="none"/>
          <w:u w:val="single"/>
        </w:rPr>
      </w:pPr>
      <w:r/>
      <w:bookmarkStart w:id="118" w:name="_Hlk72665336"/>
      <w:r>
        <w:rPr>
          <w:rFonts w:hint="eastAsia" w:ascii="宋体" w:hAnsi="宋体"/>
          <w:color w:val="auto"/>
          <w:sz w:val="24"/>
          <w:szCs w:val="22"/>
          <w:highlight w:val="none"/>
        </w:rPr>
        <w:t xml:space="preserve">2．</w:t>
      </w:r>
      <w:r>
        <w:rPr>
          <w:rFonts w:hint="eastAsia" w:ascii="Calibri" w:hAnsi="Calibri"/>
          <w:b/>
          <w:bCs/>
          <w:color w:val="auto"/>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auto"/>
          <w:sz w:val="24"/>
          <w:szCs w:val="22"/>
          <w:highlight w:val="none"/>
          <w:u w:val="single"/>
        </w:rPr>
        <w:t xml:space="preserve">。</w:t>
      </w:r>
      <w:r/>
    </w:p>
    <w:p>
      <w:pPr>
        <w:ind w:firstLine="480"/>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3．</w:t>
      </w:r>
      <w:r>
        <w:rPr>
          <w:rFonts w:ascii="宋体" w:hAnsi="宋体"/>
          <w:color w:val="auto"/>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auto"/>
          <w:sz w:val="24"/>
          <w:szCs w:val="22"/>
          <w:highlight w:val="none"/>
        </w:rPr>
      </w:pPr>
      <w:r>
        <w:rPr>
          <w:rFonts w:hint="eastAsia" w:ascii="宋体" w:hAnsi="宋体"/>
          <w:b/>
          <w:bCs/>
          <w:color w:val="auto"/>
          <w:sz w:val="24"/>
          <w:szCs w:val="22"/>
          <w:highlight w:val="none"/>
        </w:rPr>
        <w:t xml:space="preserve">4．</w:t>
      </w:r>
      <w:bookmarkEnd w:id="118"/>
      <w:r>
        <w:rPr>
          <w:rFonts w:hint="eastAsia" w:ascii="宋体" w:hAnsi="宋体"/>
          <w:b/>
          <w:bCs/>
          <w:color w:val="auto"/>
          <w:sz w:val="24"/>
          <w:szCs w:val="22"/>
          <w:highlight w:val="none"/>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auto"/>
          <w:sz w:val="22"/>
          <w:szCs w:val="22"/>
          <w:highlight w:val="none"/>
          <w:u w:val="singl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ascii="宋体" w:hAnsi="宋体" w:cs="宋体"/>
          <w:b/>
          <w:bCs/>
          <w:color w:val="auto"/>
          <w:sz w:val="24"/>
          <w:szCs w:val="24"/>
          <w:highlight w:val="none"/>
          <w:u w:val="single"/>
        </w:rPr>
        <w:t xml:space="preserve">采购文件中明确的所属行业：详见第二章。</w:t>
      </w:r>
      <w:r/>
    </w:p>
    <w:p>
      <w:pPr>
        <w:ind w:firstLine="482"/>
        <w:spacing w:line="340" w:lineRule="exact"/>
        <w:tabs>
          <w:tab w:val="left" w:pos="1800" w:leader="none"/>
          <w:tab w:val="left" w:pos="5580" w:leader="none"/>
        </w:tabs>
        <w:rPr>
          <w:rFonts w:hint="eastAsia" w:ascii="宋体" w:hAnsi="宋体"/>
          <w:b/>
          <w:bCs/>
          <w:color w:val="auto"/>
          <w:sz w:val="24"/>
          <w:szCs w:val="22"/>
          <w:highlight w:val="none"/>
          <w:u w:val="single"/>
        </w:rPr>
      </w:pPr>
      <w:r/>
      <w:bookmarkStart w:id="119" w:name="_Hlk73478900"/>
      <w:r>
        <w:rPr>
          <w:rFonts w:hint="eastAsia" w:ascii="宋体" w:hAnsi="宋体"/>
          <w:b/>
          <w:bCs/>
          <w:color w:val="auto"/>
          <w:sz w:val="24"/>
          <w:szCs w:val="22"/>
          <w:highlight w:val="none"/>
          <w:u w:val="single"/>
        </w:rPr>
        <w:t xml:space="preserve">7</w:t>
      </w:r>
      <w:r>
        <w:rPr>
          <w:rFonts w:ascii="宋体" w:hAnsi="宋体"/>
          <w:b/>
          <w:bCs/>
          <w:color w:val="auto"/>
          <w:sz w:val="24"/>
          <w:szCs w:val="22"/>
          <w:highlight w:val="none"/>
          <w:u w:val="single"/>
        </w:rPr>
        <w:t xml:space="preserve">．根据</w:t>
      </w:r>
      <w:r>
        <w:rPr>
          <w:rFonts w:hint="eastAsia" w:ascii="宋体" w:hAnsi="宋体"/>
          <w:b/>
          <w:bCs/>
          <w:color w:val="auto"/>
          <w:sz w:val="24"/>
          <w:szCs w:val="22"/>
          <w:highlight w:val="none"/>
          <w:u w:val="single"/>
        </w:rPr>
        <w:t xml:space="preserve">《政府采购促进中小企业发展管理办法》（财库﹝2020﹞46号）</w:t>
      </w:r>
      <w:r>
        <w:rPr>
          <w:rFonts w:ascii="宋体" w:hAnsi="宋体"/>
          <w:b/>
          <w:bCs/>
          <w:color w:val="auto"/>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auto"/>
          <w:sz w:val="24"/>
          <w:szCs w:val="22"/>
          <w:highlight w:val="none"/>
          <w:u w:val="single"/>
        </w:rPr>
        <w:t xml:space="preserve">中</w:t>
      </w:r>
      <w:r>
        <w:rPr>
          <w:rFonts w:ascii="宋体" w:hAnsi="宋体"/>
          <w:b/>
          <w:bCs/>
          <w:color w:val="auto"/>
          <w:sz w:val="24"/>
          <w:szCs w:val="22"/>
          <w:highlight w:val="none"/>
          <w:u w:val="single"/>
        </w:rPr>
        <w:t xml:space="preserve">小企业声明函》时，须按采购清单逐项列明每项产品的生产企业名称，并按声明函内容将每项产品生产企业的情况如实填写完整。</w:t>
      </w:r>
      <w:r/>
    </w:p>
    <w:p>
      <w:pPr>
        <w:ind w:firstLine="482"/>
        <w:spacing w:line="340" w:lineRule="exact"/>
        <w:tabs>
          <w:tab w:val="left" w:pos="1800" w:leader="none"/>
          <w:tab w:val="left" w:pos="5580" w:leader="none"/>
        </w:tabs>
        <w:rPr>
          <w:rFonts w:hint="eastAsia" w:ascii="宋体" w:hAnsi="宋体"/>
          <w:b/>
          <w:bCs/>
          <w:color w:val="auto"/>
          <w:sz w:val="24"/>
          <w:szCs w:val="22"/>
          <w:highlight w:val="none"/>
        </w:rPr>
      </w:pPr>
      <w:r>
        <w:rPr>
          <w:rFonts w:ascii="宋体" w:hAnsi="宋体"/>
          <w:b/>
          <w:bCs/>
          <w:color w:val="auto"/>
          <w:sz w:val="24"/>
          <w:szCs w:val="22"/>
          <w:highlight w:val="none"/>
        </w:rPr>
        <w:t xml:space="preserve">如有遗漏的，则所遗漏项的生产企业将被视为非小微企业，供应商不再享受小微企业价格扣除。《</w:t>
      </w:r>
      <w:r>
        <w:rPr>
          <w:rFonts w:hint="eastAsia" w:ascii="宋体" w:hAnsi="宋体"/>
          <w:b/>
          <w:bCs/>
          <w:color w:val="auto"/>
          <w:sz w:val="24"/>
          <w:szCs w:val="22"/>
          <w:highlight w:val="none"/>
        </w:rPr>
        <w:t xml:space="preserve">中</w:t>
      </w:r>
      <w:r>
        <w:rPr>
          <w:rFonts w:ascii="宋体" w:hAnsi="宋体"/>
          <w:b/>
          <w:bCs/>
          <w:color w:val="auto"/>
          <w:sz w:val="24"/>
          <w:szCs w:val="22"/>
          <w:highlight w:val="none"/>
        </w:rPr>
        <w:t xml:space="preserve">小企业声明函》中的“标的名称”是指采购清单中每项产品名称。</w:t>
      </w:r>
      <w:r/>
    </w:p>
    <w:p>
      <w:pPr>
        <w:jc w:val="left"/>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2．残疾人福利性单位声明函</w:t>
      </w:r>
      <w:r/>
    </w:p>
    <w:p>
      <w:pPr>
        <w:jc w:val="center"/>
        <w:spacing w:line="400" w:lineRule="exact"/>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00" w:lineRule="exact"/>
        <w:widowControl/>
        <w:rPr>
          <w:rFonts w:ascii="Calibri" w:hAnsi="Calibri"/>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jc w:val="left"/>
        <w:spacing w:line="400" w:lineRule="exact"/>
        <w:rPr>
          <w:rFonts w:ascii="宋体" w:hAnsi="宋体"/>
          <w:color w:val="auto"/>
          <w:sz w:val="24"/>
          <w:szCs w:val="24"/>
          <w:highlight w:val="none"/>
        </w:rPr>
      </w:pPr>
      <w:r/>
      <w:bookmarkStart w:id="120" w:name="_Hlk73391707"/>
      <w:r/>
      <w:r/>
    </w:p>
    <w:p>
      <w:pPr>
        <w:ind w:firstLine="504"/>
        <w:jc w:val="left"/>
        <w:spacing w:line="400" w:lineRule="exact"/>
        <w:rPr>
          <w:rFonts w:ascii="宋体" w:hAnsi="宋体"/>
          <w:color w:val="auto"/>
          <w:spacing w:val="6"/>
          <w:sz w:val="24"/>
          <w:szCs w:val="24"/>
          <w:highlight w:val="none"/>
        </w:rPr>
      </w:pPr>
      <w:r/>
      <w:bookmarkStart w:id="121"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jc w:val="left"/>
        <w:spacing w:line="400" w:lineRule="exact"/>
        <w:rPr>
          <w:rFonts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jc w:val="left"/>
        <w:spacing w:line="400" w:lineRule="exact"/>
        <w:rPr>
          <w:rFonts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jc w:val="left"/>
        <w:spacing w:before="2" w:line="400" w:lineRule="exact"/>
        <w:rPr>
          <w:rFonts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121"/>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供应商如不提供此声明函，价格将不做相应扣除。</w:t>
      </w:r>
      <w:r/>
    </w:p>
    <w:p>
      <w:pPr>
        <w:jc w:val="left"/>
        <w:spacing w:before="2" w:line="400" w:lineRule="exact"/>
        <w:rPr>
          <w:rFonts w:ascii="宋体" w:hAnsi="宋体"/>
          <w:color w:val="auto"/>
          <w:sz w:val="24"/>
          <w:szCs w:val="24"/>
          <w:highlight w:val="none"/>
        </w:rPr>
      </w:pPr>
      <w:r>
        <w:rPr>
          <w:rFonts w:ascii="宋体" w:hAnsi="宋体"/>
          <w:color w:val="auto"/>
          <w:sz w:val="24"/>
          <w:szCs w:val="24"/>
          <w:highlight w:val="none"/>
        </w:rPr>
      </w:r>
      <w:r/>
    </w:p>
    <w:p>
      <w:pPr>
        <w:ind w:right="150"/>
        <w:jc w:val="right"/>
        <w:spacing w:line="400" w:lineRule="exact"/>
        <w:rPr>
          <w:rFonts w:ascii="宋体" w:hAnsi="宋体"/>
          <w:color w:val="auto"/>
          <w:sz w:val="24"/>
          <w:szCs w:val="24"/>
          <w:highlight w:val="none"/>
        </w:rPr>
      </w:pP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名称（盖章）：</w:t>
      </w:r>
      <w:r/>
    </w:p>
    <w:p>
      <w:pPr>
        <w:ind w:right="9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bookmarkEnd w:id="119"/>
      <w:r/>
      <w:bookmarkEnd w:id="120"/>
      <w:r/>
      <w:r/>
    </w:p>
    <w:p>
      <w:pPr>
        <w:jc w:val="center"/>
        <w:spacing w:line="400" w:lineRule="exact"/>
        <w:rPr>
          <w:rFonts w:ascii="宋体" w:hAnsi="宋体" w:cs="仿宋"/>
          <w:b/>
          <w:bCs/>
          <w:color w:val="auto"/>
          <w:sz w:val="24"/>
          <w:szCs w:val="24"/>
          <w:highlight w:val="none"/>
        </w:rPr>
      </w:pPr>
      <w:r>
        <w:rPr>
          <w:rFonts w:ascii="宋体" w:hAnsi="宋体" w:cs="仿宋"/>
          <w:b/>
          <w:bCs/>
          <w:color w:val="auto"/>
          <w:sz w:val="24"/>
          <w:szCs w:val="24"/>
          <w:highlight w:val="none"/>
        </w:rPr>
      </w:r>
      <w:r/>
    </w:p>
    <w:p>
      <w:pPr>
        <w:jc w:val="center"/>
        <w:spacing w:line="40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spacing w:line="440" w:lineRule="exact"/>
        <w:rPr>
          <w:rFonts w:ascii="仿宋" w:hAnsi="仿宋" w:eastAsia="仿宋" w:cs="仿宋"/>
          <w:b/>
          <w:bCs/>
          <w:color w:val="auto"/>
          <w:sz w:val="24"/>
          <w:szCs w:val="24"/>
          <w:highlight w:val="none"/>
        </w:rPr>
      </w:pPr>
      <w:r>
        <w:rPr>
          <w:rFonts w:hint="eastAsia" w:ascii="宋体" w:hAnsi="宋体"/>
          <w:b/>
          <w:color w:val="auto"/>
          <w:sz w:val="28"/>
          <w:szCs w:val="28"/>
          <w:highlight w:val="none"/>
        </w:rPr>
        <w:t xml:space="preserve">3．属于监狱企业的证明文件</w:t>
      </w:r>
      <w:r/>
    </w:p>
    <w:p>
      <w:pPr>
        <w:jc w:val="left"/>
        <w:rPr>
          <w:rFonts w:ascii="Calibri" w:hAnsi="Calibri"/>
          <w:color w:val="auto"/>
          <w:sz w:val="22"/>
          <w:szCs w:val="22"/>
          <w:highlight w:val="none"/>
        </w:rPr>
      </w:pPr>
      <w:r>
        <w:rPr>
          <w:rFonts w:ascii="Calibri" w:hAnsi="Calibri"/>
          <w:color w:val="auto"/>
          <w:sz w:val="22"/>
          <w:szCs w:val="22"/>
          <w:highlight w:val="none"/>
        </w:rPr>
      </w:r>
      <w:r/>
    </w:p>
    <w:p>
      <w:pPr>
        <w:jc w:val="center"/>
        <w:spacing w:line="400" w:lineRule="exact"/>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rFonts w:ascii="Calibri" w:hAnsi="Calibri"/>
          <w:color w:val="auto"/>
          <w:sz w:val="24"/>
          <w:szCs w:val="24"/>
          <w:highlight w:val="none"/>
        </w:rPr>
      </w:pPr>
      <w:r>
        <w:rPr>
          <w:rFonts w:ascii="Calibri" w:hAnsi="Calibri"/>
          <w:color w:val="auto"/>
          <w:sz w:val="24"/>
          <w:szCs w:val="24"/>
          <w:highlight w:val="none"/>
        </w:rPr>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122" w:name="_Hlk109220782"/>
      <w:r>
        <w:rPr>
          <w:rFonts w:ascii="宋体" w:hAnsi="宋体"/>
          <w:color w:val="auto"/>
          <w:sz w:val="24"/>
          <w:szCs w:val="24"/>
          <w:highlight w:val="none"/>
        </w:rPr>
        <w:t xml:space="preserve">〔2014〕</w:t>
      </w:r>
      <w:bookmarkEnd w:id="122"/>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供应商如不提供此声明函，价格将不做相应扣除。</w:t>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bCs/>
          <w:color w:val="auto"/>
          <w:sz w:val="28"/>
          <w:szCs w:val="28"/>
          <w:highlight w:val="none"/>
        </w:rPr>
        <w:br w:type="page" w:clear="all"/>
      </w:r>
      <w:bookmarkStart w:id="123" w:name="_Toc228350087"/>
      <w:r>
        <w:rPr>
          <w:rFonts w:hint="eastAsia" w:ascii="宋体" w:hAnsi="宋体" w:cs="宋体"/>
          <w:b/>
          <w:color w:val="auto"/>
          <w:sz w:val="24"/>
          <w:szCs w:val="24"/>
          <w:highlight w:val="none"/>
          <w:lang w:val="zh-CN"/>
        </w:rPr>
        <w:t xml:space="preserve">附件十二、南京市政府采购供应商信用记录表暨信用承诺书</w:t>
      </w:r>
      <w:bookmarkEnd w:id="123"/>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《南京市政府采购供应商信用记录表暨信用承诺书》</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在线打印</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（参考格式如下）</w:t>
      </w:r>
      <w:r/>
    </w:p>
    <w:p>
      <w:pPr>
        <w:jc w:val="right"/>
        <w:spacing w:line="400" w:lineRule="exact"/>
        <w:rPr>
          <w:rFonts w:ascii="仿宋" w:hAnsi="仿宋" w:eastAsia="仿宋"/>
          <w:color w:val="auto"/>
          <w:sz w:val="22"/>
          <w:szCs w:val="21"/>
          <w:highlight w:val="none"/>
          <w:lang w:eastAsia="en-US"/>
        </w:rPr>
      </w:pPr>
      <w:r>
        <w:rPr>
          <w:rFonts w:hint="eastAsia" w:ascii="仿宋" w:hAnsi="仿宋" w:eastAsia="仿宋"/>
          <w:color w:val="auto"/>
          <w:sz w:val="22"/>
          <w:szCs w:val="21"/>
          <w:highlight w:val="none"/>
          <w:lang w:eastAsia="en-US"/>
        </w:rPr>
        <w:t xml:space="preserve">二〇   年     月     日</w:t>
      </w:r>
      <w:r/>
    </w:p>
    <w:p>
      <w:pPr>
        <w:jc w:val="left"/>
        <w:rPr>
          <w:rFonts w:ascii="Calibri" w:hAnsi="Calibri"/>
          <w:color w:val="auto"/>
          <w:sz w:val="22"/>
          <w:szCs w:val="22"/>
          <w:highlight w:val="none"/>
          <w:lang w:eastAsia="en-US"/>
        </w:rPr>
      </w:pPr>
      <w:r>
        <w:rPr>
          <w:rFonts w:ascii="Calibri" w:hAnsi="Calibri"/>
          <w:color w:val="auto"/>
          <w:sz w:val="22"/>
          <w:szCs w:val="22"/>
          <w:highlight w:val="none"/>
          <w:lang w:eastAsia="en-US"/>
        </w:rPr>
      </w:r>
      <w:r/>
    </w:p>
    <w:tbl>
      <w:tblPr>
        <w:tblStyle w:val="721"/>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单位名称</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统一社会信用代码</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法定代表人</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联系人</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联系地址</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联系电话</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1345"/>
        </w:trPr>
        <w:tc>
          <w:tcPr>
            <w:tcW w:w="1717" w:type="dxa"/>
            <w:vAlign w:val="center"/>
            <w:textDirection w:val="lrTb"/>
            <w:noWrap w:val="false"/>
          </w:tcPr>
          <w:p>
            <w:pPr>
              <w:jc w:val="left"/>
              <w:spacing w:line="400" w:lineRule="exact"/>
              <w:rPr>
                <w:rFonts w:ascii="仿宋" w:hAnsi="仿宋" w:eastAsia="仿宋"/>
                <w:color w:val="auto"/>
                <w:sz w:val="22"/>
                <w:szCs w:val="21"/>
                <w:highlight w:val="none"/>
                <w:lang w:eastAsia="en-US"/>
              </w:rPr>
            </w:pPr>
            <w:r>
              <w:rPr>
                <w:rFonts w:hint="eastAsia" w:ascii="仿宋" w:hAnsi="仿宋" w:eastAsia="仿宋"/>
                <w:b/>
                <w:bCs/>
                <w:color w:val="auto"/>
                <w:sz w:val="22"/>
                <w:szCs w:val="21"/>
                <w:highlight w:val="none"/>
                <w:lang w:eastAsia="en-US"/>
              </w:rPr>
              <w:t xml:space="preserve">诚信档案记录情况</w:t>
            </w:r>
            <w:r/>
          </w:p>
        </w:tc>
        <w:tc>
          <w:tcPr>
            <w:gridSpan w:val="3"/>
            <w:tcW w:w="7981"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863"/>
        </w:trPr>
        <w:tc>
          <w:tcPr>
            <w:tcW w:w="1717" w:type="dxa"/>
            <w:vAlign w:val="center"/>
            <w:textDirection w:val="lrTb"/>
            <w:noWrap w:val="false"/>
          </w:tcPr>
          <w:p>
            <w:pPr>
              <w:jc w:val="center"/>
              <w:spacing w:line="400" w:lineRule="exact"/>
              <w:rPr>
                <w:rFonts w:ascii="仿宋" w:hAnsi="仿宋" w:eastAsia="仿宋"/>
                <w:color w:val="auto"/>
                <w:sz w:val="22"/>
                <w:szCs w:val="21"/>
                <w:highlight w:val="none"/>
                <w:lang w:eastAsia="en-US"/>
              </w:rPr>
            </w:pPr>
            <w:r>
              <w:rPr>
                <w:rFonts w:hint="eastAsia" w:ascii="仿宋" w:hAnsi="仿宋" w:eastAsia="仿宋"/>
                <w:b/>
                <w:bCs/>
                <w:color w:val="auto"/>
                <w:sz w:val="22"/>
                <w:szCs w:val="21"/>
                <w:highlight w:val="none"/>
                <w:lang w:eastAsia="en-US"/>
              </w:rPr>
              <w:t xml:space="preserve">信用承诺</w:t>
            </w:r>
            <w:r/>
          </w:p>
        </w:tc>
        <w:tc>
          <w:tcPr>
            <w:gridSpan w:val="3"/>
            <w:tcW w:w="7981" w:type="dxa"/>
            <w:vAlign w:val="top"/>
            <w:textDirection w:val="lrTb"/>
            <w:noWrap w:val="false"/>
          </w:tcPr>
          <w:p>
            <w:pPr>
              <w:ind w:firstLine="440"/>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ind w:firstLine="440"/>
              <w:jc w:val="left"/>
              <w:spacing w:line="400" w:lineRule="exact"/>
              <w:rPr>
                <w:rFonts w:ascii="仿宋" w:hAnsi="仿宋" w:eastAsia="仿宋"/>
                <w:color w:val="auto"/>
                <w:sz w:val="22"/>
                <w:szCs w:val="21"/>
                <w:highlight w:val="none"/>
              </w:rPr>
            </w:pPr>
            <w:r>
              <w:rPr>
                <w:rFonts w:hint="eastAsia" w:ascii="仿宋" w:hAnsi="仿宋" w:eastAsia="仿宋"/>
                <w:color w:val="auto"/>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auto"/>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jc w:val="left"/>
              <w:spacing w:line="400" w:lineRule="exact"/>
              <w:rPr>
                <w:rFonts w:hint="eastAsia" w:ascii="仿宋" w:hAnsi="仿宋" w:eastAsia="仿宋"/>
                <w:color w:val="auto"/>
                <w:sz w:val="22"/>
                <w:szCs w:val="21"/>
                <w:highlight w:val="none"/>
              </w:rPr>
            </w:pPr>
            <w:r>
              <w:rPr>
                <w:rFonts w:hint="eastAsia" w:ascii="仿宋" w:hAnsi="仿宋" w:eastAsia="仿宋"/>
                <w:color w:val="auto"/>
                <w:sz w:val="22"/>
                <w:szCs w:val="21"/>
                <w:highlight w:val="none"/>
              </w:rPr>
            </w:r>
            <w:r/>
          </w:p>
          <w:p>
            <w:pPr>
              <w:jc w:val="left"/>
              <w:spacing w:line="400" w:lineRule="exact"/>
              <w:rPr>
                <w:rFonts w:ascii="仿宋" w:hAnsi="仿宋" w:eastAsia="仿宋"/>
                <w:color w:val="auto"/>
                <w:sz w:val="22"/>
                <w:szCs w:val="21"/>
                <w:highlight w:val="none"/>
              </w:rPr>
            </w:pPr>
            <w:r>
              <w:rPr>
                <w:rFonts w:hint="eastAsia" w:ascii="仿宋" w:hAnsi="仿宋" w:eastAsia="仿宋"/>
                <w:color w:val="auto"/>
                <w:sz w:val="22"/>
                <w:szCs w:val="21"/>
                <w:highlight w:val="none"/>
              </w:rPr>
              <w:t xml:space="preserve">供应商名称（盖章）：</w:t>
            </w:r>
            <w:r/>
          </w:p>
          <w:p>
            <w:pPr>
              <w:jc w:val="left"/>
              <w:spacing w:line="400" w:lineRule="exact"/>
              <w:rPr>
                <w:rFonts w:ascii="仿宋" w:hAnsi="仿宋" w:eastAsia="仿宋"/>
                <w:color w:val="auto"/>
                <w:sz w:val="22"/>
                <w:szCs w:val="22"/>
                <w:highlight w:val="none"/>
              </w:rPr>
            </w:pPr>
            <w:r>
              <w:rPr>
                <w:rFonts w:hint="eastAsia" w:ascii="仿宋" w:hAnsi="仿宋" w:eastAsia="仿宋"/>
                <w:color w:val="auto"/>
                <w:sz w:val="22"/>
                <w:szCs w:val="21"/>
                <w:highlight w:val="none"/>
              </w:rPr>
              <w:t xml:space="preserve">法定代表人（签字）：</w:t>
            </w:r>
            <w:r/>
          </w:p>
        </w:tc>
      </w:tr>
    </w:tbl>
    <w:p>
      <w:pPr>
        <w:ind w:firstLine="482"/>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注：供应商参加本次政府采购活动时，在采购文件发布之日起至递交投标文件截止日前，应登录【</w:t>
      </w:r>
      <w:r>
        <w:rPr>
          <w:rFonts w:ascii="Calibri" w:hAnsi="Calibri"/>
          <w:b/>
          <w:bCs/>
          <w:color w:val="auto"/>
          <w:sz w:val="22"/>
          <w:szCs w:val="22"/>
          <w:highlight w:val="none"/>
          <w:lang w:eastAsia="en-US"/>
        </w:rPr>
        <w:fldChar w:fldCharType="begin"/>
      </w:r>
      <w:r>
        <w:rPr>
          <w:rFonts w:ascii="Calibri" w:hAnsi="Calibri"/>
          <w:b/>
          <w:bCs/>
          <w:color w:val="auto"/>
          <w:sz w:val="22"/>
          <w:szCs w:val="22"/>
          <w:highlight w:val="none"/>
        </w:rPr>
        <w:instrText xml:space="preserve"> HYPERLINK "http://180.101.238.212:8280/hodeframe2018_cxda/index.action;jsessionid=3CB06119C93D950CE8917FD0D0AEB15C" </w:instrText>
      </w:r>
      <w:r>
        <w:rPr>
          <w:rFonts w:ascii="Calibri" w:hAnsi="Calibri"/>
          <w:b/>
          <w:bCs/>
          <w:color w:val="auto"/>
          <w:sz w:val="22"/>
          <w:szCs w:val="22"/>
          <w:highlight w:val="none"/>
          <w:lang w:eastAsia="en-US"/>
        </w:rPr>
        <w:fldChar w:fldCharType="separate"/>
      </w:r>
      <w:r>
        <w:rPr>
          <w:rFonts w:hint="eastAsia" w:ascii="宋体" w:hAnsi="宋体"/>
          <w:b/>
          <w:bCs/>
          <w:color w:val="auto"/>
          <w:sz w:val="24"/>
          <w:szCs w:val="24"/>
          <w:highlight w:val="none"/>
        </w:rPr>
        <w:t xml:space="preserve">南京市政府采购供应商诚信档案管理系统</w:t>
      </w:r>
      <w:r>
        <w:rPr>
          <w:rFonts w:hint="eastAsia" w:ascii="宋体" w:hAnsi="宋体"/>
          <w:b/>
          <w:bCs/>
          <w:color w:val="auto"/>
          <w:sz w:val="24"/>
          <w:szCs w:val="24"/>
          <w:highlight w:val="none"/>
          <w:lang w:eastAsia="en-US"/>
        </w:rPr>
        <w:fldChar w:fldCharType="end"/>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在线打印</w:t>
      </w:r>
      <w:r>
        <w:rPr>
          <w:rFonts w:hint="eastAsia" w:ascii="宋体" w:hAnsi="宋体"/>
          <w:b/>
          <w:bCs/>
          <w:color w:val="auto"/>
          <w:sz w:val="24"/>
          <w:szCs w:val="24"/>
          <w:highlight w:val="none"/>
        </w:rPr>
        <w:t xml:space="preserve">“南京市政府采购供应商信用记录表暨信用承诺书”，经</w:t>
      </w:r>
      <w:r>
        <w:rPr>
          <w:rFonts w:hint="eastAsia" w:ascii="宋体" w:hAnsi="宋体"/>
          <w:b/>
          <w:bCs/>
          <w:color w:val="auto"/>
          <w:sz w:val="24"/>
          <w:szCs w:val="24"/>
          <w:highlight w:val="none"/>
          <w:u w:val="single"/>
        </w:rPr>
        <w:t xml:space="preserve">法定代表人签名盖章</w:t>
      </w:r>
      <w:r>
        <w:rPr>
          <w:rFonts w:hint="eastAsia" w:ascii="宋体" w:hAnsi="宋体"/>
          <w:b/>
          <w:bCs/>
          <w:color w:val="auto"/>
          <w:sz w:val="24"/>
          <w:szCs w:val="24"/>
          <w:highlight w:val="none"/>
        </w:rPr>
        <w:t xml:space="preserve">后作为投标文件的组成部分。“南京市政府采购供应商信用记录表暨信用承诺书”是其参加本次政府采购活动的必备材料。</w:t>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bookmarkStart w:id="124" w:name="_Toc228350088"/>
      <w:r>
        <w:rPr>
          <w:rFonts w:hint="eastAsia" w:ascii="宋体" w:hAnsi="宋体" w:cs="宋体"/>
          <w:b/>
          <w:color w:val="auto"/>
          <w:sz w:val="24"/>
          <w:szCs w:val="24"/>
          <w:highlight w:val="none"/>
          <w:lang w:val="zh-CN"/>
        </w:rPr>
        <w:t xml:space="preserve">附件十三、</w:t>
      </w:r>
      <w:bookmarkStart w:id="125" w:name="OLE_LINK42"/>
      <w:r/>
      <w:bookmarkStart w:id="126" w:name="OLE_LINK43"/>
      <w:r>
        <w:rPr>
          <w:rFonts w:hint="eastAsia" w:ascii="宋体" w:hAnsi="宋体" w:cs="宋体"/>
          <w:b/>
          <w:color w:val="auto"/>
          <w:sz w:val="24"/>
          <w:szCs w:val="24"/>
          <w:highlight w:val="none"/>
          <w:lang w:val="zh-CN"/>
        </w:rPr>
        <w:t xml:space="preserve">货物质量保证承诺书</w:t>
      </w:r>
      <w:bookmarkEnd w:id="125"/>
      <w:r/>
      <w:bookmarkEnd w:id="126"/>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货物质量保证承诺书</w:t>
      </w:r>
      <w:r/>
    </w:p>
    <w:p>
      <w:pPr>
        <w:jc w:val="left"/>
        <w:spacing w:line="360" w:lineRule="auto"/>
        <w:widowControl/>
        <w:rPr>
          <w:rFonts w:ascii="宋体" w:hAnsi="宋体" w:cs="宋体"/>
          <w:bCs/>
          <w:color w:val="auto"/>
          <w:sz w:val="28"/>
          <w:szCs w:val="28"/>
          <w:highlight w:val="none"/>
          <w:u w:val="single"/>
        </w:rPr>
        <w:outlineLvl w:val="1"/>
      </w:pPr>
      <w:r>
        <w:rPr>
          <w:rFonts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我公司现向贵单位承诺，我公司在项目名称：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实施过程中，保证货物质量符合招标文件质量标准要求，在此服务过程中如出现任何质量问题，均由我公司承担一切责任。</w:t>
      </w:r>
      <w:r/>
    </w:p>
    <w:p>
      <w:pPr>
        <w:ind w:firstLine="480"/>
        <w:jc w:val="left"/>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承诺单位（公章）：</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r>
        <w:rPr>
          <w:rFonts w:hint="eastAsia" w:ascii="宋体" w:hAnsi="宋体" w:cs="宋体"/>
          <w:b/>
          <w:color w:val="auto"/>
          <w:sz w:val="24"/>
          <w:szCs w:val="24"/>
          <w:highlight w:val="none"/>
          <w:lang w:val="zh-CN"/>
        </w:rPr>
        <w:t xml:space="preserve">附件十四、</w:t>
      </w:r>
      <w:bookmarkStart w:id="127" w:name="_Hlk108563738"/>
      <w:r>
        <w:rPr>
          <w:rFonts w:hint="eastAsia" w:ascii="宋体" w:hAnsi="宋体" w:cs="宋体"/>
          <w:b/>
          <w:color w:val="auto"/>
          <w:sz w:val="24"/>
          <w:szCs w:val="24"/>
          <w:highlight w:val="none"/>
          <w:lang w:val="zh-CN"/>
        </w:rPr>
        <w:t xml:space="preserve">供应商资格承诺声明函</w:t>
      </w:r>
      <w:bookmarkEnd w:id="124"/>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供应商资格承诺声明函</w:t>
      </w:r>
      <w:bookmarkEnd w:id="114"/>
      <w:r/>
      <w:r/>
    </w:p>
    <w:p>
      <w:pPr>
        <w:jc w:val="left"/>
        <w:spacing w:line="360" w:lineRule="exact"/>
        <w:rPr>
          <w:rFonts w:hint="eastAsia" w:ascii="宋体" w:hAnsi="宋体"/>
          <w:color w:val="auto"/>
          <w:sz w:val="22"/>
          <w:szCs w:val="21"/>
          <w:highlight w:val="none"/>
        </w:rPr>
      </w:pPr>
      <w:r/>
      <w:bookmarkStart w:id="128" w:name="_Hlk94112054"/>
      <w:r>
        <w:rPr>
          <w:rFonts w:hint="eastAsia" w:ascii="宋体" w:hAnsi="宋体"/>
          <w:color w:val="auto"/>
          <w:sz w:val="22"/>
          <w:szCs w:val="21"/>
          <w:highlight w:val="none"/>
        </w:rPr>
        <w:t xml:space="preserve">致：</w:t>
      </w:r>
      <w:bookmarkEnd w:id="128"/>
      <w:r>
        <w:rPr>
          <w:rFonts w:hint="eastAsia" w:ascii="宋体" w:hAnsi="宋体"/>
          <w:color w:val="auto"/>
          <w:sz w:val="22"/>
          <w:szCs w:val="21"/>
          <w:highlight w:val="none"/>
          <w:u w:val="single"/>
        </w:rPr>
        <w:t xml:space="preserve">南京江北新区管理委员会教育局</w:t>
      </w:r>
      <w:r/>
    </w:p>
    <w:p>
      <w:pPr>
        <w:ind w:firstLine="440"/>
        <w:spacing w:line="360" w:lineRule="exact"/>
        <w:rPr>
          <w:rFonts w:ascii="宋体" w:hAnsi="宋体"/>
          <w:color w:val="auto"/>
          <w:sz w:val="22"/>
          <w:szCs w:val="21"/>
          <w:highlight w:val="none"/>
        </w:rPr>
      </w:pPr>
      <w:r>
        <w:rPr>
          <w:rFonts w:ascii="宋体" w:hAnsi="宋体"/>
          <w:color w:val="auto"/>
          <w:sz w:val="22"/>
          <w:szCs w:val="21"/>
          <w:highlight w:val="none"/>
        </w:rPr>
        <w:t xml:space="preserve">在参与本次项目</w:t>
      </w:r>
      <w:r>
        <w:rPr>
          <w:rFonts w:hint="eastAsia" w:ascii="宋体" w:hAnsi="宋体"/>
          <w:color w:val="auto"/>
          <w:sz w:val="22"/>
          <w:szCs w:val="21"/>
          <w:highlight w:val="none"/>
        </w:rPr>
        <w:t xml:space="preserve">政府采购活动</w:t>
      </w:r>
      <w:r>
        <w:rPr>
          <w:rFonts w:ascii="宋体" w:hAnsi="宋体"/>
          <w:color w:val="auto"/>
          <w:sz w:val="22"/>
          <w:szCs w:val="21"/>
          <w:highlight w:val="none"/>
        </w:rPr>
        <w:t xml:space="preserve">中，</w:t>
      </w:r>
      <w:r>
        <w:rPr>
          <w:rFonts w:hint="eastAsia" w:ascii="宋体" w:hAnsi="宋体"/>
          <w:color w:val="auto"/>
          <w:sz w:val="22"/>
          <w:szCs w:val="21"/>
          <w:highlight w:val="none"/>
        </w:rPr>
        <w:t xml:space="preserve">我公司</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 xml:space="preserve">（供应商名称）郑重承诺：我公司符合下列要求：</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（一）</w:t>
      </w:r>
      <w:r>
        <w:rPr>
          <w:rFonts w:ascii="宋体" w:hAnsi="宋体"/>
          <w:color w:val="auto"/>
          <w:sz w:val="22"/>
          <w:szCs w:val="21"/>
          <w:highlight w:val="none"/>
        </w:rPr>
        <w:t xml:space="preserve">具有良好的商业信誉和健全的财务会计制度；</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（二）</w:t>
      </w:r>
      <w:r>
        <w:rPr>
          <w:rFonts w:ascii="宋体" w:hAnsi="宋体"/>
          <w:color w:val="auto"/>
          <w:sz w:val="22"/>
          <w:szCs w:val="21"/>
          <w:highlight w:val="none"/>
        </w:rPr>
        <w:t xml:space="preserve">具有履行合同所必需的设备和专业技术能力；</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（三）</w:t>
      </w:r>
      <w:r>
        <w:rPr>
          <w:rFonts w:ascii="宋体" w:hAnsi="宋体"/>
          <w:color w:val="auto"/>
          <w:sz w:val="22"/>
          <w:szCs w:val="21"/>
          <w:highlight w:val="none"/>
        </w:rPr>
        <w:t xml:space="preserve">有依法缴纳税收和社会保障资金的良好记录；</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（四）</w:t>
      </w:r>
      <w:r>
        <w:rPr>
          <w:rFonts w:ascii="宋体" w:hAnsi="宋体"/>
          <w:color w:val="auto"/>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 w:val="22"/>
          <w:szCs w:val="21"/>
          <w:highlight w:val="none"/>
        </w:rPr>
        <w:t xml:space="preserve">2</w:t>
      </w:r>
      <w:r>
        <w:rPr>
          <w:rFonts w:ascii="宋体" w:hAnsi="宋体"/>
          <w:color w:val="auto"/>
          <w:sz w:val="22"/>
          <w:szCs w:val="21"/>
          <w:highlight w:val="none"/>
        </w:rPr>
        <w:t xml:space="preserve">00</w:t>
      </w:r>
      <w:r>
        <w:rPr>
          <w:rFonts w:hint="eastAsia" w:ascii="宋体" w:hAnsi="宋体"/>
          <w:color w:val="auto"/>
          <w:sz w:val="22"/>
          <w:szCs w:val="21"/>
          <w:highlight w:val="none"/>
        </w:rPr>
        <w:t xml:space="preserve">万元以上的</w:t>
      </w:r>
      <w:r>
        <w:rPr>
          <w:rFonts w:ascii="宋体" w:hAnsi="宋体"/>
          <w:color w:val="auto"/>
          <w:sz w:val="22"/>
          <w:szCs w:val="21"/>
          <w:highlight w:val="none"/>
        </w:rPr>
        <w:t xml:space="preserve">较大数额罚款</w:t>
      </w:r>
      <w:r>
        <w:rPr>
          <w:rFonts w:hint="eastAsia" w:ascii="宋体" w:hAnsi="宋体"/>
          <w:color w:val="auto"/>
          <w:sz w:val="22"/>
          <w:szCs w:val="21"/>
          <w:highlight w:val="none"/>
        </w:rPr>
        <w:t xml:space="preserve">等</w:t>
      </w:r>
      <w:r>
        <w:rPr>
          <w:rFonts w:ascii="宋体" w:hAnsi="宋体"/>
          <w:color w:val="auto"/>
          <w:sz w:val="22"/>
          <w:szCs w:val="21"/>
          <w:highlight w:val="none"/>
        </w:rPr>
        <w:t xml:space="preserve">行政处罚，不包括因违法经营被禁止在一定期限内参加政府采购活动，但期限已经届满的情形）</w:t>
      </w:r>
      <w:r>
        <w:rPr>
          <w:rFonts w:hint="eastAsia" w:ascii="宋体" w:hAnsi="宋体"/>
          <w:color w:val="auto"/>
          <w:sz w:val="22"/>
          <w:szCs w:val="21"/>
          <w:highlight w:val="none"/>
        </w:rPr>
        <w:t xml:space="preserve">；</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（五）</w:t>
      </w:r>
      <w:r>
        <w:rPr>
          <w:rFonts w:ascii="宋体" w:hAnsi="宋体"/>
          <w:color w:val="auto"/>
          <w:sz w:val="22"/>
          <w:szCs w:val="21"/>
          <w:highlight w:val="none"/>
        </w:rPr>
        <w:t xml:space="preserve">我单位不属于政府采购法律、行政法规规定的公益一类事业单位、或使用事业编制且由财政拨款保障的群团组织（仅适用于政府购买服务项目）；</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（六）</w:t>
      </w:r>
      <w:r>
        <w:rPr>
          <w:rFonts w:ascii="宋体" w:hAnsi="宋体"/>
          <w:color w:val="auto"/>
          <w:sz w:val="22"/>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（七）我单位未被列入失信被执行人、重大税收违法案件当事人名单、政府采购严重违法失信行为记录名单；</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（八）</w:t>
      </w:r>
      <w:r>
        <w:rPr>
          <w:rFonts w:ascii="宋体" w:hAnsi="宋体"/>
          <w:color w:val="auto"/>
          <w:sz w:val="22"/>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序号</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单位名称</w:t>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相互关系</w:t>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1</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2</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hint="eastAsia" w:ascii="宋体" w:hAnsi="宋体"/>
                <w:color w:val="auto"/>
                <w:sz w:val="22"/>
                <w:szCs w:val="21"/>
                <w:highlight w:val="none"/>
                <w:lang w:eastAsia="en-US"/>
              </w:rPr>
              <w:t xml:space="preserve">3</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bl>
    <w:p>
      <w:pPr>
        <w:ind w:firstLine="440"/>
        <w:jc w:val="left"/>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如果我公司成交，将在结果公告发布后</w:t>
      </w:r>
      <w:r>
        <w:rPr>
          <w:rFonts w:ascii="宋体" w:hAnsi="宋体"/>
          <w:color w:val="auto"/>
          <w:sz w:val="22"/>
          <w:szCs w:val="21"/>
          <w:highlight w:val="none"/>
        </w:rPr>
        <w:t xml:space="preserve">7</w:t>
      </w:r>
      <w:r>
        <w:rPr>
          <w:rFonts w:hint="eastAsia" w:ascii="宋体" w:hAnsi="宋体"/>
          <w:color w:val="auto"/>
          <w:sz w:val="22"/>
          <w:szCs w:val="21"/>
          <w:highlight w:val="none"/>
        </w:rPr>
        <w:t xml:space="preserve">个工作日内向（采购代理机构邮箱）提供下列材料核验：</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（1）2024年经审计的财务报告或2024年财务报表，或投标文件提交截止时间前六个月内银行出具的资信证明，成立不满一年无需提供；</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（2）参加本次政府采购活动前半年内至少一个月：</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（3）履行合同所必需的设备和专业技术能力的书面声明、证明材料；</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（4）参加本次政府采购活动前3年内在经营活动中没有重大违法记录的书面声明。</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本公司对上述承诺的真实性负责，如有虚假，将依法承担相应责任。</w:t>
      </w:r>
      <w:r/>
    </w:p>
    <w:p>
      <w:pPr>
        <w:jc w:val="left"/>
        <w:spacing w:line="360" w:lineRule="exact"/>
        <w:rPr>
          <w:rFonts w:ascii="宋体" w:hAnsi="宋体"/>
          <w:color w:val="auto"/>
          <w:sz w:val="22"/>
          <w:szCs w:val="21"/>
          <w:highlight w:val="none"/>
        </w:rPr>
      </w:pPr>
      <w:r>
        <w:rPr>
          <w:rFonts w:ascii="宋体" w:hAnsi="宋体"/>
          <w:color w:val="auto"/>
          <w:sz w:val="22"/>
          <w:szCs w:val="21"/>
          <w:highlight w:val="none"/>
        </w:rPr>
      </w:r>
      <w:bookmarkEnd w:id="115"/>
      <w:r/>
      <w:r/>
    </w:p>
    <w:p>
      <w:pPr>
        <w:ind w:right="1480"/>
        <w:jc w:val="left"/>
        <w:spacing w:before="25" w:after="25" w:line="360" w:lineRule="exact"/>
        <w:rPr>
          <w:rFonts w:ascii="宋体" w:hAnsi="宋体"/>
          <w:color w:val="auto"/>
          <w:sz w:val="22"/>
          <w:szCs w:val="21"/>
          <w:highlight w:val="none"/>
        </w:rPr>
      </w:pPr>
      <w:r>
        <w:rPr>
          <w:rFonts w:ascii="宋体" w:hAnsi="宋体"/>
          <w:color w:val="auto"/>
          <w:sz w:val="22"/>
          <w:szCs w:val="21"/>
          <w:highlight w:val="none"/>
        </w:rPr>
        <w:t xml:space="preserve">供应商名称（加盖公章）</w:t>
      </w:r>
      <w:r>
        <w:rPr>
          <w:rFonts w:ascii="宋体" w:hAnsi="宋体"/>
          <w:color w:val="auto"/>
          <w:sz w:val="22"/>
          <w:szCs w:val="21"/>
          <w:highlight w:val="none"/>
          <w:lang w:val="zh-CN"/>
        </w:rPr>
        <w:t xml:space="preserve">：</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p>
    <w:p>
      <w:pPr>
        <w:ind w:right="1120"/>
        <w:spacing w:line="360" w:lineRule="exact"/>
        <w:rPr>
          <w:rFonts w:ascii="宋体" w:hAnsi="宋体"/>
          <w:color w:val="auto"/>
          <w:sz w:val="22"/>
          <w:szCs w:val="21"/>
          <w:highlight w:val="none"/>
        </w:rPr>
      </w:pPr>
      <w:r/>
      <w:bookmarkStart w:id="129" w:name="_Hlk112322441"/>
      <w:r>
        <w:rPr>
          <w:rFonts w:hint="eastAsia" w:ascii="宋体" w:hAnsi="宋体"/>
          <w:color w:val="auto"/>
          <w:sz w:val="22"/>
          <w:szCs w:val="21"/>
          <w:highlight w:val="none"/>
        </w:rPr>
        <w:t xml:space="preserve">供应商授权代表（签字）：</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bookmarkEnd w:id="129"/>
      <w:r/>
      <w:r/>
    </w:p>
    <w:p>
      <w:pPr>
        <w:ind w:right="1480"/>
        <w:spacing w:line="360" w:lineRule="exact"/>
        <w:rPr>
          <w:rFonts w:ascii="Arial" w:hAnsi="Arial" w:eastAsia="黑体"/>
          <w:color w:val="auto"/>
          <w:sz w:val="24"/>
          <w:szCs w:val="24"/>
          <w:highlight w:val="none"/>
        </w:rPr>
      </w:pPr>
      <w:r>
        <w:rPr>
          <w:rFonts w:ascii="宋体" w:hAnsi="宋体"/>
          <w:color w:val="auto"/>
          <w:sz w:val="22"/>
          <w:szCs w:val="21"/>
          <w:highlight w:val="none"/>
        </w:rPr>
        <w:t xml:space="preserve">日期：</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年</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月</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日</w:t>
      </w:r>
      <w:bookmarkEnd w:id="127"/>
      <w:r>
        <w:rPr>
          <w:rFonts w:ascii="Arial" w:hAnsi="Arial" w:eastAsia="黑体"/>
          <w:color w:val="auto"/>
          <w:sz w:val="24"/>
          <w:szCs w:val="24"/>
          <w:highlight w:val="none"/>
        </w:rPr>
        <w:t xml:space="preserve"> </w:t>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color w:val="auto"/>
          <w:sz w:val="24"/>
          <w:szCs w:val="24"/>
          <w:highlight w:val="none"/>
        </w:rPr>
        <w:br w:type="page" w:clear="all"/>
      </w:r>
      <w:bookmarkStart w:id="130" w:name="_Toc228350089"/>
      <w:r>
        <w:rPr>
          <w:rFonts w:hint="eastAsia" w:ascii="宋体" w:hAnsi="宋体" w:cs="宋体"/>
          <w:b/>
          <w:color w:val="auto"/>
          <w:sz w:val="24"/>
          <w:szCs w:val="24"/>
          <w:highlight w:val="none"/>
          <w:lang w:val="zh-CN"/>
        </w:rPr>
        <w:t xml:space="preserve">附件十五、联合体协议</w:t>
      </w:r>
      <w:bookmarkEnd w:id="130"/>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p>
    <w:p>
      <w:pPr>
        <w:ind w:firstLine="528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jc w:val="left"/>
        <w:spacing w:line="360" w:lineRule="auto"/>
        <w:widowControl/>
        <w:rPr>
          <w:rFonts w:ascii="宋体" w:hAnsi="宋体" w:cs="宋体"/>
          <w:b/>
          <w:color w:val="auto"/>
          <w:sz w:val="24"/>
          <w:szCs w:val="24"/>
          <w:highlight w:val="none"/>
          <w:lang w:val="zh-CN"/>
        </w:rPr>
        <w:outlineLvl w:val="1"/>
      </w:pPr>
      <w:r>
        <w:rPr>
          <w:color w:val="auto"/>
          <w:highlight w:val="none"/>
        </w:rPr>
        <w:br w:type="page" w:clear="all"/>
      </w:r>
      <w:bookmarkStart w:id="131" w:name="_Toc228350090"/>
      <w:r>
        <w:rPr>
          <w:rFonts w:hint="eastAsia" w:ascii="宋体" w:hAnsi="宋体" w:cs="宋体"/>
          <w:b/>
          <w:color w:val="auto"/>
          <w:sz w:val="24"/>
          <w:szCs w:val="24"/>
          <w:highlight w:val="none"/>
          <w:lang w:val="zh-CN"/>
        </w:rPr>
        <w:t xml:space="preserve">附件十六、关于符合本国产品标准的声明函</w:t>
      </w:r>
      <w:bookmarkEnd w:id="131"/>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的中国境内生产的组件成本占比</w:t>
      </w:r>
      <w:r>
        <w:rPr>
          <w:rFonts w:ascii="宋体" w:hAnsi="宋体" w:cs="宋体"/>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（规定比例）</w:t>
      </w:r>
      <w:r>
        <w:rPr>
          <w:rFonts w:hint="eastAsia" w:ascii="宋体" w:hAnsi="宋体" w:cs="宋体"/>
          <w:i/>
          <w:color w:val="auto"/>
          <w:sz w:val="22"/>
          <w:szCs w:val="22"/>
          <w:highlight w:val="none"/>
          <w:shd w:val="clear" w:color="auto" w:fill="ffffff"/>
          <w:vertAlign w:val="superscript"/>
          <w:lang w:val="zh-CN" w:bidi="zh-CN"/>
        </w:rPr>
        <w:t xml:space="preserve">3</w:t>
      </w:r>
      <w:r>
        <w:rPr>
          <w:rFonts w:hint="eastAsia" w:ascii="宋体" w:hAnsi="宋体" w:cs="微软雅黑"/>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（关键组件）</w:t>
      </w:r>
      <w:r>
        <w:rPr>
          <w:rFonts w:hint="eastAsia" w:ascii="宋体" w:hAnsi="宋体" w:cs="宋体"/>
          <w:i/>
          <w:color w:val="auto"/>
          <w:sz w:val="22"/>
          <w:szCs w:val="22"/>
          <w:highlight w:val="none"/>
          <w:shd w:val="clear" w:color="auto" w:fill="ffffff"/>
          <w:vertAlign w:val="superscript"/>
          <w:lang w:val="zh-CN" w:bidi="zh-CN"/>
        </w:rPr>
        <w:t xml:space="preserve">4</w:t>
      </w:r>
      <w:r>
        <w:rPr>
          <w:rFonts w:hint="eastAsia" w:ascii="宋体" w:hAnsi="宋体" w:cs="微软雅黑"/>
          <w:strike/>
          <w:color w:val="auto"/>
          <w:sz w:val="24"/>
          <w:szCs w:val="24"/>
          <w:highlight w:val="none"/>
          <w:shd w:val="clear" w:color="auto" w:fill="ffffff"/>
          <w:lang w:val="zh-CN" w:bidi="zh-CN"/>
        </w:rPr>
        <w:t xml:space="preserve">在中国境内生产。</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（关键工序）</w:t>
      </w:r>
      <w:r>
        <w:rPr>
          <w:rFonts w:hint="eastAsia" w:ascii="宋体" w:hAnsi="宋体" w:cs="宋体"/>
          <w:i/>
          <w:color w:val="auto"/>
          <w:sz w:val="22"/>
          <w:szCs w:val="22"/>
          <w:highlight w:val="none"/>
          <w:shd w:val="clear" w:color="auto" w:fill="ffffff"/>
          <w:vertAlign w:val="superscript"/>
          <w:lang w:val="zh-CN" w:bidi="zh-CN"/>
        </w:rPr>
        <w:t xml:space="preserve">5</w:t>
      </w:r>
      <w:r>
        <w:rPr>
          <w:rFonts w:hint="eastAsia" w:ascii="宋体" w:hAnsi="宋体" w:cs="微软雅黑"/>
          <w:strike/>
          <w:color w:val="auto"/>
          <w:sz w:val="24"/>
          <w:szCs w:val="24"/>
          <w:highlight w:val="none"/>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的中国境内生产的组件成本占比</w:t>
      </w:r>
      <w:r>
        <w:rPr>
          <w:rFonts w:ascii="宋体" w:hAnsi="宋体" w:cs="宋体"/>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（规定比例）</w:t>
      </w:r>
      <w:r>
        <w:rPr>
          <w:rFonts w:hint="eastAsia" w:ascii="宋体" w:hAnsi="宋体" w:cs="微软雅黑"/>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（关键组件）</w:t>
      </w:r>
      <w:r>
        <w:rPr>
          <w:rFonts w:hint="eastAsia" w:ascii="宋体" w:hAnsi="宋体" w:cs="微软雅黑"/>
          <w:strike/>
          <w:color w:val="auto"/>
          <w:sz w:val="24"/>
          <w:szCs w:val="24"/>
          <w:highlight w:val="none"/>
          <w:shd w:val="clear" w:color="auto" w:fill="ffffff"/>
          <w:lang w:val="zh-CN" w:bidi="zh-CN"/>
        </w:rPr>
        <w:t xml:space="preserve">在中国境内生产。</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（关键工序）</w:t>
      </w:r>
      <w:r>
        <w:rPr>
          <w:rFonts w:hint="eastAsia" w:ascii="宋体" w:hAnsi="宋体" w:cs="微软雅黑"/>
          <w:strike/>
          <w:color w:val="auto"/>
          <w:sz w:val="24"/>
          <w:szCs w:val="24"/>
          <w:highlight w:val="none"/>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contextualSpacing/>
        <w:ind w:left="720"/>
        <w:jc w:val="left"/>
        <w:widowControl/>
        <w:rPr>
          <w:rFonts w:ascii="Arial" w:hAnsi="Arial" w:eastAsia="黑体"/>
          <w:color w:val="auto"/>
          <w:sz w:val="24"/>
          <w:szCs w:val="24"/>
          <w:highlight w:val="none"/>
        </w:rPr>
      </w:pPr>
      <w:r>
        <w:rPr>
          <w:rFonts w:ascii="Arial" w:hAnsi="Arial" w:eastAsia="黑体"/>
          <w:color w:val="auto"/>
          <w:sz w:val="24"/>
          <w:szCs w:val="24"/>
          <w:highlight w:val="none"/>
        </w:rPr>
      </w:r>
      <w:r/>
    </w:p>
    <w:p>
      <w:pPr>
        <w:pStyle w:val="722"/>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2"/>
          <w:szCs w:val="32"/>
          <w:highlight w:val="none"/>
        </w:rPr>
      </w:pPr>
      <w:r>
        <w:rPr>
          <w:color w:val="auto"/>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授权代表：联系电话：</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项目编号：采购包号：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b/>
          <w:bCs/>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MS Mincho">
    <w:panose1 w:val="02020603050405090304"/>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Verdana">
    <w:panose1 w:val="020B0604030504040204"/>
  </w:font>
  <w:font w:name="黑体">
    <w:panose1 w:val="02010609060101010101"/>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32"/>
      </w:rPr>
      <w:framePr w:wrap="around" w:vAnchor="text" w:hAnchor="margin" w:xAlign="center" w:y="1"/>
    </w:pPr>
    <w:r>
      <w:fldChar w:fldCharType="begin"/>
    </w:r>
    <w:r>
      <w:rPr>
        <w:rStyle w:val="832"/>
      </w:rPr>
      <w:instrText xml:space="preserve">PAGE  </w:instrText>
    </w:r>
    <w:r>
      <w:fldChar w:fldCharType="separate"/>
    </w:r>
    <w:r>
      <w:rPr>
        <w:rStyle w:val="832"/>
      </w:rPr>
      <w:t xml:space="preserve">1</w:t>
    </w:r>
    <w:r>
      <w:fldChar w:fldCharType="end"/>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302"/>
      <w:isLgl w:val="false"/>
      <w:suff w:val="space"/>
      <w:lvlText w:val="%1.%2"/>
      <w:lvlJc w:val="left"/>
      <w:pPr>
        <w:ind w:left="0" w:firstLine="0"/>
      </w:pPr>
      <w:rPr>
        <w:rFonts w:hint="eastAsia"/>
      </w:rPr>
    </w:lvl>
    <w:lvl w:ilvl="2">
      <w:start w:val="1"/>
      <w:numFmt w:val="decimal"/>
      <w:pStyle w:val="1303"/>
      <w:isLgl w:val="false"/>
      <w:suff w:val="space"/>
      <w:lvlText w:val="%1.%2.%3"/>
      <w:lvlJc w:val="left"/>
      <w:pPr>
        <w:ind w:left="0" w:firstLine="0"/>
      </w:pPr>
      <w:rPr>
        <w:color w:val="000000"/>
        <w:sz w:val="21"/>
        <w:szCs w:val="21"/>
      </w:rPr>
    </w:lvl>
    <w:lvl w:ilvl="3">
      <w:start w:val="1"/>
      <w:numFmt w:val="decimal"/>
      <w:pStyle w:val="1304"/>
      <w:isLgl w:val="false"/>
      <w:suff w:val="space"/>
      <w:lvlText w:val="%1.%2.%3.%4"/>
      <w:lvlJc w:val="left"/>
      <w:pPr>
        <w:ind w:left="142" w:firstLine="0"/>
      </w:pPr>
      <w:rPr>
        <w:rFonts w:hint="eastAsia"/>
        <w:color w:val="000000"/>
        <w:sz w:val="21"/>
        <w:szCs w:val="21"/>
      </w:rPr>
    </w:lvl>
    <w:lvl w:ilvl="4">
      <w:start w:val="1"/>
      <w:numFmt w:val="decimal"/>
      <w:isLgl w:val="false"/>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pStyle w:val="120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6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125"/>
      <w:isLgl w:val="false"/>
      <w:suff w:val="tab"/>
      <w:lvlText w:val="%1"/>
      <w:lvlJc w:val="left"/>
      <w:pPr>
        <w:ind w:left="567" w:hanging="567"/>
        <w:tabs>
          <w:tab w:val="left" w:pos="567" w:leader="none"/>
        </w:tabs>
      </w:pPr>
      <w:rPr>
        <w:rFonts w:hint="eastAsia"/>
      </w:rPr>
    </w:lvl>
    <w:lvl w:ilvl="1">
      <w:start w:val="1"/>
      <w:numFmt w:val="decimal"/>
      <w:pStyle w:val="1187"/>
      <w:isLgl w:val="false"/>
      <w:suff w:val="tab"/>
      <w:lvlText w:val="%1.%2"/>
      <w:lvlJc w:val="left"/>
      <w:pPr>
        <w:ind w:left="567" w:hanging="283"/>
        <w:tabs>
          <w:tab w:val="left" w:pos="1004" w:leader="none"/>
        </w:tabs>
      </w:pPr>
      <w:rPr>
        <w:rFonts w:hint="eastAsia"/>
      </w:rPr>
    </w:lvl>
    <w:lvl w:ilvl="2">
      <w:start w:val="1"/>
      <w:numFmt w:val="decimal"/>
      <w:pStyle w:val="122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7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9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9"/>
  </w:num>
  <w:num w:numId="4">
    <w:abstractNumId w:val="2"/>
  </w:num>
  <w:num w:numId="5">
    <w:abstractNumId w:val="1"/>
  </w:num>
  <w:num w:numId="6">
    <w:abstractNumId w:val="5"/>
  </w:num>
  <w:num w:numId="7">
    <w:abstractNumId w:val="7"/>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1337"/>
    <w:uiPriority w:val="0"/>
    <w:qFormat/>
    <w:pPr>
      <w:jc w:val="both"/>
      <w:widowControl w:val="off"/>
    </w:pPr>
    <w:rPr>
      <w:rFonts w:hint="default" w:ascii="Times New Roman" w:hAnsi="Times New Roman" w:eastAsia="宋体" w:cs="Times New Roman"/>
      <w:sz w:val="21"/>
      <w:lang w:val="en-US" w:eastAsia="zh-CN" w:bidi="ar-SA"/>
    </w:rPr>
  </w:style>
  <w:style w:type="paragraph" w:styleId="711">
    <w:name w:val="Heading 1"/>
    <w:basedOn w:val="710"/>
    <w:next w:val="710"/>
    <w:link w:val="850"/>
    <w:uiPriority w:val="9"/>
    <w:qFormat/>
    <w:pPr>
      <w:keepLines/>
      <w:keepNext/>
      <w:spacing w:before="480" w:after="200"/>
      <w:outlineLvl w:val="0"/>
    </w:pPr>
    <w:rPr>
      <w:rFonts w:ascii="Arial" w:hAnsi="Arial" w:eastAsia="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正文首行缩进 21"/>
    <w:basedOn w:val="723"/>
    <w:next w:val="710"/>
    <w:uiPriority w:val="0"/>
    <w:qFormat/>
    <w:pPr>
      <w:ind w:firstLine="420"/>
    </w:pPr>
    <w:rPr>
      <w:rFonts w:ascii="Calibri" w:hAnsi="Calibri" w:cs="Calibri"/>
      <w:szCs w:val="24"/>
    </w:rPr>
  </w:style>
  <w:style w:type="paragraph" w:styleId="723" w:customStyle="1">
    <w:name w:val="正文文本缩进12"/>
    <w:basedOn w:val="710"/>
    <w:next w:val="724"/>
    <w:link w:val="762"/>
    <w:uiPriority w:val="0"/>
    <w:qFormat/>
    <w:pPr>
      <w:ind w:firstLine="645"/>
    </w:pPr>
    <w:rPr>
      <w:rFonts w:ascii="方正楷体_GB2312" w:eastAsia="方正楷体_GB2312"/>
      <w:sz w:val="32"/>
    </w:rPr>
  </w:style>
  <w:style w:type="paragraph" w:styleId="724" w:customStyle="1">
    <w:name w:val="寄信人地址11"/>
    <w:basedOn w:val="710"/>
    <w:uiPriority w:val="0"/>
    <w:qFormat/>
    <w:rPr>
      <w:rFonts w:ascii="Arial" w:hAnsi="Arial"/>
    </w:rPr>
  </w:style>
  <w:style w:type="paragraph" w:styleId="725">
    <w:name w:val="toc 7"/>
    <w:basedOn w:val="710"/>
    <w:next w:val="710"/>
    <w:uiPriority w:val="39"/>
    <w:unhideWhenUsed/>
    <w:qFormat/>
    <w:pPr>
      <w:ind w:left="1701" w:right="0" w:firstLine="0"/>
      <w:spacing w:after="57"/>
    </w:pPr>
  </w:style>
  <w:style w:type="paragraph" w:styleId="726">
    <w:name w:val="Caption"/>
    <w:basedOn w:val="710"/>
    <w:next w:val="710"/>
    <w:uiPriority w:val="35"/>
    <w:semiHidden/>
    <w:unhideWhenUsed/>
    <w:qFormat/>
    <w:pPr>
      <w:spacing w:line="276" w:lineRule="auto"/>
    </w:pPr>
    <w:rPr>
      <w:b/>
      <w:bCs/>
      <w:color w:val="4f81bd" w:themeColor="accent1"/>
      <w:sz w:val="18"/>
      <w:szCs w:val="18"/>
    </w:rPr>
  </w:style>
  <w:style w:type="paragraph" w:styleId="727">
    <w:name w:val="toc 5"/>
    <w:basedOn w:val="710"/>
    <w:next w:val="710"/>
    <w:uiPriority w:val="39"/>
    <w:unhideWhenUsed/>
    <w:qFormat/>
    <w:pPr>
      <w:ind w:left="1134" w:right="0" w:firstLine="0"/>
      <w:spacing w:after="57"/>
    </w:pPr>
  </w:style>
  <w:style w:type="paragraph" w:styleId="728">
    <w:name w:val="toc 3"/>
    <w:basedOn w:val="710"/>
    <w:next w:val="710"/>
    <w:uiPriority w:val="39"/>
    <w:unhideWhenUsed/>
    <w:qFormat/>
    <w:pPr>
      <w:ind w:left="567" w:right="0" w:firstLine="0"/>
      <w:spacing w:after="57"/>
    </w:pPr>
  </w:style>
  <w:style w:type="paragraph" w:styleId="729">
    <w:name w:val="toc 8"/>
    <w:basedOn w:val="710"/>
    <w:next w:val="710"/>
    <w:uiPriority w:val="39"/>
    <w:unhideWhenUsed/>
    <w:qFormat/>
    <w:pPr>
      <w:ind w:left="1984" w:right="0" w:firstLine="0"/>
      <w:spacing w:after="57"/>
    </w:pPr>
  </w:style>
  <w:style w:type="paragraph" w:styleId="730">
    <w:name w:val="endnote text"/>
    <w:basedOn w:val="710"/>
    <w:uiPriority w:val="99"/>
    <w:semiHidden/>
    <w:unhideWhenUsed/>
    <w:qFormat/>
    <w:pPr>
      <w:spacing w:after="0" w:line="240" w:lineRule="auto"/>
    </w:pPr>
    <w:rPr>
      <w:sz w:val="20"/>
    </w:rPr>
  </w:style>
  <w:style w:type="paragraph" w:styleId="731">
    <w:name w:val="Footer"/>
    <w:basedOn w:val="710"/>
    <w:uiPriority w:val="99"/>
    <w:unhideWhenUsed/>
    <w:qFormat/>
    <w:pPr>
      <w:spacing w:after="0" w:line="240" w:lineRule="auto"/>
      <w:tabs>
        <w:tab w:val="center" w:pos="7143" w:leader="none"/>
        <w:tab w:val="right" w:pos="14287" w:leader="none"/>
      </w:tabs>
    </w:pPr>
  </w:style>
  <w:style w:type="paragraph" w:styleId="732">
    <w:name w:val="Header"/>
    <w:basedOn w:val="710"/>
    <w:uiPriority w:val="99"/>
    <w:unhideWhenUsed/>
    <w:qFormat/>
    <w:pPr>
      <w:spacing w:after="0" w:line="240" w:lineRule="auto"/>
      <w:tabs>
        <w:tab w:val="center" w:pos="7143" w:leader="none"/>
        <w:tab w:val="right" w:pos="14287" w:leader="none"/>
      </w:tabs>
    </w:pPr>
  </w:style>
  <w:style w:type="paragraph" w:styleId="733">
    <w:name w:val="toc 1"/>
    <w:basedOn w:val="710"/>
    <w:next w:val="710"/>
    <w:uiPriority w:val="39"/>
    <w:unhideWhenUsed/>
    <w:qFormat/>
    <w:pPr>
      <w:ind w:left="0" w:right="0" w:firstLine="0"/>
      <w:spacing w:after="57"/>
    </w:pPr>
  </w:style>
  <w:style w:type="paragraph" w:styleId="734">
    <w:name w:val="toc 4"/>
    <w:basedOn w:val="710"/>
    <w:next w:val="710"/>
    <w:uiPriority w:val="39"/>
    <w:unhideWhenUsed/>
    <w:qFormat/>
    <w:pPr>
      <w:ind w:left="850" w:right="0" w:firstLine="0"/>
      <w:spacing w:after="57"/>
    </w:pPr>
  </w:style>
  <w:style w:type="paragraph" w:styleId="735">
    <w:name w:val="Subtitle"/>
    <w:basedOn w:val="710"/>
    <w:next w:val="710"/>
    <w:uiPriority w:val="11"/>
    <w:qFormat/>
    <w:pPr>
      <w:spacing w:before="200" w:after="200"/>
    </w:pPr>
    <w:rPr>
      <w:sz w:val="24"/>
      <w:szCs w:val="24"/>
    </w:rPr>
  </w:style>
  <w:style w:type="paragraph" w:styleId="736">
    <w:name w:val="footnote text"/>
    <w:basedOn w:val="710"/>
    <w:uiPriority w:val="99"/>
    <w:semiHidden/>
    <w:unhideWhenUsed/>
    <w:qFormat/>
    <w:pPr>
      <w:spacing w:after="40" w:line="240" w:lineRule="auto"/>
    </w:pPr>
    <w:rPr>
      <w:sz w:val="18"/>
    </w:rPr>
  </w:style>
  <w:style w:type="paragraph" w:styleId="737">
    <w:name w:val="toc 6"/>
    <w:basedOn w:val="710"/>
    <w:next w:val="710"/>
    <w:uiPriority w:val="39"/>
    <w:unhideWhenUsed/>
    <w:qFormat/>
    <w:pPr>
      <w:ind w:left="1417" w:right="0" w:firstLine="0"/>
      <w:spacing w:after="57"/>
    </w:pPr>
  </w:style>
  <w:style w:type="paragraph" w:styleId="738">
    <w:name w:val="table of figures"/>
    <w:basedOn w:val="710"/>
    <w:next w:val="710"/>
    <w:uiPriority w:val="99"/>
    <w:unhideWhenUsed/>
    <w:qFormat/>
    <w:pPr>
      <w:spacing w:after="0" w:afterAutospacing="0"/>
    </w:pPr>
  </w:style>
  <w:style w:type="paragraph" w:styleId="739">
    <w:name w:val="toc 2"/>
    <w:basedOn w:val="710"/>
    <w:next w:val="710"/>
    <w:uiPriority w:val="39"/>
    <w:unhideWhenUsed/>
    <w:qFormat/>
    <w:pPr>
      <w:ind w:left="283" w:right="0" w:firstLine="0"/>
      <w:spacing w:after="57"/>
    </w:pPr>
  </w:style>
  <w:style w:type="paragraph" w:styleId="740">
    <w:name w:val="toc 9"/>
    <w:basedOn w:val="710"/>
    <w:next w:val="710"/>
    <w:uiPriority w:val="39"/>
    <w:unhideWhenUsed/>
    <w:qFormat/>
    <w:pPr>
      <w:ind w:left="2268" w:right="0" w:firstLine="0"/>
      <w:spacing w:after="57"/>
    </w:pPr>
  </w:style>
  <w:style w:type="paragraph" w:styleId="741">
    <w:name w:val="Title"/>
    <w:basedOn w:val="710"/>
    <w:next w:val="710"/>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rPr>
  </w:style>
  <w:style w:type="character" w:styleId="745">
    <w:name w:val="footnote reference"/>
    <w:uiPriority w:val="99"/>
    <w:unhideWhenUsed/>
    <w:qFormat/>
    <w:rPr>
      <w:vertAlign w:val="superscript"/>
    </w:rPr>
  </w:style>
  <w:style w:type="paragraph" w:styleId="746">
    <w:name w:val="List Paragraph"/>
    <w:basedOn w:val="710"/>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paragraph" w:styleId="748">
    <w:name w:val="Quote"/>
    <w:basedOn w:val="710"/>
    <w:next w:val="710"/>
    <w:uiPriority w:val="29"/>
    <w:qFormat/>
    <w:pPr>
      <w:ind w:left="720" w:right="720"/>
    </w:pPr>
    <w:rPr>
      <w:i/>
    </w:rPr>
  </w:style>
  <w:style w:type="paragraph" w:styleId="749">
    <w:name w:val="Intense Quote"/>
    <w:basedOn w:val="710"/>
    <w:next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0" w:customStyle="1">
    <w:name w:val="标题 111"/>
    <w:basedOn w:val="710"/>
    <w:next w:val="710"/>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51" w:customStyle="1">
    <w:name w:val="标题 21"/>
    <w:basedOn w:val="710"/>
    <w:next w:val="710"/>
    <w:link w:val="763"/>
    <w:uiPriority w:val="0"/>
    <w:qFormat/>
    <w:pPr>
      <w:jc w:val="left"/>
      <w:keepLines/>
      <w:keepNext/>
      <w:spacing w:before="120" w:after="120"/>
      <w:outlineLvl w:val="1"/>
    </w:pPr>
    <w:rPr>
      <w:rFonts w:ascii="宋体" w:hAnsi="宋体"/>
      <w:b/>
      <w:szCs w:val="24"/>
    </w:rPr>
  </w:style>
  <w:style w:type="paragraph" w:styleId="752" w:customStyle="1">
    <w:name w:val="标题 31"/>
    <w:basedOn w:val="710"/>
    <w:next w:val="753"/>
    <w:link w:val="764"/>
    <w:uiPriority w:val="0"/>
    <w:qFormat/>
    <w:pPr>
      <w:keepLines/>
      <w:keepNext/>
      <w:spacing w:line="390" w:lineRule="atLeast"/>
      <w:shd w:val="clear" w:color="auto" w:fill="ffffff"/>
      <w:outlineLvl w:val="2"/>
    </w:pPr>
    <w:rPr>
      <w:rFonts w:ascii="宋体" w:hAnsi="宋体"/>
      <w:b/>
      <w:szCs w:val="21"/>
    </w:rPr>
  </w:style>
  <w:style w:type="paragraph" w:styleId="753" w:customStyle="1">
    <w:name w:val="正文缩进1"/>
    <w:basedOn w:val="710"/>
    <w:uiPriority w:val="0"/>
    <w:qFormat/>
    <w:pPr>
      <w:ind w:firstLine="420"/>
    </w:pPr>
  </w:style>
  <w:style w:type="paragraph" w:styleId="754" w:customStyle="1">
    <w:name w:val="标题 41"/>
    <w:basedOn w:val="710"/>
    <w:next w:val="710"/>
    <w:link w:val="765"/>
    <w:uiPriority w:val="0"/>
    <w:qFormat/>
    <w:pPr>
      <w:keepLines/>
      <w:keepNext/>
      <w:spacing w:before="120" w:after="120"/>
      <w:outlineLvl w:val="3"/>
    </w:pPr>
    <w:rPr>
      <w:rFonts w:ascii="Arial" w:hAnsi="Arial" w:eastAsia="黑体"/>
      <w:b/>
      <w:sz w:val="28"/>
    </w:rPr>
  </w:style>
  <w:style w:type="paragraph" w:styleId="755" w:customStyle="1">
    <w:name w:val="标题 51"/>
    <w:basedOn w:val="710"/>
    <w:next w:val="753"/>
    <w:link w:val="766"/>
    <w:uiPriority w:val="0"/>
    <w:qFormat/>
    <w:pPr>
      <w:keepNext/>
      <w:spacing w:before="145" w:after="145"/>
      <w:outlineLvl w:val="4"/>
    </w:pPr>
    <w:rPr>
      <w:rFonts w:ascii="黑体" w:eastAsia="黑体"/>
      <w:b/>
      <w:color w:val="000000"/>
      <w:sz w:val="28"/>
    </w:rPr>
  </w:style>
  <w:style w:type="paragraph" w:styleId="756" w:customStyle="1">
    <w:name w:val="标题 61"/>
    <w:basedOn w:val="710"/>
    <w:next w:val="710"/>
    <w:link w:val="767"/>
    <w:uiPriority w:val="0"/>
    <w:qFormat/>
    <w:pPr>
      <w:keepLines/>
      <w:keepNext/>
      <w:spacing w:before="240" w:after="64" w:line="320" w:lineRule="auto"/>
      <w:outlineLvl w:val="5"/>
    </w:pPr>
    <w:rPr>
      <w:rFonts w:ascii="Arial" w:hAnsi="Arial" w:eastAsia="黑体"/>
      <w:b/>
      <w:bCs/>
      <w:sz w:val="24"/>
      <w:szCs w:val="24"/>
    </w:rPr>
  </w:style>
  <w:style w:type="paragraph" w:styleId="757" w:customStyle="1">
    <w:name w:val="标题 71"/>
    <w:basedOn w:val="710"/>
    <w:next w:val="710"/>
    <w:link w:val="768"/>
    <w:uiPriority w:val="0"/>
    <w:qFormat/>
    <w:pPr>
      <w:keepLines/>
      <w:keepNext/>
      <w:spacing w:before="240" w:after="64" w:line="320" w:lineRule="auto"/>
      <w:outlineLvl w:val="6"/>
    </w:pPr>
    <w:rPr>
      <w:b/>
      <w:bCs/>
      <w:sz w:val="24"/>
      <w:szCs w:val="24"/>
    </w:rPr>
  </w:style>
  <w:style w:type="paragraph" w:styleId="758" w:customStyle="1">
    <w:name w:val="标题 81"/>
    <w:basedOn w:val="710"/>
    <w:next w:val="710"/>
    <w:link w:val="769"/>
    <w:uiPriority w:val="0"/>
    <w:qFormat/>
    <w:pPr>
      <w:keepLines/>
      <w:keepNext/>
      <w:spacing w:before="240" w:after="64" w:line="320" w:lineRule="auto"/>
      <w:outlineLvl w:val="7"/>
    </w:pPr>
    <w:rPr>
      <w:rFonts w:ascii="Arial" w:hAnsi="Arial" w:eastAsia="黑体"/>
      <w:sz w:val="24"/>
      <w:szCs w:val="24"/>
    </w:rPr>
  </w:style>
  <w:style w:type="paragraph" w:styleId="759" w:customStyle="1">
    <w:name w:val="标题 91"/>
    <w:basedOn w:val="710"/>
    <w:next w:val="710"/>
    <w:link w:val="770"/>
    <w:uiPriority w:val="0"/>
    <w:qFormat/>
    <w:pPr>
      <w:keepLines/>
      <w:keepNext/>
      <w:spacing w:before="240" w:after="64" w:line="320" w:lineRule="auto"/>
      <w:outlineLvl w:val="8"/>
    </w:pPr>
    <w:rPr>
      <w:rFonts w:ascii="Arial" w:hAnsi="Arial" w:eastAsia="黑体"/>
      <w:szCs w:val="21"/>
    </w:rPr>
  </w:style>
  <w:style w:type="character" w:styleId="760" w:customStyle="1">
    <w:name w:val="默认段落字体1"/>
    <w:link w:val="710"/>
    <w:uiPriority w:val="1"/>
    <w:unhideWhenUsed/>
    <w:qFormat/>
  </w:style>
  <w:style w:type="table" w:styleId="761"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62" w:customStyle="1">
    <w:name w:val="正文文本缩进 Char"/>
    <w:link w:val="723"/>
    <w:uiPriority w:val="0"/>
    <w:qFormat/>
    <w:rPr>
      <w:rFonts w:ascii="方正楷体_GB2312" w:eastAsia="方正楷体_GB2312"/>
      <w:sz w:val="32"/>
      <w:lang w:val="en-US" w:eastAsia="zh-CN" w:bidi="ar-SA"/>
    </w:rPr>
  </w:style>
  <w:style w:type="character" w:styleId="763" w:customStyle="1">
    <w:name w:val="标题 2 Char"/>
    <w:link w:val="751"/>
    <w:uiPriority w:val="0"/>
    <w:qFormat/>
    <w:rPr>
      <w:rFonts w:ascii="宋体" w:hAnsi="宋体" w:eastAsia="宋体"/>
      <w:b/>
      <w:sz w:val="21"/>
      <w:szCs w:val="24"/>
      <w:lang w:val="en-US" w:eastAsia="zh-CN" w:bidi="ar-SA"/>
    </w:rPr>
  </w:style>
  <w:style w:type="character" w:styleId="764" w:customStyle="1">
    <w:name w:val="标题 3 Char1"/>
    <w:link w:val="752"/>
    <w:uiPriority w:val="0"/>
    <w:qFormat/>
    <w:rPr>
      <w:rFonts w:ascii="宋体" w:hAnsi="宋体" w:eastAsia="宋体"/>
      <w:b/>
      <w:sz w:val="21"/>
      <w:szCs w:val="21"/>
      <w:shd w:val="clear" w:color="auto" w:fill="ffffff"/>
    </w:rPr>
  </w:style>
  <w:style w:type="character" w:styleId="765" w:customStyle="1">
    <w:name w:val="标题 4 Char"/>
    <w:link w:val="754"/>
    <w:uiPriority w:val="0"/>
    <w:qFormat/>
    <w:rPr>
      <w:rFonts w:ascii="Arial" w:hAnsi="Arial" w:eastAsia="黑体"/>
      <w:b/>
      <w:sz w:val="28"/>
      <w:lang w:val="en-US" w:eastAsia="zh-CN" w:bidi="ar-SA"/>
    </w:rPr>
  </w:style>
  <w:style w:type="character" w:styleId="766" w:customStyle="1">
    <w:name w:val="标题 5 Char"/>
    <w:link w:val="755"/>
    <w:uiPriority w:val="0"/>
    <w:qFormat/>
    <w:rPr>
      <w:rFonts w:ascii="黑体" w:eastAsia="黑体"/>
      <w:b/>
      <w:color w:val="000000"/>
      <w:sz w:val="28"/>
      <w:lang w:val="en-US" w:eastAsia="zh-CN" w:bidi="ar-SA"/>
    </w:rPr>
  </w:style>
  <w:style w:type="character" w:styleId="767" w:customStyle="1">
    <w:name w:val="标题 6 Char"/>
    <w:link w:val="756"/>
    <w:uiPriority w:val="0"/>
    <w:qFormat/>
    <w:rPr>
      <w:rFonts w:ascii="Arial" w:hAnsi="Arial" w:eastAsia="黑体"/>
      <w:b/>
      <w:bCs/>
      <w:sz w:val="24"/>
      <w:szCs w:val="24"/>
      <w:lang w:val="en-US" w:eastAsia="zh-CN" w:bidi="ar-SA"/>
    </w:rPr>
  </w:style>
  <w:style w:type="character" w:styleId="768" w:customStyle="1">
    <w:name w:val="标题 7 Char"/>
    <w:link w:val="757"/>
    <w:uiPriority w:val="0"/>
    <w:qFormat/>
    <w:rPr>
      <w:rFonts w:eastAsia="宋体"/>
      <w:b/>
      <w:bCs/>
      <w:sz w:val="24"/>
      <w:szCs w:val="24"/>
      <w:lang w:val="en-US" w:eastAsia="zh-CN" w:bidi="ar-SA"/>
    </w:rPr>
  </w:style>
  <w:style w:type="character" w:styleId="769" w:customStyle="1">
    <w:name w:val="标题 8 Char"/>
    <w:link w:val="758"/>
    <w:uiPriority w:val="0"/>
    <w:qFormat/>
    <w:rPr>
      <w:rFonts w:ascii="Arial" w:hAnsi="Arial" w:eastAsia="黑体"/>
      <w:sz w:val="24"/>
      <w:szCs w:val="24"/>
      <w:lang w:val="en-US" w:eastAsia="zh-CN" w:bidi="ar-SA"/>
    </w:rPr>
  </w:style>
  <w:style w:type="character" w:styleId="770" w:customStyle="1">
    <w:name w:val="标题 9 Char"/>
    <w:link w:val="759"/>
    <w:uiPriority w:val="0"/>
    <w:qFormat/>
    <w:rPr>
      <w:rFonts w:ascii="Arial" w:hAnsi="Arial" w:eastAsia="黑体"/>
      <w:sz w:val="21"/>
      <w:szCs w:val="21"/>
      <w:lang w:val="en-US" w:eastAsia="zh-CN" w:bidi="ar-SA"/>
    </w:rPr>
  </w:style>
  <w:style w:type="paragraph" w:styleId="771" w:customStyle="1">
    <w:name w:val="列表 31"/>
    <w:basedOn w:val="710"/>
    <w:uiPriority w:val="0"/>
    <w:qFormat/>
    <w:pPr>
      <w:ind w:left="1260" w:hanging="420"/>
    </w:pPr>
  </w:style>
  <w:style w:type="paragraph" w:styleId="772" w:customStyle="1">
    <w:name w:val="目录 71"/>
    <w:basedOn w:val="710"/>
    <w:next w:val="710"/>
    <w:uiPriority w:val="0"/>
    <w:semiHidden/>
    <w:qFormat/>
    <w:pPr>
      <w:ind w:left="1260"/>
      <w:jc w:val="left"/>
    </w:pPr>
    <w:rPr>
      <w:sz w:val="18"/>
    </w:rPr>
  </w:style>
  <w:style w:type="paragraph" w:styleId="773" w:customStyle="1">
    <w:name w:val="列表编号 21"/>
    <w:basedOn w:val="710"/>
    <w:uiPriority w:val="0"/>
    <w:qFormat/>
    <w:pPr>
      <w:ind w:left="1440" w:hanging="1440"/>
      <w:spacing w:line="360" w:lineRule="auto"/>
      <w:tabs>
        <w:tab w:val="left" w:pos="1440" w:leader="none"/>
      </w:tabs>
    </w:pPr>
    <w:rPr>
      <w:sz w:val="24"/>
      <w:szCs w:val="24"/>
    </w:rPr>
  </w:style>
  <w:style w:type="paragraph" w:styleId="774" w:customStyle="1">
    <w:name w:val="索引 81"/>
    <w:basedOn w:val="710"/>
    <w:next w:val="710"/>
    <w:uiPriority w:val="0"/>
    <w:semiHidden/>
    <w:qFormat/>
    <w:pPr>
      <w:ind w:left="2940"/>
    </w:pPr>
  </w:style>
  <w:style w:type="paragraph" w:styleId="775" w:customStyle="1">
    <w:name w:val="列表编号1"/>
    <w:basedOn w:val="710"/>
    <w:uiPriority w:val="0"/>
    <w:qFormat/>
    <w:pPr>
      <w:ind w:left="2952" w:hanging="432"/>
      <w:tabs>
        <w:tab w:val="left" w:pos="2952" w:leader="none"/>
      </w:tabs>
    </w:pPr>
    <w:rPr>
      <w:szCs w:val="24"/>
    </w:rPr>
  </w:style>
  <w:style w:type="paragraph" w:styleId="776" w:customStyle="1">
    <w:name w:val="题注1"/>
    <w:basedOn w:val="710"/>
    <w:next w:val="710"/>
    <w:uiPriority w:val="35"/>
    <w:qFormat/>
    <w:pPr>
      <w:spacing w:line="276" w:lineRule="auto"/>
    </w:pPr>
    <w:rPr>
      <w:b/>
      <w:bCs/>
      <w:color w:val="4472c4"/>
      <w:sz w:val="18"/>
      <w:szCs w:val="18"/>
    </w:rPr>
  </w:style>
  <w:style w:type="paragraph" w:styleId="777" w:customStyle="1">
    <w:name w:val="索引 51"/>
    <w:basedOn w:val="710"/>
    <w:next w:val="710"/>
    <w:uiPriority w:val="0"/>
    <w:semiHidden/>
    <w:qFormat/>
    <w:pPr>
      <w:ind w:left="1680"/>
    </w:pPr>
  </w:style>
  <w:style w:type="paragraph" w:styleId="778" w:customStyle="1">
    <w:name w:val="文档结构图1"/>
    <w:basedOn w:val="710"/>
    <w:link w:val="779"/>
    <w:uiPriority w:val="0"/>
    <w:semiHidden/>
    <w:qFormat/>
    <w:pPr>
      <w:shd w:val="clear" w:color="auto" w:fill="000080"/>
    </w:pPr>
  </w:style>
  <w:style w:type="character" w:styleId="779" w:customStyle="1">
    <w:name w:val="文档结构图 Char"/>
    <w:link w:val="778"/>
    <w:uiPriority w:val="0"/>
    <w:qFormat/>
    <w:rPr>
      <w:rFonts w:eastAsia="宋体"/>
      <w:sz w:val="21"/>
      <w:lang w:val="en-US" w:eastAsia="zh-CN" w:bidi="ar-SA"/>
    </w:rPr>
  </w:style>
  <w:style w:type="paragraph" w:styleId="780" w:customStyle="1">
    <w:name w:val="批注文字1"/>
    <w:basedOn w:val="710"/>
    <w:link w:val="781"/>
    <w:uiPriority w:val="0"/>
    <w:qFormat/>
    <w:pPr>
      <w:jc w:val="left"/>
    </w:pPr>
  </w:style>
  <w:style w:type="character" w:styleId="781" w:customStyle="1">
    <w:name w:val="批注文字 Char"/>
    <w:link w:val="780"/>
    <w:uiPriority w:val="0"/>
    <w:qFormat/>
    <w:rPr>
      <w:rFonts w:eastAsia="宋体"/>
      <w:sz w:val="21"/>
      <w:lang w:val="en-US" w:eastAsia="zh-CN" w:bidi="ar-SA"/>
    </w:rPr>
  </w:style>
  <w:style w:type="paragraph" w:styleId="782" w:customStyle="1">
    <w:name w:val="索引 61"/>
    <w:basedOn w:val="710"/>
    <w:next w:val="710"/>
    <w:uiPriority w:val="0"/>
    <w:semiHidden/>
    <w:qFormat/>
    <w:pPr>
      <w:ind w:left="2100"/>
    </w:pPr>
  </w:style>
  <w:style w:type="paragraph" w:styleId="783" w:customStyle="1">
    <w:name w:val="称呼1"/>
    <w:basedOn w:val="710"/>
    <w:next w:val="710"/>
    <w:uiPriority w:val="0"/>
    <w:qFormat/>
    <w:rPr>
      <w:rFonts w:ascii="方正仿宋_GB2312" w:eastAsia="方正仿宋_GB2312"/>
      <w:sz w:val="28"/>
    </w:rPr>
  </w:style>
  <w:style w:type="paragraph" w:styleId="784" w:customStyle="1">
    <w:name w:val="正文文本 31"/>
    <w:basedOn w:val="710"/>
    <w:uiPriority w:val="0"/>
    <w:qFormat/>
    <w:rPr>
      <w:rFonts w:ascii="方正仿宋_GB2312" w:hAnsi="Arial" w:eastAsia="方正仿宋_GB2312"/>
      <w:sz w:val="32"/>
    </w:rPr>
  </w:style>
  <w:style w:type="paragraph" w:styleId="785" w:customStyle="1">
    <w:name w:val="正文文本11"/>
    <w:basedOn w:val="710"/>
    <w:next w:val="710"/>
    <w:uiPriority w:val="0"/>
    <w:qFormat/>
    <w:rPr>
      <w:rFonts w:ascii="方正楷体_GB2312" w:hAnsi="Arial" w:eastAsia="方正楷体_GB2312"/>
      <w:sz w:val="28"/>
    </w:rPr>
  </w:style>
  <w:style w:type="paragraph" w:styleId="786" w:customStyle="1">
    <w:name w:val="文本块1"/>
    <w:basedOn w:val="710"/>
    <w:uiPriority w:val="99"/>
    <w:unhideWhenUsed/>
    <w:qFormat/>
    <w:pPr>
      <w:ind w:left="1440" w:right="1440"/>
      <w:spacing w:after="120"/>
    </w:pPr>
  </w:style>
  <w:style w:type="paragraph" w:styleId="787" w:customStyle="1">
    <w:name w:val="索引 411"/>
    <w:basedOn w:val="710"/>
    <w:next w:val="710"/>
    <w:uiPriority w:val="0"/>
    <w:semiHidden/>
    <w:qFormat/>
    <w:pPr>
      <w:ind w:left="1260"/>
    </w:pPr>
  </w:style>
  <w:style w:type="paragraph" w:styleId="788" w:customStyle="1">
    <w:name w:val="目录 51"/>
    <w:basedOn w:val="710"/>
    <w:next w:val="710"/>
    <w:uiPriority w:val="0"/>
    <w:semiHidden/>
    <w:qFormat/>
    <w:pPr>
      <w:ind w:left="840"/>
      <w:jc w:val="left"/>
    </w:pPr>
    <w:rPr>
      <w:sz w:val="18"/>
    </w:rPr>
  </w:style>
  <w:style w:type="paragraph" w:styleId="789" w:customStyle="1">
    <w:name w:val="目录 31"/>
    <w:basedOn w:val="710"/>
    <w:next w:val="710"/>
    <w:uiPriority w:val="39"/>
    <w:qFormat/>
    <w:pPr>
      <w:ind w:left="420"/>
      <w:jc w:val="left"/>
    </w:pPr>
    <w:rPr>
      <w:i/>
      <w:sz w:val="20"/>
    </w:rPr>
  </w:style>
  <w:style w:type="paragraph" w:styleId="790" w:customStyle="1">
    <w:name w:val="纯文本111"/>
    <w:basedOn w:val="710"/>
    <w:next w:val="710"/>
    <w:link w:val="791"/>
    <w:uiPriority w:val="0"/>
    <w:qFormat/>
    <w:rPr>
      <w:rFonts w:ascii="宋体" w:hAnsi="Courier New"/>
    </w:rPr>
  </w:style>
  <w:style w:type="character" w:styleId="791" w:customStyle="1">
    <w:name w:val="纯文本 Char"/>
    <w:link w:val="790"/>
    <w:uiPriority w:val="0"/>
    <w:qFormat/>
    <w:rPr>
      <w:rFonts w:ascii="宋体" w:hAnsi="Courier New" w:eastAsia="宋体"/>
      <w:sz w:val="21"/>
      <w:lang w:val="en-US" w:eastAsia="zh-CN" w:bidi="ar-SA"/>
    </w:rPr>
  </w:style>
  <w:style w:type="paragraph" w:styleId="792" w:customStyle="1">
    <w:name w:val="目录 81"/>
    <w:basedOn w:val="710"/>
    <w:next w:val="710"/>
    <w:uiPriority w:val="0"/>
    <w:semiHidden/>
    <w:qFormat/>
    <w:pPr>
      <w:ind w:left="1470"/>
      <w:jc w:val="left"/>
    </w:pPr>
    <w:rPr>
      <w:sz w:val="18"/>
    </w:rPr>
  </w:style>
  <w:style w:type="paragraph" w:styleId="793" w:customStyle="1">
    <w:name w:val="索引 31"/>
    <w:basedOn w:val="710"/>
    <w:next w:val="710"/>
    <w:uiPriority w:val="0"/>
    <w:semiHidden/>
    <w:qFormat/>
    <w:pPr>
      <w:ind w:left="840"/>
    </w:pPr>
  </w:style>
  <w:style w:type="paragraph" w:styleId="794" w:customStyle="1">
    <w:name w:val="日期1"/>
    <w:basedOn w:val="710"/>
    <w:next w:val="710"/>
    <w:uiPriority w:val="0"/>
    <w:qFormat/>
    <w:pPr>
      <w:ind w:left="100"/>
    </w:pPr>
    <w:rPr>
      <w:sz w:val="28"/>
    </w:rPr>
  </w:style>
  <w:style w:type="paragraph" w:styleId="795" w:customStyle="1">
    <w:name w:val="正文文本缩进 21"/>
    <w:basedOn w:val="710"/>
    <w:next w:val="710"/>
    <w:link w:val="796"/>
    <w:uiPriority w:val="0"/>
    <w:qFormat/>
    <w:pPr>
      <w:ind w:left="630" w:firstLine="645"/>
    </w:pPr>
    <w:rPr>
      <w:rFonts w:ascii="Arial" w:hAnsi="Arial" w:eastAsia="方正仿宋_GB2312"/>
      <w:sz w:val="32"/>
    </w:rPr>
  </w:style>
  <w:style w:type="character" w:styleId="796" w:customStyle="1">
    <w:name w:val="正文文本缩进 2 Char"/>
    <w:link w:val="795"/>
    <w:uiPriority w:val="0"/>
    <w:qFormat/>
    <w:rPr>
      <w:rFonts w:ascii="Arial" w:hAnsi="Arial" w:eastAsia="方正仿宋_GB2312"/>
      <w:sz w:val="32"/>
      <w:lang w:val="en-US" w:eastAsia="zh-CN" w:bidi="ar-SA"/>
    </w:rPr>
  </w:style>
  <w:style w:type="paragraph" w:styleId="797" w:customStyle="1">
    <w:name w:val="尾注文本1"/>
    <w:basedOn w:val="710"/>
    <w:uiPriority w:val="0"/>
    <w:qFormat/>
    <w:pPr>
      <w:jc w:val="left"/>
    </w:pPr>
    <w:rPr>
      <w:sz w:val="20"/>
      <w:szCs w:val="24"/>
    </w:rPr>
  </w:style>
  <w:style w:type="paragraph" w:styleId="798" w:customStyle="1">
    <w:name w:val="批注框文本1"/>
    <w:basedOn w:val="710"/>
    <w:uiPriority w:val="0"/>
    <w:semiHidden/>
    <w:qFormat/>
    <w:rPr>
      <w:sz w:val="18"/>
      <w:szCs w:val="18"/>
    </w:rPr>
  </w:style>
  <w:style w:type="paragraph" w:styleId="799" w:customStyle="1">
    <w:name w:val="页脚11"/>
    <w:basedOn w:val="710"/>
    <w:link w:val="800"/>
    <w:uiPriority w:val="0"/>
    <w:qFormat/>
    <w:pPr>
      <w:jc w:val="left"/>
      <w:tabs>
        <w:tab w:val="center" w:pos="4153" w:leader="none"/>
        <w:tab w:val="right" w:pos="8306" w:leader="none"/>
      </w:tabs>
    </w:pPr>
    <w:rPr>
      <w:sz w:val="18"/>
    </w:rPr>
  </w:style>
  <w:style w:type="character" w:styleId="800" w:customStyle="1">
    <w:name w:val="页脚 Char"/>
    <w:link w:val="799"/>
    <w:uiPriority w:val="0"/>
    <w:qFormat/>
    <w:rPr>
      <w:sz w:val="18"/>
    </w:rPr>
  </w:style>
  <w:style w:type="paragraph" w:styleId="801" w:customStyle="1">
    <w:name w:val="页眉1"/>
    <w:basedOn w:val="710"/>
    <w:uiPriority w:val="0"/>
    <w:qFormat/>
    <w:pPr>
      <w:jc w:val="center"/>
      <w:tabs>
        <w:tab w:val="center" w:pos="4153" w:leader="none"/>
        <w:tab w:val="right" w:pos="8306" w:leader="none"/>
      </w:tabs>
      <w:pBdr>
        <w:bottom w:val="single" w:color="000000" w:sz="6" w:space="1"/>
      </w:pBdr>
    </w:pPr>
    <w:rPr>
      <w:sz w:val="18"/>
    </w:rPr>
  </w:style>
  <w:style w:type="paragraph" w:styleId="802" w:customStyle="1">
    <w:name w:val="签名1"/>
    <w:basedOn w:val="710"/>
    <w:uiPriority w:val="0"/>
    <w:qFormat/>
    <w:pPr>
      <w:jc w:val="center"/>
      <w:spacing w:after="600" w:line="312" w:lineRule="atLeast"/>
    </w:pPr>
    <w:rPr>
      <w:rFonts w:eastAsia="方正仿宋_GB2312"/>
      <w:sz w:val="24"/>
    </w:rPr>
  </w:style>
  <w:style w:type="paragraph" w:styleId="803" w:customStyle="1">
    <w:name w:val="目录 11"/>
    <w:basedOn w:val="710"/>
    <w:next w:val="710"/>
    <w:uiPriority w:val="39"/>
    <w:qFormat/>
    <w:pPr>
      <w:jc w:val="left"/>
      <w:spacing w:before="120" w:after="120"/>
    </w:pPr>
    <w:rPr>
      <w:b/>
      <w:caps/>
      <w:sz w:val="20"/>
    </w:rPr>
  </w:style>
  <w:style w:type="paragraph" w:styleId="804" w:customStyle="1">
    <w:name w:val="目录 41"/>
    <w:basedOn w:val="710"/>
    <w:next w:val="710"/>
    <w:uiPriority w:val="0"/>
    <w:semiHidden/>
    <w:qFormat/>
    <w:pPr>
      <w:ind w:left="630"/>
      <w:jc w:val="left"/>
    </w:pPr>
    <w:rPr>
      <w:sz w:val="18"/>
    </w:rPr>
  </w:style>
  <w:style w:type="paragraph" w:styleId="805" w:customStyle="1">
    <w:name w:val="索引标题1"/>
    <w:basedOn w:val="710"/>
    <w:next w:val="806"/>
    <w:uiPriority w:val="0"/>
    <w:semiHidden/>
    <w:qFormat/>
  </w:style>
  <w:style w:type="paragraph" w:styleId="806" w:customStyle="1">
    <w:name w:val="索引 11"/>
    <w:basedOn w:val="710"/>
    <w:next w:val="710"/>
    <w:uiPriority w:val="0"/>
    <w:semiHidden/>
    <w:qFormat/>
    <w:rPr>
      <w:rFonts w:ascii="方正仿宋_GB2312" w:hAnsi="宋体" w:eastAsia="方正仿宋_GB2312"/>
      <w:sz w:val="30"/>
      <w:szCs w:val="24"/>
    </w:rPr>
  </w:style>
  <w:style w:type="paragraph" w:styleId="807" w:customStyle="1">
    <w:name w:val="副标题1"/>
    <w:basedOn w:val="710"/>
    <w:next w:val="710"/>
    <w:uiPriority w:val="0"/>
    <w:qFormat/>
    <w:pPr>
      <w:jc w:val="left"/>
      <w:spacing w:after="600" w:line="276" w:lineRule="auto"/>
      <w:widowControl/>
    </w:pPr>
    <w:rPr>
      <w:rFonts w:ascii="Cambria" w:hAnsi="Cambria"/>
      <w:i/>
      <w:iCs/>
      <w:spacing w:val="13"/>
      <w:sz w:val="24"/>
      <w:szCs w:val="24"/>
      <w:lang w:eastAsia="en-US" w:bidi="en-US"/>
    </w:rPr>
  </w:style>
  <w:style w:type="paragraph" w:styleId="808" w:customStyle="1">
    <w:name w:val="列表1"/>
    <w:basedOn w:val="710"/>
    <w:uiPriority w:val="0"/>
    <w:qFormat/>
    <w:pPr>
      <w:contextualSpacing/>
      <w:ind w:left="200" w:hanging="200"/>
    </w:pPr>
  </w:style>
  <w:style w:type="paragraph" w:styleId="809" w:customStyle="1">
    <w:name w:val="脚注文本1"/>
    <w:basedOn w:val="710"/>
    <w:uiPriority w:val="0"/>
    <w:qFormat/>
    <w:pPr>
      <w:jc w:val="left"/>
    </w:pPr>
    <w:rPr>
      <w:sz w:val="18"/>
      <w:szCs w:val="18"/>
    </w:rPr>
  </w:style>
  <w:style w:type="paragraph" w:styleId="810" w:customStyle="1">
    <w:name w:val="目录 61"/>
    <w:basedOn w:val="710"/>
    <w:next w:val="710"/>
    <w:uiPriority w:val="0"/>
    <w:semiHidden/>
    <w:qFormat/>
    <w:pPr>
      <w:ind w:left="1050"/>
      <w:jc w:val="left"/>
    </w:pPr>
    <w:rPr>
      <w:sz w:val="18"/>
    </w:rPr>
  </w:style>
  <w:style w:type="paragraph" w:styleId="811" w:customStyle="1">
    <w:name w:val="正文文本缩进 31"/>
    <w:basedOn w:val="710"/>
    <w:link w:val="812"/>
    <w:uiPriority w:val="0"/>
    <w:qFormat/>
    <w:pPr>
      <w:ind w:left="645" w:firstLine="645"/>
    </w:pPr>
    <w:rPr>
      <w:rFonts w:ascii="Arial" w:hAnsi="Arial" w:eastAsia="方正仿宋_GB2312"/>
      <w:color w:val="ffff00"/>
      <w:sz w:val="32"/>
    </w:rPr>
  </w:style>
  <w:style w:type="character" w:styleId="812" w:customStyle="1">
    <w:name w:val="正文文本缩进 3 Char"/>
    <w:link w:val="811"/>
    <w:uiPriority w:val="0"/>
    <w:qFormat/>
    <w:rPr>
      <w:rFonts w:ascii="Arial" w:hAnsi="Arial" w:eastAsia="方正仿宋_GB2312"/>
      <w:color w:val="ffff00"/>
      <w:sz w:val="32"/>
      <w:lang w:val="en-US" w:eastAsia="zh-CN" w:bidi="ar-SA"/>
    </w:rPr>
  </w:style>
  <w:style w:type="paragraph" w:styleId="813" w:customStyle="1">
    <w:name w:val="索引 71"/>
    <w:basedOn w:val="710"/>
    <w:next w:val="710"/>
    <w:uiPriority w:val="0"/>
    <w:semiHidden/>
    <w:qFormat/>
    <w:pPr>
      <w:ind w:left="2520"/>
    </w:pPr>
  </w:style>
  <w:style w:type="paragraph" w:styleId="814" w:customStyle="1">
    <w:name w:val="索引 91"/>
    <w:basedOn w:val="710"/>
    <w:next w:val="710"/>
    <w:uiPriority w:val="0"/>
    <w:semiHidden/>
    <w:qFormat/>
    <w:pPr>
      <w:ind w:left="3360"/>
    </w:pPr>
  </w:style>
  <w:style w:type="paragraph" w:styleId="815" w:customStyle="1">
    <w:name w:val="图表目录1"/>
    <w:basedOn w:val="710"/>
    <w:next w:val="710"/>
    <w:uiPriority w:val="0"/>
    <w:semiHidden/>
    <w:qFormat/>
    <w:pPr>
      <w:ind w:left="840" w:hanging="420"/>
    </w:pPr>
  </w:style>
  <w:style w:type="paragraph" w:styleId="816" w:customStyle="1">
    <w:name w:val="目录 21"/>
    <w:basedOn w:val="710"/>
    <w:next w:val="710"/>
    <w:uiPriority w:val="39"/>
    <w:qFormat/>
    <w:pPr>
      <w:ind w:left="210"/>
      <w:jc w:val="left"/>
    </w:pPr>
    <w:rPr>
      <w:smallCaps/>
      <w:sz w:val="20"/>
    </w:rPr>
  </w:style>
  <w:style w:type="paragraph" w:styleId="817" w:customStyle="1">
    <w:name w:val="目录 91"/>
    <w:basedOn w:val="710"/>
    <w:next w:val="710"/>
    <w:uiPriority w:val="0"/>
    <w:semiHidden/>
    <w:qFormat/>
    <w:pPr>
      <w:ind w:left="1680"/>
      <w:jc w:val="left"/>
    </w:pPr>
    <w:rPr>
      <w:sz w:val="18"/>
    </w:rPr>
  </w:style>
  <w:style w:type="paragraph" w:styleId="818" w:customStyle="1">
    <w:name w:val="正文文本 211"/>
    <w:basedOn w:val="710"/>
    <w:uiPriority w:val="0"/>
    <w:qFormat/>
    <w:pPr>
      <w:jc w:val="center"/>
      <w:widowControl/>
    </w:pPr>
    <w:rPr>
      <w:rFonts w:ascii="方正楷体_GB2312" w:eastAsia="方正楷体_GB2312"/>
      <w:sz w:val="28"/>
    </w:rPr>
  </w:style>
  <w:style w:type="paragraph" w:styleId="819" w:customStyle="1">
    <w:name w:val="信息标题1"/>
    <w:basedOn w:val="71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20" w:customStyle="1">
    <w:name w:val="HTML 预设格式1"/>
    <w:basedOn w:val="710"/>
    <w:link w:val="8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21" w:customStyle="1">
    <w:name w:val="HTML 预设格式 Char"/>
    <w:link w:val="820"/>
    <w:uiPriority w:val="99"/>
    <w:qFormat/>
    <w:rPr>
      <w:rFonts w:ascii="黑体" w:hAnsi="Courier New" w:eastAsia="黑体" w:cs="Courier New"/>
      <w:lang w:val="en-US" w:eastAsia="zh-CN" w:bidi="ar-SA"/>
    </w:rPr>
  </w:style>
  <w:style w:type="paragraph" w:styleId="822" w:customStyle="1">
    <w:name w:val="普通(网站)1"/>
    <w:basedOn w:val="710"/>
    <w:uiPriority w:val="0"/>
    <w:qFormat/>
    <w:pPr>
      <w:jc w:val="left"/>
      <w:spacing w:before="100" w:beforeAutospacing="1" w:after="100" w:afterAutospacing="1"/>
      <w:widowControl/>
    </w:pPr>
    <w:rPr>
      <w:rFonts w:ascii="Arial" w:hAnsi="Arial" w:eastAsia="Arial Unicode MS" w:cs="Arial"/>
      <w:sz w:val="24"/>
      <w:szCs w:val="24"/>
    </w:rPr>
  </w:style>
  <w:style w:type="paragraph" w:styleId="823" w:customStyle="1">
    <w:name w:val="索引 21"/>
    <w:basedOn w:val="710"/>
    <w:next w:val="710"/>
    <w:uiPriority w:val="0"/>
    <w:semiHidden/>
    <w:qFormat/>
    <w:pPr>
      <w:ind w:left="420"/>
    </w:pPr>
  </w:style>
  <w:style w:type="paragraph" w:styleId="824" w:customStyle="1">
    <w:name w:val="标题1"/>
    <w:basedOn w:val="710"/>
    <w:link w:val="825"/>
    <w:uiPriority w:val="0"/>
    <w:qFormat/>
    <w:pPr>
      <w:jc w:val="center"/>
      <w:spacing w:line="420" w:lineRule="exact"/>
      <w:widowControl/>
    </w:pPr>
    <w:rPr>
      <w:rFonts w:eastAsia="黑体"/>
      <w:b/>
      <w:sz w:val="28"/>
      <w:lang w:val="en-GB"/>
    </w:rPr>
  </w:style>
  <w:style w:type="character" w:styleId="825" w:customStyle="1">
    <w:name w:val="标题 Char"/>
    <w:link w:val="824"/>
    <w:uiPriority w:val="0"/>
    <w:qFormat/>
    <w:rPr>
      <w:rFonts w:eastAsia="黑体"/>
      <w:b/>
      <w:sz w:val="28"/>
      <w:lang w:val="en-GB" w:eastAsia="zh-CN" w:bidi="ar-SA"/>
    </w:rPr>
  </w:style>
  <w:style w:type="paragraph" w:styleId="826" w:customStyle="1">
    <w:name w:val="批注主题1"/>
    <w:basedOn w:val="780"/>
    <w:next w:val="780"/>
    <w:link w:val="827"/>
    <w:uiPriority w:val="0"/>
    <w:semiHidden/>
    <w:qFormat/>
    <w:rPr>
      <w:b/>
      <w:bCs/>
    </w:rPr>
  </w:style>
  <w:style w:type="character" w:styleId="827" w:customStyle="1">
    <w:name w:val="批注主题 Char"/>
    <w:link w:val="826"/>
    <w:uiPriority w:val="0"/>
    <w:qFormat/>
    <w:rPr>
      <w:rFonts w:eastAsia="宋体"/>
      <w:b/>
      <w:bCs/>
      <w:sz w:val="21"/>
      <w:lang w:val="en-US" w:eastAsia="zh-CN" w:bidi="ar-SA"/>
    </w:rPr>
  </w:style>
  <w:style w:type="paragraph" w:styleId="828" w:customStyle="1">
    <w:name w:val="正文首行缩进11"/>
    <w:basedOn w:val="785"/>
    <w:next w:val="808"/>
    <w:uiPriority w:val="0"/>
    <w:qFormat/>
    <w:pPr>
      <w:ind w:firstLine="420"/>
      <w:spacing w:after="120"/>
    </w:pPr>
    <w:rPr>
      <w:rFonts w:ascii="Times New Roman" w:hAnsi="Times New Roman" w:eastAsia="宋体"/>
      <w:sz w:val="21"/>
      <w:szCs w:val="24"/>
    </w:rPr>
  </w:style>
  <w:style w:type="table" w:styleId="829" w:customStyle="1">
    <w:name w:val="网格型1"/>
    <w:basedOn w:val="761"/>
    <w:uiPriority w:val="0"/>
    <w:qFormat/>
    <w:pPr>
      <w:jc w:val="both"/>
      <w:widowControl w:val="off"/>
    </w:pPr>
    <w:tblPr/>
  </w:style>
  <w:style w:type="character" w:styleId="830" w:customStyle="1">
    <w:name w:val="要点1"/>
    <w:link w:val="710"/>
    <w:uiPriority w:val="0"/>
    <w:qFormat/>
    <w:rPr>
      <w:b/>
      <w:bCs/>
    </w:rPr>
  </w:style>
  <w:style w:type="character" w:styleId="831" w:customStyle="1">
    <w:name w:val="尾注引用1"/>
    <w:link w:val="710"/>
    <w:uiPriority w:val="0"/>
    <w:qFormat/>
    <w:rPr>
      <w:vertAlign w:val="superscript"/>
    </w:rPr>
  </w:style>
  <w:style w:type="character" w:styleId="832" w:customStyle="1">
    <w:name w:val="页码1"/>
    <w:link w:val="710"/>
    <w:uiPriority w:val="0"/>
    <w:qFormat/>
  </w:style>
  <w:style w:type="character" w:styleId="833" w:customStyle="1">
    <w:name w:val="已访问的超链接11"/>
    <w:link w:val="710"/>
    <w:uiPriority w:val="99"/>
    <w:qFormat/>
    <w:rPr>
      <w:color w:val="000000"/>
      <w:u w:val="none"/>
    </w:rPr>
  </w:style>
  <w:style w:type="character" w:styleId="834" w:customStyle="1">
    <w:name w:val="强调1"/>
    <w:link w:val="710"/>
    <w:uiPriority w:val="0"/>
    <w:qFormat/>
    <w:rPr>
      <w:b/>
      <w:bCs/>
      <w:i/>
      <w:iCs/>
      <w:spacing w:val="10"/>
      <w:shd w:val="clear" w:color="auto" w:fill="auto"/>
    </w:rPr>
  </w:style>
  <w:style w:type="character" w:styleId="835" w:customStyle="1">
    <w:name w:val="行号1"/>
    <w:link w:val="710"/>
    <w:uiPriority w:val="0"/>
    <w:qFormat/>
  </w:style>
  <w:style w:type="character" w:styleId="836" w:customStyle="1">
    <w:name w:val="HTML 打字机1"/>
    <w:link w:val="710"/>
    <w:uiPriority w:val="0"/>
    <w:qFormat/>
    <w:rPr>
      <w:rFonts w:ascii="宋体" w:hAnsi="宋体" w:eastAsia="宋体" w:cs="宋体"/>
      <w:sz w:val="24"/>
      <w:szCs w:val="24"/>
    </w:rPr>
  </w:style>
  <w:style w:type="character" w:styleId="837" w:customStyle="1">
    <w:name w:val="HTML 缩写1"/>
    <w:link w:val="710"/>
    <w:uiPriority w:val="0"/>
    <w:qFormat/>
  </w:style>
  <w:style w:type="character" w:styleId="838" w:customStyle="1">
    <w:name w:val="超链接1"/>
    <w:link w:val="710"/>
    <w:uiPriority w:val="99"/>
    <w:qFormat/>
    <w:rPr>
      <w:color w:val="000000"/>
      <w:u w:val="none"/>
    </w:rPr>
  </w:style>
  <w:style w:type="character" w:styleId="839" w:customStyle="1">
    <w:name w:val="HTML 代码1"/>
    <w:link w:val="710"/>
    <w:uiPriority w:val="0"/>
    <w:qFormat/>
    <w:rPr>
      <w:rFonts w:ascii="Courier New" w:hAnsi="Courier New"/>
      <w:sz w:val="20"/>
    </w:rPr>
  </w:style>
  <w:style w:type="character" w:styleId="840" w:customStyle="1">
    <w:name w:val="批注引用1"/>
    <w:link w:val="710"/>
    <w:uiPriority w:val="0"/>
    <w:qFormat/>
    <w:rPr>
      <w:sz w:val="21"/>
    </w:rPr>
  </w:style>
  <w:style w:type="character" w:styleId="841" w:customStyle="1">
    <w:name w:val="脚注引用1"/>
    <w:link w:val="710"/>
    <w:uiPriority w:val="0"/>
    <w:qFormat/>
    <w:rPr>
      <w:vertAlign w:val="superscript"/>
    </w:rPr>
  </w:style>
  <w:style w:type="character" w:styleId="842" w:customStyle="1">
    <w:name w:val="HTML 键盘1"/>
    <w:link w:val="710"/>
    <w:uiPriority w:val="0"/>
    <w:qFormat/>
    <w:rPr>
      <w:rFonts w:ascii="DejaVu Math TeX Gyre" w:hAnsi="DejaVu Math TeX Gyre" w:eastAsia="DejaVu Math TeX Gyre" w:cs="DejaVu Math TeX Gyre"/>
      <w:sz w:val="20"/>
    </w:rPr>
  </w:style>
  <w:style w:type="character" w:styleId="843" w:customStyle="1">
    <w:name w:val="HTML 样本1"/>
    <w:link w:val="710"/>
    <w:uiPriority w:val="0"/>
    <w:qFormat/>
    <w:rPr>
      <w:rFonts w:ascii="Courier New" w:hAnsi="宋体" w:eastAsia="宋体" w:cs="Courier New"/>
    </w:rPr>
  </w:style>
  <w:style w:type="paragraph" w:styleId="844" w:customStyle="1">
    <w:name w:val="正文文本缩进11"/>
    <w:basedOn w:val="845"/>
    <w:next w:val="849"/>
    <w:uiPriority w:val="0"/>
    <w:qFormat/>
    <w:pPr>
      <w:ind w:firstLine="301"/>
      <w:spacing w:line="200" w:lineRule="exact"/>
    </w:pPr>
    <w:rPr>
      <w:rFonts w:ascii="宋体" w:hAnsi="宋体"/>
      <w:spacing w:val="-4"/>
      <w:sz w:val="18"/>
      <w:szCs w:val="20"/>
    </w:rPr>
  </w:style>
  <w:style w:type="paragraph" w:styleId="845" w:customStyle="1">
    <w:name w:val="正文112"/>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首行缩进1"/>
    <w:basedOn w:val="847"/>
    <w:uiPriority w:val="0"/>
    <w:semiHidden/>
    <w:qFormat/>
    <w:pPr>
      <w:ind w:firstLine="420"/>
    </w:pPr>
    <w:rPr>
      <w:rFonts w:cs="宋体"/>
      <w:szCs w:val="28"/>
    </w:rPr>
  </w:style>
  <w:style w:type="paragraph" w:styleId="847" w:customStyle="1">
    <w:name w:val="正文文本1"/>
    <w:basedOn w:val="848"/>
    <w:next w:val="710"/>
    <w:uiPriority w:val="0"/>
    <w:qFormat/>
    <w:pPr>
      <w:spacing w:after="120"/>
    </w:pPr>
  </w:style>
  <w:style w:type="paragraph" w:styleId="848" w:customStyle="1">
    <w:name w:val="正文1"/>
    <w:basedOn w:val="710"/>
    <w:next w:val="847"/>
    <w:uiPriority w:val="0"/>
    <w:qFormat/>
    <w:pPr>
      <w:ind w:firstLine="510"/>
      <w:spacing w:before="156" w:line="360" w:lineRule="auto"/>
    </w:pPr>
    <w:rPr>
      <w:sz w:val="24"/>
    </w:rPr>
  </w:style>
  <w:style w:type="paragraph" w:styleId="849" w:customStyle="1">
    <w:name w:val="寄信人地址1"/>
    <w:basedOn w:val="710"/>
    <w:uiPriority w:val="0"/>
    <w:qFormat/>
    <w:rPr>
      <w:rFonts w:ascii="Arial" w:hAnsi="Arial" w:cs="宋体"/>
      <w:szCs w:val="24"/>
    </w:rPr>
  </w:style>
  <w:style w:type="character" w:styleId="850" w:customStyle="1">
    <w:name w:val="Heading 1 Char"/>
    <w:link w:val="711"/>
    <w:uiPriority w:val="9"/>
    <w:qFormat/>
    <w:rPr>
      <w:rFonts w:ascii="Arial" w:hAnsi="Arial" w:eastAsia="Arial" w:cs="Arial"/>
      <w:sz w:val="40"/>
      <w:szCs w:val="40"/>
    </w:rPr>
  </w:style>
  <w:style w:type="character" w:styleId="851" w:customStyle="1">
    <w:name w:val="Heading 2 Char"/>
    <w:link w:val="710"/>
    <w:uiPriority w:val="9"/>
    <w:qFormat/>
    <w:rPr>
      <w:rFonts w:ascii="Arial" w:hAnsi="Arial" w:eastAsia="Arial" w:cs="Arial"/>
      <w:sz w:val="34"/>
    </w:rPr>
  </w:style>
  <w:style w:type="character" w:styleId="852" w:customStyle="1">
    <w:name w:val="Heading 3 Char"/>
    <w:link w:val="710"/>
    <w:uiPriority w:val="9"/>
    <w:qFormat/>
    <w:rPr>
      <w:rFonts w:ascii="Arial" w:hAnsi="Arial" w:eastAsia="Arial" w:cs="Arial"/>
      <w:sz w:val="30"/>
      <w:szCs w:val="30"/>
    </w:rPr>
  </w:style>
  <w:style w:type="character" w:styleId="853" w:customStyle="1">
    <w:name w:val="Heading 4 Char"/>
    <w:link w:val="710"/>
    <w:uiPriority w:val="9"/>
    <w:qFormat/>
    <w:rPr>
      <w:rFonts w:ascii="Arial" w:hAnsi="Arial" w:eastAsia="Arial" w:cs="Arial"/>
      <w:b/>
      <w:bCs/>
      <w:sz w:val="26"/>
      <w:szCs w:val="26"/>
    </w:rPr>
  </w:style>
  <w:style w:type="character" w:styleId="854" w:customStyle="1">
    <w:name w:val="Heading 5 Char"/>
    <w:link w:val="710"/>
    <w:uiPriority w:val="9"/>
    <w:qFormat/>
    <w:rPr>
      <w:rFonts w:ascii="Arial" w:hAnsi="Arial" w:eastAsia="Arial" w:cs="Arial"/>
      <w:b/>
      <w:bCs/>
      <w:sz w:val="24"/>
      <w:szCs w:val="24"/>
    </w:rPr>
  </w:style>
  <w:style w:type="character" w:styleId="855" w:customStyle="1">
    <w:name w:val="Heading 6 Char"/>
    <w:link w:val="710"/>
    <w:uiPriority w:val="9"/>
    <w:qFormat/>
    <w:rPr>
      <w:rFonts w:ascii="Arial" w:hAnsi="Arial" w:eastAsia="Arial" w:cs="Arial"/>
      <w:b/>
      <w:bCs/>
      <w:sz w:val="22"/>
      <w:szCs w:val="22"/>
    </w:rPr>
  </w:style>
  <w:style w:type="character" w:styleId="856" w:customStyle="1">
    <w:name w:val="Heading 7 Char"/>
    <w:link w:val="710"/>
    <w:uiPriority w:val="9"/>
    <w:qFormat/>
    <w:rPr>
      <w:rFonts w:ascii="Arial" w:hAnsi="Arial" w:eastAsia="Arial" w:cs="Arial"/>
      <w:b/>
      <w:bCs/>
      <w:i/>
      <w:iCs/>
      <w:sz w:val="22"/>
      <w:szCs w:val="22"/>
    </w:rPr>
  </w:style>
  <w:style w:type="character" w:styleId="857" w:customStyle="1">
    <w:name w:val="Heading 8 Char"/>
    <w:link w:val="710"/>
    <w:uiPriority w:val="9"/>
    <w:qFormat/>
    <w:rPr>
      <w:rFonts w:ascii="Arial" w:hAnsi="Arial" w:eastAsia="Arial" w:cs="Arial"/>
      <w:i/>
      <w:iCs/>
      <w:sz w:val="22"/>
      <w:szCs w:val="22"/>
    </w:rPr>
  </w:style>
  <w:style w:type="character" w:styleId="858" w:customStyle="1">
    <w:name w:val="Heading 9 Char"/>
    <w:link w:val="710"/>
    <w:uiPriority w:val="9"/>
    <w:qFormat/>
    <w:rPr>
      <w:rFonts w:ascii="Arial" w:hAnsi="Arial" w:eastAsia="Arial" w:cs="Arial"/>
      <w:i/>
      <w:iCs/>
      <w:sz w:val="21"/>
      <w:szCs w:val="21"/>
    </w:rPr>
  </w:style>
  <w:style w:type="character" w:styleId="859" w:customStyle="1">
    <w:name w:val="Title Char"/>
    <w:link w:val="710"/>
    <w:uiPriority w:val="10"/>
    <w:qFormat/>
    <w:rPr>
      <w:sz w:val="48"/>
      <w:szCs w:val="48"/>
    </w:rPr>
  </w:style>
  <w:style w:type="character" w:styleId="860" w:customStyle="1">
    <w:name w:val="Subtitle Char"/>
    <w:link w:val="710"/>
    <w:uiPriority w:val="11"/>
    <w:qFormat/>
    <w:rPr>
      <w:sz w:val="24"/>
      <w:szCs w:val="24"/>
    </w:rPr>
  </w:style>
  <w:style w:type="character" w:styleId="861" w:customStyle="1">
    <w:name w:val="Quote Char"/>
    <w:link w:val="710"/>
    <w:uiPriority w:val="29"/>
    <w:qFormat/>
    <w:rPr>
      <w:i/>
    </w:rPr>
  </w:style>
  <w:style w:type="character" w:styleId="862" w:customStyle="1">
    <w:name w:val="Intense Quote Char"/>
    <w:link w:val="710"/>
    <w:uiPriority w:val="30"/>
    <w:qFormat/>
    <w:rPr>
      <w:i/>
    </w:rPr>
  </w:style>
  <w:style w:type="character" w:styleId="863" w:customStyle="1">
    <w:name w:val="Header Char"/>
    <w:link w:val="710"/>
    <w:uiPriority w:val="99"/>
    <w:qFormat/>
  </w:style>
  <w:style w:type="character" w:styleId="864" w:customStyle="1">
    <w:name w:val="Footer Char"/>
    <w:link w:val="710"/>
    <w:uiPriority w:val="99"/>
    <w:qFormat/>
  </w:style>
  <w:style w:type="character" w:styleId="865" w:customStyle="1">
    <w:name w:val="Caption Char"/>
    <w:link w:val="710"/>
    <w:uiPriority w:val="99"/>
    <w:qFormat/>
  </w:style>
  <w:style w:type="table" w:styleId="866" w:customStyle="1">
    <w:name w:val="Table Grid Light"/>
    <w:basedOn w:val="761"/>
    <w:uiPriority w:val="59"/>
    <w:qFormat/>
    <w:pPr>
      <w:spacing w:after="0" w:line="240" w:lineRule="auto"/>
    </w:pPr>
    <w:tblPr/>
  </w:style>
  <w:style w:type="table" w:styleId="867" w:customStyle="1">
    <w:name w:val="Plain Table 1"/>
    <w:basedOn w:val="761"/>
    <w:uiPriority w:val="59"/>
    <w:qFormat/>
    <w:pPr>
      <w:spacing w:after="0" w:line="240" w:lineRule="auto"/>
    </w:pPr>
    <w:tblPr/>
  </w:style>
  <w:style w:type="table" w:styleId="868" w:customStyle="1">
    <w:name w:val="Plain Table 2"/>
    <w:basedOn w:val="761"/>
    <w:uiPriority w:val="59"/>
    <w:qFormat/>
    <w:pPr>
      <w:spacing w:after="0" w:line="240" w:lineRule="auto"/>
    </w:pPr>
    <w:tblPr/>
  </w:style>
  <w:style w:type="table" w:styleId="869" w:customStyle="1">
    <w:name w:val="Plain Table 3"/>
    <w:basedOn w:val="761"/>
    <w:uiPriority w:val="99"/>
    <w:qFormat/>
    <w:pPr>
      <w:spacing w:after="0" w:line="240" w:lineRule="auto"/>
    </w:pPr>
    <w:tblPr/>
  </w:style>
  <w:style w:type="table" w:styleId="870" w:customStyle="1">
    <w:name w:val="Plain Table 4"/>
    <w:basedOn w:val="761"/>
    <w:uiPriority w:val="99"/>
    <w:qFormat/>
    <w:pPr>
      <w:spacing w:after="0" w:line="240" w:lineRule="auto"/>
    </w:pPr>
    <w:tblPr/>
  </w:style>
  <w:style w:type="table" w:styleId="871" w:customStyle="1">
    <w:name w:val="Plain Table 5"/>
    <w:basedOn w:val="761"/>
    <w:uiPriority w:val="99"/>
    <w:qFormat/>
    <w:pPr>
      <w:spacing w:after="0" w:line="240" w:lineRule="auto"/>
    </w:pPr>
    <w:tblPr/>
  </w:style>
  <w:style w:type="table" w:styleId="872" w:customStyle="1">
    <w:name w:val="Grid Table 1 Light"/>
    <w:basedOn w:val="761"/>
    <w:uiPriority w:val="99"/>
    <w:qFormat/>
    <w:pPr>
      <w:spacing w:after="0" w:line="240" w:lineRule="auto"/>
    </w:pPr>
    <w:tblPr/>
  </w:style>
  <w:style w:type="table" w:styleId="873" w:customStyle="1">
    <w:name w:val="Grid Table 1 Light - Accent 1"/>
    <w:basedOn w:val="761"/>
    <w:uiPriority w:val="99"/>
    <w:qFormat/>
    <w:pPr>
      <w:spacing w:after="0" w:line="240" w:lineRule="auto"/>
    </w:pPr>
    <w:tblPr/>
  </w:style>
  <w:style w:type="table" w:styleId="874" w:customStyle="1">
    <w:name w:val="Grid Table 1 Light - Accent 2"/>
    <w:basedOn w:val="761"/>
    <w:uiPriority w:val="99"/>
    <w:qFormat/>
    <w:pPr>
      <w:spacing w:after="0" w:line="240" w:lineRule="auto"/>
    </w:pPr>
    <w:tblPr/>
  </w:style>
  <w:style w:type="table" w:styleId="875" w:customStyle="1">
    <w:name w:val="Grid Table 1 Light - Accent 3"/>
    <w:basedOn w:val="761"/>
    <w:uiPriority w:val="99"/>
    <w:qFormat/>
    <w:pPr>
      <w:spacing w:after="0" w:line="240" w:lineRule="auto"/>
    </w:pPr>
    <w:tblPr/>
  </w:style>
  <w:style w:type="table" w:styleId="876" w:customStyle="1">
    <w:name w:val="Grid Table 1 Light - Accent 4"/>
    <w:basedOn w:val="761"/>
    <w:uiPriority w:val="99"/>
    <w:qFormat/>
    <w:pPr>
      <w:spacing w:after="0" w:line="240" w:lineRule="auto"/>
    </w:pPr>
    <w:tblPr/>
  </w:style>
  <w:style w:type="table" w:styleId="877" w:customStyle="1">
    <w:name w:val="Grid Table 1 Light - Accent 5"/>
    <w:basedOn w:val="761"/>
    <w:uiPriority w:val="99"/>
    <w:qFormat/>
    <w:pPr>
      <w:spacing w:after="0" w:line="240" w:lineRule="auto"/>
    </w:pPr>
    <w:tblPr/>
  </w:style>
  <w:style w:type="table" w:styleId="878" w:customStyle="1">
    <w:name w:val="Grid Table 1 Light - Accent 6"/>
    <w:basedOn w:val="761"/>
    <w:uiPriority w:val="99"/>
    <w:qFormat/>
    <w:pPr>
      <w:spacing w:after="0" w:line="240" w:lineRule="auto"/>
    </w:pPr>
    <w:tblPr/>
  </w:style>
  <w:style w:type="table" w:styleId="879" w:customStyle="1">
    <w:name w:val="Grid Table 2"/>
    <w:basedOn w:val="761"/>
    <w:uiPriority w:val="99"/>
    <w:qFormat/>
    <w:pPr>
      <w:spacing w:after="0" w:line="240" w:lineRule="auto"/>
    </w:pPr>
    <w:tblPr/>
  </w:style>
  <w:style w:type="table" w:styleId="880" w:customStyle="1">
    <w:name w:val="Grid Table 2 - Accent 1"/>
    <w:basedOn w:val="761"/>
    <w:uiPriority w:val="99"/>
    <w:qFormat/>
    <w:pPr>
      <w:spacing w:after="0" w:line="240" w:lineRule="auto"/>
    </w:pPr>
    <w:tblPr/>
  </w:style>
  <w:style w:type="table" w:styleId="881" w:customStyle="1">
    <w:name w:val="Grid Table 2 - Accent 2"/>
    <w:basedOn w:val="761"/>
    <w:uiPriority w:val="99"/>
    <w:qFormat/>
    <w:pPr>
      <w:spacing w:after="0" w:line="240" w:lineRule="auto"/>
    </w:pPr>
    <w:tblPr/>
  </w:style>
  <w:style w:type="table" w:styleId="882" w:customStyle="1">
    <w:name w:val="Grid Table 2 - Accent 3"/>
    <w:basedOn w:val="761"/>
    <w:uiPriority w:val="99"/>
    <w:qFormat/>
    <w:pPr>
      <w:spacing w:after="0" w:line="240" w:lineRule="auto"/>
    </w:pPr>
    <w:tblPr/>
  </w:style>
  <w:style w:type="table" w:styleId="883" w:customStyle="1">
    <w:name w:val="Grid Table 2 - Accent 4"/>
    <w:basedOn w:val="761"/>
    <w:uiPriority w:val="99"/>
    <w:qFormat/>
    <w:pPr>
      <w:spacing w:after="0" w:line="240" w:lineRule="auto"/>
    </w:pPr>
    <w:tblPr/>
  </w:style>
  <w:style w:type="table" w:styleId="884" w:customStyle="1">
    <w:name w:val="Grid Table 2 - Accent 5"/>
    <w:basedOn w:val="761"/>
    <w:uiPriority w:val="99"/>
    <w:qFormat/>
    <w:pPr>
      <w:spacing w:after="0" w:line="240" w:lineRule="auto"/>
    </w:pPr>
    <w:tblPr/>
  </w:style>
  <w:style w:type="table" w:styleId="885" w:customStyle="1">
    <w:name w:val="Grid Table 2 - Accent 6"/>
    <w:basedOn w:val="761"/>
    <w:uiPriority w:val="99"/>
    <w:qFormat/>
    <w:pPr>
      <w:spacing w:after="0" w:line="240" w:lineRule="auto"/>
    </w:pPr>
    <w:tblPr/>
  </w:style>
  <w:style w:type="table" w:styleId="886" w:customStyle="1">
    <w:name w:val="Grid Table 3"/>
    <w:basedOn w:val="761"/>
    <w:uiPriority w:val="99"/>
    <w:qFormat/>
    <w:pPr>
      <w:spacing w:after="0" w:line="240" w:lineRule="auto"/>
    </w:pPr>
    <w:tblPr/>
  </w:style>
  <w:style w:type="table" w:styleId="887" w:customStyle="1">
    <w:name w:val="Grid Table 3 - Accent 1"/>
    <w:basedOn w:val="761"/>
    <w:uiPriority w:val="99"/>
    <w:qFormat/>
    <w:pPr>
      <w:spacing w:after="0" w:line="240" w:lineRule="auto"/>
    </w:pPr>
    <w:tblPr/>
  </w:style>
  <w:style w:type="table" w:styleId="888" w:customStyle="1">
    <w:name w:val="Grid Table 3 - Accent 2"/>
    <w:basedOn w:val="761"/>
    <w:uiPriority w:val="99"/>
    <w:qFormat/>
    <w:pPr>
      <w:spacing w:after="0" w:line="240" w:lineRule="auto"/>
    </w:pPr>
    <w:tblPr/>
  </w:style>
  <w:style w:type="table" w:styleId="889" w:customStyle="1">
    <w:name w:val="Grid Table 3 - Accent 3"/>
    <w:basedOn w:val="761"/>
    <w:uiPriority w:val="99"/>
    <w:qFormat/>
    <w:pPr>
      <w:spacing w:after="0" w:line="240" w:lineRule="auto"/>
    </w:pPr>
    <w:tblPr/>
  </w:style>
  <w:style w:type="table" w:styleId="890" w:customStyle="1">
    <w:name w:val="Grid Table 3 - Accent 4"/>
    <w:basedOn w:val="761"/>
    <w:uiPriority w:val="99"/>
    <w:qFormat/>
    <w:pPr>
      <w:spacing w:after="0" w:line="240" w:lineRule="auto"/>
    </w:pPr>
    <w:tblPr/>
  </w:style>
  <w:style w:type="table" w:styleId="891" w:customStyle="1">
    <w:name w:val="Grid Table 3 - Accent 5"/>
    <w:basedOn w:val="761"/>
    <w:uiPriority w:val="99"/>
    <w:qFormat/>
    <w:pPr>
      <w:spacing w:after="0" w:line="240" w:lineRule="auto"/>
    </w:pPr>
    <w:tblPr/>
  </w:style>
  <w:style w:type="table" w:styleId="892" w:customStyle="1">
    <w:name w:val="Grid Table 3 - Accent 6"/>
    <w:basedOn w:val="761"/>
    <w:uiPriority w:val="99"/>
    <w:qFormat/>
    <w:pPr>
      <w:spacing w:after="0" w:line="240" w:lineRule="auto"/>
    </w:pPr>
    <w:tblPr/>
  </w:style>
  <w:style w:type="table" w:styleId="893" w:customStyle="1">
    <w:name w:val="Grid Table 4"/>
    <w:basedOn w:val="761"/>
    <w:uiPriority w:val="59"/>
    <w:qFormat/>
    <w:pPr>
      <w:spacing w:after="0" w:line="240" w:lineRule="auto"/>
    </w:pPr>
    <w:tblPr/>
  </w:style>
  <w:style w:type="table" w:styleId="894" w:customStyle="1">
    <w:name w:val="Grid Table 4 - Accent 1"/>
    <w:basedOn w:val="761"/>
    <w:uiPriority w:val="59"/>
    <w:qFormat/>
    <w:pPr>
      <w:spacing w:after="0" w:line="240" w:lineRule="auto"/>
    </w:pPr>
    <w:tblPr/>
  </w:style>
  <w:style w:type="table" w:styleId="895" w:customStyle="1">
    <w:name w:val="Grid Table 4 - Accent 2"/>
    <w:basedOn w:val="761"/>
    <w:uiPriority w:val="59"/>
    <w:qFormat/>
    <w:pPr>
      <w:spacing w:after="0" w:line="240" w:lineRule="auto"/>
    </w:pPr>
    <w:tblPr/>
  </w:style>
  <w:style w:type="table" w:styleId="896" w:customStyle="1">
    <w:name w:val="Grid Table 4 - Accent 3"/>
    <w:basedOn w:val="761"/>
    <w:uiPriority w:val="59"/>
    <w:qFormat/>
    <w:pPr>
      <w:spacing w:after="0" w:line="240" w:lineRule="auto"/>
    </w:pPr>
    <w:tblPr/>
  </w:style>
  <w:style w:type="table" w:styleId="897" w:customStyle="1">
    <w:name w:val="Grid Table 4 - Accent 4"/>
    <w:basedOn w:val="761"/>
    <w:uiPriority w:val="59"/>
    <w:qFormat/>
    <w:pPr>
      <w:spacing w:after="0" w:line="240" w:lineRule="auto"/>
    </w:pPr>
    <w:tblPr/>
  </w:style>
  <w:style w:type="table" w:styleId="898" w:customStyle="1">
    <w:name w:val="Grid Table 4 - Accent 5"/>
    <w:basedOn w:val="761"/>
    <w:uiPriority w:val="59"/>
    <w:qFormat/>
    <w:pPr>
      <w:spacing w:after="0" w:line="240" w:lineRule="auto"/>
    </w:pPr>
    <w:tblPr/>
  </w:style>
  <w:style w:type="table" w:styleId="899" w:customStyle="1">
    <w:name w:val="Grid Table 4 - Accent 6"/>
    <w:basedOn w:val="761"/>
    <w:uiPriority w:val="59"/>
    <w:qFormat/>
    <w:pPr>
      <w:spacing w:after="0" w:line="240" w:lineRule="auto"/>
    </w:pPr>
    <w:tblPr/>
  </w:style>
  <w:style w:type="table" w:styleId="900" w:customStyle="1">
    <w:name w:val="Grid Table 5 Dark"/>
    <w:basedOn w:val="761"/>
    <w:uiPriority w:val="99"/>
    <w:qFormat/>
    <w:pPr>
      <w:spacing w:after="0" w:line="240" w:lineRule="auto"/>
    </w:pPr>
    <w:tblPr/>
  </w:style>
  <w:style w:type="table" w:styleId="901" w:customStyle="1">
    <w:name w:val="Grid Table 5 Dark- Accent 1"/>
    <w:basedOn w:val="761"/>
    <w:uiPriority w:val="99"/>
    <w:qFormat/>
    <w:pPr>
      <w:spacing w:after="0" w:line="240" w:lineRule="auto"/>
    </w:pPr>
    <w:tblPr/>
  </w:style>
  <w:style w:type="table" w:styleId="902" w:customStyle="1">
    <w:name w:val="Grid Table 5 Dark - Accent 2"/>
    <w:basedOn w:val="761"/>
    <w:uiPriority w:val="99"/>
    <w:qFormat/>
    <w:pPr>
      <w:spacing w:after="0" w:line="240" w:lineRule="auto"/>
    </w:pPr>
    <w:tblPr/>
  </w:style>
  <w:style w:type="table" w:styleId="903" w:customStyle="1">
    <w:name w:val="Grid Table 5 Dark - Accent 3"/>
    <w:basedOn w:val="761"/>
    <w:uiPriority w:val="99"/>
    <w:qFormat/>
    <w:pPr>
      <w:spacing w:after="0" w:line="240" w:lineRule="auto"/>
    </w:pPr>
    <w:tblPr/>
  </w:style>
  <w:style w:type="table" w:styleId="904" w:customStyle="1">
    <w:name w:val="Grid Table 5 Dark- Accent 4"/>
    <w:basedOn w:val="761"/>
    <w:uiPriority w:val="99"/>
    <w:qFormat/>
    <w:pPr>
      <w:spacing w:after="0" w:line="240" w:lineRule="auto"/>
    </w:pPr>
    <w:tblPr/>
  </w:style>
  <w:style w:type="table" w:styleId="905" w:customStyle="1">
    <w:name w:val="Grid Table 5 Dark - Accent 5"/>
    <w:basedOn w:val="761"/>
    <w:uiPriority w:val="99"/>
    <w:qFormat/>
    <w:pPr>
      <w:spacing w:after="0" w:line="240" w:lineRule="auto"/>
    </w:pPr>
    <w:tblPr/>
  </w:style>
  <w:style w:type="table" w:styleId="906" w:customStyle="1">
    <w:name w:val="Grid Table 5 Dark - Accent 6"/>
    <w:basedOn w:val="761"/>
    <w:uiPriority w:val="99"/>
    <w:qFormat/>
    <w:pPr>
      <w:spacing w:after="0" w:line="240" w:lineRule="auto"/>
    </w:pPr>
    <w:tblPr/>
  </w:style>
  <w:style w:type="table" w:styleId="907" w:customStyle="1">
    <w:name w:val="Grid Table 6 Colorful"/>
    <w:basedOn w:val="761"/>
    <w:uiPriority w:val="99"/>
    <w:qFormat/>
    <w:pPr>
      <w:spacing w:after="0" w:line="240" w:lineRule="auto"/>
    </w:pPr>
    <w:tblPr/>
  </w:style>
  <w:style w:type="table" w:styleId="908" w:customStyle="1">
    <w:name w:val="Grid Table 6 Colorful - Accent 1"/>
    <w:basedOn w:val="761"/>
    <w:uiPriority w:val="99"/>
    <w:qFormat/>
    <w:pPr>
      <w:spacing w:after="0" w:line="240" w:lineRule="auto"/>
    </w:pPr>
    <w:tblPr/>
  </w:style>
  <w:style w:type="table" w:styleId="909" w:customStyle="1">
    <w:name w:val="Grid Table 6 Colorful - Accent 2"/>
    <w:basedOn w:val="761"/>
    <w:uiPriority w:val="99"/>
    <w:qFormat/>
    <w:pPr>
      <w:spacing w:after="0" w:line="240" w:lineRule="auto"/>
    </w:pPr>
    <w:tblPr/>
  </w:style>
  <w:style w:type="table" w:styleId="910" w:customStyle="1">
    <w:name w:val="Grid Table 6 Colorful - Accent 3"/>
    <w:basedOn w:val="761"/>
    <w:uiPriority w:val="99"/>
    <w:qFormat/>
    <w:pPr>
      <w:spacing w:after="0" w:line="240" w:lineRule="auto"/>
    </w:pPr>
    <w:tblPr/>
  </w:style>
  <w:style w:type="table" w:styleId="911" w:customStyle="1">
    <w:name w:val="Grid Table 6 Colorful - Accent 4"/>
    <w:basedOn w:val="761"/>
    <w:uiPriority w:val="99"/>
    <w:qFormat/>
    <w:pPr>
      <w:spacing w:after="0" w:line="240" w:lineRule="auto"/>
    </w:pPr>
    <w:tblPr/>
  </w:style>
  <w:style w:type="table" w:styleId="912" w:customStyle="1">
    <w:name w:val="Grid Table 6 Colorful - Accent 5"/>
    <w:basedOn w:val="761"/>
    <w:uiPriority w:val="99"/>
    <w:qFormat/>
    <w:pPr>
      <w:spacing w:after="0" w:line="240" w:lineRule="auto"/>
    </w:pPr>
    <w:tblPr/>
  </w:style>
  <w:style w:type="table" w:styleId="913" w:customStyle="1">
    <w:name w:val="Grid Table 6 Colorful - Accent 6"/>
    <w:basedOn w:val="761"/>
    <w:uiPriority w:val="99"/>
    <w:qFormat/>
    <w:pPr>
      <w:spacing w:after="0" w:line="240" w:lineRule="auto"/>
    </w:pPr>
    <w:tblPr/>
  </w:style>
  <w:style w:type="table" w:styleId="914" w:customStyle="1">
    <w:name w:val="Grid Table 7 Colorful"/>
    <w:basedOn w:val="761"/>
    <w:uiPriority w:val="99"/>
    <w:qFormat/>
    <w:pPr>
      <w:spacing w:after="0" w:line="240" w:lineRule="auto"/>
    </w:pPr>
    <w:tblPr/>
  </w:style>
  <w:style w:type="table" w:styleId="915" w:customStyle="1">
    <w:name w:val="Grid Table 7 Colorful - Accent 1"/>
    <w:basedOn w:val="761"/>
    <w:uiPriority w:val="99"/>
    <w:qFormat/>
    <w:pPr>
      <w:spacing w:after="0" w:line="240" w:lineRule="auto"/>
    </w:pPr>
    <w:tblPr/>
  </w:style>
  <w:style w:type="table" w:styleId="916" w:customStyle="1">
    <w:name w:val="Grid Table 7 Colorful - Accent 2"/>
    <w:basedOn w:val="761"/>
    <w:uiPriority w:val="99"/>
    <w:qFormat/>
    <w:pPr>
      <w:spacing w:after="0" w:line="240" w:lineRule="auto"/>
    </w:pPr>
    <w:tblPr/>
  </w:style>
  <w:style w:type="table" w:styleId="917" w:customStyle="1">
    <w:name w:val="Grid Table 7 Colorful - Accent 3"/>
    <w:basedOn w:val="761"/>
    <w:uiPriority w:val="99"/>
    <w:qFormat/>
    <w:pPr>
      <w:spacing w:after="0" w:line="240" w:lineRule="auto"/>
    </w:pPr>
    <w:tblPr/>
  </w:style>
  <w:style w:type="table" w:styleId="918" w:customStyle="1">
    <w:name w:val="Grid Table 7 Colorful - Accent 4"/>
    <w:basedOn w:val="761"/>
    <w:uiPriority w:val="99"/>
    <w:qFormat/>
    <w:pPr>
      <w:spacing w:after="0" w:line="240" w:lineRule="auto"/>
    </w:pPr>
    <w:tblPr/>
  </w:style>
  <w:style w:type="table" w:styleId="919" w:customStyle="1">
    <w:name w:val="Grid Table 7 Colorful - Accent 5"/>
    <w:basedOn w:val="761"/>
    <w:uiPriority w:val="99"/>
    <w:qFormat/>
    <w:pPr>
      <w:spacing w:after="0" w:line="240" w:lineRule="auto"/>
    </w:pPr>
    <w:tblPr/>
  </w:style>
  <w:style w:type="table" w:styleId="920" w:customStyle="1">
    <w:name w:val="Grid Table 7 Colorful - Accent 6"/>
    <w:basedOn w:val="761"/>
    <w:uiPriority w:val="99"/>
    <w:qFormat/>
    <w:pPr>
      <w:spacing w:after="0" w:line="240" w:lineRule="auto"/>
    </w:pPr>
    <w:tblPr/>
  </w:style>
  <w:style w:type="table" w:styleId="921" w:customStyle="1">
    <w:name w:val="List Table 1 Light"/>
    <w:basedOn w:val="761"/>
    <w:uiPriority w:val="99"/>
    <w:qFormat/>
    <w:pPr>
      <w:spacing w:after="0" w:line="240" w:lineRule="auto"/>
    </w:pPr>
    <w:tblPr/>
  </w:style>
  <w:style w:type="table" w:styleId="922" w:customStyle="1">
    <w:name w:val="List Table 1 Light - Accent 1"/>
    <w:basedOn w:val="761"/>
    <w:uiPriority w:val="99"/>
    <w:qFormat/>
    <w:pPr>
      <w:spacing w:after="0" w:line="240" w:lineRule="auto"/>
    </w:pPr>
    <w:tblPr/>
  </w:style>
  <w:style w:type="table" w:styleId="923" w:customStyle="1">
    <w:name w:val="List Table 1 Light - Accent 2"/>
    <w:basedOn w:val="761"/>
    <w:uiPriority w:val="99"/>
    <w:qFormat/>
    <w:pPr>
      <w:spacing w:after="0" w:line="240" w:lineRule="auto"/>
    </w:pPr>
    <w:tblPr/>
  </w:style>
  <w:style w:type="table" w:styleId="924" w:customStyle="1">
    <w:name w:val="List Table 1 Light - Accent 3"/>
    <w:basedOn w:val="761"/>
    <w:uiPriority w:val="99"/>
    <w:qFormat/>
    <w:pPr>
      <w:spacing w:after="0" w:line="240" w:lineRule="auto"/>
    </w:pPr>
    <w:tblPr/>
  </w:style>
  <w:style w:type="table" w:styleId="925" w:customStyle="1">
    <w:name w:val="List Table 1 Light - Accent 4"/>
    <w:basedOn w:val="761"/>
    <w:uiPriority w:val="99"/>
    <w:qFormat/>
    <w:pPr>
      <w:spacing w:after="0" w:line="240" w:lineRule="auto"/>
    </w:pPr>
    <w:tblPr/>
  </w:style>
  <w:style w:type="table" w:styleId="926" w:customStyle="1">
    <w:name w:val="List Table 1 Light - Accent 5"/>
    <w:basedOn w:val="761"/>
    <w:uiPriority w:val="99"/>
    <w:qFormat/>
    <w:pPr>
      <w:spacing w:after="0" w:line="240" w:lineRule="auto"/>
    </w:pPr>
    <w:tblPr/>
  </w:style>
  <w:style w:type="table" w:styleId="927" w:customStyle="1">
    <w:name w:val="List Table 1 Light - Accent 6"/>
    <w:basedOn w:val="761"/>
    <w:uiPriority w:val="99"/>
    <w:qFormat/>
    <w:pPr>
      <w:spacing w:after="0" w:line="240" w:lineRule="auto"/>
    </w:pPr>
    <w:tblPr/>
  </w:style>
  <w:style w:type="table" w:styleId="928" w:customStyle="1">
    <w:name w:val="List Table 2"/>
    <w:basedOn w:val="761"/>
    <w:uiPriority w:val="99"/>
    <w:qFormat/>
    <w:pPr>
      <w:spacing w:after="0" w:line="240" w:lineRule="auto"/>
    </w:pPr>
    <w:tblPr/>
  </w:style>
  <w:style w:type="table" w:styleId="929" w:customStyle="1">
    <w:name w:val="List Table 2 - Accent 1"/>
    <w:basedOn w:val="761"/>
    <w:uiPriority w:val="99"/>
    <w:qFormat/>
    <w:pPr>
      <w:spacing w:after="0" w:line="240" w:lineRule="auto"/>
    </w:pPr>
    <w:tblPr/>
  </w:style>
  <w:style w:type="table" w:styleId="930" w:customStyle="1">
    <w:name w:val="List Table 2 - Accent 2"/>
    <w:basedOn w:val="761"/>
    <w:uiPriority w:val="99"/>
    <w:qFormat/>
    <w:pPr>
      <w:spacing w:after="0" w:line="240" w:lineRule="auto"/>
    </w:pPr>
    <w:tblPr/>
  </w:style>
  <w:style w:type="table" w:styleId="931" w:customStyle="1">
    <w:name w:val="List Table 2 - Accent 3"/>
    <w:basedOn w:val="761"/>
    <w:uiPriority w:val="99"/>
    <w:qFormat/>
    <w:pPr>
      <w:spacing w:after="0" w:line="240" w:lineRule="auto"/>
    </w:pPr>
    <w:tblPr/>
  </w:style>
  <w:style w:type="table" w:styleId="932" w:customStyle="1">
    <w:name w:val="List Table 2 - Accent 4"/>
    <w:basedOn w:val="761"/>
    <w:uiPriority w:val="99"/>
    <w:qFormat/>
    <w:pPr>
      <w:spacing w:after="0" w:line="240" w:lineRule="auto"/>
    </w:pPr>
    <w:tblPr/>
  </w:style>
  <w:style w:type="table" w:styleId="933" w:customStyle="1">
    <w:name w:val="List Table 2 - Accent 5"/>
    <w:basedOn w:val="761"/>
    <w:uiPriority w:val="99"/>
    <w:qFormat/>
    <w:pPr>
      <w:spacing w:after="0" w:line="240" w:lineRule="auto"/>
    </w:pPr>
    <w:tblPr/>
  </w:style>
  <w:style w:type="table" w:styleId="934" w:customStyle="1">
    <w:name w:val="List Table 2 - Accent 6"/>
    <w:basedOn w:val="761"/>
    <w:uiPriority w:val="99"/>
    <w:qFormat/>
    <w:pPr>
      <w:spacing w:after="0" w:line="240" w:lineRule="auto"/>
    </w:pPr>
    <w:tblPr/>
  </w:style>
  <w:style w:type="table" w:styleId="935" w:customStyle="1">
    <w:name w:val="List Table 3"/>
    <w:basedOn w:val="761"/>
    <w:uiPriority w:val="99"/>
    <w:qFormat/>
    <w:pPr>
      <w:spacing w:after="0" w:line="240" w:lineRule="auto"/>
    </w:pPr>
    <w:tblPr/>
  </w:style>
  <w:style w:type="table" w:styleId="936" w:customStyle="1">
    <w:name w:val="List Table 3 - Accent 1"/>
    <w:basedOn w:val="761"/>
    <w:uiPriority w:val="99"/>
    <w:qFormat/>
    <w:pPr>
      <w:spacing w:after="0" w:line="240" w:lineRule="auto"/>
    </w:pPr>
    <w:tblPr/>
  </w:style>
  <w:style w:type="table" w:styleId="937" w:customStyle="1">
    <w:name w:val="List Table 3 - Accent 2"/>
    <w:basedOn w:val="761"/>
    <w:uiPriority w:val="99"/>
    <w:qFormat/>
    <w:pPr>
      <w:spacing w:after="0" w:line="240" w:lineRule="auto"/>
    </w:pPr>
    <w:tblPr/>
  </w:style>
  <w:style w:type="table" w:styleId="938" w:customStyle="1">
    <w:name w:val="List Table 3 - Accent 3"/>
    <w:basedOn w:val="761"/>
    <w:uiPriority w:val="99"/>
    <w:qFormat/>
    <w:pPr>
      <w:spacing w:after="0" w:line="240" w:lineRule="auto"/>
    </w:pPr>
    <w:tblPr/>
  </w:style>
  <w:style w:type="table" w:styleId="939" w:customStyle="1">
    <w:name w:val="List Table 3 - Accent 4"/>
    <w:basedOn w:val="761"/>
    <w:uiPriority w:val="99"/>
    <w:qFormat/>
    <w:pPr>
      <w:spacing w:after="0" w:line="240" w:lineRule="auto"/>
    </w:pPr>
    <w:tblPr/>
  </w:style>
  <w:style w:type="table" w:styleId="940" w:customStyle="1">
    <w:name w:val="List Table 3 - Accent 5"/>
    <w:basedOn w:val="761"/>
    <w:uiPriority w:val="99"/>
    <w:qFormat/>
    <w:pPr>
      <w:spacing w:after="0" w:line="240" w:lineRule="auto"/>
    </w:pPr>
    <w:tblPr/>
  </w:style>
  <w:style w:type="table" w:styleId="941" w:customStyle="1">
    <w:name w:val="List Table 3 - Accent 6"/>
    <w:basedOn w:val="761"/>
    <w:uiPriority w:val="99"/>
    <w:qFormat/>
    <w:pPr>
      <w:spacing w:after="0" w:line="240" w:lineRule="auto"/>
    </w:pPr>
    <w:tblPr/>
  </w:style>
  <w:style w:type="table" w:styleId="942" w:customStyle="1">
    <w:name w:val="List Table 4"/>
    <w:basedOn w:val="761"/>
    <w:uiPriority w:val="99"/>
    <w:qFormat/>
    <w:pPr>
      <w:spacing w:after="0" w:line="240" w:lineRule="auto"/>
    </w:pPr>
    <w:tblPr/>
  </w:style>
  <w:style w:type="table" w:styleId="943" w:customStyle="1">
    <w:name w:val="List Table 4 - Accent 1"/>
    <w:basedOn w:val="761"/>
    <w:uiPriority w:val="99"/>
    <w:qFormat/>
    <w:pPr>
      <w:spacing w:after="0" w:line="240" w:lineRule="auto"/>
    </w:pPr>
    <w:tblPr/>
  </w:style>
  <w:style w:type="table" w:styleId="944" w:customStyle="1">
    <w:name w:val="List Table 4 - Accent 2"/>
    <w:basedOn w:val="761"/>
    <w:uiPriority w:val="99"/>
    <w:qFormat/>
    <w:pPr>
      <w:spacing w:after="0" w:line="240" w:lineRule="auto"/>
    </w:pPr>
    <w:tblPr/>
  </w:style>
  <w:style w:type="table" w:styleId="945" w:customStyle="1">
    <w:name w:val="List Table 4 - Accent 3"/>
    <w:basedOn w:val="761"/>
    <w:uiPriority w:val="99"/>
    <w:qFormat/>
    <w:pPr>
      <w:spacing w:after="0" w:line="240" w:lineRule="auto"/>
    </w:pPr>
    <w:tblPr/>
  </w:style>
  <w:style w:type="table" w:styleId="946" w:customStyle="1">
    <w:name w:val="List Table 4 - Accent 4"/>
    <w:basedOn w:val="761"/>
    <w:uiPriority w:val="99"/>
    <w:qFormat/>
    <w:pPr>
      <w:spacing w:after="0" w:line="240" w:lineRule="auto"/>
    </w:pPr>
    <w:tblPr/>
  </w:style>
  <w:style w:type="table" w:styleId="947" w:customStyle="1">
    <w:name w:val="List Table 4 - Accent 5"/>
    <w:basedOn w:val="761"/>
    <w:uiPriority w:val="99"/>
    <w:qFormat/>
    <w:pPr>
      <w:spacing w:after="0" w:line="240" w:lineRule="auto"/>
    </w:pPr>
    <w:tblPr/>
  </w:style>
  <w:style w:type="table" w:styleId="948" w:customStyle="1">
    <w:name w:val="List Table 4 - Accent 6"/>
    <w:basedOn w:val="761"/>
    <w:uiPriority w:val="99"/>
    <w:qFormat/>
    <w:pPr>
      <w:spacing w:after="0" w:line="240" w:lineRule="auto"/>
    </w:pPr>
    <w:tblPr/>
  </w:style>
  <w:style w:type="table" w:styleId="949" w:customStyle="1">
    <w:name w:val="List Table 5 Dark"/>
    <w:basedOn w:val="761"/>
    <w:uiPriority w:val="99"/>
    <w:qFormat/>
    <w:pPr>
      <w:spacing w:after="0" w:line="240" w:lineRule="auto"/>
    </w:pPr>
    <w:tblPr/>
  </w:style>
  <w:style w:type="table" w:styleId="950" w:customStyle="1">
    <w:name w:val="List Table 5 Dark - Accent 1"/>
    <w:basedOn w:val="761"/>
    <w:uiPriority w:val="99"/>
    <w:qFormat/>
    <w:pPr>
      <w:spacing w:after="0" w:line="240" w:lineRule="auto"/>
    </w:pPr>
    <w:tblPr/>
  </w:style>
  <w:style w:type="table" w:styleId="951" w:customStyle="1">
    <w:name w:val="List Table 5 Dark - Accent 2"/>
    <w:basedOn w:val="761"/>
    <w:uiPriority w:val="99"/>
    <w:qFormat/>
    <w:pPr>
      <w:spacing w:after="0" w:line="240" w:lineRule="auto"/>
    </w:pPr>
    <w:tblPr/>
  </w:style>
  <w:style w:type="table" w:styleId="952" w:customStyle="1">
    <w:name w:val="List Table 5 Dark - Accent 3"/>
    <w:basedOn w:val="761"/>
    <w:uiPriority w:val="99"/>
    <w:qFormat/>
    <w:pPr>
      <w:spacing w:after="0" w:line="240" w:lineRule="auto"/>
    </w:pPr>
    <w:tblPr/>
  </w:style>
  <w:style w:type="table" w:styleId="953" w:customStyle="1">
    <w:name w:val="List Table 5 Dark - Accent 4"/>
    <w:basedOn w:val="761"/>
    <w:uiPriority w:val="99"/>
    <w:qFormat/>
    <w:pPr>
      <w:spacing w:after="0" w:line="240" w:lineRule="auto"/>
    </w:pPr>
    <w:tblPr/>
  </w:style>
  <w:style w:type="table" w:styleId="954" w:customStyle="1">
    <w:name w:val="List Table 5 Dark - Accent 5"/>
    <w:basedOn w:val="761"/>
    <w:uiPriority w:val="99"/>
    <w:qFormat/>
    <w:pPr>
      <w:spacing w:after="0" w:line="240" w:lineRule="auto"/>
    </w:pPr>
    <w:tblPr/>
  </w:style>
  <w:style w:type="table" w:styleId="955" w:customStyle="1">
    <w:name w:val="List Table 5 Dark - Accent 6"/>
    <w:basedOn w:val="761"/>
    <w:uiPriority w:val="99"/>
    <w:qFormat/>
    <w:pPr>
      <w:spacing w:after="0" w:line="240" w:lineRule="auto"/>
    </w:pPr>
    <w:tblPr/>
  </w:style>
  <w:style w:type="table" w:styleId="956" w:customStyle="1">
    <w:name w:val="List Table 6 Colorful"/>
    <w:basedOn w:val="761"/>
    <w:uiPriority w:val="99"/>
    <w:qFormat/>
    <w:pPr>
      <w:spacing w:after="0" w:line="240" w:lineRule="auto"/>
    </w:pPr>
    <w:tblPr/>
  </w:style>
  <w:style w:type="table" w:styleId="957" w:customStyle="1">
    <w:name w:val="List Table 6 Colorful - Accent 1"/>
    <w:basedOn w:val="761"/>
    <w:uiPriority w:val="99"/>
    <w:qFormat/>
    <w:pPr>
      <w:spacing w:after="0" w:line="240" w:lineRule="auto"/>
    </w:pPr>
    <w:tblPr/>
  </w:style>
  <w:style w:type="table" w:styleId="958" w:customStyle="1">
    <w:name w:val="List Table 6 Colorful - Accent 2"/>
    <w:basedOn w:val="761"/>
    <w:uiPriority w:val="99"/>
    <w:qFormat/>
    <w:pPr>
      <w:spacing w:after="0" w:line="240" w:lineRule="auto"/>
    </w:pPr>
    <w:tblPr/>
  </w:style>
  <w:style w:type="table" w:styleId="959" w:customStyle="1">
    <w:name w:val="List Table 6 Colorful - Accent 3"/>
    <w:basedOn w:val="761"/>
    <w:uiPriority w:val="99"/>
    <w:qFormat/>
    <w:pPr>
      <w:spacing w:after="0" w:line="240" w:lineRule="auto"/>
    </w:pPr>
    <w:tblPr/>
  </w:style>
  <w:style w:type="table" w:styleId="960" w:customStyle="1">
    <w:name w:val="List Table 6 Colorful - Accent 4"/>
    <w:basedOn w:val="761"/>
    <w:uiPriority w:val="99"/>
    <w:qFormat/>
    <w:pPr>
      <w:spacing w:after="0" w:line="240" w:lineRule="auto"/>
    </w:pPr>
    <w:tblPr/>
  </w:style>
  <w:style w:type="table" w:styleId="961" w:customStyle="1">
    <w:name w:val="List Table 6 Colorful - Accent 5"/>
    <w:basedOn w:val="761"/>
    <w:uiPriority w:val="99"/>
    <w:qFormat/>
    <w:pPr>
      <w:spacing w:after="0" w:line="240" w:lineRule="auto"/>
    </w:pPr>
    <w:tblPr/>
  </w:style>
  <w:style w:type="table" w:styleId="962" w:customStyle="1">
    <w:name w:val="List Table 6 Colorful - Accent 6"/>
    <w:basedOn w:val="761"/>
    <w:uiPriority w:val="99"/>
    <w:qFormat/>
    <w:pPr>
      <w:spacing w:after="0" w:line="240" w:lineRule="auto"/>
    </w:pPr>
    <w:tblPr/>
  </w:style>
  <w:style w:type="table" w:styleId="963" w:customStyle="1">
    <w:name w:val="List Table 7 Colorful"/>
    <w:basedOn w:val="761"/>
    <w:uiPriority w:val="99"/>
    <w:qFormat/>
    <w:pPr>
      <w:spacing w:after="0" w:line="240" w:lineRule="auto"/>
    </w:pPr>
    <w:tblPr/>
  </w:style>
  <w:style w:type="table" w:styleId="964" w:customStyle="1">
    <w:name w:val="List Table 7 Colorful - Accent 1"/>
    <w:basedOn w:val="761"/>
    <w:uiPriority w:val="99"/>
    <w:qFormat/>
    <w:pPr>
      <w:spacing w:after="0" w:line="240" w:lineRule="auto"/>
    </w:pPr>
    <w:tblPr/>
  </w:style>
  <w:style w:type="table" w:styleId="965" w:customStyle="1">
    <w:name w:val="List Table 7 Colorful - Accent 2"/>
    <w:basedOn w:val="761"/>
    <w:uiPriority w:val="99"/>
    <w:qFormat/>
    <w:pPr>
      <w:spacing w:after="0" w:line="240" w:lineRule="auto"/>
    </w:pPr>
    <w:tblPr/>
  </w:style>
  <w:style w:type="table" w:styleId="966" w:customStyle="1">
    <w:name w:val="List Table 7 Colorful - Accent 3"/>
    <w:basedOn w:val="761"/>
    <w:uiPriority w:val="99"/>
    <w:qFormat/>
    <w:pPr>
      <w:spacing w:after="0" w:line="240" w:lineRule="auto"/>
    </w:pPr>
    <w:tblPr/>
  </w:style>
  <w:style w:type="table" w:styleId="967" w:customStyle="1">
    <w:name w:val="List Table 7 Colorful - Accent 4"/>
    <w:basedOn w:val="761"/>
    <w:uiPriority w:val="99"/>
    <w:qFormat/>
    <w:pPr>
      <w:spacing w:after="0" w:line="240" w:lineRule="auto"/>
    </w:pPr>
    <w:tblPr/>
  </w:style>
  <w:style w:type="table" w:styleId="968" w:customStyle="1">
    <w:name w:val="List Table 7 Colorful - Accent 5"/>
    <w:basedOn w:val="761"/>
    <w:uiPriority w:val="99"/>
    <w:qFormat/>
    <w:pPr>
      <w:spacing w:after="0" w:line="240" w:lineRule="auto"/>
    </w:pPr>
    <w:tblPr/>
  </w:style>
  <w:style w:type="table" w:styleId="969" w:customStyle="1">
    <w:name w:val="List Table 7 Colorful - Accent 6"/>
    <w:basedOn w:val="761"/>
    <w:uiPriority w:val="99"/>
    <w:qFormat/>
    <w:pPr>
      <w:spacing w:after="0" w:line="240" w:lineRule="auto"/>
    </w:pPr>
    <w:tblPr/>
  </w:style>
  <w:style w:type="table" w:styleId="970" w:customStyle="1">
    <w:name w:val="Lined - Accent"/>
    <w:basedOn w:val="761"/>
    <w:uiPriority w:val="99"/>
    <w:qFormat/>
    <w:pPr>
      <w:spacing w:after="0" w:line="240" w:lineRule="auto"/>
    </w:pPr>
    <w:rPr>
      <w:color w:val="404040"/>
    </w:rPr>
    <w:tblPr/>
  </w:style>
  <w:style w:type="table" w:styleId="971" w:customStyle="1">
    <w:name w:val="Lined - Accent 1"/>
    <w:basedOn w:val="761"/>
    <w:uiPriority w:val="99"/>
    <w:qFormat/>
    <w:pPr>
      <w:spacing w:after="0" w:line="240" w:lineRule="auto"/>
    </w:pPr>
    <w:rPr>
      <w:color w:val="404040"/>
    </w:rPr>
    <w:tblPr/>
  </w:style>
  <w:style w:type="table" w:styleId="972" w:customStyle="1">
    <w:name w:val="Lined - Accent 2"/>
    <w:basedOn w:val="761"/>
    <w:uiPriority w:val="99"/>
    <w:qFormat/>
    <w:pPr>
      <w:spacing w:after="0" w:line="240" w:lineRule="auto"/>
    </w:pPr>
    <w:rPr>
      <w:color w:val="404040"/>
    </w:rPr>
    <w:tblPr/>
  </w:style>
  <w:style w:type="table" w:styleId="973" w:customStyle="1">
    <w:name w:val="Lined - Accent 3"/>
    <w:basedOn w:val="761"/>
    <w:uiPriority w:val="99"/>
    <w:qFormat/>
    <w:pPr>
      <w:spacing w:after="0" w:line="240" w:lineRule="auto"/>
    </w:pPr>
    <w:rPr>
      <w:color w:val="404040"/>
    </w:rPr>
    <w:tblPr/>
  </w:style>
  <w:style w:type="table" w:styleId="974" w:customStyle="1">
    <w:name w:val="Lined - Accent 4"/>
    <w:basedOn w:val="761"/>
    <w:uiPriority w:val="99"/>
    <w:qFormat/>
    <w:pPr>
      <w:spacing w:after="0" w:line="240" w:lineRule="auto"/>
    </w:pPr>
    <w:rPr>
      <w:color w:val="404040"/>
    </w:rPr>
    <w:tblPr/>
  </w:style>
  <w:style w:type="table" w:styleId="975" w:customStyle="1">
    <w:name w:val="Lined - Accent 5"/>
    <w:basedOn w:val="761"/>
    <w:uiPriority w:val="99"/>
    <w:qFormat/>
    <w:pPr>
      <w:spacing w:after="0" w:line="240" w:lineRule="auto"/>
    </w:pPr>
    <w:rPr>
      <w:color w:val="404040"/>
    </w:rPr>
    <w:tblPr/>
  </w:style>
  <w:style w:type="table" w:styleId="976" w:customStyle="1">
    <w:name w:val="Lined - Accent 6"/>
    <w:basedOn w:val="761"/>
    <w:uiPriority w:val="99"/>
    <w:qFormat/>
    <w:pPr>
      <w:spacing w:after="0" w:line="240" w:lineRule="auto"/>
    </w:pPr>
    <w:rPr>
      <w:color w:val="404040"/>
    </w:rPr>
    <w:tblPr/>
  </w:style>
  <w:style w:type="table" w:styleId="977" w:customStyle="1">
    <w:name w:val="Bordered &amp; Lined - Accent"/>
    <w:basedOn w:val="761"/>
    <w:uiPriority w:val="99"/>
    <w:qFormat/>
    <w:pPr>
      <w:spacing w:after="0" w:line="240" w:lineRule="auto"/>
    </w:pPr>
    <w:rPr>
      <w:color w:val="404040"/>
    </w:rPr>
    <w:tblPr/>
  </w:style>
  <w:style w:type="table" w:styleId="978" w:customStyle="1">
    <w:name w:val="Bordered &amp; Lined - Accent 1"/>
    <w:basedOn w:val="761"/>
    <w:uiPriority w:val="99"/>
    <w:qFormat/>
    <w:pPr>
      <w:spacing w:after="0" w:line="240" w:lineRule="auto"/>
    </w:pPr>
    <w:rPr>
      <w:color w:val="404040"/>
    </w:rPr>
    <w:tblPr/>
  </w:style>
  <w:style w:type="table" w:styleId="979" w:customStyle="1">
    <w:name w:val="Bordered &amp; Lined - Accent 2"/>
    <w:basedOn w:val="761"/>
    <w:uiPriority w:val="99"/>
    <w:qFormat/>
    <w:pPr>
      <w:spacing w:after="0" w:line="240" w:lineRule="auto"/>
    </w:pPr>
    <w:rPr>
      <w:color w:val="404040"/>
    </w:rPr>
    <w:tblPr/>
  </w:style>
  <w:style w:type="table" w:styleId="980" w:customStyle="1">
    <w:name w:val="Bordered &amp; Lined - Accent 3"/>
    <w:basedOn w:val="761"/>
    <w:uiPriority w:val="99"/>
    <w:qFormat/>
    <w:pPr>
      <w:spacing w:after="0" w:line="240" w:lineRule="auto"/>
    </w:pPr>
    <w:rPr>
      <w:color w:val="404040"/>
    </w:rPr>
    <w:tblPr/>
  </w:style>
  <w:style w:type="table" w:styleId="981" w:customStyle="1">
    <w:name w:val="Bordered &amp; Lined - Accent 4"/>
    <w:basedOn w:val="761"/>
    <w:uiPriority w:val="99"/>
    <w:qFormat/>
    <w:pPr>
      <w:spacing w:after="0" w:line="240" w:lineRule="auto"/>
    </w:pPr>
    <w:rPr>
      <w:color w:val="404040"/>
    </w:rPr>
    <w:tblPr/>
  </w:style>
  <w:style w:type="table" w:styleId="982" w:customStyle="1">
    <w:name w:val="Bordered &amp; Lined - Accent 5"/>
    <w:basedOn w:val="761"/>
    <w:uiPriority w:val="99"/>
    <w:qFormat/>
    <w:pPr>
      <w:spacing w:after="0" w:line="240" w:lineRule="auto"/>
    </w:pPr>
    <w:rPr>
      <w:color w:val="404040"/>
    </w:rPr>
    <w:tblPr/>
  </w:style>
  <w:style w:type="table" w:styleId="983" w:customStyle="1">
    <w:name w:val="Bordered &amp; Lined - Accent 6"/>
    <w:basedOn w:val="761"/>
    <w:uiPriority w:val="99"/>
    <w:qFormat/>
    <w:pPr>
      <w:spacing w:after="0" w:line="240" w:lineRule="auto"/>
    </w:pPr>
    <w:rPr>
      <w:color w:val="404040"/>
    </w:rPr>
    <w:tblPr/>
  </w:style>
  <w:style w:type="table" w:styleId="984" w:customStyle="1">
    <w:name w:val="Bordered"/>
    <w:basedOn w:val="761"/>
    <w:uiPriority w:val="99"/>
    <w:qFormat/>
    <w:pPr>
      <w:spacing w:after="0" w:line="240" w:lineRule="auto"/>
    </w:pPr>
    <w:tblPr/>
  </w:style>
  <w:style w:type="table" w:styleId="985" w:customStyle="1">
    <w:name w:val="Bordered - Accent 1"/>
    <w:basedOn w:val="761"/>
    <w:uiPriority w:val="99"/>
    <w:qFormat/>
    <w:pPr>
      <w:spacing w:after="0" w:line="240" w:lineRule="auto"/>
    </w:pPr>
    <w:tblPr/>
  </w:style>
  <w:style w:type="table" w:styleId="986" w:customStyle="1">
    <w:name w:val="Bordered - Accent 2"/>
    <w:basedOn w:val="761"/>
    <w:uiPriority w:val="99"/>
    <w:qFormat/>
    <w:pPr>
      <w:spacing w:after="0" w:line="240" w:lineRule="auto"/>
    </w:pPr>
    <w:tblPr/>
  </w:style>
  <w:style w:type="table" w:styleId="987" w:customStyle="1">
    <w:name w:val="Bordered - Accent 3"/>
    <w:basedOn w:val="761"/>
    <w:uiPriority w:val="99"/>
    <w:qFormat/>
    <w:pPr>
      <w:spacing w:after="0" w:line="240" w:lineRule="auto"/>
    </w:pPr>
    <w:tblPr/>
  </w:style>
  <w:style w:type="table" w:styleId="988" w:customStyle="1">
    <w:name w:val="Bordered - Accent 4"/>
    <w:basedOn w:val="761"/>
    <w:uiPriority w:val="99"/>
    <w:qFormat/>
    <w:pPr>
      <w:spacing w:after="0" w:line="240" w:lineRule="auto"/>
    </w:pPr>
    <w:tblPr/>
  </w:style>
  <w:style w:type="table" w:styleId="989" w:customStyle="1">
    <w:name w:val="Bordered - Accent 5"/>
    <w:basedOn w:val="761"/>
    <w:uiPriority w:val="99"/>
    <w:qFormat/>
    <w:pPr>
      <w:spacing w:after="0" w:line="240" w:lineRule="auto"/>
    </w:pPr>
    <w:tblPr/>
  </w:style>
  <w:style w:type="table" w:styleId="990" w:customStyle="1">
    <w:name w:val="Bordered - Accent 6"/>
    <w:basedOn w:val="761"/>
    <w:uiPriority w:val="99"/>
    <w:qFormat/>
    <w:pPr>
      <w:spacing w:after="0" w:line="240" w:lineRule="auto"/>
    </w:pPr>
    <w:tblPr/>
  </w:style>
  <w:style w:type="character" w:styleId="991" w:customStyle="1">
    <w:name w:val="Footnote Text Char"/>
    <w:link w:val="710"/>
    <w:uiPriority w:val="99"/>
    <w:qFormat/>
    <w:rPr>
      <w:sz w:val="18"/>
    </w:rPr>
  </w:style>
  <w:style w:type="character" w:styleId="992" w:customStyle="1">
    <w:name w:val="Endnote Text Char"/>
    <w:link w:val="710"/>
    <w:uiPriority w:val="99"/>
    <w:qFormat/>
    <w:rPr>
      <w:sz w:val="20"/>
    </w:rPr>
  </w:style>
  <w:style w:type="paragraph" w:styleId="993" w:customStyle="1">
    <w:name w:val="TOC Heading"/>
    <w:uiPriority w:val="39"/>
    <w:unhideWhenUsed/>
    <w:qFormat/>
    <w:rPr>
      <w:rFonts w:hint="default" w:ascii="Times New Roman" w:hAnsi="Times New Roman" w:eastAsia="宋体" w:cs="Times New Roman"/>
      <w:lang w:val="en-US" w:eastAsia="zh-CN" w:bidi="ar-SA"/>
    </w:rPr>
  </w:style>
  <w:style w:type="character" w:styleId="994" w:customStyle="1">
    <w:name w:val="标题 1 字符"/>
    <w:link w:val="995"/>
    <w:uiPriority w:val="0"/>
    <w:qFormat/>
    <w:rPr>
      <w:b/>
      <w:bCs/>
      <w:sz w:val="32"/>
      <w:szCs w:val="44"/>
    </w:rPr>
  </w:style>
  <w:style w:type="paragraph" w:styleId="995" w:customStyle="1">
    <w:name w:val="标题 11"/>
    <w:basedOn w:val="710"/>
    <w:next w:val="710"/>
    <w:link w:val="994"/>
    <w:uiPriority w:val="0"/>
    <w:qFormat/>
    <w:pPr>
      <w:keepLines/>
      <w:keepNext/>
      <w:spacing w:before="340" w:after="330" w:line="578" w:lineRule="auto"/>
      <w:outlineLvl w:val="0"/>
    </w:pPr>
    <w:rPr>
      <w:b/>
      <w:bCs/>
      <w:sz w:val="32"/>
      <w:szCs w:val="44"/>
    </w:rPr>
  </w:style>
  <w:style w:type="character" w:styleId="996" w:customStyle="1">
    <w:name w:val="111111 Char"/>
    <w:link w:val="997"/>
    <w:uiPriority w:val="0"/>
    <w:qFormat/>
    <w:rPr>
      <w:rFonts w:ascii="宋体" w:hAnsi="宋体" w:eastAsia="黑体" w:cs="宋体"/>
      <w:b/>
      <w:bCs/>
      <w:sz w:val="21"/>
      <w:szCs w:val="21"/>
      <w:lang w:val="en-US" w:eastAsia="zh-CN" w:bidi="ar-SA"/>
    </w:rPr>
  </w:style>
  <w:style w:type="paragraph" w:styleId="997" w:customStyle="1">
    <w:name w:val="111111"/>
    <w:basedOn w:val="710"/>
    <w:link w:val="996"/>
    <w:uiPriority w:val="0"/>
    <w:qFormat/>
    <w:pPr>
      <w:jc w:val="center"/>
      <w:spacing w:before="120" w:after="120"/>
    </w:pPr>
    <w:rPr>
      <w:rFonts w:ascii="宋体" w:hAnsi="宋体" w:eastAsia="黑体" w:cs="宋体"/>
      <w:b/>
      <w:bCs/>
      <w:szCs w:val="21"/>
    </w:rPr>
  </w:style>
  <w:style w:type="character" w:styleId="998" w:customStyle="1">
    <w:name w:val="样式 非加粗"/>
    <w:link w:val="710"/>
    <w:uiPriority w:val="0"/>
    <w:qFormat/>
    <w:rPr>
      <w:rFonts w:eastAsia="宋体"/>
      <w:sz w:val="28"/>
    </w:rPr>
  </w:style>
  <w:style w:type="character" w:styleId="999" w:customStyle="1">
    <w:name w:val="引用 Char"/>
    <w:link w:val="1000"/>
    <w:uiPriority w:val="0"/>
    <w:qFormat/>
    <w:rPr>
      <w:rFonts w:ascii="Calibri" w:hAnsi="Calibri" w:eastAsia="宋体"/>
      <w:i/>
      <w:iCs/>
      <w:sz w:val="22"/>
      <w:szCs w:val="22"/>
      <w:lang w:val="en-US" w:eastAsia="en-US" w:bidi="en-US"/>
    </w:rPr>
  </w:style>
  <w:style w:type="paragraph" w:styleId="1000" w:customStyle="1">
    <w:name w:val="引用"/>
    <w:basedOn w:val="710"/>
    <w:next w:val="710"/>
    <w:link w:val="999"/>
    <w:uiPriority w:val="0"/>
    <w:qFormat/>
    <w:pPr>
      <w:ind w:left="360" w:right="360"/>
      <w:jc w:val="left"/>
      <w:spacing w:before="200" w:line="276" w:lineRule="auto"/>
      <w:widowControl/>
    </w:pPr>
    <w:rPr>
      <w:rFonts w:ascii="Calibri" w:hAnsi="Calibri"/>
      <w:i/>
      <w:iCs/>
      <w:sz w:val="22"/>
      <w:szCs w:val="22"/>
      <w:lang w:eastAsia="en-US" w:bidi="en-US"/>
    </w:rPr>
  </w:style>
  <w:style w:type="character" w:styleId="1001" w:customStyle="1">
    <w:name w:val="case31"/>
    <w:link w:val="710"/>
    <w:uiPriority w:val="0"/>
    <w:qFormat/>
    <w:rPr>
      <w:sz w:val="21"/>
      <w:szCs w:val="21"/>
    </w:rPr>
  </w:style>
  <w:style w:type="character" w:styleId="1002" w:customStyle="1">
    <w:name w:val="小四 段落 宋体 Char Char Char Char Char Char"/>
    <w:link w:val="710"/>
    <w:uiPriority w:val="0"/>
    <w:qFormat/>
    <w:rPr>
      <w:rFonts w:eastAsia="宋体"/>
      <w:sz w:val="24"/>
      <w:szCs w:val="24"/>
      <w:lang w:val="en-US" w:eastAsia="zh-CN" w:bidi="ar-SA"/>
    </w:rPr>
  </w:style>
  <w:style w:type="character" w:styleId="1003" w:customStyle="1">
    <w:name w:val="华宇段落1 Char Char"/>
    <w:link w:val="710"/>
    <w:uiPriority w:val="0"/>
    <w:qFormat/>
    <w:rPr>
      <w:rFonts w:eastAsia="宋体"/>
      <w:bCs/>
      <w:sz w:val="24"/>
      <w:szCs w:val="24"/>
      <w:lang w:val="en-US" w:eastAsia="zh-CN" w:bidi="ar-SA"/>
    </w:rPr>
  </w:style>
  <w:style w:type="character" w:styleId="1004" w:customStyle="1">
    <w:name w:val="Char Char24"/>
    <w:link w:val="710"/>
    <w:uiPriority w:val="0"/>
    <w:qFormat/>
    <w:rPr>
      <w:b/>
      <w:bCs/>
      <w:sz w:val="28"/>
      <w:szCs w:val="28"/>
    </w:rPr>
  </w:style>
  <w:style w:type="character" w:styleId="1005" w:customStyle="1">
    <w:name w:val="para_small"/>
    <w:link w:val="710"/>
    <w:uiPriority w:val="0"/>
    <w:qFormat/>
  </w:style>
  <w:style w:type="character" w:styleId="1006" w:customStyle="1">
    <w:name w:val="listbenefit"/>
    <w:link w:val="710"/>
    <w:uiPriority w:val="0"/>
    <w:qFormat/>
  </w:style>
  <w:style w:type="character" w:styleId="1007" w:customStyle="1">
    <w:name w:val="小四 段落 宋体 Char Char Char Char1"/>
    <w:link w:val="710"/>
    <w:uiPriority w:val="0"/>
    <w:qFormat/>
    <w:rPr>
      <w:rFonts w:eastAsia="宋体"/>
      <w:sz w:val="24"/>
      <w:szCs w:val="24"/>
      <w:lang w:val="en-US" w:eastAsia="zh-CN" w:bidi="ar-SA"/>
    </w:rPr>
  </w:style>
  <w:style w:type="character" w:styleId="1008" w:customStyle="1">
    <w:name w:val="textcontents"/>
    <w:link w:val="710"/>
    <w:uiPriority w:val="0"/>
    <w:qFormat/>
  </w:style>
  <w:style w:type="character" w:styleId="1009" w:customStyle="1">
    <w:name w:val="Char Char25"/>
    <w:link w:val="710"/>
    <w:uiPriority w:val="0"/>
    <w:qFormat/>
    <w:rPr>
      <w:rFonts w:ascii="Arial" w:hAnsi="Arial" w:eastAsia="黑体"/>
      <w:b/>
      <w:sz w:val="28"/>
    </w:rPr>
  </w:style>
  <w:style w:type="character" w:styleId="1010" w:customStyle="1">
    <w:name w:val="param-value"/>
    <w:link w:val="710"/>
    <w:uiPriority w:val="0"/>
    <w:qFormat/>
  </w:style>
  <w:style w:type="character" w:styleId="1011" w:customStyle="1">
    <w:name w:val="Book Title"/>
    <w:link w:val="710"/>
    <w:uiPriority w:val="0"/>
    <w:qFormat/>
    <w:rPr>
      <w:i/>
      <w:iCs/>
      <w:smallCaps/>
      <w:spacing w:val="5"/>
    </w:rPr>
  </w:style>
  <w:style w:type="character" w:styleId="1012" w:customStyle="1">
    <w:name w:val="已访问的超链接1"/>
    <w:link w:val="710"/>
    <w:uiPriority w:val="0"/>
    <w:qFormat/>
    <w:rPr>
      <w:color w:val="000000"/>
      <w:u w:val="none"/>
    </w:rPr>
  </w:style>
  <w:style w:type="character" w:styleId="1013" w:customStyle="1">
    <w:name w:val="Subtle Reference"/>
    <w:link w:val="710"/>
    <w:uiPriority w:val="0"/>
    <w:qFormat/>
    <w:rPr>
      <w:smallCaps/>
    </w:rPr>
  </w:style>
  <w:style w:type="character" w:styleId="1014" w:customStyle="1">
    <w:name w:val="华宇段落1 Char Char Char"/>
    <w:link w:val="710"/>
    <w:uiPriority w:val="0"/>
    <w:qFormat/>
    <w:rPr>
      <w:rFonts w:eastAsia="宋体"/>
      <w:bCs/>
      <w:sz w:val="24"/>
      <w:szCs w:val="24"/>
      <w:lang w:val="en-US" w:eastAsia="zh-CN" w:bidi="ar-SA"/>
    </w:rPr>
  </w:style>
  <w:style w:type="character" w:styleId="1015" w:customStyle="1">
    <w:name w:val="标题 3 Char"/>
    <w:link w:val="710"/>
    <w:uiPriority w:val="0"/>
    <w:qFormat/>
    <w:rPr>
      <w:rFonts w:ascii="宋体" w:hAnsi="宋体" w:eastAsia="宋体"/>
      <w:b/>
      <w:bCs/>
      <w:sz w:val="24"/>
      <w:szCs w:val="32"/>
      <w:lang w:val="en-US" w:eastAsia="zh-CN" w:bidi="ar-SA"/>
    </w:rPr>
  </w:style>
  <w:style w:type="character" w:styleId="1016" w:customStyle="1">
    <w:name w:val="style13"/>
    <w:link w:val="710"/>
    <w:uiPriority w:val="0"/>
    <w:qFormat/>
    <w:rPr>
      <w:sz w:val="18"/>
      <w:szCs w:val="18"/>
    </w:rPr>
  </w:style>
  <w:style w:type="character" w:styleId="1017" w:customStyle="1">
    <w:name w:val="Char Char27"/>
    <w:link w:val="710"/>
    <w:uiPriority w:val="0"/>
    <w:qFormat/>
    <w:rPr>
      <w:b/>
      <w:bCs/>
      <w:sz w:val="44"/>
      <w:szCs w:val="44"/>
    </w:rPr>
  </w:style>
  <w:style w:type="character" w:styleId="1018" w:customStyle="1">
    <w:name w:val="Char Char28"/>
    <w:link w:val="710"/>
    <w:uiPriority w:val="0"/>
    <w:qFormat/>
    <w:rPr>
      <w:rFonts w:ascii="Arial" w:hAnsi="Arial" w:eastAsia="黑体" w:cs="Arial"/>
      <w:b/>
      <w:bCs/>
      <w:sz w:val="32"/>
      <w:szCs w:val="32"/>
    </w:rPr>
  </w:style>
  <w:style w:type="character" w:styleId="1019" w:customStyle="1">
    <w:name w:val="style131"/>
    <w:link w:val="710"/>
    <w:uiPriority w:val="0"/>
    <w:qFormat/>
    <w:rPr>
      <w:rFonts w:cs="Times New Roman"/>
      <w:sz w:val="18"/>
      <w:szCs w:val="18"/>
    </w:rPr>
  </w:style>
  <w:style w:type="character" w:styleId="1020" w:customStyle="1">
    <w:name w:val="concon"/>
    <w:link w:val="710"/>
    <w:uiPriority w:val="0"/>
    <w:qFormat/>
  </w:style>
  <w:style w:type="character" w:styleId="1021" w:customStyle="1">
    <w:name w:val="subtitle1"/>
    <w:link w:val="710"/>
    <w:uiPriority w:val="0"/>
    <w:qFormat/>
    <w:rPr>
      <w:rFonts w:ascii="Georgia" w:hAnsi="Georgia"/>
      <w:b/>
      <w:bCs/>
      <w:color w:val="666666"/>
      <w:sz w:val="18"/>
      <w:szCs w:val="18"/>
    </w:rPr>
  </w:style>
  <w:style w:type="character" w:styleId="102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10"/>
    <w:uiPriority w:val="0"/>
    <w:qFormat/>
    <w:rPr>
      <w:rFonts w:eastAsia="宋体"/>
      <w:b/>
      <w:bCs/>
      <w:sz w:val="32"/>
      <w:szCs w:val="32"/>
      <w:lang w:val="en-US" w:eastAsia="zh-CN" w:bidi="ar-SA"/>
    </w:rPr>
  </w:style>
  <w:style w:type="character" w:styleId="1023" w:customStyle="1">
    <w:name w:val="纯文本 Char1"/>
    <w:link w:val="710"/>
    <w:uiPriority w:val="0"/>
    <w:qFormat/>
    <w:rPr>
      <w:rFonts w:ascii="宋体" w:hAnsi="Courier New" w:cs="Courier New"/>
      <w:sz w:val="21"/>
      <w:szCs w:val="21"/>
    </w:rPr>
  </w:style>
  <w:style w:type="character" w:styleId="1024" w:customStyle="1">
    <w:name w:val="小四 段落 宋体 Char Char Char Char Char"/>
    <w:link w:val="710"/>
    <w:uiPriority w:val="0"/>
    <w:qFormat/>
    <w:rPr>
      <w:rFonts w:eastAsia="宋体"/>
      <w:sz w:val="24"/>
      <w:szCs w:val="24"/>
      <w:lang w:val="en-US" w:eastAsia="zh-CN" w:bidi="ar-SA"/>
    </w:rPr>
  </w:style>
  <w:style w:type="character" w:styleId="1025" w:customStyle="1">
    <w:name w:val="明显引用 Char"/>
    <w:link w:val="1026"/>
    <w:uiPriority w:val="0"/>
    <w:qFormat/>
    <w:rPr>
      <w:rFonts w:ascii="Calibri" w:hAnsi="Calibri" w:eastAsia="宋体"/>
      <w:b/>
      <w:bCs/>
      <w:i/>
      <w:iCs/>
      <w:sz w:val="22"/>
      <w:szCs w:val="22"/>
      <w:lang w:val="en-US" w:eastAsia="en-US" w:bidi="en-US"/>
    </w:rPr>
  </w:style>
  <w:style w:type="paragraph" w:styleId="1026" w:customStyle="1">
    <w:name w:val="明显引用"/>
    <w:basedOn w:val="710"/>
    <w:next w:val="710"/>
    <w:link w:val="1025"/>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7" w:customStyle="1">
    <w:name w:val="t1"/>
    <w:link w:val="710"/>
    <w:uiPriority w:val="0"/>
    <w:qFormat/>
  </w:style>
  <w:style w:type="character" w:styleId="1028" w:customStyle="1">
    <w:name w:val="Title1 Char"/>
    <w:link w:val="710"/>
    <w:uiPriority w:val="0"/>
    <w:qFormat/>
    <w:rPr>
      <w:rFonts w:eastAsia="宋体"/>
      <w:b/>
      <w:bCs/>
      <w:sz w:val="44"/>
      <w:szCs w:val="44"/>
      <w:lang w:val="en-US" w:eastAsia="zh-CN" w:bidi="ar-SA"/>
    </w:rPr>
  </w:style>
  <w:style w:type="character" w:styleId="1029" w:customStyle="1">
    <w:name w:val="2nd level Char"/>
    <w:link w:val="710"/>
    <w:uiPriority w:val="0"/>
    <w:qFormat/>
    <w:rPr>
      <w:rFonts w:ascii="Arial" w:hAnsi="Arial" w:eastAsia="黑体"/>
      <w:b/>
      <w:bCs/>
      <w:sz w:val="32"/>
      <w:szCs w:val="32"/>
      <w:lang w:val="en-US" w:eastAsia="zh-CN" w:bidi="ar-SA"/>
    </w:rPr>
  </w:style>
  <w:style w:type="character" w:styleId="1030" w:customStyle="1">
    <w:name w:val="彩色列表 - 强调文字颜色 1 Char"/>
    <w:link w:val="1031"/>
    <w:uiPriority w:val="0"/>
    <w:qFormat/>
    <w:rPr>
      <w:rFonts w:ascii="Calibri" w:hAnsi="Calibri"/>
      <w:sz w:val="21"/>
      <w:szCs w:val="22"/>
    </w:rPr>
  </w:style>
  <w:style w:type="paragraph" w:styleId="1031" w:customStyle="1">
    <w:name w:val="彩色列表 - 强调文字颜色 11"/>
    <w:basedOn w:val="710"/>
    <w:link w:val="1030"/>
    <w:uiPriority w:val="0"/>
    <w:qFormat/>
    <w:pPr>
      <w:ind w:firstLine="420"/>
    </w:pPr>
    <w:rPr>
      <w:rFonts w:ascii="Calibri" w:hAnsi="Calibri"/>
      <w:szCs w:val="22"/>
    </w:rPr>
  </w:style>
  <w:style w:type="character" w:styleId="1032" w:customStyle="1">
    <w:name w:val="ih151"/>
    <w:link w:val="710"/>
    <w:uiPriority w:val="0"/>
    <w:qFormat/>
    <w:rPr>
      <w:color w:val="666666"/>
      <w:sz w:val="18"/>
      <w:szCs w:val="18"/>
      <w:u w:val="none"/>
    </w:rPr>
  </w:style>
  <w:style w:type="character" w:styleId="1033" w:customStyle="1">
    <w:name w:val="Char Char26"/>
    <w:link w:val="710"/>
    <w:uiPriority w:val="0"/>
    <w:qFormat/>
    <w:rPr>
      <w:b/>
      <w:bCs/>
      <w:sz w:val="32"/>
      <w:szCs w:val="32"/>
    </w:rPr>
  </w:style>
  <w:style w:type="character" w:styleId="1034" w:customStyle="1">
    <w:name w:val="标题 Char1"/>
    <w:link w:val="710"/>
    <w:uiPriority w:val="0"/>
    <w:qFormat/>
    <w:rPr>
      <w:rFonts w:ascii="Cambria" w:eastAsia="宋体" w:cs="Times New Roman"/>
      <w:b/>
      <w:bCs/>
      <w:sz w:val="32"/>
      <w:szCs w:val="32"/>
    </w:rPr>
  </w:style>
  <w:style w:type="character" w:styleId="1035" w:customStyle="1">
    <w:name w:val="纯文本 Char Char"/>
    <w:link w:val="710"/>
    <w:uiPriority w:val="0"/>
    <w:qFormat/>
    <w:rPr>
      <w:rFonts w:ascii="宋体" w:hAnsi="Courier New" w:eastAsia="宋体"/>
      <w:sz w:val="21"/>
      <w:szCs w:val="21"/>
      <w:lang w:val="en-US" w:eastAsia="zh-CN" w:bidi="ar-SA"/>
    </w:rPr>
  </w:style>
  <w:style w:type="character" w:styleId="1036" w:customStyle="1">
    <w:name w:val="Char Char2"/>
    <w:link w:val="710"/>
    <w:uiPriority w:val="0"/>
    <w:qFormat/>
    <w:rPr>
      <w:rFonts w:ascii="宋体" w:hAnsi="Courier New" w:eastAsia="宋体"/>
      <w:sz w:val="21"/>
      <w:szCs w:val="21"/>
      <w:lang w:val="en-US" w:eastAsia="zh-CN" w:bidi="ar-SA"/>
    </w:rPr>
  </w:style>
  <w:style w:type="character" w:styleId="1037" w:customStyle="1">
    <w:name w:val="Char Char23"/>
    <w:link w:val="710"/>
    <w:uiPriority w:val="0"/>
    <w:qFormat/>
    <w:rPr>
      <w:rFonts w:ascii="Arial" w:hAnsi="Arial" w:eastAsia="黑体"/>
      <w:b/>
      <w:bCs/>
      <w:sz w:val="24"/>
      <w:szCs w:val="24"/>
    </w:rPr>
  </w:style>
  <w:style w:type="character" w:styleId="1038" w:customStyle="1">
    <w:name w:val="表格抬头 Char"/>
    <w:link w:val="1039"/>
    <w:uiPriority w:val="0"/>
    <w:qFormat/>
    <w:rPr>
      <w:rFonts w:ascii="黑体" w:eastAsia="黑体"/>
      <w:b/>
      <w:sz w:val="21"/>
      <w:lang w:bidi="ar-SA"/>
    </w:rPr>
  </w:style>
  <w:style w:type="paragraph" w:styleId="1039" w:customStyle="1">
    <w:name w:val="表格抬头"/>
    <w:basedOn w:val="710"/>
    <w:link w:val="1038"/>
    <w:uiPriority w:val="0"/>
    <w:qFormat/>
    <w:pPr>
      <w:jc w:val="center"/>
    </w:pPr>
    <w:rPr>
      <w:rFonts w:ascii="黑体" w:eastAsia="黑体"/>
      <w:b/>
    </w:rPr>
  </w:style>
  <w:style w:type="character" w:styleId="1040" w:customStyle="1">
    <w:name w:val="样式 首行缩进:  2 字符 Char Char"/>
    <w:link w:val="1041"/>
    <w:uiPriority w:val="0"/>
    <w:qFormat/>
    <w:rPr>
      <w:rFonts w:eastAsia="宋体" w:cs="宋体"/>
      <w:sz w:val="24"/>
      <w:lang w:val="en-US" w:eastAsia="zh-CN" w:bidi="ar-SA"/>
    </w:rPr>
  </w:style>
  <w:style w:type="paragraph" w:styleId="1041" w:customStyle="1">
    <w:name w:val="样式 首行缩进:  2 字符"/>
    <w:basedOn w:val="710"/>
    <w:link w:val="1040"/>
    <w:uiPriority w:val="0"/>
    <w:qFormat/>
    <w:pPr>
      <w:ind w:firstLine="480"/>
      <w:spacing w:line="360" w:lineRule="auto"/>
    </w:pPr>
    <w:rPr>
      <w:rFonts w:cs="宋体"/>
      <w:sz w:val="24"/>
    </w:rPr>
  </w:style>
  <w:style w:type="character" w:styleId="1042" w:customStyle="1">
    <w:name w:val="apple-converted-space"/>
    <w:link w:val="710"/>
    <w:uiPriority w:val="0"/>
    <w:qFormat/>
  </w:style>
  <w:style w:type="character" w:styleId="1043" w:customStyle="1">
    <w:name w:val="A2"/>
    <w:link w:val="710"/>
    <w:uiPriority w:val="0"/>
    <w:qFormat/>
    <w:rPr>
      <w:rFonts w:cs="Helvetica LT Pro"/>
      <w:color w:val="000000"/>
      <w:sz w:val="18"/>
      <w:szCs w:val="18"/>
    </w:rPr>
  </w:style>
  <w:style w:type="character" w:styleId="1044" w:customStyle="1">
    <w:name w:val="h Char Char"/>
    <w:link w:val="710"/>
    <w:uiPriority w:val="0"/>
    <w:qFormat/>
    <w:rPr>
      <w:rFonts w:eastAsia="宋体"/>
      <w:sz w:val="18"/>
      <w:szCs w:val="18"/>
      <w:lang w:val="en-US" w:eastAsia="zh-CN" w:bidi="ar-SA"/>
    </w:rPr>
  </w:style>
  <w:style w:type="character" w:styleId="1045" w:customStyle="1">
    <w:name w:val="小四 段落 宋体 Char Char Char1"/>
    <w:link w:val="710"/>
    <w:uiPriority w:val="0"/>
    <w:qFormat/>
    <w:rPr>
      <w:rFonts w:ascii="宋体" w:hAnsi="宋体" w:eastAsia="宋体"/>
      <w:sz w:val="24"/>
      <w:szCs w:val="24"/>
      <w:lang w:val="en-US" w:eastAsia="zh-CN" w:bidi="ar-SA"/>
    </w:rPr>
  </w:style>
  <w:style w:type="character" w:styleId="1046" w:customStyle="1">
    <w:name w:val="标准小四 Char Char"/>
    <w:link w:val="710"/>
    <w:uiPriority w:val="0"/>
    <w:qFormat/>
    <w:rPr>
      <w:rFonts w:ascii="Arial" w:hAnsi="Arial" w:eastAsia="宋体"/>
      <w:sz w:val="24"/>
      <w:szCs w:val="21"/>
      <w:lang w:val="en-US" w:eastAsia="zh-CN" w:bidi="ar-SA"/>
    </w:rPr>
  </w:style>
  <w:style w:type="character" w:styleId="1047" w:customStyle="1">
    <w:name w:val="标准小四 Char"/>
    <w:link w:val="710"/>
    <w:uiPriority w:val="0"/>
    <w:qFormat/>
    <w:rPr>
      <w:rFonts w:ascii="Arial" w:hAnsi="Arial" w:eastAsia="宋体"/>
      <w:sz w:val="24"/>
      <w:szCs w:val="21"/>
      <w:lang w:val="en-US" w:eastAsia="zh-CN" w:bidi="ar-SA"/>
    </w:rPr>
  </w:style>
  <w:style w:type="character" w:styleId="1048" w:customStyle="1">
    <w:name w:val="point_normal1"/>
    <w:link w:val="710"/>
    <w:uiPriority w:val="0"/>
    <w:qFormat/>
    <w:rPr>
      <w:rFonts w:ascii="Arial" w:hAnsi="Arial" w:cs="Arial"/>
      <w:sz w:val="18"/>
      <w:szCs w:val="18"/>
    </w:rPr>
  </w:style>
  <w:style w:type="character" w:styleId="1049" w:customStyle="1">
    <w:name w:val="Char Char21"/>
    <w:link w:val="710"/>
    <w:uiPriority w:val="0"/>
    <w:qFormat/>
    <w:rPr>
      <w:rFonts w:ascii="Arial" w:hAnsi="Arial" w:eastAsia="黑体"/>
      <w:sz w:val="24"/>
      <w:szCs w:val="24"/>
    </w:rPr>
  </w:style>
  <w:style w:type="character" w:styleId="1050" w:customStyle="1">
    <w:name w:val="content_lineheight1"/>
    <w:link w:val="710"/>
    <w:uiPriority w:val="0"/>
    <w:qFormat/>
  </w:style>
  <w:style w:type="character" w:styleId="1051" w:customStyle="1">
    <w:name w:val="content"/>
    <w:link w:val="710"/>
    <w:uiPriority w:val="0"/>
    <w:qFormat/>
  </w:style>
  <w:style w:type="character" w:styleId="1052" w:customStyle="1">
    <w:name w:val="小四 段落 宋体 Char1"/>
    <w:link w:val="710"/>
    <w:uiPriority w:val="0"/>
    <w:qFormat/>
    <w:rPr>
      <w:rFonts w:eastAsia="宋体"/>
      <w:sz w:val="24"/>
      <w:szCs w:val="24"/>
      <w:lang w:val="en-US" w:eastAsia="zh-CN" w:bidi="ar-SA"/>
    </w:rPr>
  </w:style>
  <w:style w:type="character" w:styleId="1053" w:customStyle="1">
    <w:name w:val="标准文本 Char Char"/>
    <w:link w:val="710"/>
    <w:uiPriority w:val="0"/>
    <w:qFormat/>
    <w:rPr>
      <w:rFonts w:eastAsia="宋体" w:cs="宋体"/>
      <w:sz w:val="24"/>
      <w:szCs w:val="24"/>
      <w:lang w:val="en-US" w:eastAsia="zh-CN" w:bidi="ar-SA"/>
    </w:rPr>
  </w:style>
  <w:style w:type="character" w:styleId="1054" w:customStyle="1">
    <w:name w:val="3zw"/>
    <w:link w:val="710"/>
    <w:uiPriority w:val="0"/>
    <w:qFormat/>
  </w:style>
  <w:style w:type="character" w:styleId="1055" w:customStyle="1">
    <w:name w:val="正文缩进 Char1"/>
    <w:link w:val="1056"/>
    <w:uiPriority w:val="0"/>
    <w:qFormat/>
    <w:rPr>
      <w:rFonts w:eastAsia="宋体"/>
      <w:lang w:bidi="ar-SA"/>
    </w:rPr>
  </w:style>
  <w:style w:type="paragraph" w:styleId="1056" w:customStyle="1">
    <w:name w:val="Normal Indent0"/>
    <w:basedOn w:val="710"/>
    <w:link w:val="1055"/>
    <w:uiPriority w:val="0"/>
    <w:qFormat/>
    <w:pPr>
      <w:ind w:firstLine="420"/>
    </w:pPr>
    <w:rPr>
      <w:sz w:val="20"/>
    </w:rPr>
  </w:style>
  <w:style w:type="character" w:styleId="1057" w:customStyle="1">
    <w:name w:val="纯文本 Char Char Char1"/>
    <w:link w:val="710"/>
    <w:uiPriority w:val="0"/>
    <w:qFormat/>
    <w:rPr>
      <w:rFonts w:ascii="宋体" w:hAnsi="Courier New" w:eastAsia="宋体"/>
      <w:sz w:val="21"/>
      <w:szCs w:val="21"/>
      <w:lang w:val="en-US" w:eastAsia="zh-CN" w:bidi="ar-SA"/>
    </w:rPr>
  </w:style>
  <w:style w:type="character" w:styleId="1058" w:customStyle="1">
    <w:name w:val="Char Char20"/>
    <w:link w:val="710"/>
    <w:uiPriority w:val="0"/>
    <w:qFormat/>
    <w:rPr>
      <w:rFonts w:ascii="Arial" w:hAnsi="Arial" w:eastAsia="黑体"/>
      <w:sz w:val="21"/>
      <w:szCs w:val="21"/>
    </w:rPr>
  </w:style>
  <w:style w:type="character" w:styleId="1059" w:customStyle="1">
    <w:name w:val="Subtle Emphasis"/>
    <w:link w:val="710"/>
    <w:uiPriority w:val="0"/>
    <w:qFormat/>
    <w:rPr>
      <w:i/>
      <w:iCs/>
    </w:rPr>
  </w:style>
  <w:style w:type="character" w:styleId="1060" w:customStyle="1">
    <w:name w:val="小四 段落 宋体 Char Char Char Char Char Char Char Char"/>
    <w:link w:val="710"/>
    <w:uiPriority w:val="0"/>
    <w:qFormat/>
    <w:rPr>
      <w:rFonts w:eastAsia="宋体"/>
      <w:sz w:val="24"/>
      <w:szCs w:val="24"/>
      <w:lang w:val="en-US" w:eastAsia="zh-CN" w:bidi="ar-SA"/>
    </w:rPr>
  </w:style>
  <w:style w:type="character" w:styleId="1061" w:customStyle="1">
    <w:name w:val="Intense Emphasis"/>
    <w:link w:val="710"/>
    <w:uiPriority w:val="0"/>
    <w:qFormat/>
    <w:rPr>
      <w:b/>
      <w:bCs/>
    </w:rPr>
  </w:style>
  <w:style w:type="character" w:styleId="1062" w:customStyle="1">
    <w:name w:val="Intense Reference"/>
    <w:link w:val="710"/>
    <w:uiPriority w:val="0"/>
    <w:qFormat/>
    <w:rPr>
      <w:smallCaps/>
      <w:spacing w:val="5"/>
      <w:u w:val="single"/>
    </w:rPr>
  </w:style>
  <w:style w:type="character" w:styleId="1063" w:customStyle="1">
    <w:name w:val="标准文本 Char"/>
    <w:link w:val="710"/>
    <w:uiPriority w:val="0"/>
    <w:qFormat/>
    <w:rPr>
      <w:rFonts w:eastAsia="宋体" w:cs="宋体"/>
      <w:sz w:val="24"/>
      <w:szCs w:val="24"/>
      <w:lang w:val="en-US" w:eastAsia="zh-CN" w:bidi="ar-SA"/>
    </w:rPr>
  </w:style>
  <w:style w:type="character" w:styleId="1064" w:customStyle="1">
    <w:name w:val="标题 3 Char Char"/>
    <w:link w:val="710"/>
    <w:uiPriority w:val="0"/>
    <w:qFormat/>
    <w:rPr>
      <w:rFonts w:eastAsia="方正仿宋_GB2312"/>
      <w:b/>
      <w:bCs/>
      <w:sz w:val="28"/>
      <w:szCs w:val="32"/>
      <w:lang w:val="en-US" w:eastAsia="zh-CN" w:bidi="ar-SA"/>
    </w:rPr>
  </w:style>
  <w:style w:type="character" w:styleId="1065" w:customStyle="1">
    <w:name w:val="Char Char22"/>
    <w:link w:val="710"/>
    <w:uiPriority w:val="0"/>
    <w:qFormat/>
    <w:rPr>
      <w:b/>
      <w:bCs/>
      <w:sz w:val="24"/>
      <w:szCs w:val="24"/>
    </w:rPr>
  </w:style>
  <w:style w:type="character" w:styleId="1066" w:customStyle="1">
    <w:name w:val="Char Char17"/>
    <w:link w:val="710"/>
    <w:uiPriority w:val="0"/>
    <w:qFormat/>
    <w:rPr>
      <w:rFonts w:ascii="宋体" w:hAnsi="Courier New"/>
      <w:sz w:val="21"/>
      <w:szCs w:val="21"/>
    </w:rPr>
  </w:style>
  <w:style w:type="character" w:styleId="1067" w:customStyle="1">
    <w:name w:val="样式 宋体 小四"/>
    <w:link w:val="710"/>
    <w:uiPriority w:val="0"/>
    <w:qFormat/>
    <w:rPr>
      <w:rFonts w:ascii="宋体" w:hAnsi="宋体"/>
      <w:sz w:val="24"/>
    </w:rPr>
  </w:style>
  <w:style w:type="character" w:styleId="1068" w:customStyle="1">
    <w:name w:val="Char Char29"/>
    <w:link w:val="710"/>
    <w:uiPriority w:val="0"/>
    <w:qFormat/>
    <w:rPr>
      <w:rFonts w:ascii="Times New Roman" w:hAnsi="Times New Roman" w:eastAsia="宋体" w:cs="Times New Roman"/>
      <w:b/>
      <w:bCs/>
      <w:sz w:val="44"/>
      <w:szCs w:val="44"/>
    </w:rPr>
  </w:style>
  <w:style w:type="character" w:styleId="1069" w:customStyle="1">
    <w:name w:val="normalfont1"/>
    <w:link w:val="710"/>
    <w:uiPriority w:val="0"/>
    <w:qFormat/>
    <w:rPr>
      <w:rFonts w:ascii="DejaVu Math TeX Gyre" w:hAnsi="DejaVu Math TeX Gyre"/>
      <w:sz w:val="18"/>
      <w:szCs w:val="18"/>
      <w:u w:val="none"/>
    </w:rPr>
  </w:style>
  <w:style w:type="character" w:styleId="1070" w:customStyle="1">
    <w:name w:val="title_emph1"/>
    <w:link w:val="710"/>
    <w:uiPriority w:val="0"/>
    <w:qFormat/>
    <w:rPr>
      <w:rFonts w:ascii="Arial" w:cs="Arial"/>
      <w:b/>
      <w:bCs/>
      <w:sz w:val="18"/>
      <w:szCs w:val="18"/>
    </w:rPr>
  </w:style>
  <w:style w:type="character" w:styleId="1071" w:customStyle="1">
    <w:name w:val="正文 + 宋体 Char"/>
    <w:link w:val="710"/>
    <w:uiPriority w:val="0"/>
    <w:qFormat/>
    <w:rPr>
      <w:rFonts w:eastAsia="宋体"/>
      <w:sz w:val="21"/>
      <w:szCs w:val="24"/>
      <w:lang w:val="en-US" w:eastAsia="zh-CN" w:bidi="ar-SA"/>
    </w:rPr>
  </w:style>
  <w:style w:type="character" w:styleId="1072" w:customStyle="1">
    <w:name w:val="普通文字1 Char"/>
    <w:link w:val="710"/>
    <w:uiPriority w:val="0"/>
    <w:qFormat/>
    <w:rPr>
      <w:rFonts w:ascii="宋体" w:eastAsia="宋体"/>
      <w:sz w:val="21"/>
      <w:szCs w:val="21"/>
      <w:lang w:val="en-US" w:eastAsia="zh-CN" w:bidi="ar-SA"/>
    </w:rPr>
  </w:style>
  <w:style w:type="character" w:styleId="1073" w:customStyle="1">
    <w:name w:val="无间隔 Char"/>
    <w:link w:val="1074"/>
    <w:uiPriority w:val="0"/>
    <w:qFormat/>
    <w:rPr>
      <w:rFonts w:eastAsia="微软雅黑"/>
      <w:sz w:val="24"/>
      <w:szCs w:val="22"/>
      <w:lang w:val="en-US" w:eastAsia="zh-CN" w:bidi="ar-SA"/>
    </w:rPr>
  </w:style>
  <w:style w:type="paragraph" w:styleId="1074" w:customStyle="1">
    <w:name w:val="无间隔"/>
    <w:link w:val="1073"/>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75" w:customStyle="1">
    <w:name w:val="新图表正文 Char Char"/>
    <w:link w:val="1076"/>
    <w:uiPriority w:val="0"/>
    <w:qFormat/>
    <w:rPr>
      <w:rFonts w:ascii="宋体" w:hAnsi="宋体"/>
      <w:sz w:val="18"/>
      <w:szCs w:val="21"/>
      <w:lang w:val="en-US" w:eastAsia="zh-CN" w:bidi="ar-SA"/>
    </w:rPr>
  </w:style>
  <w:style w:type="paragraph" w:styleId="1076" w:customStyle="1">
    <w:name w:val="新图表正文"/>
    <w:link w:val="1075"/>
    <w:uiPriority w:val="0"/>
    <w:qFormat/>
    <w:pPr>
      <w:jc w:val="both"/>
    </w:pPr>
    <w:rPr>
      <w:rFonts w:hint="default" w:ascii="宋体" w:hAnsi="宋体" w:eastAsia="宋体" w:cs="Times New Roman"/>
      <w:sz w:val="18"/>
      <w:szCs w:val="21"/>
      <w:lang w:val="en-US" w:eastAsia="zh-CN" w:bidi="ar-SA"/>
    </w:rPr>
  </w:style>
  <w:style w:type="character" w:styleId="1077" w:customStyle="1">
    <w:name w:val="样式 首行缩进:  2 字符 Char"/>
    <w:link w:val="710"/>
    <w:uiPriority w:val="0"/>
    <w:qFormat/>
    <w:rPr>
      <w:rFonts w:eastAsia="宋体" w:cs="宋体"/>
      <w:sz w:val="24"/>
      <w:lang w:val="en-US" w:eastAsia="zh-CN" w:bidi="ar-SA"/>
    </w:rPr>
  </w:style>
  <w:style w:type="character" w:styleId="1078" w:customStyle="1">
    <w:name w:val="纯文本 Char Char Char"/>
    <w:link w:val="710"/>
    <w:uiPriority w:val="0"/>
    <w:qFormat/>
    <w:rPr>
      <w:rFonts w:ascii="宋体" w:hAnsi="Courier New" w:eastAsia="宋体"/>
      <w:sz w:val="21"/>
      <w:szCs w:val="21"/>
      <w:lang w:val="en-US" w:eastAsia="zh-CN" w:bidi="ar-SA"/>
    </w:rPr>
  </w:style>
  <w:style w:type="character" w:styleId="1079" w:customStyle="1">
    <w:name w:val="特点 Char1"/>
    <w:link w:val="710"/>
    <w:uiPriority w:val="0"/>
    <w:qFormat/>
    <w:rPr>
      <w:rFonts w:eastAsia="宋体"/>
      <w:sz w:val="21"/>
      <w:lang w:val="en-US" w:eastAsia="zh-CN" w:bidi="ar-SA"/>
    </w:rPr>
  </w:style>
  <w:style w:type="paragraph" w:styleId="1080" w:customStyle="1">
    <w:name w:val="Char"/>
    <w:basedOn w:val="710"/>
    <w:uiPriority w:val="0"/>
    <w:qFormat/>
    <w:pPr>
      <w:spacing w:after="156" w:line="360" w:lineRule="auto"/>
    </w:pPr>
    <w:rPr>
      <w:rFonts w:ascii="Tahoma" w:hAnsi="Tahoma"/>
      <w:sz w:val="24"/>
    </w:rPr>
  </w:style>
  <w:style w:type="paragraph" w:styleId="1081"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82" w:customStyle="1">
    <w:name w:val="样式 样式 标题 3H3sect1.2.3BOD 0Heading 3 - oldh3l3CTLevel 3 Head... +..."/>
    <w:basedOn w:val="710"/>
    <w:uiPriority w:val="0"/>
    <w:qFormat/>
    <w:pPr>
      <w:jc w:val="left"/>
      <w:keepLines/>
      <w:keepNext/>
      <w:spacing w:before="156" w:after="156"/>
      <w:outlineLvl w:val="2"/>
    </w:pPr>
    <w:rPr>
      <w:rFonts w:cs="宋体"/>
      <w:b/>
      <w:bCs/>
      <w:sz w:val="24"/>
    </w:rPr>
  </w:style>
  <w:style w:type="paragraph" w:styleId="1083" w:customStyle="1">
    <w:name w:val="Body Text 20"/>
    <w:basedOn w:val="710"/>
    <w:uiPriority w:val="0"/>
    <w:qFormat/>
    <w:pPr>
      <w:ind w:left="720" w:hanging="720"/>
      <w:widowControl/>
    </w:pPr>
    <w:rPr>
      <w:sz w:val="24"/>
      <w:lang w:val="en-GB"/>
    </w:rPr>
  </w:style>
  <w:style w:type="paragraph" w:styleId="1084" w:customStyle="1">
    <w:name w:val="默认段落字体 Para Char Char Char Char Char Char Char Char Char1 Char Char Char Char Char Char Char"/>
    <w:basedOn w:val="778"/>
    <w:uiPriority w:val="0"/>
    <w:qFormat/>
  </w:style>
  <w:style w:type="paragraph" w:styleId="1085" w:customStyle="1">
    <w:name w:val="Normal1"/>
    <w:basedOn w:val="710"/>
    <w:uiPriority w:val="0"/>
    <w:qFormat/>
    <w:rPr>
      <w:rFonts w:ascii="Calibri" w:hAnsi="Calibri" w:eastAsia="Calibri" w:cs="宋体"/>
      <w:lang w:val="zh-CN"/>
    </w:rPr>
  </w:style>
  <w:style w:type="paragraph" w:styleId="1086" w:customStyle="1">
    <w:name w:val="xl46"/>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7" w:customStyle="1">
    <w:name w:val="Char Char Char Char Char Char Char Char Char Char Char Char Char Char Char Char Char Char Char Char Char Char Char"/>
    <w:basedOn w:val="710"/>
    <w:uiPriority w:val="0"/>
    <w:qFormat/>
    <w:rPr>
      <w:rFonts w:ascii="Tahoma" w:hAnsi="Tahoma"/>
      <w:sz w:val="24"/>
    </w:rPr>
  </w:style>
  <w:style w:type="paragraph" w:styleId="1088" w:customStyle="1">
    <w:name w:val="马刚标题1"/>
    <w:basedOn w:val="750"/>
    <w:next w:val="710"/>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9" w:customStyle="1">
    <w:name w:val="7"/>
    <w:basedOn w:val="710"/>
    <w:next w:val="822"/>
    <w:uiPriority w:val="0"/>
    <w:qFormat/>
    <w:pPr>
      <w:jc w:val="left"/>
      <w:spacing w:before="100" w:beforeAutospacing="1" w:after="100" w:afterAutospacing="1"/>
      <w:widowControl/>
    </w:pPr>
    <w:rPr>
      <w:rFonts w:ascii="宋体" w:hAnsi="宋体"/>
      <w:sz w:val="24"/>
    </w:rPr>
  </w:style>
  <w:style w:type="paragraph" w:styleId="1090" w:customStyle="1">
    <w:name w:val="样式 样式 首行缩进:  2 字符 + 行距: 1.5 倍行距"/>
    <w:basedOn w:val="710"/>
    <w:uiPriority w:val="0"/>
    <w:qFormat/>
    <w:pPr>
      <w:ind w:firstLine="470"/>
      <w:spacing w:line="360" w:lineRule="auto"/>
    </w:pPr>
    <w:rPr>
      <w:sz w:val="24"/>
    </w:rPr>
  </w:style>
  <w:style w:type="paragraph" w:styleId="1091" w:customStyle="1">
    <w:name w:val="xl44"/>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92" w:customStyle="1">
    <w:name w:val="中等深浅网格 1 - 强调文字颜色 21"/>
    <w:basedOn w:val="710"/>
    <w:uiPriority w:val="0"/>
    <w:qFormat/>
    <w:pPr>
      <w:ind w:firstLine="420"/>
    </w:pPr>
    <w:rPr>
      <w:rFonts w:ascii="Calibri" w:hAnsi="Calibri"/>
      <w:szCs w:val="22"/>
    </w:rPr>
  </w:style>
  <w:style w:type="paragraph" w:styleId="1093" w:customStyle="1">
    <w:name w:val="greytypebeni"/>
    <w:basedOn w:val="710"/>
    <w:uiPriority w:val="0"/>
    <w:qFormat/>
    <w:pPr>
      <w:jc w:val="left"/>
      <w:widowControl/>
    </w:pPr>
    <w:rPr>
      <w:rFonts w:ascii="宋体" w:hAnsi="宋体" w:cs="宋体"/>
      <w:sz w:val="24"/>
      <w:szCs w:val="24"/>
    </w:rPr>
  </w:style>
  <w:style w:type="paragraph" w:styleId="1094" w:customStyle="1">
    <w:name w:val="font14"/>
    <w:basedOn w:val="710"/>
    <w:uiPriority w:val="0"/>
    <w:qFormat/>
    <w:pPr>
      <w:jc w:val="left"/>
      <w:spacing w:before="100" w:beforeAutospacing="1" w:after="100" w:afterAutospacing="1"/>
      <w:widowControl/>
    </w:pPr>
    <w:rPr>
      <w:sz w:val="36"/>
      <w:szCs w:val="36"/>
    </w:rPr>
  </w:style>
  <w:style w:type="paragraph" w:styleId="1095" w:customStyle="1">
    <w:name w:val="xl3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6" w:customStyle="1">
    <w:name w:val="Char Char Char Char Char Char Char Char Char Char Char Char Char Char"/>
    <w:basedOn w:val="710"/>
    <w:uiPriority w:val="0"/>
    <w:qFormat/>
    <w:rPr>
      <w:rFonts w:ascii="Tahoma" w:hAnsi="Tahoma"/>
      <w:sz w:val="24"/>
    </w:rPr>
  </w:style>
  <w:style w:type="paragraph" w:styleId="1097" w:customStyle="1">
    <w:name w:val="标准小四"/>
    <w:basedOn w:val="710"/>
    <w:uiPriority w:val="0"/>
    <w:qFormat/>
    <w:pPr>
      <w:ind w:firstLine="480"/>
      <w:spacing w:line="360" w:lineRule="auto"/>
    </w:pPr>
    <w:rPr>
      <w:rFonts w:ascii="Arial" w:hAnsi="Arial"/>
      <w:sz w:val="24"/>
      <w:szCs w:val="21"/>
    </w:rPr>
  </w:style>
  <w:style w:type="paragraph" w:styleId="1098" w:customStyle="1">
    <w:name w:val="样式 段后: 0.25 行"/>
    <w:basedOn w:val="710"/>
    <w:uiPriority w:val="0"/>
    <w:qFormat/>
    <w:pPr>
      <w:ind w:firstLine="420"/>
      <w:jc w:val="left"/>
      <w:spacing w:after="78" w:line="300" w:lineRule="auto"/>
      <w:widowControl/>
    </w:pPr>
    <w:rPr>
      <w:rFonts w:ascii="Arial" w:hAnsi="Arial" w:cs="宋体"/>
      <w:sz w:val="22"/>
      <w:lang w:eastAsia="en-US" w:bidi="en-US"/>
    </w:rPr>
  </w:style>
  <w:style w:type="paragraph" w:styleId="1099" w:customStyle="1">
    <w:name w:val="Char Char1"/>
    <w:basedOn w:val="710"/>
    <w:uiPriority w:val="0"/>
    <w:qFormat/>
    <w:rPr>
      <w:rFonts w:ascii="Tahoma" w:hAnsi="Tahoma"/>
      <w:sz w:val="24"/>
    </w:rPr>
  </w:style>
  <w:style w:type="paragraph" w:styleId="1100" w:customStyle="1">
    <w:name w:val="样式3"/>
    <w:basedOn w:val="710"/>
    <w:next w:val="710"/>
    <w:uiPriority w:val="0"/>
    <w:qFormat/>
    <w:pPr>
      <w:spacing w:line="360" w:lineRule="auto"/>
    </w:pPr>
  </w:style>
  <w:style w:type="paragraph" w:styleId="1101" w:customStyle="1">
    <w:name w:val="_Style 42"/>
    <w:basedOn w:val="710"/>
    <w:next w:val="785"/>
    <w:uiPriority w:val="0"/>
    <w:qFormat/>
    <w:rPr>
      <w:rFonts w:ascii="方正楷体_GB2312" w:hAnsi="Arial" w:eastAsia="方正楷体_GB2312"/>
      <w:sz w:val="28"/>
    </w:rPr>
  </w:style>
  <w:style w:type="paragraph" w:styleId="1102" w:customStyle="1">
    <w:name w:val="Char1 Char Char Char"/>
    <w:basedOn w:val="710"/>
    <w:uiPriority w:val="0"/>
    <w:qFormat/>
    <w:rPr>
      <w:rFonts w:ascii="Tahoma" w:hAnsi="Tahoma" w:cs="Tahoma"/>
      <w:sz w:val="24"/>
    </w:rPr>
  </w:style>
  <w:style w:type="paragraph" w:styleId="1103"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04" w:customStyle="1">
    <w:name w:val="Char Char1 Char Char Char Char"/>
    <w:basedOn w:val="778"/>
    <w:uiPriority w:val="0"/>
    <w:qFormat/>
    <w:pPr>
      <w:ind w:left="357"/>
      <w:jc w:val="left"/>
      <w:spacing w:line="436" w:lineRule="exact"/>
      <w:outlineLvl w:val="3"/>
    </w:pPr>
    <w:rPr>
      <w:rFonts w:ascii="Tahoma" w:hAnsi="Tahoma" w:cs="Tahoma"/>
      <w:b/>
      <w:sz w:val="24"/>
      <w:szCs w:val="24"/>
    </w:rPr>
  </w:style>
  <w:style w:type="paragraph" w:styleId="1105" w:customStyle="1">
    <w:name w:val="标题 4宋体"/>
    <w:basedOn w:val="754"/>
    <w:uiPriority w:val="0"/>
    <w:qFormat/>
    <w:pPr>
      <w:jc w:val="left"/>
      <w:keepLines w:val="0"/>
      <w:spacing w:before="0" w:after="0" w:line="360" w:lineRule="auto"/>
    </w:pPr>
    <w:rPr>
      <w:rFonts w:ascii="宋体" w:hAnsi="宋体" w:eastAsia="宋体"/>
      <w:bCs/>
      <w:color w:val="000000"/>
      <w:sz w:val="24"/>
    </w:rPr>
  </w:style>
  <w:style w:type="paragraph" w:styleId="1106" w:customStyle="1">
    <w:name w:val="xl57"/>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7" w:customStyle="1">
    <w:name w:val="Char Char Char Char Char Char Char Char Char Char Char Char Char Char Char Char Char Char Char Char Char"/>
    <w:basedOn w:val="710"/>
    <w:uiPriority w:val="0"/>
    <w:qFormat/>
    <w:rPr>
      <w:rFonts w:ascii="Tahoma" w:hAnsi="Tahoma" w:cs="Tahoma"/>
      <w:sz w:val="24"/>
    </w:rPr>
  </w:style>
  <w:style w:type="paragraph" w:styleId="1108" w:customStyle="1">
    <w:name w:val="xl45"/>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9" w:customStyle="1">
    <w:name w:val="xl25"/>
    <w:basedOn w:val="710"/>
    <w:uiPriority w:val="0"/>
    <w:qFormat/>
    <w:pPr>
      <w:jc w:val="center"/>
      <w:spacing w:before="100" w:beforeAutospacing="1" w:after="100" w:afterAutospacing="1"/>
      <w:widowControl/>
      <w:pBdr>
        <w:right w:val="single" w:color="000000" w:sz="4" w:space="0"/>
      </w:pBdr>
    </w:pPr>
    <w:rPr>
      <w:szCs w:val="21"/>
    </w:rPr>
  </w:style>
  <w:style w:type="paragraph" w:styleId="1110" w:customStyle="1">
    <w:name w:val="丁华正文"/>
    <w:basedOn w:val="811"/>
    <w:uiPriority w:val="0"/>
    <w:qFormat/>
    <w:pPr>
      <w:ind w:left="0" w:firstLine="510"/>
      <w:spacing w:line="360" w:lineRule="auto"/>
    </w:pPr>
    <w:rPr>
      <w:rFonts w:ascii="Times New Roman" w:hAnsi="Times New Roman" w:eastAsia="宋体"/>
      <w:color w:val="000000"/>
      <w:sz w:val="24"/>
      <w:szCs w:val="16"/>
    </w:rPr>
  </w:style>
  <w:style w:type="paragraph" w:styleId="1111" w:customStyle="1">
    <w:name w:val="小四 段落 宋体 Char Char"/>
    <w:basedOn w:val="710"/>
    <w:uiPriority w:val="0"/>
    <w:qFormat/>
    <w:pPr>
      <w:ind w:firstLine="480"/>
      <w:spacing w:line="360" w:lineRule="auto"/>
    </w:pPr>
    <w:rPr>
      <w:rFonts w:ascii="宋体" w:hAnsi="宋体"/>
      <w:sz w:val="24"/>
      <w:szCs w:val="24"/>
    </w:rPr>
  </w:style>
  <w:style w:type="paragraph" w:styleId="1112" w:customStyle="1">
    <w:name w:val="样式 标题 2第一章 标题 2Heading 2 HiddenHeading 2 CCBSheading 2H2h2..."/>
    <w:basedOn w:val="75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13" w:customStyle="1">
    <w:name w:val="段落"/>
    <w:basedOn w:val="710"/>
    <w:uiPriority w:val="0"/>
    <w:qFormat/>
    <w:pPr>
      <w:ind w:firstLine="480"/>
      <w:spacing w:line="460" w:lineRule="exact"/>
    </w:pPr>
    <w:rPr>
      <w:sz w:val="24"/>
    </w:rPr>
  </w:style>
  <w:style w:type="paragraph" w:styleId="1114" w:customStyle="1">
    <w:name w:val="Char Char Char Char Char Char Char Char Char Char Char Char Char Char1"/>
    <w:basedOn w:val="710"/>
    <w:uiPriority w:val="0"/>
    <w:qFormat/>
    <w:rPr>
      <w:rFonts w:ascii="Tahoma" w:hAnsi="Tahoma" w:cs="Tahoma"/>
      <w:sz w:val="24"/>
    </w:rPr>
  </w:style>
  <w:style w:type="paragraph" w:styleId="1115" w:customStyle="1">
    <w:name w:val="默认段落字体 Para Char Char Char Char Char Char Char"/>
    <w:basedOn w:val="710"/>
    <w:uiPriority w:val="0"/>
    <w:qFormat/>
  </w:style>
  <w:style w:type="paragraph" w:styleId="111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17" w:customStyle="1">
    <w:name w:val="正文 + Arial Char"/>
    <w:basedOn w:val="710"/>
    <w:uiPriority w:val="0"/>
    <w:qFormat/>
    <w:pPr>
      <w:ind w:left="315" w:hanging="315"/>
      <w:spacing w:line="300" w:lineRule="auto"/>
      <w:widowControl/>
      <w:tabs>
        <w:tab w:val="left" w:pos="315" w:leader="none"/>
      </w:tabs>
    </w:pPr>
    <w:rPr>
      <w:rFonts w:ascii="Arial" w:hAnsi="Arial" w:cs="Arial"/>
      <w:b/>
      <w:color w:val="000000"/>
    </w:rPr>
  </w:style>
  <w:style w:type="paragraph" w:styleId="1118" w:customStyle="1">
    <w:name w:val="Char1"/>
    <w:basedOn w:val="710"/>
    <w:uiPriority w:val="0"/>
    <w:qFormat/>
    <w:pPr>
      <w:jc w:val="left"/>
      <w:spacing w:after="160" w:line="240" w:lineRule="exact"/>
      <w:widowControl/>
    </w:pPr>
    <w:rPr>
      <w:rFonts w:ascii="Verdana" w:hAnsi="Verdana" w:eastAsia="方正仿宋_GB2312"/>
      <w:sz w:val="24"/>
      <w:lang w:eastAsia="en-US"/>
    </w:rPr>
  </w:style>
  <w:style w:type="paragraph" w:styleId="1119" w:customStyle="1">
    <w:name w:val="Pa6"/>
    <w:basedOn w:val="710"/>
    <w:next w:val="710"/>
    <w:uiPriority w:val="0"/>
    <w:qFormat/>
    <w:pPr>
      <w:jc w:val="left"/>
      <w:spacing w:line="241" w:lineRule="atLeast"/>
    </w:pPr>
    <w:rPr>
      <w:rFonts w:ascii="DejaVu Math TeX Gyre" w:eastAsia="DejaVu Math TeX Gyre"/>
      <w:sz w:val="24"/>
      <w:szCs w:val="24"/>
    </w:rPr>
  </w:style>
  <w:style w:type="paragraph" w:styleId="1120" w:customStyle="1">
    <w:name w:val="马刚标题3"/>
    <w:basedOn w:val="710"/>
    <w:next w:val="71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1" w:customStyle="1">
    <w:name w:val="content_lineheight"/>
    <w:basedOn w:val="710"/>
    <w:uiPriority w:val="0"/>
    <w:qFormat/>
    <w:pPr>
      <w:jc w:val="left"/>
      <w:spacing w:before="100" w:beforeAutospacing="1" w:after="100" w:afterAutospacing="1"/>
      <w:widowControl/>
    </w:pPr>
    <w:rPr>
      <w:rFonts w:ascii="宋体" w:hAnsi="宋体"/>
      <w:sz w:val="24"/>
      <w:szCs w:val="24"/>
    </w:rPr>
  </w:style>
  <w:style w:type="paragraph" w:styleId="1122" w:customStyle="1">
    <w:name w:val="默认段落字体 Para Char"/>
    <w:basedOn w:val="710"/>
    <w:uiPriority w:val="0"/>
    <w:qFormat/>
    <w:rPr>
      <w:sz w:val="24"/>
      <w:szCs w:val="24"/>
    </w:rPr>
  </w:style>
  <w:style w:type="paragraph" w:styleId="1123" w:customStyle="1">
    <w:name w:val="表格"/>
    <w:basedOn w:val="710"/>
    <w:uiPriority w:val="0"/>
    <w:qFormat/>
    <w:pPr>
      <w:ind w:firstLine="21"/>
    </w:pPr>
    <w:rPr>
      <w:rFonts w:ascii="宋体" w:hAnsi="宋体" w:cs="宋体"/>
      <w:sz w:val="20"/>
    </w:rPr>
  </w:style>
  <w:style w:type="paragraph" w:styleId="1124" w:customStyle="1">
    <w:name w:val="Char Char Char Char Char Char Char Char Char Char Char"/>
    <w:basedOn w:val="710"/>
    <w:uiPriority w:val="0"/>
    <w:qFormat/>
    <w:rPr>
      <w:rFonts w:ascii="Tahoma" w:hAnsi="Tahoma" w:cs="Tahoma"/>
      <w:sz w:val="24"/>
    </w:rPr>
  </w:style>
  <w:style w:type="paragraph" w:styleId="1125" w:customStyle="1">
    <w:name w:val="丁华标题1"/>
    <w:basedOn w:val="750"/>
    <w:next w:val="1110"/>
    <w:uiPriority w:val="0"/>
    <w:qFormat/>
    <w:pPr>
      <w:numPr>
        <w:ilvl w:val="0"/>
        <w:numId w:val="1"/>
      </w:numPr>
      <w:ind w:firstLine="0"/>
      <w:jc w:val="left"/>
      <w:keepLines/>
      <w:spacing w:before="600" w:after="120" w:line="578" w:lineRule="auto"/>
    </w:pPr>
    <w:rPr>
      <w:rFonts w:ascii="Times New Roman"/>
      <w:b w:val="0"/>
      <w:sz w:val="32"/>
      <w:szCs w:val="20"/>
    </w:rPr>
  </w:style>
  <w:style w:type="paragraph" w:styleId="1126" w:customStyle="1">
    <w:name w:val="列出段落"/>
    <w:basedOn w:val="710"/>
    <w:uiPriority w:val="34"/>
    <w:qFormat/>
    <w:pPr>
      <w:ind w:firstLine="420"/>
    </w:pPr>
    <w:rPr>
      <w:szCs w:val="24"/>
    </w:rPr>
  </w:style>
  <w:style w:type="paragraph" w:styleId="1127" w:customStyle="1">
    <w:name w:val="正文表标题"/>
    <w:next w:val="112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28" w:customStyle="1">
    <w:name w:val="段"/>
    <w:next w:val="710"/>
    <w:uiPriority w:val="0"/>
    <w:qFormat/>
    <w:pPr>
      <w:ind w:firstLine="200"/>
      <w:jc w:val="both"/>
    </w:pPr>
    <w:rPr>
      <w:rFonts w:hint="default" w:ascii="宋体" w:hAnsi="Times New Roman" w:eastAsia="宋体" w:cs="Times New Roman"/>
      <w:sz w:val="21"/>
      <w:lang w:val="en-US" w:eastAsia="zh-CN" w:bidi="ar-SA"/>
    </w:rPr>
  </w:style>
  <w:style w:type="paragraph" w:styleId="1129" w:customStyle="1">
    <w:name w:val="样式"/>
    <w:basedOn w:val="710"/>
    <w:uiPriority w:val="0"/>
    <w:qFormat/>
    <w:pPr>
      <w:spacing w:before="120" w:after="120" w:line="360" w:lineRule="auto"/>
    </w:pPr>
    <w:rPr>
      <w:rFonts w:ascii="宋体"/>
      <w:sz w:val="24"/>
    </w:rPr>
  </w:style>
  <w:style w:type="paragraph" w:styleId="1130" w:customStyle="1">
    <w:name w:val="Char2"/>
    <w:basedOn w:val="710"/>
    <w:uiPriority w:val="0"/>
    <w:semiHidden/>
    <w:qFormat/>
    <w:rPr>
      <w:rFonts w:ascii="Tahoma" w:hAnsi="Tahoma" w:cs="方正仿宋_GB2312"/>
      <w:sz w:val="24"/>
      <w:szCs w:val="28"/>
    </w:rPr>
  </w:style>
  <w:style w:type="paragraph" w:styleId="1131" w:customStyle="1">
    <w:name w:val="xl43"/>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32" w:customStyle="1">
    <w:name w:val="font13"/>
    <w:basedOn w:val="710"/>
    <w:uiPriority w:val="0"/>
    <w:qFormat/>
    <w:pPr>
      <w:jc w:val="left"/>
      <w:spacing w:before="100" w:beforeAutospacing="1" w:after="100" w:afterAutospacing="1"/>
      <w:widowControl/>
    </w:pPr>
    <w:rPr>
      <w:i/>
      <w:iCs/>
      <w:sz w:val="36"/>
      <w:szCs w:val="36"/>
    </w:rPr>
  </w:style>
  <w:style w:type="paragraph" w:styleId="1133" w:customStyle="1">
    <w:name w:val="a0"/>
    <w:basedOn w:val="710"/>
    <w:uiPriority w:val="0"/>
    <w:qFormat/>
    <w:pPr>
      <w:spacing w:before="100" w:beforeAutospacing="1" w:after="100" w:afterAutospacing="1"/>
      <w:widowControl/>
    </w:pPr>
    <w:rPr>
      <w:rFonts w:ascii="宋体" w:hAnsi="宋体" w:cs="宋体"/>
      <w:sz w:val="24"/>
      <w:szCs w:val="24"/>
    </w:rPr>
  </w:style>
  <w:style w:type="paragraph" w:styleId="1134" w:customStyle="1">
    <w:name w:val="项目符号，一级"/>
    <w:basedOn w:val="1135"/>
    <w:next w:val="1135"/>
    <w:uiPriority w:val="0"/>
    <w:qFormat/>
    <w:pPr>
      <w:ind w:left="376" w:firstLine="0"/>
      <w:spacing w:line="240" w:lineRule="atLeast"/>
      <w:tabs>
        <w:tab w:val="left" w:pos="1320" w:leader="none"/>
      </w:tabs>
    </w:pPr>
    <w:rPr>
      <w:bCs w:val="0"/>
      <w:color w:val="000000"/>
      <w:szCs w:val="24"/>
    </w:rPr>
  </w:style>
  <w:style w:type="paragraph" w:styleId="1135" w:customStyle="1">
    <w:name w:val="正文格式"/>
    <w:basedOn w:val="710"/>
    <w:uiPriority w:val="0"/>
    <w:qFormat/>
    <w:pPr>
      <w:ind w:left="178" w:right="44" w:hanging="178"/>
      <w:jc w:val="left"/>
      <w:spacing w:before="78" w:line="360" w:lineRule="auto"/>
      <w:widowControl/>
    </w:pPr>
    <w:rPr>
      <w:rFonts w:ascii="宋体" w:hAnsi="宋体"/>
      <w:bCs/>
      <w:szCs w:val="21"/>
    </w:rPr>
  </w:style>
  <w:style w:type="paragraph" w:styleId="1136" w:customStyle="1">
    <w:name w:val="Char Char Char Char Char Char Char"/>
    <w:basedOn w:val="710"/>
    <w:uiPriority w:val="0"/>
    <w:qFormat/>
    <w:rPr>
      <w:rFonts w:ascii="Tahoma" w:hAnsi="Tahoma"/>
      <w:sz w:val="24"/>
    </w:rPr>
  </w:style>
  <w:style w:type="paragraph" w:styleId="1137" w:customStyle="1">
    <w:name w:val="xl6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8" w:customStyle="1">
    <w:name w:val="Char Char11"/>
    <w:basedOn w:val="710"/>
    <w:uiPriority w:val="0"/>
    <w:qFormat/>
    <w:rPr>
      <w:rFonts w:ascii="Tahoma" w:hAnsi="Tahoma" w:cs="Tahoma"/>
      <w:sz w:val="24"/>
    </w:rPr>
  </w:style>
  <w:style w:type="paragraph" w:styleId="1139" w:customStyle="1">
    <w:name w:val="Char Char Char Char Char"/>
    <w:basedOn w:val="710"/>
    <w:uiPriority w:val="0"/>
    <w:qFormat/>
    <w:rPr>
      <w:rFonts w:ascii="Tahoma" w:hAnsi="Tahoma"/>
      <w:sz w:val="24"/>
    </w:rPr>
  </w:style>
  <w:style w:type="paragraph" w:styleId="1140" w:customStyle="1">
    <w:name w:val="正文lzq"/>
    <w:basedOn w:val="710"/>
    <w:uiPriority w:val="0"/>
    <w:qFormat/>
    <w:pPr>
      <w:ind w:firstLine="480"/>
      <w:spacing w:line="360" w:lineRule="auto"/>
    </w:pPr>
    <w:rPr>
      <w:sz w:val="24"/>
    </w:rPr>
  </w:style>
  <w:style w:type="paragraph" w:styleId="1141" w:customStyle="1">
    <w:name w:val="xl52"/>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42" w:customStyle="1">
    <w:name w:val="xl56"/>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43" w:customStyle="1">
    <w:name w:val="xl62"/>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4" w:customStyle="1">
    <w:name w:val="列表内容"/>
    <w:basedOn w:val="710"/>
    <w:next w:val="710"/>
    <w:uiPriority w:val="0"/>
    <w:qFormat/>
    <w:pPr>
      <w:ind w:left="840" w:hanging="420"/>
      <w:jc w:val="left"/>
      <w:widowControl/>
      <w:tabs>
        <w:tab w:val="left" w:pos="840" w:leader="none"/>
      </w:tabs>
    </w:pPr>
    <w:rPr>
      <w:sz w:val="18"/>
      <w:szCs w:val="24"/>
    </w:rPr>
  </w:style>
  <w:style w:type="paragraph" w:styleId="1145" w:customStyle="1">
    <w:name w:val="xl4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46" w:customStyle="1">
    <w:name w:val="xl4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7" w:customStyle="1">
    <w:name w:val="xl53"/>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8" w:customStyle="1">
    <w:name w:val="Default"/>
    <w:next w:val="710"/>
    <w:uiPriority w:val="0"/>
    <w:qFormat/>
    <w:pPr>
      <w:widowControl w:val="off"/>
    </w:pPr>
    <w:rPr>
      <w:rFonts w:hint="default" w:ascii="宋体" w:hAnsi="Times New Roman" w:eastAsia="宋体" w:cs="宋体"/>
      <w:color w:val="000000"/>
      <w:sz w:val="24"/>
      <w:szCs w:val="24"/>
      <w:lang w:val="en-US" w:eastAsia="zh-CN" w:bidi="ar-SA"/>
    </w:rPr>
  </w:style>
  <w:style w:type="paragraph" w:styleId="1149" w:customStyle="1">
    <w:name w:val="Char Char Char Char Char Char Char Char Char"/>
    <w:basedOn w:val="710"/>
    <w:uiPriority w:val="0"/>
    <w:qFormat/>
    <w:pPr>
      <w:ind w:left="200" w:hanging="200"/>
      <w:tabs>
        <w:tab w:val="left" w:pos="360" w:leader="none"/>
      </w:tabs>
    </w:pPr>
    <w:rPr>
      <w:sz w:val="24"/>
      <w:szCs w:val="24"/>
    </w:rPr>
  </w:style>
  <w:style w:type="paragraph" w:styleId="1150" w:customStyle="1">
    <w:name w:val="font9"/>
    <w:basedOn w:val="710"/>
    <w:uiPriority w:val="0"/>
    <w:qFormat/>
    <w:pPr>
      <w:jc w:val="left"/>
      <w:spacing w:before="100" w:beforeAutospacing="1" w:after="100" w:afterAutospacing="1"/>
      <w:widowControl/>
    </w:pPr>
    <w:rPr>
      <w:b/>
      <w:bCs/>
      <w:sz w:val="20"/>
    </w:rPr>
  </w:style>
  <w:style w:type="paragraph" w:styleId="1151" w:customStyle="1">
    <w:name w:val="华宇段落1 Char"/>
    <w:basedOn w:val="710"/>
    <w:uiPriority w:val="0"/>
    <w:qFormat/>
    <w:pPr>
      <w:ind w:firstLine="200"/>
      <w:spacing w:line="360" w:lineRule="auto"/>
    </w:pPr>
    <w:rPr>
      <w:bCs/>
      <w:sz w:val="24"/>
      <w:szCs w:val="24"/>
    </w:rPr>
  </w:style>
  <w:style w:type="paragraph" w:styleId="115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53" w:customStyle="1">
    <w:name w:val="xl3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54" w:customStyle="1">
    <w:name w:val="表头_5"/>
    <w:basedOn w:val="710"/>
    <w:uiPriority w:val="0"/>
    <w:qFormat/>
    <w:pPr>
      <w:spacing w:line="360" w:lineRule="auto"/>
    </w:pPr>
    <w:rPr>
      <w:b/>
      <w:bCs/>
      <w:sz w:val="28"/>
      <w:szCs w:val="21"/>
    </w:rPr>
  </w:style>
  <w:style w:type="paragraph" w:styleId="1155" w:customStyle="1">
    <w:name w:val="xl3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6" w:customStyle="1">
    <w:name w:val="样式 样式 首行缩进:  0.74 厘米 行距: 1.5 倍行距 + 段后: 0.5 行"/>
    <w:basedOn w:val="710"/>
    <w:uiPriority w:val="0"/>
    <w:qFormat/>
    <w:pPr>
      <w:ind w:firstLine="420"/>
      <w:spacing w:line="360" w:lineRule="auto"/>
    </w:pPr>
    <w:rPr>
      <w:rFonts w:ascii="方正楷体_GB2312" w:eastAsia="方正楷体_GB2312"/>
      <w:bCs/>
      <w:sz w:val="24"/>
    </w:rPr>
  </w:style>
  <w:style w:type="paragraph" w:styleId="1157" w:customStyle="1">
    <w:name w:val="小四 段落 宋体 Char"/>
    <w:basedOn w:val="775"/>
    <w:uiPriority w:val="0"/>
    <w:qFormat/>
    <w:pPr>
      <w:ind w:left="0" w:right="-33" w:firstLine="600"/>
      <w:jc w:val="left"/>
      <w:tabs>
        <w:tab w:val="clear" w:pos="2952" w:leader="none"/>
      </w:tabs>
    </w:pPr>
    <w:rPr>
      <w:rFonts w:ascii="方正仿宋_GB2312" w:eastAsia="方正仿宋_GB2312"/>
      <w:sz w:val="30"/>
      <w:szCs w:val="30"/>
    </w:rPr>
  </w:style>
  <w:style w:type="paragraph" w:styleId="1158" w:customStyle="1">
    <w:name w:val="Char Char Char"/>
    <w:basedOn w:val="710"/>
    <w:uiPriority w:val="0"/>
    <w:qFormat/>
    <w:rPr>
      <w:rFonts w:ascii="Tahoma" w:hAnsi="Tahoma"/>
      <w:sz w:val="24"/>
    </w:rPr>
  </w:style>
  <w:style w:type="paragraph" w:styleId="1159"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60" w:customStyle="1">
    <w:name w:val="纯文本1"/>
    <w:basedOn w:val="710"/>
    <w:uiPriority w:val="0"/>
    <w:qFormat/>
    <w:rPr>
      <w:rFonts w:ascii="宋体" w:hAnsi="宋体" w:eastAsia="方正楷体_GB2312" w:cs="宋体"/>
      <w:sz w:val="28"/>
    </w:rPr>
  </w:style>
  <w:style w:type="paragraph" w:styleId="1161" w:customStyle="1">
    <w:name w:val="Char Char Char Char"/>
    <w:basedOn w:val="778"/>
    <w:uiPriority w:val="0"/>
    <w:qFormat/>
    <w:pPr>
      <w:spacing w:line="360" w:lineRule="auto"/>
    </w:pPr>
    <w:rPr>
      <w:rFonts w:ascii="Tahoma" w:hAnsi="Tahoma"/>
      <w:sz w:val="24"/>
      <w:szCs w:val="24"/>
    </w:rPr>
  </w:style>
  <w:style w:type="paragraph" w:styleId="1162" w:customStyle="1">
    <w:name w:val="符号与编号 Char Char"/>
    <w:basedOn w:val="710"/>
    <w:uiPriority w:val="0"/>
    <w:qFormat/>
    <w:pPr>
      <w:ind w:left="839" w:hanging="419"/>
      <w:spacing w:after="156" w:line="400" w:lineRule="atLeast"/>
      <w:tabs>
        <w:tab w:val="left" w:pos="840" w:leader="none"/>
      </w:tabs>
    </w:pPr>
    <w:rPr>
      <w:sz w:val="24"/>
      <w:szCs w:val="24"/>
    </w:rPr>
  </w:style>
  <w:style w:type="paragraph" w:styleId="1163" w:customStyle="1">
    <w:name w:val="Pa5"/>
    <w:basedOn w:val="710"/>
    <w:next w:val="710"/>
    <w:uiPriority w:val="0"/>
    <w:qFormat/>
    <w:pPr>
      <w:jc w:val="left"/>
      <w:spacing w:line="241" w:lineRule="atLeast"/>
    </w:pPr>
    <w:rPr>
      <w:rFonts w:ascii="DejaVu Math TeX Gyre" w:eastAsia="DejaVu Math TeX Gyre"/>
      <w:sz w:val="24"/>
      <w:szCs w:val="24"/>
    </w:rPr>
  </w:style>
  <w:style w:type="paragraph" w:styleId="1164" w:customStyle="1">
    <w:name w:val="Table Paragraph"/>
    <w:basedOn w:val="710"/>
    <w:uiPriority w:val="1"/>
    <w:qFormat/>
    <w:rPr>
      <w:rFonts w:ascii="宋体" w:hAnsi="宋体" w:cs="宋体"/>
      <w:lang w:val="zh-CN" w:bidi="zh-CN"/>
    </w:rPr>
  </w:style>
  <w:style w:type="paragraph" w:styleId="1165" w:customStyle="1">
    <w:name w:val="列出段落1"/>
    <w:basedOn w:val="710"/>
    <w:uiPriority w:val="0"/>
    <w:qFormat/>
    <w:pPr>
      <w:contextualSpacing/>
      <w:ind w:left="720"/>
      <w:jc w:val="left"/>
      <w:widowControl/>
    </w:pPr>
    <w:rPr>
      <w:rFonts w:ascii="Arial" w:hAnsi="Arial" w:eastAsia="黑体"/>
      <w:sz w:val="24"/>
      <w:szCs w:val="24"/>
      <w:lang w:eastAsia="en-US"/>
    </w:rPr>
  </w:style>
  <w:style w:type="paragraph" w:styleId="1166" w:customStyle="1">
    <w:name w:val="xl3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7" w:customStyle="1">
    <w:name w:val="Bullets L1"/>
    <w:basedOn w:val="710"/>
    <w:uiPriority w:val="0"/>
    <w:qFormat/>
    <w:pPr>
      <w:numPr>
        <w:ilvl w:val="0"/>
        <w:numId w:val="2"/>
      </w:numPr>
      <w:jc w:val="left"/>
      <w:spacing w:before="60" w:after="60"/>
      <w:widowControl/>
    </w:pPr>
    <w:rPr>
      <w:rFonts w:ascii="Arial" w:hAnsi="Arial"/>
      <w:sz w:val="20"/>
    </w:rPr>
  </w:style>
  <w:style w:type="paragraph" w:styleId="1168" w:customStyle="1">
    <w:name w:val="xl3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9" w:customStyle="1">
    <w:name w:val="表格1"/>
    <w:basedOn w:val="710"/>
    <w:uiPriority w:val="0"/>
    <w:qFormat/>
    <w:rPr>
      <w:rFonts w:ascii="宋体"/>
      <w:szCs w:val="21"/>
    </w:rPr>
  </w:style>
  <w:style w:type="paragraph" w:styleId="1170" w:customStyle="1">
    <w:name w:val="标题3"/>
    <w:basedOn w:val="752"/>
    <w:uiPriority w:val="0"/>
    <w:qFormat/>
    <w:pPr>
      <w:keepLines w:val="0"/>
      <w:keepNext w:val="0"/>
      <w:spacing w:line="360" w:lineRule="auto"/>
    </w:pPr>
    <w:rPr>
      <w:rFonts w:eastAsia="方正仿宋_GB2312"/>
      <w:b w:val="0"/>
      <w:bCs/>
      <w:sz w:val="30"/>
      <w:szCs w:val="32"/>
    </w:rPr>
  </w:style>
  <w:style w:type="paragraph" w:styleId="1171" w:customStyle="1">
    <w:name w:val="xl49"/>
    <w:basedOn w:val="710"/>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72" w:customStyle="1">
    <w:name w:val="正文 首行缩进:  2 字符 Char"/>
    <w:basedOn w:val="710"/>
    <w:uiPriority w:val="0"/>
    <w:qFormat/>
    <w:pPr>
      <w:ind w:firstLine="480"/>
      <w:spacing w:line="360" w:lineRule="auto"/>
    </w:pPr>
    <w:rPr>
      <w:rFonts w:cs="宋体"/>
      <w:sz w:val="24"/>
    </w:rPr>
  </w:style>
  <w:style w:type="paragraph" w:styleId="1173" w:customStyle="1">
    <w:name w:val="Char Char Char Char Char Char Char1 Char"/>
    <w:basedOn w:val="710"/>
    <w:uiPriority w:val="0"/>
    <w:qFormat/>
    <w:rPr>
      <w:rFonts w:ascii="Tahoma" w:hAnsi="Tahoma" w:cs="Tahoma"/>
      <w:sz w:val="24"/>
    </w:rPr>
  </w:style>
  <w:style w:type="paragraph" w:styleId="1174" w:customStyle="1">
    <w:name w:val="标题3，章节第三层"/>
    <w:basedOn w:val="710"/>
    <w:next w:val="1135"/>
    <w:uiPriority w:val="0"/>
    <w:qFormat/>
    <w:pPr>
      <w:spacing w:before="78" w:line="300" w:lineRule="auto"/>
      <w:outlineLvl w:val="2"/>
    </w:pPr>
    <w:rPr>
      <w:rFonts w:ascii="Arial" w:hAnsi="Arial" w:eastAsia="华文细黑"/>
      <w:sz w:val="30"/>
      <w:szCs w:val="24"/>
    </w:rPr>
  </w:style>
  <w:style w:type="paragraph" w:styleId="1175" w:customStyle="1">
    <w:name w:val="font6"/>
    <w:basedOn w:val="710"/>
    <w:uiPriority w:val="0"/>
    <w:qFormat/>
    <w:pPr>
      <w:jc w:val="left"/>
      <w:spacing w:before="100" w:beforeAutospacing="1" w:after="100" w:afterAutospacing="1"/>
      <w:widowControl/>
    </w:pPr>
    <w:rPr>
      <w:rFonts w:ascii="宋体" w:hAnsi="宋体" w:cs="宋体"/>
      <w:b/>
      <w:bCs/>
      <w:sz w:val="20"/>
    </w:rPr>
  </w:style>
  <w:style w:type="paragraph" w:styleId="1176"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77" w:customStyle="1">
    <w:name w:val="Char Char Char Char Char Char Char Char Char Char Char Char Char"/>
    <w:basedOn w:val="710"/>
    <w:uiPriority w:val="0"/>
    <w:qFormat/>
    <w:pPr>
      <w:jc w:val="left"/>
      <w:spacing w:after="160" w:line="240" w:lineRule="exact"/>
      <w:widowControl/>
    </w:pPr>
    <w:rPr>
      <w:szCs w:val="24"/>
    </w:rPr>
  </w:style>
  <w:style w:type="paragraph" w:styleId="1178" w:customStyle="1">
    <w:name w:val="Char Char Char Char Char Char Char Char Char1"/>
    <w:basedOn w:val="710"/>
    <w:uiPriority w:val="0"/>
    <w:qFormat/>
    <w:pPr>
      <w:ind w:left="360" w:hanging="360"/>
      <w:tabs>
        <w:tab w:val="left" w:pos="360" w:leader="none"/>
      </w:tabs>
    </w:pPr>
    <w:rPr>
      <w:sz w:val="24"/>
      <w:szCs w:val="24"/>
    </w:rPr>
  </w:style>
  <w:style w:type="paragraph" w:styleId="1179" w:customStyle="1">
    <w:name w:val="列出段落2"/>
    <w:basedOn w:val="710"/>
    <w:uiPriority w:val="0"/>
    <w:qFormat/>
    <w:pPr>
      <w:ind w:left="720"/>
      <w:jc w:val="left"/>
      <w:widowControl/>
    </w:pPr>
    <w:rPr>
      <w:rFonts w:ascii="Arial" w:hAnsi="Arial" w:eastAsia="黑体" w:cs="Arial"/>
      <w:sz w:val="24"/>
      <w:szCs w:val="24"/>
      <w:lang w:eastAsia="en-US"/>
    </w:rPr>
  </w:style>
  <w:style w:type="paragraph" w:styleId="1180"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181" w:customStyle="1">
    <w:name w:val="xl5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82" w:customStyle="1">
    <w:name w:val="Char Char"/>
    <w:basedOn w:val="710"/>
    <w:uiPriority w:val="0"/>
    <w:qFormat/>
    <w:rPr>
      <w:rFonts w:ascii="Tahoma" w:hAnsi="Tahoma" w:cs="Tahoma"/>
      <w:sz w:val="24"/>
    </w:rPr>
  </w:style>
  <w:style w:type="paragraph" w:styleId="1183" w:customStyle="1">
    <w:name w:val="样式2"/>
    <w:basedOn w:val="710"/>
    <w:uiPriority w:val="0"/>
    <w:qFormat/>
    <w:pPr>
      <w:ind w:left="200"/>
      <w:spacing w:line="360" w:lineRule="auto"/>
    </w:pPr>
    <w:rPr>
      <w:rFonts w:ascii="宋体" w:hAnsi="宋体"/>
      <w:b/>
      <w:sz w:val="24"/>
      <w:szCs w:val="24"/>
    </w:rPr>
  </w:style>
  <w:style w:type="paragraph" w:styleId="1184" w:customStyle="1">
    <w:name w:val="正文 居中"/>
    <w:basedOn w:val="710"/>
    <w:uiPriority w:val="0"/>
    <w:qFormat/>
    <w:pPr>
      <w:jc w:val="center"/>
      <w:spacing w:line="360" w:lineRule="auto"/>
    </w:pPr>
    <w:rPr>
      <w:sz w:val="24"/>
    </w:rPr>
  </w:style>
  <w:style w:type="paragraph" w:styleId="1185" w:customStyle="1">
    <w:name w:val="xl3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6" w:customStyle="1">
    <w:name w:val="Char Char Char Char Char Char Char Char"/>
    <w:basedOn w:val="710"/>
    <w:uiPriority w:val="0"/>
    <w:qFormat/>
    <w:rPr>
      <w:rFonts w:ascii="Tahoma" w:hAnsi="Tahoma" w:cs="Tahoma"/>
      <w:sz w:val="24"/>
    </w:rPr>
  </w:style>
  <w:style w:type="paragraph" w:styleId="1187" w:customStyle="1">
    <w:name w:val="丁华标题2"/>
    <w:basedOn w:val="751"/>
    <w:next w:val="1110"/>
    <w:uiPriority w:val="0"/>
    <w:qFormat/>
    <w:pPr>
      <w:numPr>
        <w:ilvl w:val="1"/>
        <w:numId w:val="1"/>
      </w:numPr>
      <w:spacing w:line="415" w:lineRule="auto"/>
    </w:pPr>
    <w:rPr>
      <w:rFonts w:ascii="Arial" w:hAnsi="Arial" w:eastAsia="黑体"/>
      <w:b w:val="0"/>
      <w:sz w:val="28"/>
      <w:szCs w:val="20"/>
    </w:rPr>
  </w:style>
  <w:style w:type="paragraph" w:styleId="1188" w:customStyle="1">
    <w:name w:val="flName"/>
    <w:basedOn w:val="1189"/>
    <w:uiPriority w:val="0"/>
    <w:qFormat/>
    <w:pPr>
      <w:spacing w:before="0" w:line="113" w:lineRule="atLeast"/>
    </w:pPr>
  </w:style>
  <w:style w:type="paragraph" w:styleId="1189" w:customStyle="1">
    <w:name w:val="flNote"/>
    <w:basedOn w:val="710"/>
    <w:uiPriority w:val="0"/>
    <w:qFormat/>
    <w:pPr>
      <w:jc w:val="center"/>
      <w:spacing w:before="567" w:line="360" w:lineRule="atLeast"/>
    </w:pPr>
    <w:rPr>
      <w:rFonts w:eastAsia="黑体"/>
      <w:b/>
      <w:sz w:val="24"/>
    </w:rPr>
  </w:style>
  <w:style w:type="paragraph" w:styleId="1190" w:customStyle="1">
    <w:name w:val="font7"/>
    <w:basedOn w:val="710"/>
    <w:uiPriority w:val="0"/>
    <w:qFormat/>
    <w:pPr>
      <w:jc w:val="left"/>
      <w:spacing w:before="100" w:beforeAutospacing="1" w:after="100" w:afterAutospacing="1"/>
      <w:widowControl/>
    </w:pPr>
    <w:rPr>
      <w:rFonts w:hint="eastAsia" w:ascii="宋体" w:hAnsi="宋体"/>
      <w:b/>
      <w:bCs/>
      <w:sz w:val="24"/>
      <w:szCs w:val="24"/>
    </w:rPr>
  </w:style>
  <w:style w:type="paragraph" w:styleId="1191" w:customStyle="1">
    <w:name w:val="xl4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92" w:customStyle="1">
    <w:name w:val="Char Char Char Char Char Char Char Char Char Char Char1"/>
    <w:basedOn w:val="710"/>
    <w:uiPriority w:val="0"/>
    <w:qFormat/>
    <w:rPr>
      <w:rFonts w:ascii="Tahoma" w:hAnsi="Tahoma"/>
      <w:sz w:val="24"/>
    </w:rPr>
  </w:style>
  <w:style w:type="paragraph" w:styleId="1193" w:customStyle="1">
    <w:name w:val="xl61"/>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94" w:customStyle="1">
    <w:name w:val="Test2"/>
    <w:basedOn w:val="751"/>
    <w:uiPriority w:val="0"/>
    <w:qFormat/>
    <w:pPr>
      <w:jc w:val="center"/>
      <w:spacing w:before="156" w:after="156" w:line="480" w:lineRule="exact"/>
      <w:widowControl/>
    </w:pPr>
    <w:rPr>
      <w:rFonts w:ascii="黑体" w:hAnsi="Arial" w:eastAsia="黑体"/>
      <w:bCs/>
      <w:sz w:val="24"/>
    </w:rPr>
  </w:style>
  <w:style w:type="paragraph" w:styleId="1195" w:customStyle="1">
    <w:name w:val="插图"/>
    <w:basedOn w:val="710"/>
    <w:uiPriority w:val="0"/>
    <w:qFormat/>
    <w:pPr>
      <w:jc w:val="center"/>
      <w:tabs>
        <w:tab w:val="left" w:pos="1620" w:leader="none"/>
      </w:tabs>
    </w:pPr>
    <w:rPr>
      <w:bCs/>
      <w:color w:val="000000"/>
      <w:szCs w:val="22"/>
    </w:rPr>
  </w:style>
  <w:style w:type="paragraph" w:styleId="1196" w:customStyle="1">
    <w:name w:val="tableau"/>
    <w:basedOn w:val="710"/>
    <w:uiPriority w:val="0"/>
    <w:qFormat/>
    <w:pPr>
      <w:jc w:val="center"/>
      <w:spacing w:before="20" w:after="20"/>
      <w:widowControl/>
    </w:pPr>
    <w:rPr>
      <w:rFonts w:ascii="Arial" w:hAnsi="Arial"/>
      <w:sz w:val="16"/>
      <w:lang w:val="en-GB" w:eastAsia="en-US"/>
    </w:rPr>
  </w:style>
  <w:style w:type="paragraph" w:styleId="1197" w:customStyle="1">
    <w:name w:val="正文 首行缩进:  2 字符 Char Char"/>
    <w:basedOn w:val="710"/>
    <w:uiPriority w:val="0"/>
    <w:qFormat/>
    <w:pPr>
      <w:ind w:firstLine="480"/>
      <w:spacing w:line="360" w:lineRule="auto"/>
    </w:pPr>
    <w:rPr>
      <w:rFonts w:ascii="方正楷体_GB2312" w:eastAsia="方正楷体_GB2312"/>
      <w:bCs/>
      <w:sz w:val="24"/>
      <w:szCs w:val="24"/>
    </w:rPr>
  </w:style>
  <w:style w:type="paragraph" w:styleId="1198" w:customStyle="1">
    <w:name w:val="标题2，章节第二层"/>
    <w:basedOn w:val="710"/>
    <w:next w:val="1135"/>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99" w:customStyle="1">
    <w:name w:val="Char Char Char Char Char Char Char Char Char Char Char Char Char1"/>
    <w:basedOn w:val="778"/>
    <w:uiPriority w:val="0"/>
    <w:qFormat/>
    <w:rPr>
      <w:rFonts w:ascii="Tahoma" w:hAnsi="Tahoma"/>
      <w:sz w:val="24"/>
      <w:szCs w:val="24"/>
    </w:rPr>
  </w:style>
  <w:style w:type="paragraph" w:styleId="1200" w:customStyle="1">
    <w:name w:val="二级条标题"/>
    <w:basedOn w:val="710"/>
    <w:next w:val="1128"/>
    <w:uiPriority w:val="0"/>
    <w:qFormat/>
    <w:pPr>
      <w:ind w:hanging="420"/>
      <w:widowControl/>
      <w:tabs>
        <w:tab w:val="left" w:pos="2240" w:leader="none"/>
      </w:tabs>
      <w:outlineLvl w:val="3"/>
    </w:pPr>
    <w:rPr>
      <w:rFonts w:eastAsia="黑体"/>
    </w:rPr>
  </w:style>
  <w:style w:type="paragraph" w:styleId="1201" w:customStyle="1">
    <w:name w:val="样式 加点正文 + 段前: 0.5 行 段后: 0.5 行1"/>
    <w:basedOn w:val="710"/>
    <w:uiPriority w:val="0"/>
    <w:qFormat/>
    <w:pPr>
      <w:numPr>
        <w:ilvl w:val="0"/>
        <w:numId w:val="4"/>
      </w:numPr>
      <w:ind w:left="1268"/>
      <w:spacing w:before="156" w:after="156" w:line="300" w:lineRule="auto"/>
      <w:tabs>
        <w:tab w:val="left" w:pos="1268" w:leader="none"/>
      </w:tabs>
    </w:pPr>
    <w:rPr>
      <w:sz w:val="24"/>
    </w:rPr>
  </w:style>
  <w:style w:type="paragraph" w:styleId="1202" w:customStyle="1">
    <w:name w:val="Char Char Char Char Char Char"/>
    <w:basedOn w:val="710"/>
    <w:uiPriority w:val="0"/>
    <w:qFormat/>
    <w:rPr>
      <w:rFonts w:ascii="Tahoma" w:hAnsi="Tahoma" w:cs="Tahoma"/>
      <w:sz w:val="24"/>
    </w:rPr>
  </w:style>
  <w:style w:type="paragraph" w:styleId="1203" w:customStyle="1">
    <w:name w:val="Char Char1 Char Char Char Char Char Char Char"/>
    <w:basedOn w:val="710"/>
    <w:uiPriority w:val="0"/>
    <w:qFormat/>
    <w:rPr>
      <w:rFonts w:ascii="Tahoma" w:hAnsi="Tahoma" w:cs="Tahoma"/>
      <w:sz w:val="24"/>
    </w:rPr>
  </w:style>
  <w:style w:type="paragraph" w:styleId="1204" w:customStyle="1">
    <w:name w:val="xl30"/>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5" w:customStyle="1">
    <w:name w:val="部分1"/>
    <w:basedOn w:val="710"/>
    <w:uiPriority w:val="0"/>
    <w:qFormat/>
    <w:pPr>
      <w:jc w:val="center"/>
      <w:keepNext/>
      <w:pageBreakBefore/>
      <w:spacing w:line="360" w:lineRule="auto"/>
      <w:tabs>
        <w:tab w:val="left" w:pos="360" w:leader="none"/>
      </w:tabs>
      <w:outlineLvl w:val="0"/>
    </w:pPr>
    <w:rPr>
      <w:rFonts w:eastAsia="黑体"/>
      <w:b/>
      <w:sz w:val="36"/>
    </w:rPr>
  </w:style>
  <w:style w:type="paragraph" w:styleId="1206" w:customStyle="1">
    <w:name w:val="font12"/>
    <w:basedOn w:val="710"/>
    <w:uiPriority w:val="0"/>
    <w:qFormat/>
    <w:pPr>
      <w:jc w:val="left"/>
      <w:spacing w:before="100" w:beforeAutospacing="1" w:after="100" w:afterAutospacing="1"/>
      <w:widowControl/>
    </w:pPr>
    <w:rPr>
      <w:rFonts w:ascii="宋体" w:hAnsi="宋体" w:cs="宋体"/>
      <w:sz w:val="36"/>
      <w:szCs w:val="36"/>
    </w:rPr>
  </w:style>
  <w:style w:type="paragraph" w:styleId="1207" w:customStyle="1">
    <w:name w:val="List Paragraph0"/>
    <w:basedOn w:val="710"/>
    <w:uiPriority w:val="0"/>
    <w:qFormat/>
    <w:pPr>
      <w:contextualSpacing/>
      <w:ind w:left="720"/>
      <w:jc w:val="left"/>
      <w:widowControl/>
    </w:pPr>
    <w:rPr>
      <w:rFonts w:ascii="Arial" w:hAnsi="Arial" w:eastAsia="黑体"/>
      <w:sz w:val="24"/>
      <w:szCs w:val="24"/>
      <w:lang w:eastAsia="en-US"/>
    </w:rPr>
  </w:style>
  <w:style w:type="paragraph" w:styleId="1208" w:customStyle="1">
    <w:name w:val="xl4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9" w:customStyle="1">
    <w:name w:val="Default Text"/>
    <w:basedOn w:val="710"/>
    <w:uiPriority w:val="0"/>
    <w:qFormat/>
    <w:pPr>
      <w:jc w:val="left"/>
      <w:widowControl/>
    </w:pPr>
    <w:rPr>
      <w:sz w:val="24"/>
      <w:lang w:eastAsia="en-US"/>
    </w:rPr>
  </w:style>
  <w:style w:type="paragraph" w:styleId="1210" w:customStyle="1">
    <w:name w:val="Char1 Char Char Char1"/>
    <w:basedOn w:val="710"/>
    <w:uiPriority w:val="0"/>
    <w:qFormat/>
    <w:rPr>
      <w:rFonts w:ascii="Tahoma" w:hAnsi="Tahoma"/>
      <w:sz w:val="24"/>
    </w:rPr>
  </w:style>
  <w:style w:type="paragraph" w:styleId="1211" w:customStyle="1">
    <w:name w:val="retrait3"/>
    <w:basedOn w:val="710"/>
    <w:uiPriority w:val="0"/>
    <w:qFormat/>
    <w:pPr>
      <w:ind w:left="851"/>
      <w:jc w:val="left"/>
      <w:spacing w:before="20" w:after="20"/>
      <w:widowControl/>
    </w:pPr>
    <w:rPr>
      <w:rFonts w:ascii="Arial" w:hAnsi="Arial"/>
      <w:sz w:val="24"/>
      <w:lang w:val="en-GB"/>
    </w:rPr>
  </w:style>
  <w:style w:type="paragraph" w:styleId="1212" w:customStyle="1">
    <w:name w:val="一级标题"/>
    <w:basedOn w:val="710"/>
    <w:uiPriority w:val="0"/>
    <w:qFormat/>
    <w:pPr>
      <w:ind w:left="900" w:hanging="420"/>
      <w:spacing w:line="360" w:lineRule="auto"/>
      <w:tabs>
        <w:tab w:val="left" w:pos="903" w:leader="none"/>
      </w:tabs>
    </w:pPr>
    <w:rPr>
      <w:rFonts w:ascii="Arial" w:hAnsi="Arial" w:cs="Arial"/>
      <w:sz w:val="24"/>
    </w:rPr>
  </w:style>
  <w:style w:type="paragraph" w:styleId="1213" w:customStyle="1">
    <w:name w:val="正文缩进2字符"/>
    <w:basedOn w:val="710"/>
    <w:uiPriority w:val="0"/>
    <w:qFormat/>
    <w:pPr>
      <w:ind w:firstLine="200"/>
      <w:spacing w:line="300" w:lineRule="auto"/>
    </w:pPr>
    <w:rPr>
      <w:rFonts w:ascii="方正仿宋_GB2312" w:eastAsia="方正仿宋_GB2312"/>
      <w:sz w:val="32"/>
      <w:szCs w:val="32"/>
    </w:rPr>
  </w:style>
  <w:style w:type="paragraph" w:styleId="1214" w:customStyle="1">
    <w:name w:val="xl60"/>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5" w:customStyle="1">
    <w:name w:val="xl2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6" w:customStyle="1">
    <w:name w:val="表蕊"/>
    <w:basedOn w:val="710"/>
    <w:uiPriority w:val="0"/>
    <w:qFormat/>
    <w:pPr>
      <w:jc w:val="left"/>
      <w:spacing w:line="320" w:lineRule="atLeast"/>
    </w:pPr>
    <w:rPr>
      <w:rFonts w:eastAsia="方正楷体_GB2312"/>
      <w:spacing w:val="-10"/>
    </w:rPr>
  </w:style>
  <w:style w:type="paragraph" w:styleId="1217" w:customStyle="1">
    <w:name w:val="样式 段后: 0.5 行 左  0.75 字符"/>
    <w:basedOn w:val="710"/>
    <w:uiPriority w:val="0"/>
    <w:qFormat/>
    <w:pPr>
      <w:ind w:firstLine="420"/>
      <w:spacing w:line="360" w:lineRule="auto"/>
      <w:widowControl/>
    </w:pPr>
    <w:rPr>
      <w:rFonts w:hAnsi="Arial" w:cs="Arial"/>
      <w:szCs w:val="21"/>
    </w:rPr>
  </w:style>
  <w:style w:type="paragraph" w:styleId="1218" w:customStyle="1">
    <w:name w:val="符号与编号 Char"/>
    <w:basedOn w:val="710"/>
    <w:uiPriority w:val="0"/>
    <w:qFormat/>
    <w:pPr>
      <w:ind w:left="720"/>
      <w:spacing w:after="156" w:line="400" w:lineRule="atLeast"/>
      <w:tabs>
        <w:tab w:val="left" w:pos="720" w:leader="none"/>
      </w:tabs>
    </w:pPr>
    <w:rPr>
      <w:sz w:val="24"/>
      <w:szCs w:val="24"/>
    </w:rPr>
  </w:style>
  <w:style w:type="paragraph" w:styleId="1219" w:customStyle="1">
    <w:name w:val="xl3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0" w:customStyle="1">
    <w:name w:val="文档正文"/>
    <w:basedOn w:val="710"/>
    <w:uiPriority w:val="0"/>
    <w:qFormat/>
    <w:pPr>
      <w:spacing w:line="360" w:lineRule="auto"/>
    </w:pPr>
    <w:rPr>
      <w:rFonts w:ascii="宋体" w:hAnsi="宋体"/>
      <w:b/>
      <w:bCs/>
      <w:szCs w:val="24"/>
    </w:rPr>
  </w:style>
  <w:style w:type="paragraph" w:styleId="1221" w:customStyle="1">
    <w:name w:val="丁华标题3"/>
    <w:basedOn w:val="1187"/>
    <w:next w:val="1110"/>
    <w:uiPriority w:val="0"/>
    <w:qFormat/>
    <w:pPr>
      <w:numPr>
        <w:ilvl w:val="2"/>
      </w:numPr>
      <w:ind w:left="1980" w:hanging="420"/>
      <w:spacing w:after="0"/>
      <w:tabs>
        <w:tab w:val="left" w:pos="1470" w:leader="none"/>
        <w:tab w:val="left" w:pos="1980" w:leader="none"/>
      </w:tabs>
      <w:outlineLvl w:val="2"/>
    </w:pPr>
    <w:rPr>
      <w:sz w:val="24"/>
    </w:rPr>
  </w:style>
  <w:style w:type="paragraph" w:styleId="1222" w:customStyle="1">
    <w:name w:val="我的正文"/>
    <w:basedOn w:val="710"/>
    <w:uiPriority w:val="0"/>
    <w:qFormat/>
    <w:pPr>
      <w:ind w:firstLine="420"/>
      <w:jc w:val="left"/>
      <w:spacing w:line="360" w:lineRule="auto"/>
      <w:widowControl/>
    </w:pPr>
    <w:rPr>
      <w:rFonts w:ascii="宋体" w:hAnsi="宋体" w:cs="宋体"/>
      <w:szCs w:val="21"/>
    </w:rPr>
  </w:style>
  <w:style w:type="paragraph" w:styleId="1223" w:customStyle="1">
    <w:name w:val="公文标题 2"/>
    <w:basedOn w:val="710"/>
    <w:next w:val="1224"/>
    <w:uiPriority w:val="0"/>
    <w:qFormat/>
    <w:pPr>
      <w:outlineLvl w:val="1"/>
    </w:pPr>
    <w:rPr>
      <w:rFonts w:ascii="方正仿宋_GB2312" w:hAnsi="宋体" w:eastAsia="方正仿宋_GB2312"/>
      <w:sz w:val="28"/>
      <w:szCs w:val="24"/>
    </w:rPr>
  </w:style>
  <w:style w:type="paragraph" w:styleId="1224" w:customStyle="1">
    <w:name w:val="公文正文"/>
    <w:basedOn w:val="723"/>
    <w:uiPriority w:val="0"/>
    <w:qFormat/>
    <w:pPr>
      <w:ind w:firstLine="200"/>
    </w:pPr>
    <w:rPr>
      <w:rFonts w:ascii="方正仿宋_GB2312" w:hAnsi="宋体" w:eastAsia="方正仿宋_GB2312"/>
      <w:sz w:val="28"/>
      <w:szCs w:val="24"/>
    </w:rPr>
  </w:style>
  <w:style w:type="paragraph" w:styleId="1225" w:customStyle="1">
    <w:name w:val="Char Char1 Char"/>
    <w:basedOn w:val="710"/>
    <w:uiPriority w:val="0"/>
    <w:qFormat/>
    <w:pPr>
      <w:jc w:val="left"/>
      <w:spacing w:after="160" w:line="240" w:lineRule="exact"/>
      <w:widowControl/>
    </w:pPr>
    <w:rPr>
      <w:rFonts w:ascii="Verdana" w:hAnsi="Verdana"/>
      <w:sz w:val="20"/>
      <w:lang w:eastAsia="en-US"/>
    </w:rPr>
  </w:style>
  <w:style w:type="paragraph" w:styleId="1226" w:customStyle="1">
    <w:name w:val="xl50"/>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7" w:customStyle="1">
    <w:name w:val="zw"/>
    <w:basedOn w:val="710"/>
    <w:uiPriority w:val="0"/>
    <w:qFormat/>
    <w:pPr>
      <w:ind w:firstLine="480"/>
      <w:jc w:val="left"/>
      <w:spacing w:line="360" w:lineRule="auto"/>
      <w:widowControl/>
    </w:pPr>
    <w:rPr>
      <w:rFonts w:ascii="宋体" w:hAnsi="宋体"/>
      <w:bCs/>
      <w:sz w:val="24"/>
    </w:rPr>
  </w:style>
  <w:style w:type="paragraph" w:styleId="1228" w:customStyle="1">
    <w:name w:val="xl2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9" w:customStyle="1">
    <w:name w:val="马刚标题4"/>
    <w:basedOn w:val="1120"/>
    <w:next w:val="710"/>
    <w:uiPriority w:val="0"/>
    <w:qFormat/>
    <w:pPr>
      <w:spacing w:before="100" w:after="40"/>
      <w:tabs>
        <w:tab w:val="left" w:pos="1050" w:leader="none"/>
      </w:tabs>
      <w:outlineLvl w:val="3"/>
    </w:pPr>
    <w:rPr>
      <w:b w:val="0"/>
    </w:rPr>
  </w:style>
  <w:style w:type="paragraph" w:styleId="1230" w:customStyle="1">
    <w:name w:val="标准文本"/>
    <w:basedOn w:val="710"/>
    <w:uiPriority w:val="0"/>
    <w:qFormat/>
    <w:pPr>
      <w:ind w:firstLine="480"/>
      <w:spacing w:line="360" w:lineRule="auto"/>
    </w:pPr>
    <w:rPr>
      <w:rFonts w:cs="宋体"/>
      <w:sz w:val="24"/>
      <w:szCs w:val="24"/>
    </w:rPr>
  </w:style>
  <w:style w:type="paragraph" w:styleId="1231" w:customStyle="1">
    <w:name w:val="正文2"/>
    <w:basedOn w:val="710"/>
    <w:uiPriority w:val="0"/>
    <w:qFormat/>
    <w:pPr>
      <w:ind w:firstLine="510"/>
      <w:spacing w:before="156" w:line="360" w:lineRule="auto"/>
    </w:pPr>
    <w:rPr>
      <w:sz w:val="24"/>
    </w:rPr>
  </w:style>
  <w:style w:type="paragraph" w:styleId="1232" w:customStyle="1">
    <w:name w:val="样式1"/>
    <w:basedOn w:val="710"/>
    <w:uiPriority w:val="0"/>
    <w:qFormat/>
    <w:pPr>
      <w:ind w:firstLine="480"/>
      <w:spacing w:line="300" w:lineRule="auto"/>
    </w:pPr>
    <w:rPr>
      <w:sz w:val="24"/>
      <w:szCs w:val="24"/>
    </w:rPr>
  </w:style>
  <w:style w:type="paragraph" w:styleId="1233" w:customStyle="1">
    <w:name w:val="大标题"/>
    <w:basedOn w:val="710"/>
    <w:next w:val="710"/>
    <w:uiPriority w:val="0"/>
    <w:qFormat/>
    <w:pPr>
      <w:ind w:hanging="420"/>
      <w:pageBreakBefore/>
      <w:spacing w:line="360" w:lineRule="auto"/>
      <w:tabs>
        <w:tab w:val="left" w:pos="420" w:leader="none"/>
      </w:tabs>
      <w:outlineLvl w:val="0"/>
    </w:pPr>
    <w:rPr>
      <w:b/>
      <w:iCs/>
      <w:sz w:val="44"/>
      <w:szCs w:val="24"/>
    </w:rPr>
  </w:style>
  <w:style w:type="paragraph" w:styleId="1234" w:customStyle="1">
    <w:name w:val="Char Char Char Char Char Char Char Char1"/>
    <w:basedOn w:val="710"/>
    <w:uiPriority w:val="0"/>
    <w:qFormat/>
    <w:rPr>
      <w:rFonts w:ascii="Tahoma" w:hAnsi="Tahoma"/>
      <w:sz w:val="24"/>
    </w:rPr>
  </w:style>
  <w:style w:type="paragraph" w:styleId="1235" w:customStyle="1">
    <w:name w:val="1"/>
    <w:basedOn w:val="710"/>
    <w:next w:val="818"/>
    <w:uiPriority w:val="0"/>
    <w:qFormat/>
    <w:pPr>
      <w:spacing w:line="360" w:lineRule="auto"/>
    </w:pPr>
    <w:rPr>
      <w:rFonts w:eastAsia="方正仿宋_GB2312"/>
      <w:sz w:val="24"/>
      <w:szCs w:val="24"/>
    </w:rPr>
  </w:style>
  <w:style w:type="paragraph" w:styleId="1236" w:customStyle="1">
    <w:name w:val="标题6"/>
    <w:basedOn w:val="755"/>
    <w:uiPriority w:val="0"/>
    <w:qFormat/>
    <w:pPr>
      <w:ind w:left="420" w:hanging="420"/>
      <w:keepLines/>
      <w:tabs>
        <w:tab w:val="left" w:pos="420" w:leader="none"/>
      </w:tabs>
    </w:pPr>
    <w:rPr>
      <w:rFonts w:ascii="Times New Roman"/>
      <w:b w:val="0"/>
      <w:bCs/>
      <w:color w:val="000000"/>
      <w:sz w:val="24"/>
      <w:szCs w:val="28"/>
    </w:rPr>
  </w:style>
  <w:style w:type="paragraph" w:styleId="1237" w:customStyle="1">
    <w:name w:val="Char Char Char Char1"/>
    <w:basedOn w:val="710"/>
    <w:uiPriority w:val="0"/>
    <w:qFormat/>
    <w:pPr>
      <w:jc w:val="center"/>
      <w:spacing w:after="160" w:line="240" w:lineRule="exact"/>
      <w:widowControl/>
    </w:pPr>
    <w:rPr>
      <w:rFonts w:ascii="黑体" w:hAnsi="Verdana" w:eastAsia="黑体"/>
      <w:sz w:val="32"/>
      <w:szCs w:val="32"/>
      <w:lang w:eastAsia="en-US"/>
    </w:rPr>
  </w:style>
  <w:style w:type="paragraph" w:styleId="1238"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39" w:customStyle="1">
    <w:name w:val="正文文本 21"/>
    <w:basedOn w:val="710"/>
    <w:uiPriority w:val="0"/>
    <w:qFormat/>
    <w:pPr>
      <w:ind w:left="720" w:hanging="720"/>
      <w:widowControl/>
    </w:pPr>
    <w:rPr>
      <w:sz w:val="24"/>
      <w:lang w:val="en-GB"/>
    </w:rPr>
  </w:style>
  <w:style w:type="paragraph" w:styleId="1240" w:customStyle="1">
    <w:name w:val="xl4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1" w:customStyle="1">
    <w:name w:val="标题1，章节第一层"/>
    <w:basedOn w:val="1135"/>
    <w:next w:val="1135"/>
    <w:uiPriority w:val="0"/>
    <w:qFormat/>
    <w:pPr>
      <w:ind w:left="482"/>
      <w:spacing w:before="0"/>
      <w:tabs>
        <w:tab w:val="left" w:pos="693" w:leader="none"/>
      </w:tabs>
      <w:outlineLvl w:val="0"/>
    </w:pPr>
    <w:rPr>
      <w:color w:val="000000"/>
      <w:sz w:val="24"/>
      <w:szCs w:val="24"/>
    </w:rPr>
  </w:style>
  <w:style w:type="paragraph" w:styleId="1242" w:customStyle="1">
    <w:name w:val="小四 段落 宋体 Char Char Char Char"/>
    <w:basedOn w:val="710"/>
    <w:uiPriority w:val="0"/>
    <w:qFormat/>
    <w:pPr>
      <w:ind w:right="-33" w:firstLine="480"/>
      <w:jc w:val="left"/>
      <w:spacing w:line="360" w:lineRule="auto"/>
    </w:pPr>
    <w:rPr>
      <w:sz w:val="24"/>
      <w:szCs w:val="24"/>
    </w:rPr>
  </w:style>
  <w:style w:type="paragraph" w:styleId="1243" w:customStyle="1">
    <w:name w:val="Char2 Char Char Char Char Char Char1"/>
    <w:basedOn w:val="710"/>
    <w:uiPriority w:val="0"/>
    <w:qFormat/>
    <w:pPr>
      <w:ind w:hanging="425"/>
      <w:keepNext/>
      <w:spacing w:before="80" w:after="80"/>
      <w:widowControl/>
      <w:tabs>
        <w:tab w:val="left" w:pos="425" w:leader="none"/>
      </w:tabs>
    </w:pPr>
    <w:rPr>
      <w:rFonts w:ascii="Arial" w:hAnsi="Arial" w:cs="Arial"/>
      <w:sz w:val="20"/>
    </w:rPr>
  </w:style>
  <w:style w:type="paragraph" w:styleId="1244" w:customStyle="1">
    <w:name w:val="小四 段落 宋体"/>
    <w:basedOn w:val="775"/>
    <w:uiPriority w:val="0"/>
    <w:qFormat/>
    <w:pPr>
      <w:ind w:left="113" w:right="113" w:firstLine="425"/>
      <w:jc w:val="left"/>
      <w:spacing w:line="360" w:lineRule="auto"/>
      <w:tabs>
        <w:tab w:val="clear" w:pos="2952" w:leader="none"/>
      </w:tabs>
    </w:pPr>
    <w:rPr>
      <w:sz w:val="24"/>
    </w:rPr>
  </w:style>
  <w:style w:type="paragraph" w:styleId="1245" w:customStyle="1">
    <w:name w:val="Char Char1 Char Char Char Char1 Char Char Char Char Char Char"/>
    <w:basedOn w:val="710"/>
    <w:uiPriority w:val="0"/>
    <w:qFormat/>
    <w:rPr>
      <w:rFonts w:ascii="Tahoma" w:hAnsi="Tahoma"/>
      <w:sz w:val="24"/>
    </w:rPr>
  </w:style>
  <w:style w:type="paragraph" w:styleId="1246" w:customStyle="1">
    <w:name w:val="font8"/>
    <w:basedOn w:val="710"/>
    <w:uiPriority w:val="0"/>
    <w:qFormat/>
    <w:pPr>
      <w:jc w:val="left"/>
      <w:spacing w:before="100" w:beforeAutospacing="1" w:after="100" w:afterAutospacing="1"/>
      <w:widowControl/>
    </w:pPr>
    <w:rPr>
      <w:rFonts w:ascii="宋体" w:hAnsi="宋体" w:cs="宋体"/>
      <w:b/>
      <w:bCs/>
      <w:i/>
      <w:iCs/>
      <w:sz w:val="20"/>
    </w:rPr>
  </w:style>
  <w:style w:type="paragraph" w:styleId="1247" w:customStyle="1">
    <w:name w:val="表格内文字"/>
    <w:basedOn w:val="710"/>
    <w:uiPriority w:val="0"/>
    <w:qFormat/>
    <w:pPr>
      <w:spacing w:line="300" w:lineRule="atLeast"/>
    </w:pPr>
    <w:rPr>
      <w:sz w:val="18"/>
      <w:szCs w:val="24"/>
    </w:rPr>
  </w:style>
  <w:style w:type="paragraph" w:styleId="1248" w:customStyle="1">
    <w:name w:val="_Style 1"/>
    <w:basedOn w:val="723"/>
    <w:next w:val="722"/>
    <w:uiPriority w:val="0"/>
    <w:qFormat/>
    <w:pPr>
      <w:ind w:firstLine="420"/>
      <w:spacing w:line="360" w:lineRule="auto"/>
    </w:pPr>
    <w:rPr>
      <w:rFonts w:ascii="Calibri" w:hAnsi="Calibri" w:eastAsia="宋体"/>
      <w:sz w:val="24"/>
    </w:rPr>
  </w:style>
  <w:style w:type="paragraph" w:styleId="1249" w:customStyle="1">
    <w:name w:val="xl3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50" w:customStyle="1">
    <w:name w:val="标题4，章节第四层"/>
    <w:basedOn w:val="710"/>
    <w:next w:val="710"/>
    <w:uiPriority w:val="0"/>
    <w:qFormat/>
    <w:pPr>
      <w:spacing w:line="360" w:lineRule="auto"/>
      <w:tabs>
        <w:tab w:val="left" w:pos="0" w:leader="none"/>
      </w:tabs>
      <w:outlineLvl w:val="3"/>
    </w:pPr>
    <w:rPr>
      <w:rFonts w:ascii="宋体" w:hAnsi="宋体"/>
      <w:b/>
      <w:sz w:val="24"/>
      <w:szCs w:val="24"/>
    </w:rPr>
  </w:style>
  <w:style w:type="paragraph" w:styleId="1251" w:customStyle="1">
    <w:name w:val="xl54"/>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2" w:customStyle="1">
    <w:name w:val="正文 + 宋体"/>
    <w:basedOn w:val="710"/>
    <w:uiPriority w:val="0"/>
    <w:qFormat/>
    <w:pPr>
      <w:ind w:firstLine="420"/>
      <w:spacing w:line="360" w:lineRule="auto"/>
    </w:pPr>
    <w:rPr>
      <w:szCs w:val="24"/>
    </w:rPr>
  </w:style>
  <w:style w:type="paragraph" w:styleId="1253" w:customStyle="1">
    <w:name w:val="Char Char Char Char Char Char Char Char Char Char Char1 Char Char Char1"/>
    <w:basedOn w:val="710"/>
    <w:uiPriority w:val="0"/>
    <w:semiHidden/>
    <w:qFormat/>
    <w:pPr>
      <w:ind w:firstLine="200"/>
      <w:jc w:val="left"/>
    </w:pPr>
    <w:rPr>
      <w:rFonts w:ascii="Tahoma" w:hAnsi="Tahoma"/>
      <w:sz w:val="24"/>
      <w:szCs w:val="24"/>
    </w:rPr>
  </w:style>
  <w:style w:type="paragraph" w:styleId="1254" w:customStyle="1">
    <w:name w:val="flType"/>
    <w:basedOn w:val="1188"/>
    <w:uiPriority w:val="0"/>
    <w:qFormat/>
    <w:pPr>
      <w:spacing w:after="284"/>
    </w:pPr>
    <w:rPr>
      <w:rFonts w:eastAsia="宋体"/>
      <w:b w:val="0"/>
    </w:rPr>
  </w:style>
  <w:style w:type="paragraph" w:styleId="1255" w:customStyle="1">
    <w:name w:val="正文--表格内正文"/>
    <w:basedOn w:val="710"/>
    <w:uiPriority w:val="0"/>
    <w:qFormat/>
    <w:pPr>
      <w:jc w:val="center"/>
      <w:spacing w:before="156" w:line="0" w:lineRule="atLeast"/>
    </w:pPr>
    <w:rPr>
      <w:rFonts w:ascii="宋体" w:hAnsi="宋体"/>
      <w:color w:val="000000"/>
      <w:sz w:val="24"/>
      <w:szCs w:val="24"/>
    </w:rPr>
  </w:style>
  <w:style w:type="paragraph" w:styleId="1256" w:customStyle="1">
    <w:name w:val="小四 段落 宋体 Char Char Char"/>
    <w:basedOn w:val="775"/>
    <w:uiPriority w:val="0"/>
    <w:qFormat/>
    <w:pPr>
      <w:ind w:left="0" w:right="-33" w:firstLine="545"/>
      <w:jc w:val="left"/>
      <w:spacing w:line="360" w:lineRule="auto"/>
      <w:tabs>
        <w:tab w:val="clear" w:pos="2952" w:leader="none"/>
      </w:tabs>
    </w:pPr>
    <w:rPr>
      <w:sz w:val="24"/>
    </w:rPr>
  </w:style>
  <w:style w:type="paragraph" w:styleId="1257" w:customStyle="1">
    <w:name w:val="a"/>
    <w:basedOn w:val="710"/>
    <w:uiPriority w:val="0"/>
    <w:qFormat/>
    <w:pPr>
      <w:spacing w:before="100" w:beforeAutospacing="1" w:after="100" w:afterAutospacing="1"/>
      <w:widowControl/>
    </w:pPr>
    <w:rPr>
      <w:rFonts w:ascii="宋体" w:hAnsi="宋体" w:cs="宋体"/>
      <w:sz w:val="24"/>
      <w:szCs w:val="24"/>
    </w:rPr>
  </w:style>
  <w:style w:type="paragraph" w:styleId="1258" w:customStyle="1">
    <w:name w:val="font10"/>
    <w:basedOn w:val="710"/>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9" w:customStyle="1">
    <w:name w:val="Char Char Char Char Char Char Char Char Char Char Char Char Char Char Char Char Char Char Char Char Char Char Char1"/>
    <w:basedOn w:val="710"/>
    <w:uiPriority w:val="0"/>
    <w:qFormat/>
    <w:rPr>
      <w:rFonts w:ascii="Tahoma" w:hAnsi="Tahoma" w:cs="Tahoma"/>
      <w:sz w:val="24"/>
    </w:rPr>
  </w:style>
  <w:style w:type="paragraph" w:styleId="1260" w:customStyle="1">
    <w:name w:val="样式 标题 3H3sect1.2.3BOD 0Heading 3 - oldh3l3CTLevel 3 Head..."/>
    <w:basedOn w:val="752"/>
    <w:uiPriority w:val="0"/>
    <w:qFormat/>
    <w:pPr>
      <w:jc w:val="left"/>
      <w:spacing w:before="156" w:after="156"/>
    </w:pPr>
    <w:rPr>
      <w:rFonts w:cs="宋体"/>
      <w:bCs/>
      <w:sz w:val="30"/>
    </w:rPr>
  </w:style>
  <w:style w:type="paragraph" w:styleId="1261" w:customStyle="1">
    <w:name w:val="正文文本 New New"/>
    <w:basedOn w:val="710"/>
    <w:uiPriority w:val="0"/>
    <w:qFormat/>
    <w:pPr>
      <w:ind w:firstLine="200"/>
      <w:spacing w:before="60" w:after="60" w:line="360" w:lineRule="auto"/>
      <w:widowControl/>
    </w:pPr>
    <w:rPr>
      <w:rFonts w:eastAsia="华文楷体"/>
      <w:sz w:val="24"/>
      <w:szCs w:val="24"/>
    </w:rPr>
  </w:style>
  <w:style w:type="paragraph" w:styleId="1262" w:customStyle="1">
    <w:name w:val="xl51"/>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63" w:customStyle="1">
    <w:name w:val="p0"/>
    <w:basedOn w:val="710"/>
    <w:uiPriority w:val="0"/>
    <w:qFormat/>
    <w:pPr>
      <w:jc w:val="left"/>
      <w:spacing w:before="100" w:beforeAutospacing="1" w:after="100" w:afterAutospacing="1"/>
      <w:widowControl/>
    </w:pPr>
    <w:rPr>
      <w:rFonts w:ascii="宋体" w:hAnsi="宋体" w:cs="宋体"/>
      <w:sz w:val="24"/>
      <w:szCs w:val="24"/>
    </w:rPr>
  </w:style>
  <w:style w:type="paragraph" w:styleId="1264" w:customStyle="1">
    <w:name w:val="正文文本缩进1"/>
    <w:basedOn w:val="710"/>
    <w:uiPriority w:val="0"/>
    <w:qFormat/>
    <w:pPr>
      <w:ind w:left="420"/>
      <w:spacing w:after="120"/>
    </w:pPr>
    <w:rPr>
      <w:szCs w:val="24"/>
    </w:rPr>
  </w:style>
  <w:style w:type="paragraph" w:styleId="1265" w:customStyle="1">
    <w:name w:val="标题5，章节第五层"/>
    <w:basedOn w:val="710"/>
    <w:next w:val="71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6" w:customStyle="1">
    <w:name w:val="表格文字"/>
    <w:basedOn w:val="710"/>
    <w:uiPriority w:val="0"/>
    <w:qFormat/>
    <w:pPr>
      <w:ind w:firstLine="200"/>
      <w:jc w:val="left"/>
      <w:spacing w:line="360" w:lineRule="auto"/>
    </w:pPr>
    <w:rPr>
      <w:rFonts w:ascii="Arial" w:hAnsi="Arial"/>
      <w:sz w:val="24"/>
    </w:rPr>
  </w:style>
  <w:style w:type="paragraph" w:styleId="1267" w:customStyle="1">
    <w:name w:val="项目符号：一级"/>
    <w:basedOn w:val="1135"/>
    <w:next w:val="1135"/>
    <w:uiPriority w:val="0"/>
    <w:qFormat/>
    <w:pPr>
      <w:ind w:right="-134"/>
    </w:pPr>
    <w:rPr>
      <w:bCs w:val="0"/>
    </w:rPr>
  </w:style>
  <w:style w:type="paragraph" w:styleId="1268" w:customStyle="1">
    <w:name w:val="Char Char Char Char Char1"/>
    <w:basedOn w:val="710"/>
    <w:uiPriority w:val="0"/>
    <w:qFormat/>
    <w:rPr>
      <w:rFonts w:ascii="Tahoma" w:hAnsi="Tahoma" w:cs="Tahoma"/>
      <w:sz w:val="24"/>
    </w:rPr>
  </w:style>
  <w:style w:type="paragraph" w:styleId="1269" w:customStyle="1">
    <w:name w:val="符号与编号"/>
    <w:basedOn w:val="710"/>
    <w:uiPriority w:val="0"/>
    <w:qFormat/>
    <w:pPr>
      <w:ind w:left="900" w:hanging="420"/>
      <w:spacing w:after="156" w:line="400" w:lineRule="atLeast"/>
      <w:tabs>
        <w:tab w:val="left" w:pos="900" w:leader="none"/>
      </w:tabs>
    </w:pPr>
    <w:rPr>
      <w:sz w:val="24"/>
      <w:szCs w:val="24"/>
    </w:rPr>
  </w:style>
  <w:style w:type="paragraph" w:styleId="1270" w:customStyle="1">
    <w:name w:val="font11"/>
    <w:basedOn w:val="710"/>
    <w:uiPriority w:val="0"/>
    <w:qFormat/>
    <w:pPr>
      <w:jc w:val="left"/>
      <w:spacing w:before="100" w:beforeAutospacing="1" w:after="100" w:afterAutospacing="1"/>
      <w:widowControl/>
    </w:pPr>
    <w:rPr>
      <w:b/>
      <w:bCs/>
      <w:sz w:val="18"/>
      <w:szCs w:val="18"/>
    </w:rPr>
  </w:style>
  <w:style w:type="paragraph" w:styleId="1271" w:customStyle="1">
    <w:name w:val="普通文字"/>
    <w:basedOn w:val="710"/>
    <w:next w:val="710"/>
    <w:uiPriority w:val="0"/>
    <w:qFormat/>
    <w:rPr>
      <w:rFonts w:ascii="宋体" w:hAnsi="宋体" w:cs="宋体"/>
      <w:sz w:val="24"/>
    </w:rPr>
  </w:style>
  <w:style w:type="paragraph" w:styleId="1272" w:customStyle="1">
    <w:name w:val="论文正文"/>
    <w:basedOn w:val="795"/>
    <w:uiPriority w:val="0"/>
    <w:qFormat/>
    <w:pPr>
      <w:ind w:left="0" w:firstLine="200"/>
      <w:jc w:val="left"/>
      <w:spacing w:line="360" w:lineRule="auto"/>
    </w:pPr>
    <w:rPr>
      <w:rFonts w:ascii="Times New Roman" w:hAnsi="Times New Roman"/>
      <w:sz w:val="28"/>
      <w:szCs w:val="24"/>
    </w:rPr>
  </w:style>
  <w:style w:type="paragraph" w:styleId="1273"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74" w:customStyle="1">
    <w:name w:val="Char Char Char Char Char Char Char Char Char Char Char Char Char Char Char Char Char Char Char Char Char1"/>
    <w:basedOn w:val="710"/>
    <w:uiPriority w:val="0"/>
    <w:qFormat/>
    <w:rPr>
      <w:rFonts w:ascii="Tahoma" w:hAnsi="Tahoma"/>
      <w:sz w:val="24"/>
    </w:rPr>
  </w:style>
  <w:style w:type="paragraph" w:styleId="127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76" w:customStyle="1">
    <w:name w:val="Char Char1 Char1"/>
    <w:basedOn w:val="710"/>
    <w:uiPriority w:val="0"/>
    <w:qFormat/>
    <w:pPr>
      <w:jc w:val="left"/>
      <w:spacing w:after="160" w:line="240" w:lineRule="exact"/>
      <w:widowControl/>
    </w:pPr>
    <w:rPr>
      <w:rFonts w:ascii="Verdana" w:hAnsi="Verdana"/>
      <w:sz w:val="20"/>
      <w:lang w:eastAsia="en-US"/>
    </w:rPr>
  </w:style>
  <w:style w:type="paragraph" w:styleId="1277" w:customStyle="1">
    <w:name w:val="条1"/>
    <w:basedOn w:val="710"/>
    <w:uiPriority w:val="0"/>
    <w:qFormat/>
    <w:pPr>
      <w:ind w:left="780" w:hanging="360"/>
      <w:spacing w:before="156" w:line="360" w:lineRule="auto"/>
      <w:tabs>
        <w:tab w:val="left" w:pos="780" w:leader="none"/>
      </w:tabs>
    </w:pPr>
    <w:rPr>
      <w:rFonts w:eastAsia="黑体"/>
      <w:sz w:val="24"/>
    </w:rPr>
  </w:style>
  <w:style w:type="paragraph" w:styleId="1278" w:customStyle="1">
    <w:name w:val="Char Char Char Char Char Char Char1"/>
    <w:basedOn w:val="710"/>
    <w:uiPriority w:val="0"/>
    <w:qFormat/>
    <w:pPr>
      <w:jc w:val="left"/>
    </w:pPr>
    <w:rPr>
      <w:rFonts w:ascii="Tahoma" w:hAnsi="Tahoma"/>
      <w:sz w:val="24"/>
    </w:rPr>
  </w:style>
  <w:style w:type="paragraph" w:styleId="127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80" w:customStyle="1">
    <w:name w:val="方案正文"/>
    <w:basedOn w:val="710"/>
    <w:uiPriority w:val="0"/>
    <w:qFormat/>
    <w:pPr>
      <w:ind w:firstLine="359"/>
      <w:jc w:val="left"/>
      <w:spacing w:before="156" w:line="360" w:lineRule="auto"/>
    </w:pPr>
    <w:rPr>
      <w:rFonts w:ascii="Arial" w:hAnsi="Arial" w:cs="宋体"/>
      <w:sz w:val="24"/>
      <w:szCs w:val="21"/>
    </w:rPr>
  </w:style>
  <w:style w:type="paragraph" w:styleId="1281" w:customStyle="1">
    <w:name w:val="章标题"/>
    <w:next w:val="112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82" w:customStyle="1">
    <w:name w:val="xl3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3" w:customStyle="1">
    <w:name w:val="项目符号，二级"/>
    <w:basedOn w:val="1135"/>
    <w:next w:val="113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84" w:customStyle="1">
    <w:name w:val="xl55"/>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5" w:customStyle="1">
    <w:name w:val="Normal0"/>
    <w:basedOn w:val="710"/>
    <w:uiPriority w:val="0"/>
    <w:qFormat/>
    <w:rPr>
      <w:rFonts w:ascii="Calibri" w:hAnsi="Calibri" w:eastAsia="Calibri" w:cs="宋体"/>
      <w:lang w:val="zh-CN"/>
    </w:rPr>
  </w:style>
  <w:style w:type="paragraph" w:styleId="1286"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87"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8" w:customStyle="1">
    <w:name w:val="样式4 Char"/>
    <w:basedOn w:val="710"/>
    <w:uiPriority w:val="0"/>
    <w:qFormat/>
    <w:pPr>
      <w:ind w:firstLine="480"/>
      <w:jc w:val="left"/>
      <w:spacing w:line="360" w:lineRule="auto"/>
      <w:widowControl/>
    </w:pPr>
    <w:rPr>
      <w:rFonts w:cs="宋体"/>
      <w:color w:val="000000"/>
      <w:sz w:val="24"/>
      <w:szCs w:val="24"/>
    </w:rPr>
  </w:style>
  <w:style w:type="paragraph" w:styleId="1289" w:customStyle="1">
    <w:name w:val="Char11"/>
    <w:basedOn w:val="710"/>
    <w:uiPriority w:val="0"/>
    <w:qFormat/>
    <w:rPr>
      <w:rFonts w:ascii="方正仿宋_GB2312" w:hAnsi="宋体" w:eastAsia="方正仿宋_GB2312" w:cs="宋体"/>
      <w:b/>
      <w:sz w:val="32"/>
      <w:szCs w:val="32"/>
    </w:rPr>
  </w:style>
  <w:style w:type="paragraph" w:styleId="1290" w:customStyle="1">
    <w:name w:val="表格内容"/>
    <w:basedOn w:val="710"/>
    <w:uiPriority w:val="0"/>
    <w:qFormat/>
    <w:pPr>
      <w:jc w:val="center"/>
      <w:spacing w:before="60" w:line="300" w:lineRule="auto"/>
      <w:widowControl/>
    </w:pPr>
  </w:style>
  <w:style w:type="paragraph" w:styleId="1291" w:customStyle="1">
    <w:name w:val="xl2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2" w:customStyle="1">
    <w:name w:val="Char Char Char1"/>
    <w:basedOn w:val="778"/>
    <w:uiPriority w:val="0"/>
    <w:qFormat/>
    <w:pPr>
      <w:spacing w:line="436" w:lineRule="exact"/>
    </w:pPr>
    <w:rPr>
      <w:szCs w:val="24"/>
    </w:rPr>
  </w:style>
  <w:style w:type="paragraph" w:styleId="1293" w:customStyle="1">
    <w:name w:val="xl58"/>
    <w:basedOn w:val="710"/>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94" w:customStyle="1">
    <w:name w:val="Body Text 21"/>
    <w:basedOn w:val="710"/>
    <w:uiPriority w:val="0"/>
    <w:qFormat/>
    <w:pPr>
      <w:ind w:left="720" w:hanging="720"/>
      <w:widowControl/>
    </w:pPr>
    <w:rPr>
      <w:sz w:val="24"/>
      <w:lang w:val="en-GB"/>
    </w:rPr>
  </w:style>
  <w:style w:type="paragraph" w:styleId="1295" w:customStyle="1">
    <w:name w:val="Char Char3"/>
    <w:basedOn w:val="710"/>
    <w:uiPriority w:val="0"/>
    <w:qFormat/>
    <w:rPr>
      <w:rFonts w:ascii="Tahoma" w:hAnsi="Tahoma"/>
      <w:sz w:val="24"/>
    </w:rPr>
  </w:style>
  <w:style w:type="paragraph" w:styleId="1296" w:customStyle="1">
    <w:name w:val="reader-word-layer"/>
    <w:basedOn w:val="710"/>
    <w:uiPriority w:val="99"/>
    <w:qFormat/>
    <w:pPr>
      <w:jc w:val="left"/>
      <w:spacing w:before="100" w:beforeAutospacing="1" w:after="100" w:afterAutospacing="1"/>
      <w:widowControl/>
    </w:pPr>
    <w:rPr>
      <w:rFonts w:ascii="宋体" w:hAnsi="宋体" w:cs="宋体"/>
      <w:sz w:val="24"/>
      <w:szCs w:val="24"/>
    </w:rPr>
  </w:style>
  <w:style w:type="paragraph" w:styleId="1297" w:customStyle="1">
    <w:name w:val="xl2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8" w:customStyle="1">
    <w:name w:val="font31"/>
    <w:link w:val="710"/>
    <w:uiPriority w:val="0"/>
    <w:qFormat/>
    <w:rPr>
      <w:rFonts w:ascii="等线" w:hAnsi="等线" w:eastAsia="等线" w:cs="等线"/>
      <w:color w:val="000000"/>
      <w:sz w:val="21"/>
      <w:szCs w:val="21"/>
      <w:u w:val="none"/>
    </w:rPr>
  </w:style>
  <w:style w:type="character" w:styleId="1299" w:customStyle="1">
    <w:name w:val="NormalCharacter1"/>
    <w:link w:val="710"/>
    <w:uiPriority w:val="0"/>
    <w:semiHidden/>
    <w:qFormat/>
  </w:style>
  <w:style w:type="character" w:styleId="1300" w:customStyle="1">
    <w:name w:val="font51"/>
    <w:link w:val="710"/>
    <w:uiPriority w:val="0"/>
    <w:qFormat/>
    <w:rPr>
      <w:rFonts w:hint="eastAsia" w:ascii="宋体" w:hAnsi="宋体" w:eastAsia="宋体" w:cs="宋体"/>
      <w:color w:val="ff0000"/>
      <w:sz w:val="22"/>
      <w:szCs w:val="22"/>
      <w:u w:val="none"/>
    </w:rPr>
  </w:style>
  <w:style w:type="table" w:styleId="1301" w:customStyle="1">
    <w:name w:val="Normal Table0"/>
    <w:uiPriority w:val="2"/>
    <w:unhideWhenUsed/>
    <w:qFormat/>
    <w:pPr>
      <w:widowControl w:val="off"/>
    </w:pPr>
    <w:rPr>
      <w:sz w:val="22"/>
      <w:szCs w:val="22"/>
      <w:lang w:val="en-US" w:eastAsia="en-US" w:bidi="ar-SA"/>
    </w:rPr>
    <w:tblPr/>
  </w:style>
  <w:style w:type="paragraph" w:styleId="1302" w:customStyle="1">
    <w:name w:val="二级标题"/>
    <w:next w:val="710"/>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303" w:customStyle="1">
    <w:name w:val="三级标题"/>
    <w:next w:val="710"/>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304" w:customStyle="1">
    <w:name w:val="四级标题"/>
    <w:next w:val="710"/>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305" w:customStyle="1">
    <w:name w:val="msonormal"/>
    <w:basedOn w:val="710"/>
    <w:uiPriority w:val="0"/>
    <w:qFormat/>
    <w:pPr>
      <w:jc w:val="left"/>
      <w:spacing w:before="100" w:beforeAutospacing="1" w:after="100" w:afterAutospacing="1"/>
      <w:widowControl/>
    </w:pPr>
    <w:rPr>
      <w:rFonts w:ascii="宋体" w:hAnsi="宋体" w:cs="宋体"/>
      <w:sz w:val="24"/>
      <w:szCs w:val="24"/>
    </w:rPr>
  </w:style>
  <w:style w:type="paragraph" w:styleId="1306" w:customStyle="1">
    <w:name w:val="xl71"/>
    <w:basedOn w:val="710"/>
    <w:uiPriority w:val="0"/>
    <w:qFormat/>
    <w:pPr>
      <w:jc w:val="left"/>
      <w:spacing w:before="100" w:beforeAutospacing="1" w:after="100" w:afterAutospacing="1"/>
      <w:widowControl/>
    </w:pPr>
    <w:rPr>
      <w:rFonts w:ascii="宋体" w:hAnsi="宋体" w:cs="宋体"/>
      <w:sz w:val="24"/>
      <w:szCs w:val="24"/>
    </w:rPr>
  </w:style>
  <w:style w:type="paragraph" w:styleId="1307" w:customStyle="1">
    <w:name w:val="xl72"/>
    <w:basedOn w:val="710"/>
    <w:uiPriority w:val="0"/>
    <w:qFormat/>
    <w:pPr>
      <w:jc w:val="center"/>
      <w:spacing w:before="100" w:beforeAutospacing="1" w:after="100" w:afterAutospacing="1"/>
      <w:widowControl/>
    </w:pPr>
    <w:rPr>
      <w:rFonts w:ascii="宋体" w:hAnsi="宋体" w:cs="宋体"/>
      <w:sz w:val="24"/>
      <w:szCs w:val="24"/>
    </w:rPr>
  </w:style>
  <w:style w:type="paragraph" w:styleId="1308" w:customStyle="1">
    <w:name w:val="xl73"/>
    <w:basedOn w:val="710"/>
    <w:uiPriority w:val="0"/>
    <w:qFormat/>
    <w:pPr>
      <w:jc w:val="center"/>
      <w:spacing w:before="100" w:beforeAutospacing="1" w:after="100" w:afterAutospacing="1"/>
      <w:widowControl/>
    </w:pPr>
    <w:rPr>
      <w:rFonts w:ascii="宋体" w:hAnsi="宋体" w:cs="宋体"/>
      <w:sz w:val="24"/>
      <w:szCs w:val="24"/>
    </w:rPr>
  </w:style>
  <w:style w:type="paragraph" w:styleId="1309" w:customStyle="1">
    <w:name w:val="xl74"/>
    <w:basedOn w:val="710"/>
    <w:uiPriority w:val="0"/>
    <w:qFormat/>
    <w:pPr>
      <w:jc w:val="center"/>
      <w:spacing w:before="100" w:beforeAutospacing="1" w:after="100" w:afterAutospacing="1"/>
      <w:widowControl/>
    </w:pPr>
    <w:rPr>
      <w:rFonts w:ascii="宋体" w:hAnsi="宋体" w:cs="宋体"/>
      <w:sz w:val="20"/>
    </w:rPr>
  </w:style>
  <w:style w:type="paragraph" w:styleId="1310" w:customStyle="1">
    <w:name w:val="xl75"/>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customStyle="1">
    <w:name w:val="xl76"/>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customStyle="1">
    <w:name w:val="xl77"/>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customStyle="1">
    <w:name w:val="xl78"/>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4" w:customStyle="1">
    <w:name w:val="xl79"/>
    <w:basedOn w:val="710"/>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15" w:customStyle="1">
    <w:name w:val="xl80"/>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6" w:customStyle="1">
    <w:name w:val="xl81"/>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7" w:customStyle="1">
    <w:name w:val="xl82"/>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8" w:customStyle="1">
    <w:name w:val="xl83"/>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9" w:customStyle="1">
    <w:name w:val="xl84"/>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0" w:customStyle="1">
    <w:name w:val="xl85"/>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1" w:customStyle="1">
    <w:name w:val="纯文本11"/>
    <w:basedOn w:val="710"/>
    <w:uiPriority w:val="0"/>
    <w:qFormat/>
    <w:rPr>
      <w:rFonts w:ascii="宋体" w:hAnsi="Courier New"/>
    </w:rPr>
  </w:style>
  <w:style w:type="paragraph" w:styleId="1322" w:customStyle="1">
    <w:name w:val="_Style 78"/>
    <w:basedOn w:val="710"/>
    <w:next w:val="710"/>
    <w:uiPriority w:val="39"/>
    <w:qFormat/>
    <w:pPr>
      <w:ind w:left="1470"/>
      <w:jc w:val="left"/>
    </w:pPr>
    <w:rPr>
      <w:szCs w:val="21"/>
    </w:rPr>
  </w:style>
  <w:style w:type="paragraph" w:styleId="1323" w:customStyle="1">
    <w:name w:val="页脚1"/>
    <w:basedOn w:val="710"/>
    <w:uiPriority w:val="0"/>
    <w:qFormat/>
    <w:pPr>
      <w:jc w:val="left"/>
      <w:tabs>
        <w:tab w:val="center" w:pos="4153" w:leader="none"/>
        <w:tab w:val="right" w:pos="8306" w:leader="none"/>
      </w:tabs>
    </w:pPr>
    <w:rPr>
      <w:sz w:val="18"/>
      <w:szCs w:val="18"/>
    </w:rPr>
  </w:style>
  <w:style w:type="character" w:styleId="1324" w:customStyle="1">
    <w:name w:val="font61"/>
    <w:link w:val="710"/>
    <w:uiPriority w:val="0"/>
    <w:qFormat/>
    <w:rPr>
      <w:rFonts w:hint="eastAsia" w:ascii="宋体" w:hAnsi="宋体" w:eastAsia="宋体" w:cs="宋体"/>
      <w:color w:val="000000"/>
      <w:sz w:val="20"/>
      <w:szCs w:val="20"/>
      <w:u w:val="none"/>
    </w:rPr>
  </w:style>
  <w:style w:type="character" w:styleId="1325" w:customStyle="1">
    <w:name w:val="font231"/>
    <w:link w:val="710"/>
    <w:uiPriority w:val="0"/>
    <w:qFormat/>
    <w:rPr>
      <w:rFonts w:ascii="Calibri" w:hAnsi="Calibri" w:cs="Calibri"/>
      <w:color w:val="000000"/>
      <w:sz w:val="20"/>
      <w:szCs w:val="20"/>
      <w:u w:val="none"/>
    </w:rPr>
  </w:style>
  <w:style w:type="character" w:styleId="1326" w:customStyle="1">
    <w:name w:val="font241"/>
    <w:link w:val="710"/>
    <w:uiPriority w:val="0"/>
    <w:qFormat/>
    <w:rPr>
      <w:rFonts w:ascii="Calibri" w:hAnsi="Calibri" w:cs="Calibri"/>
      <w:color w:val="000000"/>
      <w:sz w:val="20"/>
      <w:szCs w:val="20"/>
      <w:u w:val="none"/>
    </w:rPr>
  </w:style>
  <w:style w:type="character" w:styleId="1327" w:customStyle="1">
    <w:name w:val="font81"/>
    <w:link w:val="710"/>
    <w:uiPriority w:val="0"/>
    <w:qFormat/>
    <w:rPr>
      <w:rFonts w:ascii="宋体" w:hAnsi="宋体" w:eastAsia="宋体" w:cs="宋体"/>
      <w:color w:val="000000"/>
      <w:sz w:val="20"/>
      <w:szCs w:val="20"/>
      <w:u w:val="none"/>
    </w:rPr>
  </w:style>
  <w:style w:type="character" w:styleId="1328" w:customStyle="1">
    <w:name w:val="font251"/>
    <w:link w:val="710"/>
    <w:uiPriority w:val="0"/>
    <w:qFormat/>
    <w:rPr>
      <w:rFonts w:ascii="宋体" w:hAnsi="宋体" w:eastAsia="宋体" w:cs="宋体"/>
      <w:b/>
      <w:bCs/>
      <w:color w:val="000000"/>
      <w:sz w:val="20"/>
      <w:szCs w:val="20"/>
      <w:u w:val="none"/>
    </w:rPr>
  </w:style>
  <w:style w:type="character" w:styleId="1329" w:customStyle="1">
    <w:name w:val="font112"/>
    <w:link w:val="710"/>
    <w:uiPriority w:val="0"/>
    <w:qFormat/>
    <w:rPr>
      <w:rFonts w:hint="eastAsia" w:ascii="宋体" w:hAnsi="宋体" w:eastAsia="宋体" w:cs="宋体"/>
      <w:b/>
      <w:bCs/>
      <w:color w:val="000000"/>
      <w:sz w:val="20"/>
      <w:szCs w:val="20"/>
      <w:u w:val="none"/>
    </w:rPr>
  </w:style>
  <w:style w:type="character" w:styleId="1330" w:customStyle="1">
    <w:name w:val="font261"/>
    <w:link w:val="710"/>
    <w:uiPriority w:val="0"/>
    <w:qFormat/>
    <w:rPr>
      <w:rFonts w:ascii="微软雅黑" w:hAnsi="微软雅黑" w:eastAsia="微软雅黑" w:cs="微软雅黑"/>
      <w:color w:val="000000"/>
      <w:sz w:val="18"/>
      <w:szCs w:val="18"/>
      <w:u w:val="none"/>
    </w:rPr>
  </w:style>
  <w:style w:type="character" w:styleId="1331" w:customStyle="1">
    <w:name w:val="font271"/>
    <w:link w:val="710"/>
    <w:uiPriority w:val="0"/>
    <w:qFormat/>
    <w:rPr>
      <w:rFonts w:ascii="Arial" w:hAnsi="Arial" w:cs="Arial"/>
      <w:color w:val="000000"/>
      <w:sz w:val="20"/>
      <w:szCs w:val="20"/>
      <w:u w:val="none"/>
    </w:rPr>
  </w:style>
  <w:style w:type="character" w:styleId="1332" w:customStyle="1">
    <w:name w:val="font141"/>
    <w:link w:val="710"/>
    <w:uiPriority w:val="0"/>
    <w:qFormat/>
    <w:rPr>
      <w:rFonts w:ascii="宋体" w:hAnsi="宋体" w:eastAsia="宋体" w:cs="宋体"/>
      <w:color w:val="000000"/>
      <w:sz w:val="20"/>
      <w:szCs w:val="20"/>
      <w:u w:val="none"/>
    </w:rPr>
  </w:style>
  <w:style w:type="character" w:styleId="1333" w:customStyle="1">
    <w:name w:val="font91"/>
    <w:link w:val="710"/>
    <w:uiPriority w:val="0"/>
    <w:qFormat/>
    <w:rPr>
      <w:rFonts w:hint="eastAsia" w:ascii="宋体" w:hAnsi="宋体" w:eastAsia="宋体" w:cs="宋体"/>
      <w:color w:val="000000"/>
      <w:sz w:val="20"/>
      <w:szCs w:val="20"/>
      <w:u w:val="none"/>
    </w:rPr>
  </w:style>
  <w:style w:type="character" w:styleId="1334" w:customStyle="1">
    <w:name w:val="font281"/>
    <w:link w:val="710"/>
    <w:uiPriority w:val="0"/>
    <w:qFormat/>
    <w:rPr>
      <w:rFonts w:ascii="Calibri" w:hAnsi="Calibri" w:cs="Calibri"/>
      <w:color w:val="000000"/>
      <w:sz w:val="20"/>
      <w:szCs w:val="20"/>
      <w:u w:val="none"/>
    </w:rPr>
  </w:style>
  <w:style w:type="table" w:styleId="1335" w:customStyle="1">
    <w:name w:val="Table Normal"/>
    <w:basedOn w:val="761"/>
    <w:uiPriority w:val="2"/>
    <w:unhideWhenUsed/>
    <w:qFormat/>
    <w:tblPr/>
  </w:style>
  <w:style w:type="paragraph" w:styleId="1336" w:customStyle="1">
    <w:name w:val="索引 41"/>
    <w:basedOn w:val="710"/>
    <w:next w:val="710"/>
    <w:uiPriority w:val="0"/>
    <w:semiHidden/>
    <w:qFormat/>
    <w:pPr>
      <w:ind w:left="1260"/>
    </w:pPr>
    <w:rPr>
      <w:rFonts w:ascii="Calibri" w:hAnsi="Calibri" w:eastAsia="Calibri" w:cs="宋体"/>
      <w:sz w:val="20"/>
      <w:szCs w:val="22"/>
      <w:lang w:val="zh-CN"/>
    </w:rPr>
  </w:style>
  <w:style w:type="character" w:styleId="1337" w:customStyle="1">
    <w:name w:val="font71"/>
    <w:basedOn w:val="760"/>
    <w:link w:val="710"/>
    <w:uiPriority w:val="0"/>
    <w:qFormat/>
    <w:rPr>
      <w:rFonts w:ascii="Times New Roman" w:hAnsi="Times New Roman" w:cs="Times New Roman"/>
      <w:color w:val="000000"/>
      <w:sz w:val="20"/>
      <w:szCs w:val="20"/>
      <w:u w:val="none"/>
    </w:rPr>
  </w:style>
  <w:style w:type="numbering" w:styleId="13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5</cp:revision>
  <dcterms:created xsi:type="dcterms:W3CDTF">2024-01-04T09:07:00Z</dcterms:created>
  <dcterms:modified xsi:type="dcterms:W3CDTF">2026-07-10T03:39:16Z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eyJoZGlkIjoiMzQ5NmQ4YzFlOGMyM2RlZWZlZWU3OWI0MzY5MGUxYmEiLCJ1c2VySWQiOiI2ODk0NTUyMDgifQ==</vt:lpwstr>
  </property>
  <property fmtid="{D5CDD505-2E9C-101B-9397-08002B2CF9AE}" pid="3" name="KSOProductBuildVer">
    <vt:lpwstr>2052-12.1.0.26375</vt:lpwstr>
  </property>
  <property fmtid="{D5CDD505-2E9C-101B-9397-08002B2CF9AE}" pid="4" name="ICV">
    <vt:lpwstr>0A25BDB4DEE340E3B82554DA5102AF76_12</vt:lpwstr>
  </property>
</Properties>
</file>