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153160" cy="13754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153160" cy="137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8pt;height:108.3pt;mso-wrap-distance-left:0.0pt;mso-wrap-distance-top:0.0pt;mso-wrap-distance-right:0.0pt;mso-wrap-distance-bottom:0.0pt;" stroked="f">
                <v:path textboxrect="0,0,0,0"/>
                <v:imagedata r:id="rId13" o:title=""/>
              </v:shape>
            </w:pict>
          </mc:Fallback>
        </mc:AlternateContent>
      </w:r>
      <w:r/>
    </w:p>
    <w:p>
      <w:pPr>
        <w:ind w:left="0" w:firstLine="0"/>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 xml:space="preserve">竞争性磋商文件</w:t>
      </w:r>
      <w:r/>
    </w:p>
    <w:p>
      <w:pPr>
        <w:ind w:left="0" w:firstLine="0"/>
        <w:jc w:val="center"/>
        <w:spacing w:before="120" w:after="120" w:line="360" w:lineRule="auto"/>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 xml:space="preserve">项目名称：</w:t>
      </w: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 xml:space="preserve">2026南京铁人三项公开赛</w:t>
      </w:r>
      <w:r/>
    </w:p>
    <w:p>
      <w:pPr>
        <w:ind w:left="0" w:firstLine="0"/>
        <w:jc w:val="center"/>
        <w:spacing w:before="120" w:after="120" w:line="360" w:lineRule="auto"/>
        <w:rPr>
          <w:rFonts w:hint="eastAsia" w:ascii="仿宋" w:hAnsi="仿宋" w:eastAsia="仿宋" w:cs="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 xml:space="preserve">项</w:t>
      </w:r>
      <w:r>
        <w:rPr>
          <w:rFonts w:hint="eastAsia" w:ascii="仿宋" w:hAnsi="仿宋" w:eastAsia="仿宋" w:cs="仿宋"/>
          <w:b/>
          <w:bCs/>
          <w:color w:val="000000" w:themeColor="text1"/>
          <w:sz w:val="36"/>
          <w:szCs w:val="36"/>
          <w:highlight w:val="none"/>
          <w14:textFill>
            <w14:solidFill>
              <w14:schemeClr w14:val="tx1"/>
            </w14:solidFill>
          </w14:textFill>
        </w:rPr>
        <w:t xml:space="preserve">目编号：</w:t>
      </w:r>
      <w:r>
        <w:rPr>
          <w:rFonts w:hint="eastAsia" w:ascii="仿宋" w:hAnsi="仿宋" w:cs="仿宋"/>
          <w:b/>
          <w:bCs/>
          <w:color w:val="000000" w:themeColor="text1"/>
          <w:sz w:val="36"/>
          <w:szCs w:val="36"/>
          <w:highlight w:val="none"/>
          <w:lang w:eastAsia="zh-CN"/>
          <w14:textFill>
            <w14:solidFill>
              <w14:schemeClr w14:val="tx1"/>
            </w14:solidFill>
          </w14:textFill>
        </w:rPr>
        <w:t xml:space="preserve">JSZC-320105-SJGC-C2026-0009</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both"/>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736"/>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36"/>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36"/>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1084"/>
        <w:jc w:val="left"/>
        <w:spacing w:line="360" w:lineRule="auto"/>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采 购 人：</w:t>
      </w:r>
      <w:r>
        <w:rPr>
          <w:rFonts w:hint="eastAsia" w:ascii="仿宋" w:hAnsi="仿宋" w:eastAsia="仿宋" w:cs="仿宋"/>
          <w:b/>
          <w:color w:val="000000" w:themeColor="text1"/>
          <w:sz w:val="36"/>
          <w:szCs w:val="36"/>
          <w:highlight w:val="none"/>
          <w:lang w:val="zh-CN" w:eastAsia="zh-CN"/>
          <w14:textFill>
            <w14:solidFill>
              <w14:schemeClr w14:val="tx1"/>
            </w14:solidFill>
          </w14:textFill>
        </w:rPr>
        <w:t xml:space="preserve">南京市建邺区文化和旅游局</w:t>
      </w:r>
      <w:r/>
    </w:p>
    <w:p>
      <w:pPr>
        <w:ind w:firstLine="1084"/>
        <w:jc w:val="left"/>
        <w:spacing w:line="360" w:lineRule="auto"/>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招标代理：江苏苏建工程项目管理咨询有限公司</w:t>
      </w:r>
      <w:r/>
    </w:p>
    <w:p>
      <w:pPr>
        <w:pStyle w:val="962"/>
        <w:ind w:left="0" w:firstLine="0"/>
        <w:jc w:val="both"/>
        <w:rPr>
          <w:rFonts w:hint="eastAsia" w:ascii="仿宋" w:hAnsi="仿宋" w:eastAsia="仿宋" w:cs="仿宋"/>
          <w:b/>
          <w:bCs/>
          <w:color w:val="000000" w:themeColor="text1"/>
          <w:sz w:val="32"/>
          <w:highlight w:val="none"/>
          <w:u w:val="none"/>
          <w14:textFill>
            <w14:solidFill>
              <w14:schemeClr w14:val="tx1"/>
            </w14:solidFill>
          </w14:textFill>
        </w:rPr>
      </w:pPr>
      <w:r>
        <w:rPr>
          <w:rFonts w:hint="eastAsia" w:ascii="仿宋" w:hAnsi="仿宋" w:eastAsia="仿宋" w:cs="仿宋"/>
          <w:b/>
          <w:bCs/>
          <w:color w:val="000000" w:themeColor="text1"/>
          <w:sz w:val="32"/>
          <w:highlight w:val="none"/>
          <w:u w:val="none"/>
          <w14:textFill>
            <w14:solidFill>
              <w14:schemeClr w14:val="tx1"/>
            </w14:solidFill>
          </w14:textFill>
        </w:rPr>
      </w:r>
      <w:r/>
    </w:p>
    <w:p>
      <w:pPr>
        <w:pStyle w:val="962"/>
        <w:ind w:left="0" w:firstLine="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2026</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6</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月</w:t>
      </w:r>
      <w:r/>
    </w:p>
    <w:p>
      <w:pPr>
        <w:jc w:val="left"/>
        <w:spacing w:before="120" w:after="120"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left="0" w:firstLine="0"/>
        <w:jc w:val="center"/>
        <w:spacing w:line="480" w:lineRule="auto"/>
        <w:rPr>
          <w:rStyle w:val="924"/>
          <w:rFonts w:hint="eastAsia" w:ascii="仿宋" w:hAnsi="仿宋" w:eastAsia="仿宋" w:cs="仿宋"/>
          <w:color w:val="000000" w:themeColor="text1"/>
          <w:highlight w:val="none"/>
          <w14:textFill>
            <w14:solidFill>
              <w14:schemeClr w14:val="tx1"/>
            </w14:solidFill>
          </w14:textFill>
        </w:rPr>
        <w:outlineLvl w:val="0"/>
      </w:pPr>
      <w:r/>
      <w:bookmarkStart w:id="214" w:name="_GoBack"/>
      <w:r/>
      <w:bookmarkEnd w:id="214"/>
      <w:r/>
      <w:bookmarkStart w:id="0" w:name="_Toc160699550"/>
      <w:r/>
      <w:bookmarkStart w:id="1" w:name="_Toc120614210"/>
      <w:r/>
      <w:bookmarkStart w:id="2" w:name="_Toc523127445"/>
      <w:r/>
      <w:bookmarkStart w:id="3" w:name="_Toc479757206"/>
      <w:r/>
      <w:bookmarkStart w:id="4" w:name="_Toc513029200"/>
      <w:r/>
      <w:bookmarkStart w:id="5" w:name="_Toc16938516"/>
      <w:r/>
      <w:bookmarkStart w:id="6" w:name="_Toc20823272"/>
      <w:r>
        <w:rPr>
          <w:rStyle w:val="924"/>
          <w:rFonts w:hint="eastAsia" w:ascii="仿宋" w:hAnsi="仿宋" w:eastAsia="仿宋" w:cs="仿宋"/>
          <w:color w:val="000000" w:themeColor="text1"/>
          <w:highlight w:val="none"/>
          <w14:textFill>
            <w14:solidFill>
              <w14:schemeClr w14:val="tx1"/>
            </w14:solidFill>
          </w14:textFill>
        </w:rPr>
        <w:t xml:space="preserve">总  目  录</w:t>
      </w:r>
      <w:bookmarkEnd w:id="0"/>
      <w:r/>
      <w:r/>
    </w:p>
    <w:p>
      <w:pPr>
        <w:pStyle w:val="749"/>
        <w:ind w:firstLine="420"/>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b w:val="0"/>
          <w:bCs w:val="0"/>
          <w:color w:val="000000" w:themeColor="text1"/>
          <w:sz w:val="28"/>
          <w:szCs w:val="28"/>
          <w:highlight w:val="none"/>
          <w14:textFill>
            <w14:solidFill>
              <w14:schemeClr w14:val="tx1"/>
            </w14:solidFill>
          </w14:textFill>
        </w:rPr>
        <w:t xml:space="preserve">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p>
    <w:p>
      <w:pPr>
        <w:pStyle w:val="749"/>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color w:val="000000" w:themeColor="text1"/>
          <w:sz w:val="28"/>
          <w:szCs w:val="28"/>
          <w:highlight w:val="none"/>
          <w14:textFill>
            <w14:solidFill>
              <w14:schemeClr w14:val="tx1"/>
            </w14:solidFill>
          </w14:textFill>
        </w:rPr>
        <w:t xml:space="preserve">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9"/>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color w:val="000000" w:themeColor="text1"/>
          <w:sz w:val="28"/>
          <w:szCs w:val="28"/>
          <w:highlight w:val="none"/>
          <w14:textFill>
            <w14:solidFill>
              <w14:schemeClr w14:val="tx1"/>
            </w14:solidFill>
          </w14:textFill>
        </w:rPr>
        <w:t xml:space="preserve">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9"/>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color w:val="000000" w:themeColor="text1"/>
          <w:sz w:val="28"/>
          <w:szCs w:val="28"/>
          <w:highlight w:val="none"/>
          <w14:textFill>
            <w14:solidFill>
              <w14:schemeClr w14:val="tx1"/>
            </w14:solidFill>
          </w14:textFill>
        </w:rPr>
        <w:t xml:space="preserve">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9"/>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color w:val="000000" w:themeColor="text1"/>
          <w:sz w:val="28"/>
          <w:szCs w:val="28"/>
          <w:highlight w:val="none"/>
          <w14:textFill>
            <w14:solidFill>
              <w14:schemeClr w14:val="tx1"/>
            </w14:solidFill>
          </w14:textFill>
        </w:rPr>
        <w:t xml:space="preserve">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9"/>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color w:val="000000" w:themeColor="text1"/>
          <w:sz w:val="28"/>
          <w:szCs w:val="28"/>
          <w:highlight w:val="none"/>
          <w14:textFill>
            <w14:solidFill>
              <w14:schemeClr w14:val="tx1"/>
            </w14:solidFill>
          </w14:textFill>
        </w:rPr>
        <w:t xml:space="preserve">第五章  评审方法与评审标准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_Toc160699568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9"/>
        <w:keepLines w:val="0"/>
        <w:keepNext w:val="0"/>
        <w:pageBreakBefore w:val="0"/>
        <w:spacing w:before="0" w:after="0" w:line="360" w:lineRule="auto"/>
        <w:widowControl w:val="off"/>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71"/>
          <w:rFonts w:hint="eastAsia" w:ascii="仿宋" w:hAnsi="仿宋" w:eastAsia="仿宋" w:cs="仿宋"/>
          <w:color w:val="000000" w:themeColor="text1"/>
          <w:sz w:val="28"/>
          <w:szCs w:val="28"/>
          <w:highlight w:val="none"/>
          <w14:textFill>
            <w14:solidFill>
              <w14:schemeClr w14:val="tx1"/>
            </w14:solidFill>
          </w14:textFill>
        </w:rPr>
        <w:t xml:space="preserve">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37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40"/>
        <w:tabs>
          <w:tab w:val="right" w:pos="9170" w:leader="dot"/>
        </w:tabs>
        <w:rPr>
          <w:rFonts w:hint="eastAsia" w:ascii="仿宋" w:hAnsi="仿宋" w:eastAsia="仿宋" w:cs="仿宋"/>
          <w:i w:val="0"/>
          <w:iCs w:val="0"/>
          <w:color w:val="000000" w:themeColor="text1"/>
          <w:szCs w:val="22"/>
          <w:highlight w:val="none"/>
          <w14:textFill>
            <w14:solidFill>
              <w14:schemeClr w14:val="tx1"/>
            </w14:solidFill>
          </w14:textFill>
        </w:rPr>
      </w:pPr>
      <w:r>
        <w:rPr>
          <w:rFonts w:hint="eastAsia" w:ascii="仿宋" w:hAnsi="仿宋" w:eastAsia="仿宋" w:cs="仿宋"/>
          <w:i w:val="0"/>
          <w:iCs w:val="0"/>
          <w:color w:val="000000" w:themeColor="text1"/>
          <w:szCs w:val="2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clear="all"/>
      </w:r>
      <w:r/>
    </w:p>
    <w:p>
      <w:pPr>
        <w:pStyle w:val="715"/>
        <w:ind w:left="0" w:firstLine="0"/>
        <w:jc w:val="center"/>
        <w:rPr>
          <w:rFonts w:hint="eastAsia" w:ascii="仿宋" w:hAnsi="仿宋" w:eastAsia="仿宋" w:cs="仿宋"/>
          <w:color w:val="000000" w:themeColor="text1"/>
          <w:highlight w:val="none"/>
          <w14:textFill>
            <w14:solidFill>
              <w14:schemeClr w14:val="tx1"/>
            </w14:solidFill>
          </w14:textFill>
        </w:rPr>
      </w:pPr>
      <w:r/>
      <w:bookmarkStart w:id="7"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1"/>
      <w:r>
        <w:rPr>
          <w:rFonts w:hint="eastAsia" w:ascii="仿宋" w:hAnsi="仿宋" w:eastAsia="仿宋" w:cs="仿宋"/>
          <w:color w:val="000000" w:themeColor="text1"/>
          <w:highlight w:val="none"/>
          <w14:textFill>
            <w14:solidFill>
              <w14:schemeClr w14:val="tx1"/>
            </w14:solidFill>
          </w14:textFill>
        </w:rPr>
        <w:t xml:space="preserve">磋商邀请</w:t>
      </w:r>
      <w:bookmarkEnd w:id="7"/>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受</w:t>
      </w:r>
      <w:r>
        <w:rPr>
          <w:rFonts w:hint="eastAsia" w:ascii="仿宋" w:hAnsi="仿宋" w:cs="仿宋"/>
          <w:b/>
          <w:bCs/>
          <w:color w:val="000000" w:themeColor="text1"/>
          <w:highlight w:val="none"/>
          <w:u w:val="single"/>
          <w:lang w:val="zh-CN" w:eastAsia="zh-CN"/>
          <w14:textFill>
            <w14:solidFill>
              <w14:schemeClr w14:val="tx1"/>
            </w14:solidFill>
          </w14:textFill>
        </w:rPr>
        <w:t xml:space="preserve">南京市建邺区文化和旅游局</w:t>
      </w:r>
      <w:r>
        <w:rPr>
          <w:rFonts w:hint="eastAsia" w:ascii="仿宋" w:hAnsi="仿宋" w:eastAsia="仿宋" w:cs="仿宋"/>
          <w:color w:val="000000" w:themeColor="text1"/>
          <w:highlight w:val="none"/>
          <w14:textFill>
            <w14:solidFill>
              <w14:schemeClr w14:val="tx1"/>
            </w14:solidFill>
          </w14:textFill>
        </w:rPr>
        <w:t xml:space="preserve">的委托，</w:t>
      </w:r>
      <w:r>
        <w:rPr>
          <w:rFonts w:hint="eastAsia" w:ascii="仿宋" w:hAnsi="仿宋" w:eastAsia="仿宋" w:cs="仿宋"/>
          <w:color w:val="000000" w:themeColor="text1"/>
          <w:highlight w:val="none"/>
          <w14:textFill>
            <w14:solidFill>
              <w14:schemeClr w14:val="tx1"/>
            </w14:solidFill>
          </w14:textFill>
        </w:rPr>
        <w:t xml:space="preserve">江苏苏建工程项目管理咨询有限公司就</w:t>
      </w:r>
      <w:r>
        <w:rPr>
          <w:rFonts w:hint="eastAsia" w:ascii="仿宋" w:hAnsi="仿宋" w:cs="仿宋"/>
          <w:b/>
          <w:bCs/>
          <w:color w:val="000000" w:themeColor="text1"/>
          <w:highlight w:val="none"/>
          <w:u w:val="single"/>
          <w:lang w:val="zh-CN" w:eastAsia="zh-CN"/>
          <w14:textFill>
            <w14:solidFill>
              <w14:schemeClr w14:val="tx1"/>
            </w14:solidFill>
          </w14:textFill>
        </w:rPr>
        <w:t xml:space="preserve">2026南京铁人三项公开赛</w:t>
      </w:r>
      <w:r>
        <w:rPr>
          <w:rFonts w:hint="eastAsia" w:ascii="仿宋" w:hAnsi="仿宋" w:eastAsia="仿宋" w:cs="仿宋"/>
          <w:color w:val="000000" w:themeColor="text1"/>
          <w:highlight w:val="none"/>
          <w14:textFill>
            <w14:solidFill>
              <w14:schemeClr w14:val="tx1"/>
            </w14:solidFill>
          </w14:textFill>
        </w:rPr>
        <w:t xml:space="preserve">进</w:t>
      </w:r>
      <w:r>
        <w:rPr>
          <w:rFonts w:hint="eastAsia" w:ascii="仿宋" w:hAnsi="仿宋" w:eastAsia="仿宋" w:cs="仿宋"/>
          <w:color w:val="000000" w:themeColor="text1"/>
          <w:highlight w:val="none"/>
          <w14:textFill>
            <w14:solidFill>
              <w14:schemeClr w14:val="tx1"/>
            </w14:solidFill>
          </w14:textFill>
        </w:rPr>
        <w:t xml:space="preserve">行竞争性磋商采购，欢迎符合条件的供应商参加磋商。</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8" w:name="_Toc35393621"/>
      <w:r/>
      <w:bookmarkStart w:id="9" w:name="_Toc28359002"/>
      <w:r/>
      <w:bookmarkStart w:id="10" w:name="_Toc28359079"/>
      <w:r/>
      <w:bookmarkStart w:id="11" w:name="_Toc38985263"/>
      <w:r/>
      <w:bookmarkStart w:id="12" w:name="_Toc35393790"/>
      <w:r/>
      <w:bookmarkStart w:id="13" w:name="_Toc160699552"/>
      <w:r/>
      <w:bookmarkStart w:id="14" w:name="_Hlk24379207"/>
      <w:r>
        <w:rPr>
          <w:rFonts w:hint="eastAsia" w:ascii="仿宋" w:hAnsi="仿宋" w:eastAsia="仿宋" w:cs="仿宋"/>
          <w:b/>
          <w:bCs/>
          <w:color w:val="000000" w:themeColor="text1"/>
          <w:sz w:val="28"/>
          <w:szCs w:val="28"/>
          <w:highlight w:val="none"/>
          <w14:textFill>
            <w14:solidFill>
              <w14:schemeClr w14:val="tx1"/>
            </w14:solidFill>
          </w14:textFill>
        </w:rPr>
        <w:t xml:space="preserve">一、项目基本情况</w:t>
      </w:r>
      <w:bookmarkEnd w:id="8"/>
      <w:r/>
      <w:bookmarkEnd w:id="9"/>
      <w:r/>
      <w:bookmarkEnd w:id="10"/>
      <w:r/>
      <w:bookmarkEnd w:id="11"/>
      <w:r/>
      <w:bookmarkEnd w:id="12"/>
      <w:r/>
      <w:bookmarkEnd w:id="13"/>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1.项目编号：</w:t>
      </w:r>
      <w:r>
        <w:rPr>
          <w:rFonts w:hint="eastAsia" w:ascii="仿宋" w:hAnsi="仿宋" w:cs="仿宋"/>
          <w:color w:val="000000" w:themeColor="text1"/>
          <w:highlight w:val="none"/>
          <w:lang w:eastAsia="zh-CN"/>
          <w14:textFill>
            <w14:solidFill>
              <w14:schemeClr w14:val="tx1"/>
            </w14:solidFill>
          </w14:textFill>
        </w:rPr>
        <w:t xml:space="preserve">JSZC-320105-SJGC-C2026-0009</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2.项目名称：</w:t>
      </w:r>
      <w:r>
        <w:rPr>
          <w:rFonts w:hint="eastAsia" w:ascii="仿宋" w:hAnsi="仿宋" w:eastAsia="仿宋" w:cs="仿宋"/>
          <w:color w:val="000000" w:themeColor="text1"/>
          <w:highlight w:val="none"/>
          <w:lang w:val="zh-CN" w:eastAsia="zh-CN"/>
          <w14:textFill>
            <w14:solidFill>
              <w14:schemeClr w14:val="tx1"/>
            </w14:solidFill>
          </w14:textFill>
        </w:rPr>
        <w:t xml:space="preserve">2026南京铁人三项公开赛</w:t>
      </w:r>
      <w:bookmarkEnd w:id="14"/>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3.预算金额：</w:t>
      </w:r>
      <w:r>
        <w:rPr>
          <w:rFonts w:hint="eastAsia" w:ascii="仿宋" w:hAnsi="仿宋" w:eastAsia="仿宋" w:cs="仿宋"/>
          <w:color w:val="000000" w:themeColor="text1"/>
          <w:highlight w:val="none"/>
          <w:lang w:val="zh-CN"/>
          <w14:textFill>
            <w14:solidFill>
              <w14:schemeClr w14:val="tx1"/>
            </w14:solidFill>
          </w14:textFill>
        </w:rPr>
        <w:t xml:space="preserve">项目预算：</w:t>
      </w:r>
      <w:r>
        <w:rPr>
          <w:rFonts w:hint="eastAsia" w:ascii="仿宋" w:hAnsi="仿宋" w:eastAsia="仿宋" w:cs="仿宋"/>
          <w:color w:val="000000" w:themeColor="text1"/>
          <w:highlight w:val="none"/>
          <w:lang w:val="en-US" w:eastAsia="zh-CN"/>
          <w14:textFill>
            <w14:solidFill>
              <w14:schemeClr w14:val="tx1"/>
            </w14:solidFill>
          </w14:textFill>
        </w:rPr>
        <w:t xml:space="preserve">230</w:t>
      </w:r>
      <w:r>
        <w:rPr>
          <w:rFonts w:hint="eastAsia" w:ascii="仿宋" w:hAnsi="仿宋" w:eastAsia="仿宋" w:cs="仿宋"/>
          <w:color w:val="000000" w:themeColor="text1"/>
          <w:highlight w:val="none"/>
          <w:lang w:val="zh-CN"/>
          <w14:textFill>
            <w14:solidFill>
              <w14:schemeClr w14:val="tx1"/>
            </w14:solidFill>
          </w14:textFill>
        </w:rPr>
        <w:t xml:space="preserve">万元</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最高限价：230万元（报价超过项目最高限价作无效响应处理）</w:t>
      </w:r>
      <w:r/>
    </w:p>
    <w:p>
      <w:pPr>
        <w:ind w:left="0"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4.采购需求（简介）：</w:t>
      </w:r>
      <w:r>
        <w:rPr>
          <w:rFonts w:hint="eastAsia" w:ascii="仿宋" w:hAnsi="仿宋" w:eastAsia="仿宋" w:cs="仿宋"/>
          <w:color w:val="000000" w:themeColor="text1"/>
          <w:highlight w:val="none"/>
          <w:lang w:val="zh-CN" w:eastAsia="zh-CN"/>
          <w14:textFill>
            <w14:solidFill>
              <w14:schemeClr w14:val="tx1"/>
            </w14:solidFill>
          </w14:textFill>
        </w:rPr>
        <w:t xml:space="preserve">根据中国铁人三项运动协会相关标准，负责赛事整体筹划和执行，包括但不限于：赛事组织、安全评估、选手招募、赛事全程筹备执行、赛事后勤保障、赛事宣传、赛事物料等。按要求制定赛事详细实施方案。</w:t>
      </w:r>
      <w:r/>
    </w:p>
    <w:p>
      <w:pPr>
        <w:ind w:left="0"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5.合同履行期限：</w:t>
      </w:r>
      <w:r>
        <w:rPr>
          <w:rFonts w:hint="eastAsia" w:ascii="仿宋" w:hAnsi="仿宋" w:eastAsia="仿宋" w:cs="仿宋"/>
          <w:color w:val="000000" w:themeColor="text1"/>
          <w:highlight w:val="none"/>
          <w:lang w:val="zh-CN" w:eastAsia="zh-CN"/>
          <w14:textFill>
            <w14:solidFill>
              <w14:schemeClr w14:val="tx1"/>
            </w14:solidFill>
          </w14:textFill>
        </w:rPr>
        <w:t xml:space="preserve">合同签订后成交单位10天内启动赛事的所有相关工作，要确保赛事准时举行，按赛事时间要求完成全部赛事组织活动</w:t>
      </w:r>
      <w:r>
        <w:rPr>
          <w:rFonts w:hint="eastAsia" w:ascii="仿宋" w:hAnsi="仿宋" w:eastAsia="仿宋" w:cs="仿宋"/>
          <w:color w:val="000000" w:themeColor="text1"/>
          <w:highlight w:val="none"/>
          <w:lang w:val="en-US" w:eastAsia="zh-CN"/>
          <w14:textFill>
            <w14:solidFill>
              <w14:schemeClr w14:val="tx1"/>
            </w14:solidFill>
          </w14:textFill>
        </w:rPr>
        <w:t xml:space="preserve">直至结束</w:t>
      </w:r>
      <w:r>
        <w:rPr>
          <w:rFonts w:hint="eastAsia" w:ascii="仿宋" w:hAnsi="仿宋" w:eastAsia="仿宋" w:cs="仿宋"/>
          <w:color w:val="000000" w:themeColor="text1"/>
          <w:highlight w:val="none"/>
          <w:lang w:val="zh-CN"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6.本项目不接受进口产品参加磋商。</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7.本项目不接受联合体参与磋商。</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15" w:name="_Toc28359003"/>
      <w:r/>
      <w:bookmarkStart w:id="16" w:name="_Toc35393622"/>
      <w:r/>
      <w:bookmarkStart w:id="17" w:name="_Toc38985264"/>
      <w:r/>
      <w:bookmarkStart w:id="18" w:name="_Toc28359080"/>
      <w:r/>
      <w:bookmarkStart w:id="19" w:name="_Toc160699553"/>
      <w:r/>
      <w:bookmarkStart w:id="20" w:name="_Toc35393791"/>
      <w:r>
        <w:rPr>
          <w:rFonts w:hint="eastAsia" w:ascii="仿宋" w:hAnsi="仿宋" w:eastAsia="仿宋" w:cs="仿宋"/>
          <w:b/>
          <w:bCs/>
          <w:color w:val="000000" w:themeColor="text1"/>
          <w:sz w:val="28"/>
          <w:szCs w:val="28"/>
          <w:highlight w:val="none"/>
          <w14:textFill>
            <w14:solidFill>
              <w14:schemeClr w14:val="tx1"/>
            </w14:solidFill>
          </w14:textFill>
        </w:rPr>
        <w:t xml:space="preserve">二、申请人的资格要求</w:t>
      </w:r>
      <w:bookmarkEnd w:id="15"/>
      <w:r/>
      <w:bookmarkEnd w:id="16"/>
      <w:r/>
      <w:bookmarkEnd w:id="17"/>
      <w:r/>
      <w:bookmarkEnd w:id="18"/>
      <w:r/>
      <w:bookmarkEnd w:id="19"/>
      <w:r/>
      <w:bookmarkEnd w:id="20"/>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1" w:name="_Toc35393623"/>
      <w:r/>
      <w:bookmarkStart w:id="22" w:name="_Toc28359081"/>
      <w:r/>
      <w:bookmarkStart w:id="23" w:name="_Toc35393792"/>
      <w:r/>
      <w:bookmarkStart w:id="24" w:name="_Toc28359004"/>
      <w:r/>
      <w:bookmarkStart w:id="25" w:name="_Toc38985265"/>
      <w:r/>
      <w:bookmarkStart w:id="26" w:name="_Toc160699554"/>
      <w:r>
        <w:rPr>
          <w:rFonts w:hint="eastAsia" w:ascii="仿宋" w:hAnsi="仿宋" w:eastAsia="仿宋" w:cs="仿宋"/>
          <w:color w:val="000000" w:themeColor="text1"/>
          <w:highlight w:val="none"/>
          <w:lang w:val="en-US" w:eastAsia="zh-CN"/>
          <w14:textFill>
            <w14:solidFill>
              <w14:schemeClr w14:val="tx1"/>
            </w14:solidFill>
          </w14:textFill>
        </w:rPr>
        <w:t xml:space="preserve">（一）通用资格要求</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1.满足《中华人民共和国政府采购法》第二十二条规定，并提供下列材料：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1.1</w:t>
      </w:r>
      <w:r>
        <w:rPr>
          <w:rFonts w:hint="eastAsia" w:ascii="仿宋" w:hAnsi="仿宋" w:eastAsia="仿宋" w:cs="仿宋"/>
          <w:color w:val="000000" w:themeColor="text1"/>
          <w:highlight w:val="none"/>
          <w:lang w:val="zh-CN" w:eastAsia="zh-CN"/>
          <w14:textFill>
            <w14:solidFill>
              <w14:schemeClr w14:val="tx1"/>
            </w14:solidFill>
          </w14:textFill>
        </w:rPr>
        <w:t xml:space="preserve">供应商信用承诺函</w:t>
      </w:r>
      <w:r>
        <w:rPr>
          <w:rFonts w:hint="eastAsia" w:ascii="仿宋" w:hAnsi="仿宋" w:cs="仿宋"/>
          <w:color w:val="000000" w:themeColor="text1"/>
          <w:highlight w:val="none"/>
          <w:lang w:val="zh-CN" w:eastAsia="zh-CN"/>
          <w14:textFill>
            <w14:solidFill>
              <w14:schemeClr w14:val="tx1"/>
            </w14:solidFill>
          </w14:textFill>
        </w:rPr>
        <w:t xml:space="preserve">；</w:t>
      </w:r>
      <w:r>
        <w:rPr>
          <w:rFonts w:hint="eastAsia" w:ascii="仿宋" w:hAnsi="仿宋" w:eastAsia="仿宋" w:cs="仿宋"/>
          <w:color w:val="000000" w:themeColor="text1"/>
          <w:highlight w:val="none"/>
          <w:lang w:val="zh-CN" w:eastAsia="zh-CN"/>
          <w14:textFill>
            <w14:solidFill>
              <w14:schemeClr w14:val="tx1"/>
            </w14:solidFill>
          </w14:textFill>
        </w:rPr>
        <w:t xml:space="preserve">（格式见第六章）</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1.2南京市政府采购供应商信用记录表暨信用承诺书</w:t>
      </w:r>
      <w:r>
        <w:rPr>
          <w:rFonts w:hint="eastAsia" w:ascii="仿宋" w:hAnsi="仿宋" w:cs="仿宋"/>
          <w:color w:val="000000" w:themeColor="text1"/>
          <w:lang w:val="zh-CN"/>
          <w14:textFill>
            <w14:solidFill>
              <w14:schemeClr w14:val="tx1"/>
            </w14:solidFill>
          </w14:textFill>
        </w:rPr>
        <w:t xml:space="preserve">。</w:t>
      </w:r>
      <w:r>
        <w:rPr>
          <w:rFonts w:hint="eastAsia" w:ascii="仿宋" w:hAnsi="仿宋" w:eastAsia="仿宋" w:cs="仿宋"/>
          <w:color w:val="000000" w:themeColor="text1"/>
          <w:lang w:val="zh-CN"/>
          <w14:textFill>
            <w14:solidFill>
              <w14:schemeClr w14:val="tx1"/>
            </w14:solidFill>
          </w14:textFill>
        </w:rPr>
        <w:t xml:space="preserve">（原件并加盖公章）</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2.落实政府采购政策需满足的资格要求：</w:t>
      </w:r>
      <w:r>
        <w:rPr>
          <w:rFonts w:hint="eastAsia" w:ascii="仿宋" w:hAnsi="仿宋" w:cs="仿宋"/>
          <w:color w:val="000000" w:themeColor="text1"/>
          <w:highlight w:val="none"/>
          <w:lang w:val="en-US" w:eastAsia="zh-CN"/>
          <w14:textFill>
            <w14:solidFill>
              <w14:schemeClr w14:val="tx1"/>
            </w14:solidFill>
          </w14:textFill>
        </w:rPr>
        <w:t xml:space="preserve">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本项目采购标的对应的中小企业划分标准所属行业为：其他未列明行业。</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（二）本项目的特定资格要求：无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（三）拒绝下述供应商参加本次采购活动</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2.为采购项目提供整体设计、规范编制或者项目管理、监理、检测等服务的供应商，不得参加本项目的采购活动。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 xml:space="preserve">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中国政府采购网等网站查询供应商信用记录并保存)</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三、获取</w:t>
      </w:r>
      <w:bookmarkEnd w:id="21"/>
      <w:r/>
      <w:bookmarkEnd w:id="22"/>
      <w:r/>
      <w:bookmarkEnd w:id="23"/>
      <w:r/>
      <w:bookmarkEnd w:id="24"/>
      <w:r/>
      <w:bookmarkEnd w:id="25"/>
      <w:r>
        <w:rPr>
          <w:rFonts w:hint="eastAsia" w:ascii="仿宋" w:hAnsi="仿宋" w:eastAsia="仿宋" w:cs="仿宋"/>
          <w:b/>
          <w:bCs/>
          <w:color w:val="000000" w:themeColor="text1"/>
          <w:highlight w:val="none"/>
          <w14:textFill>
            <w14:solidFill>
              <w14:schemeClr w14:val="tx1"/>
            </w14:solidFill>
          </w14:textFill>
        </w:rPr>
        <w:t xml:space="preserve">磋商文件</w:t>
      </w:r>
      <w:bookmarkEnd w:id="26"/>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7" w:name="_Toc28359005"/>
      <w:r/>
      <w:bookmarkStart w:id="28" w:name="_Toc28359082"/>
      <w:r/>
      <w:bookmarkStart w:id="29" w:name="_Toc38985266"/>
      <w:r/>
      <w:bookmarkStart w:id="30" w:name="_Toc35393624"/>
      <w:r/>
      <w:bookmarkStart w:id="31" w:name="_Toc160699555"/>
      <w:r/>
      <w:bookmarkStart w:id="32" w:name="_Toc35393793"/>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时间：自</w:t>
      </w:r>
      <w:r>
        <w:rPr>
          <w:rFonts w:hint="eastAsia" w:ascii="仿宋" w:hAnsi="仿宋" w:eastAsia="仿宋" w:cs="仿宋"/>
          <w:color w:val="000000" w:themeColor="text1"/>
          <w:highlight w:val="none"/>
          <w:lang w:val="en-US"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文件公告发布之日起</w:t>
      </w:r>
      <w:r>
        <w:rPr>
          <w:rFonts w:hint="eastAsia" w:ascii="仿宋" w:hAnsi="仿宋" w:eastAsia="仿宋" w:cs="仿宋"/>
          <w:color w:val="000000" w:themeColor="text1"/>
          <w:highlight w:val="none"/>
          <w:lang w:val="en-US" w:eastAsia="zh-CN"/>
          <w14:textFill>
            <w14:solidFill>
              <w14:schemeClr w14:val="tx1"/>
            </w14:solidFill>
          </w14:textFill>
        </w:rPr>
        <w:t xml:space="preserve">5个工作日。</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方式：</w:t>
      </w:r>
      <w:r>
        <w:rPr>
          <w:rFonts w:hint="eastAsia" w:ascii="仿宋" w:hAnsi="仿宋" w:eastAsia="仿宋" w:cs="仿宋"/>
          <w:color w:val="000000" w:themeColor="text1"/>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四、提交</w:t>
      </w:r>
      <w:bookmarkEnd w:id="27"/>
      <w:r/>
      <w:bookmarkEnd w:id="28"/>
      <w:r>
        <w:rPr>
          <w:rFonts w:hint="eastAsia" w:ascii="仿宋" w:hAnsi="仿宋" w:eastAsia="仿宋" w:cs="仿宋"/>
          <w:b/>
          <w:bCs/>
          <w:color w:val="000000" w:themeColor="text1"/>
          <w:sz w:val="28"/>
          <w:szCs w:val="28"/>
          <w:highlight w:val="none"/>
          <w14:textFill>
            <w14:solidFill>
              <w14:schemeClr w14:val="tx1"/>
            </w14:solidFill>
          </w14:textFill>
        </w:rPr>
        <w:t xml:space="preserve">响应文件时间</w:t>
      </w:r>
      <w:bookmarkEnd w:id="29"/>
      <w:r/>
      <w:bookmarkEnd w:id="30"/>
      <w:r/>
      <w:bookmarkEnd w:id="31"/>
      <w:r/>
      <w:bookmarkEnd w:id="32"/>
      <w:r/>
      <w:r/>
    </w:p>
    <w:p>
      <w:pPr>
        <w:ind w:firstLine="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bookmarkStart w:id="33" w:name="_Toc35393794"/>
      <w:r/>
      <w:bookmarkStart w:id="34" w:name="_Toc35393625"/>
      <w:r/>
      <w:bookmarkStart w:id="35" w:name="_Toc28359084"/>
      <w:r/>
      <w:bookmarkStart w:id="36" w:name="_Toc160699556"/>
      <w:r/>
      <w:bookmarkStart w:id="37" w:name="_Toc28359007"/>
      <w:r/>
      <w:bookmarkStart w:id="38" w:name="_Toc38985267"/>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1</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提交投标文件截止时间、开标时间：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07</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月</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03</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日</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时</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00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分（北京时间）。</w:t>
      </w:r>
      <w:r/>
    </w:p>
    <w:p>
      <w:pPr>
        <w:ind w:firstLine="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五、公告期限</w:t>
      </w:r>
      <w:bookmarkEnd w:id="33"/>
      <w:r/>
      <w:bookmarkEnd w:id="34"/>
      <w:r/>
      <w:bookmarkEnd w:id="35"/>
      <w:r/>
      <w:bookmarkEnd w:id="36"/>
      <w:r/>
      <w:bookmarkEnd w:id="37"/>
      <w:r/>
      <w:bookmarkEnd w:id="38"/>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14:textFill>
            <w14:solidFill>
              <w14:schemeClr w14:val="tx1"/>
            </w14:solidFill>
          </w14:textFill>
        </w:rPr>
      </w:pPr>
      <w:r/>
      <w:bookmarkStart w:id="39" w:name="_Toc38985268"/>
      <w:r/>
      <w:bookmarkStart w:id="40" w:name="_Toc35393795"/>
      <w:r/>
      <w:bookmarkStart w:id="41" w:name="_Toc35393626"/>
      <w:r/>
      <w:bookmarkStart w:id="42" w:name="_Toc160699557"/>
      <w:r>
        <w:rPr>
          <w:rFonts w:hint="eastAsia" w:ascii="仿宋" w:hAnsi="仿宋" w:eastAsia="仿宋" w:cs="仿宋"/>
          <w:color w:val="000000" w:themeColor="text1"/>
          <w:highlight w:val="none"/>
          <w:lang w:val="zh-CN"/>
          <w14:textFill>
            <w14:solidFill>
              <w14:schemeClr w14:val="tx1"/>
            </w14:solidFill>
          </w14:textFill>
        </w:rPr>
        <w:t xml:space="preserve">自本公告在“</w:t>
      </w:r>
      <w:r>
        <w:rPr>
          <w:rFonts w:hint="eastAsia" w:ascii="仿宋" w:hAnsi="仿宋" w:cs="仿宋"/>
          <w:color w:val="000000" w:themeColor="text1"/>
          <w:highlight w:val="none"/>
          <w:lang w:val="en-US" w:eastAsia="zh-CN"/>
          <w14:textFill>
            <w14:solidFill>
              <w14:schemeClr w14:val="tx1"/>
            </w14:solidFill>
          </w14:textFill>
        </w:rPr>
        <w:t xml:space="preserve">江苏政府采购网</w:t>
      </w:r>
      <w:r>
        <w:rPr>
          <w:rFonts w:hint="eastAsia" w:ascii="仿宋" w:hAnsi="仿宋" w:eastAsia="仿宋" w:cs="仿宋"/>
          <w:color w:val="000000" w:themeColor="text1"/>
          <w:highlight w:val="none"/>
          <w:lang w:val="zh-CN"/>
          <w14:textFill>
            <w14:solidFill>
              <w14:schemeClr w14:val="tx1"/>
            </w14:solidFill>
          </w14:textFill>
        </w:rPr>
        <w:t xml:space="preserve">”发布之日起</w:t>
      </w:r>
      <w:r>
        <w:rPr>
          <w:rFonts w:hint="eastAsia" w:ascii="仿宋" w:hAnsi="仿宋" w:eastAsia="仿宋" w:cs="仿宋"/>
          <w:color w:val="000000" w:themeColor="text1"/>
          <w:highlight w:val="none"/>
          <w14:textFill>
            <w14:solidFill>
              <w14:schemeClr w14:val="tx1"/>
            </w14:solidFill>
          </w14:textFill>
        </w:rPr>
        <w:t xml:space="preserve">三</w:t>
      </w:r>
      <w:r>
        <w:rPr>
          <w:rFonts w:hint="eastAsia" w:ascii="仿宋" w:hAnsi="仿宋" w:eastAsia="仿宋" w:cs="仿宋"/>
          <w:color w:val="000000" w:themeColor="text1"/>
          <w:highlight w:val="none"/>
          <w:lang w:val="zh-CN"/>
          <w14:textFill>
            <w14:solidFill>
              <w14:schemeClr w14:val="tx1"/>
            </w14:solidFill>
          </w14:textFill>
        </w:rPr>
        <w:t xml:space="preserve">个工作日。</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六、其他补充事宜</w:t>
      </w:r>
      <w:bookmarkEnd w:id="39"/>
      <w:r/>
      <w:bookmarkEnd w:id="40"/>
      <w:r/>
      <w:bookmarkEnd w:id="41"/>
      <w:r/>
      <w:bookmarkEnd w:id="42"/>
      <w:r/>
      <w:r/>
    </w:p>
    <w:p>
      <w:pPr>
        <w:ind w:firstLine="0"/>
        <w:keepLines w:val="0"/>
        <w:keepNext w:val="0"/>
        <w:pageBreakBefore w:val="0"/>
        <w:spacing w:line="560" w:lineRule="exact"/>
        <w:widowControl w:val="off"/>
        <w:rPr>
          <w:rFonts w:hint="eastAsia" w:ascii="仿宋" w:hAnsi="仿宋" w:eastAsia="仿宋" w:cs="仿宋"/>
          <w:sz w:val="28"/>
          <w:szCs w:val="28"/>
          <w:highlight w:val="none"/>
          <w:lang w:eastAsia="zh-CN"/>
        </w:rPr>
      </w:pPr>
      <w:r/>
      <w:bookmarkStart w:id="43" w:name="_Toc28359008"/>
      <w:r/>
      <w:bookmarkStart w:id="44" w:name="_Toc35393627"/>
      <w:r/>
      <w:bookmarkStart w:id="45" w:name="_Toc38985269"/>
      <w:r/>
      <w:bookmarkStart w:id="46" w:name="_Toc35393796"/>
      <w:r/>
      <w:bookmarkStart w:id="47" w:name="_Toc28359085"/>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eastAsia="仿宋" w:cs="仿宋"/>
          <w:sz w:val="28"/>
          <w:szCs w:val="28"/>
          <w:highlight w:val="none"/>
          <w:lang w:eastAsia="zh-CN"/>
        </w:rPr>
        <w:t xml:space="preserve">.本次磋商不收取磋商保证金。</w:t>
      </w:r>
      <w:r/>
    </w:p>
    <w:p>
      <w:pPr>
        <w:ind w:firstLine="0"/>
        <w:keepLines w:val="0"/>
        <w:keepNext w:val="0"/>
        <w:pageBreakBefore w:val="0"/>
        <w:spacing w:line="56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2.现场勘察及答疑：本项目不组织集中勘察及答疑，供应商如对采购需求有疑问，请咨询采购单位联系人。</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供应商通过苏采云系统参与政府采购项目，需要办理</w:t>
      </w:r>
      <w:r>
        <w:rPr>
          <w:rFonts w:hint="eastAsia" w:ascii="仿宋" w:hAnsi="仿宋" w:eastAsia="仿宋" w:cs="仿宋"/>
          <w:sz w:val="28"/>
          <w:szCs w:val="28"/>
          <w:highlight w:val="none"/>
          <w:lang w:val="en-US" w:eastAsia="zh-CN"/>
        </w:rPr>
        <w:t xml:space="preserve">江苏省政府采购数字证书及</w:t>
      </w:r>
      <w:r>
        <w:rPr>
          <w:rFonts w:hint="eastAsia" w:ascii="仿宋" w:hAnsi="仿宋" w:eastAsia="仿宋" w:cs="仿宋"/>
          <w:sz w:val="28"/>
          <w:szCs w:val="28"/>
          <w:highlight w:val="none"/>
          <w:lang w:eastAsia="zh-CN"/>
        </w:rPr>
        <w:t xml:space="preserve">电子签章，</w:t>
      </w:r>
      <w:r>
        <w:rPr>
          <w:rFonts w:hint="eastAsia" w:ascii="仿宋" w:hAnsi="仿宋" w:eastAsia="仿宋" w:cs="仿宋"/>
          <w:sz w:val="28"/>
          <w:szCs w:val="28"/>
          <w:highlight w:val="none"/>
          <w:lang w:val="en-US" w:eastAsia="zh-CN"/>
        </w:rPr>
        <w:t xml:space="preserve">具体详见苏采云系统登录页“新CA办理指南”。供应商</w:t>
      </w:r>
      <w:r>
        <w:rPr>
          <w:rFonts w:hint="eastAsia" w:ascii="仿宋" w:hAnsi="仿宋" w:eastAsia="仿宋" w:cs="仿宋"/>
          <w:sz w:val="28"/>
          <w:szCs w:val="28"/>
          <w:highlight w:val="none"/>
          <w:lang w:eastAsia="zh-CN"/>
        </w:rPr>
        <w:t xml:space="preserve">按《苏采云系统供应商操作手册》（</w:t>
      </w:r>
      <w:r>
        <w:rPr>
          <w:rFonts w:hint="eastAsia" w:ascii="仿宋" w:hAnsi="仿宋" w:eastAsia="仿宋" w:cs="仿宋"/>
          <w:sz w:val="28"/>
          <w:szCs w:val="28"/>
          <w:highlight w:val="none"/>
          <w:lang w:val="en-US" w:eastAsia="zh-CN"/>
        </w:rPr>
        <w:t xml:space="preserve">以下简称“操作手册”</w:t>
      </w:r>
      <w:r>
        <w:rPr>
          <w:rFonts w:hint="eastAsia" w:ascii="仿宋" w:hAnsi="仿宋" w:eastAsia="仿宋" w:cs="仿宋"/>
          <w:sz w:val="28"/>
          <w:szCs w:val="28"/>
          <w:highlight w:val="none"/>
          <w:lang w:eastAsia="zh-CN"/>
        </w:rPr>
        <w:t xml:space="preserve">）进行注册，</w:t>
      </w:r>
      <w:r>
        <w:rPr>
          <w:rFonts w:hint="eastAsia" w:ascii="仿宋" w:hAnsi="仿宋" w:eastAsia="仿宋" w:cs="仿宋"/>
          <w:sz w:val="28"/>
          <w:szCs w:val="28"/>
          <w:highlight w:val="none"/>
          <w:lang w:val="en-US" w:eastAsia="zh-CN"/>
        </w:rPr>
        <w:t xml:space="preserve">并</w:t>
      </w:r>
      <w:r>
        <w:rPr>
          <w:rFonts w:hint="eastAsia" w:ascii="仿宋" w:hAnsi="仿宋" w:eastAsia="仿宋" w:cs="仿宋"/>
          <w:sz w:val="28"/>
          <w:szCs w:val="28"/>
          <w:highlight w:val="none"/>
          <w:lang w:eastAsia="zh-CN"/>
        </w:rPr>
        <w:t xml:space="preserve">制作上传电子响应文件。《操作手册》</w:t>
      </w:r>
      <w:r>
        <w:rPr>
          <w:rFonts w:hint="eastAsia" w:ascii="仿宋" w:hAnsi="仿宋" w:eastAsia="仿宋" w:cs="仿宋"/>
          <w:sz w:val="28"/>
          <w:szCs w:val="28"/>
          <w:highlight w:val="none"/>
          <w:lang w:eastAsia="zh-CN"/>
        </w:rPr>
        <w:fldChar w:fldCharType="begin"/>
      </w:r>
      <w:r>
        <w:rPr>
          <w:rFonts w:hint="eastAsia" w:ascii="仿宋" w:hAnsi="仿宋" w:eastAsia="仿宋" w:cs="仿宋"/>
          <w:sz w:val="28"/>
          <w:szCs w:val="28"/>
          <w:highlight w:val="none"/>
          <w:lang w:eastAsia="zh-CN"/>
        </w:rPr>
        <w:instrText xml:space="preserve"> HYPERLINK "http://www.ccgp-jiangsu.gov.cn/jiangsu/zlxz/ee/ee3a4bc5a3454aa2b0d9312230633ce9.html" </w:instrText>
      </w:r>
      <w:r>
        <w:rPr>
          <w:rFonts w:hint="eastAsia" w:ascii="仿宋" w:hAnsi="仿宋" w:eastAsia="仿宋" w:cs="仿宋"/>
          <w:sz w:val="28"/>
          <w:szCs w:val="28"/>
          <w:highlight w:val="none"/>
          <w:lang w:eastAsia="zh-CN"/>
        </w:rPr>
        <w:fldChar w:fldCharType="separate"/>
      </w:r>
      <w:r>
        <w:rPr>
          <w:rStyle w:val="770"/>
          <w:rFonts w:hint="eastAsia" w:ascii="仿宋" w:hAnsi="仿宋" w:eastAsia="仿宋" w:cs="仿宋"/>
          <w:sz w:val="28"/>
          <w:szCs w:val="28"/>
          <w:highlight w:val="none"/>
          <w:lang w:eastAsia="zh-CN"/>
        </w:rPr>
        <w:t xml:space="preserve">下载地址</w:t>
      </w:r>
      <w:r>
        <w:rPr>
          <w:rFonts w:hint="eastAsia" w:ascii="仿宋" w:hAnsi="仿宋" w:eastAsia="仿宋" w:cs="仿宋"/>
          <w:sz w:val="28"/>
          <w:szCs w:val="28"/>
          <w:highlight w:val="none"/>
          <w:lang w:eastAsia="zh-CN"/>
        </w:rPr>
        <w:fldChar w:fldCharType="end"/>
      </w:r>
      <w:r>
        <w:rPr>
          <w:rFonts w:hint="eastAsia" w:ascii="仿宋" w:hAnsi="仿宋" w:eastAsia="仿宋" w:cs="仿宋"/>
          <w:sz w:val="28"/>
          <w:szCs w:val="28"/>
          <w:highlight w:val="none"/>
          <w:lang w:eastAsia="zh-CN"/>
        </w:rPr>
        <w:t xml:space="preserve">（CTRL+鼠标左键）。</w:t>
      </w:r>
      <w:r/>
    </w:p>
    <w:p>
      <w:pPr>
        <w:ind w:firstLine="0"/>
        <w:keepLines w:val="0"/>
        <w:keepNext w:val="0"/>
        <w:pageBreakBefore w:val="0"/>
        <w:spacing w:line="56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（1）符合国家相关规定的财务状况报告；</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（2）依法缴纳税收的证明材料；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（3）依法缴纳社会保障资金的证明材料；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（4）具备履行政府采购合同所必需的设备和专业技术能力的证明材料；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（5）参加政府采购活动前三年内在经营活动中没有重大违法记录的证明材料；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供应商涉及以下情形的，不适用信用承诺:</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（1）供应商被列入严重失信主体名单；</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（2）被相关监管部门作出行政处罚且尚在处罚有效期内；</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（3）其他法律、行政法规规定的不适用信用承诺的情形；</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供应商对信用承诺内容的真实性、合法性、有效性负责。如作出虚假信用承诺，视同为“提供虚假材料谋取成交”的违法行为。</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48" w:name="_Toc160699558"/>
      <w:r>
        <w:rPr>
          <w:rFonts w:hint="eastAsia" w:ascii="仿宋" w:hAnsi="仿宋" w:eastAsia="仿宋" w:cs="仿宋"/>
          <w:b/>
          <w:bCs/>
          <w:color w:val="000000" w:themeColor="text1"/>
          <w:sz w:val="28"/>
          <w:szCs w:val="28"/>
          <w:highlight w:val="none"/>
          <w14:textFill>
            <w14:solidFill>
              <w14:schemeClr w14:val="tx1"/>
            </w14:solidFill>
          </w14:textFill>
        </w:rPr>
        <w:t xml:space="preserve">七、本次磋商联系方式</w:t>
      </w:r>
      <w:bookmarkEnd w:id="43"/>
      <w:r/>
      <w:bookmarkEnd w:id="44"/>
      <w:r/>
      <w:bookmarkEnd w:id="45"/>
      <w:r/>
      <w:bookmarkEnd w:id="46"/>
      <w:r/>
      <w:bookmarkEnd w:id="47"/>
      <w:r/>
      <w:bookmarkEnd w:id="48"/>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bookmarkStart w:id="49" w:name="_Toc28359087"/>
      <w:r/>
      <w:bookmarkStart w:id="50" w:name="_Toc28359010"/>
      <w:r>
        <w:rPr>
          <w:rFonts w:hint="eastAsia" w:ascii="仿宋" w:hAnsi="仿宋" w:eastAsia="仿宋" w:cs="仿宋"/>
          <w:b/>
          <w:bCs/>
          <w:color w:val="000000" w:themeColor="text1"/>
          <w:highlight w:val="none"/>
          <w14:textFill>
            <w14:solidFill>
              <w14:schemeClr w14:val="tx1"/>
            </w14:solidFill>
          </w14:textFill>
        </w:rPr>
        <w:t xml:space="preserve">1.采购人信息</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lang w:val="zh-CN"/>
          <w14:textFill>
            <w14:solidFill>
              <w14:schemeClr w14:val="tx1"/>
            </w14:solidFill>
          </w14:textFill>
        </w:rPr>
      </w:pPr>
      <w:r/>
      <w:bookmarkStart w:id="51" w:name="_Toc28359086"/>
      <w:r/>
      <w:bookmarkStart w:id="52" w:name="_Toc28359009"/>
      <w:r>
        <w:rPr>
          <w:rFonts w:hint="eastAsia" w:ascii="仿宋" w:hAnsi="仿宋" w:eastAsia="仿宋" w:cs="仿宋"/>
          <w:b w:val="0"/>
          <w:bCs w:val="0"/>
          <w:color w:val="000000" w:themeColor="text1"/>
          <w:highlight w:val="none"/>
          <w:lang w:val="zh-CN"/>
          <w14:textFill>
            <w14:solidFill>
              <w14:schemeClr w14:val="tx1"/>
            </w14:solidFill>
          </w14:textFill>
        </w:rPr>
        <w:t xml:space="preserve">采购单位：南京市建邺区文化和旅游局</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s="仿宋"/>
          <w:b w:val="0"/>
          <w:bCs w:val="0"/>
          <w:color w:val="000000" w:themeColor="text1"/>
          <w:highlight w:val="none"/>
          <w:lang w:val="zh-CN"/>
          <w14:textFill>
            <w14:solidFill>
              <w14:schemeClr w14:val="tx1"/>
            </w14:solidFill>
          </w14:textFill>
        </w:rPr>
        <w:t xml:space="preserve">采购单位联系方式：</w:t>
      </w:r>
      <w:bookmarkStart w:id="53" w:name="OLE_LINK17"/>
      <w:r>
        <w:rPr>
          <w:rFonts w:hint="eastAsia" w:ascii="仿宋" w:hAnsi="仿宋" w:eastAsia="仿宋" w:cs="仿宋"/>
          <w:b w:val="0"/>
          <w:bCs w:val="0"/>
          <w:color w:val="000000" w:themeColor="text1"/>
          <w:highlight w:val="none"/>
          <w:lang w:val="zh-CN"/>
          <w14:textFill>
            <w14:solidFill>
              <w14:schemeClr w14:val="tx1"/>
            </w14:solidFill>
          </w14:textFill>
        </w:rPr>
        <w:t xml:space="preserve">025-</w:t>
      </w:r>
      <w:bookmarkEnd w:id="53"/>
      <w:r>
        <w:rPr>
          <w:rFonts w:hint="eastAsia" w:ascii="仿宋" w:hAnsi="仿宋" w:eastAsia="仿宋" w:cs="仿宋"/>
          <w:b w:val="0"/>
          <w:bCs w:val="0"/>
          <w:color w:val="000000" w:themeColor="text1"/>
          <w:highlight w:val="none"/>
          <w:lang w:val="en-US" w:eastAsia="zh-CN"/>
          <w14:textFill>
            <w14:solidFill>
              <w14:schemeClr w14:val="tx1"/>
            </w14:solidFill>
          </w14:textFill>
        </w:rPr>
        <w:t xml:space="preserve">87778249</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s="仿宋"/>
          <w:b w:val="0"/>
          <w:bCs w:val="0"/>
          <w:color w:val="000000" w:themeColor="text1"/>
          <w:highlight w:val="none"/>
          <w:lang w:val="en-US" w:eastAsia="zh-CN"/>
          <w14:textFill>
            <w14:solidFill>
              <w14:schemeClr w14:val="tx1"/>
            </w14:solidFill>
          </w14:textFill>
        </w:rPr>
        <w:t xml:space="preserve">联系人：胡主任</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lang w:val="zh-CN"/>
          <w14:textFill>
            <w14:solidFill>
              <w14:schemeClr w14:val="tx1"/>
            </w14:solidFill>
          </w14:textFill>
        </w:rPr>
      </w:pPr>
      <w:r>
        <w:rPr>
          <w:rFonts w:hint="eastAsia" w:ascii="仿宋" w:hAnsi="仿宋" w:eastAsia="仿宋" w:cs="仿宋"/>
          <w:b w:val="0"/>
          <w:bCs w:val="0"/>
          <w:color w:val="000000" w:themeColor="text1"/>
          <w:highlight w:val="none"/>
          <w:lang w:val="zh-CN"/>
          <w14:textFill>
            <w14:solidFill>
              <w14:schemeClr w14:val="tx1"/>
            </w14:solidFill>
          </w14:textFill>
        </w:rPr>
        <w:t xml:space="preserve">办公地址：南京市建邺区雨润大街99号5号楼4楼</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2.</w:t>
      </w:r>
      <w:bookmarkEnd w:id="51"/>
      <w:r/>
      <w:bookmarkEnd w:id="52"/>
      <w:r>
        <w:rPr>
          <w:rFonts w:hint="eastAsia" w:ascii="仿宋" w:hAnsi="仿宋" w:eastAsia="仿宋" w:cs="仿宋"/>
          <w:b/>
          <w:bCs/>
          <w:color w:val="000000" w:themeColor="text1"/>
          <w:highlight w:val="none"/>
          <w14:textFill>
            <w14:solidFill>
              <w14:schemeClr w14:val="tx1"/>
            </w14:solidFill>
          </w14:textFill>
        </w:rPr>
        <w:t xml:space="preserve">代理机构信息</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地　址：南京市雨花台区软件大道180号大数据5号楼M层B108-B</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联系人：顾工、吴工</w:t>
      </w:r>
      <w:r>
        <w:rPr>
          <w:rFonts w:hint="eastAsia" w:ascii="仿宋" w:hAnsi="仿宋" w:eastAsia="仿宋" w:cs="仿宋"/>
          <w:color w:val="000000" w:themeColor="text1"/>
          <w:highlight w:val="none"/>
          <w:lang w:eastAsia="zh-CN"/>
          <w14:textFill>
            <w14:solidFill>
              <w14:schemeClr w14:val="tx1"/>
            </w14:solidFill>
          </w14:textFill>
        </w:rPr>
        <w:t xml:space="preserve"> </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联系电话：15952197379</w:t>
      </w:r>
      <w:r>
        <w:rPr>
          <w:rFonts w:hint="eastAsia" w:ascii="仿宋" w:hAnsi="仿宋" w:eastAsia="仿宋" w:cs="仿宋"/>
          <w:color w:val="000000" w:themeColor="text1"/>
          <w:highlight w:val="none"/>
          <w:lang w:eastAsia="zh-CN"/>
          <w14:textFill>
            <w14:solidFill>
              <w14:schemeClr w14:val="tx1"/>
            </w14:solidFill>
          </w14:textFill>
        </w:rPr>
        <w:t xml:space="preserve"> </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邮箱：jiangsusjgc@163.com</w:t>
      </w:r>
      <w:r/>
    </w:p>
    <w:p>
      <w:pPr>
        <w:ind w:firstLine="0"/>
        <w:keepLines w:val="0"/>
        <w:keepNext w:val="0"/>
        <w:pageBreakBefore w:val="0"/>
        <w:spacing w:line="560" w:lineRule="exact"/>
        <w:widowControl w:val="off"/>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有关本次</w:t>
      </w:r>
      <w:r>
        <w:rPr>
          <w:rFonts w:hint="eastAsia" w:ascii="仿宋" w:hAnsi="仿宋" w:cs="仿宋"/>
          <w:color w:val="000000" w:themeColor="text1"/>
          <w:sz w:val="28"/>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的事项若存在变动或修改，敬请及时关注“江苏政府采购网”发布的信息更正公告。</w:t>
      </w:r>
      <w:r/>
    </w:p>
    <w:p>
      <w:pPr>
        <w:pStyle w:val="765"/>
        <w:rPr>
          <w:rFonts w:hint="eastAsia"/>
          <w:lang w:val="en-US" w:eastAsia="zh-CN"/>
        </w:rPr>
      </w:pPr>
      <w:r>
        <w:rPr>
          <w:rFonts w:hint="eastAsia"/>
          <w:lang w:val="en-US" w:eastAsia="zh-CN"/>
        </w:rPr>
      </w:r>
      <w:bookmarkEnd w:id="49"/>
      <w:r/>
      <w:bookmarkEnd w:id="50"/>
      <w:r/>
      <w:r/>
    </w:p>
    <w:p>
      <w:pPr>
        <w:pStyle w:val="715"/>
        <w:rPr>
          <w:rFonts w:hint="eastAsia" w:ascii="仿宋" w:hAnsi="仿宋" w:eastAsia="仿宋" w:cs="仿宋"/>
          <w:color w:val="000000" w:themeColor="text1"/>
          <w:sz w:val="44"/>
          <w:szCs w:val="44"/>
          <w:highlight w:val="none"/>
          <w14:textFill>
            <w14:solidFill>
              <w14:schemeClr w14:val="tx1"/>
            </w14:solidFill>
          </w14:textFill>
        </w:rPr>
      </w:pPr>
      <w:r/>
      <w:bookmarkStart w:id="54" w:name="_Toc120614211"/>
      <w:r>
        <w:rPr>
          <w:rFonts w:hint="eastAsia" w:ascii="仿宋" w:hAnsi="仿宋" w:eastAsia="仿宋" w:cs="仿宋"/>
          <w:b/>
          <w:bCs/>
          <w:color w:val="000000" w:themeColor="text1"/>
          <w:sz w:val="44"/>
          <w:szCs w:val="44"/>
          <w:highlight w:val="none"/>
          <w14:textFill>
            <w14:solidFill>
              <w14:schemeClr w14:val="tx1"/>
            </w14:solidFill>
          </w14:textFill>
        </w:rPr>
        <w:br w:type="page" w:clear="all"/>
      </w:r>
      <w:bookmarkStart w:id="55" w:name="_Toc160699560"/>
      <w:r>
        <w:rPr>
          <w:rStyle w:val="924"/>
          <w:rFonts w:hint="eastAsia" w:ascii="仿宋" w:hAnsi="仿宋" w:eastAsia="仿宋" w:cs="仿宋"/>
          <w:b/>
          <w:color w:val="000000" w:themeColor="text1"/>
          <w:highlight w:val="none"/>
          <w14:textFill>
            <w14:solidFill>
              <w14:schemeClr w14:val="tx1"/>
            </w14:solidFill>
          </w14:textFill>
        </w:rPr>
        <w:t xml:space="preserve">第二章  </w:t>
      </w:r>
      <w:bookmarkEnd w:id="2"/>
      <w:r/>
      <w:bookmarkEnd w:id="3"/>
      <w:r/>
      <w:bookmarkEnd w:id="4"/>
      <w:r/>
      <w:bookmarkEnd w:id="5"/>
      <w:r/>
      <w:bookmarkEnd w:id="6"/>
      <w:r/>
      <w:bookmarkEnd w:id="54"/>
      <w:r>
        <w:rPr>
          <w:rStyle w:val="924"/>
          <w:rFonts w:hint="eastAsia" w:ascii="仿宋" w:hAnsi="仿宋" w:eastAsia="仿宋" w:cs="仿宋"/>
          <w:b/>
          <w:color w:val="000000" w:themeColor="text1"/>
          <w:highlight w:val="none"/>
          <w14:textFill>
            <w14:solidFill>
              <w14:schemeClr w14:val="tx1"/>
            </w14:solidFill>
          </w14:textFill>
        </w:rPr>
        <w:t xml:space="preserve">供应商须知</w:t>
      </w:r>
      <w:bookmarkEnd w:id="55"/>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56" w:name="_Toc20823275"/>
      <w:r/>
      <w:bookmarkStart w:id="57" w:name="_Toc16938519"/>
      <w:r/>
      <w:bookmarkStart w:id="58" w:name="_Toc120614214"/>
      <w:r/>
      <w:bookmarkStart w:id="59" w:name="_Toc513029203"/>
      <w:r/>
      <w:bookmarkStart w:id="60" w:name="_Toc120614221"/>
      <w:r/>
      <w:bookmarkStart w:id="61" w:name="_Toc513029242"/>
      <w:r/>
      <w:bookmarkStart w:id="62" w:name="_Toc479757207"/>
      <w:r/>
      <w:bookmarkStart w:id="63" w:name="_Toc20823314"/>
      <w:r/>
      <w:bookmarkStart w:id="64" w:name="_Toc16938558"/>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一、总则</w:t>
      </w:r>
      <w:bookmarkEnd w:id="56"/>
      <w:r/>
      <w:bookmarkEnd w:id="57"/>
      <w:r/>
      <w:bookmarkEnd w:id="58"/>
      <w:r/>
      <w:bookmarkEnd w:id="5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65" w:name="_Hlt16619475"/>
      <w:r/>
      <w:bookmarkEnd w:id="65"/>
      <w:r/>
      <w:bookmarkStart w:id="66" w:name="_Toc458694821"/>
      <w:r/>
      <w:bookmarkStart w:id="67" w:name="_Toc20823276"/>
      <w:r/>
      <w:bookmarkStart w:id="68" w:name="_Toc16938520"/>
      <w:r/>
      <w:bookmarkStart w:id="69" w:name="_Toc513029204"/>
      <w:r>
        <w:rPr>
          <w:rFonts w:hint="eastAsia" w:ascii="仿宋" w:hAnsi="仿宋" w:eastAsia="仿宋" w:cs="仿宋"/>
          <w:color w:val="000000" w:themeColor="text1"/>
          <w:sz w:val="28"/>
          <w:szCs w:val="28"/>
          <w:highlight w:val="none"/>
          <w14:textFill>
            <w14:solidFill>
              <w14:schemeClr w14:val="tx1"/>
            </w14:solidFill>
          </w14:textFill>
        </w:rPr>
        <w:t xml:space="preserve">1</w:t>
      </w:r>
      <w:bookmarkEnd w:id="66"/>
      <w:r>
        <w:rPr>
          <w:rFonts w:hint="eastAsia" w:ascii="仿宋" w:hAnsi="仿宋" w:eastAsia="仿宋" w:cs="仿宋"/>
          <w:color w:val="000000" w:themeColor="text1"/>
          <w:sz w:val="28"/>
          <w:szCs w:val="28"/>
          <w:highlight w:val="none"/>
          <w14:textFill>
            <w14:solidFill>
              <w14:schemeClr w14:val="tx1"/>
            </w14:solidFill>
          </w14:textFill>
        </w:rPr>
        <w:t xml:space="preserve">.采购方式</w:t>
      </w:r>
      <w:bookmarkEnd w:id="67"/>
      <w:r/>
      <w:bookmarkEnd w:id="68"/>
      <w:r/>
      <w:bookmarkEnd w:id="6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本次政府采购活动采取竞争性磋商(以下简称“磋商”)方式，本磋商文件仅适用于磋商公告中所述项目。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0" w:name="_Toc513029205"/>
      <w:r/>
      <w:bookmarkStart w:id="71" w:name="_Toc16938521"/>
      <w:r/>
      <w:bookmarkStart w:id="72" w:name="_Toc20823277"/>
      <w:r>
        <w:rPr>
          <w:rFonts w:hint="eastAsia" w:ascii="仿宋" w:hAnsi="仿宋" w:eastAsia="仿宋" w:cs="仿宋"/>
          <w:color w:val="000000" w:themeColor="text1"/>
          <w:sz w:val="28"/>
          <w:szCs w:val="28"/>
          <w:highlight w:val="none"/>
          <w14:textFill>
            <w14:solidFill>
              <w14:schemeClr w14:val="tx1"/>
            </w14:solidFill>
          </w14:textFill>
        </w:rPr>
        <w:t xml:space="preserve">2.合格的</w:t>
      </w:r>
      <w:bookmarkEnd w:id="70"/>
      <w:r/>
      <w:bookmarkEnd w:id="71"/>
      <w:r/>
      <w:bookmarkEnd w:id="72"/>
      <w:r>
        <w:rPr>
          <w:rFonts w:hint="eastAsia" w:ascii="仿宋" w:hAnsi="仿宋" w:eastAsia="仿宋" w:cs="仿宋"/>
          <w:color w:val="000000" w:themeColor="text1"/>
          <w:sz w:val="28"/>
          <w:szCs w:val="28"/>
          <w:highlight w:val="none"/>
          <w14:textFill>
            <w14:solidFill>
              <w14:schemeClr w14:val="tx1"/>
            </w14:solidFill>
          </w14:textFill>
        </w:rPr>
        <w:t xml:space="preserve">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满足磋商公告对供应商资格要求的规定。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2.2 满足本磋商文件规定的实质性要求和条件。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3" w:name="_Toc16938522"/>
      <w:r/>
      <w:bookmarkStart w:id="74" w:name="_Toc513029206"/>
      <w:r/>
      <w:bookmarkStart w:id="75" w:name="_Toc20823278"/>
      <w:r>
        <w:rPr>
          <w:rFonts w:hint="eastAsia" w:ascii="仿宋" w:hAnsi="仿宋" w:eastAsia="仿宋" w:cs="仿宋"/>
          <w:color w:val="000000" w:themeColor="text1"/>
          <w:sz w:val="28"/>
          <w:szCs w:val="28"/>
          <w:highlight w:val="none"/>
          <w14:textFill>
            <w14:solidFill>
              <w14:schemeClr w14:val="tx1"/>
            </w14:solidFill>
          </w14:textFill>
        </w:rPr>
        <w:t xml:space="preserve">3.适用法律</w:t>
      </w:r>
      <w:bookmarkEnd w:id="73"/>
      <w:r/>
      <w:bookmarkEnd w:id="74"/>
      <w:r/>
      <w:bookmarkEnd w:id="75"/>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3.1 本次磋商及由此产生的合同受中华人民共和国有关的法律法规制约和保护。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6" w:name="_Toc462564067"/>
      <w:r/>
      <w:bookmarkStart w:id="77" w:name="_Toc513029207"/>
      <w:r/>
      <w:bookmarkStart w:id="78" w:name="_Toc20823279"/>
      <w:r/>
      <w:bookmarkStart w:id="79" w:name="_Toc16938523"/>
      <w:r>
        <w:rPr>
          <w:rFonts w:hint="eastAsia" w:ascii="仿宋" w:hAnsi="仿宋" w:eastAsia="仿宋" w:cs="仿宋"/>
          <w:color w:val="000000" w:themeColor="text1"/>
          <w:sz w:val="28"/>
          <w:szCs w:val="28"/>
          <w:highlight w:val="none"/>
          <w14:textFill>
            <w14:solidFill>
              <w14:schemeClr w14:val="tx1"/>
            </w14:solidFill>
          </w14:textFill>
        </w:rPr>
        <w:t xml:space="preserve">4.磋商费用</w:t>
      </w:r>
      <w:bookmarkEnd w:id="76"/>
      <w:r/>
      <w:bookmarkEnd w:id="77"/>
      <w:r/>
      <w:bookmarkEnd w:id="78"/>
      <w:r/>
      <w:bookmarkEnd w:id="7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 xml:space="preserve">和采购人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在任何情况下均无义务和责任承担这些费用。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本次采购代理服务费</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及专家评审费</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由</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向采购代理机构支付，</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其中</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代理服务费</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收费标准</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国家计委《招标代理服务收费管理暂行办法》(计价格(2002)1980号)</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文件标准的5.5折执行，专家评审费据实结算。</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账户名称：江苏苏建工程项目管理咨询有限公司</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行：中国银行南京东宝路支行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   号：480676846430</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支付宝：jiangsusjgc@163.com</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5.磋商文件的约束力</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供应商一旦参加本项目采购活动，即被认为接受了本磋商文件的规定和约束。</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80" w:name="_Toc120614215"/>
      <w:r/>
      <w:bookmarkStart w:id="81" w:name="_Toc16938525"/>
      <w:r/>
      <w:bookmarkStart w:id="82" w:name="_Toc20823281"/>
      <w:r/>
      <w:bookmarkStart w:id="83" w:name="_Toc513029209"/>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w:t>
      </w:r>
      <w:bookmarkEnd w:id="80"/>
      <w:r/>
      <w:bookmarkEnd w:id="81"/>
      <w:r/>
      <w:bookmarkEnd w:id="82"/>
      <w:r/>
      <w:bookmarkEnd w:id="83"/>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磋商文件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84" w:name="_Toc20823282"/>
      <w:r/>
      <w:bookmarkStart w:id="85" w:name="_Toc513029210"/>
      <w:r/>
      <w:bookmarkStart w:id="86" w:name="_Toc16938526"/>
      <w:r>
        <w:rPr>
          <w:rFonts w:hint="eastAsia" w:ascii="仿宋" w:hAnsi="仿宋" w:eastAsia="仿宋" w:cs="仿宋"/>
          <w:color w:val="000000" w:themeColor="text1"/>
          <w:sz w:val="28"/>
          <w:szCs w:val="28"/>
          <w:highlight w:val="none"/>
          <w14:textFill>
            <w14:solidFill>
              <w14:schemeClr w14:val="tx1"/>
            </w14:solidFill>
          </w14:textFill>
        </w:rPr>
        <w:t xml:space="preserve">6.磋商文件构成</w:t>
      </w:r>
      <w:bookmarkEnd w:id="84"/>
      <w:r/>
      <w:bookmarkEnd w:id="85"/>
      <w:r/>
      <w:bookmarkEnd w:id="86"/>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磋商文件由以下部分组成：</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竞争性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磋商邀请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竞争性磋商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须知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合同文本</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采购需求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（5）评审方法与评审标准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（6）竞争性磋商响应文件格式及附件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供应商应仔细检查磋商文件是否齐全，如有缺漏请立即与代理机构联系。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87" w:name="_Toc462564070"/>
      <w:r/>
      <w:bookmarkStart w:id="88" w:name="_Toc513029211"/>
      <w:r/>
      <w:bookmarkStart w:id="89" w:name="_Toc16938527"/>
      <w:r/>
      <w:bookmarkStart w:id="90" w:name="_Toc20823283"/>
      <w:r>
        <w:rPr>
          <w:rFonts w:hint="eastAsia" w:ascii="仿宋" w:hAnsi="仿宋" w:eastAsia="仿宋" w:cs="仿宋"/>
          <w:color w:val="000000" w:themeColor="text1"/>
          <w:sz w:val="28"/>
          <w:szCs w:val="28"/>
          <w:highlight w:val="none"/>
          <w14:textFill>
            <w14:solidFill>
              <w14:schemeClr w14:val="tx1"/>
            </w14:solidFill>
          </w14:textFill>
        </w:rPr>
        <w:t xml:space="preserve">7.磋商文件的澄清</w:t>
      </w:r>
      <w:bookmarkEnd w:id="87"/>
      <w:r/>
      <w:bookmarkEnd w:id="88"/>
      <w:r/>
      <w:bookmarkEnd w:id="89"/>
      <w:r/>
      <w:bookmarkEnd w:id="90"/>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7.1 任何要求对磋商文件进行澄清的供应商，应在磋商截止期五日前按磋商公告中的通讯地址，以书面形式通知代理机构。</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91" w:name="_Toc16938528"/>
      <w:r/>
      <w:bookmarkStart w:id="92" w:name="_Toc20823284"/>
      <w:r/>
      <w:bookmarkStart w:id="93" w:name="_Toc462564071"/>
      <w:r/>
      <w:bookmarkStart w:id="94" w:name="_Toc513029212"/>
      <w:r>
        <w:rPr>
          <w:rFonts w:hint="eastAsia" w:ascii="仿宋" w:hAnsi="仿宋" w:eastAsia="仿宋" w:cs="仿宋"/>
          <w:color w:val="000000" w:themeColor="text1"/>
          <w:sz w:val="28"/>
          <w:szCs w:val="28"/>
          <w:highlight w:val="none"/>
          <w14:textFill>
            <w14:solidFill>
              <w14:schemeClr w14:val="tx1"/>
            </w14:solidFill>
          </w14:textFill>
        </w:rPr>
        <w:t xml:space="preserve">8.磋商文件的澄清和修改</w:t>
      </w:r>
      <w:bookmarkEnd w:id="91"/>
      <w:r/>
      <w:bookmarkEnd w:id="92"/>
      <w:r/>
      <w:bookmarkEnd w:id="93"/>
      <w:r/>
      <w:bookmarkEnd w:id="94"/>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bookmarkStart w:id="95" w:name="_Toc462564072"/>
      <w:r/>
      <w:bookmarkStart w:id="96" w:name="_Toc513029213"/>
      <w:r/>
      <w:bookmarkStart w:id="97" w:name="_Toc120614216"/>
      <w:r/>
      <w:bookmarkStart w:id="98" w:name="_Toc16938529"/>
      <w:r/>
      <w:bookmarkStart w:id="99" w:name="_Toc20823285"/>
      <w:r>
        <w:rPr>
          <w:rFonts w:hint="eastAsia" w:ascii="仿宋" w:hAnsi="仿宋" w:eastAsia="仿宋" w:cs="仿宋"/>
          <w:color w:val="000000" w:themeColor="text1"/>
          <w:sz w:val="28"/>
          <w:szCs w:val="28"/>
          <w:highlight w:val="none"/>
          <w:lang w:val="zh-CN"/>
          <w14:textFill>
            <w14:solidFill>
              <w14:schemeClr w14:val="tx1"/>
            </w14:solidFill>
          </w14:textFill>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代理机构有权按照法定的要求推迟提交响应文件截止时间，并在原公告媒体发布更正公告。</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三、响应文件的编制</w:t>
      </w:r>
      <w:bookmarkEnd w:id="95"/>
      <w:r/>
      <w:bookmarkEnd w:id="96"/>
      <w:r/>
      <w:bookmarkEnd w:id="97"/>
      <w:r/>
      <w:bookmarkEnd w:id="98"/>
      <w:r/>
      <w:bookmarkEnd w:id="9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0" w:name="_Toc16938530"/>
      <w:r/>
      <w:bookmarkStart w:id="101" w:name="_Toc462564073"/>
      <w:r/>
      <w:bookmarkStart w:id="102" w:name="_Toc513029214"/>
      <w:r/>
      <w:bookmarkStart w:id="103" w:name="_Toc20823286"/>
      <w:r>
        <w:rPr>
          <w:rFonts w:hint="eastAsia" w:ascii="仿宋" w:hAnsi="仿宋" w:eastAsia="仿宋" w:cs="仿宋"/>
          <w:color w:val="000000" w:themeColor="text1"/>
          <w:sz w:val="28"/>
          <w:szCs w:val="28"/>
          <w:highlight w:val="none"/>
          <w14:textFill>
            <w14:solidFill>
              <w14:schemeClr w14:val="tx1"/>
            </w14:solidFill>
          </w14:textFill>
        </w:rPr>
        <w:t xml:space="preserve">9.响应文件的语言及度量衡单位</w:t>
      </w:r>
      <w:bookmarkEnd w:id="100"/>
      <w:r/>
      <w:bookmarkEnd w:id="101"/>
      <w:r/>
      <w:bookmarkEnd w:id="102"/>
      <w:r/>
      <w:bookmarkEnd w:id="103"/>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供应商提交的响应文件以及供应商与代理机构就有关磋商的所有来往通知、函件和文件均应使用简体中文。</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9.2 除技术性能另有规定外，响应文件所使用的度量衡单位，均须采用国家法定计量单位。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4" w:name="_Toc20823287"/>
      <w:r/>
      <w:bookmarkStart w:id="105" w:name="_Toc16938531"/>
      <w:r/>
      <w:bookmarkStart w:id="106" w:name="_Toc513029215"/>
      <w:r/>
      <w:bookmarkStart w:id="107" w:name="_Toc462564074"/>
      <w:r>
        <w:rPr>
          <w:rFonts w:hint="eastAsia" w:ascii="仿宋" w:hAnsi="仿宋" w:eastAsia="仿宋" w:cs="仿宋"/>
          <w:color w:val="000000" w:themeColor="text1"/>
          <w:sz w:val="28"/>
          <w:szCs w:val="28"/>
          <w:highlight w:val="none"/>
          <w14:textFill>
            <w14:solidFill>
              <w14:schemeClr w14:val="tx1"/>
            </w14:solidFill>
          </w14:textFill>
        </w:rPr>
        <w:t xml:space="preserve">10.响应文件构成</w:t>
      </w:r>
      <w:bookmarkEnd w:id="104"/>
      <w:r/>
      <w:bookmarkEnd w:id="105"/>
      <w:r/>
      <w:bookmarkEnd w:id="106"/>
      <w:r/>
      <w:bookmarkEnd w:id="10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分项报价表、采购需求偏离表、其他证明文件、磋商响应函等部分。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★（1）报价表、分项报价表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bookmarkStart w:id="108" w:name="OLE_LINK1"/>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、商务要求响应及偏离表</w:t>
      </w:r>
      <w:bookmarkEnd w:id="108"/>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10.2 如标书制作工具中格式和内容与“江苏政府采购网”发布的磋商文件不一致，以“江苏政府采购网”发布的磋商文件为准。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9" w:name="_Hlt26954838"/>
      <w:r/>
      <w:bookmarkEnd w:id="109"/>
      <w:r/>
      <w:bookmarkStart w:id="110" w:name="_Hlt26670360"/>
      <w:r/>
      <w:bookmarkEnd w:id="110"/>
      <w:r/>
      <w:bookmarkStart w:id="111" w:name="_Hlt26668975"/>
      <w:r/>
      <w:bookmarkEnd w:id="111"/>
      <w:r/>
      <w:bookmarkStart w:id="112" w:name="_Toc513029219"/>
      <w:r/>
      <w:bookmarkStart w:id="113" w:name="_Toc513029216"/>
      <w:r/>
      <w:bookmarkStart w:id="114" w:name="_Toc49090509"/>
      <w:r/>
      <w:bookmarkStart w:id="115" w:name="_Toc49090507"/>
      <w:r/>
      <w:bookmarkStart w:id="116" w:name="_Toc14577354"/>
      <w:r/>
      <w:bookmarkStart w:id="117" w:name="_Toc14577357"/>
      <w:r/>
      <w:bookmarkStart w:id="118" w:name="_Toc14577355"/>
      <w:r/>
      <w:bookmarkStart w:id="119" w:name="_Toc49090508"/>
      <w:r>
        <w:rPr>
          <w:rFonts w:hint="eastAsia" w:ascii="仿宋" w:hAnsi="仿宋" w:eastAsia="仿宋" w:cs="仿宋"/>
          <w:color w:val="000000" w:themeColor="text1"/>
          <w:sz w:val="28"/>
          <w:szCs w:val="28"/>
          <w:highlight w:val="none"/>
          <w14:textFill>
            <w14:solidFill>
              <w14:schemeClr w14:val="tx1"/>
            </w14:solidFill>
          </w14:textFill>
        </w:rPr>
        <w:t xml:space="preserve">11.证明磋商响应标的符合磋商文件规定的文件</w:t>
      </w:r>
      <w:bookmarkEnd w:id="112"/>
      <w:r/>
      <w:bookmarkEnd w:id="113"/>
      <w:r/>
      <w:bookmarkEnd w:id="114"/>
      <w:r/>
      <w:bookmarkEnd w:id="115"/>
      <w:r/>
      <w:bookmarkEnd w:id="116"/>
      <w:r/>
      <w:bookmarkEnd w:id="11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供应商应按照法律、法规、规章和规范性文件以及磋商文件要求提交证明文件，证明其响应标的符合磋商文件规定。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磋商文件对证明文件无明确形式要求的，证明文件可以以文字资料、图纸和数据等形式提交。</w:t>
      </w:r>
      <w:bookmarkEnd w:id="118"/>
      <w:r/>
      <w:bookmarkEnd w:id="119"/>
      <w:r/>
      <w:r/>
    </w:p>
    <w:p>
      <w:pPr>
        <w:ind w:firstLine="0"/>
        <w:jc w:val="left"/>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12.分项报价表</w:t>
      </w:r>
      <w:r>
        <w:rPr>
          <w:rFonts w:hint="eastAsia" w:ascii="仿宋" w:hAnsi="仿宋" w:cs="仿宋"/>
          <w:color w:val="000000" w:themeColor="text1"/>
          <w:sz w:val="28"/>
          <w:szCs w:val="28"/>
          <w:highlight w:val="none"/>
          <w:lang w:eastAsia="zh-CN"/>
          <w14:textFill>
            <w14:solidFill>
              <w14:schemeClr w14:val="tx1"/>
            </w14:solidFill>
          </w14:textFill>
        </w:rPr>
        <w:t xml:space="preserve">（</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供应商应按照磋商文件规定格式填报分项报价表。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磋商货币。响应文件中的单价和总价无特殊规定的采用人民币报价，以元为单位标注。磋商文件中另有规定的按规定执行。</w:t>
      </w:r>
      <w:r/>
    </w:p>
    <w:p>
      <w:pPr>
        <w:ind w:firstLine="0"/>
        <w:jc w:val="left"/>
        <w:keepLines w:val="0"/>
        <w:pageBreakBefore w:val="0"/>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bookmarkStart w:id="120" w:name="_Hlt26670482"/>
      <w:r/>
      <w:bookmarkEnd w:id="120"/>
      <w:r/>
      <w:bookmarkStart w:id="121" w:name="_Hlt26670486"/>
      <w:r/>
      <w:bookmarkEnd w:id="121"/>
      <w:r/>
      <w:bookmarkStart w:id="122" w:name="_Hlt26954846"/>
      <w:r/>
      <w:bookmarkEnd w:id="122"/>
      <w:r/>
      <w:bookmarkStart w:id="123" w:name="_Hlt26954731"/>
      <w:r/>
      <w:bookmarkEnd w:id="123"/>
      <w:r/>
      <w:bookmarkStart w:id="124" w:name="_Hlt26954848"/>
      <w:r/>
      <w:bookmarkEnd w:id="124"/>
      <w:r>
        <w:rPr>
          <w:rFonts w:hint="eastAsia" w:ascii="仿宋" w:hAnsi="仿宋" w:eastAsia="仿宋" w:cs="仿宋"/>
          <w:color w:val="000000" w:themeColor="text1"/>
          <w:sz w:val="28"/>
          <w:szCs w:val="28"/>
          <w:highlight w:val="none"/>
          <w:lang w:val="zh-CN"/>
          <w14:textFill>
            <w14:solidFill>
              <w14:schemeClr w14:val="tx1"/>
            </w14:solidFill>
          </w14:textFill>
        </w:rPr>
        <w:t xml:space="preserve">13.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、商务要求响应及偏离表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项目需求</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逐项作出响应或偏离说明。</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13.2 供应商可在响应文件中提供认为需要的其他技术文件或说明。</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5" w:name="_Toc49090510"/>
      <w:r/>
      <w:bookmarkStart w:id="126" w:name="_Toc14577359"/>
      <w:r>
        <w:rPr>
          <w:rFonts w:hint="eastAsia" w:ascii="仿宋" w:hAnsi="仿宋" w:eastAsia="仿宋" w:cs="仿宋"/>
          <w:color w:val="000000" w:themeColor="text1"/>
          <w:sz w:val="28"/>
          <w:szCs w:val="28"/>
          <w:highlight w:val="none"/>
          <w14:textFill>
            <w14:solidFill>
              <w14:schemeClr w14:val="tx1"/>
            </w14:solidFill>
          </w14:textFill>
        </w:rPr>
        <w:t xml:space="preserve">14.</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和报价表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竞争性</w:t>
      </w:r>
      <w:r>
        <w:rPr>
          <w:rFonts w:hint="eastAsia" w:ascii="仿宋" w:hAnsi="仿宋" w:eastAsia="仿宋" w:cs="仿宋"/>
          <w:color w:val="000000" w:themeColor="text1"/>
          <w:sz w:val="28"/>
          <w:szCs w:val="28"/>
          <w:highlight w:val="none"/>
          <w14:textFill>
            <w14:solidFill>
              <w14:schemeClr w14:val="tx1"/>
            </w14:solidFill>
          </w14:textFill>
        </w:rPr>
        <w:t xml:space="preserve">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bookmarkEnd w:id="125"/>
      <w:r/>
      <w:bookmarkEnd w:id="126"/>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7" w:name="_Toc49090511"/>
      <w:r/>
      <w:bookmarkStart w:id="128" w:name="_Toc14577360"/>
      <w:r>
        <w:rPr>
          <w:rFonts w:hint="eastAsia" w:ascii="仿宋" w:hAnsi="仿宋" w:eastAsia="仿宋" w:cs="仿宋"/>
          <w:color w:val="000000" w:themeColor="text1"/>
          <w:sz w:val="28"/>
          <w:szCs w:val="28"/>
          <w:highlight w:val="none"/>
          <w14:textFill>
            <w14:solidFill>
              <w14:schemeClr w14:val="tx1"/>
            </w14:solidFill>
          </w14:textFill>
        </w:rPr>
        <w:t xml:space="preserve">15.磋商有效期</w:t>
      </w:r>
      <w:bookmarkEnd w:id="127"/>
      <w:r/>
      <w:bookmarkEnd w:id="128"/>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磋商有效期为采购公告规定的提交响应文件截止之日起六十天。磋商有效期比规定短的将被视为非实质性响应磋商文件而被拒绝。</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16.磋商有效期的延长</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29" w:name="_Hlt26954852"/>
      <w:r/>
      <w:bookmarkEnd w:id="129"/>
      <w:r/>
      <w:bookmarkStart w:id="130" w:name="_Hlt26954739"/>
      <w:r/>
      <w:bookmarkEnd w:id="130"/>
      <w:r/>
      <w:bookmarkStart w:id="131" w:name="_Toc16938540"/>
      <w:r/>
      <w:bookmarkStart w:id="132" w:name="_Toc120614217"/>
      <w:r/>
      <w:bookmarkStart w:id="133" w:name="_Toc20823296"/>
      <w:r/>
      <w:bookmarkStart w:id="134" w:name="_Toc513029224"/>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四、响应文件的递交</w:t>
      </w:r>
      <w:bookmarkEnd w:id="131"/>
      <w:r/>
      <w:bookmarkEnd w:id="132"/>
      <w:r/>
      <w:bookmarkEnd w:id="133"/>
      <w:r/>
      <w:bookmarkEnd w:id="134"/>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35" w:name="_Toc20823297"/>
      <w:r/>
      <w:bookmarkStart w:id="136" w:name="_Toc462564084"/>
      <w:r/>
      <w:bookmarkStart w:id="137" w:name="_Toc16938541"/>
      <w:r/>
      <w:bookmarkStart w:id="138" w:name="_Toc513029225"/>
      <w:r>
        <w:rPr>
          <w:rFonts w:hint="eastAsia" w:ascii="仿宋" w:hAnsi="仿宋" w:eastAsia="仿宋" w:cs="仿宋"/>
          <w:color w:val="000000" w:themeColor="text1"/>
          <w:sz w:val="28"/>
          <w:szCs w:val="28"/>
          <w:highlight w:val="none"/>
          <w14:textFill>
            <w14:solidFill>
              <w14:schemeClr w14:val="tx1"/>
            </w14:solidFill>
          </w14:textFill>
        </w:rPr>
        <w:t xml:space="preserve">17.</w:t>
      </w:r>
      <w:bookmarkEnd w:id="135"/>
      <w:r/>
      <w:bookmarkEnd w:id="136"/>
      <w:r/>
      <w:bookmarkEnd w:id="137"/>
      <w:r/>
      <w:bookmarkEnd w:id="138"/>
      <w:r>
        <w:rPr>
          <w:rFonts w:hint="eastAsia" w:ascii="仿宋" w:hAnsi="仿宋" w:eastAsia="仿宋" w:cs="仿宋"/>
          <w:color w:val="000000" w:themeColor="text1"/>
          <w:sz w:val="28"/>
          <w:szCs w:val="28"/>
          <w:highlight w:val="none"/>
          <w14:textFill>
            <w14:solidFill>
              <w14:schemeClr w14:val="tx1"/>
            </w14:solidFill>
          </w14:textFill>
        </w:rPr>
        <w:t xml:space="preserve">响应文件的递交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响应文件应加盖投标供应商公章。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39" w:name="_Toc20823298"/>
      <w:r/>
      <w:bookmarkEnd w:id="139"/>
      <w:r/>
      <w:bookmarkStart w:id="140" w:name="_Toc513029226"/>
      <w:r/>
      <w:bookmarkEnd w:id="140"/>
      <w:r/>
      <w:bookmarkStart w:id="141" w:name="_Toc16938542"/>
      <w:r/>
      <w:bookmarkEnd w:id="14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 xml:space="preserve">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.3条规定做无效响应处理。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42" w:name="_Toc16938543"/>
      <w:r/>
      <w:bookmarkStart w:id="143" w:name="_Toc513029227"/>
      <w:r/>
      <w:bookmarkStart w:id="144" w:name="_Toc20823299"/>
      <w:r>
        <w:rPr>
          <w:rFonts w:hint="eastAsia" w:ascii="仿宋" w:hAnsi="仿宋" w:eastAsia="仿宋" w:cs="仿宋"/>
          <w:color w:val="000000" w:themeColor="text1"/>
          <w:sz w:val="28"/>
          <w:szCs w:val="28"/>
          <w:highlight w:val="none"/>
          <w14:textFill>
            <w14:solidFill>
              <w14:schemeClr w14:val="tx1"/>
            </w14:solidFill>
          </w14:textFill>
        </w:rPr>
        <w:t xml:space="preserve">18.响应文件</w:t>
      </w:r>
      <w:bookmarkEnd w:id="142"/>
      <w:r/>
      <w:bookmarkEnd w:id="143"/>
      <w:r/>
      <w:bookmarkEnd w:id="144"/>
      <w:r>
        <w:rPr>
          <w:rFonts w:hint="eastAsia" w:ascii="仿宋" w:hAnsi="仿宋" w:eastAsia="仿宋" w:cs="仿宋"/>
          <w:color w:val="000000" w:themeColor="text1"/>
          <w:sz w:val="28"/>
          <w:szCs w:val="28"/>
          <w:highlight w:val="none"/>
          <w14:textFill>
            <w14:solidFill>
              <w14:schemeClr w14:val="tx1"/>
            </w14:solidFill>
          </w14:textFill>
        </w:rPr>
        <w:t xml:space="preserve">的拒收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 代理机构拒绝接收提交响应文件截止时间后上传的任何电子响应文件。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45" w:name="_Toc513029228"/>
      <w:r/>
      <w:bookmarkStart w:id="146" w:name="_Toc20823300"/>
      <w:r/>
      <w:bookmarkStart w:id="147" w:name="_Toc16938544"/>
      <w:r>
        <w:rPr>
          <w:rFonts w:hint="eastAsia" w:ascii="仿宋" w:hAnsi="仿宋" w:eastAsia="仿宋" w:cs="仿宋"/>
          <w:color w:val="000000" w:themeColor="text1"/>
          <w:sz w:val="28"/>
          <w:szCs w:val="28"/>
          <w:highlight w:val="none"/>
          <w14:textFill>
            <w14:solidFill>
              <w14:schemeClr w14:val="tx1"/>
            </w14:solidFill>
          </w14:textFill>
        </w:rPr>
        <w:t xml:space="preserve">19.响应文件的撤回和修改</w:t>
      </w:r>
      <w:bookmarkEnd w:id="145"/>
      <w:r/>
      <w:bookmarkEnd w:id="146"/>
      <w:r/>
      <w:bookmarkEnd w:id="14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响应文件的撤回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供应商可在提交响应文件截止时间前撤回其电子响应文件，具体操作方法见《操作手册》。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供应商撤回电子响应文件，则认为其不再参与本项目磋商活动。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响应文件的修改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供应商可在提交响应文件截止时间前对其电子响应文件进行修改，具体操作方法见《操作手册》。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提交响应文件截止时间之后，供应商不得对其电子响应文件作任何修改。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48" w:name="_Toc16938545"/>
      <w:r/>
      <w:bookmarkStart w:id="149" w:name="_Toc120614218"/>
      <w:r/>
      <w:bookmarkStart w:id="150" w:name="_Toc513029229"/>
      <w:r/>
      <w:bookmarkStart w:id="151" w:name="_Toc20823301"/>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五、响应文件的解密与评审</w:t>
      </w:r>
      <w:bookmarkEnd w:id="148"/>
      <w:r/>
      <w:bookmarkEnd w:id="149"/>
      <w:r/>
      <w:bookmarkEnd w:id="150"/>
      <w:r/>
      <w:bookmarkEnd w:id="15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2" w:name="_Toc20823302"/>
      <w:r/>
      <w:bookmarkStart w:id="153" w:name="_Toc16938546"/>
      <w:r/>
      <w:bookmarkStart w:id="154" w:name="_Toc513029230"/>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52"/>
      <w:r/>
      <w:bookmarkEnd w:id="153"/>
      <w:r/>
      <w:bookmarkEnd w:id="154"/>
      <w:r>
        <w:rPr>
          <w:rFonts w:hint="eastAsia" w:ascii="仿宋" w:hAnsi="仿宋" w:eastAsia="仿宋" w:cs="仿宋"/>
          <w:color w:val="000000" w:themeColor="text1"/>
          <w:sz w:val="28"/>
          <w:szCs w:val="28"/>
          <w:highlight w:val="none"/>
          <w14:textFill>
            <w14:solidFill>
              <w14:schemeClr w14:val="tx1"/>
            </w14:solidFill>
          </w14:textFill>
        </w:rPr>
        <w:t xml:space="preserve">0.响应文件解密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20.1 供应商应当按照《操作手册》规定，在苏采云系统规定的时间内对响应文件进行解密。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5" w:name="_Toc16938547"/>
      <w:r/>
      <w:bookmarkStart w:id="156" w:name="_Toc20823303"/>
      <w:r/>
      <w:bookmarkStart w:id="157" w:name="_Toc513029231"/>
      <w:r>
        <w:rPr>
          <w:rFonts w:hint="eastAsia" w:ascii="仿宋" w:hAnsi="仿宋" w:eastAsia="仿宋" w:cs="仿宋"/>
          <w:color w:val="000000" w:themeColor="text1"/>
          <w:sz w:val="28"/>
          <w:szCs w:val="28"/>
          <w:highlight w:val="none"/>
          <w14:textFill>
            <w14:solidFill>
              <w14:schemeClr w14:val="tx1"/>
            </w14:solidFill>
          </w14:textFill>
        </w:rPr>
        <w:t xml:space="preserve">21.磋商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21.1 代理机构将组织磋商小组对响应文件进行评审。</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21.2 磋商小组由采购人代表和有关技术、经济等方面的专家组成，且人员构成符合政府采购有关规定。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21.3 磋商小组独立工作，负责评审所有响应文件并推荐成交侯选人，或根据采购人授权直接确定成交供应商。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22.评审过程的保密与公正</w:t>
      </w:r>
      <w:bookmarkEnd w:id="155"/>
      <w:r/>
      <w:bookmarkEnd w:id="156"/>
      <w:r/>
      <w:bookmarkEnd w:id="15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22.2 供应商不得以任何方式影响磋商评审，否则其响应文件将被作为无效响应文件。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22.3 代理机构和磋商小组不向未成交的供应商解释未成交原因，也不公布评审过程中的相关细节。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8" w:name="_Toc20823304"/>
      <w:r/>
      <w:bookmarkStart w:id="159" w:name="_Toc513029232"/>
      <w:r/>
      <w:bookmarkStart w:id="160" w:name="_Toc16938548"/>
      <w:r>
        <w:rPr>
          <w:rFonts w:hint="eastAsia" w:ascii="仿宋" w:hAnsi="仿宋" w:eastAsia="仿宋" w:cs="仿宋"/>
          <w:color w:val="000000" w:themeColor="text1"/>
          <w:sz w:val="28"/>
          <w:szCs w:val="28"/>
          <w:highlight w:val="none"/>
          <w14:textFill>
            <w14:solidFill>
              <w14:schemeClr w14:val="tx1"/>
            </w14:solidFill>
          </w14:textFill>
        </w:rPr>
        <w:t xml:space="preserve">23.评审过程中的澄清</w:t>
      </w:r>
      <w:bookmarkEnd w:id="158"/>
      <w:r/>
      <w:bookmarkEnd w:id="159"/>
      <w:r/>
      <w:bookmarkEnd w:id="160"/>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供应商的澄清、说明或者补正不得超出响应文件的范围或者改变响应文件的实质性内容。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磋商小组并非对每个供应商都作澄清要求。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，接到</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并加盖电子公章。澄清、说明和补正的内容作为响应文件的补充部分，具体操作方式见《操作手册》。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23.3 接到磋商小组澄清、说明和补正要求的供应商如未按规定做出澄清、说明和补正，其风险由供应商自行承担。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1" w:name="_Toc16938549"/>
      <w:r/>
      <w:bookmarkStart w:id="162" w:name="_Toc20823305"/>
      <w:r/>
      <w:bookmarkStart w:id="163" w:name="_Toc513029233"/>
      <w:r>
        <w:rPr>
          <w:rFonts w:hint="eastAsia" w:ascii="仿宋" w:hAnsi="仿宋" w:eastAsia="仿宋" w:cs="仿宋"/>
          <w:color w:val="000000" w:themeColor="text1"/>
          <w:sz w:val="28"/>
          <w:szCs w:val="28"/>
          <w:highlight w:val="none"/>
          <w14:textFill>
            <w14:solidFill>
              <w14:schemeClr w14:val="tx1"/>
            </w14:solidFill>
          </w14:textFill>
        </w:rPr>
        <w:t xml:space="preserve">24.响应文件的审</w:t>
      </w:r>
      <w:bookmarkEnd w:id="161"/>
      <w:r/>
      <w:bookmarkEnd w:id="162"/>
      <w:r/>
      <w:bookmarkEnd w:id="163"/>
      <w:r>
        <w:rPr>
          <w:rFonts w:hint="eastAsia" w:ascii="仿宋" w:hAnsi="仿宋" w:eastAsia="仿宋" w:cs="仿宋"/>
          <w:color w:val="000000" w:themeColor="text1"/>
          <w:sz w:val="28"/>
          <w:szCs w:val="28"/>
          <w:highlight w:val="none"/>
          <w14:textFill>
            <w14:solidFill>
              <w14:schemeClr w14:val="tx1"/>
            </w14:solidFill>
          </w14:textFill>
        </w:rPr>
        <w:t xml:space="preserve">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 响应文件审查分为资格审查和符合性审查。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 xml:space="preserve">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 xml:space="preserve">由</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磋商小组</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 xml:space="preserve">磋商小组认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 未实质性响应磋商文件的情形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 供应商在苏采云系统规定的时间内未成功解密电子响应文件。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24.3.2 供应商未按照磋商文件要求上传电子响应文件。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24.3.3 同一供应商提交两个（含两个）以上不同的响应文件或者最后报价。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24.3.4 供应商不具备磋商文件中规定资格要求。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24.3.5 供应商的最后报价超过了采购预算或最高限价。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打“</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w:t>
      </w:r>
      <w:r>
        <w:rPr>
          <w:rFonts w:hint="eastAsia" w:ascii="仿宋" w:hAnsi="仿宋" w:eastAsia="仿宋" w:cs="仿宋"/>
          <w:color w:val="000000" w:themeColor="text1"/>
          <w:sz w:val="28"/>
          <w:szCs w:val="28"/>
          <w:highlight w:val="none"/>
          <w14:textFill>
            <w14:solidFill>
              <w14:schemeClr w14:val="tx1"/>
            </w14:solidFill>
          </w14:textFill>
        </w:rPr>
        <w:t xml:space="preserve">为实质性要求和条件）。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24.3.8 响应文件含有采购人不能接受的附加条件。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24.3.11 响应文件未按照磋商文件要求加盖电子公章。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24.3.12 法律法规及本磋商文件规定的其他无效响应的情形。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24.4 未实质性响应磋商文件的响应文件按无效响应处理。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24.5 如果响应文件实质上没有响应磋商文件的要求，磋商小组将予以拒绝，供应商不得通过修改或撤销不合要求的偏离或保留而使其成为实质性响应的文件。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4" w:name="_Toc16938550"/>
      <w:r/>
      <w:bookmarkStart w:id="165" w:name="_Toc513029234"/>
      <w:r/>
      <w:bookmarkStart w:id="166" w:name="_Toc20823306"/>
      <w:r>
        <w:rPr>
          <w:rFonts w:hint="eastAsia" w:ascii="仿宋" w:hAnsi="仿宋" w:eastAsia="仿宋" w:cs="仿宋"/>
          <w:color w:val="000000" w:themeColor="text1"/>
          <w:sz w:val="28"/>
          <w:szCs w:val="28"/>
          <w:highlight w:val="none"/>
          <w14:textFill>
            <w14:solidFill>
              <w14:schemeClr w14:val="tx1"/>
            </w14:solidFill>
          </w14:textFill>
        </w:rPr>
        <w:t xml:space="preserve">24.6 供应商在项目评审全过程中应保持通讯畅通，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及时登录苏采云系统查阅、答复相关信息，并安排专人与代理机构及磋商小组联系。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64"/>
      <w:r/>
      <w:bookmarkEnd w:id="165"/>
      <w:r/>
      <w:bookmarkEnd w:id="166"/>
      <w:r>
        <w:rPr>
          <w:rFonts w:hint="eastAsia" w:ascii="仿宋" w:hAnsi="仿宋" w:eastAsia="仿宋" w:cs="仿宋"/>
          <w:color w:val="000000" w:themeColor="text1"/>
          <w:sz w:val="28"/>
          <w:szCs w:val="28"/>
          <w:highlight w:val="none"/>
          <w14:textFill>
            <w14:solidFill>
              <w14:schemeClr w14:val="tx1"/>
            </w14:solidFill>
          </w14:textFill>
        </w:rPr>
        <w:t xml:space="preserve">5.磋商程序及评审方法和评审标准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7" w:name="_Toc120614219"/>
      <w:r/>
      <w:bookmarkStart w:id="168" w:name="_Toc513029235"/>
      <w:r/>
      <w:bookmarkStart w:id="169" w:name="_Toc20823307"/>
      <w:r/>
      <w:bookmarkStart w:id="170" w:name="_Toc16938551"/>
      <w:r>
        <w:rPr>
          <w:rFonts w:hint="eastAsia" w:ascii="仿宋" w:hAnsi="仿宋" w:eastAsia="仿宋" w:cs="仿宋"/>
          <w:color w:val="000000" w:themeColor="text1"/>
          <w:sz w:val="28"/>
          <w:szCs w:val="28"/>
          <w:highlight w:val="none"/>
          <w14:textFill>
            <w14:solidFill>
              <w14:schemeClr w14:val="tx1"/>
            </w14:solidFill>
          </w14:textFill>
        </w:rPr>
        <w:t xml:space="preserve">25.1 磋商程序</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 评审方法和评审标准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25.2.1 评审方法。经磋商确定最终采购需求和提交最后报价的供应商后，由磋商小组采用综合评分法对提交最后报价的供应商的响应文件和最后报价进行综合评分。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25.2.2 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 采购活动终止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出现下列情形之一的，本次采购活动将被终止：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25.3.1 因情况变化，不再符合竞争性磋商采购方式适用情形。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25.3.2 出现影响采购公正的违法、违规行为。</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25.3.3 在苏采云系统规定时间内成功解密电子响应文件的供应商不足3家。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25.3.4 除本磋商文件第二章第25.1.2条第三款规定的情形外，磋商过程中符合要求的供应商或者提交最后报价且未超过采购预算（最高限价）的供应商不足3家。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法律法规规定的其他应当终止情形。</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六、</w:t>
      </w:r>
      <w:bookmarkEnd w:id="167"/>
      <w:r/>
      <w:bookmarkEnd w:id="168"/>
      <w:r/>
      <w:bookmarkEnd w:id="169"/>
      <w:r/>
      <w:bookmarkEnd w:id="170"/>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71" w:name="_Toc513029238"/>
      <w:r/>
      <w:bookmarkStart w:id="172" w:name="_Toc20823310"/>
      <w:r/>
      <w:bookmarkStart w:id="173" w:name="_Toc16938554"/>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71"/>
      <w:r>
        <w:rPr>
          <w:rFonts w:hint="eastAsia" w:ascii="仿宋" w:hAnsi="仿宋" w:eastAsia="仿宋" w:cs="仿宋"/>
          <w:color w:val="000000" w:themeColor="text1"/>
          <w:sz w:val="28"/>
          <w:szCs w:val="28"/>
          <w:highlight w:val="none"/>
          <w14:textFill>
            <w14:solidFill>
              <w14:schemeClr w14:val="tx1"/>
            </w14:solidFill>
          </w14:textFill>
        </w:rPr>
        <w:t xml:space="preserve">6.确定</w:t>
      </w:r>
      <w:bookmarkEnd w:id="172"/>
      <w:r/>
      <w:bookmarkEnd w:id="173"/>
      <w:r>
        <w:rPr>
          <w:rFonts w:hint="eastAsia" w:ascii="仿宋" w:hAnsi="仿宋" w:eastAsia="仿宋" w:cs="仿宋"/>
          <w:color w:val="000000" w:themeColor="text1"/>
          <w:sz w:val="28"/>
          <w:szCs w:val="28"/>
          <w:highlight w:val="none"/>
          <w14:textFill>
            <w14:solidFill>
              <w14:schemeClr w14:val="tx1"/>
            </w14:solidFill>
          </w14:textFill>
        </w:rPr>
        <w:t xml:space="preserve">成交单位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26.1 成交候选供应商的确定原则和数量</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采用综合评分法。</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在综合比较与评价后按照得分由高到低顺序对投标人进行排列。得分相同的，按报价由低到高顺序排列。得分且报价相同的，按服务标准优劣顺序排列。评标委员会根据排名确定1-3名中标候选人。</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按以下第（</w:t>
      </w: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直接确定排名第一的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为</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（2）采购人在</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按第二种方式确定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26.3 代理机构将在“江苏政府采购网”发布成交结果公告，公告期限为1个工作日。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 若有充分证据证明成交供应商有下列情况之一的，一经查实将被取消成交资格：</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26.4.1 提供虚假材料谋取成交。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26.4.2 与评审专家、采购人、其他供应商或者代理机构工作人员恶意串通。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26.4.3 向评审专家、采购人或代理机构工作人员行贿或者提供其他不正当利益。</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26.4.4 不满足本磋商文件规定的实质性要求，但在评审过程中未被磋商小组发现。</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26.4.5 成交后无正当理由拒不与采购人签订政府采购合同或者未按照磋商文件确定的事项签订政府采购合同。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26.4.6 将合同标的转包。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74" w:name="_Toc200451960"/>
      <w:r>
        <w:rPr>
          <w:rFonts w:hint="eastAsia" w:ascii="仿宋" w:hAnsi="仿宋" w:eastAsia="仿宋" w:cs="仿宋"/>
          <w:color w:val="000000" w:themeColor="text1"/>
          <w:sz w:val="28"/>
          <w:szCs w:val="28"/>
          <w:highlight w:val="none"/>
          <w14:textFill>
            <w14:solidFill>
              <w14:schemeClr w14:val="tx1"/>
            </w14:solidFill>
          </w14:textFill>
        </w:rPr>
        <w:t xml:space="preserve">27.成交通知书</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27.2 《成交通知书》将是合同的一个组成部分，对采购人和成交供应商均具有法律效力。《成交通知书》发出后，采购人改变成交结果的，或者成交供应商放弃成交项目的，应当依法承担法律责任。</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七、授予合同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28.签订合同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28.l 成交供应商应当在《成交通知书》发出之日起三十日内，按照磋商文件确定的事项与采购人签订政府采购合同。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28.2 磋商文件、成交供应商的响应文件及磋商过程中有关澄清、承诺文件均作为合同附件。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不得参加采购人</w:t>
      </w:r>
      <w:r>
        <w:rPr>
          <w:rFonts w:hint="eastAsia" w:ascii="仿宋" w:hAnsi="仿宋" w:eastAsia="仿宋" w:cs="仿宋"/>
          <w:color w:val="000000" w:themeColor="text1"/>
          <w:sz w:val="28"/>
          <w:szCs w:val="28"/>
          <w:highlight w:val="none"/>
          <w14:textFill>
            <w14:solidFill>
              <w14:schemeClr w14:val="tx1"/>
            </w14:solidFill>
          </w14:textFill>
        </w:rPr>
        <w:t xml:space="preserve">重新组织的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采购活动，</w:t>
      </w:r>
      <w:r>
        <w:rPr>
          <w:rFonts w:hint="eastAsia" w:ascii="仿宋" w:hAnsi="仿宋" w:eastAsia="仿宋" w:cs="仿宋"/>
          <w:color w:val="000000" w:themeColor="text1"/>
          <w:sz w:val="28"/>
          <w:szCs w:val="28"/>
          <w:highlight w:val="none"/>
          <w14:textFill>
            <w14:solidFill>
              <w14:schemeClr w14:val="tx1"/>
            </w14:solidFill>
          </w14:textFill>
        </w:rPr>
        <w:t xml:space="preserve">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一年内</w:t>
      </w:r>
      <w:r>
        <w:rPr>
          <w:rFonts w:hint="eastAsia" w:ascii="仿宋" w:hAnsi="仿宋" w:eastAsia="仿宋" w:cs="仿宋"/>
          <w:color w:val="000000" w:themeColor="text1"/>
          <w:sz w:val="28"/>
          <w:szCs w:val="28"/>
          <w:highlight w:val="none"/>
          <w14:textFill>
            <w14:solidFill>
              <w14:schemeClr w14:val="tx1"/>
            </w14:solidFill>
          </w14:textFill>
        </w:rPr>
        <w:t xml:space="preserve">的其他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政府采购活动。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29.标的物的追加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八、质疑</w:t>
      </w:r>
      <w:bookmarkEnd w:id="174"/>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 xml:space="preserve">按照第3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条</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条</w:t>
      </w:r>
      <w:r>
        <w:rPr>
          <w:rFonts w:hint="eastAsia" w:ascii="仿宋" w:hAnsi="仿宋" w:eastAsia="仿宋" w:cs="仿宋"/>
          <w:color w:val="000000" w:themeColor="text1"/>
          <w:sz w:val="28"/>
          <w:szCs w:val="28"/>
          <w:highlight w:val="none"/>
          <w14:textFill>
            <w14:solidFill>
              <w14:schemeClr w14:val="tx1"/>
            </w14:solidFill>
          </w14:textFill>
        </w:rPr>
        <w:t xml:space="preserve">之</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规定以书面形式向代理机构或采购人提出质疑。上述应知其权益受到损害之日是指：</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 xml:space="preserve">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供应商提出质疑应提交《质疑函》原件，且尽可能通过邮寄方式送达，代理机构和采购人不接受无运单的快件。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以下情形的质疑不予受理：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超出政府采购法定期限的质疑。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未参加磋商活动的供应商或在磋商活动中自身权益未受到损害的供应商所提出的质疑。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 xml:space="preserve">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不予受理情形。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九、政策功能落实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.促进中小企业发展</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（1）在货物</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w:t>
      </w:r>
      <w:r>
        <w:rPr>
          <w:rFonts w:hint="eastAsia" w:ascii="仿宋" w:hAnsi="仿宋" w:eastAsia="仿宋" w:cs="仿宋"/>
          <w:color w:val="000000" w:themeColor="text1"/>
          <w:sz w:val="28"/>
          <w:szCs w:val="28"/>
          <w:highlight w:val="none"/>
          <w14:textFill>
            <w14:solidFill>
              <w14:schemeClr w14:val="tx1"/>
            </w14:solidFill>
          </w14:textFill>
        </w:rPr>
        <w:t xml:space="preserve">全部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货物由中小企业制造；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（2）在服务</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项目中，服务由中小企业承接。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 xml:space="preserve">支持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 xml:space="preserve">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残疾人福利单位</w:t>
      </w:r>
      <w:r>
        <w:rPr>
          <w:rFonts w:hint="eastAsia" w:ascii="仿宋" w:hAnsi="仿宋" w:eastAsia="仿宋" w:cs="仿宋"/>
          <w:color w:val="000000" w:themeColor="text1"/>
          <w:sz w:val="28"/>
          <w:szCs w:val="28"/>
          <w:highlight w:val="none"/>
          <w14:textFill>
            <w14:solidFill>
              <w14:schemeClr w14:val="tx1"/>
            </w14:solidFill>
          </w14:textFill>
        </w:rPr>
        <w:t xml:space="preserve">需</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提供《残疾人福利性单位声明函》。</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节能环保产品</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.3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 xml:space="preserve">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成交标准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0"/>
        <w:jc w:val="left"/>
        <w:keepLines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15"/>
        <w:ind w:left="0" w:firstLine="0"/>
        <w:jc w:val="center"/>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bookmarkStart w:id="175" w:name="_Toc160699566"/>
      <w:r>
        <w:rPr>
          <w:rFonts w:hint="eastAsia" w:ascii="仿宋" w:hAnsi="仿宋" w:eastAsia="仿宋" w:cs="仿宋"/>
          <w:color w:val="000000" w:themeColor="text1"/>
          <w:highlight w:val="none"/>
          <w14:textFill>
            <w14:solidFill>
              <w14:schemeClr w14:val="tx1"/>
            </w14:solidFill>
          </w14:textFill>
        </w:rPr>
        <w:t xml:space="preserve">第三章  合同</w:t>
      </w:r>
      <w:bookmarkEnd w:id="60"/>
      <w:r/>
      <w:bookmarkEnd w:id="61"/>
      <w:r/>
      <w:bookmarkEnd w:id="62"/>
      <w:r/>
      <w:bookmarkEnd w:id="63"/>
      <w:r/>
      <w:bookmarkEnd w:id="64"/>
      <w:r>
        <w:rPr>
          <w:rFonts w:hint="eastAsia" w:ascii="仿宋" w:hAnsi="仿宋" w:eastAsia="仿宋" w:cs="仿宋"/>
          <w:color w:val="000000" w:themeColor="text1"/>
          <w:highlight w:val="none"/>
          <w14:textFill>
            <w14:solidFill>
              <w14:schemeClr w14:val="tx1"/>
            </w14:solidFill>
          </w14:textFill>
        </w:rPr>
        <w:t xml:space="preserve">文本</w:t>
      </w:r>
      <w:bookmarkEnd w:id="175"/>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bookmarkStart w:id="176" w:name="_Hlt16619369"/>
      <w:r/>
      <w:bookmarkEnd w:id="176"/>
      <w:r/>
      <w:bookmarkStart w:id="177" w:name="_Toc513029243"/>
      <w:r/>
      <w:bookmarkStart w:id="178" w:name="_Toc20823315"/>
      <w:r/>
      <w:bookmarkStart w:id="179" w:name="_Toc16938559"/>
      <w:r/>
      <w:bookmarkStart w:id="180" w:name="_Hlt16619350"/>
      <w:r/>
      <w:bookmarkStart w:id="181" w:name="_Toc20823346"/>
      <w:r/>
      <w:bookmarkStart w:id="182" w:name="_Toc120614244"/>
      <w:r/>
      <w:bookmarkStart w:id="183" w:name="_Toc16938590"/>
      <w:r/>
      <w:bookmarkStart w:id="184" w:name="_Toc479757211"/>
      <w:r/>
      <w:bookmarkStart w:id="185" w:name="_Toc462564139"/>
      <w:r>
        <w:rPr>
          <w:rFonts w:hint="eastAsia" w:ascii="仿宋" w:hAnsi="仿宋" w:eastAsia="仿宋" w:cs="仿宋"/>
          <w:color w:val="000000" w:themeColor="text1"/>
          <w:highlight w:val="none"/>
          <w14:textFill>
            <w14:solidFill>
              <w14:schemeClr w14:val="tx1"/>
            </w14:solidFill>
          </w14:textFill>
        </w:rPr>
        <w:t xml:space="preserve">以下为成交后签定本项目合同的通用条款，供应商不得提出实质性的修改。</w:t>
      </w:r>
      <w:r/>
    </w:p>
    <w:p>
      <w:pPr>
        <w:ind w:firstLine="0"/>
        <w:jc w:val="center"/>
        <w:keepLines w:val="0"/>
        <w:pageBreakBefore w:val="0"/>
        <w:spacing w:line="560" w:lineRule="exact"/>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 xml:space="preserve">南京市政府采购合同（服务）</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                                       项目编号：</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甲方：（买方）_________</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乙方：（卖方）_________</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 甲、乙双方根据江苏苏建工程项目管理咨询有限公司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项目竞争性磋商的结果，签署本合同。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一、合同内容</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 标的名称：</w:t>
      </w:r>
      <w:r>
        <w:rPr>
          <w:rFonts w:hint="eastAsia" w:ascii="仿宋" w:hAnsi="仿宋" w:cs="仿宋"/>
          <w:color w:val="000000" w:themeColor="text1"/>
          <w:highlight w:val="none"/>
          <w:lang w:eastAsia="zh-CN"/>
          <w14:textFill>
            <w14:solidFill>
              <w14:schemeClr w14:val="tx1"/>
            </w14:solidFill>
          </w14:textFill>
        </w:rPr>
        <w:t xml:space="preserve">XXXXXXX</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 标的质量：</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 标的数量（规模）：</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 履行时间（期限）：</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1.5 履行地点：</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1.6 履行方式：</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二、合同金额</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2.1 本合同金额为（大写）：____________________（_______________元）人民币。</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三、技术资料</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3.1 乙方应按采购文件规定的时间向甲方提供服务（包含与服务相关的货物）的有关技术资料。</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四、知识产权</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五、产权担保</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5.1 乙方保证所交付的服务（包含与服务相关的货物）的所有权完全属于乙方且无任何抵押、查封等产权瑕疵。</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六、履约保证金</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6.1 本项目乙方无需缴纳履约保证金。</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七、合同转包或分包</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7.1 乙方不得将合同标的转包给他人履行。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7.2 乙方不得将合同标的分包给他人履行。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7.3 乙方如有转包或未经甲方同意的分包行为，甲方有权解除合同。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八、合同款项支付</w:t>
      </w:r>
      <w:r/>
    </w:p>
    <w:p>
      <w:pPr>
        <w:ind w:firstLine="0"/>
        <w:keepLines w:val="0"/>
        <w:pageBreakBefore w:val="0"/>
        <w:spacing w:line="560" w:lineRule="exac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8.1 合同款项的支付方式及进度安排</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ind w:firstLine="0"/>
        <w:keepLines w:val="0"/>
        <w:pageBreakBefore w:val="0"/>
        <w:spacing w:line="560" w:lineRule="exac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全部费用将分为两次支付，首付款于合同签订后10个工作日内，甲方支付合同总价的60%；第二次付款待项目审计结束后15个工作日内，甲方支付合同总价的40%。每次付款乙方须提前提供国家正规发票，甲方方可付款。</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九、税费</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9.1 本合同执行中相关的一切税费均由乙方负担。</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十、项目验收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10.1 甲方依法组织履约验收工作。</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10.3 对于实际使用人和甲方分离的项目，甲方邀请实际使用人参与验收。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十一、违约责任</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11.1 甲方无正当理由拒绝接受乙方提供服务的，甲方向乙方偿付拒绝接受服务合同价款总值    的违约金。</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11.2 甲方无故逾期验收和办理合同款项支付手续的，甲方应按逾期付款总额    每日向乙方支付违约金。</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十二、不可抗力事件处理</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12.2 不可抗力事件发生后，应立即通知对方，并寄送有关权威机构出具的证明。</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12.3 不可抗力事件延续120天以上，双方应通过友好协商，确定是否继续履行合同。</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十三、解决争议的方法</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13.1 双方在签订、履行合同中所发生的一切争议，应通过友好协商解决。如协商不成，由甲方住所地人民法院管辖。</w:t>
      </w:r>
      <w:r/>
    </w:p>
    <w:p>
      <w:pPr>
        <w:ind w:firstLine="0"/>
        <w:keepLines w:val="0"/>
        <w:pageBreakBefore w:val="0"/>
        <w:spacing w:line="560" w:lineRule="exac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十四、合同生效及其它</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14.1 合同经双方法定代表人或授权委托代表人签字并加盖单位公章后生效。</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14.2 本合同未尽事宜，遵照《民法典》、《政府采购法》有关条文执行。</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14.3 本合同正本一式两份，具有同等法律效力，甲方、乙方各执一份。</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                        乙方：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地址：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法定代表人或授权代表：        法定代表人或授权代表：</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                    联系电话：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签订日期：      年    月   日</w:t>
      </w:r>
      <w:bookmarkEnd w:id="177"/>
      <w:r/>
      <w:bookmarkEnd w:id="178"/>
      <w:r/>
      <w:bookmarkEnd w:id="179"/>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41"/>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1"/>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left="0" w:firstLine="0"/>
        <w:jc w:val="left"/>
        <w:keepLines w:val="0"/>
        <w:pageBreakBefore w:val="0"/>
        <w:spacing w:line="560" w:lineRule="exact"/>
        <w:widowControl/>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br w:type="page" w:clear="all"/>
      </w:r>
      <w:r/>
    </w:p>
    <w:p>
      <w:pPr>
        <w:ind w:firstLine="0"/>
        <w:jc w:val="center"/>
        <w:keepLines w:val="0"/>
        <w:pageBreakBefore w:val="0"/>
        <w:spacing w:line="560" w:lineRule="exact"/>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 xml:space="preserve">《*******合同》补充协议（合同附件）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如遇采购文件及合同未约定事项，双方可友好协商签订补充协议。</w:t>
      </w:r>
      <w:r/>
    </w:p>
    <w:p>
      <w:pPr>
        <w:ind w:left="0" w:firstLine="0"/>
        <w:jc w:val="center"/>
        <w:keepNext/>
        <w:rPr>
          <w:rFonts w:hint="eastAsia" w:ascii="仿宋" w:hAnsi="仿宋" w:eastAsia="仿宋" w:cs="仿宋"/>
          <w:color w:val="000000" w:themeColor="text1"/>
          <w:sz w:val="44"/>
          <w:szCs w:val="4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186" w:name="_Toc160699567"/>
      <w:r>
        <w:rPr>
          <w:rStyle w:val="924"/>
          <w:rFonts w:hint="eastAsia" w:ascii="仿宋" w:hAnsi="仿宋" w:eastAsia="仿宋" w:cs="仿宋"/>
          <w:color w:val="000000" w:themeColor="text1"/>
          <w:highlight w:val="none"/>
          <w14:textFill>
            <w14:solidFill>
              <w14:schemeClr w14:val="tx1"/>
            </w14:solidFill>
          </w14:textFill>
        </w:rPr>
        <w:t xml:space="preserve">第</w:t>
      </w:r>
      <w:bookmarkEnd w:id="180"/>
      <w:r>
        <w:rPr>
          <w:rStyle w:val="924"/>
          <w:rFonts w:hint="eastAsia" w:ascii="仿宋" w:hAnsi="仿宋" w:eastAsia="仿宋" w:cs="仿宋"/>
          <w:color w:val="000000" w:themeColor="text1"/>
          <w:highlight w:val="none"/>
          <w14:textFill>
            <w14:solidFill>
              <w14:schemeClr w14:val="tx1"/>
            </w14:solidFill>
          </w14:textFill>
        </w:rPr>
        <w:t xml:space="preserve">四章 </w:t>
      </w:r>
      <w:r>
        <w:rPr>
          <w:rStyle w:val="924"/>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924"/>
          <w:rFonts w:hint="eastAsia" w:ascii="仿宋" w:hAnsi="仿宋" w:eastAsia="仿宋" w:cs="仿宋"/>
          <w:color w:val="000000" w:themeColor="text1"/>
          <w:highlight w:val="none"/>
          <w14:textFill>
            <w14:solidFill>
              <w14:schemeClr w14:val="tx1"/>
            </w14:solidFill>
          </w14:textFill>
        </w:rPr>
        <w:t xml:space="preserve">采购需求</w:t>
      </w:r>
      <w:bookmarkEnd w:id="181"/>
      <w:r/>
      <w:bookmarkEnd w:id="182"/>
      <w:r/>
      <w:bookmarkEnd w:id="183"/>
      <w:r/>
      <w:bookmarkEnd w:id="186"/>
      <w:r/>
      <w:bookmarkStart w:id="187" w:name="_Toc26554093"/>
      <w:r/>
      <w:bookmarkStart w:id="188" w:name="_Toc49090575"/>
      <w:r/>
      <w:r/>
    </w:p>
    <w:p>
      <w:pPr>
        <w:jc w:val="left"/>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189" w:name="_Toc160699568"/>
      <w:r/>
      <w:bookmarkStart w:id="190" w:name="_Toc120614281"/>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一、项目属性：服务类项目。</w:t>
      </w:r>
      <w:r/>
    </w:p>
    <w:p>
      <w:pPr>
        <w:jc w:val="left"/>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二、项目概况</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（一）项目背景</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为打造青奥滨江高质量户外运动目的地建设，搭建高水平竞技平台，更好地发挥区位优势和资源禀赋，推动江心洲“国际体育岛”战略的实施与落地，展示现代化国际性城市中心的城市形象和生态环境建设成果。拟于2026年10月11日在江苏省南京市建邺区江心洲水上运动中心举办2026南京铁人三项公开赛，项目包含铁人三项、骑跑两项、游跑两项3个组别，汇聚全国各地700名铁人三项爱好者。</w:t>
      </w:r>
      <w:r/>
    </w:p>
    <w:p>
      <w:pPr>
        <w:jc w:val="lef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拟采购标的需要满足的技术、商务要求</w:t>
      </w:r>
      <w:r/>
    </w:p>
    <w:p>
      <w:pPr>
        <w:jc w:val="lef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（一）技术要求</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1.总体要求</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负责赛事整体筹划和执行。按要求制定赛事详细实施方案，方案包括且不限于赛事组织方案、安全风险防控方案、应急处理方案、医疗保障方案、宣传推广方案、后勤保障方案和赛事招商方案。方案要保证符合行业标准，满足公众与参赛选手需求，充分展示和宣传城市形象。各项方案需经组委会同意后实施。</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2.竞赛组织标准</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按照中国铁人三项运动协会组织标准执行。</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3.具体需求</w:t>
      </w:r>
      <w:r/>
    </w:p>
    <w:p>
      <w:pPr>
        <w:ind w:firstLine="562"/>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3.1赛事报批、认证及评估</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3.1.1负责完成中铁协赛事技术指导签约工作。</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3.1.2根据国家、省、市要求，协助采购人完成办赛所需申报、审批手续。</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3.1.3根据国家、省、市要求，落实《中铁协关于进一步加强铁人三项赛事活动安全保障工作的意见》和《中铁协比赛安全保障指导意见》，完成第三方专业机构赛前安全风险评估并审批通过。</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3.2选手招募和组织</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3.2.1运动员管理系统上线，包括运动员报名、信息检索、缴费、成绩查询等。</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3.2.2供应商负责比赛运动员组织招募（700人）及信息统计等工作，投标人通过赛事报名平台所收取的全部参赛报名费用归供应商所有。</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3.2.3根据中铁协铁人三项管理要求办理</w:t>
      </w:r>
      <w:r>
        <w:rPr>
          <w:rFonts w:hint="eastAsia" w:ascii="仿宋" w:hAnsi="仿宋" w:eastAsia="仿宋" w:cs="仿宋"/>
          <w:color w:val="000000"/>
          <w:sz w:val="28"/>
          <w:szCs w:val="28"/>
          <w:highlight w:val="none"/>
          <w:lang w:val="en-US" w:eastAsia="zh-CN"/>
        </w:rPr>
        <w:t xml:space="preserve">赛事公共责任险，保险额度：累计赔偿限额至少为1000万元人民币，每次事故人身伤亡赔偿限额至少为500万元人民币，每次事故每人人身伤亡赔偿限额至少为80万元人民币，每次事故每人医疗赔偿限额至少为5万元人民币；覆盖时间为赛前4天、比赛日和赛后1天。为运动员、裁判员、志愿者等人员办理意外伤害和突发疾病保险，保险额度：意外伤害身故和伤残、突发疾病身故和伤残保险赔偿额度均不低于人民币50万元，意外伤害医疗、突发疾病医疗保险赔偿额度均不低于人民币5万元，特殊人群根据银保监会有关法律法规执行；覆盖时间为赛前1天和比赛日。</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3.3.选手成绩管理</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3.3.1负责赛事成绩管理工作：包括计时设备、计时芯片、号码布等物资物料，以及设备和人员管理。</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3.3.2按照比赛规程，负责奖金发放方案的制定与实施。</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3.3.3负责选手完赛物品的发放。</w:t>
      </w:r>
      <w:r/>
    </w:p>
    <w:p>
      <w:pPr>
        <w:ind w:firstLine="562"/>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3.4.赛事规划及实施</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3.4.1按照中铁协</w:t>
      </w:r>
      <w:bookmarkStart w:id="191" w:name="_Hlk964004"/>
      <w:r>
        <w:rPr>
          <w:rFonts w:hint="eastAsia" w:ascii="仿宋" w:hAnsi="仿宋" w:eastAsia="仿宋" w:cs="仿宋"/>
          <w:color w:val="000000"/>
          <w:sz w:val="28"/>
          <w:szCs w:val="28"/>
          <w:highlight w:val="none"/>
          <w:lang w:val="en-US" w:eastAsia="zh-CN"/>
        </w:rPr>
        <w:t xml:space="preserve">最新比赛操作指南，对</w:t>
      </w:r>
      <w:bookmarkStart w:id="192" w:name="_Hlk963988"/>
      <w:r>
        <w:rPr>
          <w:rFonts w:hint="eastAsia" w:ascii="仿宋" w:hAnsi="仿宋" w:eastAsia="仿宋" w:cs="仿宋"/>
          <w:color w:val="000000"/>
          <w:sz w:val="28"/>
          <w:szCs w:val="28"/>
          <w:highlight w:val="none"/>
          <w:lang w:val="en-US" w:eastAsia="zh-CN"/>
        </w:rPr>
        <w:t xml:space="preserve">比赛设置、区域划分、物料规格摆放、医疗安保配备、补给配备、报名规范、赛道设置、标识设置</w:t>
      </w:r>
      <w:bookmarkEnd w:id="191"/>
      <w:r/>
      <w:bookmarkEnd w:id="192"/>
      <w:r>
        <w:rPr>
          <w:rFonts w:hint="eastAsia" w:ascii="仿宋" w:hAnsi="仿宋" w:eastAsia="仿宋" w:cs="仿宋"/>
          <w:color w:val="000000"/>
          <w:sz w:val="28"/>
          <w:szCs w:val="28"/>
          <w:highlight w:val="none"/>
          <w:lang w:val="en-US" w:eastAsia="zh-CN"/>
        </w:rPr>
        <w:t xml:space="preserve">（包括但不限于），进行专业化、合理化设计，并形成整体赛事组织实施方案及安全风险防控、应急处理、医疗保障等必要的专项保障方案。</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3.4.2负责赛事专业设施定制，提供竞赛器材、设施和物品，必须保障赛事设施设置合理，保障赛事质量。</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3.4.3提供竞赛服务方案，包括竞赛规程、赛道示意图、主会场示意图、主会场功能点位设计、赛道沿途功能点位设计、相关物资投放和人员监管等。</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3.4.4提供选手服务解决方案，包括报名规划、咨询管理、数据管理、参赛物资发放、交通摆渡、物资补给和保险保障等。</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3.4.5志愿者管理及工作方案：包括岗位安排及培训、志愿者管理组织。</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3.4.6完成秩序册、志愿者证书等制作印刷。</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3.4.7赛事指挥应急体系，明确职能分工。</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3.4.8提供赛事视觉系统设计制作搭建，包括不限于主席台、出发台、指示标牌、体育展示（赞助商展区）等视觉系统、赛事物料延展设计制作搭建。</w:t>
      </w:r>
      <w:r/>
    </w:p>
    <w:p>
      <w:pPr>
        <w:ind w:firstLine="562"/>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3.5.赛事宣传</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3.5.1负责赛事宣传方案的整体策划。</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3.5.2负责赛事官方微信公众号运营和媒体传播相关工作，根据采购人要求确保传播的数量及时效性准确到位。</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3.5.3负责赛事现场氛围营造、体育播报工作。</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3.5.4负责赛事视频直播、平台推流（不少于10家网络媒体）；图片直播；后期视频拍摄剪辑。</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3.6.赛事仪式组织</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3.6.1负责开幕式整体流程策划及实施。</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3.6.2负责赛事出发、终点冲刺、颁奖活动组织及实施。</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3.7.赛事医疗保障</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3.7.1负责安排赛事专业救援队，并根据赛事医疗保障方案实施救援保障。</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3.7.2对接中铁协医务代表，配合卫健委出具医疗保障方案并实施。</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3.8.赛事后勤保障</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3.8.1负责赛事后勤保障工作，包括车辆租赁、对讲机租赁、移动厕所租赁安装等。</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3.8.2负责志愿者、主持人、属地工作人员赛时所需的食宿、交通、物料及劳务费用。</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3.8.3负责裁判、专家、技术人员和嘉宾的邀请、接待和相关费用保障。</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3.8.4根据赛事所需完成竞赛物资的采购、租赁和制作。</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3.9.市场开发</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需制定完善的市场开发方案，市场开发权归采购人和成交单位共同拥有，成交单位可对外独立开展相关招商以及各类商业活动，独立签订相应商业合同，所有市场开发活动需提前向采购人提交方案，经采购人审核通过后方可实施。成交单位不得擅自以采购人名义开展市场开发活动，不得损害采购人及赛事形象。</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3.10.其他</w:t>
      </w:r>
      <w:r/>
    </w:p>
    <w:p>
      <w:pPr>
        <w:ind w:firstLine="560"/>
        <w:jc w:val="left"/>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因国家、省、市政策以及其他不可抗力影响，导致项目无法按期举办，则举办时间顺延，具体时间由采购人确定。</w:t>
      </w:r>
      <w:r/>
    </w:p>
    <w:p>
      <w:pPr>
        <w:ind w:firstLine="562"/>
        <w:jc w:val="left"/>
        <w:keepLines w:val="0"/>
        <w:keepNext w:val="0"/>
        <w:pageBreakBefore w:val="0"/>
        <w:spacing w:line="56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4.其他</w:t>
      </w:r>
      <w:r/>
    </w:p>
    <w:p>
      <w:pPr>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sz w:val="28"/>
          <w:szCs w:val="28"/>
          <w:highlight w:val="none"/>
          <w:lang w:val="en-US" w:eastAsia="zh-CN"/>
        </w:rPr>
        <w:t xml:space="preserve">供应商应对采购、实施、操作等过程中采取保密和安全措施，因供应商造成的不良影响和损失，供应商应承担相应责任。</w:t>
      </w:r>
      <w:r/>
    </w:p>
    <w:p>
      <w:pPr>
        <w:jc w:val="left"/>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（二）商务要求</w:t>
      </w:r>
      <w:r/>
    </w:p>
    <w:p>
      <w:pPr>
        <w:ind w:firstLine="562"/>
        <w:jc w:val="left"/>
        <w:spacing w:line="56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1.报价要求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报价应包含与本次采购项目有关的所有费用。包含但不限于人员、后勤保障费、相关交通、运输、食宿、宣传、配套服务等所有含税费用。同时，还应包含支付给员工的工资和国家强制缴纳的各种社会保障资金，以及供应商认为需要的其他费用等。</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（2）供应商的任何错漏、优惠、竞争性报价不得作为减轻责任、减少服务、增加收费、降低服务质量的理由。</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562"/>
        <w:jc w:val="left"/>
        <w:spacing w:line="56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2.实施要求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（1）总体要求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供应商须按照中国铁人三项运动协会最新发布的《中铁协比赛组织手册》、《中铁协比赛场地设置技术标准》、《中铁协关于进一步加强铁人三项赛事活动安全保障工作的意见》和《中铁协比赛安全保障指导意见》中的相关规定，提供标准、专业、符合规定的赛事运营服务。</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②供应商需投入专业的团队人员参与赛事策划、组织、执行工作，确保各项工作有序开展。</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（2）服务要求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合同履行期限（服务期限）：合同签订后成交单位10天内启动赛事的所有相关工作，要确保赛事准时举行，按赛事时间要求完成全部赛事组织活动直至结束。</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服务质量：满足采购文件要求，确保赛事准时举行。</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（3）验收要求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符合中国铁人三项运动协会和采购人赛事要求。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（4）维保要求</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供应商负责配合采购人申报与项目相关的各类政策扶持的工作内容。</w:t>
      </w:r>
      <w:r/>
    </w:p>
    <w:p>
      <w:pPr>
        <w:ind w:firstLine="562"/>
        <w:jc w:val="left"/>
        <w:spacing w:line="56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3.付款条件</w:t>
      </w:r>
      <w:r/>
    </w:p>
    <w:p>
      <w:pPr>
        <w:ind w:firstLine="560"/>
        <w:jc w:val="left"/>
        <w:spacing w:line="56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全部费用将分为两次支付，首付款于合同签订后10个工作日内，采购人支付合同总价的60%；第二次付款待项目审计结束后15个工作日内，采购人支付合同总价的40%。每次付款供应商须提前提供国家正规发票，采购人方可付款。</w:t>
      </w:r>
      <w:r/>
    </w:p>
    <w:p>
      <w:pPr>
        <w:ind w:firstLine="562"/>
        <w:jc w:val="left"/>
        <w:spacing w:line="56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4.交付时间及地点</w:t>
      </w:r>
      <w:r/>
    </w:p>
    <w:p>
      <w:pPr>
        <w:ind w:firstLine="560"/>
        <w:jc w:val="left"/>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（1）交付时间：2026年10月11日。</w:t>
      </w:r>
      <w:r/>
    </w:p>
    <w:p>
      <w:pPr>
        <w:jc w:val="left"/>
        <w:spacing w:line="560" w:lineRule="exact"/>
        <w:rPr>
          <w:rFonts w:hint="eastAsia" w:ascii="仿宋" w:hAnsi="仿宋" w:eastAsia="仿宋" w:cs="仿宋"/>
          <w:color w:val="0000ff"/>
          <w:sz w:val="28"/>
          <w:szCs w:val="28"/>
          <w:highlight w:val="none"/>
        </w:rPr>
      </w:pPr>
      <w:r>
        <w:rPr>
          <w:rFonts w:hint="eastAsia" w:ascii="仿宋" w:hAnsi="仿宋" w:eastAsia="仿宋" w:cs="仿宋"/>
          <w:color w:val="000000"/>
          <w:sz w:val="28"/>
          <w:szCs w:val="28"/>
          <w:highlight w:val="none"/>
          <w:lang w:val="en-US" w:eastAsia="zh-CN"/>
        </w:rPr>
        <w:t xml:space="preserve">（2）交付地点：采购人指定地点。</w:t>
      </w:r>
      <w:r/>
    </w:p>
    <w:p>
      <w:pPr>
        <w:numPr>
          <w:ilvl w:val="0"/>
          <w:numId w:val="0"/>
        </w:numPr>
        <w:ind w:firstLine="562"/>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注：本章节加“★”内容为实质性要求，需在《技术要求响应及偏离表》和《商务要求响应及偏离表》中明确响应，</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未对实质性要求明确响应或有负偏离的，按无效响应处理。</w:t>
      </w:r>
      <w:r/>
    </w:p>
    <w:p>
      <w:pPr>
        <w:numPr>
          <w:ilvl w:val="0"/>
          <w:numId w:val="4"/>
        </w:numPr>
        <w:ind w:firstLine="883"/>
        <w:jc w:val="left"/>
        <w:keepLines w:val="0"/>
        <w:keepNext w:val="0"/>
        <w:pageBreakBefore w:val="0"/>
        <w:spacing w:line="560" w:lineRule="exact"/>
        <w:widowControl w:val="off"/>
        <w:rPr>
          <w:rStyle w:val="924"/>
          <w:rFonts w:hint="eastAsia" w:ascii="仿宋" w:hAnsi="仿宋" w:eastAsia="仿宋" w:cs="仿宋"/>
          <w:color w:val="000000" w:themeColor="text1"/>
          <w:highlight w:val="none"/>
          <w14:textFill>
            <w14:solidFill>
              <w14:schemeClr w14:val="tx1"/>
            </w14:solidFill>
          </w14:textFill>
        </w:rPr>
      </w:pPr>
      <w:r>
        <w:rPr>
          <w:rStyle w:val="924"/>
          <w:rFonts w:hint="eastAsia" w:ascii="仿宋" w:hAnsi="仿宋" w:eastAsia="仿宋" w:cs="仿宋"/>
          <w:color w:val="000000" w:themeColor="text1"/>
          <w:highlight w:val="none"/>
          <w14:textFill>
            <w14:solidFill>
              <w14:schemeClr w14:val="tx1"/>
            </w14:solidFill>
          </w14:textFill>
        </w:rPr>
        <w:br w:type="page" w:clear="all"/>
      </w:r>
      <w:r/>
    </w:p>
    <w:p>
      <w:pPr>
        <w:numPr>
          <w:ilvl w:val="0"/>
          <w:numId w:val="0"/>
        </w:numPr>
        <w:ind w:left="0" w:firstLine="0"/>
        <w:jc w:val="center"/>
        <w:keepNext/>
        <w:rPr>
          <w:rStyle w:val="924"/>
          <w:rFonts w:hint="eastAsia" w:ascii="仿宋" w:hAnsi="仿宋" w:eastAsia="仿宋" w:cs="仿宋"/>
          <w:color w:val="000000" w:themeColor="text1"/>
          <w:highlight w:val="none"/>
          <w14:textFill>
            <w14:solidFill>
              <w14:schemeClr w14:val="tx1"/>
            </w14:solidFill>
          </w14:textFill>
        </w:rPr>
        <w:outlineLvl w:val="0"/>
      </w:pPr>
      <w:r>
        <w:rPr>
          <w:rStyle w:val="924"/>
          <w:rFonts w:hint="eastAsia" w:ascii="仿宋" w:hAnsi="仿宋" w:eastAsia="仿宋" w:cs="仿宋"/>
          <w:color w:val="000000" w:themeColor="text1"/>
          <w:highlight w:val="none"/>
          <w14:textFill>
            <w14:solidFill>
              <w14:schemeClr w14:val="tx1"/>
            </w14:solidFill>
          </w14:textFill>
        </w:rPr>
        <w:t xml:space="preserve">第五章  评审方法与评审标准</w:t>
      </w:r>
      <w:bookmarkEnd w:id="189"/>
      <w:r/>
      <w:r/>
    </w:p>
    <w:p>
      <w:pPr>
        <w:ind w:firstLine="0"/>
        <w:keepLines w:val="0"/>
        <w:keepNext w:val="0"/>
        <w:pageBreakBefore w:val="0"/>
        <w:spacing w:line="560" w:lineRule="exact"/>
        <w:widowControl w:val="off"/>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一、</w:t>
      </w:r>
      <w:r>
        <w:rPr>
          <w:rFonts w:hint="eastAsia" w:ascii="仿宋" w:hAnsi="仿宋" w:eastAsia="仿宋" w:cs="仿宋"/>
          <w:b/>
          <w:bCs/>
          <w:color w:val="000000"/>
          <w:sz w:val="28"/>
          <w:szCs w:val="28"/>
        </w:rPr>
        <w:t xml:space="preserve">评</w:t>
      </w:r>
      <w:r>
        <w:rPr>
          <w:rFonts w:hint="eastAsia" w:ascii="仿宋" w:hAnsi="仿宋" w:eastAsia="仿宋" w:cs="仿宋"/>
          <w:b/>
          <w:bCs/>
          <w:color w:val="000000"/>
          <w:sz w:val="28"/>
          <w:szCs w:val="28"/>
          <w:lang w:val="en-US" w:eastAsia="zh-CN"/>
        </w:rPr>
        <w:t xml:space="preserve">审</w:t>
      </w:r>
      <w:r>
        <w:rPr>
          <w:rFonts w:hint="eastAsia" w:ascii="仿宋" w:hAnsi="仿宋" w:eastAsia="仿宋" w:cs="仿宋"/>
          <w:b/>
          <w:bCs/>
          <w:color w:val="000000"/>
          <w:sz w:val="28"/>
          <w:szCs w:val="28"/>
          <w:lang w:eastAsia="zh-CN"/>
        </w:rPr>
        <w:t xml:space="preserve">方法</w:t>
      </w:r>
      <w:r/>
    </w:p>
    <w:p>
      <w:pPr>
        <w:ind w:firstLine="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采用</w:t>
      </w:r>
      <w:r>
        <w:rPr>
          <w:rFonts w:hint="eastAsia" w:ascii="仿宋" w:hAnsi="仿宋" w:eastAsia="仿宋" w:cs="仿宋"/>
          <w:sz w:val="28"/>
          <w:szCs w:val="28"/>
        </w:rPr>
        <w:t xml:space="preserve">综合评分法，对满足磋商文件全部实质性要求的响应文件按评审因素的量化指标评审总分对供应商进行排序。</w:t>
      </w:r>
      <w:r/>
    </w:p>
    <w:p>
      <w:pPr>
        <w:ind w:firstLine="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经磋商确定最终采购需求和提交最后报价的供应商后</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磋商小组</w:t>
      </w:r>
      <w:r>
        <w:rPr>
          <w:rFonts w:hint="eastAsia" w:ascii="仿宋" w:hAnsi="仿宋" w:eastAsia="仿宋" w:cs="仿宋"/>
          <w:sz w:val="28"/>
          <w:szCs w:val="28"/>
          <w:lang w:eastAsia="zh-CN"/>
        </w:rPr>
        <w:t xml:space="preserve">成员独立</w:t>
      </w:r>
      <w:r>
        <w:rPr>
          <w:rFonts w:hint="eastAsia" w:ascii="仿宋" w:hAnsi="仿宋" w:eastAsia="仿宋" w:cs="仿宋"/>
          <w:sz w:val="28"/>
          <w:szCs w:val="28"/>
        </w:rPr>
        <w:t xml:space="preserve">对提交最后报价的供应商的响应文件和最后报价进行</w:t>
      </w:r>
      <w:r>
        <w:rPr>
          <w:rFonts w:hint="eastAsia" w:ascii="仿宋" w:hAnsi="仿宋" w:eastAsia="仿宋" w:cs="仿宋"/>
          <w:sz w:val="28"/>
          <w:szCs w:val="28"/>
          <w:lang w:eastAsia="zh-CN"/>
        </w:rPr>
        <w:t xml:space="preserve">综合</w:t>
      </w:r>
      <w:r>
        <w:rPr>
          <w:rFonts w:hint="eastAsia" w:ascii="仿宋" w:hAnsi="仿宋" w:eastAsia="仿宋" w:cs="仿宋"/>
          <w:sz w:val="28"/>
          <w:szCs w:val="28"/>
        </w:rPr>
        <w:t xml:space="preserve">评分。</w:t>
      </w:r>
      <w:r/>
    </w:p>
    <w:p>
      <w:pPr>
        <w:ind w:firstLine="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磋商小组按照评审</w:t>
      </w:r>
      <w:r>
        <w:rPr>
          <w:rFonts w:hint="eastAsia" w:ascii="仿宋" w:hAnsi="仿宋" w:eastAsia="仿宋" w:cs="仿宋"/>
          <w:sz w:val="28"/>
          <w:szCs w:val="28"/>
          <w:lang w:val="en-US" w:eastAsia="zh-CN"/>
        </w:rPr>
        <w:t xml:space="preserve">总</w:t>
      </w:r>
      <w:r>
        <w:rPr>
          <w:rFonts w:hint="eastAsia" w:ascii="仿宋" w:hAnsi="仿宋" w:eastAsia="仿宋" w:cs="仿宋"/>
          <w:sz w:val="28"/>
          <w:szCs w:val="28"/>
        </w:rPr>
        <w:t xml:space="preserve">分</w:t>
      </w:r>
      <w:r>
        <w:rPr>
          <w:rFonts w:hint="eastAsia" w:ascii="仿宋" w:hAnsi="仿宋" w:eastAsia="仿宋" w:cs="仿宋"/>
          <w:color w:val="000000" w:themeColor="text1"/>
          <w:sz w:val="28"/>
          <w:szCs w:val="28"/>
          <w14:textFill>
            <w14:solidFill>
              <w14:schemeClr w14:val="tx1"/>
            </w14:solidFill>
          </w14:textFill>
        </w:rPr>
        <w:t xml:space="preserve">由高到低顺序推荐</w:t>
      </w:r>
      <w:r>
        <w:rPr>
          <w:rFonts w:hint="eastAsia" w:ascii="仿宋" w:hAnsi="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成交候选供应</w:t>
      </w:r>
      <w:r>
        <w:rPr>
          <w:rFonts w:hint="eastAsia" w:ascii="仿宋" w:hAnsi="仿宋" w:eastAsia="仿宋" w:cs="仿宋"/>
          <w:color w:val="auto"/>
          <w:sz w:val="28"/>
          <w:szCs w:val="28"/>
          <w:highlight w:val="none"/>
          <w:lang w:eastAsia="zh-CN"/>
        </w:rPr>
        <w:t xml:space="preserve">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并编写评审报告。</w:t>
      </w:r>
      <w:r/>
    </w:p>
    <w:p>
      <w:pPr>
        <w:ind w:firstLine="0"/>
        <w:keepLines w:val="0"/>
        <w:keepNext w:val="0"/>
        <w:pageBreakBefore w:val="0"/>
        <w:spacing w:line="56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二、</w:t>
      </w:r>
      <w:r>
        <w:rPr>
          <w:rFonts w:hint="eastAsia" w:ascii="仿宋" w:hAnsi="仿宋" w:eastAsia="仿宋" w:cs="仿宋"/>
          <w:b/>
          <w:bCs/>
          <w:color w:val="auto"/>
          <w:sz w:val="28"/>
          <w:szCs w:val="28"/>
          <w:highlight w:val="none"/>
          <w:lang w:val="en-US" w:eastAsia="zh-CN"/>
        </w:rPr>
        <w:t xml:space="preserve">小微企业价格扣除</w:t>
      </w:r>
      <w:r/>
    </w:p>
    <w:p>
      <w:pPr>
        <w:ind w:firstLine="0"/>
        <w:keepLines w:val="0"/>
        <w:keepNext w:val="0"/>
        <w:pageBreakBefore w:val="0"/>
        <w:spacing w:line="560" w:lineRule="exact"/>
        <w:widowControl w:val="off"/>
        <w:rPr>
          <w:rFonts w:hint="eastAsia" w:ascii="仿宋" w:hAnsi="仿宋" w:eastAsia="仿宋" w:cs="仿宋"/>
          <w:sz w:val="28"/>
          <w:szCs w:val="28"/>
          <w:highlight w:val="yellow"/>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zh-CN"/>
        </w:rPr>
        <w:t xml:space="preserve">本项目服务全部由小微企业承接</w:t>
      </w:r>
      <w:r>
        <w:rPr>
          <w:rFonts w:hint="eastAsia" w:ascii="仿宋" w:hAnsi="仿宋" w:eastAsia="仿宋" w:cs="仿宋"/>
          <w:sz w:val="28"/>
          <w:szCs w:val="28"/>
          <w:lang w:val="zh-CN" w:eastAsia="zh-CN"/>
        </w:rPr>
        <w:t xml:space="preserve">的</w:t>
      </w:r>
      <w:r>
        <w:rPr>
          <w:rFonts w:hint="eastAsia" w:ascii="仿宋" w:hAnsi="仿宋" w:eastAsia="仿宋" w:cs="仿宋"/>
          <w:color w:val="000000" w:themeColor="text1"/>
          <w:sz w:val="28"/>
          <w:szCs w:val="28"/>
          <w:lang w:val="zh-CN"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对报价给予</w:t>
      </w:r>
      <w:r>
        <w:rPr>
          <w:rFonts w:hint="eastAsia" w:ascii="仿宋" w:hAnsi="仿宋" w:cs="仿宋"/>
          <w:color w:val="000000" w:themeColor="text1"/>
          <w:highlight w:val="none"/>
          <w:lang w:val="zh-CN"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的扣除</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用扣除后的价格参与评审。</w:t>
      </w:r>
      <w:r/>
    </w:p>
    <w:p>
      <w:pPr>
        <w:ind w:firstLine="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残疾人福利性单位视同小型、微型企业</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给予</w:t>
      </w:r>
      <w:r>
        <w:rPr>
          <w:rFonts w:hint="eastAsia" w:ascii="仿宋" w:hAnsi="仿宋" w:eastAsia="仿宋" w:cs="仿宋"/>
          <w:sz w:val="28"/>
          <w:szCs w:val="28"/>
          <w:lang w:val="en-US" w:eastAsia="zh-CN"/>
        </w:rPr>
        <w:t xml:space="preserve">与小微企业</w:t>
      </w:r>
      <w:r>
        <w:rPr>
          <w:rFonts w:hint="eastAsia" w:ascii="仿宋" w:hAnsi="仿宋" w:eastAsia="仿宋" w:cs="仿宋"/>
          <w:sz w:val="28"/>
          <w:szCs w:val="28"/>
          <w:u w:val="none"/>
          <w:lang w:val="en-US" w:eastAsia="zh-CN"/>
        </w:rPr>
        <w:t xml:space="preserve">相同</w:t>
      </w:r>
      <w:r>
        <w:rPr>
          <w:rFonts w:hint="eastAsia" w:ascii="仿宋" w:hAnsi="仿宋" w:eastAsia="仿宋" w:cs="仿宋"/>
          <w:sz w:val="28"/>
          <w:szCs w:val="28"/>
        </w:rPr>
        <w:t xml:space="preserve">的价格扣除</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用扣除后的价格参与评审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监狱和戒毒企业视同小型、微型企业</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给予</w:t>
      </w:r>
      <w:r>
        <w:rPr>
          <w:rFonts w:hint="eastAsia" w:ascii="仿宋" w:hAnsi="仿宋" w:eastAsia="仿宋" w:cs="仿宋"/>
          <w:sz w:val="28"/>
          <w:szCs w:val="28"/>
          <w:lang w:val="en-US" w:eastAsia="zh-CN"/>
        </w:rPr>
        <w:t xml:space="preserve">与小微企业</w:t>
      </w:r>
      <w:r>
        <w:rPr>
          <w:rFonts w:hint="eastAsia" w:ascii="仿宋" w:hAnsi="仿宋" w:eastAsia="仿宋" w:cs="仿宋"/>
          <w:sz w:val="28"/>
          <w:szCs w:val="28"/>
          <w:u w:val="none"/>
          <w:lang w:val="en-US" w:eastAsia="zh-CN"/>
        </w:rPr>
        <w:t xml:space="preserve">相同</w:t>
      </w:r>
      <w:r>
        <w:rPr>
          <w:rFonts w:hint="eastAsia" w:ascii="仿宋" w:hAnsi="仿宋" w:eastAsia="仿宋" w:cs="仿宋"/>
          <w:sz w:val="28"/>
          <w:szCs w:val="28"/>
        </w:rPr>
        <w:t xml:space="preserve">的价格扣除</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用扣除后的价格参与评审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残疾人福利单位、监狱企业属于小型、微型企业的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不重复享受</w:t>
      </w:r>
      <w:r>
        <w:rPr>
          <w:rFonts w:hint="eastAsia" w:ascii="仿宋" w:hAnsi="仿宋" w:eastAsia="仿宋" w:cs="仿宋"/>
          <w:sz w:val="28"/>
          <w:szCs w:val="28"/>
          <w:lang w:val="en-US" w:eastAsia="zh-CN"/>
        </w:rPr>
        <w:t xml:space="preserve">价格扣除</w:t>
      </w:r>
      <w:r>
        <w:rPr>
          <w:rFonts w:hint="eastAsia" w:ascii="仿宋" w:hAnsi="仿宋" w:eastAsia="仿宋" w:cs="仿宋"/>
          <w:sz w:val="28"/>
          <w:szCs w:val="28"/>
        </w:rPr>
        <w:t xml:space="preserve">。</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三、评审标准</w:t>
      </w:r>
      <w:r/>
    </w:p>
    <w:tbl>
      <w:tblPr>
        <w:tblStyle w:val="72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276"/>
        <w:gridCol w:w="6520"/>
        <w:gridCol w:w="761"/>
      </w:tblGrid>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序号</w:t>
            </w:r>
            <w:r/>
          </w:p>
        </w:tc>
        <w:tc>
          <w:tcPr>
            <w:tcW w:w="1276"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评标</w:t>
            </w:r>
            <w:r>
              <w:rPr>
                <w:rFonts w:hint="eastAsia" w:ascii="仿宋" w:hAnsi="仿宋" w:eastAsia="仿宋" w:cs="仿宋"/>
                <w:b/>
                <w:color w:val="000000" w:themeColor="text1"/>
                <w:sz w:val="24"/>
                <w:szCs w:val="24"/>
                <w:highlight w:val="none"/>
                <w14:textFill>
                  <w14:solidFill>
                    <w14:schemeClr w14:val="tx1"/>
                  </w14:solidFill>
                </w14:textFill>
              </w:rPr>
              <w:t xml:space="preserve">项</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目</w:t>
            </w:r>
            <w:r/>
          </w:p>
        </w:tc>
        <w:tc>
          <w:tcPr>
            <w:gridSpan w:val="2"/>
            <w:tcW w:w="728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评审细则</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1276"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价格</w:t>
            </w:r>
            <w:r/>
          </w:p>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（2）对所有供应商的磋商价格按照以下办法进行评分：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经磋商小组评审后，满足磋商文件要求且报价最低的磋商报价为磋商基准价，其价格分为满分10分。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各响应报价得分=（磋商基准价/响应报价）×10（小数点留两位）</w:t>
            </w:r>
            <w:r/>
          </w:p>
          <w:p>
            <w:pPr>
              <w:ind w:firstLine="0"/>
              <w:jc w:val="left"/>
              <w:keepLines w:val="0"/>
              <w:keepNext w:val="0"/>
              <w:pageBreakBefore w:val="0"/>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w:t>
            </w:r>
            <w:r/>
          </w:p>
        </w:tc>
        <w:tc>
          <w:tcPr>
            <w:tcW w:w="1276" w:type="dxa"/>
            <w:vAlign w:val="center"/>
            <w:vMerge w:val="restart"/>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服务方案</w:t>
            </w:r>
            <w:r/>
          </w:p>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59</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赛事总体方案</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根据供应商针对本项目提供的</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赛事总体方案，主要包括赛事概况、赛事规划（路线规划、场地规划、赛事服务）等</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进行评分：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（1）赛事总体方案满足采购项目需求，具有创意性、合理性、可操作性，</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得8</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（2）赛事总体方案基本满足采购项目需求，具有一定的创意性、合理性、可操作性，</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得5</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（3）赛事总体方案对采购项目需求程度</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不够</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满足，创意性、合理性、可操作性</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欠缺</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得3</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（4）方案不可行或未提供方案的不得分。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2.2</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赛事质量保障</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根据</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供应商针对本项目提供的赛事质量保障方案，包括但不限于</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拟为本项目提供的器材、设施、物品等</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进行评分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（1）器材、设施、物品等丰富，可行性强，有效保障赛事质量，</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得8</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（2）器材、设施、物品等足够，可行性较强，基本能够保障赛事质量，</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得5</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（3）器材、设施、物品等匮乏，缺乏可行性，难以保障赛事质量，</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得3</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（4）方案不可行或未提供方案的不得分。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2.3</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赛事组织方案</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根据供应商针对本项目提供的</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赛事组织方案及实施计划满足采购项目需求程度和合理性、可操作性等</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进行</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评分</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（1）赛事组织方案及实施计划满足采购项目需求程度和合理性、可操作性等成熟、完善的，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得8</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（2）赛事组织方案及实施计划满足采购项目需求程度和合理性、可操作性等基本满足的，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得5</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（3）赛事组织方案及实施计划满足采购项目需求程度和合理性、可操作性等有缺陷的，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得3</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（4）方案不可行或未提供方案的不得分。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安全风险防控方案</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根据供应商针对本项目提供的</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安全风险防控方案及实施计划满足采购项目需求程度和合理性、可操作性等</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进行</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评分：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（1）安全风险防控方案及实施计划满足采购项目需求程度和合理性、可操作性等成熟、完善的，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得7分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（2）安全风险防控方案及实施计划满足采购项目需求程度和合理性、可操作性等基本满足的，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得4</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（3）安全风险防控方案及实施计划满足采购项目需求程度和合理性、可操作性等有缺陷的，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得2</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应急处理方案</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根据供应商提供的应急处理方案，包括但不限于组织体系、预防和预警机制、突发情况及应对措施、应急响应机制等进行评分：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（1）应急预案的可靠性和周密程度等成熟、完善的，得7分；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（2）应急预案的可靠性和周密程度等基本满足的，得4分；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（3）应急预案的可靠性和周密程度等有缺陷性的，得2分。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医疗救助方案</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根据供应商提供的</w:t>
            </w:r>
            <w:r>
              <w:rPr>
                <w:rFonts w:hint="eastAsia" w:ascii="仿宋" w:hAnsi="仿宋" w:eastAsia="仿宋" w:cs="仿宋"/>
                <w:color w:val="000000" w:themeColor="text1"/>
                <w:sz w:val="24"/>
                <w:szCs w:val="24"/>
                <w:highlight w:val="none"/>
                <w14:textFill>
                  <w14:solidFill>
                    <w14:schemeClr w14:val="tx1"/>
                  </w14:solidFill>
                </w14:textFill>
              </w:rPr>
              <w:t xml:space="preserve">赛事医疗救助方案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包括但不限于赛事实际情况符合性、全面性；</w:t>
            </w:r>
            <w:r>
              <w:rPr>
                <w:rFonts w:hint="eastAsia" w:ascii="仿宋" w:hAnsi="仿宋" w:eastAsia="仿宋" w:cs="仿宋"/>
                <w:color w:val="000000" w:themeColor="text1"/>
                <w:sz w:val="24"/>
                <w:szCs w:val="24"/>
                <w:highlight w:val="none"/>
                <w14:textFill>
                  <w14:solidFill>
                    <w14:schemeClr w14:val="tx1"/>
                  </w14:solidFill>
                </w14:textFill>
              </w:rPr>
              <w:t xml:space="preserve">物资、人力配置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合理性进行评分：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（1）赛事医疗救助方案细致全面，符合赛事实际情况</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物资、人力配置合理，责任明确，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得7分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（2）赛事医疗救助方案基本满足项目需求，基本符合赛事实际情况</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物资、人力配置基本合理，责任基本明确，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得4分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（3）赛事医疗救助方案细致程度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片面</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不够</w:t>
            </w:r>
            <w:r>
              <w:rPr>
                <w:rFonts w:hint="eastAsia" w:ascii="仿宋" w:hAnsi="仿宋" w:eastAsia="仿宋" w:cs="仿宋"/>
                <w:color w:val="000000" w:themeColor="text1"/>
                <w:sz w:val="24"/>
                <w:szCs w:val="24"/>
                <w:highlight w:val="none"/>
                <w14:textFill>
                  <w14:solidFill>
                    <w14:schemeClr w14:val="tx1"/>
                  </w14:solidFill>
                </w14:textFill>
              </w:rPr>
              <w:t xml:space="preserve">符合赛事实际情况程度</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物资、人力配置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不够</w:t>
            </w:r>
            <w:r>
              <w:rPr>
                <w:rFonts w:hint="eastAsia" w:ascii="仿宋" w:hAnsi="仿宋" w:eastAsia="仿宋" w:cs="仿宋"/>
                <w:color w:val="000000" w:themeColor="text1"/>
                <w:sz w:val="24"/>
                <w:szCs w:val="24"/>
                <w:highlight w:val="none"/>
                <w14:textFill>
                  <w14:solidFill>
                    <w14:schemeClr w14:val="tx1"/>
                  </w14:solidFill>
                </w14:textFill>
              </w:rPr>
              <w:t xml:space="preserve">合理，责任</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模糊</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得2分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宣传推广方案</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根据供应商提供的</w:t>
            </w:r>
            <w:r>
              <w:rPr>
                <w:rFonts w:hint="eastAsia" w:ascii="仿宋" w:hAnsi="仿宋" w:eastAsia="仿宋" w:cs="仿宋"/>
                <w:color w:val="000000" w:themeColor="text1"/>
                <w:sz w:val="24"/>
                <w:szCs w:val="24"/>
                <w:highlight w:val="none"/>
                <w14:textFill>
                  <w14:solidFill>
                    <w14:schemeClr w14:val="tx1"/>
                  </w14:solidFill>
                </w14:textFill>
              </w:rPr>
              <w:t xml:space="preserve">媒体宣传推广方案及实施计划</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包括但不限于</w:t>
            </w:r>
            <w:r>
              <w:rPr>
                <w:rFonts w:hint="eastAsia" w:ascii="仿宋" w:hAnsi="仿宋" w:eastAsia="仿宋" w:cs="仿宋"/>
                <w:color w:val="000000" w:themeColor="text1"/>
                <w:sz w:val="24"/>
                <w:szCs w:val="24"/>
                <w:highlight w:val="none"/>
                <w14:textFill>
                  <w14:solidFill>
                    <w14:schemeClr w14:val="tx1"/>
                  </w14:solidFill>
                </w14:textFill>
              </w:rPr>
              <w:t xml:space="preserve">（包含赛前、赛时和赛后3个阶段）采购项目需求程度和创意性、合理性、可操作性，媒体资源丰富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性</w:t>
            </w:r>
            <w:r>
              <w:rPr>
                <w:rFonts w:hint="eastAsia" w:ascii="仿宋" w:hAnsi="仿宋" w:eastAsia="仿宋" w:cs="仿宋"/>
                <w:color w:val="000000" w:themeColor="text1"/>
                <w:sz w:val="24"/>
                <w:szCs w:val="24"/>
                <w:highlight w:val="none"/>
                <w14:textFill>
                  <w14:solidFill>
                    <w14:schemeClr w14:val="tx1"/>
                  </w14:solidFill>
                </w14:textFill>
              </w:rPr>
              <w:t xml:space="preserve">，为赛事或活动提供的品牌推广和传播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进行程度评分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（1）媒体宣传推广方案及实施计划满足采购项目需求程度和创意性、合理性、可操作性，媒体资源丰富，能为赛事或活动提供很好的品牌推广和传播，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（2）媒体宣传推广方案及实施计划基本满足采购项目需求程度和创意性、合理性、可操作性，具有一定的媒体资源，能为赛事或活动提供较好的品牌推广和传播，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得4</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（3）媒体宣传推广方案及实施计划</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不够</w:t>
            </w:r>
            <w:r>
              <w:rPr>
                <w:rFonts w:hint="eastAsia" w:ascii="仿宋" w:hAnsi="仿宋" w:eastAsia="仿宋" w:cs="仿宋"/>
                <w:color w:val="000000" w:themeColor="text1"/>
                <w:sz w:val="24"/>
                <w:szCs w:val="24"/>
                <w:highlight w:val="none"/>
                <w14:textFill>
                  <w14:solidFill>
                    <w14:schemeClr w14:val="tx1"/>
                  </w14:solidFill>
                </w14:textFill>
              </w:rPr>
              <w:t xml:space="preserve">满足采购项目需求程度和创意性、合理性、可操作性，媒体资源缺乏，不能为赛事或活动提供很好的品牌推广和传播，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市场开发方案</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根据供应商提供的市场开发</w:t>
            </w:r>
            <w:r>
              <w:rPr>
                <w:rFonts w:hint="eastAsia" w:ascii="仿宋" w:hAnsi="仿宋" w:eastAsia="仿宋" w:cs="仿宋"/>
                <w:color w:val="000000" w:themeColor="text1"/>
                <w:sz w:val="24"/>
                <w:szCs w:val="24"/>
                <w:highlight w:val="none"/>
                <w14:textFill>
                  <w14:solidFill>
                    <w14:schemeClr w14:val="tx1"/>
                  </w14:solidFill>
                </w14:textFill>
              </w:rPr>
              <w:t xml:space="preserve">方案及实施计划满足采购项目需求程度和合理性、可操作性等</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进行</w:t>
            </w:r>
            <w:r>
              <w:rPr>
                <w:rFonts w:hint="eastAsia" w:ascii="仿宋" w:hAnsi="仿宋" w:eastAsia="仿宋" w:cs="仿宋"/>
                <w:color w:val="000000" w:themeColor="text1"/>
                <w:sz w:val="24"/>
                <w:szCs w:val="24"/>
                <w:highlight w:val="none"/>
                <w14:textFill>
                  <w14:solidFill>
                    <w14:schemeClr w14:val="tx1"/>
                  </w14:solidFill>
                </w14:textFill>
              </w:rPr>
              <w:t xml:space="preserve">评分：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（1）招商方案及实施计划满足采购项目需求程度和合理性、可操作性等成熟、完善的，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（2）招商方案及实施计划满足采购项目需求程度和合理性、可操作性等基本满足的，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得4</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（3）招商方案及实施计划满足采购项目需求程度和合理性、可操作性等有缺陷的，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方案不可行或未提供方案的不得分。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3.1</w:t>
            </w:r>
            <w:r/>
          </w:p>
        </w:tc>
        <w:tc>
          <w:tcPr>
            <w:tcW w:w="1276" w:type="dxa"/>
            <w:vAlign w:val="center"/>
            <w:vMerge w:val="restart"/>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团队人员</w:t>
            </w:r>
            <w:r/>
          </w:p>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19</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（1）供应商拟投入本项目的项目负责人（1人），自2023年01月01日以来具有类似赛事运营项目经验的，每有1个得4分，最高得8分。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（提供合同复印件，且合同中需体现项目负责人信息（若合同中未体现项目负责人信息的，需另外提供由甲方单位出具的盖章版证明材料）；</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并且提供2026年03月（含）-2026年05月（含）内任意1个月供应商为其缴纳的社保证明材料。以上材料均需加盖公章。</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未按要求提供不得分。）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3.2</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numPr>
                <w:ilvl w:val="0"/>
                <w:numId w:val="0"/>
              </w:numPr>
              <w:ind w:firstLine="0"/>
              <w:jc w:val="left"/>
              <w:keepLines w:val="0"/>
              <w:keepNext w:val="0"/>
              <w:pageBreakBefore w:val="0"/>
              <w:spacing w:line="24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供应商拟投入本项目的团队人员人数（含项目负责人）</w:t>
            </w:r>
            <w:r>
              <w:rPr>
                <w:rFonts w:hint="eastAsia" w:ascii="仿宋" w:hAnsi="仿宋" w:cs="仿宋"/>
                <w:b w:val="0"/>
                <w:bCs w:val="0"/>
                <w:color w:val="000000" w:themeColor="text1"/>
                <w:sz w:val="24"/>
                <w:szCs w:val="24"/>
                <w:highlight w:val="none"/>
                <w:lang w:val="en-US" w:eastAsia="zh-CN"/>
                <w14:textFill>
                  <w14:solidFill>
                    <w14:schemeClr w14:val="tx1"/>
                  </w14:solidFill>
                </w14:textFill>
              </w:rPr>
              <w:t xml:space="preserve">4人（含）-8人（不含）的得1分；8人（含）-12人（不含）的得3分；12人（含）以上的得5分</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（提供项目组成员一览表，表格格式自拟；并且提供2026年03月（含）-2026年05月（含）内任意1个月供应商为其缴纳的社保证明材料。以上材料均需加盖公章。未提供不得分。）</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p>
        </w:tc>
      </w:tr>
      <w:tr>
        <w:trPr>
          <w:jc w:val="center"/>
          <w:trHeight w:val="353"/>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3.3</w:t>
            </w:r>
            <w:r/>
          </w:p>
        </w:tc>
        <w:tc>
          <w:tcPr>
            <w:tcW w:w="1276" w:type="dxa"/>
            <w:vAlign w:val="center"/>
            <w:vMerge w:val="continue"/>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（3）拟投入本项目的团队成员中具有参加过中铁协铁人三项竞赛组织管理培训且获得合格证书的，每提供一人得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分，最多得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分。 </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（提供有效证书复印件，以及2026年03月（含）-2026年05月（含）内任意1个月供应商为其缴纳的社保证明材料。以上材料均需加盖公章。）</w:t>
            </w:r>
            <w:r/>
          </w:p>
        </w:tc>
        <w:tc>
          <w:tcPr>
            <w:tcW w:w="761" w:type="dxa"/>
            <w:vAlign w:val="center"/>
            <w:textDirection w:val="lrTb"/>
            <w:noWrap w:val="false"/>
          </w:tcPr>
          <w:p>
            <w:pPr>
              <w:ind w:firstLine="0"/>
              <w:jc w:val="center"/>
              <w:keepLines w:val="0"/>
              <w:keepNext w:val="0"/>
              <w:pageBreakBefore w:val="0"/>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 </w:t>
            </w:r>
            <w:r/>
          </w:p>
        </w:tc>
      </w:tr>
      <w:tr>
        <w:trPr>
          <w:jc w:val="center"/>
        </w:trPr>
        <w:tc>
          <w:tcPr>
            <w:tcW w:w="85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c>
          <w:tcPr>
            <w:tcW w:w="1276"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w:t>
            </w:r>
            <w:r/>
          </w:p>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520"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自2023年1月1日以来（以合同签订时间为准），供应商承接过类似赛事运营项目案例的，每提供一个得4分，最多得12分。</w:t>
            </w:r>
            <w:r/>
          </w:p>
          <w:p>
            <w:pPr>
              <w:ind w:firstLine="0"/>
              <w:jc w:val="left"/>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（提供中标通知书、现场照片及合同复印件加盖公章，未提供不得分，业绩合同与项目负责人经验合同不可同时计取，一个合同只计取一次）</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p>
        </w:tc>
      </w:tr>
      <w:tr>
        <w:trPr>
          <w:jc w:val="center"/>
        </w:trPr>
        <w:tc>
          <w:tcPr>
            <w:gridSpan w:val="3"/>
            <w:tcW w:w="865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合计</w:t>
            </w:r>
            <w:r/>
          </w:p>
        </w:tc>
        <w:tc>
          <w:tcPr>
            <w:tcW w:w="761"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100</w:t>
            </w:r>
            <w:r/>
          </w:p>
        </w:tc>
      </w:tr>
    </w:tbl>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br w:type="page" w:clear="all"/>
      </w:r>
      <w:r/>
    </w:p>
    <w:p>
      <w:pPr>
        <w:jc w:val="center"/>
        <w:rPr>
          <w:rFonts w:hint="eastAsia" w:ascii="仿宋" w:hAnsi="仿宋" w:eastAsia="仿宋" w:cs="仿宋"/>
          <w:bCs/>
          <w:color w:val="000000" w:themeColor="text1"/>
          <w:sz w:val="44"/>
          <w:szCs w:val="28"/>
          <w:highlight w:val="none"/>
          <w14:textFill>
            <w14:solidFill>
              <w14:schemeClr w14:val="tx1"/>
            </w14:solidFill>
          </w14:textFill>
        </w:rPr>
        <w:outlineLvl w:val="0"/>
      </w:pPr>
      <w:r/>
      <w:bookmarkStart w:id="193" w:name="_Toc160699569"/>
      <w:r>
        <w:rPr>
          <w:rStyle w:val="924"/>
          <w:rFonts w:hint="eastAsia" w:ascii="仿宋" w:hAnsi="仿宋" w:eastAsia="仿宋" w:cs="仿宋"/>
          <w:color w:val="000000" w:themeColor="text1"/>
          <w:highlight w:val="none"/>
          <w14:textFill>
            <w14:solidFill>
              <w14:schemeClr w14:val="tx1"/>
            </w14:solidFill>
          </w14:textFill>
        </w:rPr>
        <w:t xml:space="preserve">第六章  </w:t>
      </w:r>
      <w:bookmarkEnd w:id="187"/>
      <w:r/>
      <w:bookmarkEnd w:id="188"/>
      <w:r/>
      <w:bookmarkEnd w:id="190"/>
      <w:r>
        <w:rPr>
          <w:rStyle w:val="924"/>
          <w:rFonts w:hint="eastAsia" w:ascii="仿宋" w:hAnsi="仿宋" w:eastAsia="仿宋" w:cs="仿宋"/>
          <w:color w:val="000000" w:themeColor="text1"/>
          <w:highlight w:val="none"/>
          <w14:textFill>
            <w14:solidFill>
              <w14:schemeClr w14:val="tx1"/>
            </w14:solidFill>
          </w14:textFill>
        </w:rPr>
        <w:t xml:space="preserve">响应文件格式</w:t>
      </w:r>
      <w:bookmarkEnd w:id="193"/>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bookmarkStart w:id="194" w:name="_Hlt26671244"/>
      <w:r/>
      <w:bookmarkEnd w:id="194"/>
      <w:r/>
      <w:bookmarkStart w:id="195" w:name="_Hlt26955039"/>
      <w:r/>
      <w:bookmarkEnd w:id="195"/>
      <w:r/>
      <w:bookmarkStart w:id="196" w:name="_Toc49090576"/>
      <w:r/>
      <w:bookmarkStart w:id="197" w:name="_Toc26554094"/>
      <w:r/>
      <w:bookmarkStart w:id="198" w:name="_Toc120614282"/>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line="44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ind w:left="0" w:firstLine="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 xml:space="preserve">响应文件目录</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一、供应商信用承诺函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二、满足特定资格要求的证明文件（如果设置特定资格要求，则需要提供）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三、法人授权书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四、磋商响应函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五、报价表</w:t>
      </w:r>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六、分项报价表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七、</w:t>
      </w:r>
      <w:r>
        <w:rPr>
          <w:rFonts w:hint="eastAsia" w:ascii="仿宋" w:hAnsi="仿宋" w:cs="仿宋"/>
          <w:color w:val="000000" w:themeColor="text1"/>
          <w:highlight w:val="none"/>
          <w:lang w:val="en-US" w:eastAsia="zh-CN"/>
          <w14:textFill>
            <w14:solidFill>
              <w14:schemeClr w14:val="tx1"/>
            </w14:solidFill>
          </w14:textFill>
        </w:rPr>
        <w:t xml:space="preserve">技术要求响应及</w:t>
      </w:r>
      <w:r>
        <w:rPr>
          <w:rFonts w:hint="eastAsia" w:ascii="仿宋" w:hAnsi="仿宋" w:eastAsia="仿宋" w:cs="仿宋"/>
          <w:color w:val="000000" w:themeColor="text1"/>
          <w:highlight w:val="none"/>
          <w14:textFill>
            <w14:solidFill>
              <w14:schemeClr w14:val="tx1"/>
            </w14:solidFill>
          </w14:textFill>
        </w:rPr>
        <w:t xml:space="preserve">偏离表</w:t>
      </w:r>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八、商务要求响应及偏离表</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九</w:t>
      </w:r>
      <w:r>
        <w:rPr>
          <w:rFonts w:hint="eastAsia" w:ascii="仿宋" w:hAnsi="仿宋" w:eastAsia="仿宋" w:cs="仿宋"/>
          <w:color w:val="000000" w:themeColor="text1"/>
          <w:highlight w:val="none"/>
          <w14:textFill>
            <w14:solidFill>
              <w14:schemeClr w14:val="tx1"/>
            </w14:solidFill>
          </w14:textFill>
        </w:rPr>
        <w:t xml:space="preserve">、项目实施方案</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、服务与承诺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十一</w:t>
      </w: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zh-CN"/>
          <w14:textFill>
            <w14:solidFill>
              <w14:schemeClr w14:val="tx1"/>
            </w14:solidFill>
          </w14:textFill>
        </w:rPr>
        <w:t xml:space="preserve">竞争性磋商需要的其他证明文件及材料（</w:t>
      </w:r>
      <w:r>
        <w:rPr>
          <w:rFonts w:hint="eastAsia" w:ascii="仿宋" w:hAnsi="仿宋" w:eastAsia="仿宋" w:cs="仿宋"/>
          <w:color w:val="000000" w:themeColor="text1"/>
          <w:highlight w:val="none"/>
          <w14:textFill>
            <w14:solidFill>
              <w14:schemeClr w14:val="tx1"/>
            </w14:solidFill>
          </w14:textFill>
        </w:rPr>
        <w:t xml:space="preserve">格式自拟</w:t>
      </w:r>
      <w:r>
        <w:rPr>
          <w:rFonts w:hint="eastAsia" w:ascii="仿宋" w:hAnsi="仿宋" w:eastAsia="仿宋" w:cs="仿宋"/>
          <w:color w:val="000000" w:themeColor="text1"/>
          <w:highlight w:val="none"/>
          <w:lang w:val="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十</w:t>
      </w:r>
      <w:r>
        <w:rPr>
          <w:rFonts w:hint="eastAsia" w:ascii="仿宋" w:hAnsi="仿宋" w:cs="仿宋"/>
          <w:color w:val="000000" w:themeColor="text1"/>
          <w:highlight w:val="none"/>
          <w:lang w:val="en-US" w:eastAsia="zh-CN"/>
          <w14:textFill>
            <w14:solidFill>
              <w14:schemeClr w14:val="tx1"/>
            </w14:solidFill>
          </w14:textFill>
        </w:rPr>
        <w:t xml:space="preserve">二</w:t>
      </w:r>
      <w:r>
        <w:rPr>
          <w:rFonts w:hint="eastAsia" w:ascii="仿宋" w:hAnsi="仿宋" w:eastAsia="仿宋" w:cs="仿宋"/>
          <w:color w:val="000000" w:themeColor="text1"/>
          <w:highlight w:val="none"/>
          <w14:textFill>
            <w14:solidFill>
              <w14:schemeClr w14:val="tx1"/>
            </w14:solidFill>
          </w14:textFill>
        </w:rPr>
        <w:t xml:space="preserve">、附件</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中小企业声明函（如有）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残疾人福利性单位声明函（如有）</w:t>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i/>
          <w:color w:val="000000" w:themeColor="text1"/>
          <w:sz w:val="32"/>
          <w:szCs w:val="32"/>
          <w:highlight w:val="none"/>
          <w:u w:val="single"/>
          <w:lang w:eastAsia="zh-CN"/>
          <w14:textFill>
            <w14:solidFill>
              <w14:schemeClr w14:val="tx1"/>
            </w14:solidFill>
          </w14:textFill>
        </w:rPr>
        <w:outlineLvl w:val="2"/>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Start w:id="199" w:name="_Toc160699570"/>
      <w:r>
        <w:rPr>
          <w:rStyle w:val="925"/>
          <w:rFonts w:hint="eastAsia" w:ascii="仿宋" w:hAnsi="仿宋" w:eastAsia="仿宋" w:cs="仿宋"/>
          <w:color w:val="000000" w:themeColor="text1"/>
          <w:highlight w:val="none"/>
          <w14:textFill>
            <w14:solidFill>
              <w14:schemeClr w14:val="tx1"/>
            </w14:solidFill>
          </w14:textFill>
        </w:rPr>
        <w:t xml:space="preserve">一、供应商信用承诺函</w:t>
      </w:r>
      <w:bookmarkEnd w:id="199"/>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供应商信用承诺函</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致：南京市建邺区文化和旅游局</w:t>
      </w:r>
      <w:r/>
    </w:p>
    <w:p>
      <w:pPr>
        <w:ind w:firstLine="11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江苏苏建工程项目管理咨询有限公司</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（供应商名称）郑重承诺：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我公司符合下列要求：</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(一)具有独立承担民事责任的能力；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(二)具有良好的商业信誉和健全的财务会计制度；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(三)具有履行合同所必需的设备和专业技术能力；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(四)有依法缴纳税收和社会保障资金的良好记录；</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(五)参加政府采购活动前三年内</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在经营活动中没有重大违法记录</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如果我公司</w:t>
      </w:r>
      <w:r>
        <w:rPr>
          <w:rFonts w:hint="eastAsia" w:ascii="仿宋" w:hAnsi="仿宋" w:eastAsia="仿宋" w:cs="仿宋"/>
          <w:b/>
          <w:bCs/>
          <w:color w:val="000000" w:themeColor="text1"/>
          <w:highlight w:val="none"/>
          <w:lang w:eastAsia="zh-CN"/>
          <w14:textFill>
            <w14:solidFill>
              <w14:schemeClr w14:val="tx1"/>
            </w14:solidFill>
          </w14:textFill>
        </w:rPr>
        <w:t xml:space="preserve">成交，</w:t>
      </w:r>
      <w:r>
        <w:rPr>
          <w:rFonts w:hint="eastAsia" w:ascii="仿宋" w:hAnsi="仿宋" w:eastAsia="仿宋" w:cs="仿宋"/>
          <w:b/>
          <w:bCs/>
          <w:color w:val="000000" w:themeColor="text1"/>
          <w:highlight w:val="none"/>
          <w14:textFill>
            <w14:solidFill>
              <w14:schemeClr w14:val="tx1"/>
            </w14:solidFill>
          </w14:textFill>
        </w:rPr>
        <w:t xml:space="preserve">将在</w:t>
      </w:r>
      <w:r>
        <w:rPr>
          <w:rFonts w:hint="eastAsia" w:ascii="仿宋" w:hAnsi="仿宋" w:eastAsia="仿宋" w:cs="仿宋"/>
          <w:b/>
          <w:bCs/>
          <w:color w:val="000000" w:themeColor="text1"/>
          <w:highlight w:val="none"/>
          <w:lang w:eastAsia="zh-CN"/>
          <w14:textFill>
            <w14:solidFill>
              <w14:schemeClr w14:val="tx1"/>
            </w14:solidFill>
          </w14:textFill>
        </w:rPr>
        <w:t xml:space="preserve">成交</w:t>
      </w:r>
      <w:r>
        <w:rPr>
          <w:rFonts w:hint="eastAsia" w:ascii="仿宋" w:hAnsi="仿宋" w:eastAsia="仿宋" w:cs="仿宋"/>
          <w:b/>
          <w:bCs/>
          <w:color w:val="000000" w:themeColor="text1"/>
          <w:highlight w:val="none"/>
          <w14:textFill>
            <w14:solidFill>
              <w14:schemeClr w14:val="tx1"/>
            </w14:solidFill>
          </w14:textFill>
        </w:rPr>
        <w:t xml:space="preserve">结果公示后七个工作日内向</w:t>
      </w:r>
      <w:r>
        <w:rPr>
          <w:rFonts w:hint="eastAsia" w:ascii="仿宋" w:hAnsi="仿宋" w:cs="仿宋"/>
          <w:b/>
          <w:bCs/>
          <w:color w:val="000000" w:themeColor="text1"/>
          <w:highlight w:val="none"/>
          <w:lang w:val="en-US" w:eastAsia="zh-CN"/>
          <w14:textFill>
            <w14:solidFill>
              <w14:schemeClr w14:val="tx1"/>
            </w14:solidFill>
          </w14:textFill>
        </w:rPr>
        <w:t xml:space="preserve">代理机构和采购人</w:t>
      </w:r>
      <w:r>
        <w:rPr>
          <w:rFonts w:hint="eastAsia" w:ascii="仿宋" w:hAnsi="仿宋" w:eastAsia="仿宋" w:cs="仿宋"/>
          <w:b/>
          <w:bCs/>
          <w:color w:val="000000" w:themeColor="text1"/>
          <w:highlight w:val="none"/>
          <w14:textFill>
            <w14:solidFill>
              <w14:schemeClr w14:val="tx1"/>
            </w14:solidFill>
          </w14:textFill>
        </w:rPr>
        <w:t xml:space="preserve">提供下列材料核验：</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（1）营业执照副本或事业单位法人登记证书；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（2）参加本次政府采购活动前一年的经审计的财务报告（包括“四表一注”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法人成立满一年的提供）或参加本次政府采购活动前一年内的银行资信证明（法人或其他组织提供）或其他证明材料；</w:t>
      </w:r>
      <w:r/>
    </w:p>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color w:val="000000" w:themeColor="text1"/>
          <w:highlight w:val="none"/>
          <w14:textFill>
            <w14:solidFill>
              <w14:schemeClr w14:val="tx1"/>
            </w14:solidFill>
          </w14:textFill>
        </w:rPr>
        <w:t xml:space="preserve">履行合同所必需的设备和专业技术能力</w:t>
      </w:r>
      <w:r>
        <w:rPr>
          <w:rFonts w:hint="eastAsia" w:ascii="仿宋" w:hAnsi="仿宋" w:eastAsia="仿宋" w:cs="仿宋"/>
          <w:color w:val="000000" w:themeColor="text1"/>
          <w:highlight w:val="none"/>
          <w:lang w:eastAsia="zh-CN"/>
          <w14:textFill>
            <w14:solidFill>
              <w14:schemeClr w14:val="tx1"/>
            </w14:solidFill>
          </w14:textFill>
        </w:rPr>
        <w:t xml:space="preserve">证明材料；</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4</w:t>
      </w:r>
      <w:r>
        <w:rPr>
          <w:rFonts w:hint="eastAsia" w:ascii="仿宋" w:hAnsi="仿宋" w:eastAsia="仿宋" w:cs="仿宋"/>
          <w:color w:val="000000" w:themeColor="text1"/>
          <w:highlight w:val="none"/>
          <w14:textFill>
            <w14:solidFill>
              <w14:schemeClr w14:val="tx1"/>
            </w14:solidFill>
          </w14:textFill>
        </w:rPr>
        <w:t xml:space="preserve">）参加本次政府采购活动前一年内至少一个月依法缴纳税收和社会保障资金的证明材料。</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本公司对上述承诺</w:t>
      </w:r>
      <w:r>
        <w:rPr>
          <w:rFonts w:hint="eastAsia" w:ascii="仿宋" w:hAnsi="仿宋" w:eastAsia="仿宋" w:cs="仿宋"/>
          <w:color w:val="000000" w:themeColor="text1"/>
          <w:highlight w:val="none"/>
          <w:lang w:eastAsia="zh-CN"/>
          <w14:textFill>
            <w14:solidFill>
              <w14:schemeClr w14:val="tx1"/>
            </w14:solidFill>
          </w14:textFill>
        </w:rPr>
        <w:t xml:space="preserve">内容</w:t>
      </w:r>
      <w:r>
        <w:rPr>
          <w:rFonts w:hint="eastAsia" w:ascii="仿宋" w:hAnsi="仿宋" w:eastAsia="仿宋" w:cs="仿宋"/>
          <w:color w:val="000000" w:themeColor="text1"/>
          <w:highlight w:val="none"/>
          <w14:textFill>
            <w14:solidFill>
              <w14:schemeClr w14:val="tx1"/>
            </w14:solidFill>
          </w14:textFill>
        </w:rPr>
        <w:t xml:space="preserve">的真实性</w:t>
      </w:r>
      <w:r>
        <w:rPr>
          <w:rFonts w:hint="eastAsia" w:ascii="仿宋" w:hAnsi="仿宋" w:eastAsia="仿宋" w:cs="仿宋"/>
          <w:color w:val="000000" w:themeColor="text1"/>
          <w:highlight w:val="none"/>
          <w:lang w:eastAsia="zh-CN"/>
          <w14:textFill>
            <w14:solidFill>
              <w14:schemeClr w14:val="tx1"/>
            </w14:solidFill>
          </w14:textFill>
        </w:rPr>
        <w:t xml:space="preserve">、合法性、有效性</w:t>
      </w:r>
      <w:r>
        <w:rPr>
          <w:rFonts w:hint="eastAsia" w:ascii="仿宋" w:hAnsi="仿宋" w:eastAsia="仿宋" w:cs="仿宋"/>
          <w:color w:val="000000" w:themeColor="text1"/>
          <w:highlight w:val="none"/>
          <w14:textFill>
            <w14:solidFill>
              <w14:schemeClr w14:val="tx1"/>
            </w14:solidFill>
          </w14:textFill>
        </w:rPr>
        <w:t xml:space="preserve">负责</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如有虚假</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将依法承担相应责任。</w:t>
      </w:r>
      <w:r/>
    </w:p>
    <w:p>
      <w:pPr>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供应商</w:t>
      </w:r>
      <w:r>
        <w:rPr>
          <w:rFonts w:hint="eastAsia" w:ascii="仿宋" w:hAnsi="仿宋" w:eastAsia="仿宋" w:cs="仿宋"/>
          <w:color w:val="000000" w:themeColor="text1"/>
          <w:highlight w:val="none"/>
          <w14:textFill>
            <w14:solidFill>
              <w14:schemeClr w14:val="tx1"/>
            </w14:solidFill>
          </w14:textFill>
        </w:rPr>
        <w:t xml:space="preserve">名称</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（加盖电子公章）</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日  期：</w:t>
      </w:r>
      <w:r/>
    </w:p>
    <w:p>
      <w:pPr>
        <w:ind w:left="0" w:firstLine="0"/>
        <w:jc w:val="left"/>
        <w:widowControl/>
        <w:rPr>
          <w:rFonts w:hint="eastAsia" w:ascii="仿宋" w:hAnsi="仿宋" w:eastAsia="仿宋" w:cs="仿宋"/>
          <w:b/>
          <w:bCs/>
          <w:color w:val="000000" w:themeColor="text1"/>
          <w:highlight w:val="none"/>
          <w14:textFill>
            <w14:solidFill>
              <w14:schemeClr w14:val="tx1"/>
            </w14:solidFill>
          </w14:textFill>
        </w:rPr>
        <w:outlineLvl w:val="2"/>
      </w:pPr>
      <w:r/>
      <w:bookmarkStart w:id="200" w:name="_Toc160699571"/>
      <w:r>
        <w:rPr>
          <w:rFonts w:hint="eastAsia" w:ascii="仿宋" w:hAnsi="仿宋" w:eastAsia="仿宋" w:cs="仿宋"/>
          <w:b/>
          <w:bCs/>
          <w:color w:val="000000" w:themeColor="text1"/>
          <w:highlight w:val="none"/>
          <w14:textFill>
            <w14:solidFill>
              <w14:schemeClr w14:val="tx1"/>
            </w14:solidFill>
          </w14:textFill>
        </w:rPr>
        <w:t xml:space="preserve">二、特定资格要求的证明文件</w:t>
      </w:r>
      <w:bookmarkEnd w:id="200"/>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bookmarkEnd w:id="196"/>
      <w:r/>
      <w:bookmarkEnd w:id="197"/>
      <w:r/>
      <w:bookmarkEnd w:id="198"/>
      <w:r/>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bookmarkStart w:id="201" w:name="_Toc120614284"/>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717"/>
        <w:rPr>
          <w:rFonts w:hint="eastAsia" w:ascii="仿宋" w:hAnsi="仿宋" w:eastAsia="仿宋" w:cs="仿宋"/>
          <w:color w:val="000000" w:themeColor="text1"/>
          <w:highlight w:val="none"/>
          <w14:textFill>
            <w14:solidFill>
              <w14:schemeClr w14:val="tx1"/>
            </w14:solidFill>
          </w14:textFill>
        </w:rPr>
      </w:pPr>
      <w:r/>
      <w:bookmarkStart w:id="202" w:name="_Toc160699572"/>
      <w:r>
        <w:rPr>
          <w:rFonts w:hint="eastAsia" w:ascii="仿宋" w:hAnsi="仿宋" w:eastAsia="仿宋" w:cs="仿宋"/>
          <w:color w:val="000000" w:themeColor="text1"/>
          <w:highlight w:val="none"/>
          <w14:textFill>
            <w14:solidFill>
              <w14:schemeClr w14:val="tx1"/>
            </w14:solidFill>
          </w14:textFill>
        </w:rPr>
        <w:t xml:space="preserve">三、法人授权书</w:t>
      </w:r>
      <w:bookmarkEnd w:id="202"/>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法人授权书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本授权书声明：____________（供应商名称）授权________________（被授权人的姓名）为我方就（项目名称XXX）项目（编号XXX）采购活动的合法代理人，以本单位名义全权处理一切与该项目采购有关的事务。</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    期：</w:t>
      </w:r>
      <w:bookmarkStart w:id="203" w:name="_格式3__银行出具的资信证明"/>
      <w:r/>
      <w:bookmarkEnd w:id="203"/>
      <w:r/>
      <w:bookmarkStart w:id="204" w:name="_Hlt26955070"/>
      <w:r/>
      <w:bookmarkEnd w:id="204"/>
      <w:r/>
      <w:bookmarkStart w:id="205" w:name="_Hlt26671380"/>
      <w:r/>
      <w:bookmarkEnd w:id="205"/>
      <w:r>
        <w:rPr>
          <w:rFonts w:hint="eastAsia" w:ascii="仿宋" w:hAnsi="仿宋" w:eastAsia="仿宋" w:cs="仿宋"/>
          <w:color w:val="000000" w:themeColor="text1"/>
          <w:highlight w:val="none"/>
          <w14:textFill>
            <w14:solidFill>
              <w14:schemeClr w14:val="tx1"/>
            </w14:solidFill>
          </w14:textFill>
        </w:rPr>
        <w:t xml:space="preserve">________________                                         </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法人</w:t>
      </w:r>
      <w:r>
        <w:rPr>
          <w:rFonts w:hint="eastAsia" w:ascii="仿宋" w:hAnsi="仿宋" w:eastAsia="仿宋" w:cs="仿宋"/>
          <w:color w:val="000000" w:themeColor="text1"/>
          <w:highlight w:val="none"/>
          <w14:textFill>
            <w14:solidFill>
              <w14:schemeClr w14:val="tx1"/>
            </w14:solidFill>
          </w14:textFill>
        </w:rPr>
        <w:t xml:space="preserve">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ind w:left="0" w:firstLine="0"/>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717"/>
        <w:rPr>
          <w:rFonts w:hint="eastAsia" w:ascii="仿宋" w:hAnsi="仿宋" w:eastAsia="仿宋" w:cs="仿宋"/>
          <w:color w:val="000000" w:themeColor="text1"/>
          <w:highlight w:val="none"/>
          <w14:textFill>
            <w14:solidFill>
              <w14:schemeClr w14:val="tx1"/>
            </w14:solidFill>
          </w14:textFill>
        </w:rPr>
      </w:pPr>
      <w:r/>
      <w:bookmarkStart w:id="206" w:name="_Toc160699573"/>
      <w:r>
        <w:rPr>
          <w:rFonts w:hint="eastAsia" w:ascii="仿宋" w:hAnsi="仿宋" w:eastAsia="仿宋" w:cs="仿宋"/>
          <w:color w:val="000000" w:themeColor="text1"/>
          <w:highlight w:val="none"/>
          <w14:textFill>
            <w14:solidFill>
              <w14:schemeClr w14:val="tx1"/>
            </w14:solidFill>
          </w14:textFill>
        </w:rPr>
        <w:t xml:space="preserve">四、磋商响应函</w:t>
      </w:r>
      <w:bookmarkEnd w:id="206"/>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磋商响应函</w:t>
      </w:r>
      <w:r/>
    </w:p>
    <w:p>
      <w:pP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致：</w:t>
      </w:r>
      <w:r>
        <w:rPr>
          <w:rFonts w:hint="eastAsia" w:ascii="仿宋" w:hAnsi="仿宋" w:eastAsia="仿宋" w:cs="仿宋"/>
          <w:color w:val="000000" w:themeColor="text1"/>
          <w:highlight w:val="none"/>
          <w:lang w:val="en-US" w:eastAsia="zh-CN"/>
          <w14:textFill>
            <w14:solidFill>
              <w14:schemeClr w14:val="tx1"/>
            </w14:solidFill>
          </w14:textFill>
        </w:rPr>
        <w:t xml:space="preserve">南京市建邺区文化和旅游局</w:t>
      </w:r>
      <w:r/>
    </w:p>
    <w:p>
      <w:pPr>
        <w:ind w:firstLine="112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江苏苏建工程项目管理咨询有限公司</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（项目编号）</w:t>
      </w:r>
      <w:r>
        <w:rPr>
          <w:rFonts w:hint="eastAsia" w:ascii="仿宋" w:hAnsi="仿宋" w:eastAsia="仿宋" w:cs="仿宋"/>
          <w:color w:val="000000" w:themeColor="text1"/>
          <w:sz w:val="28"/>
          <w:szCs w:val="28"/>
          <w:highlight w:val="none"/>
          <w14:textFill>
            <w14:solidFill>
              <w14:schemeClr w14:val="tx1"/>
            </w14:solidFill>
          </w14:textFill>
        </w:rPr>
        <w:t xml:space="preserve">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（供应商的名称），全权处理本次项目磋商的有关事宜。</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签字人兹宣布同意如下：</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7.我方为：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大型企业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微型企业（对应</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上打“√”</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8.我方与本磋商有关的正式通讯地址为：</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62"/>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7"/>
        <w:rPr>
          <w:rFonts w:hint="eastAsia" w:ascii="仿宋" w:hAnsi="仿宋" w:eastAsia="仿宋" w:cs="仿宋"/>
          <w:color w:val="000000" w:themeColor="text1"/>
          <w:highlight w:val="none"/>
          <w14:textFill>
            <w14:solidFill>
              <w14:schemeClr w14:val="tx1"/>
            </w14:solidFill>
          </w14:textFill>
        </w:rPr>
      </w:pPr>
      <w:r/>
      <w:bookmarkStart w:id="207" w:name="_Toc160699574"/>
      <w:r>
        <w:rPr>
          <w:rFonts w:hint="eastAsia" w:ascii="仿宋" w:hAnsi="仿宋" w:eastAsia="仿宋" w:cs="仿宋"/>
          <w:color w:val="000000" w:themeColor="text1"/>
          <w:highlight w:val="none"/>
          <w14:textFill>
            <w14:solidFill>
              <w14:schemeClr w14:val="tx1"/>
            </w14:solidFill>
          </w14:textFill>
        </w:rPr>
        <w:t xml:space="preserve">五、</w:t>
      </w:r>
      <w:r>
        <w:rPr>
          <w:rFonts w:hint="eastAsia" w:ascii="仿宋" w:hAnsi="仿宋" w:eastAsia="仿宋" w:cs="仿宋"/>
          <w:color w:val="000000" w:themeColor="text1"/>
          <w:highlight w:val="none"/>
          <w14:textFill>
            <w14:solidFill>
              <w14:schemeClr w14:val="tx1"/>
            </w14:solidFill>
          </w14:textFill>
        </w:rPr>
        <w:t xml:space="preserve">报价表</w:t>
      </w:r>
      <w:bookmarkEnd w:id="207"/>
      <w:r/>
      <w:r/>
    </w:p>
    <w:p>
      <w:pPr>
        <w:ind w:firstLine="562"/>
        <w:jc w:val="center"/>
        <w:spacing w:line="480" w:lineRule="auto"/>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报价表</w:t>
      </w:r>
      <w:r/>
    </w:p>
    <w:p>
      <w:pPr>
        <w:ind w:firstLine="560"/>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供应商名称：（加盖电子公章） </w:t>
      </w:r>
      <w:r/>
    </w:p>
    <w:p>
      <w:pPr>
        <w:ind w:firstLine="560"/>
        <w:spacing w:line="240" w:lineRule="auto"/>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项目名称：</w:t>
      </w:r>
      <w:r/>
    </w:p>
    <w:p>
      <w:pPr>
        <w:ind w:firstLine="560"/>
        <w:spacing w:line="240" w:lineRule="auto"/>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项目编号：                                   </w:t>
      </w:r>
      <w:r/>
    </w:p>
    <w:tbl>
      <w:tblPr>
        <w:tblStyle w:val="72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center"/>
              <w:spacing w:line="480" w:lineRule="auto"/>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962"/>
              <w:ind w:firstLine="560"/>
              <w:spacing w:before="0" w:after="0" w:line="480" w:lineRule="auto"/>
              <w:rPr>
                <w:rFonts w:ascii="仿宋" w:hAnsi="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小写（元）：                             </w:t>
            </w:r>
            <w:r/>
          </w:p>
        </w:tc>
      </w:tr>
    </w:tbl>
    <w:p>
      <w:pPr>
        <w:ind w:firstLine="560"/>
        <w:spacing w:line="480" w:lineRule="auto"/>
        <w:rPr>
          <w:rFonts w:ascii="仿宋" w:hAnsi="仿宋" w:cs="仿宋"/>
          <w:color w:val="000000" w:themeColor="text1"/>
          <w:szCs w:val="28"/>
          <w:highlight w:val="none"/>
          <w14:textFill>
            <w14:solidFill>
              <w14:schemeClr w14:val="tx1"/>
            </w14:solidFill>
          </w14:textFill>
        </w:rPr>
      </w:pPr>
      <w:r>
        <w:rPr>
          <w:rFonts w:ascii="仿宋" w:hAnsi="仿宋" w:cs="仿宋"/>
          <w:color w:val="000000" w:themeColor="text1"/>
          <w:szCs w:val="28"/>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                                              日  期</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7"/>
        <w:rPr>
          <w:rFonts w:hint="eastAsia" w:ascii="仿宋" w:hAnsi="仿宋" w:eastAsia="仿宋" w:cs="仿宋"/>
          <w:color w:val="000000" w:themeColor="text1"/>
          <w:highlight w:val="none"/>
          <w14:textFill>
            <w14:solidFill>
              <w14:schemeClr w14:val="tx1"/>
            </w14:solidFill>
          </w14:textFill>
        </w:rPr>
      </w:pPr>
      <w:r/>
      <w:bookmarkStart w:id="208" w:name="_Toc160699575"/>
      <w:r>
        <w:rPr>
          <w:rFonts w:hint="eastAsia" w:ascii="仿宋" w:hAnsi="仿宋" w:eastAsia="仿宋" w:cs="仿宋"/>
          <w:color w:val="000000" w:themeColor="text1"/>
          <w:highlight w:val="none"/>
          <w14:textFill>
            <w14:solidFill>
              <w14:schemeClr w14:val="tx1"/>
            </w14:solidFill>
          </w14:textFill>
        </w:rPr>
        <w:t xml:space="preserve">六、分项报价表</w:t>
      </w:r>
      <w:bookmarkEnd w:id="208"/>
      <w:r/>
      <w:r/>
    </w:p>
    <w:p>
      <w:pPr>
        <w:jc w:val="left"/>
        <w:spacing w:line="240" w:lineRule="atLeast"/>
        <w:widowControl/>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r/>
    </w:p>
    <w:p>
      <w:pPr>
        <w:jc w:val="left"/>
        <w:spacing w:line="240" w:lineRule="atLeast"/>
        <w:widowControl/>
        <w:rPr>
          <w:rFonts w:hint="eastAsia" w:ascii="仿宋" w:hAnsi="仿宋" w:eastAsia="仿宋" w:cs="仿宋"/>
          <w:b/>
          <w:color w:val="000000" w:themeColor="text1"/>
          <w:sz w:val="32"/>
          <w:szCs w:val="28"/>
          <w:highlight w:val="none"/>
          <w:lang w:val="zh-CN"/>
          <w14:textFill>
            <w14:solidFill>
              <w14:schemeClr w14:val="tx1"/>
            </w14:solidFill>
          </w14:textFill>
        </w:rPr>
      </w:pPr>
      <w:r>
        <w:rPr>
          <w:rFonts w:hint="eastAsia" w:ascii="仿宋" w:hAnsi="仿宋" w:eastAsia="仿宋" w:cs="仿宋"/>
          <w:b/>
          <w:color w:val="000000" w:themeColor="text1"/>
          <w:sz w:val="32"/>
          <w:szCs w:val="28"/>
          <w:highlight w:val="none"/>
          <w:lang w:val="zh-CN"/>
          <w14:textFill>
            <w14:solidFill>
              <w14:schemeClr w14:val="tx1"/>
            </w14:solidFill>
          </w14:textFill>
        </w:rPr>
      </w:r>
      <w:r/>
    </w:p>
    <w:tbl>
      <w:tblPr>
        <w:tblStyle w:val="7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73"/>
        <w:gridCol w:w="1648"/>
        <w:gridCol w:w="1311"/>
        <w:gridCol w:w="1311"/>
        <w:gridCol w:w="1392"/>
        <w:gridCol w:w="1163"/>
      </w:tblGrid>
      <w:tr>
        <w:trPr>
          <w:jc w:val="center"/>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ind w:left="0" w:firstLine="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r/>
          </w:p>
          <w:p>
            <w:pPr>
              <w:ind w:left="0" w:firstLine="0"/>
              <w:jc w:val="left"/>
              <w:spacing w:line="360" w:lineRule="auto"/>
              <w:widowControl/>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905"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840"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总价（人民币，大写）</w:t>
            </w:r>
            <w:r/>
          </w:p>
        </w:tc>
        <w:tc>
          <w:tcPr>
            <w:gridSpan w:val="4"/>
            <w:tcBorders>
              <w:top w:val="single" w:color="auto" w:sz="4" w:space="0"/>
              <w:left w:val="single" w:color="auto" w:sz="4" w:space="0"/>
              <w:bottom w:val="single" w:color="auto" w:sz="4" w:space="0"/>
              <w:right w:val="single" w:color="auto" w:sz="4" w:space="0"/>
            </w:tcBorders>
            <w:tcW w:w="2648" w:type="pct"/>
            <w:textDirection w:val="lrTb"/>
            <w:noWrap w:val="false"/>
          </w:tcPr>
          <w:p>
            <w:pPr>
              <w:ind w:firstLine="288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元</w:t>
            </w:r>
            <w:r/>
          </w:p>
        </w:tc>
      </w:tr>
    </w:tbl>
    <w:p>
      <w:pPr>
        <w:jc w:val="left"/>
        <w:spacing w:line="560" w:lineRule="exact"/>
        <w:widowControl/>
        <w:rPr>
          <w:rFonts w:hint="eastAsia" w:ascii="仿宋" w:hAnsi="仿宋" w:eastAsia="仿宋" w:cs="仿宋"/>
          <w:color w:val="000000" w:themeColor="text1"/>
          <w:sz w:val="28"/>
          <w:szCs w:val="24"/>
          <w:highlight w:val="none"/>
          <w:lang w:val="zh-CN"/>
          <w14:textFill>
            <w14:solidFill>
              <w14:schemeClr w14:val="tx1"/>
            </w14:solidFill>
          </w14:textFill>
        </w:rPr>
      </w:pPr>
      <w:r>
        <w:rPr>
          <w:rFonts w:hint="eastAsia" w:ascii="仿宋" w:hAnsi="仿宋" w:eastAsia="仿宋" w:cs="仿宋"/>
          <w:color w:val="000000" w:themeColor="text1"/>
          <w:sz w:val="28"/>
          <w:szCs w:val="24"/>
          <w:highlight w:val="none"/>
          <w:lang w:val="zh-CN"/>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 xml:space="preserve">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 xml:space="preserve">加盖电子章</w:t>
      </w:r>
      <w:r>
        <w:rPr>
          <w:rFonts w:hint="eastAsia" w:ascii="仿宋" w:hAnsi="仿宋" w:eastAsia="仿宋" w:cs="仿宋"/>
          <w:color w:val="000000" w:themeColor="text1"/>
          <w:sz w:val="24"/>
          <w:szCs w:val="21"/>
          <w:highlight w:val="none"/>
          <w:u w:val="single"/>
          <w14:textFill>
            <w14:solidFill>
              <w14:schemeClr w14:val="tx1"/>
            </w14:solidFill>
          </w14:textFill>
        </w:rPr>
        <w:t xml:space="preserve">）</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注：1、在“是否属于小、微型企业的服务”栏内，填写“是”或“否”，如果小微型企业的服务报价无法划分计算的，评标时将不予认可。小型和微型企业服务是指供应商为小企业，且符合中小企业划分标准，提供本企业提供的服务。</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2、经磋商后，如果成交价高于或低于供应商在响应文件首次报价的，分项报价同比例调整。</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7"/>
        <w:rPr>
          <w:rFonts w:hint="eastAsia" w:ascii="仿宋" w:hAnsi="仿宋" w:eastAsia="仿宋" w:cs="仿宋"/>
          <w:color w:val="000000" w:themeColor="text1"/>
          <w:highlight w:val="none"/>
          <w:lang w:val="en-US" w:eastAsia="zh-CN"/>
          <w14:textFill>
            <w14:solidFill>
              <w14:schemeClr w14:val="tx1"/>
            </w14:solidFill>
          </w14:textFill>
        </w:rPr>
      </w:pPr>
      <w:r/>
      <w:bookmarkStart w:id="209" w:name="_Toc160699578"/>
      <w:r>
        <w:rPr>
          <w:rFonts w:hint="eastAsia" w:ascii="仿宋" w:hAnsi="仿宋" w:eastAsia="仿宋" w:cs="仿宋"/>
          <w:color w:val="000000" w:themeColor="text1"/>
          <w:highlight w:val="none"/>
          <w14:textFill>
            <w14:solidFill>
              <w14:schemeClr w14:val="tx1"/>
            </w14:solidFill>
          </w14:textFill>
        </w:rPr>
        <w:t xml:space="preserve">七、</w:t>
      </w:r>
      <w:bookmarkEnd w:id="209"/>
      <w:r>
        <w:rPr>
          <w:rFonts w:hint="eastAsia" w:ascii="仿宋" w:hAnsi="仿宋" w:eastAsia="仿宋" w:cs="仿宋"/>
          <w:color w:val="000000" w:themeColor="text1"/>
          <w:highlight w:val="none"/>
          <w:lang w:val="en-US" w:eastAsia="zh-CN"/>
          <w14:textFill>
            <w14:solidFill>
              <w14:schemeClr w14:val="tx1"/>
            </w14:solidFill>
          </w14:textFill>
        </w:rPr>
        <w:t xml:space="preserve">技术要求响应及偏离表</w:t>
      </w:r>
      <w:r/>
    </w:p>
    <w:p>
      <w:pPr>
        <w:jc w:val="center"/>
        <w:spacing w:line="240" w:lineRule="atLeast"/>
        <w:widowControl/>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 xml:space="preserve">技术要求响应及偏离表</w:t>
      </w:r>
      <w:r/>
    </w:p>
    <w:tbl>
      <w:tblPr>
        <w:tblStyle w:val="7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17"/>
        <w:gridCol w:w="2824"/>
        <w:gridCol w:w="3366"/>
      </w:tblGrid>
      <w:tr>
        <w:trPr>
          <w:cantSplit/>
        </w:trPr>
        <w:tc>
          <w:tcPr>
            <w:tcW w:w="37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148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磋商</w:t>
            </w:r>
            <w:r>
              <w:rPr>
                <w:rFonts w:hint="eastAsia" w:ascii="仿宋" w:hAnsi="仿宋" w:eastAsia="仿宋" w:cs="仿宋"/>
                <w:color w:val="auto"/>
                <w:sz w:val="24"/>
                <w:szCs w:val="24"/>
              </w:rPr>
              <w:t xml:space="preserve">文件要求</w:t>
            </w:r>
            <w:r/>
          </w:p>
        </w:tc>
        <w:tc>
          <w:tcPr>
            <w:tcW w:w="143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响应情况</w:t>
            </w:r>
            <w:r/>
          </w:p>
        </w:tc>
        <w:tc>
          <w:tcPr>
            <w:tcW w:w="170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正偏离、无偏离或负偏离</w:t>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760"/>
        <w:jc w:val="both"/>
        <w:keepLines w:val="0"/>
        <w:keepNext w:val="0"/>
        <w:spacing w:before="0" w:beforeAutospacing="0" w:after="0" w:afterAutospacing="0"/>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r>
      <w:r/>
    </w:p>
    <w:p>
      <w:pPr>
        <w:ind w:right="180" w:firstLine="560"/>
        <w:jc w:val="both"/>
        <w:keepLines w:val="0"/>
        <w:keepNext w:val="0"/>
        <w:pageBreakBefore w:val="0"/>
        <w:spacing w:line="360" w:lineRule="auto"/>
        <w:rPr>
          <w:rFonts w:hint="eastAsia" w:ascii="宋体" w:hAnsi="宋体"/>
          <w:color w:val="auto"/>
          <w:sz w:val="28"/>
          <w:szCs w:val="28"/>
          <w:u w:val="none"/>
        </w:rPr>
      </w:pPr>
      <w:r>
        <w:rPr>
          <w:rFonts w:hint="eastAsia" w:ascii="宋体" w:hAnsi="宋体"/>
          <w:color w:val="auto"/>
          <w:sz w:val="28"/>
          <w:szCs w:val="28"/>
          <w:lang w:val="en-US" w:eastAsia="zh-CN"/>
        </w:rPr>
        <w:t xml:space="preserve">供应商</w:t>
      </w:r>
      <w:r>
        <w:rPr>
          <w:rFonts w:hint="eastAsia" w:ascii="宋体" w:hAnsi="宋体"/>
          <w:color w:val="auto"/>
          <w:sz w:val="28"/>
          <w:szCs w:val="28"/>
        </w:rPr>
        <w:t xml:space="preserve">名称</w:t>
      </w:r>
      <w:r>
        <w:rPr>
          <w:rFonts w:hint="eastAsia" w:ascii="宋体" w:hAnsi="宋体"/>
          <w:color w:val="auto"/>
          <w:sz w:val="28"/>
          <w:szCs w:val="28"/>
          <w:lang w:eastAsia="zh-CN"/>
        </w:rPr>
        <w:t xml:space="preserve">：</w:t>
      </w:r>
      <w:r>
        <w:rPr>
          <w:rFonts w:hint="eastAsia" w:ascii="宋体" w:hAnsi="宋体"/>
          <w:color w:val="auto"/>
          <w:sz w:val="28"/>
          <w:szCs w:val="28"/>
          <w:u w:val="none"/>
        </w:rPr>
        <w:t xml:space="preserve">（加盖电子公章）</w:t>
      </w:r>
      <w:r/>
    </w:p>
    <w:p>
      <w:pPr>
        <w:rPr>
          <w:rFonts w:hint="eastAsia" w:ascii="宋体" w:hAnsi="宋体"/>
          <w:color w:val="auto"/>
          <w:sz w:val="28"/>
          <w:szCs w:val="28"/>
        </w:rPr>
      </w:pPr>
      <w:r>
        <w:rPr>
          <w:rFonts w:hint="eastAsia" w:ascii="宋体" w:hAnsi="宋体"/>
          <w:color w:val="auto"/>
          <w:sz w:val="28"/>
          <w:szCs w:val="28"/>
        </w:rPr>
      </w:r>
      <w:r/>
    </w:p>
    <w:p>
      <w:pPr>
        <w:pStyle w:val="760"/>
        <w:ind w:firstLine="560"/>
        <w:jc w:val="both"/>
        <w:spacing w:before="0" w:beforeAutospacing="0" w:after="0" w:afterAutospacing="0" w:line="360" w:lineRule="auto"/>
        <w:rPr>
          <w:rFonts w:hint="default" w:ascii="宋体" w:hAnsi="宋体" w:eastAsia="仿宋" w:cs="Times New Roman"/>
          <w:color w:val="auto"/>
          <w:sz w:val="28"/>
          <w:szCs w:val="28"/>
          <w:u w:val="none"/>
          <w:lang w:val="en-US" w:eastAsia="zh-CN" w:bidi="ar-SA"/>
        </w:rPr>
      </w:pPr>
      <w:r>
        <w:rPr>
          <w:rFonts w:hint="default" w:ascii="宋体" w:hAnsi="宋体" w:eastAsia="仿宋" w:cs="Times New Roman"/>
          <w:color w:val="auto"/>
          <w:sz w:val="28"/>
          <w:szCs w:val="28"/>
          <w:u w:val="none"/>
          <w:lang w:val="en-US" w:eastAsia="zh-CN" w:bidi="ar-SA"/>
        </w:rPr>
        <w:t xml:space="preserve">备注： </w:t>
      </w:r>
      <w:r/>
    </w:p>
    <w:p>
      <w:pPr>
        <w:pStyle w:val="760"/>
        <w:ind w:firstLine="562"/>
        <w:jc w:val="both"/>
        <w:spacing w:before="0" w:beforeAutospacing="0" w:after="0" w:afterAutospacing="0" w:line="360" w:lineRule="auto"/>
        <w:rPr>
          <w:rFonts w:hint="eastAsia" w:ascii="宋体" w:hAnsi="宋体" w:eastAsia="仿宋" w:cs="Times New Roman"/>
          <w:b/>
          <w:bCs/>
          <w:color w:val="auto"/>
          <w:sz w:val="28"/>
          <w:szCs w:val="28"/>
          <w:u w:val="none"/>
          <w:lang w:val="en-US" w:eastAsia="zh-CN" w:bidi="ar-SA"/>
        </w:rPr>
      </w:pPr>
      <w:r>
        <w:rPr>
          <w:rFonts w:hint="eastAsia" w:ascii="宋体" w:hAnsi="宋体" w:eastAsia="仿宋" w:cs="Times New Roman"/>
          <w:b/>
          <w:bCs/>
          <w:color w:val="auto"/>
          <w:sz w:val="28"/>
          <w:szCs w:val="28"/>
          <w:u w:val="none"/>
          <w:lang w:val="en-US" w:eastAsia="zh-CN" w:bidi="ar-SA"/>
        </w:rPr>
        <w:t xml:space="preserve">1.供应商须对磋商文件技术要求中的实质性要求（斜体下划线内容或打“★”内容）及其他要求做出明确响应，否则视为无效响应。</w:t>
      </w:r>
      <w:r/>
    </w:p>
    <w:p>
      <w:pPr>
        <w:pStyle w:val="760"/>
        <w:ind w:firstLine="560"/>
        <w:jc w:val="both"/>
        <w:spacing w:before="0" w:beforeAutospacing="0" w:after="0" w:afterAutospacing="0" w:line="360" w:lineRule="auto"/>
        <w:rPr>
          <w:rFonts w:hint="eastAsia" w:ascii="宋体" w:hAnsi="宋体" w:eastAsia="宋体" w:cs="宋体"/>
          <w:color w:val="auto"/>
          <w:sz w:val="28"/>
          <w:szCs w:val="28"/>
          <w:lang w:val="en-US" w:eastAsia="zh-CN"/>
        </w:rPr>
      </w:pPr>
      <w:r>
        <w:rPr>
          <w:rFonts w:hint="eastAsia" w:ascii="宋体" w:hAnsi="宋体" w:eastAsia="仿宋" w:cs="Times New Roman"/>
          <w:color w:val="auto"/>
          <w:sz w:val="28"/>
          <w:szCs w:val="28"/>
          <w:u w:val="none"/>
          <w:lang w:val="en-US" w:eastAsia="zh-CN" w:bidi="ar-SA"/>
        </w:rPr>
        <w:t xml:space="preserve">2.行数不够，可自行添加</w:t>
      </w:r>
      <w:r>
        <w:rPr>
          <w:rFonts w:hint="eastAsia" w:ascii="宋体" w:hAnsi="宋体" w:eastAsia="宋体" w:cs="宋体"/>
          <w:color w:val="auto"/>
          <w:sz w:val="28"/>
          <w:szCs w:val="28"/>
          <w:lang w:val="en-US" w:eastAsia="zh-CN"/>
        </w:rPr>
        <w:t xml:space="preserve">。</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ff"/>
          <w:sz w:val="32"/>
          <w:szCs w:val="32"/>
          <w:u w:val="none"/>
          <w:lang w:val="en-US" w:eastAsia="zh-CN"/>
        </w:rPr>
      </w:pPr>
      <w:r/>
      <w:bookmarkStart w:id="210" w:name="_Hlt26955054"/>
      <w:r/>
      <w:bookmarkEnd w:id="210"/>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br w:type="page" w:clear="all"/>
      </w:r>
      <w:r/>
    </w:p>
    <w:p>
      <w:pPr>
        <w:pStyle w:val="717"/>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八、商务要求响应及偏离表</w:t>
      </w:r>
      <w:r/>
    </w:p>
    <w:p>
      <w:pPr>
        <w:jc w:val="center"/>
        <w:spacing w:line="240" w:lineRule="atLeast"/>
        <w:widowControl/>
        <w:rPr>
          <w:rFonts w:hint="eastAsia" w:ascii="仿宋" w:hAnsi="仿宋" w:eastAsia="仿宋" w:cs="仿宋"/>
          <w:b/>
          <w:color w:val="000000" w:themeColor="text1"/>
          <w:sz w:val="28"/>
          <w:szCs w:val="24"/>
          <w:highlight w:val="none"/>
          <w:lang w:val="en-US" w:eastAsia="zh-CN"/>
          <w14:textFill>
            <w14:solidFill>
              <w14:schemeClr w14:val="tx1"/>
            </w14:solidFill>
          </w14:textFill>
        </w:rPr>
      </w:pPr>
      <w:r/>
      <w:bookmarkStart w:id="211" w:name="OLE_LINK2"/>
      <w:r>
        <w:rPr>
          <w:rFonts w:hint="eastAsia" w:ascii="仿宋" w:hAnsi="仿宋" w:eastAsia="仿宋" w:cs="仿宋"/>
          <w:b/>
          <w:color w:val="000000" w:themeColor="text1"/>
          <w:sz w:val="28"/>
          <w:szCs w:val="24"/>
          <w:highlight w:val="none"/>
          <w:lang w:val="en-US" w:eastAsia="zh-CN"/>
          <w14:textFill>
            <w14:solidFill>
              <w14:schemeClr w14:val="tx1"/>
            </w14:solidFill>
          </w14:textFill>
        </w:rPr>
        <w:t xml:space="preserve">商务要求响应及偏离表</w:t>
      </w:r>
      <w:bookmarkEnd w:id="211"/>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r>
    </w:tbl>
    <w:p>
      <w:pPr>
        <w:pStyle w:val="760"/>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pStyle w:val="760"/>
        <w:ind w:firstLine="560"/>
        <w:jc w:val="both"/>
        <w:spacing w:before="0" w:beforeAutospacing="0" w:after="0" w:afterAutospacing="0" w:line="360" w:lineRule="auto"/>
        <w:rPr>
          <w:rFonts w:hint="eastAsia" w:ascii="宋体" w:hAnsi="宋体" w:eastAsia="仿宋" w:cs="Times New Roman"/>
          <w:color w:val="auto"/>
          <w:sz w:val="28"/>
          <w:szCs w:val="28"/>
          <w:u w:val="none"/>
          <w:lang w:val="en-US" w:eastAsia="zh-CN" w:bidi="ar-SA"/>
        </w:rPr>
      </w:pPr>
      <w:r>
        <w:rPr>
          <w:rFonts w:hint="eastAsia" w:ascii="宋体" w:hAnsi="宋体" w:eastAsia="仿宋" w:cs="Times New Roman"/>
          <w:color w:val="auto"/>
          <w:sz w:val="28"/>
          <w:szCs w:val="28"/>
          <w:u w:val="none"/>
          <w:lang w:val="en-US" w:eastAsia="zh-CN" w:bidi="ar-SA"/>
        </w:rPr>
        <w:t xml:space="preserve">供应商名称：（加盖电子公章）</w:t>
      </w:r>
      <w:r/>
    </w:p>
    <w:p>
      <w:pPr>
        <w:pStyle w:val="760"/>
        <w:ind w:firstLine="560"/>
        <w:jc w:val="both"/>
        <w:spacing w:before="0" w:beforeAutospacing="0" w:after="0" w:afterAutospacing="0" w:line="360" w:lineRule="auto"/>
        <w:rPr>
          <w:rFonts w:hint="eastAsia" w:ascii="宋体" w:hAnsi="宋体" w:eastAsia="仿宋" w:cs="Times New Roman"/>
          <w:color w:val="auto"/>
          <w:sz w:val="28"/>
          <w:szCs w:val="28"/>
          <w:u w:val="none"/>
          <w:lang w:val="en-US" w:eastAsia="zh-CN" w:bidi="ar-SA"/>
        </w:rPr>
      </w:pPr>
      <w:r>
        <w:rPr>
          <w:rFonts w:hint="eastAsia" w:ascii="宋体" w:hAnsi="宋体" w:eastAsia="仿宋" w:cs="Times New Roman"/>
          <w:color w:val="auto"/>
          <w:sz w:val="28"/>
          <w:szCs w:val="28"/>
          <w:u w:val="none"/>
          <w:lang w:val="en-US" w:eastAsia="zh-CN" w:bidi="ar-SA"/>
        </w:rPr>
      </w:r>
      <w:r/>
    </w:p>
    <w:p>
      <w:pPr>
        <w:pStyle w:val="760"/>
        <w:ind w:firstLine="560"/>
        <w:jc w:val="both"/>
        <w:spacing w:before="0" w:beforeAutospacing="0" w:after="0" w:afterAutospacing="0" w:line="360" w:lineRule="auto"/>
        <w:rPr>
          <w:rFonts w:hint="eastAsia" w:ascii="宋体" w:hAnsi="宋体" w:eastAsia="仿宋" w:cs="Times New Roman"/>
          <w:color w:val="auto"/>
          <w:sz w:val="28"/>
          <w:szCs w:val="28"/>
          <w:u w:val="none"/>
          <w:lang w:val="en-US" w:eastAsia="zh-CN" w:bidi="ar-SA"/>
        </w:rPr>
      </w:pPr>
      <w:r>
        <w:rPr>
          <w:rFonts w:hint="eastAsia" w:ascii="宋体" w:hAnsi="宋体" w:eastAsia="仿宋" w:cs="Times New Roman"/>
          <w:color w:val="auto"/>
          <w:sz w:val="28"/>
          <w:szCs w:val="28"/>
          <w:u w:val="none"/>
          <w:lang w:val="en-US" w:eastAsia="zh-CN" w:bidi="ar-SA"/>
        </w:rPr>
        <w:t xml:space="preserve">备注： </w:t>
      </w:r>
      <w:r/>
    </w:p>
    <w:p>
      <w:pPr>
        <w:pStyle w:val="760"/>
        <w:ind w:firstLine="562"/>
        <w:jc w:val="both"/>
        <w:spacing w:before="0" w:beforeAutospacing="0" w:after="0" w:afterAutospacing="0" w:line="360" w:lineRule="auto"/>
        <w:rPr>
          <w:rFonts w:hint="default" w:ascii="宋体" w:hAnsi="宋体" w:eastAsia="仿宋" w:cs="Times New Roman"/>
          <w:b/>
          <w:bCs/>
          <w:color w:val="auto"/>
          <w:sz w:val="28"/>
          <w:szCs w:val="28"/>
          <w:u w:val="none"/>
          <w:lang w:val="en-US" w:eastAsia="zh-CN" w:bidi="ar-SA"/>
        </w:rPr>
      </w:pPr>
      <w:r>
        <w:rPr>
          <w:rFonts w:hint="eastAsia" w:ascii="宋体" w:hAnsi="宋体" w:eastAsia="仿宋" w:cs="Times New Roman"/>
          <w:b/>
          <w:bCs/>
          <w:color w:val="auto"/>
          <w:sz w:val="28"/>
          <w:szCs w:val="28"/>
          <w:u w:val="none"/>
          <w:lang w:val="en-US" w:eastAsia="zh-CN" w:bidi="ar-SA"/>
        </w:rPr>
        <w:t xml:space="preserve">1.供应商须对磋商文件商务要求中的实质性要求（斜体下划线内容或打“★”内容）做出明确响应，否则视为无效响应。</w:t>
      </w:r>
      <w:r/>
    </w:p>
    <w:p>
      <w:pPr>
        <w:pStyle w:val="760"/>
        <w:ind w:firstLine="560"/>
        <w:jc w:val="both"/>
        <w:spacing w:before="0" w:beforeAutospacing="0" w:after="0" w:afterAutospacing="0" w:line="360" w:lineRule="auto"/>
        <w:rPr>
          <w:rFonts w:hint="eastAsia" w:ascii="宋体" w:hAnsi="宋体" w:eastAsia="仿宋" w:cs="Times New Roman"/>
          <w:color w:val="auto"/>
          <w:sz w:val="28"/>
          <w:szCs w:val="28"/>
          <w:u w:val="none"/>
          <w:lang w:val="en-US" w:eastAsia="zh-CN" w:bidi="ar-SA"/>
        </w:rPr>
      </w:pPr>
      <w:r>
        <w:rPr>
          <w:rFonts w:hint="eastAsia" w:ascii="宋体" w:hAnsi="宋体" w:eastAsia="仿宋" w:cs="Times New Roman"/>
          <w:color w:val="auto"/>
          <w:sz w:val="28"/>
          <w:szCs w:val="28"/>
          <w:u w:val="none"/>
          <w:lang w:val="en-US" w:eastAsia="zh-CN" w:bidi="ar-SA"/>
        </w:rPr>
        <w:t xml:space="preserve">2.行数不够，可自行添加。</w:t>
      </w:r>
      <w:r/>
    </w:p>
    <w:p>
      <w:pPr>
        <w:ind w:right="180"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717"/>
        <w:numPr>
          <w:ilvl w:val="0"/>
          <w:numId w:val="0"/>
        </w:numPr>
        <w:ind w:firstLine="562"/>
        <w:rPr>
          <w:rFonts w:hint="eastAsia" w:ascii="仿宋" w:hAnsi="仿宋" w:eastAsia="仿宋" w:cs="仿宋"/>
          <w:color w:val="000000" w:themeColor="text1"/>
          <w:highlight w:val="none"/>
          <w14:textFill>
            <w14:solidFill>
              <w14:schemeClr w14:val="tx1"/>
            </w14:solidFill>
          </w14:textFill>
        </w:rPr>
      </w:pPr>
      <w:r/>
      <w:bookmarkStart w:id="212" w:name="_Toc160699579"/>
      <w:r>
        <w:rPr>
          <w:rFonts w:hint="eastAsia" w:ascii="仿宋" w:hAnsi="仿宋" w:cs="仿宋"/>
          <w:b/>
          <w:bCs/>
          <w:color w:val="000000" w:themeColor="text1"/>
          <w:sz w:val="28"/>
          <w:szCs w:val="32"/>
          <w:lang w:val="en-US" w:eastAsia="zh-CN" w:bidi="ar-SA"/>
          <w14:textFill>
            <w14:solidFill>
              <w14:schemeClr w14:val="tx1"/>
            </w14:solidFill>
          </w14:textFill>
        </w:rPr>
        <w:t xml:space="preserve">九</w:t>
      </w:r>
      <w:r>
        <w:rPr>
          <w:rFonts w:hint="eastAsia" w:ascii="仿宋" w:hAnsi="仿宋" w:eastAsia="仿宋" w:cs="仿宋"/>
          <w:b/>
          <w:bCs/>
          <w:color w:val="000000" w:themeColor="text1"/>
          <w:sz w:val="28"/>
          <w:szCs w:val="32"/>
          <w:lang w:val="en-US" w:eastAsia="zh-CN" w:bidi="ar-SA"/>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项目实施方案</w:t>
      </w:r>
      <w:bookmarkEnd w:id="212"/>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736"/>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717"/>
        <w:rPr>
          <w:rFonts w:hint="eastAsia" w:ascii="仿宋" w:hAnsi="仿宋" w:eastAsia="仿宋" w:cs="仿宋"/>
          <w:color w:val="000000" w:themeColor="text1"/>
          <w:highlight w:val="none"/>
          <w14:textFill>
            <w14:solidFill>
              <w14:schemeClr w14:val="tx1"/>
            </w14:solidFill>
          </w14:textFill>
        </w:rPr>
      </w:pPr>
      <w:r/>
      <w:bookmarkStart w:id="213" w:name="_Toc160699580"/>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、服务与承诺</w:t>
      </w:r>
      <w:bookmarkEnd w:id="213"/>
      <w:r/>
      <w:bookmarkEnd w:id="184"/>
      <w:r/>
      <w:bookmarkEnd w:id="185"/>
      <w:r/>
      <w:bookmarkEnd w:id="201"/>
      <w:r/>
      <w:r/>
    </w:p>
    <w:p>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r/>
    </w:p>
    <w:p>
      <w:pPr>
        <w:pStyle w:val="736"/>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36"/>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36"/>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36"/>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17"/>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十一</w:t>
      </w:r>
      <w:r>
        <w:rPr>
          <w:rFonts w:hint="eastAsia" w:ascii="仿宋" w:hAnsi="仿宋" w:eastAsia="仿宋" w:cs="仿宋"/>
          <w:color w:val="000000" w:themeColor="text1"/>
          <w:highlight w:val="none"/>
          <w14:textFill>
            <w14:solidFill>
              <w14:schemeClr w14:val="tx1"/>
            </w14:solidFill>
          </w14:textFill>
        </w:rPr>
        <w:t xml:space="preserve">、竞争性磋商需要的其他证明文件及材料（格式自拟）</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b/>
          <w:bCs/>
          <w:color w:val="000000" w:themeColor="text1"/>
          <w:sz w:val="28"/>
          <w:szCs w:val="32"/>
          <w:highlight w:val="none"/>
          <w:lang w:val="en-US" w:eastAsia="zh-CN"/>
          <w14:textFill>
            <w14:solidFill>
              <w14:schemeClr w14:val="tx1"/>
            </w14:solidFill>
          </w14:textFill>
        </w:rPr>
        <w:outlineLvl w:val="2"/>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rPr>
          <w:rStyle w:val="927"/>
          <w:rFonts w:hint="eastAsia" w:ascii="仿宋" w:hAnsi="仿宋" w:eastAsia="仿宋" w:cs="仿宋"/>
          <w:color w:val="000000" w:themeColor="text1"/>
          <w:highlight w:val="none"/>
          <w14:textFill>
            <w14:solidFill>
              <w14:schemeClr w14:val="tx1"/>
            </w14:solidFill>
          </w14:textFill>
        </w:rPr>
        <w:t xml:space="preserve">十</w:t>
      </w:r>
      <w:r>
        <w:rPr>
          <w:rStyle w:val="927"/>
          <w:rFonts w:hint="eastAsia" w:ascii="仿宋" w:hAnsi="仿宋" w:cs="仿宋"/>
          <w:color w:val="000000" w:themeColor="text1"/>
          <w:highlight w:val="none"/>
          <w:lang w:val="en-US" w:eastAsia="zh-CN"/>
          <w14:textFill>
            <w14:solidFill>
              <w14:schemeClr w14:val="tx1"/>
            </w14:solidFill>
          </w14:textFill>
        </w:rPr>
        <w:t xml:space="preserve">二</w:t>
      </w:r>
      <w:r>
        <w:rPr>
          <w:rStyle w:val="927"/>
          <w:rFonts w:hint="eastAsia" w:ascii="仿宋" w:hAnsi="仿宋" w:eastAsia="仿宋" w:cs="仿宋"/>
          <w:color w:val="000000" w:themeColor="text1"/>
          <w:highlight w:val="none"/>
          <w14:textFill>
            <w14:solidFill>
              <w14:schemeClr w14:val="tx1"/>
            </w14:solidFill>
          </w14:textFill>
        </w:rPr>
        <w:t xml:space="preserve">、附件</w:t>
      </w:r>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cs="仿宋"/>
          <w:b/>
          <w:bCs/>
          <w:color w:val="000000" w:themeColor="text1"/>
          <w:sz w:val="30"/>
          <w:szCs w:val="30"/>
          <w:highlight w:val="none"/>
          <w:lang w:val="en-US" w:eastAsia="zh-CN"/>
          <w14:textFill>
            <w14:solidFill>
              <w14:schemeClr w14:val="tx1"/>
            </w14:solidFill>
          </w14:textFill>
        </w:rPr>
        <w:t xml:space="preserve">附件一、</w:t>
      </w:r>
      <w:r>
        <w:rPr>
          <w:rFonts w:hint="eastAsia" w:ascii="仿宋" w:hAnsi="仿宋" w:eastAsia="仿宋" w:cs="仿宋"/>
          <w:b/>
          <w:bCs/>
          <w:color w:val="000000" w:themeColor="text1"/>
          <w:sz w:val="30"/>
          <w:szCs w:val="30"/>
          <w:highlight w:val="none"/>
          <w14:textFill>
            <w14:solidFill>
              <w14:schemeClr w14:val="tx1"/>
            </w14:solidFill>
          </w14:textFill>
        </w:rPr>
        <w:t xml:space="preserve">中小企业声明函（如有）</w:t>
      </w:r>
      <w:r/>
    </w:p>
    <w:p>
      <w:pPr>
        <w:jc w:val="center"/>
        <w:keepLines w:val="0"/>
        <w:keepNext w:val="0"/>
        <w:pageBreakBefore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根据《政府采购促进中小企业发展管理办法》(财库〔2020〕46号)的规定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本公司（联合体）参加</w:t>
      </w:r>
      <w:r>
        <w:rPr>
          <w:rFonts w:hint="eastAsia" w:ascii="仿宋" w:hAnsi="仿宋" w:eastAsia="仿宋" w:cs="仿宋"/>
          <w:sz w:val="24"/>
          <w:szCs w:val="24"/>
          <w:u w:val="single"/>
          <w:lang w:val="en-US" w:eastAsia="zh-CN"/>
        </w:rPr>
        <w:t xml:space="preserve">XXXXXXXXXXXXXXXXXXXXXXXXX</w:t>
      </w:r>
      <w:r>
        <w:rPr>
          <w:rFonts w:hint="eastAsia" w:ascii="仿宋" w:hAnsi="仿宋" w:eastAsia="仿宋" w:cs="仿宋"/>
          <w:sz w:val="24"/>
          <w:szCs w:val="24"/>
          <w:u w:val="non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val="en-US" w:eastAsia="zh-CN"/>
        </w:rPr>
        <w:t xml:space="preserve">XXXXXXXXXXXXXXXXXXXXXXXXX</w:t>
      </w:r>
      <w:r>
        <w:rPr>
          <w:rFonts w:hint="eastAsia" w:ascii="仿宋" w:hAnsi="仿宋" w:eastAsia="仿宋" w:cs="仿宋"/>
          <w:sz w:val="24"/>
          <w:szCs w:val="24"/>
          <w:u w:val="none"/>
          <w:lang w:eastAsia="zh-CN"/>
        </w:rPr>
        <w:t xml:space="preserve">项目</w:t>
      </w:r>
      <w:r>
        <w:rPr>
          <w:rFonts w:hint="eastAsia" w:ascii="仿宋" w:hAnsi="仿宋" w:eastAsia="仿宋" w:cs="仿宋"/>
          <w:sz w:val="24"/>
          <w:szCs w:val="24"/>
          <w:u w:val="none"/>
        </w:rPr>
        <w:t xml:space="preserve">（分包号：</w:t>
      </w:r>
      <w:r>
        <w:rPr>
          <w:rFonts w:hint="eastAsia" w:ascii="仿宋" w:hAnsi="仿宋" w:eastAsia="仿宋" w:cs="仿宋"/>
          <w:sz w:val="24"/>
          <w:szCs w:val="24"/>
          <w:u w:val="single"/>
          <w:lang w:val="en-US" w:eastAsia="zh-CN"/>
        </w:rPr>
        <w:t xml:space="preserve">XXX</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的采购活动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服务全部由符合政策的</w:t>
      </w:r>
      <w:r>
        <w:rPr>
          <w:rFonts w:hint="eastAsia" w:ascii="仿宋" w:hAnsi="仿宋" w:eastAsia="仿宋" w:cs="仿宋"/>
          <w:sz w:val="24"/>
          <w:szCs w:val="24"/>
          <w:lang w:val="en-US" w:eastAsia="zh-CN"/>
        </w:rPr>
        <w:t xml:space="preserve">中</w:t>
      </w:r>
      <w:r>
        <w:rPr>
          <w:rFonts w:hint="eastAsia" w:ascii="仿宋" w:hAnsi="仿宋" w:eastAsia="仿宋" w:cs="仿宋"/>
          <w:sz w:val="24"/>
          <w:szCs w:val="24"/>
        </w:rPr>
        <w:t xml:space="preserve">小企业承接。根据《工业和信息化部、国家统计局、国家发展和改革委员会、财政部关于印发中小企业划型标准规定的通知》(工信部联企业〔2011〕300号)的规定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相关企业（含联合体中的小微企业、签订分包意向协议的</w:t>
      </w:r>
      <w:r>
        <w:rPr>
          <w:rFonts w:hint="eastAsia" w:ascii="仿宋" w:hAnsi="仿宋" w:eastAsia="仿宋" w:cs="仿宋"/>
          <w:sz w:val="24"/>
          <w:szCs w:val="24"/>
          <w:lang w:val="en-US" w:eastAsia="zh-CN"/>
        </w:rPr>
        <w:t xml:space="preserve">中</w:t>
      </w:r>
      <w:r>
        <w:rPr>
          <w:rFonts w:hint="eastAsia" w:ascii="仿宋" w:hAnsi="仿宋" w:eastAsia="仿宋" w:cs="仿宋"/>
          <w:sz w:val="24"/>
          <w:szCs w:val="24"/>
        </w:rPr>
        <w:t xml:space="preserve">小企业）的具体情况如下：</w:t>
      </w:r>
      <w:r/>
    </w:p>
    <w:p>
      <w:pPr>
        <w:ind w:firstLine="480"/>
        <w:keepLines w:val="0"/>
        <w:keepNext w:val="0"/>
        <w:pageBreakBefore w:val="0"/>
        <w:spacing w:line="360" w:lineRule="auto"/>
        <w:widowControl w:val="off"/>
        <w:rPr>
          <w:rFonts w:hint="eastAsia" w:ascii="仿宋" w:hAnsi="仿宋" w:eastAsia="仿宋" w:cs="仿宋"/>
          <w:i/>
          <w:sz w:val="24"/>
          <w:szCs w:val="24"/>
          <w:u w:val="single"/>
          <w:lang w:eastAsia="zh-CN"/>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w:t>
      </w:r>
      <w:r>
        <w:rPr>
          <w:rFonts w:hint="eastAsia" w:ascii="仿宋" w:hAnsi="仿宋" w:eastAsia="仿宋" w:cs="仿宋"/>
          <w:sz w:val="24"/>
          <w:szCs w:val="24"/>
          <w:u w:val="none"/>
          <w:lang w:eastAsia="zh-CN"/>
        </w:rPr>
        <w:t xml:space="preserve">（磋商文件中明确的所属行业）</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承接企业</w:t>
      </w:r>
      <w:r>
        <w:rPr>
          <w:rFonts w:hint="eastAsia" w:ascii="仿宋" w:hAnsi="仿宋" w:eastAsia="仿宋" w:cs="仿宋"/>
          <w:sz w:val="24"/>
          <w:szCs w:val="24"/>
        </w:rPr>
        <w:t xml:space="preserve">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（企业名称）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sz w:val="24"/>
          <w:szCs w:val="24"/>
          <w:u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i/>
          <w:sz w:val="24"/>
          <w:szCs w:val="24"/>
          <w:u w:val="none"/>
          <w:lang w:eastAsia="zh-CN"/>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w:t>
      </w:r>
      <w:r>
        <w:rPr>
          <w:rFonts w:hint="eastAsia" w:ascii="仿宋" w:hAnsi="仿宋" w:eastAsia="仿宋" w:cs="仿宋"/>
          <w:sz w:val="24"/>
          <w:szCs w:val="24"/>
          <w:u w:val="none"/>
          <w:lang w:eastAsia="zh-CN"/>
        </w:rPr>
        <w:t xml:space="preserve">（磋商文件中明确的所属行业）</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承接企业</w:t>
      </w:r>
      <w:r>
        <w:rPr>
          <w:rFonts w:hint="eastAsia" w:ascii="仿宋" w:hAnsi="仿宋" w:eastAsia="仿宋" w:cs="仿宋"/>
          <w:sz w:val="24"/>
          <w:szCs w:val="24"/>
        </w:rPr>
        <w:t xml:space="preserve">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（企业名称）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sz w:val="24"/>
          <w:szCs w:val="24"/>
          <w:u w:val="none"/>
          <w:lang w:eastAsia="zh-CN"/>
        </w:rPr>
        <w:t xml:space="preserve">。</w:t>
      </w:r>
      <w:r/>
    </w:p>
    <w:p>
      <w:pPr>
        <w:ind w:firstLine="36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以上企业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不属于大企业的分支机构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不存在控股股东为大企业的情形</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本企业对上述声明内容的真实性负责</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如有虚假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将依法承担相应责任</w:t>
      </w:r>
      <w:r>
        <w:rPr>
          <w:rFonts w:hint="eastAsia" w:ascii="仿宋" w:hAnsi="仿宋" w:eastAsia="仿宋" w:cs="仿宋"/>
          <w:sz w:val="24"/>
          <w:szCs w:val="24"/>
          <w:lang w:eastAsia="zh-CN"/>
        </w:rPr>
        <w:t xml:space="preserve">。</w:t>
      </w:r>
      <w:r/>
    </w:p>
    <w:p>
      <w:pPr>
        <w:pStyle w:val="951"/>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ind w:right="180" w:firstLine="36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企业名称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（加盖电子公章）</w:t>
      </w:r>
      <w:r/>
    </w:p>
    <w:p>
      <w:pPr>
        <w:ind w:firstLine="60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日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期：</w:t>
      </w:r>
      <w:r/>
    </w:p>
    <w:p>
      <w:pPr>
        <w:ind w:firstLine="480"/>
        <w:keepLines w:val="0"/>
        <w:keepNext w:val="0"/>
        <w:pageBreakBefore w:val="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备注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从业人员、营业收入、资产总额填报上一年度数据，无上一年度数据的新成立企业可不填报。</w:t>
      </w:r>
      <w:r>
        <w:rPr>
          <w:rFonts w:hint="eastAsia" w:ascii="仿宋" w:hAnsi="仿宋" w:eastAsia="仿宋" w:cs="仿宋"/>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仿宋" w:hAnsi="仿宋" w:eastAsia="仿宋" w:cs="仿宋"/>
          <w:sz w:val="24"/>
          <w:szCs w:val="24"/>
          <w:u w:val="none"/>
          <w:lang w:val="en-US" w:eastAsia="zh-CN"/>
        </w:rPr>
        <w:t xml:space="preserve">内打“√”。</w:t>
      </w:r>
      <w:r>
        <w:rPr>
          <w:rFonts w:hint="eastAsia" w:ascii="仿宋" w:hAnsi="仿宋" w:eastAsia="仿宋" w:cs="仿宋"/>
          <w:sz w:val="24"/>
          <w:szCs w:val="24"/>
          <w:lang w:val="en-US" w:eastAsia="zh-CN"/>
        </w:rPr>
        <w:t xml:space="preserve">3.供应商</w:t>
      </w:r>
      <w:r>
        <w:rPr>
          <w:rFonts w:hint="eastAsia" w:ascii="仿宋" w:hAnsi="仿宋" w:eastAsia="仿宋" w:cs="仿宋"/>
          <w:sz w:val="24"/>
          <w:szCs w:val="24"/>
          <w:lang w:eastAsia="zh-CN"/>
        </w:rPr>
        <w:t xml:space="preserve">如不提供此声明函，不得参加专门面向中小企业采购项目或者</w:t>
      </w:r>
      <w:r>
        <w:rPr>
          <w:rFonts w:hint="eastAsia" w:ascii="仿宋" w:hAnsi="仿宋" w:eastAsia="仿宋" w:cs="仿宋"/>
          <w:sz w:val="24"/>
          <w:szCs w:val="24"/>
          <w:lang w:val="en-US" w:eastAsia="zh-CN"/>
        </w:rPr>
        <w:t xml:space="preserve">不得享受小微企业价格扣除政策</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sz w:val="24"/>
          <w:szCs w:val="24"/>
          <w:lang w:val="en-US" w:eastAsia="zh-CN"/>
        </w:rPr>
        <w:t xml:space="preserve">4.服务</w:t>
      </w:r>
      <w:r>
        <w:rPr>
          <w:rFonts w:hint="eastAsia" w:ascii="仿宋" w:hAnsi="仿宋" w:eastAsia="仿宋" w:cs="仿宋"/>
          <w:sz w:val="24"/>
          <w:szCs w:val="24"/>
          <w:lang w:eastAsia="zh-CN"/>
        </w:rPr>
        <w:t xml:space="preserve">采购项目中，服务的承接商应当为中小企业，不对其中涉及的货物的制造商、工程的承建商作出要求。</w:t>
      </w:r>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sz w:val="24"/>
          <w:szCs w:val="24"/>
        </w:rPr>
        <w:br w:type="page" w:clear="all"/>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 xml:space="preserve">附件二、</w:t>
      </w:r>
      <w:r>
        <w:rPr>
          <w:rFonts w:hint="eastAsia" w:ascii="仿宋" w:hAnsi="仿宋" w:eastAsia="仿宋" w:cs="仿宋"/>
          <w:b/>
          <w:bCs/>
          <w:color w:val="000000" w:themeColor="text1"/>
          <w:sz w:val="32"/>
          <w:szCs w:val="32"/>
          <w:highlight w:val="none"/>
          <w14:textFill>
            <w14:solidFill>
              <w14:schemeClr w14:val="tx1"/>
            </w14:solidFill>
          </w14:textFill>
        </w:rPr>
        <w:t xml:space="preserve">残疾人福利性单位声明函（如有）</w:t>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残疾人福利性单位声明函</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项目（分包号：**）采购活动提供本单位承担的服务。</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r>
      <w:r/>
    </w:p>
    <w:p>
      <w:pPr>
        <w:pStyle w:val="98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r/>
    </w:p>
    <w:p>
      <w:pPr>
        <w:ind w:firstLine="57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年___月___日</w:t>
      </w:r>
      <w:r/>
    </w:p>
    <w:p>
      <w:pPr>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clear="all"/>
      </w: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属于监狱企业的证明文件</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节能产品认证证书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环境标志产品认证证书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6"/>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 xml:space="preserve">进口产品转让技术、消化吸收再创新方案</w:t>
      </w:r>
      <w:r/>
    </w:p>
    <w:p>
      <w:pPr>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（对于允许进口产品参加的项目）</w:t>
      </w:r>
      <w:r/>
    </w:p>
    <w:p>
      <w:pPr>
        <w:rPr>
          <w:rFonts w:hint="eastAsia"/>
          <w:lang w:val="en-US" w:eastAsia="zh-CN"/>
        </w:rPr>
      </w:pPr>
      <w:r>
        <w:rPr>
          <w:rFonts w:hint="eastAsia"/>
          <w:lang w:val="en-US" w:eastAsia="zh-CN"/>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Fonts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5</w:t>
    </w:r>
    <w:r>
      <w:rPr>
        <w:rFonts w:ascii="宋体" w:hAnsi="宋体"/>
      </w:rPr>
      <w:fldChar w:fldCharType="end"/>
    </w:r>
    <w:r/>
  </w:p>
  <w:p>
    <w:pPr>
      <w:pStyle w:val="74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0"/>
      <w:isLgl w:val="false"/>
      <w:suff w:val="nothing"/>
      <w:lvlText w:val=""/>
      <w:lvlJc w:val="left"/>
      <w:pPr>
        <w:ind w:left="0" w:firstLine="0"/>
      </w:pPr>
      <w:rPr>
        <w:rFonts w:hint="eastAsia"/>
      </w:rPr>
    </w:lvl>
    <w:lvl w:ilvl="6">
      <w:start w:val="1"/>
      <w:numFmt w:val="decimal"/>
      <w:pStyle w:val="721"/>
      <w:isLgl w:val="false"/>
      <w:suff w:val="nothing"/>
      <w:lvlText w:val=""/>
      <w:lvlJc w:val="left"/>
      <w:pPr>
        <w:ind w:left="0" w:firstLine="0"/>
      </w:pPr>
      <w:rPr>
        <w:rFonts w:hint="eastAsia"/>
      </w:rPr>
    </w:lvl>
    <w:lvl w:ilvl="7">
      <w:start w:val="1"/>
      <w:numFmt w:val="decimal"/>
      <w:pStyle w:val="722"/>
      <w:isLgl w:val="false"/>
      <w:suff w:val="nothing"/>
      <w:lvlText w:val=""/>
      <w:lvlJc w:val="left"/>
      <w:pPr>
        <w:ind w:left="0" w:firstLine="0"/>
      </w:pPr>
      <w:rPr>
        <w:rFonts w:hint="eastAsia"/>
      </w:rPr>
    </w:lvl>
    <w:lvl w:ilvl="8">
      <w:start w:val="1"/>
      <w:numFmt w:val="decimal"/>
      <w:pStyle w:val="723"/>
      <w:isLgl w:val="false"/>
      <w:suff w:val="nothing"/>
      <w:lvlText w:val=""/>
      <w:lvlJc w:val="left"/>
      <w:pPr>
        <w:ind w:left="0" w:firstLine="0"/>
      </w:pPr>
      <w:rPr>
        <w:rFonts w:hint="eastAsia"/>
      </w:rPr>
    </w:lvl>
  </w:abstractNum>
  <w:abstractNum w:abstractNumId="1">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Title Char"/>
    <w:basedOn w:val="724"/>
    <w:link w:val="762"/>
    <w:uiPriority w:val="10"/>
    <w:rPr>
      <w:sz w:val="48"/>
      <w:szCs w:val="48"/>
    </w:rPr>
  </w:style>
  <w:style w:type="character" w:styleId="689">
    <w:name w:val="Subtitle Char"/>
    <w:basedOn w:val="724"/>
    <w:link w:val="751"/>
    <w:uiPriority w:val="11"/>
    <w:rPr>
      <w:sz w:val="24"/>
      <w:szCs w:val="24"/>
    </w:rPr>
  </w:style>
  <w:style w:type="character" w:styleId="690">
    <w:name w:val="Quote Char"/>
    <w:link w:val="789"/>
    <w:uiPriority w:val="29"/>
    <w:rPr>
      <w:i/>
    </w:rPr>
  </w:style>
  <w:style w:type="character" w:styleId="691">
    <w:name w:val="Intense Quote Char"/>
    <w:link w:val="791"/>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53"/>
    <w:uiPriority w:val="99"/>
    <w:rPr>
      <w:sz w:val="18"/>
    </w:rPr>
  </w:style>
  <w:style w:type="character" w:styleId="712">
    <w:name w:val="Endnote Text Char"/>
    <w:link w:val="745"/>
    <w:uiPriority w:val="99"/>
    <w:rPr>
      <w:sz w:val="20"/>
    </w:rPr>
  </w:style>
  <w:style w:type="paragraph" w:styleId="713">
    <w:name w:val="TOC Heading"/>
    <w:uiPriority w:val="39"/>
    <w:unhideWhenUsed/>
  </w:style>
  <w:style w:type="paragraph" w:styleId="714" w:default="1">
    <w:name w:val="Normal"/>
    <w:next w:val="726"/>
    <w:uiPriority w:val="0"/>
    <w:qFormat/>
    <w:pPr>
      <w:ind w:firstLine="420"/>
      <w:jc w:val="both"/>
      <w:spacing w:line="360" w:lineRule="auto"/>
      <w:widowControl w:val="off"/>
    </w:pPr>
    <w:rPr>
      <w:rFonts w:ascii="Times New Roman" w:hAnsi="Times New Roman" w:eastAsia="仿宋" w:cs="Times New Roman"/>
      <w:sz w:val="28"/>
      <w:szCs w:val="22"/>
      <w:lang w:val="en-US" w:eastAsia="zh-CN" w:bidi="ar-SA"/>
    </w:rPr>
  </w:style>
  <w:style w:type="paragraph" w:styleId="715">
    <w:name w:val="Heading 1"/>
    <w:basedOn w:val="714"/>
    <w:next w:val="714"/>
    <w:link w:val="924"/>
    <w:uiPriority w:val="0"/>
    <w:qFormat/>
    <w:pPr>
      <w:jc w:val="center"/>
      <w:keepNext/>
      <w:spacing w:line="360" w:lineRule="auto"/>
      <w:outlineLvl w:val="0"/>
    </w:pPr>
    <w:rPr>
      <w:rFonts w:ascii="楷体_GB2312" w:hAnsi="楷体_GB2312"/>
      <w:b/>
      <w:sz w:val="44"/>
      <w:szCs w:val="28"/>
    </w:rPr>
  </w:style>
  <w:style w:type="paragraph" w:styleId="716">
    <w:name w:val="Heading 2"/>
    <w:basedOn w:val="714"/>
    <w:next w:val="714"/>
    <w:link w:val="925"/>
    <w:uiPriority w:val="0"/>
    <w:qFormat/>
    <w:pPr>
      <w:jc w:val="center"/>
      <w:keepLines/>
      <w:keepNext/>
      <w:spacing w:line="360" w:lineRule="auto"/>
      <w:outlineLvl w:val="1"/>
    </w:pPr>
    <w:rPr>
      <w:rFonts w:ascii="Arial" w:hAnsi="Arial" w:cs="Arial"/>
      <w:b/>
      <w:bCs/>
      <w:sz w:val="32"/>
      <w:szCs w:val="44"/>
    </w:rPr>
  </w:style>
  <w:style w:type="paragraph" w:styleId="717">
    <w:name w:val="Heading 3"/>
    <w:basedOn w:val="714"/>
    <w:next w:val="714"/>
    <w:link w:val="927"/>
    <w:uiPriority w:val="0"/>
    <w:qFormat/>
    <w:pPr>
      <w:jc w:val="left"/>
      <w:keepLines/>
      <w:keepNext/>
      <w:spacing w:line="360" w:lineRule="auto"/>
      <w:outlineLvl w:val="2"/>
    </w:pPr>
    <w:rPr>
      <w:b/>
      <w:bCs/>
      <w:sz w:val="28"/>
      <w:szCs w:val="32"/>
    </w:rPr>
  </w:style>
  <w:style w:type="paragraph" w:styleId="718">
    <w:name w:val="Heading 4"/>
    <w:basedOn w:val="714"/>
    <w:next w:val="727"/>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719">
    <w:name w:val="Heading 5"/>
    <w:basedOn w:val="714"/>
    <w:next w:val="727"/>
    <w:link w:val="929"/>
    <w:uiPriority w:val="0"/>
    <w:qFormat/>
    <w:pPr>
      <w:keepNext/>
      <w:outlineLvl w:val="4"/>
    </w:pPr>
    <w:rPr>
      <w:rFonts w:ascii="宋体"/>
      <w:color w:val="000000"/>
      <w:sz w:val="28"/>
      <w:szCs w:val="28"/>
    </w:rPr>
  </w:style>
  <w:style w:type="paragraph" w:styleId="720">
    <w:name w:val="Heading 6"/>
    <w:basedOn w:val="714"/>
    <w:next w:val="714"/>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931"/>
    <w:uiPriority w:val="0"/>
    <w:qFormat/>
    <w:pPr>
      <w:numPr>
        <w:ilvl w:val="6"/>
        <w:numId w:val="1"/>
      </w:numPr>
      <w:keepLines/>
      <w:keepNext/>
      <w:spacing w:before="240" w:after="64" w:line="320" w:lineRule="auto"/>
      <w:outlineLvl w:val="6"/>
    </w:pPr>
    <w:rPr>
      <w:b/>
      <w:bCs/>
      <w:sz w:val="24"/>
      <w:szCs w:val="24"/>
    </w:rPr>
  </w:style>
  <w:style w:type="paragraph" w:styleId="722">
    <w:name w:val="Heading 8"/>
    <w:basedOn w:val="714"/>
    <w:next w:val="714"/>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933"/>
    <w:uiPriority w:val="0"/>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index 4"/>
    <w:basedOn w:val="714"/>
    <w:next w:val="714"/>
    <w:uiPriority w:val="0"/>
    <w:semiHidden/>
    <w:qFormat/>
    <w:pPr>
      <w:ind w:left="1260"/>
    </w:pPr>
    <w:rPr>
      <w:rFonts w:ascii="Calibri" w:hAnsi="Calibri" w:eastAsia="Calibri" w:cs="宋体"/>
      <w:sz w:val="20"/>
      <w:lang w:val="zh-CN"/>
    </w:rPr>
  </w:style>
  <w:style w:type="paragraph" w:styleId="727">
    <w:name w:val="Normal Indent"/>
    <w:basedOn w:val="714"/>
    <w:next w:val="728"/>
    <w:link w:val="926"/>
    <w:uiPriority w:val="0"/>
    <w:qFormat/>
    <w:pPr>
      <w:ind w:firstLine="420"/>
    </w:pPr>
    <w:rPr>
      <w:szCs w:val="21"/>
    </w:rPr>
  </w:style>
  <w:style w:type="paragraph" w:styleId="728">
    <w:name w:val="Body Text Indent"/>
    <w:basedOn w:val="714"/>
    <w:next w:val="729"/>
    <w:link w:val="938"/>
    <w:uiPriority w:val="0"/>
    <w:unhideWhenUsed/>
    <w:qFormat/>
    <w:pPr>
      <w:ind w:left="420"/>
      <w:spacing w:after="120"/>
    </w:pPr>
  </w:style>
  <w:style w:type="paragraph" w:styleId="729">
    <w:name w:val="envelope return"/>
    <w:basedOn w:val="714"/>
    <w:uiPriority w:val="0"/>
    <w:qFormat/>
    <w:rPr>
      <w:rFonts w:ascii="Arial" w:hAnsi="Arial" w:eastAsia="宋体" w:cs="宋体"/>
    </w:rPr>
  </w:style>
  <w:style w:type="paragraph" w:styleId="730">
    <w:name w:val="List 3"/>
    <w:basedOn w:val="714"/>
    <w:uiPriority w:val="0"/>
    <w:qFormat/>
    <w:pPr>
      <w:ind w:left="100" w:hanging="200"/>
    </w:pPr>
    <w:rPr>
      <w:szCs w:val="21"/>
    </w:rPr>
  </w:style>
  <w:style w:type="paragraph" w:styleId="731">
    <w:name w:val="toc 7"/>
    <w:basedOn w:val="714"/>
    <w:next w:val="714"/>
    <w:uiPriority w:val="0"/>
    <w:semiHidden/>
    <w:qFormat/>
    <w:pPr>
      <w:ind w:left="1260"/>
      <w:jc w:val="left"/>
    </w:pPr>
    <w:rPr>
      <w:szCs w:val="21"/>
    </w:rPr>
  </w:style>
  <w:style w:type="paragraph" w:styleId="732">
    <w:name w:val="Caption"/>
    <w:basedOn w:val="714"/>
    <w:next w:val="714"/>
    <w:uiPriority w:val="35"/>
    <w:semiHidden/>
    <w:unhideWhenUsed/>
    <w:qFormat/>
    <w:pPr>
      <w:spacing w:line="276" w:lineRule="auto"/>
    </w:pPr>
    <w:rPr>
      <w:b/>
      <w:bCs/>
      <w:color w:val="4f81bd"/>
      <w:sz w:val="18"/>
      <w:szCs w:val="18"/>
    </w:rPr>
  </w:style>
  <w:style w:type="paragraph" w:styleId="733">
    <w:name w:val="Document Map"/>
    <w:basedOn w:val="714"/>
    <w:link w:val="934"/>
    <w:uiPriority w:val="0"/>
    <w:semiHidden/>
    <w:qFormat/>
    <w:pPr>
      <w:shd w:val="clear" w:color="auto" w:fill="000080"/>
    </w:pPr>
    <w:rPr>
      <w:szCs w:val="21"/>
    </w:rPr>
  </w:style>
  <w:style w:type="paragraph" w:styleId="734">
    <w:name w:val="annotation text"/>
    <w:basedOn w:val="714"/>
    <w:link w:val="935"/>
    <w:uiPriority w:val="0"/>
    <w:unhideWhenUsed/>
    <w:qFormat/>
    <w:pPr>
      <w:jc w:val="left"/>
    </w:pPr>
  </w:style>
  <w:style w:type="paragraph" w:styleId="735">
    <w:name w:val="Body Text 3"/>
    <w:basedOn w:val="714"/>
    <w:link w:val="936"/>
    <w:uiPriority w:val="0"/>
    <w:qFormat/>
    <w:rPr>
      <w:rFonts w:ascii="仿宋_GB2312" w:hAnsi="Arial" w:eastAsia="仿宋_GB2312"/>
      <w:sz w:val="32"/>
      <w:szCs w:val="32"/>
    </w:rPr>
  </w:style>
  <w:style w:type="paragraph" w:styleId="736">
    <w:name w:val="Body Text"/>
    <w:basedOn w:val="714"/>
    <w:next w:val="714"/>
    <w:link w:val="937"/>
    <w:uiPriority w:val="0"/>
    <w:qFormat/>
    <w:rPr>
      <w:rFonts w:ascii="楷体_GB2312" w:hAnsi="Arial" w:eastAsia="楷体_GB2312"/>
      <w:sz w:val="28"/>
      <w:szCs w:val="28"/>
    </w:rPr>
  </w:style>
  <w:style w:type="paragraph" w:styleId="737">
    <w:name w:val="List 2"/>
    <w:basedOn w:val="714"/>
    <w:uiPriority w:val="0"/>
    <w:qFormat/>
    <w:pPr>
      <w:ind w:left="100" w:hanging="200"/>
    </w:pPr>
    <w:rPr>
      <w:szCs w:val="21"/>
    </w:rPr>
  </w:style>
  <w:style w:type="paragraph" w:styleId="738">
    <w:name w:val="Block Text"/>
    <w:basedOn w:val="714"/>
    <w:uiPriority w:val="99"/>
    <w:unhideWhenUsed/>
    <w:qFormat/>
    <w:pPr>
      <w:ind w:left="1440" w:right="1440"/>
      <w:spacing w:after="120"/>
    </w:pPr>
  </w:style>
  <w:style w:type="paragraph" w:styleId="739">
    <w:name w:val="toc 5"/>
    <w:basedOn w:val="714"/>
    <w:next w:val="714"/>
    <w:uiPriority w:val="0"/>
    <w:semiHidden/>
    <w:qFormat/>
    <w:pPr>
      <w:ind w:left="840"/>
      <w:jc w:val="left"/>
    </w:pPr>
    <w:rPr>
      <w:szCs w:val="21"/>
    </w:rPr>
  </w:style>
  <w:style w:type="paragraph" w:styleId="740">
    <w:name w:val="toc 3"/>
    <w:basedOn w:val="714"/>
    <w:next w:val="714"/>
    <w:uiPriority w:val="39"/>
    <w:qFormat/>
    <w:pPr>
      <w:ind w:left="420"/>
      <w:jc w:val="left"/>
    </w:pPr>
    <w:rPr>
      <w:i/>
      <w:iCs/>
      <w:szCs w:val="24"/>
    </w:rPr>
  </w:style>
  <w:style w:type="paragraph" w:styleId="741">
    <w:name w:val="Plain Text"/>
    <w:basedOn w:val="714"/>
    <w:link w:val="939"/>
    <w:uiPriority w:val="0"/>
    <w:qFormat/>
    <w:rPr>
      <w:rFonts w:ascii="宋体" w:hAnsi="Courier New" w:cs="Courier New"/>
      <w:szCs w:val="21"/>
    </w:rPr>
  </w:style>
  <w:style w:type="paragraph" w:styleId="742">
    <w:name w:val="toc 8"/>
    <w:basedOn w:val="714"/>
    <w:next w:val="714"/>
    <w:uiPriority w:val="0"/>
    <w:semiHidden/>
    <w:qFormat/>
    <w:pPr>
      <w:ind w:left="1470"/>
      <w:jc w:val="left"/>
    </w:pPr>
    <w:rPr>
      <w:szCs w:val="21"/>
    </w:rPr>
  </w:style>
  <w:style w:type="paragraph" w:styleId="743">
    <w:name w:val="Date"/>
    <w:basedOn w:val="714"/>
    <w:next w:val="714"/>
    <w:link w:val="940"/>
    <w:uiPriority w:val="0"/>
    <w:qFormat/>
    <w:rPr>
      <w:sz w:val="24"/>
      <w:szCs w:val="24"/>
    </w:rPr>
  </w:style>
  <w:style w:type="paragraph" w:styleId="744">
    <w:name w:val="Body Text Indent 2"/>
    <w:basedOn w:val="714"/>
    <w:link w:val="941"/>
    <w:uiPriority w:val="0"/>
    <w:qFormat/>
    <w:pPr>
      <w:ind w:left="630" w:firstLine="645"/>
    </w:pPr>
    <w:rPr>
      <w:rFonts w:ascii="Arial" w:hAnsi="Arial" w:eastAsia="仿宋_GB2312" w:cs="Arial"/>
      <w:sz w:val="32"/>
      <w:szCs w:val="32"/>
    </w:rPr>
  </w:style>
  <w:style w:type="paragraph" w:styleId="745">
    <w:name w:val="endnote text"/>
    <w:basedOn w:val="714"/>
    <w:link w:val="922"/>
    <w:uiPriority w:val="99"/>
    <w:semiHidden/>
    <w:unhideWhenUsed/>
    <w:qFormat/>
    <w:rPr>
      <w:sz w:val="20"/>
    </w:rPr>
  </w:style>
  <w:style w:type="paragraph" w:styleId="746">
    <w:name w:val="Balloon Text"/>
    <w:basedOn w:val="714"/>
    <w:link w:val="942"/>
    <w:uiPriority w:val="0"/>
    <w:semiHidden/>
    <w:qFormat/>
    <w:rPr>
      <w:sz w:val="18"/>
      <w:szCs w:val="18"/>
    </w:rPr>
  </w:style>
  <w:style w:type="paragraph" w:styleId="747">
    <w:name w:val="Footer"/>
    <w:basedOn w:val="714"/>
    <w:link w:val="943"/>
    <w:uiPriority w:val="0"/>
    <w:qFormat/>
    <w:pPr>
      <w:jc w:val="left"/>
      <w:tabs>
        <w:tab w:val="center" w:pos="4153" w:leader="none"/>
        <w:tab w:val="right" w:pos="8306" w:leader="none"/>
      </w:tabs>
    </w:pPr>
    <w:rPr>
      <w:sz w:val="18"/>
      <w:szCs w:val="18"/>
    </w:rPr>
  </w:style>
  <w:style w:type="paragraph" w:styleId="748">
    <w:name w:val="Header"/>
    <w:basedOn w:val="714"/>
    <w:link w:val="944"/>
    <w:uiPriority w:val="0"/>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4"/>
    <w:next w:val="714"/>
    <w:uiPriority w:val="39"/>
    <w:qFormat/>
    <w:pPr>
      <w:jc w:val="left"/>
      <w:spacing w:before="120" w:after="120" w:line="400" w:lineRule="exact"/>
      <w:tabs>
        <w:tab w:val="right" w:pos="8720" w:leader="dot"/>
      </w:tabs>
    </w:pPr>
    <w:rPr>
      <w:rFonts w:ascii="宋体" w:hAnsi="宋体"/>
      <w:caps/>
      <w:sz w:val="24"/>
      <w:szCs w:val="24"/>
    </w:rPr>
  </w:style>
  <w:style w:type="paragraph" w:styleId="750">
    <w:name w:val="toc 4"/>
    <w:basedOn w:val="714"/>
    <w:next w:val="714"/>
    <w:uiPriority w:val="0"/>
    <w:semiHidden/>
    <w:qFormat/>
    <w:pPr>
      <w:ind w:left="630"/>
      <w:jc w:val="left"/>
    </w:pPr>
    <w:rPr>
      <w:szCs w:val="21"/>
    </w:rPr>
  </w:style>
  <w:style w:type="paragraph" w:styleId="751">
    <w:name w:val="Subtitle"/>
    <w:basedOn w:val="714"/>
    <w:next w:val="714"/>
    <w:link w:val="788"/>
    <w:uiPriority w:val="11"/>
    <w:qFormat/>
    <w:pPr>
      <w:spacing w:before="200" w:after="200"/>
    </w:pPr>
    <w:rPr>
      <w:sz w:val="24"/>
      <w:szCs w:val="24"/>
    </w:rPr>
  </w:style>
  <w:style w:type="paragraph" w:styleId="752">
    <w:name w:val="List"/>
    <w:basedOn w:val="714"/>
    <w:uiPriority w:val="0"/>
    <w:qFormat/>
    <w:pPr>
      <w:ind w:left="200" w:hanging="200"/>
    </w:pPr>
    <w:rPr>
      <w:szCs w:val="21"/>
    </w:rPr>
  </w:style>
  <w:style w:type="paragraph" w:styleId="753">
    <w:name w:val="footnote text"/>
    <w:basedOn w:val="714"/>
    <w:link w:val="921"/>
    <w:uiPriority w:val="99"/>
    <w:semiHidden/>
    <w:unhideWhenUsed/>
    <w:qFormat/>
    <w:pPr>
      <w:spacing w:after="40"/>
    </w:pPr>
    <w:rPr>
      <w:sz w:val="18"/>
    </w:rPr>
  </w:style>
  <w:style w:type="paragraph" w:styleId="754">
    <w:name w:val="toc 6"/>
    <w:basedOn w:val="714"/>
    <w:next w:val="714"/>
    <w:uiPriority w:val="0"/>
    <w:semiHidden/>
    <w:qFormat/>
    <w:pPr>
      <w:ind w:left="1050"/>
      <w:jc w:val="left"/>
    </w:pPr>
    <w:rPr>
      <w:szCs w:val="21"/>
    </w:rPr>
  </w:style>
  <w:style w:type="paragraph" w:styleId="755">
    <w:name w:val="Body Text Indent 3"/>
    <w:basedOn w:val="714"/>
    <w:link w:val="945"/>
    <w:uiPriority w:val="0"/>
    <w:qFormat/>
    <w:pPr>
      <w:ind w:left="645" w:firstLine="645"/>
    </w:pPr>
    <w:rPr>
      <w:rFonts w:ascii="Arial" w:hAnsi="Arial" w:eastAsia="仿宋_GB2312" w:cs="Arial"/>
      <w:color w:val="ffff00"/>
      <w:sz w:val="32"/>
      <w:szCs w:val="32"/>
    </w:rPr>
  </w:style>
  <w:style w:type="paragraph" w:styleId="756">
    <w:name w:val="table of figures"/>
    <w:basedOn w:val="714"/>
    <w:next w:val="714"/>
    <w:uiPriority w:val="0"/>
    <w:semiHidden/>
    <w:qFormat/>
    <w:pPr>
      <w:ind w:left="840" w:hanging="420"/>
    </w:pPr>
    <w:rPr>
      <w:szCs w:val="21"/>
    </w:rPr>
  </w:style>
  <w:style w:type="paragraph" w:styleId="757">
    <w:name w:val="toc 2"/>
    <w:basedOn w:val="714"/>
    <w:next w:val="714"/>
    <w:uiPriority w:val="39"/>
    <w:qFormat/>
    <w:pPr>
      <w:ind w:left="210"/>
      <w:jc w:val="left"/>
    </w:pPr>
    <w:rPr>
      <w:smallCaps/>
      <w:szCs w:val="24"/>
    </w:rPr>
  </w:style>
  <w:style w:type="paragraph" w:styleId="758">
    <w:name w:val="toc 9"/>
    <w:basedOn w:val="714"/>
    <w:next w:val="714"/>
    <w:uiPriority w:val="0"/>
    <w:semiHidden/>
    <w:qFormat/>
    <w:pPr>
      <w:ind w:left="1680"/>
      <w:jc w:val="left"/>
    </w:pPr>
    <w:rPr>
      <w:szCs w:val="21"/>
    </w:rPr>
  </w:style>
  <w:style w:type="paragraph" w:styleId="759">
    <w:name w:val="Body Text 2"/>
    <w:basedOn w:val="714"/>
    <w:link w:val="946"/>
    <w:uiPriority w:val="0"/>
    <w:qFormat/>
    <w:pPr>
      <w:jc w:val="center"/>
      <w:widowControl/>
    </w:pPr>
    <w:rPr>
      <w:rFonts w:ascii="楷体_GB2312" w:eastAsia="楷体_GB2312"/>
      <w:sz w:val="28"/>
      <w:szCs w:val="28"/>
    </w:rPr>
  </w:style>
  <w:style w:type="paragraph" w:styleId="760">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1">
    <w:name w:val="index 1"/>
    <w:basedOn w:val="714"/>
    <w:next w:val="714"/>
    <w:uiPriority w:val="0"/>
    <w:semiHidden/>
    <w:qFormat/>
    <w:pPr>
      <w:spacing w:line="240" w:lineRule="atLeast"/>
    </w:pPr>
    <w:rPr>
      <w:b/>
      <w:bCs/>
      <w:szCs w:val="21"/>
    </w:rPr>
  </w:style>
  <w:style w:type="paragraph" w:styleId="762">
    <w:name w:val="Title"/>
    <w:basedOn w:val="714"/>
    <w:next w:val="714"/>
    <w:link w:val="787"/>
    <w:uiPriority w:val="10"/>
    <w:qFormat/>
    <w:pPr>
      <w:contextualSpacing/>
      <w:spacing w:before="300" w:after="200"/>
    </w:pPr>
    <w:rPr>
      <w:sz w:val="48"/>
      <w:szCs w:val="48"/>
    </w:rPr>
  </w:style>
  <w:style w:type="paragraph" w:styleId="763">
    <w:name w:val="annotation subject"/>
    <w:basedOn w:val="734"/>
    <w:next w:val="734"/>
    <w:link w:val="947"/>
    <w:uiPriority w:val="0"/>
    <w:semiHidden/>
    <w:qFormat/>
    <w:rPr>
      <w:b/>
      <w:bCs/>
      <w:szCs w:val="21"/>
    </w:rPr>
  </w:style>
  <w:style w:type="paragraph" w:styleId="764">
    <w:name w:val="Body Text First Indent"/>
    <w:basedOn w:val="736"/>
    <w:link w:val="948"/>
    <w:uiPriority w:val="0"/>
    <w:qFormat/>
    <w:pPr>
      <w:ind w:firstLine="200"/>
      <w:spacing w:line="360" w:lineRule="auto"/>
    </w:pPr>
    <w:rPr>
      <w:rFonts w:ascii="仿宋_GB2312" w:eastAsia="仿宋_GB2312"/>
      <w:sz w:val="30"/>
      <w:szCs w:val="30"/>
    </w:rPr>
  </w:style>
  <w:style w:type="paragraph" w:styleId="765">
    <w:name w:val="Body Text First Indent 2"/>
    <w:basedOn w:val="728"/>
    <w:next w:val="714"/>
    <w:link w:val="949"/>
    <w:uiPriority w:val="0"/>
    <w:qFormat/>
    <w:pPr>
      <w:ind w:left="0" w:firstLine="420"/>
      <w:spacing w:after="0" w:line="360" w:lineRule="auto"/>
    </w:pPr>
    <w:rPr>
      <w:rFonts w:ascii="宋体" w:hAnsi="宋体"/>
      <w:szCs w:val="20"/>
    </w:rPr>
  </w:style>
  <w:style w:type="table" w:styleId="766">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0"/>
    <w:qFormat/>
    <w:rPr>
      <w:b/>
      <w:bCs/>
    </w:rPr>
  </w:style>
  <w:style w:type="character" w:styleId="768">
    <w:name w:val="endnote reference"/>
    <w:uiPriority w:val="99"/>
    <w:semiHidden/>
    <w:unhideWhenUsed/>
    <w:qFormat/>
    <w:rPr>
      <w:vertAlign w:val="superscript"/>
    </w:rPr>
  </w:style>
  <w:style w:type="character" w:styleId="769">
    <w:name w:val="page number"/>
    <w:uiPriority w:val="0"/>
    <w:qFormat/>
  </w:style>
  <w:style w:type="character" w:styleId="770">
    <w:name w:val="FollowedHyperlink"/>
    <w:uiPriority w:val="0"/>
    <w:qFormat/>
    <w:rPr>
      <w:color w:val="800080"/>
      <w:u w:val="single"/>
    </w:rPr>
  </w:style>
  <w:style w:type="character" w:styleId="771">
    <w:name w:val="Hyperlink"/>
    <w:uiPriority w:val="99"/>
    <w:qFormat/>
    <w:rPr>
      <w:color w:val="0000ff"/>
      <w:u w:val="single"/>
    </w:rPr>
  </w:style>
  <w:style w:type="character" w:styleId="772">
    <w:name w:val="annotation reference"/>
    <w:uiPriority w:val="0"/>
    <w:semiHidden/>
    <w:qFormat/>
    <w:rPr>
      <w:sz w:val="21"/>
      <w:szCs w:val="21"/>
    </w:rPr>
  </w:style>
  <w:style w:type="character" w:styleId="773">
    <w:name w:val="footnote reference"/>
    <w:uiPriority w:val="99"/>
    <w:unhideWhenUsed/>
    <w:qFormat/>
    <w:rPr>
      <w:vertAlign w:val="superscript"/>
    </w:rPr>
  </w:style>
  <w:style w:type="paragraph" w:styleId="774" w:customStyle="1">
    <w:name w:val="索引 411"/>
    <w:basedOn w:val="714"/>
    <w:next w:val="714"/>
    <w:uiPriority w:val="99"/>
    <w:unhideWhenUsed/>
    <w:qFormat/>
    <w:pPr>
      <w:jc w:val="left"/>
    </w:pPr>
    <w:rPr>
      <w:sz w:val="24"/>
      <w:szCs w:val="24"/>
    </w:rPr>
  </w:style>
  <w:style w:type="paragraph" w:styleId="775" w:customStyle="1">
    <w:name w:val="正文文本1"/>
    <w:basedOn w:val="714"/>
    <w:next w:val="714"/>
    <w:uiPriority w:val="0"/>
    <w:semiHidden/>
    <w:qFormat/>
    <w:rPr>
      <w:rFonts w:ascii="Arial" w:hAnsi="Arial" w:eastAsia="Arial" w:cs="Arial"/>
      <w:szCs w:val="21"/>
      <w:lang w:eastAsia="en-US"/>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List Paragraph"/>
    <w:basedOn w:val="714"/>
    <w:uiPriority w:val="0"/>
    <w:qFormat/>
    <w:pPr>
      <w:contextualSpacing/>
      <w:ind w:left="720"/>
      <w:jc w:val="left"/>
      <w:widowControl/>
    </w:pPr>
    <w:rPr>
      <w:rFonts w:ascii="Calibri" w:hAnsi="Calibri"/>
      <w:sz w:val="24"/>
      <w:szCs w:val="24"/>
      <w:lang w:eastAsia="en-US" w:bidi="en-US"/>
    </w:rPr>
  </w:style>
  <w:style w:type="paragraph" w:styleId="78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7" w:customStyle="1">
    <w:name w:val="标题 Char"/>
    <w:link w:val="762"/>
    <w:uiPriority w:val="10"/>
    <w:qFormat/>
    <w:rPr>
      <w:sz w:val="48"/>
      <w:szCs w:val="48"/>
    </w:rPr>
  </w:style>
  <w:style w:type="character" w:styleId="788" w:customStyle="1">
    <w:name w:val="副标题 Char"/>
    <w:link w:val="751"/>
    <w:uiPriority w:val="11"/>
    <w:qFormat/>
    <w:rPr>
      <w:sz w:val="24"/>
      <w:szCs w:val="24"/>
    </w:rPr>
  </w:style>
  <w:style w:type="paragraph" w:styleId="789">
    <w:name w:val="Quote"/>
    <w:basedOn w:val="714"/>
    <w:next w:val="714"/>
    <w:link w:val="790"/>
    <w:uiPriority w:val="29"/>
    <w:qFormat/>
    <w:pPr>
      <w:ind w:left="720" w:right="720"/>
    </w:pPr>
    <w:rPr>
      <w:i/>
    </w:rPr>
  </w:style>
  <w:style w:type="character" w:styleId="790" w:customStyle="1">
    <w:name w:val="引用 Char"/>
    <w:link w:val="789"/>
    <w:uiPriority w:val="29"/>
    <w:qFormat/>
    <w:rPr>
      <w:i/>
    </w:rPr>
  </w:style>
  <w:style w:type="paragraph" w:styleId="791">
    <w:name w:val="Intense Quote"/>
    <w:basedOn w:val="714"/>
    <w:next w:val="714"/>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Char"/>
    <w:link w:val="791"/>
    <w:uiPriority w:val="30"/>
    <w:qFormat/>
    <w:rPr>
      <w:i/>
    </w:rPr>
  </w:style>
  <w:style w:type="character" w:styleId="793" w:customStyle="1">
    <w:name w:val="Header Char"/>
    <w:uiPriority w:val="99"/>
    <w:qFormat/>
  </w:style>
  <w:style w:type="character" w:styleId="794" w:customStyle="1">
    <w:name w:val="Footer Char"/>
    <w:uiPriority w:val="99"/>
    <w:qFormat/>
  </w:style>
  <w:style w:type="character" w:styleId="795" w:customStyle="1">
    <w:name w:val="Caption Char"/>
    <w:uiPriority w:val="99"/>
    <w:qFormat/>
  </w:style>
  <w:style w:type="table" w:styleId="7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9" w:customStyle="1">
    <w:name w:val="无格式表格 31"/>
    <w:uiPriority w:val="99"/>
    <w:qFormat/>
    <w:tblPr>
      <w:tblCellMar>
        <w:left w:w="0" w:type="dxa"/>
        <w:top w:w="0" w:type="dxa"/>
        <w:right w:w="0" w:type="dxa"/>
        <w:bottom w:w="0" w:type="dxa"/>
      </w:tblCellMar>
    </w:tblPr>
  </w:style>
  <w:style w:type="table" w:styleId="800" w:customStyle="1">
    <w:name w:val="无格式表格 41"/>
    <w:uiPriority w:val="99"/>
    <w:qFormat/>
    <w:tblPr>
      <w:tblCellMar>
        <w:left w:w="0" w:type="dxa"/>
        <w:top w:w="0" w:type="dxa"/>
        <w:right w:w="0" w:type="dxa"/>
        <w:bottom w:w="0" w:type="dxa"/>
      </w:tblCellMar>
    </w:tblPr>
  </w:style>
  <w:style w:type="table" w:styleId="801" w:customStyle="1">
    <w:name w:val="无格式表格 51"/>
    <w:uiPriority w:val="99"/>
    <w:qFormat/>
    <w:tblPr>
      <w:tblCellMar>
        <w:left w:w="0" w:type="dxa"/>
        <w:top w:w="0" w:type="dxa"/>
        <w:right w:w="0" w:type="dxa"/>
        <w:bottom w:w="0" w:type="dxa"/>
      </w:tblCellMar>
    </w:tblPr>
  </w:style>
  <w:style w:type="table" w:styleId="8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清单表 1 浅色1"/>
    <w:uiPriority w:val="99"/>
    <w:qFormat/>
    <w:tblPr>
      <w:tblCellMar>
        <w:left w:w="0" w:type="dxa"/>
        <w:top w:w="0" w:type="dxa"/>
        <w:right w:w="0" w:type="dxa"/>
        <w:bottom w:w="0" w:type="dxa"/>
      </w:tblCellMar>
    </w:tblPr>
  </w:style>
  <w:style w:type="table" w:styleId="852" w:customStyle="1">
    <w:name w:val="List Table 1 Light - Accent 1"/>
    <w:uiPriority w:val="99"/>
    <w:qFormat/>
    <w:tblPr>
      <w:tblCellMar>
        <w:left w:w="0" w:type="dxa"/>
        <w:top w:w="0" w:type="dxa"/>
        <w:right w:w="0" w:type="dxa"/>
        <w:bottom w:w="0" w:type="dxa"/>
      </w:tblCellMar>
    </w:tblPr>
  </w:style>
  <w:style w:type="table" w:styleId="853" w:customStyle="1">
    <w:name w:val="List Table 1 Light - Accent 2"/>
    <w:uiPriority w:val="99"/>
    <w:qFormat/>
    <w:tblPr>
      <w:tblCellMar>
        <w:left w:w="0" w:type="dxa"/>
        <w:top w:w="0" w:type="dxa"/>
        <w:right w:w="0" w:type="dxa"/>
        <w:bottom w:w="0" w:type="dxa"/>
      </w:tblCellMar>
    </w:tblPr>
  </w:style>
  <w:style w:type="table" w:styleId="854" w:customStyle="1">
    <w:name w:val="List Table 1 Light - Accent 3"/>
    <w:uiPriority w:val="99"/>
    <w:qFormat/>
    <w:tblPr>
      <w:tblCellMar>
        <w:left w:w="0" w:type="dxa"/>
        <w:top w:w="0" w:type="dxa"/>
        <w:right w:w="0" w:type="dxa"/>
        <w:bottom w:w="0" w:type="dxa"/>
      </w:tblCellMar>
    </w:tblPr>
  </w:style>
  <w:style w:type="table" w:styleId="855" w:customStyle="1">
    <w:name w:val="List Table 1 Light - Accent 4"/>
    <w:uiPriority w:val="99"/>
    <w:qFormat/>
    <w:tblPr>
      <w:tblCellMar>
        <w:left w:w="0" w:type="dxa"/>
        <w:top w:w="0" w:type="dxa"/>
        <w:right w:w="0" w:type="dxa"/>
        <w:bottom w:w="0" w:type="dxa"/>
      </w:tblCellMar>
    </w:tblPr>
  </w:style>
  <w:style w:type="table" w:styleId="856" w:customStyle="1">
    <w:name w:val="List Table 1 Light - Accent 5"/>
    <w:uiPriority w:val="99"/>
    <w:qFormat/>
    <w:tblPr>
      <w:tblCellMar>
        <w:left w:w="0" w:type="dxa"/>
        <w:top w:w="0" w:type="dxa"/>
        <w:right w:w="0" w:type="dxa"/>
        <w:bottom w:w="0" w:type="dxa"/>
      </w:tblCellMar>
    </w:tblPr>
  </w:style>
  <w:style w:type="table" w:styleId="857" w:customStyle="1">
    <w:name w:val="List Table 1 Light - Accent 6"/>
    <w:uiPriority w:val="99"/>
    <w:qFormat/>
    <w:tblPr>
      <w:tblCellMar>
        <w:left w:w="0" w:type="dxa"/>
        <w:top w:w="0" w:type="dxa"/>
        <w:right w:w="0" w:type="dxa"/>
        <w:bottom w:w="0" w:type="dxa"/>
      </w:tblCellMar>
    </w:tblPr>
  </w:style>
  <w:style w:type="table" w:styleId="8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0" w:customStyle="1">
    <w:name w:val="Lined - Accent"/>
    <w:uiPriority w:val="99"/>
    <w:qFormat/>
    <w:rPr>
      <w:color w:val="404040"/>
    </w:rPr>
    <w:tblPr>
      <w:tblCellMar>
        <w:left w:w="0" w:type="dxa"/>
        <w:top w:w="0" w:type="dxa"/>
        <w:right w:w="0" w:type="dxa"/>
        <w:bottom w:w="0" w:type="dxa"/>
      </w:tblCellMar>
    </w:tblPr>
  </w:style>
  <w:style w:type="table" w:styleId="901" w:customStyle="1">
    <w:name w:val="Lined - Accent 1"/>
    <w:uiPriority w:val="99"/>
    <w:qFormat/>
    <w:rPr>
      <w:color w:val="404040"/>
    </w:rPr>
    <w:tblPr>
      <w:tblCellMar>
        <w:left w:w="0" w:type="dxa"/>
        <w:top w:w="0" w:type="dxa"/>
        <w:right w:w="0" w:type="dxa"/>
        <w:bottom w:w="0" w:type="dxa"/>
      </w:tblCellMar>
    </w:tblPr>
  </w:style>
  <w:style w:type="table" w:styleId="902" w:customStyle="1">
    <w:name w:val="Lined - Accent 2"/>
    <w:uiPriority w:val="99"/>
    <w:qFormat/>
    <w:rPr>
      <w:color w:val="404040"/>
    </w:rPr>
    <w:tblPr>
      <w:tblCellMar>
        <w:left w:w="0" w:type="dxa"/>
        <w:top w:w="0" w:type="dxa"/>
        <w:right w:w="0" w:type="dxa"/>
        <w:bottom w:w="0" w:type="dxa"/>
      </w:tblCellMar>
    </w:tblPr>
  </w:style>
  <w:style w:type="table" w:styleId="903" w:customStyle="1">
    <w:name w:val="Lined - Accent 3"/>
    <w:uiPriority w:val="99"/>
    <w:qFormat/>
    <w:rPr>
      <w:color w:val="404040"/>
    </w:rPr>
    <w:tblPr>
      <w:tblCellMar>
        <w:left w:w="0" w:type="dxa"/>
        <w:top w:w="0" w:type="dxa"/>
        <w:right w:w="0" w:type="dxa"/>
        <w:bottom w:w="0" w:type="dxa"/>
      </w:tblCellMar>
    </w:tblPr>
  </w:style>
  <w:style w:type="table" w:styleId="904" w:customStyle="1">
    <w:name w:val="Lined - Accent 4"/>
    <w:uiPriority w:val="99"/>
    <w:qFormat/>
    <w:rPr>
      <w:color w:val="404040"/>
    </w:rPr>
    <w:tblPr>
      <w:tblCellMar>
        <w:left w:w="0" w:type="dxa"/>
        <w:top w:w="0" w:type="dxa"/>
        <w:right w:w="0" w:type="dxa"/>
        <w:bottom w:w="0" w:type="dxa"/>
      </w:tblCellMar>
    </w:tblPr>
  </w:style>
  <w:style w:type="table" w:styleId="905" w:customStyle="1">
    <w:name w:val="Lined - Accent 5"/>
    <w:uiPriority w:val="99"/>
    <w:qFormat/>
    <w:rPr>
      <w:color w:val="404040"/>
    </w:rPr>
    <w:tblPr>
      <w:tblCellMar>
        <w:left w:w="0" w:type="dxa"/>
        <w:top w:w="0" w:type="dxa"/>
        <w:right w:w="0" w:type="dxa"/>
        <w:bottom w:w="0" w:type="dxa"/>
      </w:tblCellMar>
    </w:tblPr>
  </w:style>
  <w:style w:type="table" w:styleId="906" w:customStyle="1">
    <w:name w:val="Lined - Accent 6"/>
    <w:uiPriority w:val="99"/>
    <w:qFormat/>
    <w:rPr>
      <w:color w:val="404040"/>
    </w:rPr>
    <w:tblPr>
      <w:tblCellMar>
        <w:left w:w="0" w:type="dxa"/>
        <w:top w:w="0" w:type="dxa"/>
        <w:right w:w="0" w:type="dxa"/>
        <w:bottom w:w="0" w:type="dxa"/>
      </w:tblCellMar>
    </w:tblPr>
  </w:style>
  <w:style w:type="table" w:styleId="9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1" w:customStyle="1">
    <w:name w:val="脚注文本 Char"/>
    <w:link w:val="753"/>
    <w:uiPriority w:val="99"/>
    <w:qFormat/>
    <w:rPr>
      <w:sz w:val="18"/>
    </w:rPr>
  </w:style>
  <w:style w:type="character" w:styleId="922" w:customStyle="1">
    <w:name w:val="尾注文本 Char"/>
    <w:link w:val="745"/>
    <w:uiPriority w:val="99"/>
    <w:qFormat/>
    <w:rPr>
      <w:sz w:val="20"/>
    </w:rPr>
  </w:style>
  <w:style w:type="paragraph" w:styleId="923" w:customStyle="1">
    <w:name w:val="TOC 标题1"/>
    <w:uiPriority w:val="39"/>
    <w:unhideWhenUsed/>
    <w:qFormat/>
    <w:rPr>
      <w:rFonts w:ascii="Times New Roman" w:hAnsi="Times New Roman" w:eastAsia="宋体" w:cs="Times New Roman"/>
      <w:lang w:val="en-US" w:eastAsia="zh-CN" w:bidi="ar-SA"/>
    </w:rPr>
  </w:style>
  <w:style w:type="character" w:styleId="924" w:customStyle="1">
    <w:name w:val="标题 1 Char"/>
    <w:link w:val="715"/>
    <w:uiPriority w:val="0"/>
    <w:qFormat/>
    <w:rPr>
      <w:rFonts w:ascii="楷体_GB2312" w:hAnsi="楷体_GB2312" w:eastAsia="仿宋" w:cs="Times New Roman"/>
      <w:b/>
      <w:sz w:val="44"/>
      <w:szCs w:val="28"/>
    </w:rPr>
  </w:style>
  <w:style w:type="character" w:styleId="925" w:customStyle="1">
    <w:name w:val="标题 2 Char"/>
    <w:link w:val="716"/>
    <w:uiPriority w:val="0"/>
    <w:qFormat/>
    <w:rPr>
      <w:rFonts w:ascii="Arial" w:hAnsi="Arial" w:eastAsia="仿宋" w:cs="Arial"/>
      <w:b/>
      <w:bCs/>
      <w:sz w:val="32"/>
      <w:szCs w:val="44"/>
    </w:rPr>
  </w:style>
  <w:style w:type="character" w:styleId="926" w:customStyle="1">
    <w:name w:val="正文缩进 Char"/>
    <w:link w:val="727"/>
    <w:uiPriority w:val="0"/>
    <w:qFormat/>
    <w:rPr>
      <w:szCs w:val="21"/>
    </w:rPr>
  </w:style>
  <w:style w:type="character" w:styleId="927" w:customStyle="1">
    <w:name w:val="标题 3 Char"/>
    <w:link w:val="717"/>
    <w:uiPriority w:val="0"/>
    <w:qFormat/>
    <w:rPr>
      <w:rFonts w:ascii="Times New Roman" w:hAnsi="Times New Roman" w:eastAsia="仿宋" w:cs="Times New Roman"/>
      <w:b/>
      <w:bCs/>
      <w:sz w:val="28"/>
      <w:szCs w:val="32"/>
    </w:rPr>
  </w:style>
  <w:style w:type="character" w:styleId="928" w:customStyle="1">
    <w:name w:val="标题 4 Char"/>
    <w:link w:val="718"/>
    <w:uiPriority w:val="0"/>
    <w:qFormat/>
    <w:rPr>
      <w:rFonts w:ascii="Arial" w:hAnsi="Arial" w:eastAsia="黑体" w:cs="Arial"/>
      <w:b/>
      <w:bCs/>
      <w:sz w:val="28"/>
      <w:szCs w:val="28"/>
    </w:rPr>
  </w:style>
  <w:style w:type="character" w:styleId="929" w:customStyle="1">
    <w:name w:val="标题 5 Char"/>
    <w:link w:val="719"/>
    <w:uiPriority w:val="0"/>
    <w:qFormat/>
    <w:rPr>
      <w:rFonts w:ascii="宋体" w:hAnsi="Times New Roman" w:eastAsia="宋体" w:cs="Times New Roman"/>
      <w:color w:val="000000"/>
      <w:sz w:val="28"/>
      <w:szCs w:val="28"/>
    </w:rPr>
  </w:style>
  <w:style w:type="character" w:styleId="930" w:customStyle="1">
    <w:name w:val="标题 6 Char"/>
    <w:link w:val="720"/>
    <w:uiPriority w:val="0"/>
    <w:qFormat/>
    <w:rPr>
      <w:rFonts w:ascii="Arial" w:hAnsi="Arial" w:eastAsia="黑体" w:cs="Times New Roman"/>
      <w:b/>
      <w:bCs/>
      <w:sz w:val="24"/>
      <w:szCs w:val="24"/>
    </w:rPr>
  </w:style>
  <w:style w:type="character" w:styleId="931" w:customStyle="1">
    <w:name w:val="标题 7 Char"/>
    <w:link w:val="721"/>
    <w:uiPriority w:val="0"/>
    <w:qFormat/>
    <w:rPr>
      <w:rFonts w:ascii="Times New Roman" w:hAnsi="Times New Roman" w:eastAsia="宋体" w:cs="Times New Roman"/>
      <w:b/>
      <w:bCs/>
      <w:sz w:val="24"/>
      <w:szCs w:val="24"/>
    </w:rPr>
  </w:style>
  <w:style w:type="character" w:styleId="932" w:customStyle="1">
    <w:name w:val="标题 8 Char"/>
    <w:link w:val="722"/>
    <w:uiPriority w:val="0"/>
    <w:qFormat/>
    <w:rPr>
      <w:rFonts w:ascii="Arial" w:hAnsi="Arial" w:eastAsia="黑体" w:cs="Times New Roman"/>
      <w:sz w:val="24"/>
      <w:szCs w:val="24"/>
    </w:rPr>
  </w:style>
  <w:style w:type="character" w:styleId="933" w:customStyle="1">
    <w:name w:val="标题 9 Char"/>
    <w:link w:val="723"/>
    <w:uiPriority w:val="0"/>
    <w:qFormat/>
    <w:rPr>
      <w:rFonts w:ascii="Arial" w:hAnsi="Arial" w:eastAsia="黑体" w:cs="Times New Roman"/>
      <w:szCs w:val="21"/>
    </w:rPr>
  </w:style>
  <w:style w:type="character" w:styleId="934" w:customStyle="1">
    <w:name w:val="文档结构图 Char"/>
    <w:link w:val="733"/>
    <w:uiPriority w:val="0"/>
    <w:semiHidden/>
    <w:qFormat/>
    <w:rPr>
      <w:rFonts w:ascii="Times New Roman" w:hAnsi="Times New Roman" w:eastAsia="宋体" w:cs="Times New Roman"/>
      <w:szCs w:val="21"/>
      <w:shd w:val="clear" w:color="auto" w:fill="000080"/>
    </w:rPr>
  </w:style>
  <w:style w:type="character" w:styleId="935" w:customStyle="1">
    <w:name w:val="批注文字 Char"/>
    <w:basedOn w:val="724"/>
    <w:link w:val="734"/>
    <w:uiPriority w:val="99"/>
    <w:semiHidden/>
    <w:qFormat/>
  </w:style>
  <w:style w:type="character" w:styleId="936" w:customStyle="1">
    <w:name w:val="正文文本 3 Char"/>
    <w:link w:val="735"/>
    <w:uiPriority w:val="0"/>
    <w:qFormat/>
    <w:rPr>
      <w:rFonts w:ascii="仿宋_GB2312" w:hAnsi="Arial" w:eastAsia="仿宋_GB2312" w:cs="Times New Roman"/>
      <w:sz w:val="32"/>
      <w:szCs w:val="32"/>
    </w:rPr>
  </w:style>
  <w:style w:type="character" w:styleId="937" w:customStyle="1">
    <w:name w:val="正文文本 Char"/>
    <w:link w:val="736"/>
    <w:uiPriority w:val="0"/>
    <w:qFormat/>
    <w:rPr>
      <w:rFonts w:ascii="楷体_GB2312" w:hAnsi="Arial" w:eastAsia="楷体_GB2312" w:cs="Times New Roman"/>
      <w:sz w:val="28"/>
      <w:szCs w:val="28"/>
    </w:rPr>
  </w:style>
  <w:style w:type="character" w:styleId="938" w:customStyle="1">
    <w:name w:val="正文文本缩进 Char"/>
    <w:basedOn w:val="724"/>
    <w:link w:val="728"/>
    <w:uiPriority w:val="99"/>
    <w:semiHidden/>
    <w:qFormat/>
  </w:style>
  <w:style w:type="character" w:styleId="939" w:customStyle="1">
    <w:name w:val="纯文本 Char"/>
    <w:link w:val="741"/>
    <w:uiPriority w:val="0"/>
    <w:qFormat/>
    <w:rPr>
      <w:rFonts w:ascii="宋体" w:hAnsi="Courier New" w:eastAsia="宋体" w:cs="Courier New"/>
      <w:szCs w:val="21"/>
    </w:rPr>
  </w:style>
  <w:style w:type="character" w:styleId="940" w:customStyle="1">
    <w:name w:val="日期 Char"/>
    <w:link w:val="743"/>
    <w:uiPriority w:val="0"/>
    <w:qFormat/>
    <w:rPr>
      <w:rFonts w:ascii="Times New Roman" w:hAnsi="Times New Roman" w:eastAsia="宋体" w:cs="Times New Roman"/>
      <w:sz w:val="24"/>
      <w:szCs w:val="24"/>
    </w:rPr>
  </w:style>
  <w:style w:type="character" w:styleId="941" w:customStyle="1">
    <w:name w:val="正文文本缩进 2 Char"/>
    <w:link w:val="744"/>
    <w:uiPriority w:val="0"/>
    <w:qFormat/>
    <w:rPr>
      <w:rFonts w:ascii="Arial" w:hAnsi="Arial" w:eastAsia="仿宋_GB2312" w:cs="Arial"/>
      <w:sz w:val="32"/>
      <w:szCs w:val="32"/>
    </w:rPr>
  </w:style>
  <w:style w:type="character" w:styleId="942" w:customStyle="1">
    <w:name w:val="批注框文本 Char"/>
    <w:link w:val="746"/>
    <w:uiPriority w:val="0"/>
    <w:semiHidden/>
    <w:qFormat/>
    <w:rPr>
      <w:rFonts w:ascii="Times New Roman" w:hAnsi="Times New Roman" w:eastAsia="宋体" w:cs="Times New Roman"/>
      <w:sz w:val="18"/>
      <w:szCs w:val="18"/>
    </w:rPr>
  </w:style>
  <w:style w:type="character" w:styleId="943" w:customStyle="1">
    <w:name w:val="页脚 Char"/>
    <w:link w:val="747"/>
    <w:uiPriority w:val="0"/>
    <w:qFormat/>
    <w:rPr>
      <w:rFonts w:ascii="Times New Roman" w:hAnsi="Times New Roman" w:eastAsia="宋体" w:cs="Times New Roman"/>
      <w:sz w:val="18"/>
      <w:szCs w:val="18"/>
    </w:rPr>
  </w:style>
  <w:style w:type="character" w:styleId="944" w:customStyle="1">
    <w:name w:val="页眉 Char"/>
    <w:link w:val="748"/>
    <w:uiPriority w:val="0"/>
    <w:qFormat/>
    <w:rPr>
      <w:rFonts w:ascii="Times New Roman" w:hAnsi="Times New Roman" w:eastAsia="宋体" w:cs="Times New Roman"/>
      <w:sz w:val="18"/>
      <w:szCs w:val="18"/>
    </w:rPr>
  </w:style>
  <w:style w:type="character" w:styleId="945" w:customStyle="1">
    <w:name w:val="正文文本缩进 3 Char"/>
    <w:link w:val="755"/>
    <w:uiPriority w:val="0"/>
    <w:qFormat/>
    <w:rPr>
      <w:rFonts w:ascii="Arial" w:hAnsi="Arial" w:eastAsia="仿宋_GB2312" w:cs="Arial"/>
      <w:color w:val="ffff00"/>
      <w:sz w:val="32"/>
      <w:szCs w:val="32"/>
    </w:rPr>
  </w:style>
  <w:style w:type="character" w:styleId="946" w:customStyle="1">
    <w:name w:val="正文文本 2 Char"/>
    <w:link w:val="759"/>
    <w:uiPriority w:val="0"/>
    <w:qFormat/>
    <w:rPr>
      <w:rFonts w:ascii="楷体_GB2312" w:hAnsi="Times New Roman" w:eastAsia="楷体_GB2312" w:cs="Times New Roman"/>
      <w:sz w:val="28"/>
      <w:szCs w:val="28"/>
    </w:rPr>
  </w:style>
  <w:style w:type="character" w:styleId="947" w:customStyle="1">
    <w:name w:val="批注主题 Char"/>
    <w:link w:val="763"/>
    <w:uiPriority w:val="0"/>
    <w:semiHidden/>
    <w:qFormat/>
    <w:rPr>
      <w:rFonts w:ascii="Times New Roman" w:hAnsi="Times New Roman" w:eastAsia="宋体" w:cs="Times New Roman"/>
      <w:b/>
      <w:bCs/>
      <w:szCs w:val="21"/>
    </w:rPr>
  </w:style>
  <w:style w:type="character" w:styleId="948" w:customStyle="1">
    <w:name w:val="正文首行缩进 Char"/>
    <w:link w:val="764"/>
    <w:uiPriority w:val="0"/>
    <w:qFormat/>
    <w:rPr>
      <w:rFonts w:ascii="仿宋_GB2312" w:hAnsi="Times New Roman" w:eastAsia="仿宋_GB2312" w:cs="Times New Roman"/>
      <w:sz w:val="30"/>
      <w:szCs w:val="30"/>
    </w:rPr>
  </w:style>
  <w:style w:type="character" w:styleId="949" w:customStyle="1">
    <w:name w:val="正文首行缩进 2 Char"/>
    <w:link w:val="765"/>
    <w:uiPriority w:val="0"/>
    <w:qFormat/>
    <w:rPr>
      <w:rFonts w:ascii="宋体" w:hAnsi="宋体" w:eastAsia="宋体" w:cs="Times New Roman"/>
      <w:szCs w:val="20"/>
    </w:rPr>
  </w:style>
  <w:style w:type="character" w:styleId="950" w:customStyle="1">
    <w:name w:val="已访问的超链接1"/>
    <w:uiPriority w:val="0"/>
    <w:qFormat/>
    <w:rPr>
      <w:color w:val="800080"/>
      <w:u w:val="single"/>
    </w:rPr>
  </w:style>
  <w:style w:type="paragraph" w:styleId="951" w:customStyle="1">
    <w:name w:val="索引 41"/>
    <w:basedOn w:val="714"/>
    <w:next w:val="714"/>
    <w:uiPriority w:val="0"/>
    <w:semiHidden/>
    <w:qFormat/>
    <w:pPr>
      <w:ind w:left="1260"/>
    </w:pPr>
    <w:rPr>
      <w:rFonts w:ascii="Calibri" w:hAnsi="Calibri" w:eastAsia="Calibri" w:cs="宋体"/>
      <w:sz w:val="20"/>
      <w:lang w:val="zh-CN"/>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714"/>
    <w:link w:val="95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714"/>
    <w:link w:val="955"/>
    <w:uiPriority w:val="0"/>
    <w:qFormat/>
    <w:pPr>
      <w:contextualSpacing/>
      <w:ind w:left="720"/>
      <w:jc w:val="left"/>
      <w:widowControl/>
    </w:pPr>
    <w:rPr>
      <w:rFonts w:ascii="Calibri" w:hAnsi="Calibri"/>
      <w:sz w:val="24"/>
      <w:szCs w:val="24"/>
      <w:lang w:eastAsia="en-US" w:bidi="en-US"/>
    </w:rPr>
  </w:style>
  <w:style w:type="paragraph" w:styleId="957" w:customStyle="1">
    <w:name w:val="Body Text(ch)"/>
    <w:basedOn w:val="714"/>
    <w:next w:val="736"/>
    <w:uiPriority w:val="0"/>
    <w:qFormat/>
    <w:pPr>
      <w:spacing w:after="120"/>
    </w:pPr>
    <w:rPr>
      <w:rFonts w:ascii="宋体" w:hAnsi="Arial"/>
      <w:bCs/>
      <w:iCs/>
      <w:szCs w:val="24"/>
    </w:rPr>
  </w:style>
  <w:style w:type="paragraph" w:styleId="958"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714"/>
    <w:uiPriority w:val="0"/>
    <w:qFormat/>
    <w:pPr>
      <w:ind w:firstLine="200"/>
      <w:tabs>
        <w:tab w:val="left" w:pos="360" w:leader="none"/>
      </w:tabs>
    </w:pPr>
    <w:rPr>
      <w:sz w:val="28"/>
      <w:szCs w:val="30"/>
    </w:rPr>
  </w:style>
  <w:style w:type="paragraph" w:styleId="961" w:customStyle="1">
    <w:name w:val="Char1"/>
    <w:basedOn w:val="733"/>
    <w:uiPriority w:val="0"/>
    <w:qFormat/>
    <w:rPr>
      <w:rFonts w:ascii="Tahoma" w:hAnsi="Tahoma"/>
      <w:sz w:val="24"/>
      <w:szCs w:val="24"/>
    </w:rPr>
  </w:style>
  <w:style w:type="paragraph" w:styleId="962"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63" w:customStyle="1">
    <w:name w:val="table_lines"/>
    <w:basedOn w:val="714"/>
    <w:uiPriority w:val="0"/>
    <w:qFormat/>
    <w:pPr>
      <w:jc w:val="left"/>
      <w:widowControl/>
    </w:pPr>
    <w:rPr>
      <w:sz w:val="20"/>
      <w:szCs w:val="20"/>
      <w:lang w:val="de-DE" w:eastAsia="de-DE"/>
    </w:rPr>
  </w:style>
  <w:style w:type="paragraph" w:styleId="96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33"/>
    <w:uiPriority w:val="0"/>
    <w:qFormat/>
    <w:pPr>
      <w:spacing w:line="360" w:lineRule="auto"/>
    </w:pPr>
    <w:rPr>
      <w:rFonts w:ascii="Tahoma" w:hAnsi="Tahoma"/>
      <w:sz w:val="24"/>
      <w:szCs w:val="24"/>
    </w:rPr>
  </w:style>
  <w:style w:type="paragraph" w:styleId="967" w:customStyle="1">
    <w:name w:val="4"/>
    <w:basedOn w:val="714"/>
    <w:next w:val="755"/>
    <w:uiPriority w:val="0"/>
    <w:qFormat/>
    <w:pPr>
      <w:ind w:firstLine="420"/>
      <w:spacing w:line="360" w:lineRule="auto"/>
    </w:pPr>
    <w:rPr>
      <w:color w:val="ff0000"/>
      <w:sz w:val="24"/>
      <w:szCs w:val="24"/>
    </w:rPr>
  </w:style>
  <w:style w:type="paragraph" w:styleId="968"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969" w:customStyle="1">
    <w:name w:val="Char Char Char Char Char Char Char Char Char Char"/>
    <w:basedOn w:val="714"/>
    <w:uiPriority w:val="0"/>
    <w:qFormat/>
    <w:pPr>
      <w:spacing w:line="360" w:lineRule="auto"/>
    </w:pPr>
    <w:rPr>
      <w:sz w:val="24"/>
      <w:szCs w:val="20"/>
    </w:rPr>
  </w:style>
  <w:style w:type="paragraph" w:styleId="970" w:customStyle="1">
    <w:name w:val="样式1"/>
    <w:basedOn w:val="714"/>
    <w:uiPriority w:val="0"/>
    <w:qFormat/>
    <w:pPr>
      <w:numPr>
        <w:ilvl w:val="0"/>
        <w:numId w:val="3"/>
      </w:numPr>
    </w:pPr>
    <w:rPr>
      <w:rFonts w:ascii="宋体" w:hAnsi="宋体"/>
      <w:szCs w:val="21"/>
    </w:rPr>
  </w:style>
  <w:style w:type="paragraph" w:styleId="971"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972"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975"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1"/>
    <w:basedOn w:val="733"/>
    <w:uiPriority w:val="0"/>
    <w:qFormat/>
    <w:pPr>
      <w:spacing w:line="360" w:lineRule="auto"/>
    </w:pPr>
    <w:rPr>
      <w:rFonts w:ascii="Tahoma" w:hAnsi="Tahoma"/>
      <w:sz w:val="24"/>
      <w:szCs w:val="24"/>
    </w:rPr>
  </w:style>
  <w:style w:type="paragraph" w:styleId="982" w:customStyle="1">
    <w:name w:val="table_1stline"/>
    <w:basedOn w:val="714"/>
    <w:uiPriority w:val="0"/>
    <w:qFormat/>
    <w:pPr>
      <w:jc w:val="left"/>
      <w:spacing w:before="120"/>
      <w:widowControl/>
    </w:pPr>
    <w:rPr>
      <w:bCs/>
      <w:sz w:val="20"/>
      <w:szCs w:val="20"/>
      <w:lang w:val="de-DE" w:eastAsia="de-DE"/>
    </w:rPr>
  </w:style>
  <w:style w:type="paragraph" w:styleId="983"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修订1"/>
    <w:uiPriority w:val="99"/>
    <w:semiHidden/>
    <w:qFormat/>
    <w:rPr>
      <w:rFonts w:ascii="Times New Roman" w:hAnsi="Times New Roman" w:eastAsia="宋体" w:cs="Times New Roman"/>
      <w:sz w:val="21"/>
      <w:szCs w:val="21"/>
      <w:lang w:val="en-US" w:eastAsia="zh-CN" w:bidi="ar-SA"/>
    </w:rPr>
  </w:style>
  <w:style w:type="table" w:styleId="986" w:customStyle="1">
    <w:name w:val="Table Normal"/>
    <w:uiPriority w:val="0"/>
    <w:qFormat/>
    <w:tblPr>
      <w:tblCellMar>
        <w:left w:w="0" w:type="dxa"/>
        <w:top w:w="0" w:type="dxa"/>
        <w:right w:w="0" w:type="dxa"/>
        <w:bottom w:w="0" w:type="dxa"/>
      </w:tblCellMar>
    </w:tblPr>
  </w:style>
  <w:style w:type="paragraph" w:styleId="987" w:customStyle="1">
    <w:name w:val="正文文本 211"/>
    <w:basedOn w:val="714"/>
    <w:uiPriority w:val="99"/>
    <w:qFormat/>
    <w:pPr>
      <w:jc w:val="center"/>
    </w:pPr>
    <w:rPr>
      <w:b/>
      <w:bCs/>
      <w:sz w:val="20"/>
      <w:szCs w:val="20"/>
    </w:rPr>
  </w:style>
  <w:style w:type="paragraph" w:styleId="988" w:customStyle="1">
    <w:name w:val="正文文本12"/>
    <w:basedOn w:val="714"/>
    <w:uiPriority w:val="1"/>
    <w:qFormat/>
    <w:pPr>
      <w:ind w:left="120"/>
    </w:pPr>
    <w:rPr>
      <w:rFonts w:ascii="宋体" w:hAnsi="宋体" w:cs="宋体"/>
      <w:szCs w:val="21"/>
      <w:lang w:val="zh-CN" w:bidi="zh-CN"/>
    </w:rPr>
  </w:style>
  <w:style w:type="paragraph" w:styleId="989" w:customStyle="1">
    <w:name w:val="Table Text"/>
    <w:basedOn w:val="714"/>
    <w:uiPriority w:val="0"/>
    <w:semiHidden/>
    <w:qFormat/>
    <w:pPr>
      <w:ind w:left="44" w:right="44"/>
      <w:spacing w:line="280" w:lineRule="exact"/>
    </w:pPr>
    <w:rPr>
      <w:rFonts w:ascii="宋体" w:hAnsi="宋体" w:cs="宋体"/>
      <w:lang w:eastAsia="en-US"/>
    </w:rPr>
  </w:style>
  <w:style w:type="paragraph" w:styleId="990" w:customStyle="1">
    <w:name w:val="正文缩进t"/>
    <w:basedOn w:val="714"/>
    <w:uiPriority w:val="0"/>
    <w:qFormat/>
    <w:pPr>
      <w:ind w:firstLine="200"/>
    </w:pPr>
  </w:style>
  <w:style w:type="table" w:styleId="991" w:customStyle="1">
    <w:name w:val="网格型1"/>
    <w:basedOn w:val="725"/>
    <w:uiPriority w:val="59"/>
    <w:qFormat/>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2" w:customStyle="1">
    <w:name w:val="正文文本缩进11"/>
    <w:basedOn w:val="714"/>
    <w:next w:val="993"/>
    <w:uiPriority w:val="0"/>
    <w:unhideWhenUsed/>
    <w:qFormat/>
    <w:pPr>
      <w:ind w:left="420"/>
      <w:spacing w:after="120"/>
    </w:pPr>
  </w:style>
  <w:style w:type="paragraph" w:styleId="993" w:customStyle="1">
    <w:name w:val="正文首行缩进 211"/>
    <w:basedOn w:val="992"/>
    <w:uiPriority w:val="0"/>
    <w:qFormat/>
    <w:pPr>
      <w:ind w:left="0" w:firstLine="420"/>
      <w:spacing w:after="0" w:line="360" w:lineRule="auto"/>
    </w:pPr>
    <w:rPr>
      <w:rFonts w:ascii="宋体" w:hAnsi="宋体" w:eastAsia="宋体" w:cs="Times New Roman"/>
      <w:szCs w:val="20"/>
    </w:rPr>
  </w:style>
  <w:style w:type="paragraph" w:styleId="994" w:customStyle="1">
    <w:name w:val="普通(网站)1"/>
    <w:basedOn w:val="714"/>
    <w:uiPriority w:val="99"/>
    <w:qFormat/>
    <w:pPr>
      <w:jc w:val="left"/>
      <w:spacing w:before="100" w:beforeAutospacing="1" w:after="100" w:afterAutospacing="1"/>
      <w:widowControl/>
    </w:pPr>
    <w:rPr>
      <w:rFonts w:ascii="宋体" w:hAnsi="宋体" w:eastAsia="宋体" w:cs="宋体"/>
      <w:sz w:val="24"/>
      <w:szCs w:val="24"/>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88067-0D45-4B50-9548-D0C8496510C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苏建</cp:lastModifiedBy>
  <cp:revision>13</cp:revision>
  <dcterms:created xsi:type="dcterms:W3CDTF">2023-03-29T07:28:00Z</dcterms:created>
  <dcterms:modified xsi:type="dcterms:W3CDTF">2026-06-22T06:48:06Z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FDCCE994BB9142A5910925BF7D8425DE_13</vt:lpwstr>
  </property>
  <property fmtid="{D5CDD505-2E9C-101B-9397-08002B2CF9AE}" pid="4" name="KSOTemplateDocerSaveRecord">
    <vt:lpwstr>eyJoZGlkIjoiMjQ4MzE4YTc1MGZhMGM1OTE1ZjgzNjJiZGYxZmE2YzIiLCJ1c2VySWQiOiIxNzcwNDY3OTkzIn0=</vt:lpwstr>
  </property>
</Properties>
</file>