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both"/>
        <w:spacing w:after="120"/>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楷体_GB2312" w:hAnsi="Times New Roman" w:eastAsia="楷体_GB2312" w:cs="Times New Roman"/>
          <w:sz w:val="28"/>
          <w:szCs w:val="28"/>
          <w:lang w:val="en-US" w:eastAsia="zh-CN" w:bidi="ar-SA"/>
        </w:rPr>
      </w:pPr>
      <w:r>
        <w:rPr>
          <w:rFonts w:hint="eastAsia" w:ascii="楷体_GB2312" w:hAnsi="Times New Roman" w:eastAsia="楷体_GB2312" w:cs="Times New Roman"/>
          <w:sz w:val="28"/>
          <w:szCs w:val="28"/>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szCs w:val="21"/>
          <w:lang w:eastAsia="zh-CN"/>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1666875</wp:posOffset>
                </wp:positionH>
                <wp:positionV relativeFrom="paragraph">
                  <wp:posOffset>25281</wp:posOffset>
                </wp:positionV>
                <wp:extent cx="1704340" cy="1704340"/>
                <wp:effectExtent l="0" t="0" r="10160" b="10160"/>
                <wp:wrapNone/>
                <wp:docPr id="6" name="图片 12" descr="中诚运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58364" name="图片 12" descr="中诚运玛"/>
                        <pic:cNvPicPr>
                          <a:picLocks noChangeAspect="1"/>
                        </pic:cNvPicPr>
                        <pic:nvPr/>
                      </pic:nvPicPr>
                      <pic:blipFill>
                        <a:blip r:embed="rId18"/>
                        <a:stretch/>
                      </pic:blipFill>
                      <pic:spPr bwMode="auto">
                        <a:xfrm>
                          <a:off x="0" y="0"/>
                          <a:ext cx="1704339" cy="170433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131.2pt;mso-position-horizontal:absolute;mso-position-vertical-relative:text;margin-top:2.0pt;mso-position-vertical:absolute;width:134.2pt;height:134.2pt;mso-wrap-distance-left:9.0pt;mso-wrap-distance-top:0.0pt;mso-wrap-distance-right:9.0pt;mso-wrap-distance-bottom:0.0pt;" stroked="false">
                <v:path textboxrect="0,0,0,0"/>
                <v:imagedata r:id="rId18" o:title=""/>
              </v:shape>
            </w:pict>
          </mc:Fallback>
        </mc:AlternateContent>
      </w:r>
      <w:r>
        <w:rPr>
          <w:rFonts w:hint="eastAsia" w:ascii="宋体" w:hAnsi="宋体" w:eastAsia="宋体" w:cs="宋体"/>
          <w:color w:val="auto"/>
          <w:sz w:val="30"/>
          <w:szCs w:val="30"/>
          <w:highlight w:val="none"/>
          <w:lang w:val="en-US" w:eastAsia="zh-CN" w:bidi="ar-SA"/>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项目名称：千岛湿地配套设施改造提升工程</w:t>
      </w:r>
      <w:r/>
    </w:p>
    <w:p>
      <w:pPr>
        <w:ind w:left="0" w:firstLine="320"/>
        <w:jc w:val="both"/>
        <w:spacing w:line="480" w:lineRule="auto"/>
        <w:widowControl w:val="off"/>
        <w:rPr>
          <w:rFonts w:hint="default" w:ascii="Times New Roman" w:hAnsi="Times New Roman" w:eastAsia="宋体" w:cs="Times New Roman"/>
          <w:color w:val="auto"/>
          <w:sz w:val="21"/>
          <w:szCs w:val="24"/>
          <w:highlight w:val="yellow"/>
          <w:lang w:val="en-US" w:eastAsia="zh-CN" w:bidi="ar-SA"/>
        </w:rPr>
      </w:pPr>
      <w:r>
        <w:rPr>
          <w:rFonts w:hint="eastAsia" w:ascii="宋体" w:hAnsi="宋体" w:eastAsia="宋体" w:cs="宋体"/>
          <w:b w:val="0"/>
          <w:bCs w:val="0"/>
          <w:color w:val="auto"/>
          <w:sz w:val="32"/>
          <w:szCs w:val="32"/>
          <w:highlight w:val="none"/>
          <w:lang w:val="en-US" w:eastAsia="zh-CN" w:bidi="ar-SA"/>
        </w:rPr>
        <w:t xml:space="preserve">项目编号：JSZC-320322-JSYM-C2026-0015</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eastAsia="宋体" w:cs="宋体"/>
          <w:b w:val="0"/>
          <w:bCs w:val="0"/>
          <w:color w:val="auto"/>
          <w:sz w:val="32"/>
          <w:szCs w:val="32"/>
          <w:highlight w:val="none"/>
          <w:lang w:val="en-US" w:eastAsia="zh-CN"/>
        </w:rPr>
        <w:t xml:space="preserve">沛县汉城景区管理处</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eastAsia="宋体" w:cs="宋体"/>
          <w:b w:val="0"/>
          <w:bCs w:val="0"/>
          <w:color w:val="auto"/>
          <w:sz w:val="32"/>
          <w:szCs w:val="32"/>
          <w:highlight w:val="none"/>
          <w:lang w:eastAsia="zh-CN"/>
        </w:rPr>
        <w:t xml:space="preserve">中诚运玛咨询股份有限公司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eastAsia="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eastAsia="宋体" w:cs="宋体"/>
          <w:b w:val="0"/>
          <w:bCs w:val="0"/>
          <w:color w:val="auto"/>
          <w:sz w:val="32"/>
          <w:szCs w:val="32"/>
          <w:highlight w:val="none"/>
          <w:lang w:val="en-US" w:eastAsia="zh-CN"/>
        </w:rPr>
        <w:t xml:space="preserve">六月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千岛湿地配套设施改造提升工程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人：沛县汉城景区管理处</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eastAsia="宋体" w:cs="宋体"/>
          <w:color w:val="auto"/>
          <w:sz w:val="24"/>
          <w:szCs w:val="24"/>
          <w:highlight w:val="none"/>
          <w:lang w:eastAsia="zh-CN"/>
        </w:rPr>
        <w:t xml:space="preserve">千岛湿地配套设施改造提升工程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项目编号：JSZC-320322-JSYM-C2026-0015</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right="-334"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（1）供应商资质类别和等级：</w:t>
      </w:r>
      <w:r>
        <w:rPr>
          <w:rFonts w:hint="eastAsia" w:ascii="宋体" w:hAnsi="宋体" w:eastAsia="宋体" w:cs="宋体"/>
          <w:b/>
          <w:bCs/>
          <w:color w:val="auto"/>
          <w:sz w:val="24"/>
          <w:szCs w:val="24"/>
          <w:highlight w:val="none"/>
        </w:rPr>
        <w:t xml:space="preserve">具备建筑工程施工总承包叁级（含）及以上资质，并具备合格有效的安全生产许可证，</w:t>
      </w:r>
      <w:r>
        <w:rPr>
          <w:rFonts w:hint="eastAsia" w:ascii="宋体" w:hAnsi="宋体" w:eastAsia="宋体" w:cs="宋体"/>
          <w:color w:val="auto"/>
          <w:sz w:val="24"/>
          <w:szCs w:val="24"/>
          <w:highlight w:val="none"/>
        </w:rPr>
        <w:t xml:space="preserve">提供扫描件并加盖电子签章；</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highlight w:val="none"/>
        </w:rPr>
        <w:t xml:space="preserve">供应商拟选派</w:t>
      </w:r>
      <w:r>
        <w:rPr>
          <w:rFonts w:hint="default"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注册建造师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资质等级</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lang w:eastAsia="zh-CN"/>
        </w:rPr>
        <w:t xml:space="preserve">具有建筑工程专业二级（及以上）注册建造师证及安全生产考核合格证书（B证），</w:t>
      </w:r>
      <w:r>
        <w:rPr>
          <w:rFonts w:hint="eastAsia" w:ascii="宋体" w:hAnsi="宋体" w:eastAsia="宋体" w:cs="宋体"/>
          <w:b/>
          <w:bCs/>
          <w:color w:val="000000"/>
          <w:sz w:val="24"/>
          <w:highlight w:val="none"/>
          <w:u w:val="single"/>
        </w:rPr>
        <w:t xml:space="preserve">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Cs/>
          <w:color w:val="000000"/>
          <w:sz w:val="24"/>
          <w:highlight w:val="none"/>
        </w:rPr>
        <w:t xml:space="preserve">必须设置独立的专职安全员，专职安全员具备有效的《安全生产考核合格证书》</w:t>
      </w:r>
      <w:r>
        <w:rPr>
          <w:rFonts w:hint="eastAsia" w:ascii="宋体" w:hAnsi="宋体" w:eastAsia="宋体" w:cs="宋体"/>
          <w:bCs/>
          <w:color w:val="000000"/>
          <w:sz w:val="24"/>
          <w:highlight w:val="none"/>
          <w:lang w:val="en-US" w:eastAsia="zh-CN"/>
        </w:rPr>
        <w:t xml:space="preserve">C证，</w:t>
      </w:r>
      <w:r>
        <w:rPr>
          <w:rFonts w:hint="eastAsia" w:ascii="宋体" w:hAnsi="宋体" w:eastAsia="宋体" w:cs="宋体"/>
          <w:b/>
          <w:bCs/>
          <w:color w:val="000000"/>
          <w:sz w:val="24"/>
          <w:highlight w:val="none"/>
          <w:u w:val="single"/>
        </w:rPr>
        <w:t xml:space="preserve">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1、本项目不接受联合体参与采购活动，本项目成交后不得转让或分包。</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2、单位负责人为同一人或者存在直接控股、管理关系的不同供应商，不得参加同一合同项下的采购活动。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3、查询及使用供应商信用记录：</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⑴由采购人查询信用信息。</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⑵查询渠道包括：</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①“信用中国”网（</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"http://www.creditchina.gov.cn/"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lang w:val="en-US" w:eastAsia="zh-CN" w:bidi="ar-SA"/>
        </w:rPr>
        <w:t xml:space="preserve">www.creditchina.gov.cn</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②中国政府采购网（</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"http://www.ccgp.gov.cn/"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lang w:val="en-US" w:eastAsia="zh-CN" w:bidi="ar-SA"/>
        </w:rPr>
        <w:t xml:space="preserve">www.ccgp.gov.cn</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③</w:t>
      </w:r>
      <w:r>
        <w:rPr>
          <w:rFonts w:hint="eastAsia" w:ascii="宋体" w:hAnsi="宋体" w:eastAsia="宋体" w:cs="宋体"/>
          <w:sz w:val="24"/>
          <w:szCs w:val="24"/>
          <w:highlight w:val="none"/>
          <w:lang w:val="en-US" w:eastAsia="zh-CN" w:bidi="ar-SA"/>
        </w:rPr>
        <w:t xml:space="preserve">“信用江苏”网（http://credit.jiangsu.gov.cn/）；</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t xml:space="preserve">“信用中国(江苏徐州)”网</w:t>
      </w:r>
      <w:r>
        <w:rPr>
          <w:rFonts w:hint="eastAsia" w:ascii="宋体" w:hAnsi="宋体" w:eastAsia="宋体" w:cs="宋体"/>
          <w:sz w:val="24"/>
          <w:szCs w:val="24"/>
          <w:highlight w:val="none"/>
          <w:lang w:val="en-US" w:eastAsia="zh-CN" w:bidi="ar-SA"/>
        </w:rPr>
        <w:t xml:space="preserve">（ www.xuzhoucredit.gov.cn）。</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⑶截止时点（查询环节）：资格审查结束前。</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⑷信用信息查询记录和证据留存的具体方式：</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网页截屏打印，与其他采购文件一并保存。</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⑸信用信息的使用规则：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中诚运玛咨询股份有限公司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中诚运玛咨询股份有限公司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eastAsia="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十一、供应商提交磋商保证金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因“苏采云”系统导致解密失败的除外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CA，省内各地区办理的“苏采云”系统下的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CA全省通用。“CA数字证书”的办理方法详见“徐州政府采购网-</w:t>
      </w:r>
      <w:r>
        <w:rPr>
          <w:rFonts w:hint="eastAsia" w:ascii="宋体" w:hAnsi="宋体" w:eastAsia="宋体" w:cs="宋体"/>
          <w:color w:val="auto"/>
          <w:sz w:val="24"/>
          <w:highlight w:val="none"/>
          <w:lang w:val="en-US" w:eastAsia="zh-CN"/>
        </w:rPr>
        <w:t xml:space="preserve">办事指南</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资料下载</w:t>
      </w:r>
      <w:r>
        <w:rPr>
          <w:rFonts w:hint="eastAsia" w:ascii="宋体" w:hAnsi="宋体" w:eastAsia="宋体" w:cs="宋体"/>
          <w:color w:val="auto"/>
          <w:sz w:val="24"/>
          <w:highlight w:val="none"/>
        </w:rPr>
        <w:t xml:space="preserve">”《“苏采云”系统政务CA办理材料、操作手册及控件下载》。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；或进入徐州政府采购网（网址：</w:t>
      </w:r>
      <w:r>
        <w:rPr>
          <w:rFonts w:hint="eastAsia" w:ascii="宋体" w:hAnsi="宋体" w:eastAsia="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）点击“苏采云”进入系统），按照要求通过互联网方式提交首次响应文件。</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“苏采云”系统使用要求：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1.使用谷歌浏览器参与不见面开标及磋商环节。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2.电脑需提前准备好麦克风、音箱，摄像头，提前检查保证能够正常使用。</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ff"/>
          <w:sz w:val="24"/>
        </w:rPr>
        <w:t xml:space="preserve">：</w:t>
      </w:r>
      <w:r>
        <w:rPr>
          <w:rFonts w:hint="eastAsia" w:ascii="宋体" w:hAnsi="宋体" w:eastAsia="宋体" w:cs="宋体"/>
          <w:b/>
          <w:color w:val="000000" w:themeColor="text1"/>
          <w:sz w:val="24"/>
          <w:highlight w:val="none"/>
          <w:lang w:val="en-US" w:eastAsia="zh-CN"/>
        </w:rPr>
        <w:t xml:space="preserve">2026</w:t>
      </w:r>
      <w:r>
        <w:rPr>
          <w:rFonts w:hint="eastAsia" w:ascii="宋体" w:hAnsi="宋体" w:eastAsia="宋体" w:cs="宋体"/>
          <w:b/>
          <w:color w:val="000000" w:themeColor="text1"/>
          <w:sz w:val="24"/>
          <w:highlight w:val="none"/>
          <w:lang w:eastAsia="zh-CN"/>
        </w:rPr>
        <w:t xml:space="preserve">年</w:t>
      </w:r>
      <w:r>
        <w:rPr>
          <w:rFonts w:hint="eastAsia" w:ascii="宋体" w:hAnsi="宋体" w:eastAsia="宋体" w:cs="宋体"/>
          <w:b/>
          <w:color w:val="000000" w:themeColor="text1"/>
          <w:sz w:val="24"/>
          <w:highlight w:val="none"/>
          <w:lang w:val="en-US" w:eastAsia="zh-CN"/>
        </w:rPr>
        <w:t xml:space="preserve">  6</w:t>
      </w:r>
      <w:r>
        <w:rPr>
          <w:rFonts w:hint="eastAsia" w:ascii="宋体" w:hAnsi="宋体" w:eastAsia="宋体" w:cs="宋体"/>
          <w:b/>
          <w:color w:val="000000" w:themeColor="text1"/>
          <w:sz w:val="24"/>
          <w:highlight w:val="none"/>
          <w:lang w:eastAsia="zh-CN"/>
        </w:rPr>
        <w:t xml:space="preserve">月30</w:t>
      </w:r>
      <w:r>
        <w:rPr>
          <w:rFonts w:hint="eastAsia" w:ascii="宋体" w:hAnsi="宋体" w:eastAsia="宋体" w:cs="宋体"/>
          <w:b/>
          <w:color w:val="000000" w:themeColor="text1"/>
          <w:sz w:val="24"/>
          <w:highlight w:val="none"/>
          <w:lang w:val="en-US" w:eastAsia="zh-CN"/>
        </w:rPr>
        <w:t xml:space="preserve">  </w:t>
      </w:r>
      <w:r>
        <w:rPr>
          <w:rFonts w:hint="eastAsia" w:ascii="宋体" w:hAnsi="宋体" w:eastAsia="宋体" w:cs="宋体"/>
          <w:b/>
          <w:color w:val="000000" w:themeColor="text1"/>
          <w:sz w:val="24"/>
          <w:highlight w:val="none"/>
          <w:lang w:eastAsia="zh-CN"/>
        </w:rPr>
        <w:t xml:space="preserve">日上午09:</w:t>
      </w:r>
      <w:r>
        <w:rPr>
          <w:rFonts w:hint="eastAsia" w:ascii="宋体" w:hAnsi="宋体" w:eastAsia="宋体" w:cs="宋体"/>
          <w:b/>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，在截止时间后提交的首次响应文件为无效文件，将被拒收。</w:t>
      </w:r>
      <w:r>
        <w:rPr>
          <w:color w:val="000000" w:themeColor="text1"/>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（三）首次响应文件提交时间、地点：</w:t>
      </w:r>
      <w:r>
        <w:rPr>
          <w:color w:val="000000" w:themeColor="text1"/>
        </w:rPr>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1.首次响应文件提交的截止时间：</w:t>
      </w:r>
      <w:r>
        <w:rPr>
          <w:rFonts w:hint="eastAsia" w:ascii="宋体" w:hAnsi="宋体" w:eastAsia="宋体" w:cs="宋体"/>
          <w:b/>
          <w:color w:val="000000" w:themeColor="text1"/>
          <w:sz w:val="24"/>
          <w:szCs w:val="24"/>
          <w:highlight w:val="none"/>
          <w:lang w:val="en-US" w:eastAsia="zh-CN" w:bidi="ar-SA"/>
        </w:rPr>
        <w:t xml:space="preserve">2026年 6月30  日</w:t>
      </w:r>
      <w:r>
        <w:rPr>
          <w:rFonts w:hint="eastAsia" w:ascii="宋体" w:hAnsi="宋体" w:eastAsia="宋体" w:cs="宋体"/>
          <w:b/>
          <w:bCs/>
          <w:color w:val="000000" w:themeColor="text1"/>
          <w:sz w:val="24"/>
          <w:szCs w:val="24"/>
          <w:highlight w:val="none"/>
          <w:lang w:val="en-US" w:eastAsia="zh-CN" w:bidi="ar-SA"/>
        </w:rPr>
        <w:t xml:space="preserve">北京时间09:30前</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rPr>
      </w:r>
      <w:r/>
    </w:p>
    <w:p>
      <w:pPr>
        <w:ind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bCs/>
          <w:color w:val="000000" w:themeColor="text1"/>
          <w:sz w:val="24"/>
          <w:szCs w:val="24"/>
          <w:highlight w:val="none"/>
          <w:lang w:val="en-US" w:eastAsia="zh-CN" w:bidi="ar-SA"/>
        </w:rPr>
        <w:t xml:space="preserve">提交首次响应文件地点：“苏采云”系统（网址：http://jszfcg.jsczt.cn/）“开标大厅”或进入徐州政府采购网（网址：https://czj.xz.gov.cn/zfcg/index.html）点击“苏采云”进入系统“开标大厅”。</w:t>
      </w:r>
      <w:r>
        <w:rPr>
          <w:color w:val="000000" w:themeColor="text1"/>
        </w:rPr>
      </w:r>
      <w:r/>
    </w:p>
    <w:p>
      <w:pPr>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3.首次响应文件开启时间</w:t>
      </w:r>
      <w:r>
        <w:rPr>
          <w:rFonts w:hint="eastAsia" w:ascii="宋体" w:hAnsi="宋体" w:eastAsia="宋体" w:cs="宋体"/>
          <w:b/>
          <w:bCs/>
          <w:color w:val="000000" w:themeColor="text1"/>
          <w:sz w:val="24"/>
          <w:szCs w:val="24"/>
          <w:highlight w:val="none"/>
          <w:lang w:val="en-US" w:eastAsia="zh-CN" w:bidi="ar-SA"/>
        </w:rPr>
        <w:t xml:space="preserve">：</w:t>
      </w:r>
      <w:r>
        <w:rPr>
          <w:rFonts w:hint="eastAsia" w:ascii="宋体" w:hAnsi="宋体" w:eastAsia="宋体" w:cs="宋体"/>
          <w:b/>
          <w:color w:val="000000" w:themeColor="text1"/>
          <w:sz w:val="24"/>
          <w:szCs w:val="24"/>
          <w:highlight w:val="none"/>
          <w:lang w:val="en-US" w:eastAsia="zh-CN" w:bidi="ar-SA"/>
        </w:rPr>
        <w:t xml:space="preserve">2026年  6月30  日</w:t>
      </w:r>
      <w:r>
        <w:rPr>
          <w:rFonts w:hint="eastAsia" w:ascii="宋体" w:hAnsi="宋体" w:eastAsia="宋体" w:cs="宋体"/>
          <w:b/>
          <w:bCs/>
          <w:color w:val="000000" w:themeColor="text1"/>
          <w:sz w:val="24"/>
          <w:szCs w:val="24"/>
          <w:highlight w:val="none"/>
          <w:lang w:val="en-US" w:eastAsia="zh-CN" w:bidi="ar-SA"/>
        </w:rPr>
        <w:t xml:space="preserve">北京时间09:30</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rPr>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bCs/>
          <w:sz w:val="24"/>
          <w:szCs w:val="24"/>
          <w:lang w:val="en-US" w:eastAsia="zh-CN" w:bidi="ar-SA"/>
        </w:rPr>
        <w:t xml:space="preserve">首次响应文件开启地点：</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“苏采云”系统（网址：http://jszfcg.jsczt.cn/）“开标大厅”或进入徐州政府采购网（网址：https://czj.xz.gov.cn/zfcg/index.html）点击“苏采云”进入系统“开标大厅”。</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6.不接受不按要求加盖电子签章（电子签章）的首次响应文件。电子签章相关要求见“苏采云”系统。</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lang w:val="en-US" w:eastAsia="zh-CN" w:bidi="ar-SA"/>
        </w:rPr>
        <w:t xml:space="preserve">开启时间后30分钟内，</w:t>
      </w:r>
      <w:r>
        <w:rPr>
          <w:rFonts w:hint="eastAsia" w:ascii="宋体" w:hAnsi="宋体" w:eastAsia="宋体" w:cs="宋体"/>
          <w:bCs/>
          <w:sz w:val="24"/>
          <w:szCs w:val="24"/>
          <w:lang w:val="en-US" w:eastAsia="zh-CN" w:bidi="ar-SA"/>
        </w:rPr>
        <w:t xml:space="preserve">通过“苏采云”系统（使用“CA数字证书”）解密。</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8.采购文件（后缀名为“.kedt”）、供应商操作手册及政府采购客户端工具可通过“苏采云”系统（网址：</w:t>
      </w: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HYPERLINK "http://jszfcg.jsczt.cn/"</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lang w:val="en-US" w:eastAsia="zh-CN" w:bidi="ar-SA"/>
        </w:rPr>
        <w:t xml:space="preserve">http://jszfcg.jsczt.cn/</w:t>
      </w:r>
      <w:r>
        <w:rPr>
          <w:rFonts w:hint="eastAsia" w:ascii="宋体" w:hAnsi="宋体" w:eastAsia="宋体" w:cs="宋体"/>
          <w:bCs/>
          <w:sz w:val="24"/>
          <w:szCs w:val="24"/>
          <w:lang w:val="en-US" w:eastAsia="zh-CN" w:bidi="ar-SA"/>
        </w:rPr>
        <w:fldChar w:fldCharType="end"/>
      </w:r>
      <w:r>
        <w:rPr>
          <w:rFonts w:hint="eastAsia" w:ascii="宋体" w:hAnsi="宋体" w:eastAsia="宋体" w:cs="宋体"/>
          <w:bCs/>
          <w:sz w:val="24"/>
          <w:szCs w:val="24"/>
          <w:lang w:val="en-US" w:eastAsia="zh-CN" w:bidi="ar-SA"/>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常见问题及解决办法》，进行下载。</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9.相关说明: 供应商在“苏采云”系统中提交首次响应文件的时间即为数据电文（响应文件，下同）的发送时间和接收时间。</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有下列情形之一的，其投标无效：</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1.供应商资格条件不符合国家有关规定或磋商文件要求的；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2.响应报价低于成本或者高于磋商文件设定的最高限价的；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3.与磋商文件规定的暂估价、暂列金额及甲供材料价格不一致的；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4.与磋商文件提供的工程量清单中的项目编码、项目名称、项目特征、计量单位、工程量不一致的；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5.响应文件载明的招标项目完成期限超过磋商文件规定的期限的；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6.明显不符合技术规范、技术标准的要求的；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7.响应文件载明的货物包装方式、检验标准和方法等不符合磋商文件的要求的；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8.响应文件提出了不能满足磋商文件要求或采购人不能接受的工程验收、计量、价款结算和支付办法的；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9.不同供应商的响应文件以及响应文件制作过程出现了评标委员会认为不应当雷同的情况的；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10.以他人的名义投标、串通投标、以行贿手段谋取成交或者以其他弄虚作假方式投标的；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firstLine="482"/>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color w:val="000000"/>
          <w:sz w:val="24"/>
          <w:szCs w:val="24"/>
          <w:lang w:val="en-US" w:eastAsia="zh-CN" w:bidi="ar-SA"/>
        </w:rPr>
        <w:t xml:space="preserve">（二）资格条件</w:t>
      </w:r>
      <w:r>
        <w:rPr>
          <w:rFonts w:hint="eastAsia" w:ascii="宋体" w:hAnsi="宋体" w:eastAsia="宋体" w:cs="宋体"/>
          <w:b/>
          <w:bCs/>
          <w:sz w:val="24"/>
          <w:szCs w:val="24"/>
          <w:lang w:val="en-US" w:eastAsia="zh-CN" w:bidi="ar-SA"/>
        </w:rPr>
        <w:t xml:space="preserve">（1～6项必须提供，否则响应无效）</w:t>
      </w:r>
      <w:r>
        <w:rPr>
          <w:rFonts w:hint="eastAsia" w:ascii="宋体" w:hAnsi="宋体" w:eastAsia="宋体" w:cs="宋体"/>
          <w:sz w:val="24"/>
          <w:szCs w:val="24"/>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1、提供合法有效的法人的营业执照或事业法人证或其他组织应提供合法证明文件或自然人提供身份证明，以上证明文件的扫描件； </w:t>
      </w:r>
      <w:r/>
    </w:p>
    <w:p>
      <w:pPr>
        <w:ind w:firstLine="482"/>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sz w:val="24"/>
          <w:szCs w:val="24"/>
          <w:lang w:val="en-US" w:eastAsia="zh-CN" w:bidi="ar-SA"/>
        </w:rPr>
        <w:t xml:space="preserve">财务状况报告，至少提供： </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（1）供应商的“首次响应文件提交的截止时间”前6个月内任何1月（不含“首次响应文件提交的截止时间”当月）的资产负债表的扫描件1份；</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或合法有效的经第三方机构审计的年度财务审计报告（复印件）（2025年度，应包括审计报告正文、资产负债表、现金流量表、利润表）。</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sz w:val="24"/>
          <w:szCs w:val="24"/>
          <w:lang w:val="en-US" w:eastAsia="zh-CN" w:bidi="ar-SA"/>
        </w:rPr>
        <w:t xml:space="preserve">3、供应商</w:t>
      </w:r>
      <w:r>
        <w:rPr>
          <w:rFonts w:hint="eastAsia" w:ascii="宋体" w:hAnsi="宋体" w:eastAsia="宋体" w:cs="宋体"/>
          <w:color w:val="000000"/>
          <w:sz w:val="24"/>
          <w:szCs w:val="24"/>
          <w:highlight w:val="none"/>
          <w:lang w:val="en-US" w:eastAsia="zh-CN" w:bidi="ar-SA"/>
        </w:rPr>
        <w:t xml:space="preserve">提交首次响应文件时间前6个月内（不含开标当月）任何1月的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color w:val="000000"/>
          <w:sz w:val="24"/>
          <w:szCs w:val="24"/>
          <w:lang w:val="en-US" w:eastAsia="zh-CN" w:bidi="ar-SA"/>
        </w:rPr>
        <w:t xml:space="preserve">具备履行合同所必需的设备和专业技术能力的书面声明，并附证明材料扫描件，即提供：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eastAsia="宋体" w:cs="宋体"/>
          <w:b/>
          <w:bCs w:val="0"/>
          <w:color w:val="000000"/>
          <w:sz w:val="24"/>
        </w:rPr>
        <w:t xml:space="preserve">具备建筑工程施工总承包叁级（含）及以上资质，并具备合格有效的安全生产许可证</w:t>
      </w:r>
      <w:r>
        <w:rPr>
          <w:rFonts w:hint="eastAsia" w:ascii="宋体" w:hAnsi="宋体" w:eastAsia="宋体" w:cs="宋体"/>
          <w:b w:val="0"/>
          <w:bCs/>
          <w:color w:val="000000"/>
          <w:sz w:val="24"/>
        </w:rPr>
        <w:t xml:space="preserve">，提供扫描件并加盖电子签章；</w:t>
      </w:r>
      <w:r/>
    </w:p>
    <w:p>
      <w:pPr>
        <w:ind w:right="-334" w:firstLine="482"/>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②拟选派项目负责人</w:t>
      </w:r>
      <w:r>
        <w:rPr>
          <w:rFonts w:hint="eastAsia" w:ascii="宋体" w:hAnsi="宋体" w:eastAsia="宋体" w:cs="宋体"/>
          <w:b/>
          <w:bCs w:val="0"/>
          <w:color w:val="000000"/>
          <w:sz w:val="24"/>
          <w:highlight w:val="none"/>
        </w:rPr>
        <w:t xml:space="preserve">具备建筑工程专业二级（及以上）注册建造师证及安全生产考核合格证书（B证），</w:t>
      </w:r>
      <w:r>
        <w:rPr>
          <w:rFonts w:hint="eastAsia" w:ascii="宋体" w:hAnsi="宋体" w:eastAsia="宋体" w:cs="宋体"/>
          <w:b w:val="0"/>
          <w:bCs/>
          <w:color w:val="000000"/>
          <w:sz w:val="24"/>
          <w:highlight w:val="none"/>
        </w:rPr>
        <w:t xml:space="preserve">提供扫描件并加盖电子签章）。</w:t>
      </w:r>
      <w:r/>
    </w:p>
    <w:p>
      <w:pPr>
        <w:ind w:right="-334" w:firstLine="482"/>
        <w:spacing w:line="360" w:lineRule="auto"/>
        <w:rPr>
          <w:rFonts w:hint="eastAsia" w:ascii="宋体" w:hAnsi="宋体" w:eastAsia="宋体" w:cs="宋体"/>
          <w:b/>
          <w:bCs w:val="0"/>
          <w:color w:val="000000"/>
          <w:sz w:val="24"/>
          <w:lang w:eastAsia="zh-CN"/>
        </w:rPr>
      </w:pPr>
      <w:r>
        <w:rPr>
          <w:rFonts w:hint="eastAsia" w:ascii="宋体" w:hAnsi="宋体" w:eastAsia="宋体" w:cs="宋体"/>
          <w:bCs/>
          <w:color w:val="000000"/>
          <w:sz w:val="24"/>
          <w:highlight w:val="none"/>
        </w:rPr>
        <w:t xml:space="preserve">③</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Cs/>
          <w:color w:val="000000"/>
          <w:sz w:val="24"/>
          <w:highlight w:val="none"/>
        </w:rPr>
        <w:t xml:space="preserve"> </w:t>
      </w:r>
      <w:r>
        <w:rPr>
          <w:rFonts w:hint="eastAsia" w:ascii="宋体" w:hAnsi="宋体" w:eastAsia="宋体" w:cs="宋体"/>
          <w:b/>
          <w:bCs w:val="0"/>
          <w:color w:val="000000"/>
          <w:sz w:val="24"/>
          <w:highlight w:val="none"/>
        </w:rPr>
        <w:t xml:space="preserve">必须设置独立的专职安全员，专职安全员具备有效的《安全生产考核合格证书》</w:t>
      </w:r>
      <w:r>
        <w:rPr>
          <w:rFonts w:hint="eastAsia" w:ascii="宋体" w:hAnsi="宋体" w:eastAsia="宋体" w:cs="宋体"/>
          <w:b/>
          <w:bCs w:val="0"/>
          <w:color w:val="000000"/>
          <w:sz w:val="24"/>
          <w:highlight w:val="none"/>
          <w:lang w:val="en-US" w:eastAsia="zh-CN"/>
        </w:rPr>
        <w:t xml:space="preserve">C证，</w:t>
      </w:r>
      <w:r>
        <w:rPr>
          <w:rFonts w:hint="eastAsia" w:ascii="宋体" w:hAnsi="宋体" w:eastAsia="宋体" w:cs="宋体"/>
          <w:b w:val="0"/>
          <w:bCs/>
          <w:color w:val="000000"/>
          <w:sz w:val="24"/>
        </w:rPr>
        <w:t xml:space="preserve">提供扫描件并加盖电子签章</w:t>
      </w:r>
      <w:r>
        <w:rPr>
          <w:rFonts w:hint="eastAsia" w:ascii="宋体" w:hAnsi="宋体" w:eastAsia="宋体" w:cs="宋体"/>
          <w:b w:val="0"/>
          <w:bCs/>
          <w:color w:val="000000"/>
          <w:sz w:val="24"/>
          <w:lang w:eastAsia="zh-CN"/>
        </w:rPr>
        <w:t xml:space="preserve">；</w:t>
      </w:r>
      <w:r/>
    </w:p>
    <w:p>
      <w:pPr>
        <w:ind w:firstLine="482"/>
        <w:jc w:val="both"/>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lang w:val="en-US" w:eastAsia="zh-CN" w:bidi="ar-SA"/>
        </w:rPr>
        <w:t xml:space="preserve">供应商参加政府采购活动前3年内在经营活动中没有重大违法记录的书面声明（加盖电子签章，格式见《磋商文件》附件）；</w:t>
      </w:r>
      <w:r/>
    </w:p>
    <w:p>
      <w:pPr>
        <w:ind w:righ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6、供应商须提供《中小企业声明函》（加盖电子签章，填写完整，格式见《磋商文件》附件），《中小企业声明函》查询渠道参考工业和信息化部发布的中小企业规模自测小程序。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hint="default" w:ascii="宋体" w:hAnsi="宋体" w:eastAsia="宋体" w:cs="Times New Roman"/>
          <w:b w:val="0"/>
          <w:bCs/>
          <w:color w:val="auto"/>
          <w:sz w:val="24"/>
          <w:highlight w:val="none"/>
        </w:rPr>
        <w:t xml:space="preserve">《分项价格表》（具有标价的工程量清单与报价表）（</w:t>
      </w:r>
      <w:r>
        <w:rPr>
          <w:rFonts w:hint="eastAsia" w:ascii="宋体" w:hAnsi="宋体" w:eastAsia="宋体" w:cs="Times New Roman"/>
          <w:b w:val="0"/>
          <w:bCs/>
          <w:color w:val="auto"/>
          <w:sz w:val="24"/>
          <w:highlight w:val="none"/>
          <w:lang w:val="en-US" w:eastAsia="zh-CN"/>
        </w:rPr>
        <w:t xml:space="preserve">加盖</w:t>
      </w:r>
      <w:r>
        <w:rPr>
          <w:rFonts w:hint="default" w:ascii="宋体" w:hAnsi="宋体" w:eastAsia="宋体" w:cs="Times New Roman"/>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hint="default" w:ascii="宋体" w:hAnsi="宋体" w:eastAsia="宋体" w:cs="Times New Roman"/>
          <w:b w:val="0"/>
          <w:bCs/>
          <w:color w:val="auto"/>
          <w:sz w:val="24"/>
          <w:szCs w:val="24"/>
          <w:highlight w:val="none"/>
        </w:rPr>
        <w:t xml:space="preserve">《授权委托书》（加盖电子签章，格式见《磋商文件》附件</w:t>
      </w:r>
      <w:r>
        <w:rPr>
          <w:rFonts w:hint="eastAsia" w:ascii="宋体" w:hAnsi="宋体" w:eastAsia="宋体" w:cs="Times New Roman"/>
          <w:b w:val="0"/>
          <w:bCs/>
          <w:color w:val="auto"/>
          <w:sz w:val="24"/>
          <w:szCs w:val="24"/>
          <w:highlight w:val="none"/>
          <w:lang w:eastAsia="zh-CN"/>
        </w:rPr>
        <w:t xml:space="preserve">，提供</w:t>
      </w:r>
      <w:r>
        <w:rPr>
          <w:rFonts w:hint="eastAsia" w:ascii="宋体" w:hAnsi="宋体" w:eastAsia="宋体" w:cs="Times New Roman"/>
          <w:b w:val="0"/>
          <w:bCs/>
          <w:color w:val="auto"/>
          <w:sz w:val="24"/>
          <w:szCs w:val="24"/>
          <w:highlight w:val="none"/>
        </w:rPr>
        <w:t xml:space="preserve">授权委托书中受托人身份证扫描件</w:t>
      </w:r>
      <w:r>
        <w:rPr>
          <w:rFonts w:hint="default"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5、《承诺书》（加盖电子签章，格式见《磋商文件》附件）；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6、《偏离表》（加盖电子签章，格式见《磋商文件》附件）；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ind w:firstLine="482"/>
        <w:jc w:val="both"/>
        <w:keepLines w:val="0"/>
        <w:keepNext w:val="0"/>
        <w:pageBreakBefore w:val="0"/>
        <w:spacing w:after="0"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b/>
          <w:color w:val="000000"/>
          <w:sz w:val="24"/>
          <w:szCs w:val="24"/>
          <w:lang w:val="en-US" w:eastAsia="zh-CN" w:bidi="ar-SA"/>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2、</w:t>
      </w:r>
      <w:r>
        <w:rPr>
          <w:rFonts w:hint="eastAsia" w:ascii="宋体" w:hAnsi="宋体" w:eastAsia="宋体" w:cs="宋体"/>
          <w:b w:val="0"/>
          <w:bCs/>
          <w:color w:val="000000"/>
          <w:sz w:val="24"/>
          <w:highlight w:val="none"/>
        </w:rPr>
        <w:t xml:space="preserve">关于符合本国产品标准的声明函</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本项目为不涉及货物采购的</w:t>
      </w:r>
      <w:r>
        <w:rPr>
          <w:rFonts w:hint="eastAsia" w:ascii="宋体" w:hAnsi="宋体" w:eastAsia="宋体" w:cs="宋体"/>
          <w:b w:val="0"/>
          <w:bCs/>
          <w:color w:val="000000"/>
          <w:sz w:val="24"/>
          <w:highlight w:val="none"/>
          <w:lang w:val="en-US" w:eastAsia="zh-CN"/>
        </w:rPr>
        <w:t xml:space="preserve">工程</w:t>
      </w:r>
      <w:r>
        <w:rPr>
          <w:rFonts w:hint="eastAsia" w:ascii="宋体" w:hAnsi="宋体" w:eastAsia="宋体" w:cs="宋体"/>
          <w:b w:val="0"/>
          <w:bCs/>
          <w:color w:val="000000"/>
          <w:sz w:val="24"/>
          <w:highlight w:val="none"/>
        </w:rPr>
        <w:t xml:space="preserve">类项目，投标人在政府采购客户端编制价格折扣文件时，选择享受的报价扣除类型为“不享受扣除”。</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eastAsia="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Times New Roman"/>
          <w:color w:val="auto"/>
          <w:sz w:val="24"/>
          <w:highlight w:val="none"/>
        </w:rPr>
        <w:t xml:space="preserve">供应商成交后，须向代理机构提供</w:t>
      </w:r>
      <w:bookmarkStart w:id="3" w:name="_Hlk105221193"/>
      <w:r>
        <w:rPr>
          <w:rFonts w:hint="eastAsia" w:ascii="宋体" w:hAnsi="宋体" w:eastAsia="宋体" w:cs="Times New Roman"/>
          <w:color w:val="auto"/>
          <w:sz w:val="24"/>
          <w:highlight w:val="none"/>
        </w:rPr>
        <w:t xml:space="preserve">纸质版响应文件一正</w:t>
      </w:r>
      <w:r>
        <w:rPr>
          <w:rFonts w:hint="eastAsia" w:ascii="宋体" w:hAnsi="宋体" w:eastAsia="宋体" w:cs="Times New Roman"/>
          <w:color w:val="auto"/>
          <w:sz w:val="24"/>
          <w:highlight w:val="none"/>
          <w:lang w:val="en-US" w:eastAsia="zh-CN"/>
        </w:rPr>
        <w:t xml:space="preserve">两</w:t>
      </w:r>
      <w:r>
        <w:rPr>
          <w:rFonts w:hint="eastAsia" w:ascii="宋体" w:hAnsi="宋体" w:eastAsia="宋体" w:cs="Times New Roman"/>
          <w:color w:val="auto"/>
          <w:sz w:val="24"/>
          <w:highlight w:val="none"/>
        </w:rPr>
        <w:t xml:space="preserve">副及电子响应文件（U盘）</w:t>
      </w:r>
      <w:bookmarkEnd w:id="3"/>
      <w:r>
        <w:rPr>
          <w:rFonts w:hint="eastAsia" w:ascii="宋体" w:hAnsi="宋体" w:eastAsia="宋体" w:cs="Times New Roman"/>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ind w:firstLine="480"/>
        <w:jc w:val="left"/>
        <w:keepLines w:val="0"/>
        <w:keepNext w:val="0"/>
        <w:pageBreakBefore w:val="0"/>
        <w:spacing w:line="360" w:lineRule="auto"/>
        <w:widowControl w:val="off"/>
        <w:rPr>
          <w:rFonts w:hint="default" w:ascii="宋体" w:hAnsi="宋体" w:eastAsia="Arial" w:cs="宋体"/>
          <w:bCs/>
          <w:color w:val="auto"/>
          <w:sz w:val="24"/>
          <w:szCs w:val="20"/>
          <w:highlight w:val="none"/>
          <w:lang w:val="en-US" w:eastAsia="zh-CN" w:bidi="ar-SA"/>
        </w:rPr>
      </w:pPr>
      <w:r>
        <w:rPr>
          <w:rFonts w:hint="eastAsia" w:ascii="宋体" w:hAnsi="宋体" w:eastAsia="宋体" w:cs="宋体"/>
          <w:sz w:val="24"/>
          <w:szCs w:val="24"/>
          <w:lang w:val="en-US" w:eastAsia="zh-CN" w:bidi="ar-SA"/>
        </w:rPr>
        <w:t xml:space="preserve">1、被邀请参与磋商的供应商需按本竞争性磋商文件要求的截止时间、方式（地点）提交首次响应文件，</w:t>
      </w:r>
      <w:r>
        <w:rPr>
          <w:rFonts w:hint="eastAsia" w:ascii="宋体" w:hAnsi="宋体" w:eastAsia="Arial" w:cs="宋体"/>
          <w:bCs/>
          <w:color w:val="auto"/>
          <w:sz w:val="24"/>
          <w:szCs w:val="20"/>
          <w:highlight w:val="none"/>
          <w:lang w:val="en-US" w:eastAsia="zh-CN" w:bidi="ar-SA"/>
        </w:rPr>
        <w:t xml:space="preserve">同时派人通过“苏采云”系统在“开标大厅”等待磋商。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2、供应商可通过CA数字证书，在首次响应文件开启时间后，使用CA数字证书在规定时间内解密各自响应文件。</w:t>
      </w:r>
      <w:r/>
    </w:p>
    <w:p>
      <w:pPr>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4、磋商顺序按照电子标书解密先后时间进行，解密时间相同的，不分先后顺序。</w:t>
      </w:r>
      <w:r/>
    </w:p>
    <w:p>
      <w:pPr>
        <w:ind w:firstLine="482"/>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6、未在规定时间内进行答疑澄清的，视同放弃澄清。</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7、未在规定时间内进行报价的，视为响应无效。</w:t>
      </w:r>
      <w:r/>
    </w:p>
    <w:p>
      <w:pPr>
        <w:ind w:left="0" w:firstLine="422"/>
        <w:jc w:val="left"/>
        <w:spacing w:after="120" w:line="360"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注：各供应商在未进行第二次报价前，请不要离开开标系统，随时接受磋商小组发起的二次报价，因供应商未能及时二次报价而引起的废标及损失，由供应商自行承担。</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8、被邀请参与磋商的供应商如未按上述磋商要求执行，视同放弃磋商的权利。</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rPr>
          <w:rFonts w:hint="default" w:ascii="宋体" w:hAnsi="宋体" w:eastAsia="宋体" w:cs="Times New Roman"/>
          <w:b/>
          <w:bCs/>
          <w:color w:val="auto"/>
          <w:sz w:val="24"/>
          <w:szCs w:val="24"/>
          <w:highlight w:val="none"/>
          <w:lang w:val="en-US" w:eastAsia="zh-CN" w:bidi="ar-SA"/>
        </w:rPr>
        <w:t xml:space="preserve">本项目二次报价为最后报价</w:t>
      </w:r>
      <w:r>
        <w:rPr>
          <w:rFonts w:hint="eastAsia" w:ascii="宋体" w:hAnsi="宋体" w:eastAsia="宋体" w:cs="Times New Roman"/>
          <w:b/>
          <w:bCs/>
          <w:color w:val="auto"/>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 过资格性审查。采购过程中符合要求的供应商（社会资本）只有1家的，采购人（项目实施机构）或者采购代理机构应当终止竞争性磋商采购活动，发布项目终止公告并说明原因，重新开展采购活动）。</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rPr>
          <w:rFonts w:hint="default" w:ascii="宋体" w:hAnsi="宋体" w:eastAsia="宋体" w:cs="宋体"/>
          <w:sz w:val="24"/>
          <w:szCs w:val="24"/>
          <w:lang w:val="en-US" w:eastAsia="zh-CN" w:bidi="ar-SA"/>
        </w:rPr>
        <w:t xml:space="preserve">评标委员会启动异常低价投标审查的情形和具体要求，包括:</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9.1.评审过程中出现下列情形之一的，评标委员会应当启动异常低价投标审查程序：</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（1）投标报价低于采购项目预算50%的，即投标报价&lt;采购项目预算×50%；</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（2）投标报价低于采购项目最高限价45%的，即投标报价&lt;采购项目最高限价×45%；</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（3）评标委员会认定的投标人报价过低、有可能影响产品质量或者不能诚信履约的其他情形。</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9.2.启动异常</w:t>
      </w:r>
      <w:r>
        <w:rPr>
          <w:rFonts w:hint="default" w:ascii="宋体" w:hAnsi="宋体" w:eastAsia="宋体" w:cs="宋体"/>
          <w:sz w:val="24"/>
          <w:szCs w:val="24"/>
          <w:lang w:val="en-US" w:eastAsia="zh-CN" w:bidi="ar-SA"/>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（二）评审程序</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eastAsia="宋体" w:cs="宋体"/>
          <w:color w:val="000000"/>
          <w:sz w:val="24"/>
          <w:szCs w:val="24"/>
          <w:lang w:eastAsia="zh-CN"/>
        </w:rPr>
        <w:t xml:space="preserve">，</w:t>
      </w:r>
      <w:r>
        <w:rPr>
          <w:rFonts w:hint="default" w:ascii="宋体" w:hAnsi="宋体" w:eastAsia="宋体" w:cs="Times New Roman"/>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eastAsia="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eastAsia="宋体" w:cs="宋体"/>
          <w:color w:val="000000"/>
          <w:sz w:val="24"/>
          <w:szCs w:val="24"/>
          <w:lang w:eastAsia="zh-CN"/>
        </w:rPr>
        <w:t xml:space="preserve">中诚运玛咨询股份有限公司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郭工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17851160589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江苏省徐州市沛县河口镇振河路3-9号</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eastAsia="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default" w:ascii="宋体" w:hAnsi="宋体" w:eastAsia="宋体" w:cs="Times New Roman"/>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名称：沛县汉城景区管理处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址：沛县新城区沛公路2号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联系方式：罗小兵 </w:t>
      </w:r>
      <w:r>
        <w:rPr>
          <w:rFonts w:hint="eastAsia" w:ascii="宋体" w:hAnsi="宋体" w:eastAsia="宋体" w:cs="宋体"/>
          <w:color w:val="auto"/>
          <w:sz w:val="24"/>
          <w:szCs w:val="24"/>
          <w:lang w:val="en-US" w:eastAsia="zh-CN"/>
        </w:rPr>
        <w:t xml:space="preserve">13160265737</w:t>
      </w:r>
      <w:r/>
    </w:p>
    <w:p>
      <w:pPr>
        <w:numPr>
          <w:ilvl w:val="0"/>
          <w:numId w:val="1"/>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名称：中诚运玛咨询股份有限公司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地址：江苏省徐州市沛县河口镇振河路3-9号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：郭工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话：17851160589</w:t>
      </w:r>
      <w:bookmarkStart w:id="18" w:name="_GoBack"/>
      <w:r/>
      <w:bookmarkEnd w:id="18"/>
      <w:r/>
      <w:r/>
    </w:p>
    <w:p>
      <w:pPr>
        <w:numPr>
          <w:ilvl w:val="0"/>
          <w:numId w:val="2"/>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default" w:ascii="宋体" w:hAnsi="宋体" w:eastAsia="宋体" w:cs="Times New Roman"/>
          <w:color w:val="auto"/>
          <w:sz w:val="24"/>
          <w:highlight w:val="none"/>
        </w:rPr>
        <w:t xml:space="preserve">《预付款保函支付条款模板》</w:t>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附件：</w:t>
      </w:r>
      <w:r/>
    </w:p>
    <w:p>
      <w:pPr>
        <w:numPr>
          <w:ilvl w:val="0"/>
          <w:numId w:val="3"/>
        </w:numPr>
        <w:jc w:val="center"/>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评分细则</w:t>
      </w:r>
      <w:r/>
    </w:p>
    <w:tbl>
      <w:tblPr>
        <w:tblStyle w:val="1034"/>
        <w:tblpPr w:horzAnchor="page" w:tblpX="1937" w:vertAnchor="text" w:tblpY="106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6738"/>
      </w:tblGrid>
      <w:tr>
        <w:trPr>
          <w:trHeight w:val="423"/>
        </w:trPr>
        <w:tc>
          <w:tcPr>
            <w:tcW w:w="1558" w:type="dxa"/>
            <w:vAlign w:val="center"/>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项目</w:t>
            </w:r>
            <w:r/>
          </w:p>
        </w:tc>
        <w:tc>
          <w:tcPr>
            <w:tcW w:w="673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评分细则</w:t>
            </w:r>
            <w:r/>
          </w:p>
        </w:tc>
      </w:tr>
      <w:tr>
        <w:trPr>
          <w:trHeight w:val="459"/>
        </w:trPr>
        <w:tc>
          <w:tcPr>
            <w:tcW w:w="1558" w:type="dxa"/>
            <w:vAlign w:val="center"/>
            <w:textDirection w:val="lrTb"/>
            <w:noWrap w:val="false"/>
          </w:tcPr>
          <w:p>
            <w:pPr>
              <w:ind w:firstLine="21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价格</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30</w:t>
            </w:r>
            <w:r>
              <w:rPr>
                <w:rFonts w:hint="eastAsia" w:ascii="Times New Roman" w:hAnsi="Times New Roman" w:eastAsia="宋体" w:cs="Times New Roman"/>
                <w:color w:val="auto"/>
                <w:highlight w:val="none"/>
              </w:rPr>
              <w:t xml:space="preserve">分）</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采用低价优先法计算，即满足磋商文件要求且最后报价最低的供应商的价格为磋商基准价，其价格分为满分。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其他供应商的价格分统一按照下列公式计算：</w:t>
            </w:r>
            <w:r/>
          </w:p>
          <w:p>
            <w:pPr>
              <w:jc w:val="left"/>
              <w:keepLines w:val="0"/>
              <w:keepNext w:val="0"/>
              <w:pageBreakBefore w:val="0"/>
              <w:spacing w:line="420" w:lineRule="exact"/>
              <w:widowControl w:val="off"/>
              <w:rPr>
                <w:rFonts w:hint="eastAsia" w:ascii="Times New Roman" w:hAnsi="Times New Roman" w:eastAsia="宋体" w:cs="Times New Roman"/>
                <w:color w:val="auto"/>
                <w:highlight w:val="none"/>
              </w:rPr>
              <w:outlineLvl w:val="9"/>
            </w:pPr>
            <w:r>
              <w:rPr>
                <w:rFonts w:hint="eastAsia" w:ascii="宋体" w:hAnsi="宋体" w:eastAsia="宋体" w:cs="宋体"/>
                <w:color w:val="auto"/>
                <w:sz w:val="24"/>
                <w:szCs w:val="24"/>
                <w:highlight w:val="none"/>
                <w:lang w:val="en-US" w:eastAsia="zh-CN" w:bidi="hi-IN"/>
              </w:rPr>
              <w:t xml:space="preserve">磋商报价得分=（磋商基准价/最后磋商报价）×30，得分四舍五入保留小数点后2位。</w:t>
            </w:r>
            <w:r/>
          </w:p>
        </w:tc>
      </w:tr>
      <w:tr>
        <w:trPr>
          <w:trHeight w:val="2585"/>
        </w:trPr>
        <w:tc>
          <w:tcPr>
            <w:tcW w:w="1558" w:type="dxa"/>
            <w:vAlign w:val="center"/>
            <w:vMerge w:val="restart"/>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施工组织设计</w:t>
            </w:r>
            <w:r/>
          </w:p>
          <w:p>
            <w:pP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56</w:t>
            </w:r>
            <w:r>
              <w:rPr>
                <w:rFonts w:hint="eastAsia" w:ascii="Times New Roman" w:hAnsi="Times New Roman" w:eastAsia="宋体" w:cs="Times New Roman"/>
                <w:color w:val="auto"/>
                <w:highlight w:val="none"/>
                <w:lang w:eastAsia="zh-CN"/>
              </w:rPr>
              <w:t xml:space="preserve">）</w:t>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总体概述（11分）：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根据响应文件中施工组织总体设想、方案针对性、合理性、可行性进行综合评价：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内容详细具体、科学合理、针对性强、内容完整的得11分；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 </w:t>
            </w:r>
            <w:r/>
          </w:p>
          <w:p>
            <w:pPr>
              <w:jc w:val="left"/>
              <w:keepLines w:val="0"/>
              <w:keepNext w:val="0"/>
              <w:pageBreakBefore w:val="0"/>
              <w:spacing w:line="420" w:lineRule="exact"/>
              <w:widowControl w:val="off"/>
              <w:rPr>
                <w:rFonts w:hint="eastAsia" w:ascii="Times New Roman" w:hAnsi="Times New Roman" w:eastAsia="宋体" w:cs="Times New Roman"/>
                <w:color w:val="auto"/>
                <w:highlight w:val="none"/>
              </w:rPr>
              <w:outlineLvl w:val="9"/>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738"/>
        </w:trPr>
        <w:tc>
          <w:tcPr>
            <w:tcW w:w="1558" w:type="dxa"/>
            <w:vAlign w:val="center"/>
            <w:vMerge w:val="continue"/>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施工进度计划和各阶段进度的保证措施（11分）：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根据响应文件中施工进度计划和各阶段进度的保证措施进行综合评价：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内容详细具体、科学合理、针对性强、内容完整的得11分；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 </w:t>
            </w:r>
            <w:r/>
          </w:p>
          <w:p>
            <w:pPr>
              <w:jc w:val="left"/>
              <w:keepLines w:val="0"/>
              <w:keepNext w:val="0"/>
              <w:pageBreakBefore w:val="0"/>
              <w:spacing w:line="420" w:lineRule="exact"/>
              <w:widowControl w:val="off"/>
              <w:rPr>
                <w:rFonts w:hint="eastAsia" w:ascii="Times New Roman" w:hAnsi="Times New Roman" w:eastAsia="宋体" w:cs="Times New Roman"/>
                <w:color w:val="auto"/>
                <w:highlight w:val="none"/>
              </w:rPr>
              <w:outlineLvl w:val="9"/>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678"/>
        </w:trPr>
        <w:tc>
          <w:tcPr>
            <w:tcW w:w="1558" w:type="dxa"/>
            <w:vAlign w:val="center"/>
            <w:vMerge w:val="continue"/>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施工方案及质量保证措施（11分）：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根据响应文件中各分部分项工程的施工方案及质量保证措施进行综合评价：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内容详细具体、科学合理、针对性强、内容完整的得11分；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 </w:t>
            </w:r>
            <w:r/>
          </w:p>
          <w:p>
            <w:pPr>
              <w:jc w:val="left"/>
              <w:keepLines w:val="0"/>
              <w:keepNext w:val="0"/>
              <w:pageBreakBefore w:val="0"/>
              <w:spacing w:line="420" w:lineRule="exact"/>
              <w:widowControl w:val="off"/>
              <w:rPr>
                <w:rFonts w:hint="eastAsia" w:ascii="Times New Roman" w:hAnsi="Times New Roman" w:eastAsia="宋体" w:cs="Times New Roman"/>
                <w:color w:val="auto"/>
                <w:highlight w:val="none"/>
              </w:rPr>
              <w:outlineLvl w:val="9"/>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648"/>
        </w:trPr>
        <w:tc>
          <w:tcPr>
            <w:tcW w:w="1558" w:type="dxa"/>
            <w:vAlign w:val="center"/>
            <w:vMerge w:val="continue"/>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ar-SA"/>
              </w:rPr>
              <w:t xml:space="preserve">关键施工技术、工艺及工程项目实施的重点、难点和解决方案（12分）：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根据响应文件中关键施工技术、工艺及工程项目实施的重点、难点和解决方案进行综合评价：</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内容详细具体、科学合理、针对性强、内容完整的得12分；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内容基本完整、针对性较强、基本符合要求的得8分；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w:t>
            </w:r>
            <w:r/>
          </w:p>
          <w:p>
            <w:pPr>
              <w:rPr>
                <w:rFonts w:hint="eastAsia" w:ascii="Times New Roman" w:hAnsi="Times New Roman" w:eastAsia="宋体" w:cs="Times New Roman"/>
                <w:color w:val="auto"/>
                <w:highlight w:val="none"/>
              </w:rPr>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3460"/>
        </w:trPr>
        <w:tc>
          <w:tcPr>
            <w:tcW w:w="1558" w:type="dxa"/>
            <w:vAlign w:val="center"/>
            <w:vMerge w:val="continue"/>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jc w:val="both"/>
              <w:keepLines w:val="0"/>
              <w:keepNext w:val="0"/>
              <w:pageBreakBefore w:val="0"/>
              <w:spacing w:line="420" w:lineRule="exact"/>
              <w:widowControl w:val="off"/>
              <w:rPr>
                <w:rFonts w:hint="default"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安全文明施工方案（11分）：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根据响应文件中安全文明施工及环境保护措施进行综合评价：</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w:t>
            </w:r>
            <w:r/>
          </w:p>
          <w:p>
            <w:pPr>
              <w:rPr>
                <w:rFonts w:hint="eastAsia" w:ascii="Times New Roman" w:hAnsi="Times New Roman" w:eastAsia="宋体" w:cs="Times New Roman"/>
                <w:color w:val="auto"/>
                <w:highlight w:val="none"/>
              </w:rPr>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688"/>
        </w:trPr>
        <w:tc>
          <w:tcPr>
            <w:tcW w:w="1558" w:type="dxa"/>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售后服务方案</w:t>
            </w:r>
            <w:r/>
          </w:p>
          <w:p>
            <w:pP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（10分）</w:t>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内容详细具体、科学合理、针对性强、内容完整的得10分；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内容一般、基本可行的得4分；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内容较差或有缺陷的得1分；</w:t>
            </w:r>
            <w:r/>
          </w:p>
          <w:p>
            <w:pPr>
              <w:rPr>
                <w:rFonts w:hint="eastAsia" w:ascii="Times New Roman" w:hAnsi="Times New Roman" w:eastAsia="宋体" w:cs="Times New Roman"/>
                <w:color w:val="auto"/>
                <w:highlight w:val="none"/>
                <w:lang w:val="en-US" w:eastAsia="zh-CN"/>
              </w:rPr>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688"/>
        </w:trPr>
        <w:tc>
          <w:tcPr>
            <w:tcW w:w="1558" w:type="dxa"/>
            <w:vAlign w:val="center"/>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业绩要求</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供应商自2023年1月1日（含）（以竣工验收时间为准）以来承担过合同内容与本项目相同或类似的项目业绩，每提供一份得2分，本项最高得4分。</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b/>
                <w:bCs/>
                <w:color w:val="auto"/>
                <w:highlight w:val="none"/>
              </w:rPr>
              <w:t xml:space="preserve">注：证明材料以中标通知书、施工合同及竣工验收证明为准，三者必须同时具备，响应文件中须提供证明材料彩色原件扫描件并加盖电子公章，否则不得分</w:t>
            </w:r>
            <w:r>
              <w:rPr>
                <w:rFonts w:hint="eastAsia" w:ascii="Times New Roman" w:hAnsi="Times New Roman" w:eastAsia="宋体" w:cs="Times New Roman"/>
                <w:color w:val="auto"/>
                <w:highlight w:val="none"/>
              </w:rPr>
              <w:t xml:space="preserve">。</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eastAsia="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2"/>
        </w:rPr>
        <w:t xml:space="preserve"> 本项目为专门面向中小微的项目，小微、小型企业不再享受价格给与</w:t>
      </w:r>
      <w:r>
        <w:rPr>
          <w:rFonts w:hint="eastAsia" w:ascii="宋体" w:hAnsi="宋体" w:eastAsia="宋体" w:cs="宋体"/>
          <w:b/>
          <w:color w:val="000000"/>
          <w:sz w:val="22"/>
          <w:lang w:eastAsia="zh-CN"/>
        </w:rPr>
        <w:t xml:space="preserve">10%—20%</w:t>
      </w:r>
      <w:r>
        <w:rPr>
          <w:rFonts w:hint="default" w:ascii="宋体" w:hAnsi="宋体" w:eastAsia="宋体" w:cs="宋体"/>
          <w:b/>
          <w:color w:val="000000"/>
          <w:sz w:val="24"/>
        </w:rPr>
        <w:t xml:space="preserve">的优惠政策。</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本项目预算价105.08万元，最高限价</w:t>
      </w:r>
      <w:r>
        <w:rPr>
          <w:rFonts w:hint="eastAsia" w:ascii="宋体" w:hAnsi="宋体" w:eastAsia="宋体" w:cs="宋体"/>
          <w:b/>
          <w:color w:val="000000"/>
          <w:sz w:val="24"/>
          <w:lang w:eastAsia="zh-CN"/>
        </w:rPr>
        <w:t xml:space="preserve">1047029.67</w:t>
      </w:r>
      <w:r>
        <w:rPr>
          <w:rFonts w:hint="eastAsia" w:ascii="宋体" w:hAnsi="宋体" w:eastAsia="宋体" w:cs="宋体"/>
          <w:b/>
          <w:color w:val="000000"/>
          <w:sz w:val="24"/>
        </w:rPr>
        <w:t xml:space="preserve">元人民币，不接受超过 </w:t>
      </w:r>
      <w:r>
        <w:rPr>
          <w:rFonts w:hint="eastAsia" w:ascii="宋体" w:hAnsi="宋体" w:eastAsia="宋体" w:cs="宋体"/>
          <w:b/>
          <w:color w:val="000000"/>
          <w:sz w:val="24"/>
          <w:lang w:eastAsia="zh-CN"/>
        </w:rPr>
        <w:t xml:space="preserve">1047029.67</w:t>
      </w:r>
      <w:r>
        <w:rPr>
          <w:rFonts w:hint="eastAsia" w:ascii="宋体" w:hAnsi="宋体" w:eastAsia="宋体" w:cs="宋体"/>
          <w:b/>
          <w:color w:val="000000"/>
          <w:sz w:val="24"/>
        </w:rPr>
        <w:t xml:space="preserve">元人民币（最高限价）的响应报价。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eastAsia="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eastAsia="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eastAsia="宋体" w:cs="宋体"/>
          <w:color w:val="000000"/>
          <w:sz w:val="24"/>
          <w:lang w:eastAsia="zh-CN"/>
        </w:rPr>
        <w:t xml:space="preserve">，</w:t>
      </w:r>
      <w:r>
        <w:rPr>
          <w:rFonts w:hint="eastAsia" w:ascii="宋体" w:hAnsi="宋体" w:eastAsia="宋体" w:cs="宋体"/>
          <w:b/>
          <w:bCs/>
          <w:color w:val="auto"/>
          <w:sz w:val="24"/>
          <w:highlight w:val="none"/>
          <w:lang w:val="en-US" w:eastAsia="zh-CN"/>
        </w:rPr>
        <w:t xml:space="preserve">且</w:t>
      </w:r>
      <w:r>
        <w:rPr>
          <w:rFonts w:hint="eastAsia" w:ascii="宋体" w:hAnsi="宋体" w:eastAsia="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eastAsia="宋体" w:cs="宋体"/>
          <w:color w:val="000000"/>
          <w:sz w:val="24"/>
          <w:lang w:eastAsia="zh-CN"/>
        </w:rPr>
        <w:t xml:space="preserve">千岛湿地配套设施改造提升工程</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eastAsia="宋体" w:cs="宋体"/>
          <w:color w:val="000000"/>
          <w:sz w:val="24"/>
          <w:lang w:eastAsia="zh-CN"/>
        </w:rPr>
        <w:t xml:space="preserve">千岛湿地景区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拟对千岛湿地配套设施改造提升工程，</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工</w:t>
      </w:r>
      <w:r>
        <w:rPr>
          <w:rFonts w:hint="eastAsia" w:ascii="宋体" w:hAnsi="宋体" w:eastAsia="宋体" w:cs="宋体"/>
          <w:color w:val="000000" w:themeColor="text1"/>
          <w:sz w:val="24"/>
          <w:highlight w:val="none"/>
        </w:rPr>
        <w:t xml:space="preserve">期：</w:t>
      </w: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日历天。</w:t>
      </w:r>
      <w:r>
        <w:rPr>
          <w:color w:val="000000" w:themeColor="text1"/>
        </w:rPr>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 《已标价的工程量清单》报价要求</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1、报价内容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响应报价应包括竞争性磋商文件中所确定的范围内工程量清单中所含的全部内容，以及为完成上述内容所需的全部费用。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注：供应商必须按采购人提供的工程量清单进行报价，否则视为对竞争性磋商文件商务条款的实质性偏离。供应商不得修改工程量清单中的分部分项内容及数量，否则视为不响应竞争性磋商文件。</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供应商应按采购人提供的工程量清单填报价格。填写的项目名称、项目特征、计量单位、工程量必须与采购人提供的一致。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 技术参数、项目实施方案所描述的技术措施所发生的费用，视为已体现在供应商报价的非实体性消耗所发生的费用中。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 供应商自行勘察，了解周边原有建筑、设施，事先视察工地，充分了解工程位置、邻近建筑物、工地情况，通路、储存空间、起卸限制、以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 垃圾外运，在报价中综合考虑。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包含相应的平整场地、地基处理调整等图纸及建设方要求的工程施工全部内容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1.10地方关系协调费投标人自行考虑，就此项采购人不支付任何费用。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1.12施工时需做好防护措施保证周边安全，因中标人保障不力对采购人或第三方造成损失的，赔偿责任全部由中标人承担，若因此会增加费用，控制价不计取，投标人自行考虑在报价中，结算时不予调整。</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2、报价方式</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本工程根据工程量清单报价。供应商应充分考虑施工期间各类建材的市场风险，并计入总报价，供应商在计算报价时应考虑一定的风险系数。</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 材料风险约定：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对于法律、法规、规章或有关政策出台导致工程税金、规费等发生变化的，应按照有关规定执行。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3、报价的计价方法</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4、报价编制依据及要求：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本工程执行现行国家标准《建设工程工程量清单计价规范》（GB50500-2013）, </w:t>
      </w:r>
      <w:r>
        <w:rPr>
          <w:rFonts w:hint="eastAsia" w:ascii="宋体" w:hAnsi="宋体" w:eastAsia="宋体" w:cs="宋体"/>
          <w:sz w:val="24"/>
          <w:szCs w:val="24"/>
          <w:highlight w:val="none"/>
          <w:lang w:val="en-US" w:eastAsia="zh-CN" w:bidi="ar-SA"/>
        </w:rPr>
        <w:t xml:space="preserve">《江苏省市政工程计价定额》（2014年）、</w:t>
      </w:r>
      <w:r>
        <w:rPr>
          <w:rFonts w:hint="eastAsia" w:ascii="宋体" w:hAnsi="宋体" w:eastAsia="宋体" w:cs="宋体"/>
          <w:color w:val="auto"/>
          <w:sz w:val="24"/>
          <w:szCs w:val="24"/>
          <w:highlight w:val="none"/>
          <w:lang w:val="en-US" w:eastAsia="zh-CN" w:bidi="ar-SA"/>
        </w:rPr>
        <w:t xml:space="preserve">《江苏省建设工程费用定额》</w:t>
      </w:r>
      <w:r>
        <w:rPr>
          <w:rFonts w:hint="eastAsia" w:ascii="宋体" w:hAnsi="宋体" w:eastAsia="宋体" w:cs="宋体"/>
          <w:sz w:val="24"/>
          <w:szCs w:val="24"/>
          <w:highlight w:val="none"/>
          <w:lang w:val="en-US" w:eastAsia="zh-CN" w:bidi="ar-SA"/>
        </w:rPr>
        <w:t xml:space="preserve">（2014年）</w:t>
      </w:r>
      <w:r>
        <w:rPr>
          <w:rFonts w:hint="eastAsia" w:ascii="宋体" w:hAnsi="宋体" w:eastAsia="宋体" w:cs="宋体"/>
          <w:color w:val="auto"/>
          <w:sz w:val="24"/>
          <w:szCs w:val="24"/>
          <w:highlight w:val="none"/>
          <w:lang w:val="en-US" w:eastAsia="zh-CN" w:bidi="ar-SA"/>
        </w:rPr>
        <w:t xml:space="preserve">、《市政工程工程量计算标准》（GB50857-2013）</w:t>
      </w:r>
      <w:r>
        <w:rPr>
          <w:rFonts w:hint="eastAsia" w:ascii="宋体" w:hAnsi="宋体" w:eastAsia="宋体" w:cs="宋体"/>
          <w:sz w:val="24"/>
          <w:szCs w:val="24"/>
          <w:highlight w:val="none"/>
          <w:lang w:val="en-US" w:eastAsia="zh-CN" w:bidi="ar-SA"/>
        </w:rPr>
        <w:t xml:space="preserve">以及省市现行有关计价文件规定，还包括磋商文件、工程量清单及其补充通知和答疑纪要等。</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五、项目相关要求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六、服务要求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1、质保期服务：执行国家相关标准。质保期外，工程质量出现问题，中标人应主动提供维修方案，只收取材料费。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2、质保期内，如发生故障，采购人通知成交供应商服务人员时，相关服务人员要在12小时内到达现场配合采购人处理问题，进行更换或进行必要的维修。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3、供应商需根据本项目特征及自身情况编制施工方案。</w:t>
      </w:r>
      <w:r/>
    </w:p>
    <w:p>
      <w:pPr>
        <w:jc w:val="both"/>
        <w:keepLines w:val="0"/>
        <w:keepNext w:val="0"/>
        <w:pageBreakBefore w:val="0"/>
        <w:spacing w:after="0" w:line="360" w:lineRule="auto"/>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七、付款方式：</w:t>
      </w:r>
      <w:r>
        <w:rPr>
          <w:rFonts w:hint="eastAsia" w:ascii="宋体" w:hAnsi="宋体" w:eastAsia="宋体" w:cs="宋体"/>
          <w:color w:val="auto"/>
          <w:sz w:val="24"/>
          <w:szCs w:val="24"/>
          <w:highlight w:val="none"/>
          <w:u w:val="single"/>
          <w:lang w:val="en-US" w:eastAsia="zh-CN" w:bidi="ar-SA"/>
        </w:rPr>
        <w:t xml:space="preserve">以实际签订合同为准。</w:t>
      </w:r>
      <w:r/>
    </w:p>
    <w:p>
      <w:pPr>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bidi="ar-SA"/>
        </w:rPr>
        <w:t xml:space="preserve">八、其他要求：见《竞争性磋商文件》附件：7、《拟签订的合同文本》。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JSZC-320322-JSYM-C2026-0015</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jc w:val="right"/>
        <w:spacing w:after="120"/>
        <w:widowControl w:val="off"/>
        <w:rPr>
          <w:rFonts w:hint="eastAsia" w:ascii="宋体" w:hAnsi="宋体" w:eastAsia="宋体" w:cs="宋体"/>
          <w:sz w:val="21"/>
          <w:szCs w:val="24"/>
          <w:lang w:val="en-US" w:eastAsia="zh-CN" w:bidi="ar-SA"/>
        </w:rPr>
      </w:pPr>
      <w:r>
        <w:rPr>
          <w:rFonts w:hint="eastAsia" w:ascii="宋体" w:hAnsi="宋体" w:eastAsia="宋体" w:cs="宋体"/>
          <w:color w:val="auto"/>
          <w:sz w:val="24"/>
          <w:szCs w:val="24"/>
          <w:highlight w:val="none"/>
          <w:lang w:val="en-US" w:eastAsia="zh-CN" w:bidi="ar-SA"/>
        </w:rPr>
        <w:t xml:space="preserve">货币单位：人民币元</w:t>
      </w:r>
      <w:r/>
    </w:p>
    <w:tbl>
      <w:tblPr>
        <w:tblStyle w:val="1034"/>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千岛湿地配套设施改造提升工程</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千岛湿地配套设施改造提升工程</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color w:val="000000"/>
          <w:sz w:val="24"/>
          <w:lang w:val="en-US" w:eastAsia="zh-CN"/>
        </w:rPr>
        <w:t xml:space="preserve"> </w:t>
      </w:r>
      <w:r>
        <w:rPr>
          <w:rFonts w:hint="eastAsia" w:ascii="宋体" w:hAnsi="宋体" w:eastAsia="宋体" w:cs="宋体"/>
          <w:sz w:val="24"/>
          <w:highlight w:val="none"/>
        </w:rPr>
        <w:t xml:space="preserve">年  月  日</w:t>
      </w:r>
      <w:r/>
    </w:p>
    <w:p>
      <w:pPr>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4"/>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千岛湿地配套设施改造提升工程</w:t>
      </w:r>
      <w:r/>
    </w:p>
    <w:tbl>
      <w:tblPr>
        <w:tblStyle w:val="10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eastAsia="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ind w:firstLine="720"/>
        <w:jc w:val="both"/>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2、响应供应商对以上数据的真实性负责。</w:t>
      </w:r>
      <w:r/>
    </w:p>
    <w:p>
      <w:pPr>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5"/>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千岛湿地配套设施改造提升工程</w:t>
      </w:r>
      <w:r/>
    </w:p>
    <w:tbl>
      <w:tblPr>
        <w:tblStyle w:val="103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eastAsia="宋体" w:cs="宋体"/>
          <w:b w:val="0"/>
          <w:bCs/>
          <w:sz w:val="24"/>
          <w:szCs w:val="24"/>
          <w:lang w:eastAsia="zh-CN"/>
        </w:rPr>
        <w:t xml:space="preserve">JSZC-320322-JSYM-C2026-0015</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eastAsia="宋体" w:cs="宋体"/>
          <w:b w:val="0"/>
          <w:bCs/>
          <w:sz w:val="24"/>
          <w:szCs w:val="24"/>
          <w:lang w:eastAsia="zh-CN"/>
        </w:rPr>
        <w:t xml:space="preserve">千岛湿地配套设施改造提升工程</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ind w:left="0" w:right="0"/>
        <w:jc w:val="both"/>
        <w:spacing w:after="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 </w:t>
      </w:r>
      <w:r/>
    </w:p>
    <w:p>
      <w:pPr>
        <w:ind w:left="0" w:right="0" w:firstLine="480"/>
        <w:jc w:val="both"/>
        <w:spacing w:after="0"/>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eastAsia="宋体" w:cs="宋体"/>
          <w:b/>
          <w:color w:val="000000"/>
          <w:sz w:val="24"/>
          <w:u w:val="single"/>
          <w:lang w:eastAsia="zh-CN"/>
        </w:rPr>
        <w:t xml:space="preserve">沛县汉城景区管理处</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eastAsia="宋体" w:cs="宋体"/>
          <w:color w:val="000000"/>
          <w:sz w:val="24"/>
          <w:u w:val="single"/>
          <w:lang w:eastAsia="zh-CN"/>
        </w:rPr>
        <w:t xml:space="preserve">千岛湿地配套设施改造提升工程</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lang w:eastAsia="zh-CN"/>
        </w:rPr>
        <w:t xml:space="preserve">千岛湿地景区</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eastAsia="宋体" w:cs="宋体"/>
          <w:color w:val="000000"/>
          <w:sz w:val="24"/>
          <w:u w:val="single"/>
          <w:lang w:eastAsia="zh-CN"/>
        </w:rPr>
        <w:t xml:space="preserve">千岛湿地配套设施改造提升工程。具体详见磋商文件工程量清单所含全部内容。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eastAsia="宋体" w:cs="宋体"/>
          <w:color w:val="000000"/>
          <w:sz w:val="24"/>
          <w:u w:val="single"/>
          <w:lang w:eastAsia="zh-CN"/>
        </w:rPr>
        <w:t xml:space="preserve">千岛湿地配套设施改造提升工程。具体详见磋商文件工程量清单所含全部内容。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eastAsia="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eastAsia="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eastAsia="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eastAsia="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eastAsia="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eastAsia="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eastAsia="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eastAsia="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eastAsia="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eastAsia="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eastAsia="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eastAsia="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eastAsia="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eastAsia="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eastAsia="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eastAsia="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eastAsia="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eastAsia="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eastAsia="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eastAsia="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eastAsia="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eastAsia="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eastAsia="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eastAsia="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eastAsia="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color w:val="0000ff"/>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auto"/>
          <w:sz w:val="24"/>
          <w:u w:val="single"/>
        </w:rPr>
        <w:t xml:space="preserve">执行现行国家标准</w:t>
      </w:r>
      <w:r>
        <w:rPr>
          <w:rFonts w:hint="eastAsia" w:ascii="宋体" w:hAnsi="宋体" w:eastAsia="宋体" w:cs="宋体"/>
          <w:color w:val="auto"/>
          <w:sz w:val="24"/>
          <w:u w:val="single"/>
          <w:lang w:val="en-US" w:eastAsia="zh-CN"/>
        </w:rPr>
        <w:t xml:space="preserve">《建设工程工程量清单计价规范》（GB50500-2013）, </w:t>
      </w:r>
      <w:r>
        <w:rPr>
          <w:rFonts w:hint="eastAsia" w:ascii="宋体" w:hAnsi="宋体" w:eastAsia="宋体" w:cs="宋体"/>
          <w:color w:val="auto"/>
          <w:sz w:val="24"/>
          <w:u w:val="single"/>
        </w:rPr>
        <w:t xml:space="preserve">《江苏省市政工程计价定额》（2014年）、</w:t>
      </w:r>
      <w:r>
        <w:rPr>
          <w:rFonts w:hint="eastAsia" w:ascii="宋体" w:hAnsi="宋体" w:eastAsia="宋体" w:cs="宋体"/>
          <w:color w:val="auto"/>
          <w:sz w:val="24"/>
          <w:u w:val="single"/>
          <w:lang w:val="en-US" w:eastAsia="zh-CN"/>
        </w:rPr>
        <w:t xml:space="preserve">《江苏省建设工程费用定额》</w:t>
      </w:r>
      <w:r>
        <w:rPr>
          <w:rFonts w:hint="eastAsia" w:ascii="宋体" w:hAnsi="宋体" w:eastAsia="宋体" w:cs="宋体"/>
          <w:color w:val="auto"/>
          <w:sz w:val="24"/>
          <w:u w:val="single"/>
        </w:rPr>
        <w:t xml:space="preserve">（2014年）</w:t>
      </w:r>
      <w:r>
        <w:rPr>
          <w:rFonts w:hint="eastAsia" w:ascii="宋体" w:hAnsi="宋体" w:eastAsia="宋体" w:cs="宋体"/>
          <w:color w:val="auto"/>
          <w:sz w:val="24"/>
          <w:u w:val="single"/>
          <w:lang w:val="en-US" w:eastAsia="zh-CN"/>
        </w:rPr>
        <w:t xml:space="preserve">、《市政工程工程量计算标准》（GB50857-2013）</w:t>
      </w:r>
      <w:r>
        <w:rPr>
          <w:rFonts w:hint="eastAsia" w:ascii="宋体" w:hAnsi="宋体" w:eastAsia="宋体" w:cs="宋体"/>
          <w:color w:val="auto"/>
          <w:sz w:val="24"/>
          <w:u w:val="single"/>
        </w:rPr>
        <w:t xml:space="preserve"> 等有关文件规定及</w:t>
      </w:r>
      <w:r>
        <w:rPr>
          <w:rFonts w:hint="eastAsia" w:ascii="宋体" w:hAnsi="宋体" w:eastAsia="宋体" w:cs="宋体"/>
          <w:color w:val="auto"/>
          <w:sz w:val="24"/>
          <w:u w:val="single"/>
          <w:lang w:eastAsia="zh-CN"/>
        </w:rPr>
        <w:t xml:space="preserve">以</w:t>
      </w:r>
      <w:r>
        <w:rPr>
          <w:rFonts w:hint="eastAsia" w:ascii="宋体" w:hAnsi="宋体" w:eastAsia="宋体" w:cs="宋体"/>
          <w:color w:val="auto"/>
          <w:sz w:val="24"/>
          <w:u w:val="single"/>
        </w:rPr>
        <w:t xml:space="preserve">及省市现行有关计价文件规定，还包括磋商文件、工程量清单及其补充通知和答疑纪要</w:t>
      </w:r>
      <w:r>
        <w:rPr>
          <w:rFonts w:hint="eastAsia" w:ascii="宋体" w:hAnsi="宋体" w:eastAsia="宋体" w:cs="宋体"/>
          <w:color w:val="auto"/>
          <w:sz w:val="24"/>
          <w:u w:val="single"/>
          <w:lang w:val="en-US" w:eastAsia="zh-CN"/>
        </w:rPr>
        <w:t xml:space="preserve">等</w:t>
      </w:r>
      <w:r>
        <w:rPr>
          <w:rFonts w:hint="eastAsia" w:ascii="宋体" w:hAnsi="宋体" w:eastAsia="宋体" w:cs="宋体"/>
          <w:color w:val="auto"/>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eastAsia="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eastAsia="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                                                       </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eastAsia="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eastAsia="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lang w:eastAsia="zh-CN"/>
        </w:rPr>
        <w:t xml:space="preserve">沛县汉城景区管理处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eastAsia="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944566"/>
      <w:r/>
      <w:bookmarkStart w:id="5" w:name="_Toc296891267"/>
      <w:r/>
      <w:bookmarkStart w:id="6" w:name="_Toc296503227"/>
      <w:r/>
      <w:bookmarkStart w:id="7" w:name="_Toc296347226"/>
      <w:r/>
      <w:bookmarkStart w:id="8" w:name="_Toc296891055"/>
      <w:r/>
      <w:bookmarkStart w:id="9" w:name="_Toc296346728"/>
      <w:r/>
      <w:bookmarkStart w:id="10" w:name="_Toc267261698"/>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103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891056"/>
      <w:r/>
      <w:bookmarkStart w:id="12" w:name="_Toc296346729"/>
      <w:r/>
      <w:bookmarkStart w:id="13" w:name="_Toc296347227"/>
      <w:r/>
      <w:bookmarkStart w:id="14" w:name="_Toc296944567"/>
      <w:r/>
      <w:bookmarkStart w:id="15" w:name="_Toc296503228"/>
      <w:r/>
      <w:bookmarkStart w:id="16" w:name="_Toc296891268"/>
      <w:r/>
      <w:bookmarkStart w:id="17" w:name="_Toc267261699"/>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103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left="1440" w:right="1440"/>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沛县汉城景区管理处、中诚运玛咨询股份有限公司</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竞争性磋商文件</w:t>
      </w:r>
      <w:r>
        <w:rPr>
          <w:rFonts w:hint="eastAsia" w:ascii="宋体" w:hAnsi="宋体" w:eastAsia="宋体" w:cs="宋体"/>
          <w:color w:val="auto"/>
          <w:sz w:val="24"/>
          <w:szCs w:val="24"/>
          <w:highlight w:val="none"/>
          <w:lang w:val="en-US" w:eastAsia="zh-CN" w:bidi="ar-SA"/>
        </w:rPr>
        <w:t xml:space="preserve">》（项目编号：JSZC-320322-JSYM-C2026-0015）要求，本供应商正式提交以下首次响应文件。</w: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（4）竞争性磋商文件要求提供的其他响应文件。</w:t>
      </w:r>
      <w:r/>
    </w:p>
    <w:p>
      <w:pPr>
        <w:ind w:right="0" w:firstLine="482"/>
        <w:jc w:val="left"/>
        <w:keepLines w:val="0"/>
        <w:keepNext w:val="0"/>
        <w:pageBreakBefore w:val="0"/>
        <w:spacing w:line="312" w:lineRule="auto"/>
        <w:widowControl w:val="off"/>
        <w:tabs>
          <w:tab w:val="center" w:pos="4153" w:leader="none"/>
          <w:tab w:val="right" w:pos="84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我单位按照竞争性磋商文件的要求编制响应文件，并对其提交的响应文件的真实性、合法性承担法律责任。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一、完全承担根据《竞争性磋商文件》规定完成合同的责任和义务（如有偏离，将全部填写在偏离表中）。</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千岛湿地配套设施改造提升工程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eastAsia="宋体" w:cs="宋体"/>
          <w:color w:val="000000"/>
          <w:spacing w:val="6"/>
          <w:sz w:val="24"/>
          <w:lang w:eastAsia="zh-CN"/>
        </w:rPr>
        <w:t xml:space="preserve">JSZC-320322-JSYM-C2026-0015</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沛县汉城景区管理处</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eastAsia="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eastAsia="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both"/>
        <w:widowControl w:val="off"/>
        <w:rPr>
          <w:rFonts w:hint="eastAsia" w:ascii="宋体" w:hAnsi="宋体" w:eastAsia="宋体" w:cs="宋体"/>
          <w:color w:val="000000"/>
          <w:sz w:val="24"/>
          <w:szCs w:val="24"/>
          <w:lang w:val="en-US" w:eastAsia="zh-CN" w:bidi="ar-SA"/>
        </w:rPr>
      </w:pPr>
      <w:r>
        <w:rPr>
          <w:rFonts w:hint="default" w:ascii="Times New Roman" w:hAnsi="Times New Roman" w:eastAsia="宋体" w:cs="Times New Roman"/>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2540" b="1841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9" o:title=""/>
              </v:shape>
            </w:pict>
          </mc:Fallback>
        </mc:AlternateContent>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rPr>
        <w:t xml:space="preserve">（项目编号：</w:t>
      </w:r>
      <w:r>
        <w:rPr>
          <w:rFonts w:hint="eastAsia" w:ascii="宋体" w:hAnsi="宋体" w:eastAsia="宋体" w:cs="宋体"/>
          <w:color w:val="000000"/>
          <w:sz w:val="24"/>
          <w:highlight w:val="none"/>
          <w:lang w:eastAsia="zh-CN"/>
        </w:rPr>
        <w:t xml:space="preserve">JSZC-320322-JSYM-C2026-0015</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千岛湿地配套设施改造提升工程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eastAsia="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eastAsia="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103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hint="default" w:ascii="宋体" w:hAnsi="宋体" w:eastAsia="宋体" w:cs="宋体"/>
          <w:b/>
          <w:color w:val="auto"/>
          <w:sz w:val="24"/>
          <w:highlight w:val="none"/>
        </w:rPr>
        <w:t xml:space="preserve">如果不提供此表将视为没有实质性响应。</w:t>
      </w:r>
      <w:r/>
    </w:p>
    <w:p>
      <w:pPr>
        <w:ind w:firstLine="720"/>
        <w:jc w:val="both"/>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2、响应供应商对以上数据的真实性负责。</w:t>
      </w:r>
      <w:r/>
    </w:p>
    <w:p>
      <w:pPr>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center"/>
        <w:spacing w:before="240" w:after="24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firstLine="560"/>
        <w:jc w:val="both"/>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numPr>
          <w:ilvl w:val="0"/>
          <w:numId w:val="0"/>
        </w:numPr>
        <w:jc w:val="center"/>
        <w:spacing w:before="100" w:beforeAutospacing="1" w:after="100" w:afterAutospacing="1" w:line="380" w:lineRule="exact"/>
        <w:widowControl/>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60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60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1440" w:right="1440" w:firstLine="560"/>
        <w:jc w:val="both"/>
        <w:spacing w:after="120"/>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left="1440" w:right="1440" w:firstLine="560"/>
        <w:jc w:val="both"/>
        <w:spacing w:after="120"/>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firstLine="560"/>
        <w:jc w:val="both"/>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15、代理服务收费标准</w:t>
      </w:r>
      <w:r/>
    </w:p>
    <w:tbl>
      <w:tblPr>
        <w:tblStyle w:val="103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w:t>
      </w:r>
      <w:r>
        <w:rPr>
          <w:rFonts w:hint="default" w:ascii="宋体" w:hAnsi="宋体" w:eastAsia="宋体" w:cs="宋体"/>
          <w:i w:val="0"/>
          <w:iCs w:val="0"/>
          <w:color w:val="000000"/>
          <w:sz w:val="24"/>
          <w:szCs w:val="24"/>
          <w:highlight w:val="none"/>
          <w:lang w:val="en-US" w:eastAsia="zh-CN" w:bidi="ar-SA"/>
        </w:rPr>
        <w:t xml:space="preserve">（%）</w:t>
      </w: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420" w:right="33"/>
        <w:jc w:val="lef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b/>
          <w:bCs/>
        </w:rPr>
      </w:pPr>
      <w:r>
        <w:rPr>
          <w:b/>
          <w:bCs/>
        </w:rPr>
      </w:r>
      <w:r/>
    </w:p>
    <w:p>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_GB2312">
    <w:panose1 w:val="02010609060101010101"/>
  </w:font>
  <w:font w:name="隶书">
    <w:panose1 w:val="02010509060101010101"/>
  </w:font>
  <w:font w:name="宋体">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13</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13</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hint="default" w:ascii="隶书" w:hAnsi="Times New Roman" w:eastAsia="隶书" w:cs="Times New Roman"/>
        <w:b/>
        <w:i/>
        <w:sz w:val="18"/>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74</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74</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0"/>
        <w:right w:val="none" w:color="auto" w:sz="0" w:space="4"/>
      </w:pBdr>
      <w:outlineLvl w:val="9"/>
    </w:pPr>
    <w:r>
      <w:rPr>
        <w:rFonts w:hint="default"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name w:val="Heading 1"/>
    <w:basedOn w:val="1032"/>
    <w:next w:val="1032"/>
    <w:link w:val="856"/>
    <w:uiPriority w:val="9"/>
    <w:qFormat/>
    <w:pPr>
      <w:keepLines/>
      <w:keepNext/>
      <w:spacing w:before="480" w:after="200"/>
      <w:outlineLvl w:val="0"/>
    </w:pPr>
    <w:rPr>
      <w:rFonts w:ascii="Arial" w:hAnsi="Arial" w:eastAsia="Arial" w:cs="Arial"/>
      <w:sz w:val="40"/>
      <w:szCs w:val="40"/>
    </w:rPr>
  </w:style>
  <w:style w:type="character" w:styleId="856">
    <w:name w:val="Heading 1 Char"/>
    <w:basedOn w:val="1033"/>
    <w:link w:val="855"/>
    <w:uiPriority w:val="9"/>
    <w:rPr>
      <w:rFonts w:ascii="Arial" w:hAnsi="Arial" w:eastAsia="Arial" w:cs="Arial"/>
      <w:sz w:val="40"/>
      <w:szCs w:val="40"/>
    </w:rPr>
  </w:style>
  <w:style w:type="paragraph" w:styleId="857">
    <w:name w:val="Heading 2"/>
    <w:basedOn w:val="1032"/>
    <w:next w:val="1032"/>
    <w:link w:val="858"/>
    <w:uiPriority w:val="9"/>
    <w:unhideWhenUsed/>
    <w:qFormat/>
    <w:pPr>
      <w:keepLines/>
      <w:keepNext/>
      <w:spacing w:before="360" w:after="200"/>
      <w:outlineLvl w:val="1"/>
    </w:pPr>
    <w:rPr>
      <w:rFonts w:ascii="Arial" w:hAnsi="Arial" w:eastAsia="Arial" w:cs="Arial"/>
      <w:sz w:val="34"/>
    </w:rPr>
  </w:style>
  <w:style w:type="character" w:styleId="858">
    <w:name w:val="Heading 2 Char"/>
    <w:basedOn w:val="1033"/>
    <w:link w:val="857"/>
    <w:uiPriority w:val="9"/>
    <w:rPr>
      <w:rFonts w:ascii="Arial" w:hAnsi="Arial" w:eastAsia="Arial" w:cs="Arial"/>
      <w:sz w:val="34"/>
    </w:rPr>
  </w:style>
  <w:style w:type="paragraph" w:styleId="859">
    <w:name w:val="Heading 3"/>
    <w:basedOn w:val="1032"/>
    <w:next w:val="1032"/>
    <w:link w:val="860"/>
    <w:uiPriority w:val="9"/>
    <w:unhideWhenUsed/>
    <w:qFormat/>
    <w:pPr>
      <w:keepLines/>
      <w:keepNext/>
      <w:spacing w:before="320" w:after="200"/>
      <w:outlineLvl w:val="2"/>
    </w:pPr>
    <w:rPr>
      <w:rFonts w:ascii="Arial" w:hAnsi="Arial" w:eastAsia="Arial" w:cs="Arial"/>
      <w:sz w:val="30"/>
      <w:szCs w:val="30"/>
    </w:rPr>
  </w:style>
  <w:style w:type="character" w:styleId="860">
    <w:name w:val="Heading 3 Char"/>
    <w:basedOn w:val="1033"/>
    <w:link w:val="859"/>
    <w:uiPriority w:val="9"/>
    <w:rPr>
      <w:rFonts w:ascii="Arial" w:hAnsi="Arial" w:eastAsia="Arial" w:cs="Arial"/>
      <w:sz w:val="30"/>
      <w:szCs w:val="30"/>
    </w:rPr>
  </w:style>
  <w:style w:type="paragraph" w:styleId="861">
    <w:name w:val="Heading 4"/>
    <w:basedOn w:val="1032"/>
    <w:next w:val="1032"/>
    <w:link w:val="862"/>
    <w:uiPriority w:val="9"/>
    <w:unhideWhenUsed/>
    <w:qFormat/>
    <w:pPr>
      <w:keepLines/>
      <w:keepNext/>
      <w:spacing w:before="320" w:after="200"/>
      <w:outlineLvl w:val="3"/>
    </w:pPr>
    <w:rPr>
      <w:rFonts w:ascii="Arial" w:hAnsi="Arial" w:eastAsia="Arial" w:cs="Arial"/>
      <w:b/>
      <w:bCs/>
      <w:sz w:val="26"/>
      <w:szCs w:val="26"/>
    </w:rPr>
  </w:style>
  <w:style w:type="character" w:styleId="862">
    <w:name w:val="Heading 4 Char"/>
    <w:basedOn w:val="1033"/>
    <w:link w:val="861"/>
    <w:uiPriority w:val="9"/>
    <w:rPr>
      <w:rFonts w:ascii="Arial" w:hAnsi="Arial" w:eastAsia="Arial" w:cs="Arial"/>
      <w:b/>
      <w:bCs/>
      <w:sz w:val="26"/>
      <w:szCs w:val="26"/>
    </w:rPr>
  </w:style>
  <w:style w:type="paragraph" w:styleId="863">
    <w:name w:val="Heading 5"/>
    <w:basedOn w:val="1032"/>
    <w:next w:val="1032"/>
    <w:link w:val="864"/>
    <w:uiPriority w:val="9"/>
    <w:unhideWhenUsed/>
    <w:qFormat/>
    <w:pPr>
      <w:keepLines/>
      <w:keepNext/>
      <w:spacing w:before="320" w:after="200"/>
      <w:outlineLvl w:val="4"/>
    </w:pPr>
    <w:rPr>
      <w:rFonts w:ascii="Arial" w:hAnsi="Arial" w:eastAsia="Arial" w:cs="Arial"/>
      <w:b/>
      <w:bCs/>
      <w:sz w:val="24"/>
      <w:szCs w:val="24"/>
    </w:rPr>
  </w:style>
  <w:style w:type="character" w:styleId="864">
    <w:name w:val="Heading 5 Char"/>
    <w:basedOn w:val="1033"/>
    <w:link w:val="863"/>
    <w:uiPriority w:val="9"/>
    <w:rPr>
      <w:rFonts w:ascii="Arial" w:hAnsi="Arial" w:eastAsia="Arial" w:cs="Arial"/>
      <w:b/>
      <w:bCs/>
      <w:sz w:val="24"/>
      <w:szCs w:val="24"/>
    </w:rPr>
  </w:style>
  <w:style w:type="paragraph" w:styleId="865">
    <w:name w:val="Heading 6"/>
    <w:basedOn w:val="1032"/>
    <w:next w:val="1032"/>
    <w:link w:val="866"/>
    <w:uiPriority w:val="9"/>
    <w:unhideWhenUsed/>
    <w:qFormat/>
    <w:pPr>
      <w:keepLines/>
      <w:keepNext/>
      <w:spacing w:before="320" w:after="200"/>
      <w:outlineLvl w:val="5"/>
    </w:pPr>
    <w:rPr>
      <w:rFonts w:ascii="Arial" w:hAnsi="Arial" w:eastAsia="Arial" w:cs="Arial"/>
      <w:b/>
      <w:bCs/>
      <w:sz w:val="22"/>
      <w:szCs w:val="22"/>
    </w:rPr>
  </w:style>
  <w:style w:type="character" w:styleId="866">
    <w:name w:val="Heading 6 Char"/>
    <w:basedOn w:val="1033"/>
    <w:link w:val="865"/>
    <w:uiPriority w:val="9"/>
    <w:rPr>
      <w:rFonts w:ascii="Arial" w:hAnsi="Arial" w:eastAsia="Arial" w:cs="Arial"/>
      <w:b/>
      <w:bCs/>
      <w:sz w:val="22"/>
      <w:szCs w:val="22"/>
    </w:rPr>
  </w:style>
  <w:style w:type="paragraph" w:styleId="867">
    <w:name w:val="Heading 7"/>
    <w:basedOn w:val="1032"/>
    <w:next w:val="1032"/>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68">
    <w:name w:val="Heading 7 Char"/>
    <w:basedOn w:val="1033"/>
    <w:link w:val="867"/>
    <w:uiPriority w:val="9"/>
    <w:rPr>
      <w:rFonts w:ascii="Arial" w:hAnsi="Arial" w:eastAsia="Arial" w:cs="Arial"/>
      <w:b/>
      <w:bCs/>
      <w:i/>
      <w:iCs/>
      <w:sz w:val="22"/>
      <w:szCs w:val="22"/>
    </w:rPr>
  </w:style>
  <w:style w:type="paragraph" w:styleId="869">
    <w:name w:val="Heading 8"/>
    <w:basedOn w:val="1032"/>
    <w:next w:val="1032"/>
    <w:link w:val="870"/>
    <w:uiPriority w:val="9"/>
    <w:unhideWhenUsed/>
    <w:qFormat/>
    <w:pPr>
      <w:keepLines/>
      <w:keepNext/>
      <w:spacing w:before="320" w:after="200"/>
      <w:outlineLvl w:val="7"/>
    </w:pPr>
    <w:rPr>
      <w:rFonts w:ascii="Arial" w:hAnsi="Arial" w:eastAsia="Arial" w:cs="Arial"/>
      <w:i/>
      <w:iCs/>
      <w:sz w:val="22"/>
      <w:szCs w:val="22"/>
    </w:rPr>
  </w:style>
  <w:style w:type="character" w:styleId="870">
    <w:name w:val="Heading 8 Char"/>
    <w:basedOn w:val="1033"/>
    <w:link w:val="869"/>
    <w:uiPriority w:val="9"/>
    <w:rPr>
      <w:rFonts w:ascii="Arial" w:hAnsi="Arial" w:eastAsia="Arial" w:cs="Arial"/>
      <w:i/>
      <w:iCs/>
      <w:sz w:val="22"/>
      <w:szCs w:val="22"/>
    </w:rPr>
  </w:style>
  <w:style w:type="paragraph" w:styleId="871">
    <w:name w:val="Heading 9"/>
    <w:basedOn w:val="1032"/>
    <w:next w:val="1032"/>
    <w:link w:val="872"/>
    <w:uiPriority w:val="9"/>
    <w:unhideWhenUsed/>
    <w:qFormat/>
    <w:pPr>
      <w:keepLines/>
      <w:keepNext/>
      <w:spacing w:before="320" w:after="200"/>
      <w:outlineLvl w:val="8"/>
    </w:pPr>
    <w:rPr>
      <w:rFonts w:ascii="Arial" w:hAnsi="Arial" w:eastAsia="Arial" w:cs="Arial"/>
      <w:i/>
      <w:iCs/>
      <w:sz w:val="21"/>
      <w:szCs w:val="21"/>
    </w:rPr>
  </w:style>
  <w:style w:type="character" w:styleId="872">
    <w:name w:val="Heading 9 Char"/>
    <w:basedOn w:val="1033"/>
    <w:link w:val="871"/>
    <w:uiPriority w:val="9"/>
    <w:rPr>
      <w:rFonts w:ascii="Arial" w:hAnsi="Arial" w:eastAsia="Arial" w:cs="Arial"/>
      <w:i/>
      <w:iCs/>
      <w:sz w:val="21"/>
      <w:szCs w:val="21"/>
    </w:rPr>
  </w:style>
  <w:style w:type="paragraph" w:styleId="873">
    <w:name w:val="List Paragraph"/>
    <w:basedOn w:val="1032"/>
    <w:uiPriority w:val="34"/>
    <w:qFormat/>
    <w:pPr>
      <w:contextualSpacing/>
      <w:ind w:left="720"/>
    </w:pPr>
  </w:style>
  <w:style w:type="paragraph" w:styleId="874">
    <w:name w:val="No Spacing"/>
    <w:uiPriority w:val="1"/>
    <w:qFormat/>
    <w:pPr>
      <w:spacing w:before="0" w:after="0" w:line="240" w:lineRule="auto"/>
    </w:pPr>
  </w:style>
  <w:style w:type="paragraph" w:styleId="875">
    <w:name w:val="Title"/>
    <w:basedOn w:val="1032"/>
    <w:next w:val="1032"/>
    <w:link w:val="876"/>
    <w:uiPriority w:val="10"/>
    <w:qFormat/>
    <w:pPr>
      <w:contextualSpacing/>
      <w:spacing w:before="300" w:after="200"/>
    </w:pPr>
    <w:rPr>
      <w:sz w:val="48"/>
      <w:szCs w:val="48"/>
    </w:rPr>
  </w:style>
  <w:style w:type="character" w:styleId="876">
    <w:name w:val="Title Char"/>
    <w:basedOn w:val="1033"/>
    <w:link w:val="875"/>
    <w:uiPriority w:val="10"/>
    <w:rPr>
      <w:sz w:val="48"/>
      <w:szCs w:val="48"/>
    </w:rPr>
  </w:style>
  <w:style w:type="paragraph" w:styleId="877">
    <w:name w:val="Subtitle"/>
    <w:basedOn w:val="1032"/>
    <w:next w:val="1032"/>
    <w:link w:val="878"/>
    <w:uiPriority w:val="11"/>
    <w:qFormat/>
    <w:pPr>
      <w:spacing w:before="200" w:after="200"/>
    </w:pPr>
    <w:rPr>
      <w:sz w:val="24"/>
      <w:szCs w:val="24"/>
    </w:rPr>
  </w:style>
  <w:style w:type="character" w:styleId="878">
    <w:name w:val="Subtitle Char"/>
    <w:basedOn w:val="1033"/>
    <w:link w:val="877"/>
    <w:uiPriority w:val="11"/>
    <w:rPr>
      <w:sz w:val="24"/>
      <w:szCs w:val="24"/>
    </w:rPr>
  </w:style>
  <w:style w:type="paragraph" w:styleId="879">
    <w:name w:val="Quote"/>
    <w:basedOn w:val="1032"/>
    <w:next w:val="1032"/>
    <w:link w:val="880"/>
    <w:uiPriority w:val="29"/>
    <w:qFormat/>
    <w:pPr>
      <w:ind w:left="720" w:right="720"/>
    </w:pPr>
    <w:rPr>
      <w:i/>
    </w:rPr>
  </w:style>
  <w:style w:type="character" w:styleId="880">
    <w:name w:val="Quote Char"/>
    <w:link w:val="879"/>
    <w:uiPriority w:val="29"/>
    <w:rPr>
      <w:i/>
    </w:rPr>
  </w:style>
  <w:style w:type="paragraph" w:styleId="881">
    <w:name w:val="Intense Quote"/>
    <w:basedOn w:val="1032"/>
    <w:next w:val="1032"/>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paragraph" w:styleId="883">
    <w:name w:val="Header"/>
    <w:basedOn w:val="1032"/>
    <w:link w:val="884"/>
    <w:uiPriority w:val="99"/>
    <w:unhideWhenUsed/>
    <w:pPr>
      <w:spacing w:after="0" w:line="240" w:lineRule="auto"/>
      <w:tabs>
        <w:tab w:val="center" w:pos="7143" w:leader="none"/>
        <w:tab w:val="right" w:pos="14287" w:leader="none"/>
      </w:tabs>
    </w:pPr>
  </w:style>
  <w:style w:type="character" w:styleId="884">
    <w:name w:val="Header Char"/>
    <w:basedOn w:val="1033"/>
    <w:link w:val="883"/>
    <w:uiPriority w:val="99"/>
  </w:style>
  <w:style w:type="paragraph" w:styleId="885">
    <w:name w:val="Footer"/>
    <w:basedOn w:val="1032"/>
    <w:link w:val="888"/>
    <w:uiPriority w:val="99"/>
    <w:unhideWhenUsed/>
    <w:pPr>
      <w:spacing w:after="0" w:line="240" w:lineRule="auto"/>
      <w:tabs>
        <w:tab w:val="center" w:pos="7143" w:leader="none"/>
        <w:tab w:val="right" w:pos="14287" w:leader="none"/>
      </w:tabs>
    </w:pPr>
  </w:style>
  <w:style w:type="character" w:styleId="886">
    <w:name w:val="Footer Char"/>
    <w:basedOn w:val="1033"/>
    <w:link w:val="885"/>
    <w:uiPriority w:val="99"/>
  </w:style>
  <w:style w:type="paragraph" w:styleId="887">
    <w:name w:val="Caption"/>
    <w:basedOn w:val="1032"/>
    <w:next w:val="1032"/>
    <w:uiPriority w:val="35"/>
    <w:semiHidden/>
    <w:unhideWhenUsed/>
    <w:qFormat/>
    <w:pPr>
      <w:spacing w:line="276" w:lineRule="auto"/>
    </w:pPr>
    <w:rPr>
      <w:b/>
      <w:bCs/>
      <w:color w:val="4f81bd" w:themeColor="accent1"/>
      <w:sz w:val="18"/>
      <w:szCs w:val="18"/>
    </w:rPr>
  </w:style>
  <w:style w:type="character" w:styleId="888">
    <w:name w:val="Caption Char"/>
    <w:basedOn w:val="887"/>
    <w:link w:val="885"/>
    <w:uiPriority w:val="99"/>
  </w:style>
  <w:style w:type="table" w:styleId="889">
    <w:name w:val="Table Grid Light"/>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basedOn w:val="10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basedOn w:val="10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basedOn w:val="10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basedOn w:val="10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basedOn w:val="10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basedOn w:val="10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basedOn w:val="10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basedOn w:val="10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basedOn w:val="10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5">
    <w:name w:val="Grid Table 5 Dark - Accent 2"/>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6">
    <w:name w:val="Grid Table 5 Dark - Accent 3"/>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7">
    <w:name w:val="Grid Table 5 Dark- Accent 4"/>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8">
    <w:name w:val="Grid Table 5 Dark - Accent 5"/>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9">
    <w:name w:val="Grid Table 5 Dark - Accent 6"/>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30">
    <w:name w:val="Grid Table 6 Colorful"/>
    <w:basedOn w:val="10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basedOn w:val="10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basedOn w:val="10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basedOn w:val="10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6">
    <w:name w:val="Grid Table 6 Colorful - Accent 6"/>
    <w:basedOn w:val="10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7">
    <w:name w:val="Grid Table 7 Colorful"/>
    <w:basedOn w:val="10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basedOn w:val="10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basedOn w:val="10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basedOn w:val="10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basedOn w:val="10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basedOn w:val="10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basedOn w:val="10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basedOn w:val="10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basedOn w:val="103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basedOn w:val="103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basedOn w:val="103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basedOn w:val="103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basedOn w:val="103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basedOn w:val="103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basedOn w:val="10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basedOn w:val="10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basedOn w:val="10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basedOn w:val="10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basedOn w:val="10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basedOn w:val="10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basedOn w:val="10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basedOn w:val="10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0">
    <w:name w:val="List Table 3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61">
    <w:name w:val="List Table 3 - Accent 3"/>
    <w:basedOn w:val="10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2">
    <w:name w:val="List Table 3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3">
    <w:name w:val="List Table 3 - Accent 5"/>
    <w:basedOn w:val="10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4">
    <w:name w:val="List Table 3 - Accent 6"/>
    <w:basedOn w:val="10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5">
    <w:name w:val="List Table 4"/>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basedOn w:val="10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7">
    <w:name w:val="List Table 4 - Accent 2"/>
    <w:basedOn w:val="10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8">
    <w:name w:val="List Table 4 - Accent 3"/>
    <w:basedOn w:val="10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9">
    <w:name w:val="List Table 4 - Accent 4"/>
    <w:basedOn w:val="10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70">
    <w:name w:val="List Table 4 - Accent 5"/>
    <w:basedOn w:val="10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71">
    <w:name w:val="List Table 4 - Accent 6"/>
    <w:basedOn w:val="10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2">
    <w:name w:val="List Table 5 Dark"/>
    <w:basedOn w:val="10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basedOn w:val="10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basedOn w:val="10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basedOn w:val="10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basedOn w:val="10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basedOn w:val="10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basedOn w:val="10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10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basedOn w:val="10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81">
    <w:name w:val="List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2">
    <w:name w:val="List Table 6 Colorful - Accent 3"/>
    <w:basedOn w:val="10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3">
    <w:name w:val="List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4">
    <w:name w:val="List Table 6 Colorful - Accent 5"/>
    <w:basedOn w:val="10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5">
    <w:name w:val="List Table 6 Colorful - Accent 6"/>
    <w:basedOn w:val="10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6">
    <w:name w:val="List Table 7 Colorful"/>
    <w:basedOn w:val="10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basedOn w:val="10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8">
    <w:name w:val="List Table 7 Colorful - Accent 2"/>
    <w:basedOn w:val="10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9">
    <w:name w:val="List Table 7 Colorful - Accent 3"/>
    <w:basedOn w:val="10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90">
    <w:name w:val="List Table 7 Colorful - Accent 4"/>
    <w:basedOn w:val="10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91">
    <w:name w:val="List Table 7 Colorful - Accent 5"/>
    <w:basedOn w:val="10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2">
    <w:name w:val="List Table 7 Colorful - Accent 6"/>
    <w:basedOn w:val="10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3">
    <w:name w:val="Lined - Accent"/>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5">
    <w:name w:val="Lined - Accent 2"/>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6">
    <w:name w:val="Lined - Accent 3"/>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7">
    <w:name w:val="Lined - Accent 4"/>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8">
    <w:name w:val="Lined - Accent 5"/>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9">
    <w:name w:val="Lined - Accent 6"/>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0">
    <w:name w:val="Bordered &amp; Lined - Accent"/>
    <w:basedOn w:val="10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basedOn w:val="10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2">
    <w:name w:val="Bordered &amp; Lined - Accent 2"/>
    <w:basedOn w:val="10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3">
    <w:name w:val="Bordered &amp; Lined - Accent 3"/>
    <w:basedOn w:val="10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4">
    <w:name w:val="Bordered &amp; Lined - Accent 4"/>
    <w:basedOn w:val="10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5">
    <w:name w:val="Bordered &amp; Lined - Accent 5"/>
    <w:basedOn w:val="10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6">
    <w:name w:val="Bordered &amp; Lined - Accent 6"/>
    <w:basedOn w:val="10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7">
    <w:name w:val="Bordered"/>
    <w:basedOn w:val="10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4">
    <w:name w:val="Hyperlink"/>
    <w:uiPriority w:val="99"/>
    <w:unhideWhenUsed/>
    <w:rPr>
      <w:color w:val="0000ff" w:themeColor="hyperlink"/>
      <w:u w:val="single"/>
    </w:rPr>
  </w:style>
  <w:style w:type="paragraph" w:styleId="1015">
    <w:name w:val="footnote text"/>
    <w:basedOn w:val="1032"/>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basedOn w:val="1033"/>
    <w:uiPriority w:val="99"/>
    <w:unhideWhenUsed/>
    <w:rPr>
      <w:vertAlign w:val="superscript"/>
    </w:rPr>
  </w:style>
  <w:style w:type="paragraph" w:styleId="1018">
    <w:name w:val="endnote text"/>
    <w:basedOn w:val="1032"/>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basedOn w:val="1033"/>
    <w:uiPriority w:val="99"/>
    <w:semiHidden/>
    <w:unhideWhenUsed/>
    <w:rPr>
      <w:vertAlign w:val="superscript"/>
    </w:rPr>
  </w:style>
  <w:style w:type="paragraph" w:styleId="1021">
    <w:name w:val="toc 1"/>
    <w:basedOn w:val="1032"/>
    <w:next w:val="1032"/>
    <w:uiPriority w:val="39"/>
    <w:unhideWhenUsed/>
    <w:pPr>
      <w:ind w:left="0" w:right="0" w:firstLine="0"/>
      <w:spacing w:after="57"/>
    </w:pPr>
  </w:style>
  <w:style w:type="paragraph" w:styleId="1022">
    <w:name w:val="toc 2"/>
    <w:basedOn w:val="1032"/>
    <w:next w:val="1032"/>
    <w:uiPriority w:val="39"/>
    <w:unhideWhenUsed/>
    <w:pPr>
      <w:ind w:left="283" w:right="0" w:firstLine="0"/>
      <w:spacing w:after="57"/>
    </w:pPr>
  </w:style>
  <w:style w:type="paragraph" w:styleId="1023">
    <w:name w:val="toc 3"/>
    <w:basedOn w:val="1032"/>
    <w:next w:val="1032"/>
    <w:uiPriority w:val="39"/>
    <w:unhideWhenUsed/>
    <w:pPr>
      <w:ind w:left="567" w:right="0" w:firstLine="0"/>
      <w:spacing w:after="57"/>
    </w:pPr>
  </w:style>
  <w:style w:type="paragraph" w:styleId="1024">
    <w:name w:val="toc 4"/>
    <w:basedOn w:val="1032"/>
    <w:next w:val="1032"/>
    <w:uiPriority w:val="39"/>
    <w:unhideWhenUsed/>
    <w:pPr>
      <w:ind w:left="850" w:right="0" w:firstLine="0"/>
      <w:spacing w:after="57"/>
    </w:pPr>
  </w:style>
  <w:style w:type="paragraph" w:styleId="1025">
    <w:name w:val="toc 5"/>
    <w:basedOn w:val="1032"/>
    <w:next w:val="1032"/>
    <w:uiPriority w:val="39"/>
    <w:unhideWhenUsed/>
    <w:pPr>
      <w:ind w:left="1134" w:right="0" w:firstLine="0"/>
      <w:spacing w:after="57"/>
    </w:pPr>
  </w:style>
  <w:style w:type="paragraph" w:styleId="1026">
    <w:name w:val="toc 6"/>
    <w:basedOn w:val="1032"/>
    <w:next w:val="1032"/>
    <w:uiPriority w:val="39"/>
    <w:unhideWhenUsed/>
    <w:pPr>
      <w:ind w:left="1417" w:right="0" w:firstLine="0"/>
      <w:spacing w:after="57"/>
    </w:pPr>
  </w:style>
  <w:style w:type="paragraph" w:styleId="1027">
    <w:name w:val="toc 7"/>
    <w:basedOn w:val="1032"/>
    <w:next w:val="1032"/>
    <w:uiPriority w:val="39"/>
    <w:unhideWhenUsed/>
    <w:pPr>
      <w:ind w:left="1701" w:right="0" w:firstLine="0"/>
      <w:spacing w:after="57"/>
    </w:pPr>
  </w:style>
  <w:style w:type="paragraph" w:styleId="1028">
    <w:name w:val="toc 8"/>
    <w:basedOn w:val="1032"/>
    <w:next w:val="1032"/>
    <w:uiPriority w:val="39"/>
    <w:unhideWhenUsed/>
    <w:pPr>
      <w:ind w:left="1984" w:right="0" w:firstLine="0"/>
      <w:spacing w:after="57"/>
    </w:pPr>
  </w:style>
  <w:style w:type="paragraph" w:styleId="1029">
    <w:name w:val="toc 9"/>
    <w:basedOn w:val="1032"/>
    <w:next w:val="1032"/>
    <w:uiPriority w:val="39"/>
    <w:unhideWhenUsed/>
    <w:pPr>
      <w:ind w:left="2268" w:right="0" w:firstLine="0"/>
      <w:spacing w:after="57"/>
    </w:p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033" w:default="1">
    <w:name w:val="Default Paragraph Font"/>
    <w:uiPriority w:val="0"/>
    <w:semiHidden/>
    <w:qFormat/>
  </w:style>
  <w:style w:type="table" w:styleId="1034" w:default="1">
    <w:name w:val="Normal Table"/>
    <w:uiPriority w:val="0"/>
    <w:semiHidden/>
    <w:qFormat/>
    <w:tblPr>
      <w:tblCellMar>
        <w:left w:w="108" w:type="dxa"/>
        <w:top w:w="0" w:type="dxa"/>
        <w:right w:w="108" w:type="dxa"/>
        <w:bottom w:w="0" w:type="dxa"/>
      </w:tblCellMar>
    </w:tblPr>
  </w:style>
  <w:style w:type="table" w:styleId="10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6" w:customStyle="1">
    <w:name w:val="Table Normal"/>
    <w:uiPriority w:val="0"/>
    <w:semiHidden/>
    <w:unhideWhenUsed/>
    <w:qFormat/>
    <w:tblPr>
      <w:tblCellMar>
        <w:left w:w="0" w:type="dxa"/>
        <w:top w:w="0" w:type="dxa"/>
        <w:right w:w="0" w:type="dxa"/>
        <w:bottom w:w="0" w:type="dxa"/>
      </w:tblCellMar>
    </w:tbl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中诚运玛咨询股份有限公司</cp:lastModifiedBy>
  <cp:revision>3</cp:revision>
  <dcterms:created xsi:type="dcterms:W3CDTF">2026-06-04T06:29:00Z</dcterms:created>
  <dcterms:modified xsi:type="dcterms:W3CDTF">2026-06-26T08:40:17Z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44459B98CAB047EE8724234E3B3439EC_13</vt:lpwstr>
  </property>
  <property fmtid="{D5CDD505-2E9C-101B-9397-08002B2CF9AE}" pid="4" name="KSOTemplateDocerSaveRecord">
    <vt:lpwstr>eyJoZGlkIjoiOGNjODMzYjVlMzk0NWQ3YTFlYjVhMGI3MzM4MGQ5NTEiLCJ1c2VySWQiOiIxMzg0NTY4NjY4In0=</vt:lpwstr>
  </property>
</Properties>
</file>