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8"/>
        <w:ind w:firstLine="0"/>
        <w:rPr>
          <w:rFonts w:hint="eastAsia" w:eastAsia="黑体"/>
          <w:b/>
          <w:bCs/>
          <w:sz w:val="84"/>
          <w:shd w:val="clear" w:color="ffffff" w:fill="d9d9d9"/>
        </w:rPr>
      </w:pPr>
      <w:r>
        <w:rPr>
          <w:rFonts w:hint="eastAsia" w:eastAsia="黑体"/>
          <w:b/>
          <w:bCs/>
          <w:sz w:val="84"/>
          <w:shd w:val="clear" w:color="ffffff" w:fill="d9d9d9"/>
        </w:rPr>
      </w:r>
      <w:r/>
    </w:p>
    <w:p>
      <w:pPr>
        <w:pStyle w:val="758"/>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758"/>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758"/>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58"/>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58"/>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ind w:firstLine="1920"/>
        <w:jc w:val="left"/>
        <w:rPr>
          <w:rFonts w:hint="eastAsia" w:ascii="黑体" w:hAnsi="华文中宋" w:eastAsia="黑体"/>
          <w:bCs/>
          <w:color w:val="auto"/>
          <w:sz w:val="32"/>
          <w:szCs w:val="32"/>
          <w:lang w:eastAsia="zh-CN"/>
        </w:rPr>
      </w:pPr>
      <w:r>
        <w:rPr>
          <w:rFonts w:hint="eastAsia" w:ascii="黑体" w:hAnsi="华文中宋" w:eastAsia="黑体"/>
          <w:bCs/>
          <w:color w:val="auto"/>
          <w:sz w:val="32"/>
          <w:szCs w:val="32"/>
        </w:rPr>
        <w:t xml:space="preserve">项目编号：</w:t>
      </w:r>
      <w:r>
        <w:rPr>
          <w:rFonts w:hint="eastAsia" w:ascii="黑体" w:hAnsi="华文中宋" w:eastAsia="黑体"/>
          <w:bCs/>
          <w:color w:val="auto"/>
          <w:sz w:val="32"/>
          <w:szCs w:val="32"/>
          <w:lang w:eastAsia="zh-CN"/>
        </w:rPr>
        <w:t xml:space="preserve">JSZC-320214-JZCG-G2026-0065</w:t>
      </w:r>
      <w:r/>
    </w:p>
    <w:p>
      <w:pPr>
        <w:ind w:left="3519" w:hanging="1600"/>
        <w:jc w:val="left"/>
        <w:rPr>
          <w:rFonts w:hint="eastAsia" w:ascii="黑体" w:hAnsi="华文中宋" w:eastAsia="黑体"/>
          <w:bCs/>
          <w:color w:val="auto"/>
          <w:sz w:val="32"/>
          <w:szCs w:val="32"/>
          <w:lang w:eastAsia="zh-CN"/>
        </w:rPr>
      </w:pPr>
      <w:r>
        <w:rPr>
          <w:rFonts w:hint="eastAsia" w:ascii="黑体" w:hAnsi="华文中宋" w:eastAsia="黑体"/>
          <w:bCs/>
          <w:color w:val="auto"/>
          <w:sz w:val="32"/>
          <w:szCs w:val="32"/>
        </w:rPr>
        <w:t xml:space="preserve">项目名称：</w:t>
      </w:r>
      <w:r>
        <w:rPr>
          <w:rFonts w:hint="eastAsia" w:ascii="黑体" w:hAnsi="华文中宋" w:eastAsia="黑体"/>
          <w:bCs/>
          <w:color w:val="auto"/>
          <w:sz w:val="32"/>
          <w:szCs w:val="32"/>
          <w:lang w:eastAsia="zh-CN"/>
        </w:rPr>
        <w:t xml:space="preserve">无锡市新吴区第一实验学校物业管理服务项目</w:t>
      </w:r>
      <w:r/>
    </w:p>
    <w:p>
      <w:pPr>
        <w:ind w:firstLine="1920"/>
        <w:jc w:val="left"/>
        <w:rPr>
          <w:rFonts w:hint="eastAsia" w:ascii="黑体" w:hAnsi="华文中宋" w:eastAsia="黑体"/>
          <w:bCs/>
          <w:color w:val="auto"/>
          <w:sz w:val="32"/>
          <w:szCs w:val="32"/>
          <w:lang w:eastAsia="zh-CN"/>
        </w:rPr>
      </w:pPr>
      <w:r>
        <w:rPr>
          <w:rFonts w:hint="eastAsia" w:ascii="黑体" w:hAnsi="华文中宋" w:eastAsia="黑体"/>
          <w:bCs/>
          <w:color w:val="auto"/>
          <w:sz w:val="32"/>
          <w:szCs w:val="32"/>
        </w:rPr>
        <w:t xml:space="preserve">采 购 人：</w:t>
      </w:r>
      <w:r>
        <w:rPr>
          <w:rFonts w:hint="eastAsia" w:ascii="黑体" w:hAnsi="华文中宋" w:eastAsia="黑体"/>
          <w:bCs/>
          <w:color w:val="auto"/>
          <w:sz w:val="32"/>
          <w:szCs w:val="32"/>
          <w:lang w:eastAsia="zh-CN"/>
        </w:rPr>
        <w:t xml:space="preserve">无锡市新吴区第一实验学校</w:t>
      </w:r>
      <w:r/>
    </w:p>
    <w:p>
      <w:pPr>
        <w:jc w:val="center"/>
        <w:rPr>
          <w:rFonts w:ascii="黑体" w:hAnsi="华文中宋" w:eastAsia="黑体"/>
          <w:bCs/>
          <w:color w:val="000000"/>
          <w:sz w:val="30"/>
          <w:szCs w:val="30"/>
        </w:rPr>
      </w:pPr>
      <w:r>
        <w:rPr>
          <w:rFonts w:ascii="黑体" w:hAnsi="华文中宋" w:eastAsia="黑体"/>
          <w:bCs/>
          <w:color w:val="000000"/>
          <w:sz w:val="30"/>
          <w:szCs w:val="30"/>
        </w:rPr>
      </w:r>
      <w:r/>
    </w:p>
    <w:p>
      <w:pPr>
        <w:pStyle w:val="758"/>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58"/>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58"/>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58"/>
        <w:ind w:firstLine="0"/>
        <w:jc w:val="center"/>
        <w:spacing w:before="0" w:after="0"/>
        <w:rPr>
          <w:rFonts w:hint="eastAsia" w:ascii="宋体" w:hAnsi="宋体" w:eastAsia="黑体"/>
          <w:sz w:val="32"/>
          <w:szCs w:val="32"/>
          <w:shd w:val="clear" w:color="ffffff" w:fill="d9d9d9"/>
          <w:lang w:eastAsia="zh-CN"/>
        </w:rPr>
      </w:pPr>
      <w:r>
        <w:rPr>
          <w:rFonts w:hint="eastAsia" w:ascii="黑体" w:hAnsi="华文中宋" w:eastAsia="黑体"/>
          <w:bCs/>
          <w:color w:val="000000"/>
          <w:sz w:val="32"/>
          <w:szCs w:val="32"/>
        </w:rPr>
        <w:t xml:space="preserve">采购代理机构：</w:t>
      </w:r>
      <w:r>
        <w:rPr>
          <w:rFonts w:hint="eastAsia" w:ascii="黑体" w:hAnsi="华文中宋" w:eastAsia="黑体"/>
          <w:bCs/>
          <w:color w:val="000000"/>
          <w:sz w:val="32"/>
          <w:szCs w:val="32"/>
          <w:lang w:eastAsia="zh-CN"/>
        </w:rPr>
        <w:t xml:space="preserve">无锡市公共资源交易中心新吴分中心</w:t>
      </w:r>
      <w:r/>
    </w:p>
    <w:p>
      <w:pPr>
        <w:pStyle w:val="758"/>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eastAsia="zh-CN"/>
        </w:rPr>
        <w:t xml:space="preserve">六</w:t>
      </w:r>
      <w:r>
        <w:rPr>
          <w:rFonts w:hint="eastAsia" w:ascii="黑体" w:hAnsi="华文中宋" w:eastAsia="黑体"/>
          <w:bCs/>
          <w:color w:val="auto"/>
          <w:sz w:val="32"/>
          <w:szCs w:val="32"/>
          <w:highlight w:val="none"/>
        </w:rPr>
        <w:t xml:space="preserve">月</w:t>
      </w:r>
      <w:r/>
    </w:p>
    <w:p>
      <w:pPr>
        <w:pStyle w:val="758"/>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523127445"/>
      <w:r/>
      <w:bookmarkStart w:id="2" w:name="_Toc16938516"/>
      <w:r/>
      <w:bookmarkStart w:id="3" w:name="_Toc20823272"/>
      <w:r/>
      <w:bookmarkStart w:id="4" w:name="_Toc513029200"/>
      <w:r/>
      <w:bookmarkStart w:id="5" w:name="_Toc479757206"/>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投标邀请----------------------------------（2）</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投标人须知--------------------------------（6）</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合同文本---------------------------------（20）</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采购需求---------------------------------（2</w:t>
      </w:r>
      <w:r>
        <w:rPr>
          <w:rFonts w:hint="eastAsia" w:ascii="宋体" w:hAnsi="宋体"/>
          <w:sz w:val="30"/>
          <w:szCs w:val="30"/>
          <w:lang w:val="en-US" w:eastAsia="zh-CN"/>
        </w:rPr>
        <w:t xml:space="preserve">5</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lang w:val="en-US" w:eastAsia="zh-CN"/>
        </w:rPr>
        <w:t xml:space="preserve">61</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lang w:val="en-US" w:eastAsia="zh-CN"/>
        </w:rPr>
        <w:t xml:space="preserve">69</w:t>
      </w:r>
      <w:r>
        <w:rPr>
          <w:rFonts w:hint="eastAsia" w:ascii="宋体" w:hAnsi="宋体"/>
          <w:sz w:val="30"/>
          <w:szCs w:val="30"/>
        </w:rPr>
        <w:t xml:space="preserve">）</w:t>
      </w:r>
      <w:r/>
    </w:p>
    <w:p>
      <w:pPr>
        <w:jc w:val="center"/>
        <w:spacing w:line="500" w:lineRule="exact"/>
        <w:tabs>
          <w:tab w:val="left" w:pos="1440" w:leader="none"/>
        </w:tabs>
        <w:rPr>
          <w:rFonts w:hint="eastAsia" w:ascii="黑体" w:hAnsi="黑体" w:eastAsia="黑体"/>
          <w:color w:val="auto"/>
          <w:sz w:val="36"/>
          <w:szCs w:val="36"/>
        </w:rPr>
        <w:outlineLvl w:val="0"/>
      </w:pPr>
      <w:r>
        <w:rPr>
          <w:rFonts w:ascii="黑体" w:hAnsi="Showcard Gothic" w:eastAsia="黑体"/>
          <w:sz w:val="30"/>
          <w:szCs w:val="30"/>
        </w:rPr>
        <w:br w:type="page" w:clear="all"/>
      </w:r>
      <w:r>
        <w:rPr>
          <w:rFonts w:hint="eastAsia" w:ascii="黑体" w:hAnsi="黑体" w:eastAsia="黑体"/>
          <w:color w:val="auto"/>
          <w:sz w:val="36"/>
          <w:szCs w:val="36"/>
        </w:rPr>
        <w:t xml:space="preserve">第一章  投标邀请</w:t>
      </w:r>
      <w:bookmarkEnd w:id="0"/>
      <w:r/>
    </w:p>
    <w:p>
      <w:pPr>
        <w:ind w:firstLine="480"/>
        <w:spacing w:line="500" w:lineRule="exact"/>
        <w:rPr>
          <w:rFonts w:ascii="宋体" w:hAnsi="宋体"/>
          <w:color w:val="auto"/>
          <w:sz w:val="24"/>
          <w:szCs w:val="24"/>
          <w:shd w:val="clear" w:color="ffffff" w:fill="d9d9d9"/>
        </w:rPr>
      </w:pPr>
      <w:r>
        <w:rPr>
          <w:rFonts w:hint="eastAsia" w:ascii="宋体" w:hAnsi="宋体"/>
          <w:color w:val="auto"/>
          <w:sz w:val="24"/>
          <w:szCs w:val="24"/>
        </w:rPr>
        <w:t xml:space="preserve">受</w:t>
      </w:r>
      <w:r>
        <w:rPr>
          <w:rFonts w:hint="eastAsia" w:ascii="宋体" w:hAnsi="宋体"/>
          <w:color w:val="auto"/>
          <w:sz w:val="24"/>
          <w:szCs w:val="24"/>
          <w:lang w:eastAsia="zh-CN"/>
        </w:rPr>
        <w:t xml:space="preserve">无锡市新吴区第一实验学校</w:t>
      </w:r>
      <w:r>
        <w:rPr>
          <w:rFonts w:hint="eastAsia" w:ascii="宋体" w:hAnsi="宋体"/>
          <w:color w:val="auto"/>
          <w:sz w:val="24"/>
          <w:szCs w:val="24"/>
        </w:rPr>
        <w:t xml:space="preserve">的委托，</w:t>
      </w:r>
      <w:r>
        <w:rPr>
          <w:rFonts w:hint="eastAsia" w:ascii="宋体" w:hAnsi="宋体"/>
          <w:color w:val="auto"/>
          <w:sz w:val="24"/>
          <w:szCs w:val="24"/>
          <w:lang w:eastAsia="zh-CN"/>
        </w:rPr>
        <w:t xml:space="preserve">无锡市公共资源交易中心新吴分中心</w:t>
      </w:r>
      <w:r>
        <w:rPr>
          <w:rFonts w:hint="eastAsia" w:ascii="宋体" w:hAnsi="宋体"/>
          <w:color w:val="auto"/>
          <w:sz w:val="24"/>
          <w:szCs w:val="24"/>
        </w:rPr>
        <w:t xml:space="preserve">就</w:t>
      </w:r>
      <w:r>
        <w:rPr>
          <w:rFonts w:hint="eastAsia" w:ascii="宋体" w:hAnsi="宋体"/>
          <w:color w:val="auto"/>
          <w:sz w:val="24"/>
          <w:szCs w:val="24"/>
          <w:lang w:eastAsia="zh-CN"/>
        </w:rPr>
        <w:t xml:space="preserve">无锡市新吴区第一实验学校物业管理服务项目</w:t>
      </w:r>
      <w:r>
        <w:rPr>
          <w:rFonts w:hint="eastAsia" w:ascii="宋体" w:hAnsi="宋体"/>
          <w:color w:val="auto"/>
          <w:sz w:val="24"/>
          <w:szCs w:val="24"/>
        </w:rPr>
        <w:t xml:space="preserve">（</w:t>
      </w:r>
      <w:r>
        <w:rPr>
          <w:rFonts w:hint="eastAsia" w:ascii="宋体" w:hAnsi="宋体"/>
          <w:color w:val="auto"/>
          <w:sz w:val="24"/>
          <w:szCs w:val="24"/>
          <w:lang w:eastAsia="zh-CN"/>
        </w:rPr>
        <w:t xml:space="preserve">JSZC-320214-JZCG-G2026-0065</w:t>
      </w:r>
      <w:r>
        <w:rPr>
          <w:rFonts w:hint="eastAsia" w:ascii="宋体" w:hAnsi="宋体"/>
          <w:color w:val="auto"/>
          <w:sz w:val="24"/>
          <w:szCs w:val="24"/>
        </w:rPr>
        <w:t xml:space="preserve">）进行公开招标采购，欢迎符合条件的供应商投标。</w:t>
      </w:r>
      <w:r/>
    </w:p>
    <w:p>
      <w:pPr>
        <w:ind w:firstLine="480"/>
        <w:spacing w:line="500" w:lineRule="exact"/>
        <w:rPr>
          <w:rFonts w:ascii="宋体" w:hAnsi="宋体"/>
          <w:color w:val="auto"/>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rPr>
        <w:t xml:space="preserve">项目概况</w:t>
      </w:r>
      <w:r/>
    </w:p>
    <w:p>
      <w:pPr>
        <w:ind w:firstLine="480"/>
        <w:spacing w:line="500" w:lineRule="exact"/>
        <w:rPr>
          <w:rFonts w:ascii="宋体" w:hAnsi="宋体"/>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lang w:eastAsia="zh-CN"/>
        </w:rPr>
        <w:t xml:space="preserve">无锡市新吴区第一实验学校物业管理服务项目</w:t>
      </w:r>
      <w:r>
        <w:rPr>
          <w:rFonts w:hint="eastAsia" w:ascii="宋体" w:hAnsi="宋体"/>
          <w:color w:val="auto"/>
          <w:sz w:val="24"/>
          <w:szCs w:val="24"/>
        </w:rPr>
        <w:t xml:space="preserve">采购</w:t>
      </w:r>
      <w:r>
        <w:rPr>
          <w:rFonts w:hint="eastAsia" w:ascii="宋体" w:hAnsi="宋体"/>
          <w:sz w:val="24"/>
          <w:szCs w:val="24"/>
        </w:rPr>
        <w:t xml:space="preserve">项目的潜在投标人应在“江苏政府采购网”自行浏览招标文件，如有投标意向须在本招标文件有效获取期内通过登录</w:t>
      </w:r>
      <w:r>
        <w:rPr>
          <w:rFonts w:ascii="宋体" w:hAnsi="宋体"/>
          <w:color w:val="000000"/>
          <w:sz w:val="24"/>
          <w:szCs w:val="24"/>
        </w:rPr>
        <w:t xml:space="preserve">“江苏省</w:t>
      </w:r>
      <w:r>
        <w:rPr>
          <w:rFonts w:ascii="宋体" w:hAnsi="宋体"/>
          <w:color w:val="auto"/>
          <w:sz w:val="24"/>
          <w:szCs w:val="24"/>
          <w:highlight w:val="none"/>
        </w:rPr>
        <w:t xml:space="preserve">政府采购（苏采云）平台”</w:t>
      </w:r>
      <w:r>
        <w:rPr>
          <w:rFonts w:hint="eastAsia" w:ascii="宋体" w:hAnsi="宋体"/>
          <w:color w:val="auto"/>
          <w:sz w:val="24"/>
          <w:szCs w:val="24"/>
          <w:highlight w:val="none"/>
        </w:rPr>
        <w:t xml:space="preserve">下载的方式依法获取招标文件，并于202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07</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21</w:t>
      </w:r>
      <w:r>
        <w:rPr>
          <w:rFonts w:hint="eastAsia" w:ascii="宋体" w:hAnsi="宋体"/>
          <w:color w:val="auto"/>
          <w:sz w:val="24"/>
          <w:szCs w:val="24"/>
          <w:highlight w:val="none"/>
        </w:rPr>
        <w:t xml:space="preserve">日09点30分</w:t>
      </w:r>
      <w:r>
        <w:rPr>
          <w:rFonts w:hint="eastAsia" w:ascii="宋体" w:hAnsi="宋体"/>
          <w:bCs/>
          <w:color w:val="auto"/>
          <w:sz w:val="24"/>
          <w:szCs w:val="24"/>
          <w:highlight w:val="none"/>
        </w:rPr>
        <w:t xml:space="preserve">（北京时间）</w:t>
      </w:r>
      <w:r>
        <w:rPr>
          <w:rFonts w:hint="eastAsia" w:ascii="宋体" w:hAnsi="宋体"/>
          <w:bCs/>
          <w:sz w:val="24"/>
          <w:szCs w:val="24"/>
        </w:rPr>
        <w:t xml:space="preserve">前递交投标</w:t>
      </w:r>
      <w:r>
        <w:rPr>
          <w:rFonts w:ascii="宋体" w:hAnsi="宋体"/>
          <w:bCs/>
          <w:sz w:val="24"/>
          <w:szCs w:val="24"/>
        </w:rPr>
        <w:t xml:space="preserve">文件</w:t>
      </w:r>
      <w:r>
        <w:rPr>
          <w:rFonts w:hint="eastAsia" w:ascii="宋体" w:hAnsi="宋体"/>
          <w:sz w:val="24"/>
          <w:szCs w:val="24"/>
        </w:rPr>
        <w:t xml:space="preserve">。</w:t>
      </w:r>
      <w:r/>
    </w:p>
    <w:p>
      <w:pPr>
        <w:pStyle w:val="671"/>
        <w:ind w:firstLine="452"/>
        <w:keepLines w:val="0"/>
        <w:keepNext w:val="0"/>
        <w:spacing w:before="0" w:after="0" w:line="500" w:lineRule="exact"/>
        <w:rPr>
          <w:sz w:val="30"/>
          <w:szCs w:val="30"/>
        </w:rPr>
      </w:pPr>
      <w:r/>
      <w:bookmarkStart w:id="6" w:name="_Toc38985263"/>
      <w:r/>
      <w:bookmarkStart w:id="7" w:name="_Toc28359002"/>
      <w:r/>
      <w:bookmarkStart w:id="8" w:name="_Toc35393790"/>
      <w:r/>
      <w:bookmarkStart w:id="9" w:name="_Toc28359079"/>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1.项目编号：</w:t>
      </w:r>
      <w:r>
        <w:rPr>
          <w:rFonts w:hint="eastAsia" w:ascii="宋体" w:hAnsi="宋体" w:cs="宋体"/>
          <w:sz w:val="24"/>
          <w:szCs w:val="24"/>
          <w:lang w:eastAsia="zh-CN"/>
        </w:rPr>
        <w:t xml:space="preserve">JSZC-320214-JZCG-G2026-0065</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lang w:eastAsia="zh-CN"/>
        </w:rPr>
        <w:t xml:space="preserve">无锡市新吴区第一实验学校物业管理服务项目</w:t>
      </w:r>
      <w:bookmarkEnd w:id="11"/>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3.项目预算金额：150.549605万元</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4.项目最高限价：150.549605万元</w:t>
      </w:r>
      <w:r/>
    </w:p>
    <w:p>
      <w:pPr>
        <w:ind w:firstLine="480"/>
        <w:spacing w:line="500" w:lineRule="exact"/>
        <w:rPr>
          <w:rFonts w:hint="eastAsia" w:ascii="宋体" w:hAnsi="宋体"/>
          <w:sz w:val="24"/>
          <w:szCs w:val="24"/>
        </w:rPr>
      </w:pPr>
      <w:r>
        <w:rPr>
          <w:rFonts w:hint="eastAsia" w:ascii="宋体" w:hAnsi="宋体"/>
          <w:sz w:val="24"/>
          <w:szCs w:val="24"/>
        </w:rPr>
        <w:t xml:space="preserve">5.采购方式：公开招标</w:t>
      </w:r>
      <w:r/>
    </w:p>
    <w:p>
      <w:pPr>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p>
    <w:p>
      <w:pPr>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p>
    <w:p>
      <w:pPr>
        <w:ind w:firstLine="480"/>
        <w:spacing w:line="500" w:lineRule="exact"/>
        <w:rPr>
          <w:rFonts w:ascii="宋体" w:hAnsi="宋体" w:cs="宋体"/>
          <w:sz w:val="24"/>
          <w:szCs w:val="24"/>
        </w:rPr>
      </w:pPr>
      <w:r>
        <w:rPr>
          <w:rFonts w:hint="eastAsia" w:ascii="宋体" w:hAnsi="宋体" w:cs="宋体"/>
          <w:sz w:val="24"/>
          <w:szCs w:val="24"/>
        </w:rPr>
        <w:t xml:space="preserve">8</w:t>
      </w:r>
      <w:r>
        <w:rPr>
          <w:rFonts w:hint="eastAsia" w:ascii="宋体" w:hAnsi="宋体" w:cs="宋体"/>
          <w:color w:val="auto"/>
          <w:sz w:val="24"/>
          <w:szCs w:val="24"/>
        </w:rPr>
        <w:t xml:space="preserve">.本项目不接受联合</w:t>
      </w:r>
      <w:r>
        <w:rPr>
          <w:rFonts w:hint="eastAsia" w:ascii="宋体" w:hAnsi="宋体" w:cs="宋体"/>
          <w:sz w:val="24"/>
          <w:szCs w:val="24"/>
        </w:rPr>
        <w:t xml:space="preserve">体投标。</w:t>
      </w:r>
      <w:r/>
    </w:p>
    <w:p>
      <w:pPr>
        <w:pStyle w:val="671"/>
        <w:ind w:firstLine="452"/>
        <w:keepLines w:val="0"/>
        <w:keepNext w:val="0"/>
        <w:spacing w:before="0" w:after="0" w:line="500" w:lineRule="exact"/>
        <w:rPr>
          <w:sz w:val="30"/>
          <w:szCs w:val="30"/>
        </w:rPr>
      </w:pPr>
      <w:r/>
      <w:bookmarkStart w:id="12" w:name="_Toc35393791"/>
      <w:r/>
      <w:bookmarkStart w:id="13" w:name="_Toc35393622"/>
      <w:r/>
      <w:bookmarkStart w:id="14" w:name="_Toc38985264"/>
      <w:r/>
      <w:bookmarkStart w:id="15" w:name="_Toc28359003"/>
      <w:r/>
      <w:bookmarkStart w:id="16" w:name="_Toc28359080"/>
      <w:r>
        <w:rPr>
          <w:rFonts w:hint="eastAsia"/>
          <w:sz w:val="30"/>
          <w:szCs w:val="30"/>
        </w:rPr>
        <w:t xml:space="preserve">二、申请人的资格要求</w:t>
      </w:r>
      <w:bookmarkEnd w:id="12"/>
      <w:r/>
      <w:bookmarkEnd w:id="13"/>
      <w:r/>
      <w:bookmarkEnd w:id="14"/>
      <w:r/>
      <w:bookmarkEnd w:id="15"/>
      <w:r/>
      <w:bookmarkEnd w:id="16"/>
      <w:r/>
      <w:r/>
    </w:p>
    <w:p>
      <w:pPr>
        <w:ind w:firstLine="480"/>
        <w:spacing w:line="500" w:lineRule="exact"/>
        <w:rPr>
          <w:rFonts w:ascii="宋体" w:hAnsi="宋体"/>
          <w:sz w:val="24"/>
          <w:szCs w:val="24"/>
        </w:rPr>
      </w:pPr>
      <w:r/>
      <w:bookmarkStart w:id="17" w:name="_Toc35393623"/>
      <w:r/>
      <w:bookmarkStart w:id="18" w:name="_Toc38985265"/>
      <w:r/>
      <w:bookmarkStart w:id="19" w:name="_Toc28359081"/>
      <w:r/>
      <w:bookmarkStart w:id="20" w:name="_Toc28359004"/>
      <w:r/>
      <w:bookmarkStart w:id="21" w:name="_Toc35393792"/>
      <w:r>
        <w:rPr>
          <w:rFonts w:hint="eastAsia" w:ascii="宋体" w:hAnsi="宋体"/>
          <w:sz w:val="24"/>
          <w:szCs w:val="24"/>
        </w:rPr>
        <w:t xml:space="preserve">1.满足《中华人民共和国政府采购法》第二十二条规定；</w:t>
      </w:r>
      <w:r/>
    </w:p>
    <w:p>
      <w:pPr>
        <w:ind w:firstLine="480"/>
        <w:spacing w:line="500" w:lineRule="exact"/>
        <w:rPr>
          <w:rFonts w:hint="eastAsia" w:ascii="宋体" w:hAnsi="宋体"/>
          <w:color w:val="auto"/>
          <w:sz w:val="24"/>
          <w:szCs w:val="24"/>
        </w:rPr>
      </w:pPr>
      <w:r>
        <w:rPr>
          <w:rFonts w:hint="eastAsia" w:ascii="宋体" w:hAnsi="宋体"/>
          <w:sz w:val="24"/>
          <w:szCs w:val="24"/>
        </w:rPr>
        <w:t xml:space="preserve">2.落实政府采</w:t>
      </w:r>
      <w:r>
        <w:rPr>
          <w:rFonts w:hint="eastAsia" w:ascii="宋体" w:hAnsi="宋体"/>
          <w:color w:val="auto"/>
          <w:sz w:val="24"/>
          <w:szCs w:val="24"/>
        </w:rPr>
        <w:t xml:space="preserve">购政策需满足的资格要求：</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2.1中小企业政策：本项目专门面向中小企业</w:t>
      </w:r>
      <w:r/>
    </w:p>
    <w:p>
      <w:pPr>
        <w:ind w:firstLine="480"/>
        <w:spacing w:line="500" w:lineRule="exact"/>
        <w:rPr>
          <w:rFonts w:hint="eastAsia" w:ascii="宋体" w:hAnsi="宋体"/>
          <w:sz w:val="24"/>
          <w:szCs w:val="24"/>
        </w:rPr>
      </w:pPr>
      <w:r>
        <w:rPr>
          <w:rFonts w:hint="eastAsia" w:ascii="宋体" w:hAnsi="宋体"/>
          <w:color w:val="auto"/>
          <w:sz w:val="24"/>
          <w:szCs w:val="24"/>
        </w:rPr>
        <w:t xml:space="preserve">2.2通用资格要求：在“信用中国”网站（www.creditchina.gov.cn）、中国政府采购网(www.ccgp.gov.cn)查询，无被列入失信被</w:t>
      </w:r>
      <w:r>
        <w:rPr>
          <w:rFonts w:hint="eastAsia" w:ascii="宋体" w:hAnsi="宋体"/>
          <w:sz w:val="24"/>
          <w:szCs w:val="24"/>
        </w:rPr>
        <w:t xml:space="preserve">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sz w:val="24"/>
          <w:szCs w:val="24"/>
        </w:rPr>
      </w:pPr>
      <w:r>
        <w:rPr>
          <w:rFonts w:hint="eastAsia" w:ascii="宋体" w:hAnsi="宋体"/>
          <w:sz w:val="24"/>
          <w:szCs w:val="24"/>
        </w:rPr>
        <w:t xml:space="preserve">3.本项目的</w:t>
      </w:r>
      <w:r>
        <w:rPr>
          <w:rFonts w:hint="eastAsia" w:ascii="宋体" w:hAnsi="宋体"/>
          <w:color w:val="auto"/>
          <w:sz w:val="24"/>
          <w:szCs w:val="24"/>
        </w:rPr>
        <w:t xml:space="preserve">特定资格要求：无。</w:t>
      </w:r>
      <w:r/>
    </w:p>
    <w:p>
      <w:pPr>
        <w:pStyle w:val="671"/>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p>
    <w:p>
      <w:pPr>
        <w:ind w:firstLine="540"/>
        <w:spacing w:line="500" w:lineRule="exact"/>
        <w:rPr>
          <w:rStyle w:val="719"/>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671"/>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sz w:val="24"/>
          <w:szCs w:val="24"/>
        </w:rPr>
        <w:t xml:space="preserve">1.时间：</w:t>
      </w:r>
      <w:r>
        <w:rPr>
          <w:rFonts w:hint="eastAsia" w:ascii="宋体" w:hAnsi="宋体"/>
          <w:bCs/>
          <w:color w:val="auto"/>
          <w:sz w:val="24"/>
          <w:szCs w:val="24"/>
          <w:highlight w:val="none"/>
        </w:rPr>
        <w:t xml:space="preserve">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07</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21</w:t>
      </w:r>
      <w:r>
        <w:rPr>
          <w:rFonts w:hint="eastAsia" w:ascii="宋体" w:hAnsi="宋体"/>
          <w:bCs/>
          <w:color w:val="auto"/>
          <w:sz w:val="24"/>
          <w:szCs w:val="24"/>
          <w:highlight w:val="none"/>
        </w:rPr>
        <w:t xml:space="preserve">日09点30分（北京时间）</w:t>
      </w:r>
      <w:r/>
    </w:p>
    <w:p>
      <w:pPr>
        <w:ind w:firstLine="480"/>
        <w:spacing w:line="500" w:lineRule="exact"/>
        <w:rPr>
          <w:rFonts w:hint="eastAsia" w:ascii="宋体" w:hAnsi="宋体"/>
          <w:bCs/>
          <w:sz w:val="24"/>
          <w:szCs w:val="24"/>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w:t>
      </w:r>
      <w:r>
        <w:rPr>
          <w:rFonts w:hint="eastAsia" w:ascii="宋体" w:hAnsi="宋体"/>
          <w:sz w:val="24"/>
          <w:szCs w:val="24"/>
        </w:rPr>
        <w:t xml:space="preserve">开标大厅。</w:t>
      </w:r>
      <w:r/>
    </w:p>
    <w:p>
      <w:pPr>
        <w:pStyle w:val="671"/>
        <w:ind w:firstLine="452"/>
        <w:keepLines w:val="0"/>
        <w:keepNext w:val="0"/>
        <w:spacing w:before="0" w:after="0" w:line="500" w:lineRule="exact"/>
        <w:rPr>
          <w:sz w:val="30"/>
          <w:szCs w:val="30"/>
        </w:rPr>
      </w:pPr>
      <w:r/>
      <w:bookmarkStart w:id="27" w:name="_Toc38985267"/>
      <w:r/>
      <w:bookmarkStart w:id="28" w:name="_Toc28359084"/>
      <w:r/>
      <w:bookmarkStart w:id="29" w:name="_Toc35393794"/>
      <w:r/>
      <w:bookmarkStart w:id="30" w:name="_Toc35393625"/>
      <w:r/>
      <w:bookmarkStart w:id="31" w:name="_Toc28359007"/>
      <w:r>
        <w:rPr>
          <w:rFonts w:hint="eastAsia"/>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（招标公告及招标文件公告期限）自本公告发布之日起5个工作日。</w:t>
      </w:r>
      <w:r/>
    </w:p>
    <w:p>
      <w:pPr>
        <w:pStyle w:val="671"/>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671"/>
        <w:ind w:firstLine="452"/>
        <w:keepLines w:val="0"/>
        <w:keepNext w:val="0"/>
        <w:spacing w:before="0" w:after="0" w:line="500" w:lineRule="exact"/>
        <w:rPr>
          <w:sz w:val="30"/>
          <w:szCs w:val="30"/>
        </w:rPr>
      </w:pPr>
      <w:r/>
      <w:bookmarkStart w:id="35" w:name="_Toc35393796"/>
      <w:r/>
      <w:bookmarkStart w:id="36" w:name="_Toc28359008"/>
      <w:r/>
      <w:bookmarkStart w:id="37" w:name="_Toc35393627"/>
      <w:r/>
      <w:bookmarkStart w:id="38" w:name="_Toc38985269"/>
      <w:r/>
      <w:bookmarkStart w:id="39" w:name="_Toc28359085"/>
      <w:r>
        <w:rPr>
          <w:rFonts w:hint="eastAsia"/>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spacing w:line="500" w:lineRule="exac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名    称：</w:t>
      </w:r>
      <w:r>
        <w:rPr>
          <w:rFonts w:hint="eastAsia" w:ascii="宋体" w:hAnsi="宋体" w:cs="宋体"/>
          <w:color w:val="auto"/>
          <w:sz w:val="24"/>
          <w:szCs w:val="24"/>
          <w:lang w:eastAsia="zh-CN"/>
        </w:rPr>
        <w:t xml:space="preserve">无锡市新吴区第一实验学校</w:t>
      </w:r>
      <w:bookmarkStart w:id="212" w:name="_GoBack"/>
      <w:r/>
      <w:bookmarkEnd w:id="212"/>
      <w:r/>
      <w:r/>
    </w:p>
    <w:p>
      <w:pPr>
        <w:ind w:firstLine="48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地    址：无锡市新吴区旺庄西路18号</w:t>
      </w:r>
      <w:r/>
    </w:p>
    <w:p>
      <w:pPr>
        <w:ind w:firstLine="48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联系方式：</w:t>
      </w:r>
      <w:bookmarkStart w:id="40" w:name="_Toc28359086"/>
      <w:r/>
      <w:bookmarkStart w:id="41" w:name="_Toc28359009"/>
      <w:r>
        <w:rPr>
          <w:rFonts w:hint="eastAsia" w:ascii="宋体" w:hAnsi="宋体" w:eastAsia="宋体" w:cs="宋体"/>
          <w:color w:val="auto"/>
          <w:sz w:val="24"/>
          <w:szCs w:val="24"/>
          <w:lang w:eastAsia="zh-CN"/>
        </w:rPr>
        <w:t xml:space="preserve">见“项目联系方式”</w:t>
      </w:r>
      <w:r/>
    </w:p>
    <w:p>
      <w:pPr>
        <w:ind w:firstLine="48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w:t>
      </w:r>
      <w:bookmarkEnd w:id="40"/>
      <w:r/>
      <w:bookmarkEnd w:id="41"/>
      <w:r>
        <w:rPr>
          <w:rFonts w:hint="eastAsia" w:ascii="宋体" w:hAnsi="宋体" w:eastAsia="宋体" w:cs="宋体"/>
          <w:color w:val="auto"/>
          <w:sz w:val="24"/>
          <w:szCs w:val="24"/>
          <w:lang w:eastAsia="zh-CN"/>
        </w:rPr>
        <w:t xml:space="preserve">采购代理机构信息</w:t>
      </w:r>
      <w:r/>
    </w:p>
    <w:p>
      <w:pPr>
        <w:ind w:firstLine="48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名    称：无锡市公共资源交易中心新吴分中心</w:t>
      </w:r>
      <w:r/>
    </w:p>
    <w:p>
      <w:pPr>
        <w:ind w:firstLine="480"/>
        <w:spacing w:line="50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地    址：无锡市</w:t>
      </w:r>
      <w:r>
        <w:rPr>
          <w:rFonts w:hint="eastAsia" w:ascii="宋体" w:hAnsi="宋体" w:eastAsia="宋体" w:cs="宋体"/>
          <w:color w:val="auto"/>
          <w:sz w:val="24"/>
          <w:szCs w:val="24"/>
          <w:lang w:val="en-US" w:eastAsia="zh-CN"/>
        </w:rPr>
        <w:t xml:space="preserve">新吴</w:t>
      </w:r>
      <w:r>
        <w:rPr>
          <w:rFonts w:hint="eastAsia" w:ascii="宋体" w:hAnsi="宋体" w:eastAsia="宋体" w:cs="宋体"/>
          <w:color w:val="auto"/>
          <w:sz w:val="24"/>
          <w:szCs w:val="24"/>
          <w:lang w:eastAsia="zh-CN"/>
        </w:rPr>
        <w:t xml:space="preserve">区</w:t>
      </w:r>
      <w:r>
        <w:rPr>
          <w:rFonts w:hint="eastAsia" w:ascii="宋体" w:hAnsi="宋体" w:eastAsia="宋体" w:cs="宋体"/>
          <w:color w:val="auto"/>
          <w:sz w:val="24"/>
          <w:szCs w:val="24"/>
          <w:lang w:val="en-US" w:eastAsia="zh-CN"/>
        </w:rPr>
        <w:t xml:space="preserve">清晏</w:t>
      </w:r>
      <w:r>
        <w:rPr>
          <w:rFonts w:hint="eastAsia" w:ascii="宋体" w:hAnsi="宋体" w:eastAsia="宋体" w:cs="宋体"/>
          <w:color w:val="auto"/>
          <w:sz w:val="24"/>
          <w:szCs w:val="24"/>
          <w:lang w:eastAsia="zh-CN"/>
        </w:rPr>
        <w:t xml:space="preserve">路</w:t>
      </w:r>
      <w:r>
        <w:rPr>
          <w:rFonts w:hint="eastAsia" w:ascii="宋体" w:hAnsi="宋体" w:eastAsia="宋体" w:cs="宋体"/>
          <w:color w:val="auto"/>
          <w:sz w:val="24"/>
          <w:szCs w:val="24"/>
          <w:lang w:val="en-US" w:eastAsia="zh-CN"/>
        </w:rPr>
        <w:t xml:space="preserve">30号</w:t>
      </w:r>
      <w:r/>
    </w:p>
    <w:p>
      <w:pPr>
        <w:ind w:firstLine="48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联系方式：见“项目联系方式”</w:t>
      </w:r>
      <w:r/>
    </w:p>
    <w:p>
      <w:pPr>
        <w:ind w:firstLine="48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3.项目联系方式</w:t>
      </w:r>
      <w:r/>
    </w:p>
    <w:p>
      <w:pPr>
        <w:ind w:firstLine="48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采购人项目咨询联系人：</w:t>
      </w:r>
      <w:r>
        <w:rPr>
          <w:rFonts w:hint="eastAsia" w:ascii="宋体" w:hAnsi="宋体" w:eastAsia="宋体" w:cs="宋体"/>
          <w:color w:val="auto"/>
          <w:sz w:val="24"/>
          <w:szCs w:val="24"/>
          <w:lang w:val="en-US" w:eastAsia="zh-CN"/>
        </w:rPr>
        <w:t xml:space="preserve">张恒辉</w:t>
      </w:r>
      <w:r>
        <w:rPr>
          <w:rFonts w:hint="eastAsia" w:ascii="宋体" w:hAnsi="宋体" w:eastAsia="宋体" w:cs="宋体"/>
          <w:color w:val="auto"/>
          <w:sz w:val="24"/>
          <w:szCs w:val="24"/>
          <w:lang w:eastAsia="zh-CN"/>
        </w:rPr>
        <w:t xml:space="preserve">；电话：</w:t>
      </w:r>
      <w:r>
        <w:rPr>
          <w:rFonts w:hint="eastAsia" w:ascii="宋体" w:hAnsi="宋体" w:eastAsia="宋体" w:cs="宋体"/>
          <w:color w:val="auto"/>
          <w:sz w:val="24"/>
          <w:szCs w:val="24"/>
          <w:lang w:val="en-US" w:eastAsia="zh-CN"/>
        </w:rPr>
        <w:t xml:space="preserve">18761526536</w:t>
      </w:r>
      <w:r/>
    </w:p>
    <w:p>
      <w:pPr>
        <w:ind w:firstLine="48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采购人质疑受理联系人：</w:t>
      </w:r>
      <w:r>
        <w:rPr>
          <w:rFonts w:hint="eastAsia" w:ascii="宋体" w:hAnsi="宋体" w:eastAsia="宋体" w:cs="宋体"/>
          <w:color w:val="auto"/>
          <w:sz w:val="24"/>
          <w:szCs w:val="24"/>
          <w:lang w:val="en-US" w:eastAsia="zh-CN"/>
        </w:rPr>
        <w:t xml:space="preserve">张恒辉</w:t>
      </w:r>
      <w:r>
        <w:rPr>
          <w:rFonts w:hint="eastAsia" w:ascii="宋体" w:hAnsi="宋体" w:eastAsia="宋体" w:cs="宋体"/>
          <w:color w:val="auto"/>
          <w:sz w:val="24"/>
          <w:szCs w:val="24"/>
          <w:lang w:eastAsia="zh-CN"/>
        </w:rPr>
        <w:t xml:space="preserve">；电话：</w:t>
      </w:r>
      <w:r>
        <w:rPr>
          <w:rFonts w:hint="eastAsia" w:ascii="宋体" w:hAnsi="宋体" w:eastAsia="宋体" w:cs="宋体"/>
          <w:color w:val="auto"/>
          <w:sz w:val="24"/>
          <w:szCs w:val="24"/>
          <w:lang w:val="en-US" w:eastAsia="zh-CN"/>
        </w:rPr>
        <w:t xml:space="preserve">18761526536</w:t>
      </w:r>
      <w:r/>
    </w:p>
    <w:p>
      <w:pPr>
        <w:ind w:firstLine="480"/>
        <w:spacing w:line="500" w:lineRule="exact"/>
        <w:rPr>
          <w:rFonts w:hint="default" w:ascii="宋体" w:hAnsi="宋体" w:eastAsia="宋体" w:cs="宋体"/>
          <w:color w:val="auto"/>
          <w:sz w:val="24"/>
          <w:szCs w:val="24"/>
          <w:lang w:val="en-US" w:eastAsia="zh-CN"/>
        </w:rPr>
      </w:pPr>
      <w:r>
        <w:rPr>
          <w:rFonts w:hint="eastAsia" w:ascii="宋体" w:hAnsi="宋体" w:cs="宋体"/>
          <w:color w:val="auto"/>
          <w:sz w:val="24"/>
          <w:szCs w:val="24"/>
        </w:rPr>
        <w:t xml:space="preserve">交易中心项目联系人：</w:t>
      </w:r>
      <w:r>
        <w:rPr>
          <w:rFonts w:hint="eastAsia" w:ascii="宋体" w:hAnsi="宋体" w:cs="宋体"/>
          <w:color w:val="auto"/>
          <w:sz w:val="24"/>
          <w:szCs w:val="24"/>
          <w:lang w:eastAsia="zh-CN"/>
        </w:rPr>
        <w:t xml:space="preserve">华晓芸</w:t>
      </w:r>
      <w:r>
        <w:rPr>
          <w:rFonts w:hint="eastAsia" w:ascii="宋体" w:hAnsi="宋体" w:cs="宋体"/>
          <w:color w:val="auto"/>
          <w:sz w:val="24"/>
          <w:szCs w:val="24"/>
        </w:rPr>
        <w:t xml:space="preserve">；电话：0510-</w:t>
      </w:r>
      <w:r>
        <w:rPr>
          <w:rFonts w:hint="eastAsia" w:ascii="宋体" w:hAnsi="宋体" w:cs="宋体"/>
          <w:color w:val="auto"/>
          <w:sz w:val="24"/>
          <w:szCs w:val="24"/>
          <w:lang w:val="en-US" w:eastAsia="zh-CN"/>
        </w:rPr>
        <w:t xml:space="preserve">85253039</w:t>
      </w:r>
      <w:r/>
    </w:p>
    <w:p>
      <w:pPr>
        <w:pStyle w:val="671"/>
        <w:ind w:firstLine="452"/>
        <w:keepLines w:val="0"/>
        <w:keepNext w:val="0"/>
        <w:spacing w:before="0" w:after="0" w:line="500" w:lineRule="exact"/>
        <w:rPr>
          <w:color w:val="auto"/>
          <w:sz w:val="30"/>
          <w:szCs w:val="30"/>
        </w:rPr>
      </w:pPr>
      <w:r>
        <w:rPr>
          <w:rFonts w:hint="eastAsia"/>
          <w:color w:val="auto"/>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20614213"/>
      <w:r/>
      <w:bookmarkStart w:id="46" w:name="_Toc16938518"/>
      <w:r>
        <w:rPr>
          <w:rFonts w:hint="eastAsia" w:ascii="黑体" w:hAnsi="黑体" w:eastAsia="黑体"/>
          <w:sz w:val="36"/>
          <w:szCs w:val="36"/>
        </w:rPr>
        <w:t xml:space="preserve">投标人须知</w:t>
      </w:r>
      <w:bookmarkEnd w:id="43"/>
      <w:r/>
      <w:bookmarkEnd w:id="44"/>
      <w:r/>
      <w:bookmarkEnd w:id="45"/>
      <w:r/>
      <w:bookmarkEnd w:id="46"/>
      <w:r/>
      <w:r/>
    </w:p>
    <w:p>
      <w:pPr>
        <w:pStyle w:val="671"/>
        <w:ind w:firstLine="452"/>
        <w:keepLines w:val="0"/>
        <w:keepNext w:val="0"/>
        <w:spacing w:before="0" w:after="0" w:line="500" w:lineRule="exact"/>
        <w:rPr>
          <w:rFonts w:hint="eastAsia"/>
          <w:sz w:val="30"/>
          <w:szCs w:val="30"/>
        </w:rPr>
      </w:pPr>
      <w:r/>
      <w:bookmarkStart w:id="47" w:name="_Toc20823275"/>
      <w:r/>
      <w:bookmarkStart w:id="48" w:name="_Toc513029203"/>
      <w:r/>
      <w:bookmarkStart w:id="49" w:name="_Toc16938519"/>
      <w:r/>
      <w:bookmarkStart w:id="50" w:name="_Toc120614214"/>
      <w:r>
        <w:rPr>
          <w:rFonts w:hint="eastAsia"/>
          <w:sz w:val="30"/>
          <w:szCs w:val="30"/>
        </w:rPr>
        <w:t xml:space="preserve">一、总则</w:t>
      </w:r>
      <w:bookmarkEnd w:id="47"/>
      <w:r/>
      <w:bookmarkEnd w:id="48"/>
      <w:r/>
      <w:bookmarkEnd w:id="49"/>
      <w:r/>
      <w:bookmarkEnd w:id="50"/>
      <w:r/>
      <w:r/>
    </w:p>
    <w:p>
      <w:pPr>
        <w:pStyle w:val="672"/>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672"/>
        <w:ind w:firstLine="422"/>
        <w:keepLines w:val="0"/>
        <w:keepNext w:val="0"/>
        <w:spacing w:before="0" w:after="0" w:line="500" w:lineRule="exact"/>
        <w:rPr>
          <w:rFonts w:hint="eastAsia" w:ascii="宋体" w:hAnsi="宋体" w:eastAsia="宋体"/>
          <w:bCs w:val="0"/>
        </w:rPr>
      </w:pPr>
      <w:r/>
      <w:bookmarkStart w:id="55" w:name="_Toc16938521"/>
      <w:r/>
      <w:bookmarkStart w:id="56" w:name="_Toc513029205"/>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72"/>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672"/>
        <w:ind w:firstLine="422"/>
        <w:keepLines w:val="0"/>
        <w:keepNext w:val="0"/>
        <w:spacing w:before="0" w:after="0" w:line="500" w:lineRule="exact"/>
        <w:rPr>
          <w:rFonts w:hint="eastAsia" w:ascii="宋体" w:hAnsi="宋体" w:eastAsia="宋体"/>
          <w:bCs w:val="0"/>
        </w:rPr>
      </w:pPr>
      <w:r/>
      <w:bookmarkStart w:id="61" w:name="_Toc16938523"/>
      <w:r/>
      <w:bookmarkStart w:id="62" w:name="_Toc462564067"/>
      <w:r/>
      <w:bookmarkStart w:id="63" w:name="_Toc513029207"/>
      <w:r/>
      <w:bookmarkStart w:id="64" w:name="_Toc20823279"/>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67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671"/>
        <w:ind w:firstLine="452"/>
        <w:keepLines w:val="0"/>
        <w:keepNext w:val="0"/>
        <w:spacing w:before="0" w:after="0" w:line="500" w:lineRule="exact"/>
        <w:rPr>
          <w:rFonts w:hint="eastAsia"/>
          <w:sz w:val="30"/>
          <w:szCs w:val="30"/>
        </w:rPr>
      </w:pPr>
      <w:r/>
      <w:bookmarkStart w:id="65" w:name="_Toc16938525"/>
      <w:r/>
      <w:bookmarkStart w:id="66" w:name="_Toc120614215"/>
      <w:r/>
      <w:bookmarkStart w:id="67" w:name="_Toc20823281"/>
      <w:r/>
      <w:bookmarkStart w:id="68" w:name="_Toc513029209"/>
      <w:r>
        <w:rPr>
          <w:rFonts w:hint="eastAsia"/>
          <w:sz w:val="30"/>
          <w:szCs w:val="30"/>
        </w:rPr>
        <w:t xml:space="preserve">二、招标文件</w:t>
      </w:r>
      <w:bookmarkEnd w:id="65"/>
      <w:r/>
      <w:bookmarkEnd w:id="66"/>
      <w:r/>
      <w:bookmarkEnd w:id="67"/>
      <w:r/>
      <w:bookmarkEnd w:id="68"/>
      <w:r/>
      <w:r/>
    </w:p>
    <w:p>
      <w:pPr>
        <w:pStyle w:val="672"/>
        <w:ind w:firstLine="422"/>
        <w:keepLines w:val="0"/>
        <w:keepNext w:val="0"/>
        <w:spacing w:before="0" w:after="0" w:line="500" w:lineRule="exact"/>
        <w:rPr>
          <w:rFonts w:hint="eastAsia" w:ascii="宋体" w:hAnsi="宋体" w:eastAsia="宋体"/>
          <w:bCs w:val="0"/>
        </w:rPr>
      </w:pPr>
      <w:r/>
      <w:bookmarkStart w:id="69" w:name="_Toc16938526"/>
      <w:r/>
      <w:bookmarkStart w:id="70" w:name="_Toc20823282"/>
      <w:r/>
      <w:bookmarkStart w:id="71" w:name="_Toc513029210"/>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2"/>
        <w:ind w:firstLine="422"/>
        <w:keepLines w:val="0"/>
        <w:keepNext w:val="0"/>
        <w:spacing w:before="0" w:after="0" w:line="500" w:lineRule="exact"/>
        <w:rPr>
          <w:rFonts w:hint="eastAsia" w:ascii="宋体" w:hAnsi="宋体" w:eastAsia="宋体"/>
          <w:bCs w:val="0"/>
        </w:rPr>
      </w:pPr>
      <w:r/>
      <w:bookmarkStart w:id="72" w:name="_Toc513029211"/>
      <w:r/>
      <w:bookmarkStart w:id="73" w:name="_Toc462564070"/>
      <w:r/>
      <w:bookmarkStart w:id="74" w:name="_Toc16938527"/>
      <w:r/>
      <w:bookmarkStart w:id="75" w:name="_Toc20823283"/>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672"/>
        <w:ind w:firstLine="422"/>
        <w:keepLines w:val="0"/>
        <w:keepNext w:val="0"/>
        <w:spacing w:before="0" w:after="0" w:line="500" w:lineRule="exact"/>
        <w:rPr>
          <w:rFonts w:hint="eastAsia" w:ascii="宋体" w:hAnsi="宋体" w:eastAsia="宋体"/>
          <w:bCs w:val="0"/>
        </w:rPr>
      </w:pPr>
      <w:r/>
      <w:bookmarkStart w:id="76" w:name="_Toc20823284"/>
      <w:r/>
      <w:bookmarkStart w:id="77" w:name="_Toc16938528"/>
      <w:r/>
      <w:bookmarkStart w:id="78" w:name="_Toc462564071"/>
      <w:r/>
      <w:bookmarkStart w:id="79" w:name="_Toc513029212"/>
      <w:r>
        <w:rPr>
          <w:rFonts w:hint="eastAsia" w:ascii="宋体" w:hAnsi="宋体" w:eastAsia="宋体"/>
          <w:bCs w:val="0"/>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671"/>
        <w:ind w:firstLine="452"/>
        <w:keepLines w:val="0"/>
        <w:keepNext w:val="0"/>
        <w:spacing w:before="0" w:after="0" w:line="500" w:lineRule="exact"/>
        <w:rPr>
          <w:rFonts w:hint="eastAsia"/>
          <w:sz w:val="30"/>
          <w:szCs w:val="30"/>
        </w:rPr>
      </w:pPr>
      <w:r/>
      <w:bookmarkStart w:id="80" w:name="_Toc462564072"/>
      <w:r/>
      <w:bookmarkStart w:id="81" w:name="_Toc120614216"/>
      <w:r/>
      <w:bookmarkStart w:id="82" w:name="_Toc20823285"/>
      <w:r/>
      <w:bookmarkStart w:id="83" w:name="_Toc16938529"/>
      <w:r/>
      <w:bookmarkStart w:id="84" w:name="_Toc513029213"/>
      <w:r>
        <w:rPr>
          <w:rFonts w:hint="eastAsia"/>
          <w:sz w:val="30"/>
          <w:szCs w:val="30"/>
        </w:rPr>
        <w:t xml:space="preserve">三、投标文件的编制</w:t>
      </w:r>
      <w:bookmarkEnd w:id="80"/>
      <w:r/>
      <w:bookmarkEnd w:id="81"/>
      <w:r/>
      <w:bookmarkEnd w:id="82"/>
      <w:r/>
      <w:bookmarkEnd w:id="83"/>
      <w:r/>
      <w:bookmarkEnd w:id="84"/>
      <w:r/>
      <w:r/>
    </w:p>
    <w:p>
      <w:pPr>
        <w:pStyle w:val="672"/>
        <w:ind w:firstLine="422"/>
        <w:keepLines w:val="0"/>
        <w:keepNext w:val="0"/>
        <w:spacing w:before="0" w:after="0" w:line="500" w:lineRule="exact"/>
        <w:rPr>
          <w:rFonts w:hint="eastAsia" w:ascii="宋体" w:hAnsi="宋体" w:eastAsia="宋体"/>
          <w:bCs w:val="0"/>
        </w:rPr>
      </w:pPr>
      <w:r/>
      <w:bookmarkStart w:id="85" w:name="_Toc16938530"/>
      <w:r/>
      <w:bookmarkStart w:id="86" w:name="_Toc462564073"/>
      <w:r/>
      <w:bookmarkStart w:id="87" w:name="_Toc513029214"/>
      <w:r/>
      <w:bookmarkStart w:id="88" w:name="_Toc20823286"/>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672"/>
        <w:ind w:firstLine="422"/>
        <w:keepLines w:val="0"/>
        <w:keepNext w:val="0"/>
        <w:spacing w:before="0" w:after="0" w:line="500" w:lineRule="exact"/>
        <w:rPr>
          <w:rFonts w:hint="eastAsia" w:ascii="宋体" w:hAnsi="宋体" w:eastAsia="宋体"/>
          <w:bCs w:val="0"/>
        </w:rPr>
      </w:pPr>
      <w:r/>
      <w:bookmarkStart w:id="89" w:name="_Toc16938531"/>
      <w:r/>
      <w:bookmarkStart w:id="90" w:name="_Toc513029215"/>
      <w:r/>
      <w:bookmarkStart w:id="91" w:name="_Toc20823287"/>
      <w:r/>
      <w:bookmarkStart w:id="92" w:name="_Toc462564074"/>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672"/>
        <w:ind w:firstLine="422"/>
        <w:keepLines w:val="0"/>
        <w:keepNext w:val="0"/>
        <w:spacing w:before="0" w:after="0" w:line="500" w:lineRule="exact"/>
        <w:rPr>
          <w:rFonts w:hint="eastAsia" w:ascii="宋体" w:hAnsi="宋体" w:eastAsia="宋体"/>
          <w:bCs w:val="0"/>
        </w:rPr>
      </w:pPr>
      <w:r/>
      <w:bookmarkStart w:id="93" w:name="_Hlt26954838"/>
      <w:r/>
      <w:bookmarkEnd w:id="93"/>
      <w:r/>
      <w:bookmarkStart w:id="94" w:name="_Hlt26668975"/>
      <w:r/>
      <w:bookmarkEnd w:id="94"/>
      <w:r/>
      <w:bookmarkStart w:id="95" w:name="_Hlt26670360"/>
      <w:r/>
      <w:bookmarkEnd w:id="95"/>
      <w:r/>
      <w:bookmarkStart w:id="96" w:name="_Toc49090509"/>
      <w:r/>
      <w:bookmarkStart w:id="97" w:name="_Toc14577357"/>
      <w:r/>
      <w:bookmarkStart w:id="98" w:name="_Toc513029219"/>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sz w:val="24"/>
        </w:rPr>
      </w:pPr>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672"/>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67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672"/>
        <w:ind w:firstLine="422"/>
        <w:keepLines w:val="0"/>
        <w:keepNext w:val="0"/>
        <w:spacing w:before="0" w:after="0" w:line="500" w:lineRule="exact"/>
        <w:rPr>
          <w:rFonts w:hint="eastAsia" w:ascii="宋体" w:hAnsi="宋体" w:eastAsia="宋体"/>
          <w:bCs w:val="0"/>
        </w:rPr>
      </w:pPr>
      <w:r/>
      <w:bookmarkStart w:id="108" w:name="_Hlt26668983"/>
      <w:r/>
      <w:bookmarkEnd w:id="108"/>
      <w:r/>
      <w:bookmarkStart w:id="109" w:name="_Hlt26954848"/>
      <w:r/>
      <w:bookmarkEnd w:id="109"/>
      <w:r/>
      <w:bookmarkStart w:id="110" w:name="_Hlt26670403"/>
      <w:r/>
      <w:bookmarkEnd w:id="110"/>
      <w:r/>
      <w:bookmarkStart w:id="111" w:name="_Hlt26670486"/>
      <w:r/>
      <w:bookmarkEnd w:id="111"/>
      <w:r/>
      <w:bookmarkStart w:id="112" w:name="_Hlt26670425"/>
      <w:r/>
      <w:bookmarkEnd w:id="112"/>
      <w:r/>
      <w:bookmarkStart w:id="113" w:name="_Hlt26954846"/>
      <w:r/>
      <w:bookmarkEnd w:id="113"/>
      <w:r/>
      <w:bookmarkStart w:id="114" w:name="_Hlt26670482"/>
      <w:r/>
      <w:bookmarkEnd w:id="114"/>
      <w:r/>
      <w:bookmarkStart w:id="115" w:name="_Hlt26954844"/>
      <w:r/>
      <w:bookmarkEnd w:id="115"/>
      <w:r/>
      <w:bookmarkStart w:id="116" w:name="_Hlt26954842"/>
      <w:r/>
      <w:bookmarkEnd w:id="116"/>
      <w:r/>
      <w:bookmarkStart w:id="117" w:name="_Hlt26954731"/>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672"/>
        <w:ind w:firstLine="422"/>
        <w:keepLines w:val="0"/>
        <w:keepNext w:val="0"/>
        <w:spacing w:before="0" w:after="0" w:line="500" w:lineRule="exact"/>
        <w:rPr>
          <w:rFonts w:hint="eastAsia" w:ascii="宋体" w:hAnsi="宋体" w:eastAsia="宋体"/>
          <w:bCs w:val="0"/>
        </w:rPr>
      </w:pPr>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7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71"/>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20823296"/>
      <w:r/>
      <w:bookmarkStart w:id="126" w:name="_Toc16938540"/>
      <w:r/>
      <w:bookmarkStart w:id="127" w:name="_Toc513029224"/>
      <w:r/>
      <w:bookmarkStart w:id="128" w:name="_Toc120614217"/>
      <w:r>
        <w:rPr>
          <w:rFonts w:hint="eastAsia"/>
          <w:sz w:val="30"/>
          <w:szCs w:val="30"/>
        </w:rPr>
        <w:t xml:space="preserve">四、投标文件的递交</w:t>
      </w:r>
      <w:bookmarkEnd w:id="125"/>
      <w:r/>
      <w:bookmarkEnd w:id="126"/>
      <w:r/>
      <w:bookmarkEnd w:id="127"/>
      <w:r/>
      <w:bookmarkEnd w:id="128"/>
      <w:r/>
      <w:r/>
    </w:p>
    <w:p>
      <w:pPr>
        <w:pStyle w:val="672"/>
        <w:ind w:firstLine="422"/>
        <w:keepLines w:val="0"/>
        <w:keepNext w:val="0"/>
        <w:spacing w:before="0" w:after="0" w:line="500" w:lineRule="exact"/>
        <w:rPr>
          <w:rFonts w:hint="eastAsia" w:ascii="宋体" w:hAnsi="宋体" w:eastAsia="宋体"/>
          <w:bCs w:val="0"/>
        </w:rPr>
      </w:pPr>
      <w:r/>
      <w:bookmarkStart w:id="129" w:name="_Toc462564084"/>
      <w:r/>
      <w:bookmarkStart w:id="130" w:name="_Toc513029225"/>
      <w:r/>
      <w:bookmarkStart w:id="131" w:name="_Toc20823297"/>
      <w:r/>
      <w:bookmarkStart w:id="132" w:name="_Toc16938541"/>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783"/>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513029226"/>
      <w:r/>
      <w:bookmarkStart w:id="135" w:name="_Toc20823298"/>
      <w:r/>
      <w:r/>
    </w:p>
    <w:p>
      <w:pPr>
        <w:pStyle w:val="67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672"/>
        <w:ind w:firstLine="422"/>
        <w:keepLines w:val="0"/>
        <w:keepNext w:val="0"/>
        <w:spacing w:before="0" w:after="0" w:line="500" w:lineRule="exact"/>
        <w:rPr>
          <w:rFonts w:hint="eastAsia" w:ascii="宋体" w:hAnsi="宋体" w:eastAsia="宋体"/>
          <w:bCs w:val="0"/>
        </w:rPr>
      </w:pPr>
      <w:r/>
      <w:bookmarkStart w:id="136" w:name="_Toc16938543"/>
      <w:r/>
      <w:bookmarkStart w:id="137" w:name="_Toc20823299"/>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672"/>
        <w:ind w:firstLine="422"/>
        <w:keepLines w:val="0"/>
        <w:keepNext w:val="0"/>
        <w:spacing w:before="0" w:after="0" w:line="500" w:lineRule="exact"/>
        <w:rPr>
          <w:rFonts w:hint="eastAsia" w:ascii="宋体" w:hAnsi="宋体" w:eastAsia="宋体"/>
          <w:bCs w:val="0"/>
        </w:rPr>
      </w:pPr>
      <w:r/>
      <w:bookmarkStart w:id="139" w:name="_Toc20823300"/>
      <w:r/>
      <w:bookmarkStart w:id="140" w:name="_Toc513029228"/>
      <w:r/>
      <w:bookmarkStart w:id="141" w:name="_Toc16938544"/>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671"/>
        <w:ind w:firstLine="452"/>
        <w:keepLines w:val="0"/>
        <w:keepNext w:val="0"/>
        <w:spacing w:before="0" w:after="0" w:line="500" w:lineRule="exact"/>
        <w:rPr>
          <w:rFonts w:hint="eastAsia"/>
          <w:sz w:val="30"/>
          <w:szCs w:val="30"/>
        </w:rPr>
      </w:pPr>
      <w:r/>
      <w:bookmarkStart w:id="142" w:name="_Toc513029229"/>
      <w:r/>
      <w:bookmarkStart w:id="143" w:name="_Toc16938545"/>
      <w:r/>
      <w:bookmarkStart w:id="144" w:name="_Toc20823301"/>
      <w:r/>
      <w:bookmarkStart w:id="145" w:name="_Toc120614218"/>
      <w:r>
        <w:rPr>
          <w:rFonts w:hint="eastAsia"/>
          <w:sz w:val="30"/>
          <w:szCs w:val="30"/>
        </w:rPr>
        <w:t xml:space="preserve">五、开标与评标</w:t>
      </w:r>
      <w:bookmarkEnd w:id="142"/>
      <w:r/>
      <w:bookmarkEnd w:id="143"/>
      <w:r/>
      <w:bookmarkEnd w:id="144"/>
      <w:r/>
      <w:bookmarkEnd w:id="145"/>
      <w:r/>
      <w:r/>
    </w:p>
    <w:p>
      <w:pPr>
        <w:pStyle w:val="672"/>
        <w:ind w:firstLine="422"/>
        <w:keepLines w:val="0"/>
        <w:keepNext w:val="0"/>
        <w:spacing w:before="0" w:after="0" w:line="500" w:lineRule="exact"/>
        <w:rPr>
          <w:rFonts w:hint="eastAsia" w:ascii="宋体" w:hAnsi="宋体" w:eastAsia="宋体"/>
          <w:bCs w:val="0"/>
        </w:rPr>
      </w:pPr>
      <w:r/>
      <w:bookmarkStart w:id="146" w:name="_Toc16938546"/>
      <w:r/>
      <w:bookmarkStart w:id="147" w:name="_Toc20823302"/>
      <w:r/>
      <w:bookmarkStart w:id="148" w:name="_Toc513029230"/>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672"/>
        <w:ind w:firstLine="422"/>
        <w:keepLines w:val="0"/>
        <w:keepNext w:val="0"/>
        <w:spacing w:before="0" w:after="0" w:line="500" w:lineRule="exact"/>
        <w:rPr>
          <w:rFonts w:hint="eastAsia" w:ascii="宋体" w:hAnsi="宋体" w:eastAsia="宋体"/>
          <w:bCs w:val="0"/>
        </w:rPr>
      </w:pPr>
      <w:r/>
      <w:bookmarkStart w:id="149" w:name="_Toc16938547"/>
      <w:r/>
      <w:bookmarkStart w:id="150" w:name="_Toc513029231"/>
      <w:r/>
      <w:bookmarkStart w:id="151" w:name="_Toc20823303"/>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67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bookmarkEnd w:id="150"/>
      <w:bookmarkEnd w:id="151"/>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672"/>
        <w:ind w:firstLine="422"/>
        <w:keepLines w:val="0"/>
        <w:keepNext w:val="0"/>
        <w:spacing w:before="0" w:after="0" w:line="500" w:lineRule="exact"/>
        <w:rPr>
          <w:rFonts w:hint="eastAsia" w:ascii="宋体" w:hAnsi="宋体" w:eastAsia="宋体"/>
          <w:bCs w:val="0"/>
        </w:rPr>
      </w:pPr>
      <w:r/>
      <w:bookmarkStart w:id="152" w:name="_Toc513029232"/>
      <w:r/>
      <w:bookmarkStart w:id="153" w:name="_Toc16938548"/>
      <w:r/>
      <w:bookmarkStart w:id="154" w:name="_Toc20823304"/>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672"/>
        <w:ind w:firstLine="422"/>
        <w:keepLines w:val="0"/>
        <w:keepNext w:val="0"/>
        <w:spacing w:before="0" w:after="0" w:line="500" w:lineRule="exact"/>
        <w:rPr>
          <w:rFonts w:hint="eastAsia" w:ascii="宋体" w:hAnsi="宋体" w:eastAsia="宋体"/>
          <w:bCs w:val="0"/>
        </w:rPr>
      </w:pPr>
      <w:r/>
      <w:bookmarkStart w:id="155" w:name="_Toc16938549"/>
      <w:r/>
      <w:bookmarkStart w:id="156" w:name="_Toc513029233"/>
      <w:r/>
      <w:bookmarkStart w:id="157" w:name="_Toc20823305"/>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highlight w:val="none"/>
        </w:rPr>
      </w:pPr>
      <w:r/>
      <w:bookmarkStart w:id="158" w:name="_Toc513029234"/>
      <w:r/>
      <w:bookmarkStart w:id="159" w:name="_Toc20823306"/>
      <w:r/>
      <w:bookmarkStart w:id="160" w:name="_Toc16938550"/>
      <w:r>
        <w:rPr>
          <w:rFonts w:hint="eastAsia" w:ascii="宋体" w:hAnsi="宋体"/>
          <w:sz w:val="24"/>
          <w:highlight w:val="none"/>
        </w:rPr>
        <w:t xml:space="preserve">25.6投标人在开、评标全过程中应保持通讯畅通，及时登录</w:t>
      </w:r>
      <w:r>
        <w:rPr>
          <w:rFonts w:hint="eastAsia" w:ascii="宋体" w:hAnsi="宋体"/>
          <w:bCs/>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80"/>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672"/>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p>
    <w:p>
      <w:pPr>
        <w:ind w:left="479"/>
        <w:spacing w:line="500" w:lineRule="exact"/>
        <w:rPr>
          <w:rFonts w:hint="eastAsia" w:ascii="宋体" w:hAnsi="宋体"/>
          <w:bCs/>
          <w:sz w:val="24"/>
          <w:highlight w:val="none"/>
        </w:rPr>
      </w:pPr>
      <w:r/>
      <w:bookmarkStart w:id="161" w:name="_Toc513029235"/>
      <w:r/>
      <w:bookmarkStart w:id="162" w:name="_Toc20823307"/>
      <w:r/>
      <w:bookmarkStart w:id="163" w:name="_Toc16938551"/>
      <w:r>
        <w:rPr>
          <w:rFonts w:hint="eastAsia" w:ascii="宋体" w:hAnsi="宋体"/>
          <w:bCs/>
          <w:sz w:val="24"/>
          <w:highlight w:val="none"/>
        </w:rPr>
        <w:t xml:space="preserve">26.1无效投标条款</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p>
    <w:p>
      <w:pPr>
        <w:ind w:firstLine="480"/>
        <w:spacing w:line="500" w:lineRule="exact"/>
        <w:rPr>
          <w:rFonts w:hint="eastAsia" w:ascii="宋体" w:hAnsi="宋体"/>
          <w:bCs/>
          <w:sz w:val="24"/>
          <w:szCs w:val="24"/>
        </w:rPr>
      </w:pPr>
      <w:r>
        <w:rPr>
          <w:rFonts w:hint="eastAsia" w:ascii="宋体" w:hAnsi="宋体"/>
          <w:bCs/>
          <w:sz w:val="24"/>
          <w:szCs w:val="24"/>
          <w:highlight w:val="none"/>
        </w:rPr>
        <w:t xml:space="preserve">26.1.2投标人在“苏采云”系统规定的时间内未成功解密电</w:t>
      </w:r>
      <w:r>
        <w:rPr>
          <w:rFonts w:hint="eastAsia" w:ascii="宋体" w:hAnsi="宋体"/>
          <w:bCs/>
          <w:sz w:val="24"/>
          <w:szCs w:val="24"/>
        </w:rPr>
        <w:t xml:space="preserve">子投标文件的。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highlight w:val="none"/>
        </w:rPr>
      </w:pPr>
      <w:r>
        <w:rPr>
          <w:rFonts w:hint="eastAsia" w:ascii="宋体" w:hAnsi="宋体"/>
          <w:bCs/>
          <w:sz w:val="24"/>
        </w:rPr>
        <w:t xml:space="preserve">26.</w:t>
      </w:r>
      <w:r>
        <w:rPr>
          <w:rFonts w:hint="eastAsia" w:ascii="宋体" w:hAnsi="宋体"/>
          <w:bCs/>
          <w:sz w:val="24"/>
          <w:highlight w:val="none"/>
        </w:rPr>
        <w:t xml:space="preserve">1.20</w:t>
      </w:r>
      <w:r>
        <w:rPr>
          <w:rFonts w:hint="eastAsia" w:ascii="宋体" w:hAnsi="宋体"/>
          <w:bCs/>
          <w:sz w:val="24"/>
          <w:szCs w:val="24"/>
          <w:highlight w:val="none"/>
        </w:rPr>
        <w:t xml:space="preserve">提供虚假材料的（包括工商营业执照、财务报表、资格证明文件等）。</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p>
    <w:p>
      <w:pPr>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671"/>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672"/>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67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67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71"/>
        <w:ind w:firstLine="452"/>
        <w:keepLines w:val="0"/>
        <w:keepNext w:val="0"/>
        <w:spacing w:before="0" w:after="0" w:line="500" w:lineRule="exact"/>
        <w:rPr>
          <w:rFonts w:hint="eastAsia"/>
          <w:sz w:val="30"/>
          <w:szCs w:val="30"/>
        </w:rPr>
      </w:pPr>
      <w:r/>
      <w:bookmarkStart w:id="169" w:name="_Toc120614220"/>
      <w:r/>
      <w:bookmarkStart w:id="170" w:name="_Toc513029236"/>
      <w:r/>
      <w:bookmarkStart w:id="171" w:name="_Toc16938552"/>
      <w:r/>
      <w:bookmarkStart w:id="172" w:name="_Toc20823308"/>
      <w:r>
        <w:rPr>
          <w:rFonts w:hint="eastAsia"/>
          <w:sz w:val="30"/>
          <w:szCs w:val="30"/>
        </w:rPr>
        <w:t xml:space="preserve">七、授予合同</w:t>
      </w:r>
      <w:bookmarkEnd w:id="169"/>
      <w:r/>
      <w:bookmarkEnd w:id="170"/>
      <w:bookmarkEnd w:id="171"/>
      <w:bookmarkEnd w:id="172"/>
      <w:r/>
    </w:p>
    <w:p>
      <w:pPr>
        <w:pStyle w:val="672"/>
        <w:ind w:firstLine="422"/>
        <w:keepLines w:val="0"/>
        <w:keepNext w:val="0"/>
        <w:spacing w:before="0" w:after="0" w:line="500" w:lineRule="exact"/>
        <w:rPr>
          <w:rFonts w:hint="eastAsia" w:ascii="宋体" w:hAnsi="宋体" w:eastAsia="宋体"/>
          <w:bCs w:val="0"/>
        </w:rPr>
      </w:pPr>
      <w:r/>
      <w:bookmarkStart w:id="173" w:name="_Toc16938553"/>
      <w:r/>
      <w:bookmarkStart w:id="174" w:name="_Toc20823309"/>
      <w:r/>
      <w:bookmarkStart w:id="175" w:name="_Toc513029237"/>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7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sz w:val="36"/>
          <w:szCs w:val="36"/>
        </w:rPr>
        <w:outlineLvl w:val="0"/>
      </w:pPr>
      <w:r/>
      <w:bookmarkStart w:id="176" w:name="_Toc479757207"/>
      <w:r/>
      <w:bookmarkStart w:id="177" w:name="_Toc513029242"/>
      <w:r/>
      <w:bookmarkStart w:id="178" w:name="_Toc20823314"/>
      <w:r/>
      <w:bookmarkStart w:id="179" w:name="_Toc16938558"/>
      <w:r/>
      <w:bookmarkStart w:id="180" w:name="_Toc120614221"/>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513029243"/>
      <w:r/>
      <w:bookmarkStart w:id="182" w:name="_Toc20823315"/>
      <w:r/>
      <w:bookmarkStart w:id="183" w:name="_Toc16938559"/>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p>
    <w:p>
      <w:pPr>
        <w:pStyle w:val="692"/>
        <w:spacing w:line="400" w:lineRule="exact"/>
        <w:rPr>
          <w:rFonts w:hAnsi="宋体"/>
          <w:sz w:val="24"/>
          <w:szCs w:val="24"/>
        </w:rPr>
      </w:pPr>
      <w:r>
        <w:rPr>
          <w:rFonts w:hAnsi="宋体"/>
          <w:sz w:val="24"/>
          <w:szCs w:val="24"/>
        </w:rPr>
        <w:t xml:space="preserve">项目名称：                                       项目编号：</w:t>
      </w:r>
      <w:r/>
    </w:p>
    <w:p>
      <w:pPr>
        <w:pStyle w:val="692"/>
        <w:spacing w:line="400" w:lineRule="exact"/>
        <w:rPr>
          <w:rFonts w:hAnsi="宋体"/>
          <w:sz w:val="24"/>
          <w:szCs w:val="24"/>
        </w:rPr>
      </w:pPr>
      <w:r>
        <w:rPr>
          <w:rFonts w:hAnsi="宋体"/>
          <w:sz w:val="24"/>
          <w:szCs w:val="24"/>
        </w:rPr>
        <w:t xml:space="preserve">甲方：（买方、需方、采购人）_________</w:t>
      </w:r>
      <w:r/>
    </w:p>
    <w:p>
      <w:pPr>
        <w:pStyle w:val="692"/>
        <w:spacing w:line="400" w:lineRule="exact"/>
        <w:rPr>
          <w:rFonts w:hint="eastAsia" w:hAnsi="宋体"/>
          <w:sz w:val="24"/>
          <w:szCs w:val="24"/>
        </w:rPr>
      </w:pPr>
      <w:r>
        <w:rPr>
          <w:rFonts w:hAnsi="宋体"/>
          <w:sz w:val="24"/>
          <w:szCs w:val="24"/>
        </w:rPr>
        <w:t xml:space="preserve">乙方：（卖方、供方、供应商）_________</w:t>
      </w:r>
      <w:r/>
    </w:p>
    <w:p>
      <w:pPr>
        <w:pStyle w:val="692"/>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p>
    <w:p>
      <w:pPr>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p>
    <w:p>
      <w:pPr>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p>
    <w:p>
      <w:pPr>
        <w:ind w:firstLine="480"/>
        <w:spacing w:line="400" w:lineRule="exact"/>
        <w:rPr>
          <w:rFonts w:hint="eastAsia" w:ascii="宋体" w:hAnsi="宋体" w:cs="宋体"/>
          <w:color w:val="000000"/>
          <w:sz w:val="24"/>
        </w:rPr>
      </w:pPr>
      <w:r>
        <w:rPr>
          <w:rFonts w:hint="eastAsia" w:ascii="宋体" w:hAnsi="宋体" w:cs="宋体"/>
          <w:color w:val="000000"/>
          <w:sz w:val="24"/>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p>
    <w:p>
      <w:pPr>
        <w:ind w:firstLine="480"/>
        <w:spacing w:line="400" w:lineRule="exact"/>
        <w:rPr>
          <w:rFonts w:ascii="宋体" w:hAnsi="宋体" w:cs="宋体"/>
          <w:color w:val="000000"/>
          <w:sz w:val="24"/>
        </w:rPr>
      </w:pPr>
      <w:r>
        <w:rPr>
          <w:rFonts w:ascii="宋体" w:hAnsi="宋体" w:cs="宋体"/>
          <w:color w:val="000000"/>
          <w:sz w:val="24"/>
        </w:rPr>
      </w:r>
      <w:r/>
    </w:p>
    <w:p>
      <w:pPr>
        <w:jc w:val="center"/>
        <w:spacing w:line="500" w:lineRule="exact"/>
        <w:tabs>
          <w:tab w:val="left" w:pos="1440" w:leader="none"/>
        </w:tabs>
        <w:rPr>
          <w:rFonts w:hint="eastAsia" w:ascii="黑体" w:hAnsi="黑体" w:eastAsia="黑体"/>
          <w:color w:val="auto"/>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120614244"/>
      <w:r/>
      <w:bookmarkStart w:id="188" w:name="_Toc20823346"/>
      <w:r/>
      <w:bookmarkStart w:id="189" w:name="_Toc479757211"/>
      <w:r/>
      <w:bookmarkStart w:id="190" w:name="_Toc462564139"/>
      <w:r>
        <w:rPr>
          <w:rFonts w:hint="eastAsia" w:ascii="黑体" w:hAnsi="黑体" w:eastAsia="黑体"/>
          <w:color w:val="auto"/>
          <w:sz w:val="36"/>
          <w:szCs w:val="36"/>
        </w:rPr>
        <w:t xml:space="preserve">第</w:t>
      </w:r>
      <w:bookmarkEnd w:id="185"/>
      <w:r>
        <w:rPr>
          <w:rFonts w:hint="eastAsia" w:ascii="黑体" w:hAnsi="黑体" w:eastAsia="黑体"/>
          <w:color w:val="auto"/>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rPr>
      </w:pPr>
      <w:r/>
      <w:bookmarkStart w:id="191" w:name="_Toc26554093"/>
      <w:r/>
      <w:bookmarkStart w:id="192" w:name="_Toc49090575"/>
      <w:r>
        <w:rPr>
          <w:rFonts w:hint="eastAsia" w:ascii="黑体" w:hAnsi="黑体" w:eastAsia="黑体"/>
          <w:color w:val="auto"/>
          <w:sz w:val="30"/>
          <w:szCs w:val="30"/>
        </w:rPr>
        <w:t xml:space="preserve">本项目属性：服务类项目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rPr>
          <w:rFonts w:ascii="宋体" w:hAnsi="宋体"/>
          <w:bCs/>
          <w:color w:val="auto"/>
          <w:sz w:val="24"/>
          <w:szCs w:val="24"/>
          <w:highlight w:val="yellow"/>
        </w:rPr>
      </w:pPr>
      <w:r>
        <w:rPr>
          <w:rFonts w:hint="eastAsia" w:ascii="宋体" w:hAnsi="宋体"/>
          <w:bCs/>
          <w:color w:val="auto"/>
          <w:sz w:val="24"/>
          <w:szCs w:val="24"/>
        </w:rPr>
        <w:t xml:space="preserve">本项目标的物所属行业：物业管理</w:t>
      </w:r>
      <w:r/>
    </w:p>
    <w:p>
      <w:pPr>
        <w:pStyle w:val="680"/>
      </w:pPr>
      <w:r/>
      <w:r/>
    </w:p>
    <w:p>
      <w:pPr>
        <w:ind w:firstLine="602"/>
        <w:spacing w:line="360" w:lineRule="auto"/>
        <w:rPr>
          <w:rFonts w:ascii="宋体" w:hAnsi="宋体"/>
          <w:bCs/>
          <w:sz w:val="24"/>
          <w:szCs w:val="24"/>
        </w:rPr>
      </w:pPr>
      <w:r>
        <w:rPr>
          <w:rFonts w:hint="eastAsia" w:ascii="宋体" w:hAnsi="宋体"/>
          <w:b/>
          <w:color w:val="000000"/>
          <w:sz w:val="30"/>
          <w:szCs w:val="30"/>
          <w:u w:val="none"/>
        </w:rPr>
        <w:t xml:space="preserve">第一部分  项目技术要求</w:t>
      </w:r>
      <w:r/>
    </w:p>
    <w:p>
      <w:pPr>
        <w:numPr>
          <w:ilvl w:val="0"/>
          <w:numId w:val="0"/>
        </w:numPr>
        <w:ind w:firstLine="482"/>
        <w:keepLines w:val="0"/>
        <w:keepNext w:val="0"/>
        <w:rPr>
          <w:rFonts w:hint="eastAsia" w:ascii="宋体" w:hAnsi="宋体" w:eastAsia="宋体" w:cs="宋体"/>
          <w:b/>
          <w:bCs/>
          <w:sz w:val="24"/>
          <w:szCs w:val="24"/>
          <w:highlight w:val="none"/>
        </w:rPr>
      </w:pPr>
      <w:r/>
      <w:bookmarkStart w:id="193" w:name="_Toc17312"/>
      <w:r/>
      <w:bookmarkStart w:id="194" w:name="_Toc2486"/>
      <w:r/>
      <w:bookmarkStart w:id="195" w:name="_Toc5112"/>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rPr>
        <w:t xml:space="preserve">项目基本情况</w:t>
      </w:r>
      <w:bookmarkEnd w:id="193"/>
      <w:r/>
      <w:r/>
    </w:p>
    <w:p>
      <w:pPr>
        <w:pStyle w:val="671"/>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无锡市新吴区第一实验学校，整个校园占地面积约51103平方米，建筑面积约为35501平方米，绿化面积约为17000平方米。现有在校学生约2100人，教职员工215人。</w:t>
      </w:r>
      <w:r/>
    </w:p>
    <w:p>
      <w:pPr>
        <w:pStyle w:val="67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1.1物业</w:t>
      </w:r>
      <w:r>
        <w:rPr>
          <w:rFonts w:hint="eastAsia" w:ascii="宋体" w:hAnsi="宋体" w:eastAsia="宋体" w:cs="宋体"/>
          <w:sz w:val="24"/>
          <w:szCs w:val="24"/>
          <w:highlight w:val="none"/>
          <w:lang w:val="en-US" w:eastAsia="zh-CN"/>
        </w:rPr>
        <w:t xml:space="preserve">情况</w:t>
      </w:r>
      <w:r/>
    </w:p>
    <w:tbl>
      <w:tblPr>
        <w:tblStyle w:val="713"/>
        <w:tblW w:w="484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86"/>
        <w:gridCol w:w="6297"/>
      </w:tblGrid>
      <w:tr>
        <w:trPr>
          <w:trHeight w:val="454"/>
        </w:trPr>
        <w:tc>
          <w:tcPr>
            <w:tcW w:w="2651" w:type="dxa"/>
            <w:vAlign w:val="center"/>
            <w:textDirection w:val="lrTb"/>
            <w:noWrap w:val="false"/>
          </w:tcPr>
          <w:p>
            <w:pPr>
              <w:pageBreakBefore w:val="0"/>
              <w:spacing w:line="30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物业名称</w:t>
            </w:r>
            <w:r/>
          </w:p>
        </w:tc>
        <w:tc>
          <w:tcPr>
            <w:tcW w:w="6457" w:type="dxa"/>
            <w:vAlign w:val="center"/>
            <w:textDirection w:val="lrTb"/>
            <w:noWrap w:val="false"/>
          </w:tcPr>
          <w:p>
            <w:pPr>
              <w:pageBreakBefore w:val="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物业地址</w:t>
            </w:r>
            <w:r/>
          </w:p>
        </w:tc>
      </w:tr>
      <w:tr>
        <w:trPr>
          <w:trHeight w:val="454"/>
        </w:trPr>
        <w:tc>
          <w:tcPr>
            <w:tcW w:w="2651" w:type="dxa"/>
            <w:vAlign w:val="center"/>
            <w:textDirection w:val="lrTb"/>
            <w:noWrap w:val="false"/>
          </w:tcPr>
          <w:p>
            <w:pPr>
              <w:pageBreakBefore w:val="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物业名称1</w:t>
            </w:r>
            <w:r/>
          </w:p>
          <w:p>
            <w:pPr>
              <w:pageBreakBefore w:val="0"/>
              <w:spacing w:line="300" w:lineRule="auto"/>
              <w:rPr>
                <w:rFonts w:hint="eastAsia" w:ascii="宋体" w:hAnsi="宋体" w:eastAsia="宋体" w:cs="宋体"/>
                <w:sz w:val="24"/>
                <w:szCs w:val="24"/>
                <w:highlight w:val="none"/>
                <w:lang w:eastAsia="zh-CN"/>
              </w:rPr>
            </w:pPr>
            <w:r>
              <w:rPr>
                <w:rFonts w:hint="eastAsia" w:ascii="宋体" w:hAnsi="宋体" w:eastAsia="宋体" w:cs="宋体"/>
                <w:b w:val="0"/>
                <w:bCs w:val="0"/>
                <w:sz w:val="24"/>
                <w:szCs w:val="24"/>
                <w:lang w:val="en-US" w:eastAsia="zh-CN"/>
              </w:rPr>
              <w:t xml:space="preserve">无锡市新吴区第一实验学校</w:t>
            </w:r>
            <w:r/>
          </w:p>
        </w:tc>
        <w:tc>
          <w:tcPr>
            <w:tcW w:w="6457" w:type="dxa"/>
            <w:vAlign w:val="center"/>
            <w:textDirection w:val="lrTb"/>
            <w:noWrap w:val="false"/>
          </w:tcPr>
          <w:p>
            <w:pPr>
              <w:pageBreakBefore w:val="0"/>
              <w:spacing w:line="300" w:lineRule="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rPr>
              <w:t xml:space="preserve">无锡市新吴区旺庄西路18号</w:t>
            </w:r>
            <w:r/>
          </w:p>
        </w:tc>
      </w:tr>
    </w:tbl>
    <w:p>
      <w:pPr>
        <w:pStyle w:val="671"/>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pStyle w:val="670"/>
        <w:ind w:firstLine="482"/>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1.2采购人提供供应商使用的场地、设施、设备、材料等</w:t>
      </w:r>
      <w:r/>
    </w:p>
    <w:p>
      <w:pPr>
        <w:ind w:firstLine="480"/>
        <w:pageBreakBefore w:val="0"/>
        <w:spacing w:line="300" w:lineRule="auto"/>
        <w:rPr>
          <w:rFonts w:hint="eastAsia" w:ascii="宋体" w:hAnsi="宋体" w:eastAsia="宋体" w:cs="宋体"/>
          <w:color w:val="auto"/>
          <w:sz w:val="24"/>
          <w:szCs w:val="24"/>
          <w:highlight w:val="none"/>
          <w:u w:val="none"/>
          <w:lang w:val="en-US" w:eastAsia="zh-CN" w:bidi="ar-SA"/>
        </w:rPr>
        <w:outlineLvl w:val="9"/>
      </w:pPr>
      <w:r>
        <w:rPr>
          <w:rFonts w:hint="eastAsia" w:ascii="宋体" w:hAnsi="宋体" w:eastAsia="宋体" w:cs="宋体"/>
          <w:color w:val="auto"/>
          <w:sz w:val="24"/>
          <w:szCs w:val="24"/>
          <w:highlight w:val="none"/>
          <w:u w:val="none"/>
          <w:lang w:val="en-US" w:eastAsia="zh-CN" w:bidi="ar-SA"/>
        </w:rPr>
        <w:t xml:space="preserve">如采购人拥有与物业管理服务有关的且可以无偿提供给供应商在本项目中使用的设施、设备、材料、场地等，可在此列明。例如：</w:t>
      </w:r>
      <w:r/>
    </w:p>
    <w:tbl>
      <w:tblPr>
        <w:tblStyle w:val="6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31"/>
        <w:gridCol w:w="1134"/>
        <w:gridCol w:w="1276"/>
        <w:gridCol w:w="3938"/>
      </w:tblGrid>
      <w:tr>
        <w:trPr>
          <w:jc w:val="center"/>
          <w:trHeight w:val="851"/>
        </w:trPr>
        <w:tc>
          <w:tcPr>
            <w:tcW w:w="1931"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名称</w:t>
            </w:r>
            <w:r/>
          </w:p>
        </w:tc>
        <w:tc>
          <w:tcPr>
            <w:tcW w:w="113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27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面积</w:t>
            </w:r>
            <w:r/>
          </w:p>
        </w:tc>
        <w:tc>
          <w:tcPr>
            <w:tcW w:w="393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场地内可用设施设备清单</w:t>
            </w:r>
            <w:r/>
          </w:p>
        </w:tc>
      </w:tr>
      <w:tr>
        <w:trPr>
          <w:jc w:val="center"/>
          <w:trHeight w:val="851"/>
        </w:trPr>
        <w:tc>
          <w:tcPr>
            <w:tcW w:w="1931"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休息室</w:t>
            </w:r>
            <w:r/>
          </w:p>
        </w:tc>
        <w:tc>
          <w:tcPr>
            <w:tcW w:w="113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7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w:t>
            </w:r>
            <w:r/>
          </w:p>
        </w:tc>
        <w:tc>
          <w:tcPr>
            <w:tcW w:w="393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pacing w:val="-1"/>
                <w:sz w:val="24"/>
                <w:szCs w:val="24"/>
                <w:highlight w:val="none"/>
                <w:lang w:eastAsia="en-US"/>
              </w:rPr>
              <w:t xml:space="preserve">电脑、打印机</w:t>
            </w:r>
            <w:r/>
          </w:p>
        </w:tc>
      </w:tr>
    </w:tbl>
    <w:p>
      <w:pPr>
        <w:pStyle w:val="670"/>
        <w:ind w:firstLine="482"/>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pStyle w:val="670"/>
        <w:ind w:firstLine="482"/>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（2）采购人可提供供应商用于开展服务所需的水、电等。</w:t>
      </w:r>
      <w:r/>
    </w:p>
    <w:p>
      <w:pPr>
        <w:pStyle w:val="670"/>
        <w:ind w:firstLine="482"/>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以上所列场地、设施、设备、材料外，与物业管理服务有关的其他场地、设施、设备、材料均由供应商承担。</w:t>
      </w:r>
      <w:r/>
    </w:p>
    <w:p>
      <w:pPr>
        <w:pStyle w:val="67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7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2.物业服务范围</w:t>
      </w:r>
      <w:r/>
    </w:p>
    <w:p>
      <w:pPr>
        <w:pStyle w:val="67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7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【物业名称1】</w:t>
      </w:r>
      <w:r/>
    </w:p>
    <w:p>
      <w:pPr>
        <w:pStyle w:val="67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（1）物业管理（建筑物）</w:t>
      </w:r>
      <w:r/>
    </w:p>
    <w:tbl>
      <w:tblPr>
        <w:tblStyle w:val="7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988"/>
        <w:gridCol w:w="3482"/>
        <w:gridCol w:w="2961"/>
      </w:tblGrid>
      <w:tr>
        <w:trPr>
          <w:trHeight w:val="454"/>
        </w:trPr>
        <w:tc>
          <w:tcPr>
            <w:gridSpan w:val="2"/>
            <w:tcW w:w="2795" w:type="dxa"/>
            <w:vAlign w:val="center"/>
            <w:textDirection w:val="lrTb"/>
            <w:noWrap w:val="false"/>
          </w:tcPr>
          <w:p>
            <w:pPr>
              <w:jc w:val="center"/>
              <w:pageBreakBefore w:val="0"/>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sz w:val="24"/>
                <w:szCs w:val="24"/>
                <w:highlight w:val="none"/>
                <w:lang w:val="en-US" w:eastAsia="zh-CN"/>
              </w:rPr>
              <w:t xml:space="preserve">名称</w:t>
            </w:r>
            <w:r/>
          </w:p>
        </w:tc>
        <w:tc>
          <w:tcPr>
            <w:tcW w:w="3570" w:type="dxa"/>
            <w:vAlign w:val="center"/>
            <w:textDirection w:val="lrTb"/>
            <w:noWrap w:val="false"/>
          </w:tcPr>
          <w:p>
            <w:pPr>
              <w:jc w:val="center"/>
              <w:pageBreakBefore w:val="0"/>
              <w:spacing w:line="30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sz w:val="24"/>
                <w:szCs w:val="24"/>
                <w:highlight w:val="none"/>
              </w:rPr>
              <w:t xml:space="preserve">明细</w:t>
            </w:r>
            <w:r/>
          </w:p>
        </w:tc>
        <w:tc>
          <w:tcPr>
            <w:tcW w:w="3036" w:type="dxa"/>
            <w:vAlign w:val="center"/>
            <w:textDirection w:val="lrTb"/>
            <w:noWrap w:val="false"/>
          </w:tcPr>
          <w:p>
            <w:pPr>
              <w:jc w:val="center"/>
              <w:pageBreakBefore w:val="0"/>
              <w:spacing w:line="30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服务内容及标准</w:t>
            </w:r>
            <w:r/>
          </w:p>
        </w:tc>
      </w:tr>
      <w:tr>
        <w:trPr>
          <w:trHeight w:val="454"/>
        </w:trPr>
        <w:tc>
          <w:tcPr>
            <w:gridSpan w:val="2"/>
            <w:tcW w:w="279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eastAsia="zh-CN"/>
              </w:rPr>
              <w:t xml:space="preserve">无锡市新吴区第一实验学校</w:t>
            </w:r>
            <w:r/>
          </w:p>
        </w:tc>
        <w:tc>
          <w:tcPr>
            <w:tcW w:w="357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lang w:val="en-US" w:eastAsia="zh-CN"/>
              </w:rPr>
              <w:t xml:space="preserve">保洁服务、秩序维护服务、</w:t>
            </w:r>
            <w:r>
              <w:rPr>
                <w:rFonts w:hint="eastAsia" w:ascii="宋体" w:hAnsi="宋体" w:eastAsia="宋体" w:cs="宋体"/>
                <w:bCs/>
                <w:color w:val="000000"/>
                <w:sz w:val="24"/>
                <w:szCs w:val="24"/>
                <w:lang w:val="zh-TW" w:eastAsia="zh-TW"/>
              </w:rPr>
              <w:t xml:space="preserve">保安</w:t>
            </w:r>
            <w:r>
              <w:rPr>
                <w:rFonts w:hint="eastAsia" w:ascii="宋体" w:hAnsi="宋体" w:eastAsia="宋体" w:cs="宋体"/>
                <w:bCs/>
                <w:color w:val="000000"/>
                <w:sz w:val="24"/>
                <w:szCs w:val="24"/>
                <w:lang w:val="zh-TW"/>
              </w:rPr>
              <w:t xml:space="preserve">（</w:t>
            </w:r>
            <w:r>
              <w:rPr>
                <w:rFonts w:hint="eastAsia" w:ascii="宋体" w:hAnsi="宋体" w:eastAsia="宋体" w:cs="宋体"/>
                <w:bCs/>
                <w:color w:val="000000"/>
                <w:sz w:val="24"/>
                <w:szCs w:val="24"/>
              </w:rPr>
              <w:t xml:space="preserve">包括</w:t>
            </w:r>
            <w:r>
              <w:rPr>
                <w:rFonts w:hint="eastAsia" w:ascii="宋体" w:hAnsi="宋体" w:eastAsia="宋体" w:cs="宋体"/>
                <w:color w:val="000000"/>
                <w:sz w:val="24"/>
                <w:szCs w:val="24"/>
              </w:rPr>
              <w:t xml:space="preserve">传达秩序管理及巡查</w:t>
            </w:r>
            <w:r>
              <w:rPr>
                <w:rFonts w:hint="eastAsia" w:ascii="宋体" w:hAnsi="宋体" w:eastAsia="宋体" w:cs="宋体"/>
                <w:bCs/>
                <w:color w:val="000000"/>
                <w:sz w:val="24"/>
                <w:szCs w:val="24"/>
                <w:lang w:val="zh-TW"/>
              </w:rPr>
              <w:t xml:space="preserve">）</w:t>
            </w:r>
            <w:r>
              <w:rPr>
                <w:rFonts w:hint="eastAsia" w:ascii="宋体" w:hAnsi="宋体" w:eastAsia="宋体" w:cs="宋体"/>
                <w:bCs/>
                <w:color w:val="000000"/>
                <w:sz w:val="24"/>
                <w:szCs w:val="24"/>
                <w:lang w:val="zh-TW" w:eastAsia="zh-CN"/>
              </w:rPr>
              <w:t xml:space="preserve">、</w:t>
            </w:r>
            <w:r>
              <w:rPr>
                <w:rFonts w:hint="eastAsia" w:ascii="宋体" w:hAnsi="宋体" w:eastAsia="宋体" w:cs="宋体"/>
                <w:color w:val="000000"/>
                <w:sz w:val="24"/>
                <w:szCs w:val="24"/>
              </w:rPr>
              <w:t xml:space="preserve">公用设施设备维护服务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绿化管理维护</w:t>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454"/>
        </w:trPr>
        <w:tc>
          <w:tcPr>
            <w:tcW w:w="757"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en-US" w:eastAsia="zh-CN"/>
              </w:rPr>
              <w:t xml:space="preserve">总面积</w:t>
            </w:r>
            <w:r/>
          </w:p>
        </w:tc>
        <w:tc>
          <w:tcPr>
            <w:tcW w:w="203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w:t xml:space="preserve">建筑面积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p>
        </w:tc>
        <w:tc>
          <w:tcPr>
            <w:tcW w:w="357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35501㎡</w:t>
            </w:r>
            <w:r/>
          </w:p>
          <w:p>
            <w:pPr>
              <w:jc w:val="center"/>
              <w:keepLines w:val="0"/>
              <w:keepNext w:val="0"/>
              <w:pageBreakBefore w:val="0"/>
              <w:spacing w:after="0"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见“3.2房屋维护服务”</w:t>
            </w:r>
            <w:r/>
          </w:p>
        </w:tc>
      </w:tr>
      <w:tr>
        <w:trPr>
          <w:trHeight w:val="350"/>
        </w:trPr>
        <w:tc>
          <w:tcPr>
            <w:tcW w:w="757"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3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w:t xml:space="preserve">需保洁面积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p>
        </w:tc>
        <w:tc>
          <w:tcPr>
            <w:tcW w:w="357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42527.08㎡</w:t>
            </w:r>
            <w:r/>
          </w:p>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见“3.4保洁服务”</w:t>
            </w:r>
            <w:r/>
          </w:p>
        </w:tc>
      </w:tr>
      <w:tr>
        <w:trPr>
          <w:trHeight w:val="454"/>
        </w:trPr>
        <w:tc>
          <w:tcPr>
            <w:tcW w:w="75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en-US" w:eastAsia="zh-CN"/>
              </w:rPr>
              <w:t xml:space="preserve">门窗</w:t>
            </w:r>
            <w:r/>
          </w:p>
        </w:tc>
        <w:tc>
          <w:tcPr>
            <w:tcW w:w="203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门窗总数量（个）及总面积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p>
        </w:tc>
        <w:tc>
          <w:tcPr>
            <w:tcW w:w="3570" w:type="dxa"/>
            <w:vAlign w:val="center"/>
            <w:textDirection w:val="lrTb"/>
            <w:noWrap w:val="false"/>
          </w:tcPr>
          <w:p>
            <w:pPr>
              <w:ind w:firstLine="720"/>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1200个4260㎡</w:t>
            </w:r>
            <w:r/>
          </w:p>
          <w:p>
            <w:pPr>
              <w:jc w:val="center"/>
              <w:keepLines w:val="0"/>
              <w:keepNext w:val="0"/>
              <w:pageBreakBefore w:val="0"/>
              <w:spacing w:after="0"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见“3.2房屋维护服务”“3.4保洁服务”</w:t>
            </w:r>
            <w:r/>
          </w:p>
        </w:tc>
      </w:tr>
      <w:tr>
        <w:trPr>
          <w:trHeight w:val="454"/>
        </w:trPr>
        <w:tc>
          <w:tcPr>
            <w:tcW w:w="75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地面</w:t>
            </w:r>
            <w:r/>
          </w:p>
        </w:tc>
        <w:tc>
          <w:tcPr>
            <w:tcW w:w="203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w:t xml:space="preserve">地面</w:t>
            </w:r>
            <w:r>
              <w:rPr>
                <w:rFonts w:hint="eastAsia" w:ascii="宋体" w:hAnsi="宋体" w:eastAsia="宋体" w:cs="宋体"/>
                <w:sz w:val="24"/>
                <w:szCs w:val="24"/>
                <w:highlight w:val="none"/>
                <w:lang w:val="en-US" w:eastAsia="zh-CN"/>
              </w:rPr>
              <w:t xml:space="preserve">各</w:t>
            </w:r>
            <w:r>
              <w:rPr>
                <w:rFonts w:hint="eastAsia" w:ascii="宋体" w:hAnsi="宋体" w:eastAsia="宋体" w:cs="宋体"/>
                <w:sz w:val="24"/>
                <w:szCs w:val="24"/>
                <w:highlight w:val="none"/>
              </w:rPr>
              <w:t xml:space="preserve">材质</w:t>
            </w:r>
            <w:r>
              <w:rPr>
                <w:rFonts w:hint="eastAsia" w:ascii="宋体" w:hAnsi="宋体" w:eastAsia="宋体" w:cs="宋体"/>
                <w:sz w:val="24"/>
                <w:szCs w:val="24"/>
                <w:highlight w:val="none"/>
                <w:lang w:val="en-US" w:eastAsia="zh-CN"/>
              </w:rPr>
              <w:t xml:space="preserve">及总面积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p>
        </w:tc>
        <w:tc>
          <w:tcPr>
            <w:tcW w:w="357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35501</w:t>
            </w:r>
            <w:r>
              <w:rPr>
                <w:rFonts w:hint="eastAsia" w:ascii="宋体" w:hAnsi="宋体" w:eastAsia="宋体" w:cs="宋体"/>
                <w:color w:val="auto"/>
                <w:sz w:val="24"/>
                <w:szCs w:val="24"/>
                <w:highlight w:val="none"/>
              </w:rPr>
              <w:t xml:space="preserve">㎡，主要为水磨石地面、地胶、大理石地面等。</w:t>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见“3.2房屋维护服务”“3.4保洁服务”</w:t>
            </w:r>
            <w:r/>
          </w:p>
        </w:tc>
      </w:tr>
      <w:tr>
        <w:trPr>
          <w:trHeight w:val="454"/>
        </w:trPr>
        <w:tc>
          <w:tcPr>
            <w:tcW w:w="757"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会议室</w:t>
            </w:r>
            <w:r/>
          </w:p>
        </w:tc>
        <w:tc>
          <w:tcPr>
            <w:tcW w:w="203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室内</w:t>
            </w:r>
            <w:r>
              <w:rPr>
                <w:rFonts w:hint="eastAsia" w:ascii="宋体" w:hAnsi="宋体" w:eastAsia="宋体" w:cs="宋体"/>
                <w:sz w:val="24"/>
                <w:szCs w:val="24"/>
                <w:highlight w:val="none"/>
              </w:rPr>
              <w:t xml:space="preserve">设施</w:t>
            </w:r>
            <w:r>
              <w:rPr>
                <w:rFonts w:hint="eastAsia" w:ascii="宋体" w:hAnsi="宋体" w:eastAsia="宋体" w:cs="宋体"/>
                <w:sz w:val="24"/>
                <w:szCs w:val="24"/>
                <w:highlight w:val="none"/>
                <w:lang w:val="en-US" w:eastAsia="zh-CN"/>
              </w:rPr>
              <w:t xml:space="preserve">说明</w:t>
            </w:r>
            <w:r/>
          </w:p>
        </w:tc>
        <w:tc>
          <w:tcPr>
            <w:tcW w:w="3570" w:type="dxa"/>
            <w:vAlign w:val="center"/>
            <w:textDirection w:val="lrTb"/>
            <w:noWrap w:val="false"/>
          </w:tcPr>
          <w:p>
            <w:pPr>
              <w:ind w:firstLine="480"/>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会议桌、椅及柜子等设施</w:t>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见“3.2房屋维护服务”“3.4保洁服务”“3.7会议服务”</w:t>
            </w:r>
            <w:r/>
          </w:p>
        </w:tc>
      </w:tr>
      <w:tr>
        <w:trPr>
          <w:trHeight w:val="313"/>
        </w:trPr>
        <w:tc>
          <w:tcPr>
            <w:tcW w:w="757"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3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会议室数量</w:t>
            </w:r>
            <w:r>
              <w:rPr>
                <w:rFonts w:hint="eastAsia" w:ascii="宋体" w:hAnsi="宋体" w:eastAsia="宋体" w:cs="宋体"/>
                <w:sz w:val="24"/>
                <w:szCs w:val="24"/>
                <w:highlight w:val="none"/>
                <w:lang w:val="en-US" w:eastAsia="zh-CN"/>
              </w:rPr>
              <w:t xml:space="preserve">（个）</w:t>
            </w:r>
            <w:r>
              <w:rPr>
                <w:rFonts w:hint="eastAsia" w:ascii="宋体" w:hAnsi="宋体" w:eastAsia="宋体" w:cs="宋体"/>
                <w:color w:val="auto"/>
                <w:sz w:val="24"/>
                <w:szCs w:val="24"/>
                <w:highlight w:val="none"/>
                <w:lang w:val="en-US" w:eastAsia="zh-CN"/>
              </w:rPr>
              <w:t xml:space="preserve">及总面积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p>
        </w:tc>
        <w:tc>
          <w:tcPr>
            <w:tcW w:w="3570" w:type="dxa"/>
            <w:vAlign w:val="center"/>
            <w:textDirection w:val="lrTb"/>
            <w:noWrap w:val="false"/>
          </w:tcPr>
          <w:p>
            <w:pPr>
              <w:ind w:firstLine="1440"/>
              <w:jc w:val="both"/>
              <w:keepLines w:val="0"/>
              <w:keepNext w:val="0"/>
              <w:pageBreakBefore w:val="0"/>
              <w:spacing w:after="0" w:line="240" w:lineRule="auto"/>
              <w:widowControl/>
              <w:rPr>
                <w:rFonts w:hint="eastAsia" w:ascii="宋体" w:hAnsi="宋体" w:eastAsia="宋体" w:cs="宋体"/>
                <w:color w:val="auto"/>
                <w:sz w:val="24"/>
                <w:szCs w:val="24"/>
                <w:highlight w:val="none"/>
                <w:lang w:val="en-US"/>
              </w:rPr>
            </w:pPr>
            <w:r>
              <w:rPr>
                <w:rFonts w:hint="eastAsia" w:ascii="宋体" w:hAnsi="宋体" w:eastAsia="宋体" w:cs="宋体"/>
                <w:sz w:val="24"/>
                <w:szCs w:val="24"/>
                <w:highlight w:val="none"/>
                <w:lang w:val="en-US" w:eastAsia="zh-CN"/>
              </w:rPr>
              <w:t xml:space="preserve">3个  219.12㎡</w:t>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见“3.4保洁服务”“3.7会议服务”</w:t>
            </w:r>
            <w:r/>
          </w:p>
        </w:tc>
      </w:tr>
      <w:tr>
        <w:trPr>
          <w:trHeight w:val="454"/>
        </w:trPr>
        <w:tc>
          <w:tcPr>
            <w:tcW w:w="757" w:type="dxa"/>
            <w:vAlign w:val="center"/>
            <w:vMerge w:val="restart"/>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报告厅</w:t>
            </w:r>
            <w:r/>
          </w:p>
        </w:tc>
        <w:tc>
          <w:tcPr>
            <w:tcW w:w="203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室内</w:t>
            </w:r>
            <w:r>
              <w:rPr>
                <w:rFonts w:hint="eastAsia" w:ascii="宋体" w:hAnsi="宋体" w:eastAsia="宋体" w:cs="宋体"/>
                <w:sz w:val="24"/>
                <w:szCs w:val="24"/>
                <w:highlight w:val="none"/>
              </w:rPr>
              <w:t xml:space="preserve">设施</w:t>
            </w:r>
            <w:r>
              <w:rPr>
                <w:rFonts w:hint="eastAsia" w:ascii="宋体" w:hAnsi="宋体" w:eastAsia="宋体" w:cs="宋体"/>
                <w:sz w:val="24"/>
                <w:szCs w:val="24"/>
                <w:highlight w:val="none"/>
                <w:lang w:val="en-US" w:eastAsia="zh-CN"/>
              </w:rPr>
              <w:t xml:space="preserve">说明</w:t>
            </w:r>
            <w:r/>
          </w:p>
        </w:tc>
        <w:tc>
          <w:tcPr>
            <w:tcW w:w="357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会议桌、会议椅、电子屏、话筒等</w:t>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见“3.4保洁服务”“3.7会议服务”</w:t>
            </w:r>
            <w:r/>
          </w:p>
        </w:tc>
      </w:tr>
      <w:tr>
        <w:trPr>
          <w:trHeight w:val="90"/>
        </w:trPr>
        <w:tc>
          <w:tcPr>
            <w:tcW w:w="757"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3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报告厅数量</w:t>
            </w:r>
            <w:r>
              <w:rPr>
                <w:rFonts w:hint="eastAsia" w:ascii="宋体" w:hAnsi="宋体" w:eastAsia="宋体" w:cs="宋体"/>
                <w:sz w:val="24"/>
                <w:szCs w:val="24"/>
                <w:highlight w:val="none"/>
                <w:lang w:val="en-US" w:eastAsia="zh-CN"/>
              </w:rPr>
              <w:t xml:space="preserve">（个）</w:t>
            </w:r>
            <w:r>
              <w:rPr>
                <w:rFonts w:hint="eastAsia" w:ascii="宋体" w:hAnsi="宋体" w:eastAsia="宋体" w:cs="宋体"/>
                <w:color w:val="auto"/>
                <w:sz w:val="24"/>
                <w:szCs w:val="24"/>
                <w:highlight w:val="none"/>
                <w:lang w:val="en-US" w:eastAsia="zh-CN"/>
              </w:rPr>
              <w:t xml:space="preserve">及总面积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p>
        </w:tc>
        <w:tc>
          <w:tcPr>
            <w:tcW w:w="3570" w:type="dxa"/>
            <w:vAlign w:val="center"/>
            <w:textDirection w:val="lrTb"/>
            <w:noWrap w:val="false"/>
          </w:tcPr>
          <w:p>
            <w:pPr>
              <w:ind w:firstLine="960"/>
              <w:jc w:val="center"/>
              <w:keepLines w:val="0"/>
              <w:keepNext w:val="0"/>
              <w:pageBreakBefore w:val="0"/>
              <w:spacing w:after="0" w:line="240" w:lineRule="auto"/>
              <w:widowControl/>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1个  545.67 ㎡</w:t>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见“3.4保洁服务”“3.7会议服务”</w:t>
            </w:r>
            <w:r/>
          </w:p>
        </w:tc>
      </w:tr>
      <w:tr>
        <w:trPr>
          <w:trHeight w:val="778"/>
        </w:trPr>
        <w:tc>
          <w:tcPr>
            <w:tcW w:w="757" w:type="dxa"/>
            <w:vAlign w:val="center"/>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卫生间</w:t>
            </w:r>
            <w:r/>
          </w:p>
        </w:tc>
        <w:tc>
          <w:tcPr>
            <w:tcW w:w="203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卫生间</w:t>
            </w:r>
            <w:r>
              <w:rPr>
                <w:rFonts w:hint="eastAsia" w:ascii="宋体" w:hAnsi="宋体" w:eastAsia="宋体" w:cs="宋体"/>
                <w:color w:val="auto"/>
                <w:sz w:val="24"/>
                <w:szCs w:val="24"/>
                <w:highlight w:val="none"/>
                <w:lang w:val="en-US" w:eastAsia="zh-CN"/>
              </w:rPr>
              <w:t xml:space="preserve">数量</w:t>
            </w:r>
            <w:r>
              <w:rPr>
                <w:rFonts w:hint="eastAsia" w:ascii="宋体" w:hAnsi="宋体" w:eastAsia="宋体" w:cs="宋体"/>
                <w:sz w:val="24"/>
                <w:szCs w:val="24"/>
                <w:highlight w:val="none"/>
                <w:lang w:val="en-US" w:eastAsia="zh-CN"/>
              </w:rPr>
              <w:t xml:space="preserve">（个）</w:t>
            </w:r>
            <w:r>
              <w:rPr>
                <w:rFonts w:hint="eastAsia" w:ascii="宋体" w:hAnsi="宋体" w:eastAsia="宋体" w:cs="宋体"/>
                <w:color w:val="auto"/>
                <w:sz w:val="24"/>
                <w:szCs w:val="24"/>
                <w:highlight w:val="none"/>
                <w:lang w:val="en-US" w:eastAsia="zh-CN"/>
              </w:rPr>
              <w:t xml:space="preserve">及总面积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p>
        </w:tc>
        <w:tc>
          <w:tcPr>
            <w:tcW w:w="3570" w:type="dxa"/>
            <w:vAlign w:val="center"/>
            <w:textDirection w:val="lrTb"/>
            <w:noWrap w:val="false"/>
          </w:tcPr>
          <w:p>
            <w:pPr>
              <w:ind w:firstLine="960"/>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60个1400   ㎡</w:t>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见“3.4保洁服务”</w:t>
            </w:r>
            <w:r/>
          </w:p>
        </w:tc>
      </w:tr>
      <w:tr>
        <w:trPr>
          <w:trHeight w:val="454"/>
        </w:trPr>
        <w:tc>
          <w:tcPr>
            <w:tcW w:w="757" w:type="dxa"/>
            <w:vAlign w:val="center"/>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垃圾存放点</w:t>
            </w:r>
            <w:r/>
          </w:p>
        </w:tc>
        <w:tc>
          <w:tcPr>
            <w:tcW w:w="203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各垃圾存放点位置、</w:t>
            </w:r>
            <w:r>
              <w:rPr>
                <w:rFonts w:hint="eastAsia" w:ascii="宋体" w:hAnsi="宋体" w:eastAsia="宋体" w:cs="宋体"/>
                <w:sz w:val="24"/>
                <w:szCs w:val="24"/>
                <w:highlight w:val="none"/>
              </w:rPr>
              <w:t xml:space="preserve">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及数量（个）</w:t>
            </w:r>
            <w:r/>
          </w:p>
        </w:tc>
        <w:tc>
          <w:tcPr>
            <w:tcW w:w="3570" w:type="dxa"/>
            <w:vAlign w:val="center"/>
            <w:textDirection w:val="lrTb"/>
            <w:noWrap w:val="false"/>
          </w:tcPr>
          <w:p>
            <w:pPr>
              <w:ind w:firstLine="960"/>
              <w:jc w:val="center"/>
              <w:keepLines w:val="0"/>
              <w:keepNext w:val="0"/>
              <w:pageBreakBefore w:val="0"/>
              <w:spacing w:after="0"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2个20  ㎡</w:t>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见“3.4保洁服务”</w:t>
            </w:r>
            <w:r/>
          </w:p>
        </w:tc>
      </w:tr>
      <w:tr>
        <w:trPr>
          <w:trHeight w:val="791"/>
        </w:trPr>
        <w:tc>
          <w:tcPr>
            <w:tcW w:w="757" w:type="dxa"/>
            <w:vAlign w:val="center"/>
            <w:vMerge w:val="restart"/>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车位数</w:t>
            </w:r>
            <w:r/>
          </w:p>
        </w:tc>
        <w:tc>
          <w:tcPr>
            <w:tcW w:w="2038" w:type="dxa"/>
            <w:vAlign w:val="center"/>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地面车位数</w:t>
            </w:r>
            <w:r/>
          </w:p>
          <w:p>
            <w:pPr>
              <w:ind w:left="0" w:firstLine="0"/>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地下车位数</w:t>
            </w:r>
            <w:r/>
          </w:p>
        </w:tc>
        <w:tc>
          <w:tcPr>
            <w:tcW w:w="3570" w:type="dxa"/>
            <w:vAlign w:val="center"/>
            <w:textDirection w:val="lrTb"/>
            <w:noWrap w:val="false"/>
          </w:tcPr>
          <w:p>
            <w:pPr>
              <w:ind w:firstLine="720"/>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84个</w:t>
            </w:r>
            <w:r/>
          </w:p>
          <w:p>
            <w:pPr>
              <w:ind w:firstLine="720"/>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205个</w:t>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见“3.6保安服务”</w:t>
            </w:r>
            <w:r/>
          </w:p>
        </w:tc>
      </w:tr>
      <w:tr>
        <w:trPr>
          <w:trHeight w:val="454"/>
        </w:trPr>
        <w:tc>
          <w:tcPr>
            <w:tcW w:w="757"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3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w:t xml:space="preserve">空调</w:t>
            </w:r>
            <w:r>
              <w:rPr>
                <w:rFonts w:hint="eastAsia" w:ascii="宋体" w:hAnsi="宋体" w:eastAsia="宋体" w:cs="宋体"/>
                <w:sz w:val="24"/>
                <w:szCs w:val="24"/>
                <w:highlight w:val="none"/>
                <w:lang w:val="en-US" w:eastAsia="zh-CN"/>
              </w:rPr>
              <w:t xml:space="preserve">系统</w:t>
            </w:r>
            <w:r/>
          </w:p>
        </w:tc>
        <w:tc>
          <w:tcPr>
            <w:tcW w:w="3570" w:type="dxa"/>
            <w:vAlign w:val="center"/>
            <w:textDirection w:val="lrTb"/>
            <w:noWrap w:val="false"/>
          </w:tcPr>
          <w:p>
            <w:pPr>
              <w:ind w:firstLine="960"/>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120台</w:t>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见“3.6保安服务”“3.3公用设施设备维护服务”</w:t>
            </w:r>
            <w:r/>
          </w:p>
        </w:tc>
      </w:tr>
      <w:tr>
        <w:trPr>
          <w:trHeight w:val="707"/>
        </w:trPr>
        <w:tc>
          <w:tcPr>
            <w:tcW w:w="757"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3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w:t xml:space="preserve">给排水</w:t>
            </w:r>
            <w:r>
              <w:rPr>
                <w:rFonts w:hint="eastAsia" w:ascii="宋体" w:hAnsi="宋体" w:eastAsia="宋体" w:cs="宋体"/>
                <w:sz w:val="24"/>
                <w:szCs w:val="24"/>
                <w:highlight w:val="none"/>
                <w:lang w:val="en-US" w:eastAsia="zh-CN"/>
              </w:rPr>
              <w:t xml:space="preserve">系统</w:t>
            </w:r>
            <w:r/>
          </w:p>
        </w:tc>
        <w:tc>
          <w:tcPr>
            <w:tcW w:w="3570" w:type="dxa"/>
            <w:vAlign w:val="center"/>
            <w:textDirection w:val="lrTb"/>
            <w:noWrap w:val="false"/>
          </w:tcPr>
          <w:p>
            <w:pPr>
              <w:ind w:firstLine="480"/>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校区内所有给、排水系统</w:t>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见“3.6保安服务”“3.3公用设施设备维护服务”</w:t>
            </w:r>
            <w:r/>
          </w:p>
        </w:tc>
      </w:tr>
      <w:tr>
        <w:trPr>
          <w:trHeight w:val="707"/>
        </w:trPr>
        <w:tc>
          <w:tcPr>
            <w:tcW w:w="757"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3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rPr>
            </w:pPr>
            <w:r>
              <w:rPr>
                <w:rStyle w:val="786"/>
                <w:rFonts w:hint="eastAsia" w:ascii="宋体" w:hAnsi="宋体" w:eastAsia="宋体" w:cs="宋体"/>
                <w:sz w:val="24"/>
                <w:szCs w:val="24"/>
              </w:rPr>
              <w:t xml:space="preserve">消防系统</w:t>
            </w:r>
            <w:r/>
          </w:p>
        </w:tc>
        <w:tc>
          <w:tcPr>
            <w:tcW w:w="3570" w:type="dxa"/>
            <w:vAlign w:val="center"/>
            <w:textDirection w:val="lrTb"/>
            <w:noWrap w:val="false"/>
          </w:tcPr>
          <w:p>
            <w:pPr>
              <w:ind w:firstLine="480"/>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校区内所有消防系统</w:t>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见“3.6保安服务”“3.3公用设施设备维护服务</w:t>
            </w:r>
            <w:r/>
          </w:p>
        </w:tc>
      </w:tr>
      <w:tr>
        <w:trPr>
          <w:trHeight w:val="454"/>
        </w:trPr>
        <w:tc>
          <w:tcPr>
            <w:tcW w:w="757"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3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w:t xml:space="preserve">照明系统</w:t>
            </w:r>
            <w:r/>
          </w:p>
        </w:tc>
        <w:tc>
          <w:tcPr>
            <w:tcW w:w="3570" w:type="dxa"/>
            <w:vAlign w:val="center"/>
            <w:textDirection w:val="lrTb"/>
            <w:noWrap w:val="false"/>
          </w:tcPr>
          <w:p>
            <w:pPr>
              <w:ind w:firstLine="480"/>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校区内所有照明、动力系统</w:t>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见“3.6保安服务”“3.3公用设施设备维护服务”</w:t>
            </w:r>
            <w:r/>
          </w:p>
        </w:tc>
      </w:tr>
      <w:tr>
        <w:trPr>
          <w:trHeight w:val="454"/>
        </w:trPr>
        <w:tc>
          <w:tcPr>
            <w:tcW w:w="757"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3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供配电系统</w:t>
            </w:r>
            <w:r/>
          </w:p>
        </w:tc>
        <w:tc>
          <w:tcPr>
            <w:tcW w:w="357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校区10kv箱变</w:t>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见“3.3公用设施设备维护服务”</w:t>
            </w:r>
            <w:r/>
          </w:p>
        </w:tc>
      </w:tr>
    </w:tbl>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71"/>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（2）物业管理（室外）</w:t>
      </w:r>
      <w:r/>
    </w:p>
    <w:tbl>
      <w:tblPr>
        <w:tblStyle w:val="713"/>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1"/>
        <w:gridCol w:w="3688"/>
        <w:gridCol w:w="3939"/>
      </w:tblGrid>
      <w:tr>
        <w:trPr>
          <w:trHeight w:val="454"/>
        </w:trPr>
        <w:tc>
          <w:tcPr>
            <w:tcW w:w="26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sz w:val="24"/>
                <w:szCs w:val="24"/>
                <w:highlight w:val="none"/>
                <w:lang w:val="en-US" w:eastAsia="zh-CN"/>
              </w:rPr>
              <w:t xml:space="preserve">名称</w:t>
            </w:r>
            <w:r/>
          </w:p>
        </w:tc>
        <w:tc>
          <w:tcPr>
            <w:tcW w:w="529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sz w:val="24"/>
                <w:szCs w:val="24"/>
                <w:highlight w:val="none"/>
              </w:rPr>
              <w:t xml:space="preserve">明细</w:t>
            </w:r>
            <w:r/>
          </w:p>
        </w:tc>
        <w:tc>
          <w:tcPr>
            <w:tcW w:w="662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服务内容及标准</w:t>
            </w:r>
            <w:r/>
          </w:p>
        </w:tc>
      </w:tr>
      <w:tr>
        <w:trPr>
          <w:trHeight w:val="454"/>
        </w:trPr>
        <w:tc>
          <w:tcPr>
            <w:tcW w:w="26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室外面积</w:t>
            </w:r>
            <w:r/>
          </w:p>
        </w:tc>
        <w:tc>
          <w:tcPr>
            <w:tcW w:w="5296" w:type="dxa"/>
            <w:vAlign w:val="center"/>
            <w:textDirection w:val="lrTb"/>
            <w:noWrap w:val="false"/>
          </w:tcPr>
          <w:p>
            <w:pPr>
              <w:ind w:firstLine="1200"/>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7026.08㎡</w:t>
            </w:r>
            <w:r/>
          </w:p>
        </w:tc>
        <w:tc>
          <w:tcPr>
            <w:tcW w:w="662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见“3.4保洁服务”</w:t>
            </w:r>
            <w:r>
              <w:rPr>
                <w:rFonts w:hint="eastAsia" w:ascii="宋体" w:hAnsi="宋体" w:eastAsia="宋体" w:cs="宋体"/>
                <w:color w:val="auto"/>
                <w:sz w:val="24"/>
                <w:szCs w:val="24"/>
                <w:highlight w:val="none"/>
                <w:lang w:val="en-US" w:eastAsia="zh-CN"/>
              </w:rPr>
              <w:t xml:space="preserve">“3.6保安服务”</w:t>
            </w:r>
            <w:r/>
          </w:p>
        </w:tc>
      </w:tr>
      <w:tr>
        <w:trPr>
          <w:trHeight w:val="454"/>
        </w:trPr>
        <w:tc>
          <w:tcPr>
            <w:tcW w:w="26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rPr>
              <w:t xml:space="preserve">绿化</w:t>
            </w:r>
            <w:r/>
          </w:p>
        </w:tc>
        <w:tc>
          <w:tcPr>
            <w:tcW w:w="5296" w:type="dxa"/>
            <w:vAlign w:val="center"/>
            <w:textDirection w:val="lrTb"/>
            <w:noWrap w:val="false"/>
          </w:tcPr>
          <w:p>
            <w:pPr>
              <w:ind w:firstLine="1200"/>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18705㎡</w:t>
            </w:r>
            <w:r/>
          </w:p>
        </w:tc>
        <w:tc>
          <w:tcPr>
            <w:tcW w:w="662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见“3.4保洁服务”“3.5绿化服务”</w:t>
            </w:r>
            <w:r/>
          </w:p>
        </w:tc>
      </w:tr>
      <w:tr>
        <w:trPr>
          <w:trHeight w:val="454"/>
        </w:trPr>
        <w:tc>
          <w:tcPr>
            <w:tcW w:w="26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广场</w:t>
            </w:r>
            <w:r/>
          </w:p>
        </w:tc>
        <w:tc>
          <w:tcPr>
            <w:tcW w:w="5296" w:type="dxa"/>
            <w:vAlign w:val="center"/>
            <w:textDirection w:val="lrTb"/>
            <w:noWrap w:val="false"/>
          </w:tcPr>
          <w:p>
            <w:pPr>
              <w:ind w:firstLine="1200"/>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2099.56㎡</w:t>
            </w:r>
            <w:r/>
          </w:p>
        </w:tc>
        <w:tc>
          <w:tcPr>
            <w:tcW w:w="662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见“3.4保洁服务”</w:t>
            </w:r>
            <w:r>
              <w:rPr>
                <w:rFonts w:hint="eastAsia" w:ascii="宋体" w:hAnsi="宋体" w:eastAsia="宋体" w:cs="宋体"/>
                <w:color w:val="auto"/>
                <w:sz w:val="24"/>
                <w:szCs w:val="24"/>
                <w:highlight w:val="none"/>
                <w:lang w:val="en-US" w:eastAsia="zh-CN"/>
              </w:rPr>
              <w:t xml:space="preserve">“3.6保安服务”</w:t>
            </w:r>
            <w:r/>
          </w:p>
        </w:tc>
      </w:tr>
      <w:tr>
        <w:trPr>
          <w:trHeight w:val="454"/>
        </w:trPr>
        <w:tc>
          <w:tcPr>
            <w:tcW w:w="26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消防栓</w:t>
            </w:r>
            <w:r/>
          </w:p>
        </w:tc>
        <w:tc>
          <w:tcPr>
            <w:tcW w:w="5296" w:type="dxa"/>
            <w:vAlign w:val="center"/>
            <w:textDirection w:val="lrTb"/>
            <w:noWrap w:val="false"/>
          </w:tcPr>
          <w:p>
            <w:pPr>
              <w:ind w:firstLine="960"/>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室内160个</w:t>
            </w:r>
            <w:r/>
          </w:p>
          <w:p>
            <w:pPr>
              <w:ind w:firstLine="960"/>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室外8个</w:t>
            </w:r>
            <w:r/>
          </w:p>
        </w:tc>
        <w:tc>
          <w:tcPr>
            <w:tcW w:w="662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见“3.4保洁服务”</w:t>
            </w:r>
            <w:r>
              <w:rPr>
                <w:rFonts w:hint="eastAsia" w:ascii="宋体" w:hAnsi="宋体" w:eastAsia="宋体" w:cs="宋体"/>
                <w:color w:val="auto"/>
                <w:sz w:val="24"/>
                <w:szCs w:val="24"/>
                <w:highlight w:val="none"/>
                <w:lang w:val="en-US" w:eastAsia="zh-CN"/>
              </w:rPr>
              <w:t xml:space="preserve">“3.3公用设施设备维护服务”</w:t>
            </w:r>
            <w:r/>
          </w:p>
        </w:tc>
      </w:tr>
      <w:tr>
        <w:trPr>
          <w:trHeight w:val="454"/>
        </w:trPr>
        <w:tc>
          <w:tcPr>
            <w:tcW w:w="26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垃圾箱</w:t>
            </w:r>
            <w:r/>
          </w:p>
        </w:tc>
        <w:tc>
          <w:tcPr>
            <w:tcW w:w="5296" w:type="dxa"/>
            <w:vAlign w:val="center"/>
            <w:textDirection w:val="lrTb"/>
            <w:noWrap w:val="false"/>
          </w:tcPr>
          <w:p>
            <w:pPr>
              <w:ind w:firstLine="1200"/>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大垃圾箱15个</w:t>
            </w:r>
            <w:r/>
          </w:p>
          <w:p>
            <w:pPr>
              <w:ind w:firstLine="1200"/>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中型垃圾箱40个</w:t>
            </w:r>
            <w:r/>
          </w:p>
        </w:tc>
        <w:tc>
          <w:tcPr>
            <w:tcW w:w="662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见“3.4保洁服务”</w:t>
            </w:r>
            <w:r/>
          </w:p>
        </w:tc>
      </w:tr>
      <w:tr>
        <w:trPr>
          <w:trHeight w:val="316"/>
        </w:trPr>
        <w:tc>
          <w:tcPr>
            <w:tcW w:w="26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室外配电箱</w:t>
            </w:r>
            <w:r/>
          </w:p>
        </w:tc>
        <w:tc>
          <w:tcPr>
            <w:tcW w:w="5296" w:type="dxa"/>
            <w:vAlign w:val="center"/>
            <w:textDirection w:val="lrTb"/>
            <w:noWrap w:val="false"/>
          </w:tcPr>
          <w:p>
            <w:pPr>
              <w:ind w:firstLine="1200"/>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2个</w:t>
            </w:r>
            <w:r/>
          </w:p>
        </w:tc>
        <w:tc>
          <w:tcPr>
            <w:tcW w:w="662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见“3.4保洁服务”</w:t>
            </w:r>
            <w:r>
              <w:rPr>
                <w:rFonts w:hint="eastAsia" w:ascii="宋体" w:hAnsi="宋体" w:eastAsia="宋体" w:cs="宋体"/>
                <w:color w:val="auto"/>
                <w:sz w:val="24"/>
                <w:szCs w:val="24"/>
                <w:highlight w:val="none"/>
                <w:lang w:val="en-US" w:eastAsia="zh-CN"/>
              </w:rPr>
              <w:t xml:space="preserve">“3.3公用设施设备维护服务”</w:t>
            </w:r>
            <w:r/>
          </w:p>
        </w:tc>
      </w:tr>
      <w:tr>
        <w:trPr>
          <w:trHeight w:val="454"/>
        </w:trPr>
        <w:tc>
          <w:tcPr>
            <w:tcW w:w="26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门前三包</w:t>
            </w:r>
            <w:r/>
          </w:p>
        </w:tc>
        <w:tc>
          <w:tcPr>
            <w:tcW w:w="5296" w:type="dxa"/>
            <w:vAlign w:val="center"/>
            <w:textDirection w:val="lrTb"/>
            <w:noWrap w:val="false"/>
          </w:tcPr>
          <w:p>
            <w:pPr>
              <w:ind w:firstLine="1200"/>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1099.56㎡</w:t>
            </w:r>
            <w:r/>
          </w:p>
        </w:tc>
        <w:tc>
          <w:tcPr>
            <w:tcW w:w="6625"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见“3.4保洁服务”</w:t>
            </w:r>
            <w:r/>
          </w:p>
        </w:tc>
      </w:tr>
    </w:tbl>
    <w:p>
      <w:pPr>
        <w:pStyle w:val="67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7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3.物业管理服务内容及标准</w:t>
      </w:r>
      <w:r/>
    </w:p>
    <w:p>
      <w:pPr>
        <w:ind w:firstLine="480"/>
        <w:pageBreakBefore w:val="0"/>
        <w:spacing w:line="300" w:lineRule="auto"/>
        <w:rPr>
          <w:rFonts w:hint="eastAsia" w:ascii="宋体" w:hAnsi="宋体" w:eastAsia="宋体" w:cs="宋体"/>
          <w:color w:val="auto"/>
          <w:sz w:val="24"/>
          <w:szCs w:val="24"/>
          <w:highlight w:val="none"/>
          <w:u w:val="none"/>
          <w:lang w:val="en-US" w:eastAsia="zh-CN" w:bidi="ar-SA"/>
        </w:rPr>
        <w:outlineLvl w:val="9"/>
      </w:pPr>
      <w:r>
        <w:rPr>
          <w:rFonts w:hint="eastAsia" w:ascii="宋体" w:hAnsi="宋体" w:eastAsia="宋体" w:cs="宋体"/>
          <w:color w:val="auto"/>
          <w:sz w:val="24"/>
          <w:szCs w:val="24"/>
          <w:highlight w:val="none"/>
          <w:u w:val="none"/>
          <w:lang w:val="en-US" w:eastAsia="zh-CN" w:bidi="ar-SA"/>
        </w:rPr>
        <w:t xml:space="preserve">物业管理服务包括基本服务、房屋维护服务、公用设施设备维护服务、保洁服务、绿化服务、保安服务、会议服务等。</w:t>
      </w:r>
      <w:bookmarkEnd w:id="194"/>
      <w:bookmarkEnd w:id="195"/>
      <w:r/>
    </w:p>
    <w:p>
      <w:pPr>
        <w:pStyle w:val="671"/>
        <w:rPr>
          <w:rFonts w:hint="eastAsia" w:ascii="宋体" w:hAnsi="宋体" w:eastAsia="宋体" w:cs="宋体"/>
          <w:sz w:val="24"/>
          <w:szCs w:val="24"/>
          <w:highlight w:val="none"/>
          <w:lang w:val="en-US" w:eastAsia="zh-CN" w:bidi="ar"/>
        </w:rPr>
      </w:pPr>
      <w:r/>
      <w:bookmarkStart w:id="196" w:name="_Toc10498"/>
      <w:r/>
      <w:bookmarkStart w:id="197" w:name="_Toc26156"/>
      <w:r/>
      <w:bookmarkStart w:id="198" w:name="_Toc26485"/>
      <w:r>
        <w:rPr>
          <w:rFonts w:hint="eastAsia" w:ascii="宋体" w:hAnsi="宋体" w:eastAsia="宋体" w:cs="宋体"/>
          <w:sz w:val="24"/>
          <w:szCs w:val="24"/>
          <w:highlight w:val="none"/>
          <w:lang w:val="en-US" w:eastAsia="zh-CN"/>
        </w:rPr>
        <w:t xml:space="preserve">3.</w:t>
      </w:r>
      <w:bookmarkEnd w:id="196"/>
      <w:r/>
      <w:bookmarkEnd w:id="197"/>
      <w:r/>
      <w:bookmarkEnd w:id="198"/>
      <w:r>
        <w:rPr>
          <w:rFonts w:hint="eastAsia" w:ascii="宋体" w:hAnsi="宋体" w:eastAsia="宋体" w:cs="宋体"/>
          <w:sz w:val="24"/>
          <w:szCs w:val="24"/>
          <w:highlight w:val="none"/>
          <w:lang w:val="en-US" w:eastAsia="zh-CN" w:bidi="ar"/>
        </w:rPr>
        <w:t xml:space="preserve">1基本服务</w:t>
      </w:r>
      <w:r/>
    </w:p>
    <w:tbl>
      <w:tblPr>
        <w:tblStyle w:val="713"/>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419"/>
        <w:gridCol w:w="6965"/>
      </w:tblGrid>
      <w:tr>
        <w:trPr>
          <w:trHeight w:val="454"/>
        </w:trPr>
        <w:tc>
          <w:tcPr>
            <w:tcW w:w="794"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序号</w:t>
            </w:r>
            <w:r/>
          </w:p>
        </w:tc>
        <w:tc>
          <w:tcPr>
            <w:tcW w:w="1455"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服务内容</w:t>
            </w:r>
            <w:r/>
          </w:p>
        </w:tc>
        <w:tc>
          <w:tcPr>
            <w:tcW w:w="7141"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服务标准</w:t>
            </w:r>
            <w:r/>
          </w:p>
        </w:tc>
      </w:tr>
      <w:tr>
        <w:trPr>
          <w:trHeight w:val="888"/>
        </w:trPr>
        <w:tc>
          <w:tcPr>
            <w:tcW w:w="794" w:type="dxa"/>
            <w:vAlign w:val="center"/>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1455" w:type="dxa"/>
            <w:vAlign w:val="center"/>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目标与责任</w:t>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（1）结合采购人要求及物业服务实际情况，制定年度管理目标，明确责任分工，并制定配套实施方案。</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1455"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服务人员要求</w:t>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（1）每季度至少开展1次岗位技能、职业素质、服务知识、客户文化、绿色节能环保等教育培训，并进行适当形式的考核。</w:t>
            </w:r>
            <w:r/>
          </w:p>
        </w:tc>
      </w:tr>
      <w:tr>
        <w:trPr>
          <w:trHeight w:val="454"/>
        </w:trPr>
        <w:tc>
          <w:tcPr>
            <w:tcW w:w="794" w:type="dxa"/>
            <w:vAlign w:val="center"/>
            <w:vMerge w:val="continue"/>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（2）根据采购人要求对服务人员进行从业资格审查，审查结果向采购人报备。</w:t>
            </w:r>
            <w:r/>
          </w:p>
        </w:tc>
      </w:tr>
      <w:tr>
        <w:trPr>
          <w:trHeight w:val="454"/>
        </w:trPr>
        <w:tc>
          <w:tcPr>
            <w:tcW w:w="794" w:type="dxa"/>
            <w:vAlign w:val="center"/>
            <w:vMerge w:val="continue"/>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454"/>
        </w:trPr>
        <w:tc>
          <w:tcPr>
            <w:tcW w:w="794" w:type="dxa"/>
            <w:vAlign w:val="center"/>
            <w:vMerge w:val="continue"/>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tc>
      </w:tr>
      <w:tr>
        <w:trPr>
          <w:trHeight w:val="90"/>
        </w:trPr>
        <w:tc>
          <w:tcPr>
            <w:tcW w:w="794" w:type="dxa"/>
            <w:vAlign w:val="center"/>
            <w:vMerge w:val="continue"/>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（5）着装分类统一，佩戴标识。仪容整洁、姿态端正、举止文明。用语文明礼貌，态度温和耐心。</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W w:w="1455"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保密和思想政治教育</w:t>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（1）建立保密管理制度。制度内容应当包括但不限于：①明确重点要害岗位保密职责。②对涉密工作岗位的保密要求。</w:t>
            </w:r>
            <w:r/>
          </w:p>
        </w:tc>
      </w:tr>
      <w:tr>
        <w:trPr>
          <w:trHeight w:val="454"/>
        </w:trPr>
        <w:tc>
          <w:tcPr>
            <w:tcW w:w="794" w:type="dxa"/>
            <w:vAlign w:val="center"/>
            <w:vMerge w:val="continue"/>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（2）根据采购人要求与涉密工作岗位的服务人员签订保密协议。保密协议应当向采购人报备。</w:t>
            </w:r>
            <w:r/>
          </w:p>
        </w:tc>
      </w:tr>
      <w:tr>
        <w:trPr>
          <w:trHeight w:val="1436"/>
        </w:trPr>
        <w:tc>
          <w:tcPr>
            <w:tcW w:w="794" w:type="dxa"/>
            <w:vAlign w:val="center"/>
            <w:vMerge w:val="continue"/>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trHeight w:val="615"/>
        </w:trPr>
        <w:tc>
          <w:tcPr>
            <w:tcW w:w="794" w:type="dxa"/>
            <w:vAlign w:val="center"/>
            <w:vMerge w:val="continue"/>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（4）发现服务人员违法违规或重大过失，及时报告采购人，并采取必要补救措施。</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1455"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档案管理</w:t>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（1）建立物业信息，准确、及时地对文件资料和服务记录进行归档保存，并确保其物理安全。</w:t>
            </w:r>
            <w:r/>
          </w:p>
        </w:tc>
      </w:tr>
      <w:tr>
        <w:trPr>
          <w:trHeight w:val="454"/>
        </w:trPr>
        <w:tc>
          <w:tcPr>
            <w:tcW w:w="794" w:type="dxa"/>
            <w:vAlign w:val="center"/>
            <w:vMerge w:val="continue"/>
            <w:textDirection w:val="lrTb"/>
            <w:noWrap w:val="false"/>
          </w:tcPr>
          <w:p>
            <w:p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w:t>
            </w:r>
            <w:r>
              <w:rPr>
                <w:rFonts w:hint="eastAsia" w:ascii="宋体" w:hAnsi="宋体" w:eastAsia="宋体" w:cs="宋体"/>
                <w:color w:val="auto"/>
                <w:sz w:val="24"/>
                <w:szCs w:val="24"/>
                <w:highlight w:val="none"/>
              </w:rPr>
              <w:t xml:space="preserve">设施设备安全运行、设施设备定期巡检、维护保养、维修档案</w:t>
            </w:r>
            <w:r>
              <w:rPr>
                <w:rFonts w:hint="eastAsia" w:ascii="宋体" w:hAnsi="宋体" w:eastAsia="宋体" w:cs="宋体"/>
                <w:b w:val="0"/>
                <w:bCs w:val="0"/>
                <w:color w:val="auto"/>
                <w:sz w:val="24"/>
                <w:szCs w:val="24"/>
                <w:highlight w:val="none"/>
                <w:lang w:val="en-US" w:eastAsia="zh-CN"/>
              </w:rPr>
              <w:t xml:space="preserve">等。④保安服务：监控记录、突发事件演习与处置记录等。⑤保洁服务：工作日志、清洁检查表、用品清单、客户反馈表等。⑥绿化服务：绿化总平面图、清洁整改记录、消杀记录等。⑦其他：客户信息、财务明细、合同协议、信报信息登记、大件物品进出登记等。</w:t>
            </w:r>
            <w:r/>
          </w:p>
        </w:tc>
      </w:tr>
      <w:tr>
        <w:trPr>
          <w:trHeight w:val="740"/>
        </w:trPr>
        <w:tc>
          <w:tcPr>
            <w:tcW w:w="794" w:type="dxa"/>
            <w:vAlign w:val="center"/>
            <w:vMerge w:val="continue"/>
            <w:textDirection w:val="lrTb"/>
            <w:noWrap w:val="false"/>
          </w:tcPr>
          <w:p>
            <w:pPr>
              <w:numPr>
                <w:ilvl w:val="0"/>
                <w:numId w:val="0"/>
              </w:numPr>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numPr>
                <w:ilvl w:val="0"/>
                <w:numId w:val="0"/>
              </w:numP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（3）遵守采购人的信息、档案资料保密要求，未经许可，不得将建筑物平面图等资料转作其他用途或向其他单位、个人提供。</w:t>
            </w:r>
            <w:r/>
          </w:p>
        </w:tc>
      </w:tr>
      <w:tr>
        <w:trPr>
          <w:trHeight w:val="528"/>
        </w:trPr>
        <w:tc>
          <w:tcPr>
            <w:tcW w:w="794" w:type="dxa"/>
            <w:vAlign w:val="center"/>
            <w:vMerge w:val="continue"/>
            <w:textDirection w:val="lrTb"/>
            <w:noWrap w:val="false"/>
          </w:tcPr>
          <w:p>
            <w:pPr>
              <w:numPr>
                <w:ilvl w:val="0"/>
                <w:numId w:val="0"/>
              </w:numPr>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numPr>
                <w:ilvl w:val="0"/>
                <w:numId w:val="0"/>
              </w:numP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（4）履约结束后，相关资料交还采购人，采购人按政府采购相关规定存档。</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1455"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分包供应商管理</w:t>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（1）合理控制外包服务人员数量和流动率。</w:t>
            </w:r>
            <w:r/>
          </w:p>
        </w:tc>
      </w:tr>
      <w:tr>
        <w:trPr>
          <w:trHeight w:val="454"/>
        </w:trPr>
        <w:tc>
          <w:tcPr>
            <w:tcW w:w="794" w:type="dxa"/>
            <w:vAlign w:val="center"/>
            <w:vMerge w:val="continue"/>
            <w:textDirection w:val="lrTb"/>
            <w:noWrap w:val="false"/>
          </w:tcPr>
          <w:p>
            <w:pPr>
              <w:numPr>
                <w:ilvl w:val="0"/>
                <w:numId w:val="0"/>
              </w:numPr>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numPr>
                <w:ilvl w:val="0"/>
                <w:numId w:val="0"/>
              </w:numP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（2）根据采购人要求明确对分包供应商的要求，确定工作流程。</w:t>
            </w:r>
            <w:r/>
          </w:p>
        </w:tc>
      </w:tr>
      <w:tr>
        <w:trPr>
          <w:trHeight w:val="454"/>
        </w:trPr>
        <w:tc>
          <w:tcPr>
            <w:tcW w:w="794" w:type="dxa"/>
            <w:vAlign w:val="center"/>
            <w:vMerge w:val="continue"/>
            <w:textDirection w:val="lrTb"/>
            <w:noWrap w:val="false"/>
          </w:tcPr>
          <w:p>
            <w:pPr>
              <w:numPr>
                <w:ilvl w:val="0"/>
                <w:numId w:val="0"/>
              </w:numPr>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numPr>
                <w:ilvl w:val="0"/>
                <w:numId w:val="0"/>
              </w:numP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（3）明确安全管理责任和保密责任，签订安全管理责任书和保密责任书。</w:t>
            </w:r>
            <w:r/>
          </w:p>
        </w:tc>
      </w:tr>
      <w:tr>
        <w:trPr>
          <w:trHeight w:val="454"/>
        </w:trPr>
        <w:tc>
          <w:tcPr>
            <w:tcW w:w="794" w:type="dxa"/>
            <w:vAlign w:val="center"/>
            <w:vMerge w:val="continue"/>
            <w:textDirection w:val="lrTb"/>
            <w:noWrap w:val="false"/>
          </w:tcPr>
          <w:p>
            <w:pPr>
              <w:numPr>
                <w:ilvl w:val="0"/>
                <w:numId w:val="0"/>
              </w:numPr>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numPr>
                <w:ilvl w:val="0"/>
                <w:numId w:val="0"/>
              </w:numP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（4）开展服务检查和监管，评估服务效果，必要时进行服务流程调整。</w:t>
            </w:r>
            <w:r/>
          </w:p>
        </w:tc>
      </w:tr>
      <w:tr>
        <w:trPr>
          <w:trHeight w:val="90"/>
        </w:trPr>
        <w:tc>
          <w:tcPr>
            <w:tcW w:w="794" w:type="dxa"/>
            <w:vAlign w:val="center"/>
            <w:vMerge w:val="continue"/>
            <w:textDirection w:val="lrTb"/>
            <w:noWrap w:val="false"/>
          </w:tcPr>
          <w:p>
            <w:pPr>
              <w:numPr>
                <w:ilvl w:val="0"/>
                <w:numId w:val="0"/>
              </w:numPr>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numPr>
                <w:ilvl w:val="0"/>
                <w:numId w:val="0"/>
              </w:numP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（5）根据工作反馈意见与建议，持续提升服务品质。</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p>
            <w:pPr>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服务改进</w:t>
            </w:r>
            <w:r/>
          </w:p>
          <w:p>
            <w:pPr>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（1）明确负责人，定期对物业服务过程进行自查，结合反馈意见与评价结果采取改进措施，持续提升管理与服务水平。</w:t>
            </w:r>
            <w:r/>
          </w:p>
        </w:tc>
      </w:tr>
      <w:tr>
        <w:trPr>
          <w:trHeight w:val="454"/>
        </w:trPr>
        <w:tc>
          <w:tcPr>
            <w:tcW w:w="794" w:type="dxa"/>
            <w:vAlign w:val="center"/>
            <w:vMerge w:val="continue"/>
            <w:textDirection w:val="lrTb"/>
            <w:noWrap w:val="false"/>
          </w:tcPr>
          <w:p>
            <w:pPr>
              <w:numPr>
                <w:ilvl w:val="0"/>
                <w:numId w:val="0"/>
              </w:numPr>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numPr>
                <w:ilvl w:val="0"/>
                <w:numId w:val="0"/>
              </w:numP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（2）对不合格服务进行控制，对不合格服务的原因进行识别和分析，及时采取纠正措施，消除不合格的原因，防止不合格再发生。</w:t>
            </w:r>
            <w:r/>
          </w:p>
        </w:tc>
      </w:tr>
      <w:tr>
        <w:trPr>
          <w:trHeight w:val="478"/>
        </w:trPr>
        <w:tc>
          <w:tcPr>
            <w:tcW w:w="79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（3）需整改问题及时整改完成。</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p>
        </w:tc>
        <w:tc>
          <w:tcPr>
            <w:tcW w:w="1455" w:type="dxa"/>
            <w:vAlign w:val="center"/>
            <w:vMerge w:val="restart"/>
            <w:textDirection w:val="lrTb"/>
            <w:noWrap w:val="false"/>
          </w:tcPr>
          <w:p>
            <w:pPr>
              <w:numPr>
                <w:ilvl w:val="0"/>
                <w:numId w:val="0"/>
              </w:numPr>
              <w:ind w:left="0" w:firstLine="0"/>
              <w:jc w:val="both"/>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重大活动后勤保障</w:t>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（1）制订流程。配合采购人制订重大活动后勤保障工作流程，需对任务进行详细了解，并根据工作安排制定详细的后勤保障计划。</w:t>
            </w:r>
            <w:r/>
          </w:p>
        </w:tc>
      </w:tr>
      <w:tr>
        <w:trPr>
          <w:trHeight w:val="454"/>
        </w:trPr>
        <w:tc>
          <w:tcPr>
            <w:tcW w:w="794" w:type="dxa"/>
            <w:vAlign w:val="center"/>
            <w:vMerge w:val="continue"/>
            <w:textDirection w:val="lrTb"/>
            <w:noWrap w:val="false"/>
          </w:tcPr>
          <w:p>
            <w:p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ind w:left="0" w:firstLine="0"/>
              <w:jc w:val="both"/>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603"/>
        </w:trPr>
        <w:tc>
          <w:tcPr>
            <w:tcW w:w="794" w:type="dxa"/>
            <w:vAlign w:val="center"/>
            <w:vMerge w:val="continue"/>
            <w:textDirection w:val="lrTb"/>
            <w:noWrap w:val="false"/>
          </w:tcPr>
          <w:p>
            <w:p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ind w:left="0" w:firstLine="0"/>
              <w:jc w:val="both"/>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（3）收尾工作。对现场进行检查，做好清理工作。</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1455" w:type="dxa"/>
            <w:vAlign w:val="center"/>
            <w:vMerge w:val="restart"/>
            <w:textDirection w:val="lrTb"/>
            <w:noWrap w:val="false"/>
          </w:tcPr>
          <w:p>
            <w:pPr>
              <w:numPr>
                <w:ilvl w:val="0"/>
                <w:numId w:val="0"/>
              </w:numPr>
              <w:ind w:left="0" w:firstLine="0"/>
              <w:jc w:val="both"/>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应急保障预案</w:t>
            </w:r>
            <w:r/>
          </w:p>
        </w:tc>
        <w:tc>
          <w:tcPr>
            <w:tcW w:w="7141" w:type="dxa"/>
            <w:vAlign w:val="center"/>
            <w:textDirection w:val="lrTb"/>
            <w:noWrap w:val="false"/>
          </w:tcPr>
          <w:p>
            <w:pPr>
              <w:numPr>
                <w:ilvl w:val="0"/>
                <w:numId w:val="0"/>
              </w:numPr>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color w:val="auto"/>
                <w:sz w:val="24"/>
                <w:szCs w:val="24"/>
                <w:highlight w:val="none"/>
                <w:u w:val="none"/>
                <w:lang w:val="en-US" w:eastAsia="zh-CN"/>
              </w:rPr>
              <w:t xml:space="preserve">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trHeight w:val="454"/>
        </w:trPr>
        <w:tc>
          <w:tcPr>
            <w:tcW w:w="79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455"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141" w:type="dxa"/>
            <w:vAlign w:val="center"/>
            <w:textDirection w:val="lrTb"/>
            <w:noWrap w:val="false"/>
          </w:tcPr>
          <w:p>
            <w:pPr>
              <w:numPr>
                <w:ilvl w:val="0"/>
                <w:numId w:val="0"/>
              </w:numPr>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color w:val="auto"/>
                <w:sz w:val="24"/>
                <w:szCs w:val="24"/>
                <w:highlight w:val="none"/>
                <w:u w:val="none"/>
                <w:lang w:val="en-US" w:eastAsia="zh-CN"/>
              </w:rPr>
              <w:t xml:space="preserve">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tc>
      </w:tr>
      <w:tr>
        <w:trPr>
          <w:trHeight w:val="454"/>
        </w:trPr>
        <w:tc>
          <w:tcPr>
            <w:tcW w:w="79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455"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141" w:type="dxa"/>
            <w:vAlign w:val="center"/>
            <w:textDirection w:val="lrTb"/>
            <w:noWrap w:val="false"/>
          </w:tcPr>
          <w:p>
            <w:pPr>
              <w:numPr>
                <w:ilvl w:val="0"/>
                <w:numId w:val="0"/>
              </w:numPr>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color w:val="auto"/>
                <w:sz w:val="24"/>
                <w:szCs w:val="24"/>
                <w:highlight w:val="none"/>
                <w:u w:val="none"/>
                <w:lang w:val="en-US" w:eastAsia="zh-CN"/>
              </w:rPr>
              <w:t xml:space="preserve">应急预案的培训和演练。应急预案定期培训和演练，组织相关岗位每半年至少开展一次专项应急预案演练；留存培训及演练记录和影像资料，并对预案进行评价，确保与实际情况相结合。</w:t>
            </w:r>
            <w:r/>
          </w:p>
        </w:tc>
      </w:tr>
      <w:tr>
        <w:trPr>
          <w:trHeight w:val="90"/>
        </w:trPr>
        <w:tc>
          <w:tcPr>
            <w:tcW w:w="79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455"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color w:val="auto"/>
                <w:sz w:val="24"/>
                <w:szCs w:val="24"/>
                <w:highlight w:val="none"/>
                <w:u w:val="none"/>
                <w:lang w:val="en-US" w:eastAsia="zh-CN"/>
              </w:rPr>
              <w:t xml:space="preserve">应急物资的管理。根据专项预案中的应对需要、必要的应急物资，建立清单或台账，并由专人定期对应急物资进行检查，如有应急物资不足，及时通知采购人购置齐全，确保能够随时正常使用。</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w:t>
            </w:r>
            <w:r/>
          </w:p>
        </w:tc>
        <w:tc>
          <w:tcPr>
            <w:tcW w:w="1455" w:type="dxa"/>
            <w:vAlign w:val="center"/>
            <w:vMerge w:val="restart"/>
            <w:textDirection w:val="lrTb"/>
            <w:noWrap w:val="false"/>
          </w:tcPr>
          <w:p>
            <w:pPr>
              <w:numPr>
                <w:ilvl w:val="0"/>
                <w:numId w:val="0"/>
              </w:numPr>
              <w:ind w:left="0" w:firstLine="0"/>
              <w:jc w:val="both"/>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服务方案及工作制度</w:t>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Cs/>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（1）制定工作制度，</w:t>
            </w:r>
            <w:r>
              <w:rPr>
                <w:rFonts w:hint="eastAsia" w:ascii="宋体" w:hAnsi="宋体" w:eastAsia="宋体" w:cs="宋体"/>
                <w:bCs/>
                <w:color w:val="auto"/>
                <w:sz w:val="24"/>
                <w:szCs w:val="24"/>
                <w:highlight w:val="none"/>
                <w:lang w:eastAsia="zh-CN"/>
              </w:rPr>
              <w:t xml:space="preserve">主要</w:t>
            </w:r>
            <w:r>
              <w:rPr>
                <w:rFonts w:hint="eastAsia" w:ascii="宋体" w:hAnsi="宋体" w:eastAsia="宋体" w:cs="宋体"/>
                <w:bCs/>
                <w:color w:val="auto"/>
                <w:sz w:val="24"/>
                <w:szCs w:val="24"/>
                <w:highlight w:val="none"/>
              </w:rPr>
              <w:t xml:space="preserve">包括：</w:t>
            </w:r>
            <w:r>
              <w:rPr>
                <w:rFonts w:hint="eastAsia" w:ascii="宋体" w:hAnsi="宋体" w:eastAsia="宋体" w:cs="宋体"/>
                <w:bCs/>
                <w:color w:val="auto"/>
                <w:sz w:val="24"/>
                <w:szCs w:val="24"/>
                <w:highlight w:val="none"/>
                <w:lang w:val="en-US" w:eastAsia="zh-CN"/>
              </w:rPr>
              <w:t xml:space="preserve">人员录用制度、</w:t>
            </w:r>
            <w:r>
              <w:rPr>
                <w:rFonts w:hint="eastAsia" w:ascii="宋体" w:hAnsi="宋体" w:eastAsia="宋体" w:cs="宋体"/>
                <w:b w:val="0"/>
                <w:bCs w:val="0"/>
                <w:color w:val="auto"/>
                <w:sz w:val="24"/>
                <w:szCs w:val="24"/>
                <w:highlight w:val="none"/>
                <w:lang w:val="en-US" w:eastAsia="zh-CN"/>
              </w:rPr>
              <w:t xml:space="preserve">档案管理制度、</w:t>
            </w:r>
            <w:r>
              <w:rPr>
                <w:rFonts w:hint="eastAsia" w:ascii="宋体" w:hAnsi="宋体" w:eastAsia="宋体" w:cs="宋体"/>
                <w:bCs/>
                <w:color w:val="auto"/>
                <w:sz w:val="24"/>
                <w:szCs w:val="24"/>
                <w:highlight w:val="none"/>
              </w:rPr>
              <w:t xml:space="preserve">物业服务管理制度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公用设施设备相关管理制度等</w:t>
            </w:r>
            <w:r>
              <w:rPr>
                <w:rFonts w:hint="eastAsia" w:ascii="宋体" w:hAnsi="宋体" w:eastAsia="宋体" w:cs="宋体"/>
                <w:bCs/>
                <w:color w:val="auto"/>
                <w:sz w:val="24"/>
                <w:szCs w:val="24"/>
                <w:highlight w:val="none"/>
                <w:lang w:eastAsia="zh-CN"/>
              </w:rPr>
              <w:t xml:space="preserve">。</w:t>
            </w:r>
            <w:r/>
          </w:p>
        </w:tc>
      </w:tr>
      <w:tr>
        <w:trPr>
          <w:trHeight w:val="454"/>
        </w:trPr>
        <w:tc>
          <w:tcPr>
            <w:tcW w:w="79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（2）制定</w:t>
            </w:r>
            <w:r>
              <w:rPr>
                <w:rFonts w:hint="eastAsia" w:ascii="宋体" w:hAnsi="宋体" w:eastAsia="宋体" w:cs="宋体"/>
                <w:bCs/>
                <w:color w:val="auto"/>
                <w:sz w:val="24"/>
                <w:szCs w:val="24"/>
                <w:highlight w:val="none"/>
              </w:rPr>
              <w:t xml:space="preserve">项目实施方案</w:t>
            </w:r>
            <w:r>
              <w:rPr>
                <w:rFonts w:hint="eastAsia" w:ascii="宋体" w:hAnsi="宋体" w:eastAsia="宋体" w:cs="宋体"/>
                <w:bCs/>
                <w:color w:val="auto"/>
                <w:sz w:val="24"/>
                <w:szCs w:val="24"/>
                <w:highlight w:val="none"/>
                <w:lang w:eastAsia="zh-CN"/>
              </w:rPr>
              <w:t xml:space="preserve">，主要</w:t>
            </w:r>
            <w:r>
              <w:rPr>
                <w:rFonts w:hint="eastAsia" w:ascii="宋体" w:hAnsi="宋体" w:eastAsia="宋体" w:cs="宋体"/>
                <w:bCs/>
                <w:color w:val="auto"/>
                <w:sz w:val="24"/>
                <w:szCs w:val="24"/>
                <w:highlight w:val="none"/>
              </w:rPr>
              <w:t xml:space="preserve">包括：</w:t>
            </w:r>
            <w:r>
              <w:rPr>
                <w:rFonts w:hint="eastAsia" w:ascii="宋体" w:hAnsi="宋体" w:eastAsia="宋体" w:cs="宋体"/>
                <w:bCs/>
                <w:color w:val="auto"/>
                <w:sz w:val="24"/>
                <w:szCs w:val="24"/>
                <w:highlight w:val="none"/>
                <w:lang w:val="en-US" w:eastAsia="zh-CN"/>
              </w:rPr>
              <w:t xml:space="preserve">交接</w:t>
            </w:r>
            <w:r>
              <w:rPr>
                <w:rFonts w:hint="eastAsia" w:ascii="宋体" w:hAnsi="宋体" w:eastAsia="宋体" w:cs="宋体"/>
                <w:bCs/>
                <w:color w:val="auto"/>
                <w:sz w:val="24"/>
                <w:szCs w:val="24"/>
                <w:highlight w:val="none"/>
              </w:rPr>
              <w:t xml:space="preserve">方案、人员培训方案、人员稳定性方案、保密方案</w:t>
            </w:r>
            <w:r>
              <w:rPr>
                <w:rFonts w:hint="eastAsia" w:ascii="宋体" w:hAnsi="宋体" w:eastAsia="宋体" w:cs="宋体"/>
                <w:bCs/>
                <w:color w:val="auto"/>
                <w:sz w:val="24"/>
                <w:szCs w:val="24"/>
                <w:highlight w:val="none"/>
                <w:lang w:eastAsia="zh-CN"/>
              </w:rPr>
              <w:t xml:space="preserve">等</w:t>
            </w:r>
            <w:r>
              <w:rPr>
                <w:rFonts w:hint="eastAsia" w:ascii="宋体" w:hAnsi="宋体" w:eastAsia="宋体" w:cs="宋体"/>
                <w:bCs/>
                <w:color w:val="auto"/>
                <w:sz w:val="24"/>
                <w:szCs w:val="24"/>
                <w:highlight w:val="none"/>
              </w:rPr>
              <w:t xml:space="preserve">。</w:t>
            </w:r>
            <w:r/>
          </w:p>
        </w:tc>
      </w:tr>
      <w:tr>
        <w:trPr>
          <w:trHeight w:val="879"/>
        </w:trPr>
        <w:tc>
          <w:tcPr>
            <w:tcW w:w="79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（3）制定</w:t>
            </w:r>
            <w:r>
              <w:rPr>
                <w:rFonts w:hint="eastAsia" w:ascii="宋体" w:hAnsi="宋体" w:eastAsia="宋体" w:cs="宋体"/>
                <w:bCs/>
                <w:color w:val="auto"/>
                <w:sz w:val="24"/>
                <w:szCs w:val="24"/>
                <w:highlight w:val="none"/>
              </w:rPr>
              <w:t xml:space="preserve">物业服务方案</w:t>
            </w:r>
            <w:r>
              <w:rPr>
                <w:rFonts w:hint="eastAsia" w:ascii="宋体" w:hAnsi="宋体" w:eastAsia="宋体" w:cs="宋体"/>
                <w:bCs/>
                <w:color w:val="auto"/>
                <w:sz w:val="24"/>
                <w:szCs w:val="24"/>
                <w:highlight w:val="none"/>
                <w:lang w:eastAsia="zh-CN"/>
              </w:rPr>
              <w:t xml:space="preserve">，主要</w:t>
            </w:r>
            <w:r>
              <w:rPr>
                <w:rFonts w:hint="eastAsia" w:ascii="宋体" w:hAnsi="宋体" w:eastAsia="宋体" w:cs="宋体"/>
                <w:bCs/>
                <w:color w:val="auto"/>
                <w:sz w:val="24"/>
                <w:szCs w:val="24"/>
                <w:highlight w:val="none"/>
              </w:rPr>
              <w:t xml:space="preserve">包括：</w:t>
            </w:r>
            <w:r>
              <w:rPr>
                <w:rFonts w:hint="eastAsia" w:ascii="宋体" w:hAnsi="宋体" w:eastAsia="宋体" w:cs="宋体"/>
                <w:bCs/>
                <w:color w:val="auto"/>
                <w:sz w:val="24"/>
                <w:szCs w:val="24"/>
                <w:highlight w:val="none"/>
                <w:lang w:val="en-US" w:eastAsia="zh-CN"/>
              </w:rPr>
              <w:t xml:space="preserve">房屋维护服务方案、公用设施设备维护服务方案、</w:t>
            </w:r>
            <w:r>
              <w:rPr>
                <w:rFonts w:hint="eastAsia" w:ascii="宋体" w:hAnsi="宋体" w:eastAsia="宋体" w:cs="宋体"/>
                <w:bCs/>
                <w:color w:val="auto"/>
                <w:sz w:val="24"/>
                <w:szCs w:val="24"/>
                <w:highlight w:val="none"/>
              </w:rPr>
              <w:t xml:space="preserve">绿化</w:t>
            </w:r>
            <w:r>
              <w:rPr>
                <w:rFonts w:hint="eastAsia" w:ascii="宋体" w:hAnsi="宋体" w:eastAsia="宋体" w:cs="宋体"/>
                <w:bCs/>
                <w:color w:val="auto"/>
                <w:sz w:val="24"/>
                <w:szCs w:val="24"/>
                <w:highlight w:val="none"/>
                <w:lang w:val="en-US" w:eastAsia="zh-CN"/>
              </w:rPr>
              <w:t xml:space="preserve">服务</w:t>
            </w:r>
            <w:r>
              <w:rPr>
                <w:rFonts w:hint="eastAsia" w:ascii="宋体" w:hAnsi="宋体" w:eastAsia="宋体" w:cs="宋体"/>
                <w:bCs/>
                <w:color w:val="auto"/>
                <w:sz w:val="24"/>
                <w:szCs w:val="24"/>
                <w:highlight w:val="none"/>
              </w:rPr>
              <w:t xml:space="preserve">方案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保洁服务方案、</w:t>
            </w:r>
            <w:r>
              <w:rPr>
                <w:rFonts w:hint="eastAsia" w:ascii="宋体" w:hAnsi="宋体" w:eastAsia="宋体" w:cs="宋体"/>
                <w:bCs/>
                <w:color w:val="auto"/>
                <w:sz w:val="24"/>
                <w:szCs w:val="24"/>
                <w:highlight w:val="none"/>
                <w:lang w:val="en-US" w:eastAsia="zh-CN"/>
              </w:rPr>
              <w:t xml:space="preserve">保安</w:t>
            </w:r>
            <w:r>
              <w:rPr>
                <w:rFonts w:hint="eastAsia" w:ascii="宋体" w:hAnsi="宋体" w:eastAsia="宋体" w:cs="宋体"/>
                <w:bCs/>
                <w:color w:val="auto"/>
                <w:sz w:val="24"/>
                <w:szCs w:val="24"/>
                <w:highlight w:val="none"/>
              </w:rPr>
              <w:t xml:space="preserve">服务方案、会议服务方案</w:t>
            </w:r>
            <w:r>
              <w:rPr>
                <w:rFonts w:hint="eastAsia" w:ascii="宋体" w:hAnsi="宋体" w:eastAsia="宋体" w:cs="宋体"/>
                <w:bCs/>
                <w:color w:val="auto"/>
                <w:sz w:val="24"/>
                <w:szCs w:val="24"/>
                <w:highlight w:val="none"/>
                <w:lang w:val="en-US" w:eastAsia="zh-CN"/>
              </w:rPr>
              <w:t xml:space="preserve">等</w:t>
            </w:r>
            <w:r>
              <w:rPr>
                <w:rFonts w:hint="eastAsia" w:ascii="宋体" w:hAnsi="宋体" w:eastAsia="宋体" w:cs="宋体"/>
                <w:bCs/>
                <w:color w:val="auto"/>
                <w:sz w:val="24"/>
                <w:szCs w:val="24"/>
                <w:highlight w:val="none"/>
              </w:rPr>
              <w:t xml:space="preserve">。</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p>
        </w:tc>
        <w:tc>
          <w:tcPr>
            <w:tcW w:w="1455" w:type="dxa"/>
            <w:vAlign w:val="center"/>
            <w:vMerge w:val="restart"/>
            <w:textDirection w:val="lrTb"/>
            <w:noWrap w:val="false"/>
          </w:tcPr>
          <w:p>
            <w:pPr>
              <w:numPr>
                <w:ilvl w:val="0"/>
                <w:numId w:val="0"/>
              </w:numPr>
              <w:ind w:left="0" w:firstLine="0"/>
              <w:jc w:val="both"/>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信报服务</w:t>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（1）对邮件、包裹和挂号信等进行正确分理、安全检查和防疫卫生检查。</w:t>
            </w:r>
            <w:r/>
          </w:p>
        </w:tc>
      </w:tr>
      <w:tr>
        <w:trPr>
          <w:trHeight w:val="454"/>
        </w:trPr>
        <w:tc>
          <w:tcPr>
            <w:tcW w:w="79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（2）及时投送或通知收件人领取。</w:t>
            </w:r>
            <w:r/>
          </w:p>
        </w:tc>
      </w:tr>
      <w:tr>
        <w:trPr>
          <w:trHeight w:val="90"/>
        </w:trPr>
        <w:tc>
          <w:tcPr>
            <w:tcW w:w="79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color w:val="auto"/>
                <w:sz w:val="24"/>
                <w:szCs w:val="24"/>
                <w:highlight w:val="none"/>
                <w:u w:val="none"/>
              </w:rPr>
              <w:t xml:space="preserve">大件物品出入</w:t>
            </w:r>
            <w:r>
              <w:rPr>
                <w:rFonts w:hint="eastAsia" w:ascii="宋体" w:hAnsi="宋体" w:eastAsia="宋体" w:cs="宋体"/>
                <w:color w:val="auto"/>
                <w:sz w:val="24"/>
                <w:szCs w:val="24"/>
                <w:highlight w:val="none"/>
                <w:u w:val="none"/>
                <w:lang w:val="en-US" w:eastAsia="zh-CN"/>
              </w:rPr>
              <w:t xml:space="preserve">向采购人报告，待采购人确认无误后放行</w:t>
            </w:r>
            <w:r>
              <w:rPr>
                <w:rFonts w:hint="eastAsia" w:ascii="宋体" w:hAnsi="宋体" w:eastAsia="宋体" w:cs="宋体"/>
                <w:color w:val="auto"/>
                <w:sz w:val="24"/>
                <w:szCs w:val="24"/>
                <w:highlight w:val="none"/>
                <w:u w:val="none"/>
                <w:lang w:eastAsia="zh-CN"/>
              </w:rPr>
              <w:t xml:space="preserve">。</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w:t>
            </w:r>
            <w:r/>
          </w:p>
        </w:tc>
        <w:tc>
          <w:tcPr>
            <w:tcW w:w="1455" w:type="dxa"/>
            <w:vAlign w:val="center"/>
            <w:vMerge w:val="restart"/>
            <w:textDirection w:val="lrTb"/>
            <w:noWrap w:val="false"/>
          </w:tcPr>
          <w:p>
            <w:pPr>
              <w:numPr>
                <w:ilvl w:val="0"/>
                <w:numId w:val="0"/>
              </w:numPr>
              <w:ind w:left="0" w:firstLine="0"/>
              <w:jc w:val="both"/>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服务热线及紧急维修</w:t>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（1）设置24小时报修服务热线。</w:t>
            </w:r>
            <w:r/>
          </w:p>
        </w:tc>
      </w:tr>
      <w:tr>
        <w:trPr>
          <w:trHeight w:val="454"/>
        </w:trPr>
        <w:tc>
          <w:tcPr>
            <w:tcW w:w="79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color w:val="auto"/>
                <w:sz w:val="24"/>
                <w:szCs w:val="24"/>
                <w:highlight w:val="none"/>
                <w:u w:val="none"/>
                <w:lang w:val="en-US" w:eastAsia="zh-CN"/>
              </w:rPr>
              <w:t xml:space="preserve">紧急维修应当15分钟内到达现场，不间断维修直至修复。</w:t>
            </w:r>
            <w:r/>
          </w:p>
        </w:tc>
      </w:tr>
    </w:tbl>
    <w:p>
      <w:pPr>
        <w:pStyle w:val="67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7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3.2房屋维护服务</w:t>
      </w:r>
      <w:r/>
    </w:p>
    <w:tbl>
      <w:tblPr>
        <w:tblStyle w:val="679"/>
        <w:tblW w:w="48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1984"/>
        <w:gridCol w:w="6087"/>
      </w:tblGrid>
      <w:tr>
        <w:trPr>
          <w:jc w:val="center"/>
          <w:trHeight w:val="454"/>
        </w:trPr>
        <w:tc>
          <w:tcPr>
            <w:tcW w:w="821" w:type="dxa"/>
            <w:vAlign w:val="center"/>
            <w:textDirection w:val="lrTb"/>
            <w:noWrap w:val="false"/>
          </w:tcPr>
          <w:p>
            <w:pPr>
              <w:jc w:val="center"/>
              <w:spacing w:line="30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1984" w:type="dxa"/>
            <w:vAlign w:val="center"/>
            <w:textDirection w:val="lrTb"/>
            <w:noWrap w:val="false"/>
          </w:tcPr>
          <w:p>
            <w:pPr>
              <w:jc w:val="center"/>
              <w:spacing w:line="30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服务内容</w:t>
            </w:r>
            <w:r/>
          </w:p>
        </w:tc>
        <w:tc>
          <w:tcPr>
            <w:tcW w:w="6087" w:type="dxa"/>
            <w:vAlign w:val="center"/>
            <w:textDirection w:val="lrTb"/>
            <w:noWrap w:val="false"/>
          </w:tcPr>
          <w:p>
            <w:pPr>
              <w:jc w:val="center"/>
              <w:spacing w:line="30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服务标准</w:t>
            </w:r>
            <w:r/>
          </w:p>
        </w:tc>
      </w:tr>
      <w:tr>
        <w:trPr>
          <w:jc w:val="center"/>
          <w:trHeight w:val="454"/>
        </w:trPr>
        <w:tc>
          <w:tcPr>
            <w:tcW w:w="821" w:type="dxa"/>
            <w:vAlign w:val="center"/>
            <w:vMerge w:val="restart"/>
            <w:textDirection w:val="lrTb"/>
            <w:noWrap w:val="false"/>
          </w:tcPr>
          <w:p>
            <w:pPr>
              <w:jc w:val="center"/>
              <w:spacing w:line="30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984" w:type="dxa"/>
            <w:vAlign w:val="center"/>
            <w:vMerge w:val="restart"/>
            <w:textDirection w:val="lrTb"/>
            <w:noWrap w:val="false"/>
          </w:tcPr>
          <w:p>
            <w:pPr>
              <w:spacing w:line="300" w:lineRule="auto"/>
              <w:widowControl/>
              <w:rPr>
                <w:rFonts w:hint="eastAsia" w:ascii="宋体" w:hAnsi="宋体" w:eastAsia="宋体" w:cs="宋体"/>
                <w:sz w:val="24"/>
                <w:szCs w:val="24"/>
              </w:rPr>
            </w:pPr>
            <w:r>
              <w:rPr>
                <w:rFonts w:hint="eastAsia" w:ascii="宋体" w:hAnsi="宋体" w:eastAsia="宋体" w:cs="宋体"/>
                <w:sz w:val="24"/>
                <w:szCs w:val="24"/>
              </w:rPr>
              <w:t xml:space="preserve">主体结构、围护结构、部品部件</w:t>
            </w:r>
            <w:r/>
          </w:p>
        </w:tc>
        <w:tc>
          <w:tcPr>
            <w:tcW w:w="6087" w:type="dxa"/>
            <w:vAlign w:val="center"/>
            <w:textDirection w:val="lrTb"/>
            <w:noWrap w:val="false"/>
          </w:tcPr>
          <w:p>
            <w:pPr>
              <w:jc w:val="left"/>
              <w:spacing w:line="300" w:lineRule="auto"/>
              <w:widowControl/>
              <w:rPr>
                <w:rFonts w:hint="eastAsia" w:ascii="宋体" w:hAnsi="宋体" w:eastAsia="宋体" w:cs="宋体"/>
                <w:sz w:val="24"/>
                <w:szCs w:val="24"/>
              </w:rPr>
            </w:pPr>
            <w:r>
              <w:rPr>
                <w:rFonts w:hint="eastAsia" w:ascii="宋体" w:hAnsi="宋体" w:eastAsia="宋体" w:cs="宋体"/>
                <w:sz w:val="24"/>
                <w:szCs w:val="24"/>
              </w:rPr>
              <w:t xml:space="preserve">（1）每季度至少开展1次房屋结构安全巡视，发现外观有变形、开裂等现象，及时建议采购人申请房屋安全鉴定，并采取必要的避险和防护措施。</w:t>
            </w:r>
            <w:r/>
          </w:p>
        </w:tc>
      </w:tr>
      <w:tr>
        <w:trPr>
          <w:jc w:val="center"/>
          <w:trHeight w:val="454"/>
        </w:trPr>
        <w:tc>
          <w:tcPr>
            <w:tcW w:w="821" w:type="dxa"/>
            <w:vAlign w:val="center"/>
            <w:vMerge w:val="continue"/>
            <w:textDirection w:val="lrTb"/>
            <w:noWrap w:val="false"/>
          </w:tcPr>
          <w:p>
            <w:pPr>
              <w:jc w:val="center"/>
              <w:spacing w:line="30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984" w:type="dxa"/>
            <w:vAlign w:val="center"/>
            <w:vMerge w:val="continue"/>
            <w:textDirection w:val="lrTb"/>
            <w:noWrap w:val="false"/>
          </w:tcPr>
          <w:p>
            <w:pPr>
              <w:spacing w:line="30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087" w:type="dxa"/>
            <w:vAlign w:val="center"/>
            <w:textDirection w:val="lrTb"/>
            <w:noWrap w:val="false"/>
          </w:tcPr>
          <w:p>
            <w:pPr>
              <w:jc w:val="left"/>
              <w:spacing w:line="300" w:lineRule="auto"/>
              <w:widowControl/>
              <w:rPr>
                <w:rFonts w:hint="eastAsia" w:ascii="宋体" w:hAnsi="宋体" w:eastAsia="宋体" w:cs="宋体"/>
                <w:sz w:val="24"/>
                <w:szCs w:val="24"/>
              </w:rPr>
            </w:pPr>
            <w:r>
              <w:rPr>
                <w:rFonts w:hint="eastAsia" w:ascii="宋体" w:hAnsi="宋体" w:eastAsia="宋体" w:cs="宋体"/>
                <w:sz w:val="24"/>
                <w:szCs w:val="24"/>
              </w:rPr>
              <w:t xml:space="preserve">（2）每季度至少开展1次外墙贴饰面、幕墙玻璃、雨棚、散水、空调室外机支撑构件等检查，发现破损，及时向采购人报告，按采购人要求出具维修方案，待采购人同意后按维修方案实施维修。</w:t>
            </w:r>
            <w:r/>
          </w:p>
        </w:tc>
      </w:tr>
      <w:tr>
        <w:trPr>
          <w:jc w:val="center"/>
          <w:trHeight w:val="454"/>
        </w:trPr>
        <w:tc>
          <w:tcPr>
            <w:tcW w:w="821" w:type="dxa"/>
            <w:vAlign w:val="center"/>
            <w:vMerge w:val="continue"/>
            <w:textDirection w:val="lrTb"/>
            <w:noWrap w:val="false"/>
          </w:tcPr>
          <w:p>
            <w:pPr>
              <w:jc w:val="center"/>
              <w:spacing w:line="30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984" w:type="dxa"/>
            <w:vAlign w:val="center"/>
            <w:vMerge w:val="continue"/>
            <w:textDirection w:val="lrTb"/>
            <w:noWrap w:val="false"/>
          </w:tcPr>
          <w:p>
            <w:pPr>
              <w:spacing w:line="30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087" w:type="dxa"/>
            <w:vAlign w:val="center"/>
            <w:textDirection w:val="lrTb"/>
            <w:noWrap w:val="false"/>
          </w:tcPr>
          <w:p>
            <w:pPr>
              <w:jc w:val="left"/>
              <w:spacing w:line="300" w:lineRule="auto"/>
              <w:widowControl/>
              <w:rPr>
                <w:rFonts w:hint="eastAsia" w:ascii="宋体" w:hAnsi="宋体" w:eastAsia="宋体" w:cs="宋体"/>
                <w:sz w:val="24"/>
                <w:szCs w:val="24"/>
              </w:rPr>
            </w:pPr>
            <w:r>
              <w:rPr>
                <w:rFonts w:hint="eastAsia" w:ascii="宋体" w:hAnsi="宋体" w:eastAsia="宋体" w:cs="宋体"/>
                <w:sz w:val="24"/>
                <w:szCs w:val="24"/>
              </w:rPr>
              <w:t xml:space="preserve">（3）每半月至少开展1次公用部位的门、窗、楼梯、通风道、室内地面、墙面、吊顶和室外屋面等巡查，发现破损，及时向采购人报告，按采购人要求出具维修方案，待采购人同意后按维修方案实施维修。</w:t>
            </w:r>
            <w:r/>
          </w:p>
        </w:tc>
      </w:tr>
      <w:tr>
        <w:trPr>
          <w:jc w:val="center"/>
          <w:trHeight w:val="454"/>
        </w:trPr>
        <w:tc>
          <w:tcPr>
            <w:tcW w:w="821" w:type="dxa"/>
            <w:vAlign w:val="center"/>
            <w:vMerge w:val="continue"/>
            <w:textDirection w:val="lrTb"/>
            <w:noWrap w:val="false"/>
          </w:tcPr>
          <w:p>
            <w:pPr>
              <w:jc w:val="center"/>
              <w:spacing w:line="30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984" w:type="dxa"/>
            <w:vAlign w:val="center"/>
            <w:vMerge w:val="continue"/>
            <w:textDirection w:val="lrTb"/>
            <w:noWrap w:val="false"/>
          </w:tcPr>
          <w:p>
            <w:pPr>
              <w:spacing w:line="30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087" w:type="dxa"/>
            <w:vAlign w:val="center"/>
            <w:textDirection w:val="lrTb"/>
            <w:noWrap w:val="false"/>
          </w:tcPr>
          <w:p>
            <w:pPr>
              <w:jc w:val="left"/>
              <w:spacing w:line="300" w:lineRule="auto"/>
              <w:widowControl/>
              <w:rPr>
                <w:rFonts w:hint="eastAsia" w:ascii="宋体" w:hAnsi="宋体" w:eastAsia="宋体" w:cs="宋体"/>
                <w:sz w:val="24"/>
                <w:szCs w:val="24"/>
              </w:rPr>
            </w:pPr>
            <w:r>
              <w:rPr>
                <w:rFonts w:hint="eastAsia" w:ascii="宋体" w:hAnsi="宋体" w:eastAsia="宋体" w:cs="宋体"/>
                <w:sz w:val="24"/>
                <w:szCs w:val="24"/>
              </w:rPr>
              <w:t xml:space="preserve">（4）每年强降雨天气前后、雨雪季节检查屋面防水和雨落管等，发现破损，及时向采购人报告，按采购人要求出具维修方案，待采购人同意后按维修方案实施维修。</w:t>
            </w:r>
            <w:r/>
          </w:p>
        </w:tc>
      </w:tr>
      <w:tr>
        <w:trPr>
          <w:jc w:val="center"/>
          <w:trHeight w:val="454"/>
        </w:trPr>
        <w:tc>
          <w:tcPr>
            <w:tcW w:w="821" w:type="dxa"/>
            <w:vAlign w:val="center"/>
            <w:vMerge w:val="continue"/>
            <w:textDirection w:val="lrTb"/>
            <w:noWrap w:val="false"/>
          </w:tcPr>
          <w:p>
            <w:pPr>
              <w:jc w:val="center"/>
              <w:spacing w:line="30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984" w:type="dxa"/>
            <w:vAlign w:val="center"/>
            <w:vMerge w:val="continue"/>
            <w:textDirection w:val="lrTb"/>
            <w:noWrap w:val="false"/>
          </w:tcPr>
          <w:p>
            <w:pPr>
              <w:spacing w:line="30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087" w:type="dxa"/>
            <w:vAlign w:val="center"/>
            <w:textDirection w:val="lrTb"/>
            <w:noWrap w:val="false"/>
          </w:tcPr>
          <w:p>
            <w:pPr>
              <w:jc w:val="left"/>
              <w:spacing w:line="300" w:lineRule="auto"/>
              <w:widowControl/>
              <w:rPr>
                <w:rFonts w:hint="eastAsia" w:ascii="宋体" w:hAnsi="宋体" w:eastAsia="宋体" w:cs="宋体"/>
                <w:sz w:val="24"/>
                <w:szCs w:val="24"/>
              </w:rPr>
            </w:pPr>
            <w:r>
              <w:rPr>
                <w:rFonts w:hint="eastAsia" w:ascii="宋体" w:hAnsi="宋体" w:eastAsia="宋体" w:cs="宋体"/>
                <w:sz w:val="24"/>
                <w:szCs w:val="24"/>
              </w:rPr>
              <w:t xml:space="preserve">（5）办公楼外观完好，建筑装饰面无脱落、无破损、无污渍，玻璃幕墙清洁明亮、无破损。</w:t>
            </w:r>
            <w:r/>
          </w:p>
        </w:tc>
      </w:tr>
      <w:tr>
        <w:trPr>
          <w:jc w:val="center"/>
          <w:trHeight w:val="454"/>
        </w:trPr>
        <w:tc>
          <w:tcPr>
            <w:tcW w:w="821" w:type="dxa"/>
            <w:vAlign w:val="center"/>
            <w:vMerge w:val="continue"/>
            <w:textDirection w:val="lrTb"/>
            <w:noWrap w:val="false"/>
          </w:tcPr>
          <w:p>
            <w:pPr>
              <w:jc w:val="center"/>
              <w:spacing w:line="30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984" w:type="dxa"/>
            <w:vAlign w:val="center"/>
            <w:vMerge w:val="continue"/>
            <w:textDirection w:val="lrTb"/>
            <w:noWrap w:val="false"/>
          </w:tcPr>
          <w:p>
            <w:pPr>
              <w:spacing w:line="30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087" w:type="dxa"/>
            <w:vAlign w:val="center"/>
            <w:textDirection w:val="lrTb"/>
            <w:noWrap w:val="false"/>
          </w:tcPr>
          <w:p>
            <w:pPr>
              <w:jc w:val="left"/>
              <w:spacing w:line="300" w:lineRule="auto"/>
              <w:widowControl/>
              <w:rPr>
                <w:rFonts w:hint="eastAsia" w:ascii="宋体" w:hAnsi="宋体" w:eastAsia="宋体" w:cs="宋体"/>
                <w:sz w:val="24"/>
                <w:szCs w:val="24"/>
              </w:rPr>
            </w:pPr>
            <w:r>
              <w:rPr>
                <w:rFonts w:hint="eastAsia" w:ascii="宋体" w:hAnsi="宋体" w:eastAsia="宋体" w:cs="宋体"/>
                <w:sz w:val="24"/>
                <w:szCs w:val="24"/>
              </w:rPr>
              <w:t xml:space="preserve">（6）通道、楼梯、门窗等设施的完好和正常使用。</w:t>
            </w:r>
            <w:r/>
          </w:p>
        </w:tc>
      </w:tr>
      <w:tr>
        <w:trPr>
          <w:jc w:val="center"/>
          <w:trHeight w:val="454"/>
        </w:trPr>
        <w:tc>
          <w:tcPr>
            <w:tcW w:w="821" w:type="dxa"/>
            <w:vAlign w:val="center"/>
            <w:textDirection w:val="lrTb"/>
            <w:noWrap w:val="false"/>
          </w:tcPr>
          <w:p>
            <w:pPr>
              <w:jc w:val="center"/>
              <w:spacing w:line="30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984" w:type="dxa"/>
            <w:vAlign w:val="center"/>
            <w:textDirection w:val="lrTb"/>
            <w:noWrap w:val="false"/>
          </w:tcPr>
          <w:p>
            <w:pPr>
              <w:spacing w:line="300" w:lineRule="auto"/>
              <w:widowControl/>
              <w:rPr>
                <w:rFonts w:hint="eastAsia" w:ascii="宋体" w:hAnsi="宋体" w:eastAsia="宋体" w:cs="宋体"/>
                <w:sz w:val="24"/>
                <w:szCs w:val="24"/>
              </w:rPr>
            </w:pPr>
            <w:r>
              <w:rPr>
                <w:rFonts w:hint="eastAsia" w:ascii="宋体" w:hAnsi="宋体" w:eastAsia="宋体" w:cs="宋体"/>
                <w:sz w:val="24"/>
                <w:szCs w:val="24"/>
              </w:rPr>
              <w:t xml:space="preserve">其他设施</w:t>
            </w:r>
            <w:r/>
          </w:p>
        </w:tc>
        <w:tc>
          <w:tcPr>
            <w:tcW w:w="6087" w:type="dxa"/>
            <w:vAlign w:val="center"/>
            <w:textDirection w:val="lrTb"/>
            <w:noWrap w:val="false"/>
          </w:tcPr>
          <w:p>
            <w:pPr>
              <w:jc w:val="left"/>
              <w:spacing w:line="300" w:lineRule="auto"/>
              <w:widowControl/>
              <w:rPr>
                <w:rFonts w:hint="eastAsia" w:ascii="宋体" w:hAnsi="宋体" w:eastAsia="宋体" w:cs="宋体"/>
                <w:sz w:val="24"/>
                <w:szCs w:val="24"/>
              </w:rPr>
            </w:pPr>
            <w:r>
              <w:rPr>
                <w:rFonts w:hint="eastAsia" w:ascii="宋体" w:hAnsi="宋体" w:eastAsia="宋体" w:cs="宋体"/>
                <w:sz w:val="24"/>
                <w:szCs w:val="24"/>
              </w:rPr>
              <w:t xml:space="preserve">（1）每半月至少开展1次大门、围墙、道路、场地、管井、沟渠等巡查，每半月至少检查1次雨污水管井、化粪池等巡查，发现破损，及时向采购人报告，按采购人要求出具维修方案，待采购人同意后按维修方案实施维修。</w:t>
            </w:r>
            <w:r/>
          </w:p>
        </w:tc>
      </w:tr>
    </w:tbl>
    <w:p>
      <w:pPr>
        <w:pStyle w:val="67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7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3.3公用设施设备维护服务</w:t>
      </w:r>
      <w:r/>
    </w:p>
    <w:tbl>
      <w:tblPr>
        <w:tblStyle w:val="713"/>
        <w:tblW w:w="501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385"/>
        <w:gridCol w:w="7033"/>
      </w:tblGrid>
      <w:tr>
        <w:trPr>
          <w:trHeight w:val="454"/>
        </w:trPr>
        <w:tc>
          <w:tcPr>
            <w:tcW w:w="802" w:type="dxa"/>
            <w:vAlign w:val="center"/>
            <w:textDirection w:val="lrTb"/>
            <w:noWrap w:val="false"/>
          </w:tcPr>
          <w:p>
            <w:pPr>
              <w:ind w:left="0"/>
              <w:jc w:val="center"/>
              <w:keepLines w:val="0"/>
              <w:keepNext w:val="0"/>
              <w:pageBreakBefore w:val="0"/>
              <w:spacing w:after="80" w:line="30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序号</w:t>
            </w:r>
            <w:r/>
          </w:p>
        </w:tc>
        <w:tc>
          <w:tcPr>
            <w:tcW w:w="1420" w:type="dxa"/>
            <w:vAlign w:val="center"/>
            <w:textDirection w:val="lrTb"/>
            <w:noWrap w:val="false"/>
          </w:tcPr>
          <w:p>
            <w:pPr>
              <w:ind w:left="0"/>
              <w:jc w:val="center"/>
              <w:keepLines w:val="0"/>
              <w:keepNext w:val="0"/>
              <w:pageBreakBefore w:val="0"/>
              <w:spacing w:after="80"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服务内容</w:t>
            </w:r>
            <w:r/>
          </w:p>
        </w:tc>
        <w:tc>
          <w:tcPr>
            <w:tcW w:w="7211" w:type="dxa"/>
            <w:vAlign w:val="center"/>
            <w:textDirection w:val="lrTb"/>
            <w:noWrap w:val="false"/>
          </w:tcPr>
          <w:p>
            <w:pPr>
              <w:ind w:left="0"/>
              <w:jc w:val="center"/>
              <w:keepLines w:val="0"/>
              <w:keepNext w:val="0"/>
              <w:pageBreakBefore w:val="0"/>
              <w:spacing w:after="80" w:line="30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服务标准</w:t>
            </w:r>
            <w:r/>
          </w:p>
        </w:tc>
      </w:tr>
      <w:tr>
        <w:trPr>
          <w:trHeight w:val="454"/>
        </w:trPr>
        <w:tc>
          <w:tcPr>
            <w:tcW w:w="802" w:type="dxa"/>
            <w:vAlign w:val="center"/>
            <w:vMerge w:val="restart"/>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1420" w:type="dxa"/>
            <w:vAlign w:val="center"/>
            <w:vMerge w:val="restart"/>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基本要求</w:t>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（1）重大节假日及恶劣天气前后，组织系统巡检1次。</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（2）具备设施设备安全、稳定运行的环境和场所（含有限空间），温湿度、照度、粉尘和烟雾浓度等符合相关安全规范。</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p>
        </w:tc>
      </w:tr>
      <w:tr>
        <w:trPr>
          <w:trHeight w:val="90"/>
        </w:trPr>
        <w:tc>
          <w:tcPr>
            <w:tcW w:w="802" w:type="dxa"/>
            <w:vAlign w:val="center"/>
            <w:vMerge w:val="restart"/>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1420" w:type="dxa"/>
            <w:vAlign w:val="center"/>
            <w:vMerge w:val="restart"/>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设备机房</w:t>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trHeight w:val="445"/>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（2）设备机房门窗、锁具应当完好、有效。</w:t>
            </w:r>
            <w:r/>
          </w:p>
        </w:tc>
      </w:tr>
      <w:tr>
        <w:trPr>
          <w:trHeight w:val="483"/>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（3）每半月至少开展1次清洁，整洁有序、无杂物、无积尘、无鼠、无虫害，温湿度符合设备运行要求。</w:t>
            </w:r>
            <w:r/>
          </w:p>
        </w:tc>
      </w:tr>
      <w:tr>
        <w:trPr>
          <w:trHeight w:val="481"/>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（4）按各设备机房国家标准规范规定维护/保管消防、通风、应急照明，防止小动物进入。</w:t>
            </w:r>
            <w:r/>
          </w:p>
        </w:tc>
      </w:tr>
      <w:tr>
        <w:trPr>
          <w:trHeight w:val="493"/>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（5）安全防护用具配置齐全，检验合格。</w:t>
            </w:r>
            <w:r/>
          </w:p>
        </w:tc>
      </w:tr>
      <w:tr>
        <w:trPr>
          <w:trHeight w:val="481"/>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（6）应急设施设备用品应当齐全、完备，可随时启用。</w:t>
            </w:r>
            <w:r/>
          </w:p>
        </w:tc>
      </w:tr>
      <w:tr>
        <w:trPr>
          <w:trHeight w:val="454"/>
        </w:trPr>
        <w:tc>
          <w:tcPr>
            <w:tcW w:w="802" w:type="dxa"/>
            <w:vAlign w:val="center"/>
            <w:vMerge w:val="restart"/>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W w:w="1420" w:type="dxa"/>
            <w:vAlign w:val="center"/>
            <w:vMerge w:val="restart"/>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给排水系统</w:t>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（1）生活饮用水卫生符合《</w:t>
            </w:r>
            <w:r>
              <w:rPr>
                <w:rFonts w:hint="eastAsia" w:ascii="宋体" w:hAnsi="宋体" w:eastAsia="宋体" w:cs="宋体"/>
                <w:color w:val="auto"/>
                <w:sz w:val="24"/>
                <w:szCs w:val="24"/>
                <w:highlight w:val="none"/>
              </w:rPr>
              <w:t xml:space="preserve">生活饮用水卫生标准</w:t>
            </w:r>
            <w:r>
              <w:rPr>
                <w:rFonts w:hint="eastAsia" w:ascii="宋体" w:hAnsi="宋体" w:eastAsia="宋体" w:cs="宋体"/>
                <w:b w:val="0"/>
                <w:bCs w:val="0"/>
                <w:color w:val="auto"/>
                <w:sz w:val="24"/>
                <w:szCs w:val="24"/>
                <w:highlight w:val="none"/>
                <w:lang w:val="en-US" w:eastAsia="zh-CN"/>
              </w:rPr>
              <w:t xml:space="preserve">》（GB5749）的相关要求。</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（2）二次供水卫生符合《二次供水设施卫生规范》（GB17051）的相关要求。</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（3）设施设备、阀门、管道等运行正常，无跑、冒、滴、漏现象。</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（4）有水泵房、水箱间的，每日至少巡视1次。每年至少养护1次水泵。</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（5）遇供水单位限水、停水，按规定时间通知采购人。</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（6）每季度至少开展1次对排水管进行疏通、清污，保证室内外排水系统通畅。</w:t>
            </w:r>
            <w:r/>
          </w:p>
        </w:tc>
      </w:tr>
      <w:tr>
        <w:trPr>
          <w:trHeight w:val="454"/>
        </w:trPr>
        <w:tc>
          <w:tcPr>
            <w:tcW w:w="802" w:type="dxa"/>
            <w:vAlign w:val="center"/>
            <w:vMerge w:val="restart"/>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1420" w:type="dxa"/>
            <w:vAlign w:val="center"/>
            <w:vMerge w:val="restart"/>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空调</w:t>
            </w:r>
            <w:r>
              <w:rPr>
                <w:rFonts w:hint="eastAsia" w:ascii="宋体" w:hAnsi="宋体" w:eastAsia="宋体" w:cs="宋体"/>
                <w:sz w:val="24"/>
                <w:szCs w:val="24"/>
                <w:highlight w:val="none"/>
              </w:rPr>
              <w:t xml:space="preserve">系统</w:t>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（1）空调通风系统运行管理符合《空调通风系统运行管理标准》（GB50365）的相关要求。</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（2）办公楼内温湿度、空气质量等符合《室内空气质量标准》（GB/T18883）的相关要求。</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（3）定期维保并做好记录，保证空调设施设备处于良好状态。</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（4）中央空调运行前对冷水机组、循环水泵、冷却塔、风机等设施设备进行系统检查，运行期间每日至少开展1次运行情况巡查。</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（5）每半年至少开展1次管道、阀门检查并除锈。</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（6）每年至少开展1次系统整体性维修养护，检验1次压力容器、仪表及冷却塔噪声。</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（7）每年至少开展1次新风机、空气处理机滤网等清洗消毒；每2年至少开展1次风管清洗消毒。</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（8）每年至少开展1次分体式空调主机（含空调过滤网）和室外机清洁。每月至少开展1次挂机和室外支架稳固性巡查。</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（9）制冷、供暖系统温度设定及启用时间符合节能要求。</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color w:val="auto"/>
                <w:sz w:val="24"/>
                <w:szCs w:val="24"/>
                <w:highlight w:val="none"/>
                <w:u w:val="none"/>
                <w:lang w:val="en-US" w:eastAsia="zh-CN"/>
              </w:rPr>
              <w:t xml:space="preserve">发现故障或损坏应当在30分钟内到场，紧急维修应当在15分钟内到达现场，在12小时内维修完毕。</w:t>
            </w:r>
            <w:r/>
          </w:p>
        </w:tc>
      </w:tr>
      <w:tr>
        <w:trPr>
          <w:trHeight w:val="454"/>
        </w:trPr>
        <w:tc>
          <w:tcPr>
            <w:tcW w:w="802" w:type="dxa"/>
            <w:vAlign w:val="center"/>
            <w:vMerge w:val="restart"/>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1420" w:type="dxa"/>
            <w:vAlign w:val="center"/>
            <w:vMerge w:val="restart"/>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消防系统</w:t>
            </w:r>
            <w:r/>
          </w:p>
        </w:tc>
        <w:tc>
          <w:tcPr>
            <w:tcW w:w="721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z w:val="24"/>
                <w:szCs w:val="24"/>
              </w:rPr>
              <w:t xml:space="preserve">（1）消防设施的维护管理符合《建筑消防设施的维护管理》（GB25201）的相关要求。</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z w:val="24"/>
                <w:szCs w:val="24"/>
              </w:rPr>
              <w:t xml:space="preserve">（2）消防设备检测符合《建筑消防设施检测技术规程》（GA503或XF503）的相关要求。</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z w:val="24"/>
                <w:szCs w:val="24"/>
              </w:rPr>
              <w:t xml:space="preserve">（3）消防设施平面图、火警疏散示意图、防火分区图等按幢设置在楼层醒目位置。</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z w:val="24"/>
                <w:szCs w:val="24"/>
              </w:rPr>
              <w:t xml:space="preserve">（4）消防系统各设施设备使用说明清晰，宜图文结合。</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z w:val="24"/>
                <w:szCs w:val="24"/>
              </w:rPr>
              <w:t xml:space="preserve">（5）自动喷水灭火系统启动正常。</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z w:val="24"/>
                <w:szCs w:val="24"/>
              </w:rPr>
              <w:t xml:space="preserve">（6）消火栓箱、防火门、灭火器、消防水泵、红外线报警器、应急照明、安全疏散等系统运行正常。</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z w:val="24"/>
                <w:szCs w:val="24"/>
              </w:rPr>
              <w:t xml:space="preserve">（7）消防监控系统运行良好，自动和手动报警设施启动正常。</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z w:val="24"/>
                <w:szCs w:val="24"/>
              </w:rPr>
              <w:t xml:space="preserve">（8）正压送风、防排烟系统运行正常。</w:t>
            </w:r>
            <w:r/>
          </w:p>
        </w:tc>
      </w:tr>
      <w:tr>
        <w:trPr>
          <w:trHeight w:val="454"/>
        </w:trPr>
        <w:tc>
          <w:tcPr>
            <w:tcW w:w="802" w:type="dxa"/>
            <w:vAlign w:val="center"/>
            <w:vMerge w:val="restart"/>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W w:w="1420" w:type="dxa"/>
            <w:vAlign w:val="center"/>
            <w:vMerge w:val="restart"/>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w:t>
            </w:r>
            <w:r>
              <w:rPr>
                <w:rFonts w:hint="eastAsia" w:ascii="宋体" w:hAnsi="宋体" w:eastAsia="宋体" w:cs="宋体"/>
                <w:sz w:val="24"/>
                <w:szCs w:val="24"/>
                <w:highlight w:val="none"/>
                <w:lang w:val="en-US" w:eastAsia="zh-CN"/>
              </w:rPr>
              <w:t xml:space="preserve">配电</w:t>
            </w:r>
            <w:r>
              <w:rPr>
                <w:rFonts w:hint="eastAsia" w:ascii="宋体" w:hAnsi="宋体" w:eastAsia="宋体" w:cs="宋体"/>
                <w:sz w:val="24"/>
                <w:szCs w:val="24"/>
                <w:highlight w:val="none"/>
              </w:rPr>
              <w:t xml:space="preserve">系统</w:t>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（1）建立24小时运行值班监控制度。</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（2）对供电范围内的电气设备定期巡视维护，加强高低压配电柜、配电箱、控制柜及线路等重点部位监测。</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（3）公共使用的照明、指示灯具线路、开关、接地等保持完好，确保用电安全。</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（4）核心部位用电建立高可控用电保障和配备应急发电设备，定期维护应急发电设备。</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（5）发生非计划性停电的，应当在事件发生后及时通知采购人，快速恢复或启用应急电源，并做好应急事件上报及处理工作。</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（6）复杂故障涉及供电部门维修处置的及时与供电部门联系，并向采购人报告。</w:t>
            </w:r>
            <w:r/>
          </w:p>
        </w:tc>
      </w:tr>
      <w:tr>
        <w:trPr>
          <w:trHeight w:val="454"/>
        </w:trPr>
        <w:tc>
          <w:tcPr>
            <w:tcW w:w="802" w:type="dxa"/>
            <w:vAlign w:val="center"/>
            <w:vMerge w:val="restart"/>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p>
        </w:tc>
        <w:tc>
          <w:tcPr>
            <w:tcW w:w="1420" w:type="dxa"/>
            <w:vAlign w:val="center"/>
            <w:vMerge w:val="restart"/>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照明</w:t>
            </w:r>
            <w:r>
              <w:rPr>
                <w:rFonts w:hint="eastAsia" w:ascii="宋体" w:hAnsi="宋体" w:eastAsia="宋体" w:cs="宋体"/>
                <w:sz w:val="24"/>
                <w:szCs w:val="24"/>
                <w:highlight w:val="none"/>
              </w:rPr>
              <w:t xml:space="preserve">系统</w:t>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（1）外观整洁无缺损、无松落。</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（2）更换的照明灯具应当选用节能环保产品，亮度与更换前保持一致。</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（3）每周至少开展1次公共区域照明设备巡视。</w:t>
            </w:r>
            <w:r/>
          </w:p>
        </w:tc>
      </w:tr>
    </w:tbl>
    <w:p>
      <w:pPr>
        <w:pStyle w:val="685"/>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p>
      <w:pPr>
        <w:ind w:firstLine="480"/>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7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3.4保洁服务</w:t>
      </w:r>
      <w:r/>
    </w:p>
    <w:tbl>
      <w:tblPr>
        <w:tblStyle w:val="713"/>
        <w:tblW w:w="50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1386"/>
        <w:gridCol w:w="7021"/>
      </w:tblGrid>
      <w:tr>
        <w:trPr>
          <w:trHeight w:val="454"/>
        </w:trPr>
        <w:tc>
          <w:tcPr>
            <w:tcW w:w="787" w:type="dxa"/>
            <w:vAlign w:val="center"/>
            <w:textDirection w:val="lrTb"/>
            <w:noWrap w:val="false"/>
          </w:tcPr>
          <w:p>
            <w:pPr>
              <w:ind w:left="0"/>
              <w:jc w:val="center"/>
              <w:keepLines w:val="0"/>
              <w:keepNext w:val="0"/>
              <w:pageBreakBefore w:val="0"/>
              <w:spacing w:after="80" w:line="30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序号</w:t>
            </w:r>
            <w:r/>
          </w:p>
        </w:tc>
        <w:tc>
          <w:tcPr>
            <w:tcW w:w="1421" w:type="dxa"/>
            <w:vAlign w:val="center"/>
            <w:textDirection w:val="lrTb"/>
            <w:noWrap w:val="false"/>
          </w:tcPr>
          <w:p>
            <w:pPr>
              <w:ind w:left="0"/>
              <w:jc w:val="center"/>
              <w:keepLines w:val="0"/>
              <w:keepNext w:val="0"/>
              <w:pageBreakBefore w:val="0"/>
              <w:spacing w:after="80"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服务内容</w:t>
            </w:r>
            <w:r/>
          </w:p>
        </w:tc>
        <w:tc>
          <w:tcPr>
            <w:tcW w:w="7199" w:type="dxa"/>
            <w:vAlign w:val="center"/>
            <w:textDirection w:val="lrTb"/>
            <w:noWrap w:val="false"/>
          </w:tcPr>
          <w:p>
            <w:pPr>
              <w:ind w:left="0"/>
              <w:jc w:val="center"/>
              <w:keepLines w:val="0"/>
              <w:keepNext w:val="0"/>
              <w:pageBreakBefore w:val="0"/>
              <w:spacing w:after="80" w:line="30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服务标准</w:t>
            </w:r>
            <w:r/>
          </w:p>
        </w:tc>
      </w:tr>
      <w:tr>
        <w:trPr>
          <w:trHeight w:val="454"/>
        </w:trPr>
        <w:tc>
          <w:tcPr>
            <w:tcW w:w="787" w:type="dxa"/>
            <w:vAlign w:val="center"/>
            <w:vMerge w:val="restart"/>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1421" w:type="dxa"/>
            <w:vAlign w:val="center"/>
            <w:vMerge w:val="restart"/>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基本要求</w:t>
            </w:r>
            <w:r/>
          </w:p>
        </w:tc>
        <w:tc>
          <w:tcPr>
            <w:tcW w:w="7199"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（1）建立保洁服务的工作制度及工作计划，并按照执行。</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99"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（2）做好保洁服务工作记录，记录填写规范、保存完好。</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99"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（3）作业时采取安全防护措施，防止对作业人员或他人造成伤害。相关耗材的环保、安全性等应当符合国家相关规定要求。</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（4）进入保密区域时，有采购人相关人员全程在场。</w:t>
            </w:r>
            <w:r/>
          </w:p>
        </w:tc>
      </w:tr>
      <w:tr>
        <w:trPr>
          <w:trHeight w:val="585"/>
        </w:trPr>
        <w:tc>
          <w:tcPr>
            <w:tcW w:w="787" w:type="dxa"/>
            <w:vAlign w:val="center"/>
            <w:vMerge w:val="restart"/>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1421" w:type="dxa"/>
            <w:vAlign w:val="center"/>
            <w:vMerge w:val="restart"/>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办公用房区域保洁</w:t>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（1）大厅、楼内公共通道：</w:t>
            </w:r>
            <w:r/>
          </w:p>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①公共通道保持干净，无异味、无杂物、无积水，每日至少开展1次清洁作业。</w:t>
            </w:r>
            <w:r/>
          </w:p>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②门窗玻璃干净无尘，透光性好，每周至少开展1次清洁作业。</w:t>
            </w:r>
            <w:r/>
          </w:p>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③指示牌干净，无污渍，每日至少开展1次清洁作业。</w:t>
            </w:r>
            <w:r/>
          </w:p>
        </w:tc>
      </w:tr>
      <w:tr>
        <w:trPr>
          <w:trHeight w:val="1095"/>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（2）电器、消防等设施设备：</w:t>
            </w:r>
            <w:r/>
          </w:p>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①配电箱、设备机房、会议室音视频设备、消防栓及开关插座等保持表面干净，无尘无污迹，每月至少开展1次清洁作业。</w:t>
            </w:r>
            <w:r/>
          </w:p>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②门禁系统等表面光亮，无尘、无斑点，每月至少开展1次清洁作业。</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（3）楼梯及楼梯间保持干净、无异味、无杂物、无积水，每日至少开展1次清洁作业。</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（4）开水间保持干净、无异味、无杂物、无积水，每日至少开展1次清洁作业。</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（5）作业工具间：</w:t>
            </w:r>
            <w:r/>
          </w:p>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①保持干净，无异味、无杂物、无积水，每日至少开展1次清洁作业。</w:t>
            </w:r>
            <w:r/>
          </w:p>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②作业工具摆放整齐有序，表面干净无渍，每日消毒。</w:t>
            </w:r>
            <w:r/>
          </w:p>
        </w:tc>
      </w:tr>
      <w:tr>
        <w:trPr>
          <w:trHeight w:val="560"/>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（6）公共卫生间：</w:t>
            </w:r>
            <w:r/>
          </w:p>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①保持干净，无异味，垃圾无溢出，每日至少开展1次清洁作业。</w:t>
            </w:r>
            <w:r/>
          </w:p>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②及时补充厕纸等必要用品。</w:t>
            </w:r>
            <w:r/>
          </w:p>
        </w:tc>
      </w:tr>
      <w:tr>
        <w:trPr>
          <w:trHeight w:val="1107"/>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（7）电梯轿厢：</w:t>
            </w:r>
            <w:r/>
          </w:p>
          <w:p>
            <w:pPr>
              <w:numPr>
                <w:ilvl w:val="0"/>
                <w:numId w:val="0"/>
              </w:numPr>
              <w:ind w:left="315" w:firstLine="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①保持干净，无污渍、无粘贴物、无异味，每日至少开展1次清洁作业。</w:t>
            </w:r>
            <w:r/>
          </w:p>
          <w:p>
            <w:pPr>
              <w:numPr>
                <w:ilvl w:val="0"/>
                <w:numId w:val="0"/>
              </w:numPr>
              <w:ind w:left="315" w:firstLine="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②灯具、操作指示板明亮。</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（8）平台、屋顶、天沟保持干净，有杂物及时清扫，每月至少开展1次清洁作业。</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color w:val="auto"/>
                <w:sz w:val="24"/>
                <w:szCs w:val="24"/>
                <w:highlight w:val="none"/>
                <w:u w:val="none"/>
                <w:lang w:val="en-US" w:eastAsia="zh-CN"/>
              </w:rPr>
              <w:t xml:space="preserve">石材地面、内墙做好养护工作</w:t>
            </w:r>
            <w:r>
              <w:rPr>
                <w:rFonts w:hint="eastAsia" w:ascii="宋体" w:hAnsi="宋体" w:eastAsia="宋体" w:cs="宋体"/>
                <w:b w:val="0"/>
                <w:bCs w:val="0"/>
                <w:color w:val="auto"/>
                <w:sz w:val="24"/>
                <w:szCs w:val="24"/>
                <w:highlight w:val="none"/>
                <w:lang w:val="en-US" w:eastAsia="zh-CN"/>
              </w:rPr>
              <w:t xml:space="preserve">，每季度开展1次清洁作业。（各类材质地面、内墙服务管理标准详见3.4.1）</w:t>
            </w:r>
            <w:r/>
          </w:p>
        </w:tc>
      </w:tr>
      <w:tr>
        <w:trPr>
          <w:trHeight w:val="588"/>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color w:val="auto"/>
                <w:sz w:val="24"/>
                <w:szCs w:val="24"/>
                <w:highlight w:val="none"/>
                <w:u w:val="none"/>
                <w:lang w:val="en-US" w:eastAsia="zh-CN"/>
              </w:rPr>
              <w:t xml:space="preserve">地毯干净、无油渍、无污渍、无褪色</w:t>
            </w:r>
            <w:r>
              <w:rPr>
                <w:rFonts w:hint="eastAsia" w:ascii="宋体" w:hAnsi="宋体" w:eastAsia="宋体" w:cs="宋体"/>
                <w:b w:val="0"/>
                <w:bCs w:val="0"/>
                <w:color w:val="auto"/>
                <w:sz w:val="24"/>
                <w:szCs w:val="24"/>
                <w:highlight w:val="none"/>
                <w:lang w:val="en-US" w:eastAsia="zh-CN"/>
              </w:rPr>
              <w:t xml:space="preserve">，每月至少开展1次清洁作业。</w:t>
            </w:r>
            <w:r/>
          </w:p>
        </w:tc>
      </w:tr>
      <w:tr>
        <w:trPr>
          <w:trHeight w:val="454"/>
        </w:trPr>
        <w:tc>
          <w:tcPr>
            <w:tcW w:w="787" w:type="dxa"/>
            <w:vAlign w:val="center"/>
            <w:vMerge w:val="restart"/>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W w:w="1421" w:type="dxa"/>
            <w:vAlign w:val="center"/>
            <w:vMerge w:val="restart"/>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公共场地区域保洁</w:t>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b w:val="0"/>
                <w:bCs w:val="0"/>
                <w:color w:val="auto"/>
                <w:sz w:val="24"/>
                <w:szCs w:val="24"/>
                <w:highlight w:val="none"/>
                <w:lang w:val="en-US" w:eastAsia="zh-CN"/>
              </w:rPr>
              <w:t xml:space="preserve">（1）每日清扫道路地面、停车场等公共区域2次，保持干净、无杂物、无积水。</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b w:val="0"/>
                <w:bCs w:val="0"/>
                <w:color w:val="auto"/>
                <w:sz w:val="24"/>
                <w:szCs w:val="24"/>
                <w:highlight w:val="none"/>
                <w:lang w:val="en-US" w:eastAsia="zh-CN"/>
              </w:rPr>
              <w:t xml:space="preserve">（2）雪、冰冻等恶劣天气时及时清扫积水、积雪，并采取安全防护措施。</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b w:val="0"/>
                <w:bCs w:val="0"/>
                <w:color w:val="auto"/>
                <w:sz w:val="24"/>
                <w:szCs w:val="24"/>
                <w:highlight w:val="none"/>
                <w:lang w:val="en-US" w:eastAsia="zh-CN"/>
              </w:rPr>
              <w:t xml:space="preserve">（3）各种路标、宣传栏等保持干净，每月至少开展1次清洁作业。</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b w:val="0"/>
                <w:bCs w:val="0"/>
                <w:color w:val="auto"/>
                <w:sz w:val="24"/>
                <w:szCs w:val="24"/>
                <w:highlight w:val="none"/>
                <w:lang w:val="en-US" w:eastAsia="zh-CN"/>
              </w:rPr>
              <w:t xml:space="preserve">（4）清洁室外照明设备，每月至少开展1次清洁作业。</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b w:val="0"/>
                <w:bCs w:val="0"/>
                <w:color w:val="auto"/>
                <w:sz w:val="24"/>
                <w:szCs w:val="24"/>
                <w:highlight w:val="none"/>
                <w:lang w:val="en-US" w:eastAsia="zh-CN"/>
              </w:rPr>
              <w:t xml:space="preserve">（5）绿地内无杂物、无改变用途和破坏、践踏、占用现象，每天至少开展1次巡查。</w:t>
            </w:r>
            <w:r/>
          </w:p>
        </w:tc>
      </w:tr>
      <w:tr>
        <w:trPr>
          <w:trHeight w:val="520"/>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sz w:val="24"/>
                <w:szCs w:val="24"/>
                <w:highlight w:val="none"/>
              </w:rPr>
              <w:t xml:space="preserve">办公区外立面</w:t>
            </w:r>
            <w:r>
              <w:rPr>
                <w:rFonts w:hint="eastAsia" w:ascii="宋体" w:hAnsi="宋体" w:eastAsia="宋体" w:cs="宋体"/>
                <w:color w:val="auto"/>
                <w:sz w:val="24"/>
                <w:szCs w:val="24"/>
                <w:highlight w:val="none"/>
                <w:u w:val="none"/>
                <w:lang w:val="en-US" w:eastAsia="zh-CN"/>
              </w:rPr>
              <w:t xml:space="preserve">定期</w:t>
            </w:r>
            <w:r>
              <w:rPr>
                <w:rFonts w:hint="eastAsia" w:ascii="宋体" w:hAnsi="宋体" w:eastAsia="宋体" w:cs="宋体"/>
                <w:sz w:val="24"/>
                <w:szCs w:val="24"/>
                <w:highlight w:val="none"/>
              </w:rPr>
              <w:t xml:space="preserve">清洗、</w:t>
            </w:r>
            <w:r>
              <w:rPr>
                <w:rFonts w:hint="eastAsia" w:ascii="宋体" w:hAnsi="宋体" w:eastAsia="宋体" w:cs="宋体"/>
                <w:sz w:val="24"/>
                <w:szCs w:val="24"/>
                <w:highlight w:val="none"/>
                <w:lang w:val="en-US" w:eastAsia="zh-CN"/>
              </w:rPr>
              <w:t xml:space="preserve">2米以上</w:t>
            </w:r>
            <w:r>
              <w:rPr>
                <w:rFonts w:hint="eastAsia" w:ascii="宋体" w:hAnsi="宋体" w:eastAsia="宋体" w:cs="宋体"/>
                <w:sz w:val="24"/>
                <w:szCs w:val="24"/>
                <w:highlight w:val="none"/>
              </w:rPr>
              <w:t xml:space="preserve">外窗玻璃擦拭</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每年</w:t>
            </w:r>
            <w:r>
              <w:rPr>
                <w:rFonts w:hint="eastAsia" w:ascii="宋体" w:hAnsi="宋体" w:eastAsia="宋体" w:cs="宋体"/>
                <w:b w:val="0"/>
                <w:bCs w:val="0"/>
                <w:color w:val="auto"/>
                <w:sz w:val="24"/>
                <w:szCs w:val="24"/>
                <w:highlight w:val="none"/>
                <w:lang w:val="en-US" w:eastAsia="zh-CN"/>
              </w:rPr>
              <w:t xml:space="preserve">至少开展</w:t>
            </w:r>
            <w:r>
              <w:rPr>
                <w:rFonts w:hint="eastAsia" w:ascii="宋体" w:hAnsi="宋体" w:eastAsia="宋体" w:cs="宋体"/>
                <w:sz w:val="24"/>
                <w:szCs w:val="24"/>
                <w:highlight w:val="none"/>
                <w:lang w:val="en-US" w:eastAsia="zh-CN"/>
              </w:rPr>
              <w:t xml:space="preserve">1次清洗。</w:t>
            </w:r>
            <w:r>
              <w:rPr>
                <w:rFonts w:hint="eastAsia" w:ascii="宋体" w:hAnsi="宋体" w:eastAsia="宋体" w:cs="宋体"/>
                <w:b w:val="0"/>
                <w:bCs w:val="0"/>
                <w:color w:val="auto"/>
                <w:sz w:val="24"/>
                <w:szCs w:val="24"/>
                <w:highlight w:val="none"/>
                <w:lang w:val="en-US" w:eastAsia="zh-CN"/>
              </w:rPr>
              <w:t xml:space="preserve">（各类材质外立面服务标准详见3.4.1）</w:t>
            </w:r>
            <w:r/>
          </w:p>
        </w:tc>
      </w:tr>
      <w:tr>
        <w:trPr>
          <w:trHeight w:val="454"/>
        </w:trPr>
        <w:tc>
          <w:tcPr>
            <w:tcW w:w="787" w:type="dxa"/>
            <w:vAlign w:val="center"/>
            <w:vMerge w:val="restart"/>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1421" w:type="dxa"/>
            <w:vAlign w:val="center"/>
            <w:vMerge w:val="restart"/>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垃圾处理</w:t>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（1）在指定位置摆放分类垃圾桶，并在显著处张贴垃圾分类标识。分类垃圾桶和垃圾分类标识根据所在城市的要求设置。</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（2）桶身表面干净无污渍，每日开展至少1次清洁作业。</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（3）垃圾中转房保持整洁，无明显异味，每日至少开展1次清洁作业。</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（4）化粪池清掏，无明显异味，每半年至少开展1次清洁作业。</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color w:val="auto"/>
                <w:sz w:val="24"/>
                <w:szCs w:val="24"/>
                <w:highlight w:val="none"/>
                <w:u w:val="none"/>
                <w:lang w:val="en-US" w:eastAsia="zh-CN"/>
              </w:rPr>
              <w:t xml:space="preserve">每个工作日内要对楼层产生的垃圾，进行清理分类，并运至垃圾集中堆放点。</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（6）垃圾装袋，日产日清。</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（7）建立垃圾清运台账，交由规范的渠道回收处理。</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color w:val="auto"/>
                <w:sz w:val="24"/>
                <w:szCs w:val="24"/>
                <w:highlight w:val="none"/>
                <w:u w:val="none"/>
                <w:lang w:val="en-US" w:eastAsia="zh-CN"/>
              </w:rPr>
              <w:t xml:space="preserve">做好垃圾分类管理的宣传工作，督促并引导全员参与垃圾分类投放。</w:t>
            </w:r>
            <w:r/>
          </w:p>
        </w:tc>
      </w:tr>
      <w:tr>
        <w:trPr>
          <w:trHeight w:val="597"/>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color w:val="auto"/>
                <w:sz w:val="24"/>
                <w:szCs w:val="24"/>
                <w:highlight w:val="none"/>
                <w:u w:val="none"/>
                <w:lang w:val="en-US" w:eastAsia="zh-CN"/>
              </w:rPr>
              <w:t xml:space="preserve">垃圾分类投放管理工作的执行标准，按</w:t>
            </w:r>
            <w:r>
              <w:rPr>
                <w:rFonts w:hint="eastAsia" w:ascii="宋体" w:hAnsi="宋体" w:eastAsia="宋体" w:cs="宋体"/>
                <w:b w:val="0"/>
                <w:bCs w:val="0"/>
                <w:color w:val="auto"/>
                <w:sz w:val="24"/>
                <w:szCs w:val="24"/>
                <w:highlight w:val="none"/>
                <w:lang w:val="en-US" w:eastAsia="zh-CN"/>
              </w:rPr>
              <w:t xml:space="preserve">所在城市</w:t>
            </w:r>
            <w:r>
              <w:rPr>
                <w:rFonts w:hint="eastAsia" w:ascii="宋体" w:hAnsi="宋体" w:eastAsia="宋体" w:cs="宋体"/>
                <w:color w:val="auto"/>
                <w:sz w:val="24"/>
                <w:szCs w:val="24"/>
                <w:highlight w:val="none"/>
                <w:u w:val="none"/>
                <w:lang w:val="en-US" w:eastAsia="zh-CN"/>
              </w:rPr>
              <w:t xml:space="preserve">的要求执行。</w:t>
            </w:r>
            <w:r/>
          </w:p>
        </w:tc>
      </w:tr>
      <w:tr>
        <w:trPr>
          <w:trHeight w:val="532"/>
        </w:trPr>
        <w:tc>
          <w:tcPr>
            <w:tcW w:w="787" w:type="dxa"/>
            <w:vAlign w:val="center"/>
            <w:vMerge w:val="restart"/>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1421" w:type="dxa"/>
            <w:vAlign w:val="center"/>
            <w:vMerge w:val="restart"/>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卫生消毒</w:t>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（1）办公用房区域、公共场所区域和周围环境预防性卫生消毒，</w:t>
            </w:r>
            <w:r>
              <w:rPr>
                <w:rFonts w:hint="eastAsia" w:ascii="宋体" w:hAnsi="宋体" w:eastAsia="宋体" w:cs="宋体"/>
                <w:color w:val="auto"/>
                <w:sz w:val="24"/>
                <w:szCs w:val="24"/>
                <w:highlight w:val="none"/>
                <w:u w:val="none"/>
                <w:lang w:val="en-US" w:eastAsia="zh-CN"/>
              </w:rPr>
              <w:t xml:space="preserve">消毒后及时通风，每周</w:t>
            </w:r>
            <w:r>
              <w:rPr>
                <w:rFonts w:hint="eastAsia" w:ascii="宋体" w:hAnsi="宋体" w:eastAsia="宋体" w:cs="宋体"/>
                <w:b w:val="0"/>
                <w:bCs w:val="0"/>
                <w:color w:val="auto"/>
                <w:sz w:val="24"/>
                <w:szCs w:val="24"/>
                <w:highlight w:val="none"/>
                <w:lang w:val="en-US" w:eastAsia="zh-CN"/>
              </w:rPr>
              <w:t xml:space="preserve">至少开展</w:t>
            </w:r>
            <w:r>
              <w:rPr>
                <w:rFonts w:hint="eastAsia" w:ascii="宋体" w:hAnsi="宋体" w:eastAsia="宋体" w:cs="宋体"/>
                <w:color w:val="auto"/>
                <w:sz w:val="24"/>
                <w:szCs w:val="24"/>
                <w:highlight w:val="none"/>
                <w:u w:val="none"/>
                <w:lang w:val="en-US" w:eastAsia="zh-CN"/>
              </w:rPr>
              <w:t xml:space="preserve">1次作业。</w:t>
            </w:r>
            <w:r/>
          </w:p>
        </w:tc>
      </w:tr>
      <w:tr>
        <w:trPr>
          <w:trHeight w:val="418"/>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（2）采取综合措施消灭老鼠、蟑螂，控制室内外蚊虫孳生，达到基本无蝇</w:t>
            </w:r>
            <w:r>
              <w:rPr>
                <w:rFonts w:hint="eastAsia" w:ascii="宋体" w:hAnsi="宋体" w:eastAsia="宋体" w:cs="宋体"/>
                <w:color w:val="auto"/>
                <w:sz w:val="24"/>
                <w:szCs w:val="24"/>
                <w:highlight w:val="none"/>
                <w:u w:val="none"/>
                <w:lang w:val="en-US" w:eastAsia="zh-CN"/>
              </w:rPr>
              <w:t xml:space="preserve">，每季度</w:t>
            </w:r>
            <w:r>
              <w:rPr>
                <w:rFonts w:hint="eastAsia" w:ascii="宋体" w:hAnsi="宋体" w:eastAsia="宋体" w:cs="宋体"/>
                <w:b w:val="0"/>
                <w:bCs w:val="0"/>
                <w:color w:val="auto"/>
                <w:sz w:val="24"/>
                <w:szCs w:val="24"/>
                <w:highlight w:val="none"/>
                <w:lang w:val="en-US" w:eastAsia="zh-CN"/>
              </w:rPr>
              <w:t xml:space="preserve">至少开展</w:t>
            </w:r>
            <w:r>
              <w:rPr>
                <w:rFonts w:hint="eastAsia" w:ascii="宋体" w:hAnsi="宋体" w:eastAsia="宋体" w:cs="宋体"/>
                <w:color w:val="auto"/>
                <w:sz w:val="24"/>
                <w:szCs w:val="24"/>
                <w:highlight w:val="none"/>
                <w:u w:val="none"/>
                <w:lang w:val="en-US" w:eastAsia="zh-CN"/>
              </w:rPr>
              <w:t xml:space="preserve">1次作业。</w:t>
            </w:r>
            <w:r/>
          </w:p>
        </w:tc>
      </w:tr>
      <w:tr>
        <w:trPr>
          <w:trHeight w:val="536"/>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（3）发生公共卫生事件时，邀请专业单位开展消毒、检测等工作。</w:t>
            </w:r>
            <w:r/>
          </w:p>
        </w:tc>
      </w:tr>
    </w:tbl>
    <w:p>
      <w:pPr>
        <w:pStyle w:val="67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7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3.4.1具体清洁要求</w:t>
      </w:r>
      <w:r/>
    </w:p>
    <w:tbl>
      <w:tblPr>
        <w:tblStyle w:val="713"/>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3"/>
        <w:gridCol w:w="1460"/>
        <w:gridCol w:w="6805"/>
      </w:tblGrid>
      <w:tr>
        <w:trPr>
          <w:trHeight w:val="454"/>
        </w:trPr>
        <w:tc>
          <w:tcPr>
            <w:tcW w:w="907" w:type="dxa"/>
            <w:vAlign w:val="center"/>
            <w:textDirection w:val="lrTb"/>
            <w:noWrap w:val="false"/>
          </w:tcPr>
          <w:p>
            <w:pPr>
              <w:jc w:val="center"/>
              <w:keepLines w:val="0"/>
              <w:keepNext w:val="0"/>
              <w:pageBreakBefore w:val="0"/>
              <w:spacing w:after="80"/>
              <w:widowControl/>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 xml:space="preserve">序号</w:t>
            </w:r>
            <w:r/>
          </w:p>
        </w:tc>
        <w:tc>
          <w:tcPr>
            <w:tcW w:w="1492" w:type="dxa"/>
            <w:vAlign w:val="center"/>
            <w:textDirection w:val="lrTb"/>
            <w:noWrap w:val="false"/>
          </w:tcPr>
          <w:p>
            <w:pPr>
              <w:jc w:val="center"/>
              <w:keepLines w:val="0"/>
              <w:keepNext w:val="0"/>
              <w:pageBreakBefore w:val="0"/>
              <w:spacing w:after="80"/>
              <w:widowControl/>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 xml:space="preserve">材质</w:t>
            </w:r>
            <w:r/>
          </w:p>
        </w:tc>
        <w:tc>
          <w:tcPr>
            <w:tcW w:w="6991" w:type="dxa"/>
            <w:vAlign w:val="center"/>
            <w:textDirection w:val="lrTb"/>
            <w:noWrap w:val="false"/>
          </w:tcPr>
          <w:p>
            <w:pPr>
              <w:jc w:val="center"/>
              <w:keepLines w:val="0"/>
              <w:keepNext w:val="0"/>
              <w:pageBreakBefore w:val="0"/>
              <w:spacing w:after="80"/>
              <w:widowControl/>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 xml:space="preserve">清洁要求</w:t>
            </w:r>
            <w:r/>
          </w:p>
        </w:tc>
      </w:tr>
      <w:tr>
        <w:trPr>
          <w:trHeight w:val="454"/>
        </w:trPr>
        <w:tc>
          <w:tcPr>
            <w:tcW w:w="907"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w:t>
            </w:r>
            <w:r/>
          </w:p>
        </w:tc>
        <w:tc>
          <w:tcPr>
            <w:tcW w:w="1492" w:type="dxa"/>
            <w:vAlign w:val="center"/>
            <w:vMerge w:val="restart"/>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环氧地坪地面</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sz w:val="24"/>
                <w:szCs w:val="24"/>
                <w:highlight w:val="none"/>
                <w:vertAlign w:val="baseline"/>
                <w:lang w:val="en-US" w:eastAsia="zh-CN"/>
              </w:rPr>
              <w:t xml:space="preserve">清理垃圾：清理地面上的垃圾和杂物。</w:t>
            </w:r>
            <w:r/>
          </w:p>
        </w:tc>
      </w:tr>
      <w:tr>
        <w:trPr>
          <w:trHeight w:val="454"/>
        </w:trPr>
        <w:tc>
          <w:tcPr>
            <w:tcW w:w="907"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492" w:type="dxa"/>
            <w:vAlign w:val="center"/>
            <w:vMerge w:val="continue"/>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sz w:val="24"/>
                <w:szCs w:val="24"/>
                <w:highlight w:val="none"/>
                <w:vertAlign w:val="baseline"/>
                <w:lang w:val="en-US" w:eastAsia="zh-CN"/>
              </w:rPr>
              <w:t xml:space="preserve">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W w:w="907"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492" w:type="dxa"/>
            <w:vAlign w:val="center"/>
            <w:vMerge w:val="continue"/>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sz w:val="24"/>
                <w:szCs w:val="24"/>
                <w:highlight w:val="none"/>
                <w:vertAlign w:val="baseline"/>
                <w:lang w:val="en-US" w:eastAsia="zh-CN"/>
              </w:rPr>
              <w:t xml:space="preserve">滚刷或颗粒机进行深层清洗：对于顽固沉积物，需要使用滚刷或颗粒机进行深层清洗。</w:t>
            </w:r>
            <w:r/>
          </w:p>
        </w:tc>
      </w:tr>
      <w:tr>
        <w:trPr>
          <w:trHeight w:val="454"/>
        </w:trPr>
        <w:tc>
          <w:tcPr>
            <w:tcW w:w="907"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492" w:type="dxa"/>
            <w:vAlign w:val="center"/>
            <w:vMerge w:val="continue"/>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sz w:val="24"/>
                <w:szCs w:val="24"/>
                <w:highlight w:val="none"/>
                <w:vertAlign w:val="baseline"/>
                <w:lang w:val="en-US" w:eastAsia="zh-CN"/>
              </w:rPr>
              <w:t xml:space="preserve">浸泡：将清洁剂或去污剂浸泡在环氧地坪上，加强去除污渍的效果。</w:t>
            </w:r>
            <w:r/>
          </w:p>
        </w:tc>
      </w:tr>
      <w:tr>
        <w:trPr>
          <w:trHeight w:val="454"/>
        </w:trPr>
        <w:tc>
          <w:tcPr>
            <w:tcW w:w="907"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492" w:type="dxa"/>
            <w:vAlign w:val="center"/>
            <w:vMerge w:val="continue"/>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sz w:val="24"/>
                <w:szCs w:val="24"/>
                <w:highlight w:val="none"/>
                <w:vertAlign w:val="baseline"/>
                <w:lang w:val="en-US" w:eastAsia="zh-CN"/>
              </w:rPr>
              <w:t xml:space="preserve">冲洗：用清水将地面冲洗干净，以去除残留的清洁剂或去污剂。</w:t>
            </w:r>
            <w:r/>
          </w:p>
        </w:tc>
      </w:tr>
      <w:tr>
        <w:trPr>
          <w:trHeight w:val="454"/>
        </w:trPr>
        <w:tc>
          <w:tcPr>
            <w:tcW w:w="907"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w:t>
            </w:r>
            <w:r/>
          </w:p>
        </w:tc>
        <w:tc>
          <w:tcPr>
            <w:tcW w:w="1492" w:type="dxa"/>
            <w:vAlign w:val="center"/>
            <w:vMerge w:val="restart"/>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耐磨漆地面</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sz w:val="24"/>
                <w:szCs w:val="24"/>
                <w:highlight w:val="none"/>
              </w:rPr>
              <w:t xml:space="preserve">日常清洁：使用软质拖把或地板清洁机，配合清水和中性清洁剂进行清洁。避免使用酸性或碱性清洁剂，以免损坏地面表面。定期清理地面上的污渍和杂物，保持地面干净整洁。</w:t>
            </w:r>
            <w:r/>
          </w:p>
        </w:tc>
      </w:tr>
      <w:tr>
        <w:trPr>
          <w:trHeight w:val="454"/>
        </w:trPr>
        <w:tc>
          <w:tcPr>
            <w:tcW w:w="907"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492" w:type="dxa"/>
            <w:vAlign w:val="center"/>
            <w:vMerge w:val="continue"/>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sz w:val="24"/>
                <w:szCs w:val="24"/>
                <w:highlight w:val="none"/>
              </w:rPr>
              <w:t xml:space="preserve">打蜡：为了增加耐磨地面的光亮度和耐磨性，可以进行打蜡处理。使用适合聚氨酯地面的蜡进行均匀涂抹，待蜡干燥后使用抛光机或拖把清理地面，使其变得光滑而有光泽。</w:t>
            </w:r>
            <w:r/>
          </w:p>
        </w:tc>
      </w:tr>
      <w:tr>
        <w:trPr>
          <w:trHeight w:val="454"/>
        </w:trPr>
        <w:tc>
          <w:tcPr>
            <w:tcW w:w="907"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3</w:t>
            </w:r>
            <w:r/>
          </w:p>
        </w:tc>
        <w:tc>
          <w:tcPr>
            <w:tcW w:w="1492" w:type="dxa"/>
            <w:vAlign w:val="center"/>
            <w:vMerge w:val="restart"/>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瓷砖地面</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sz w:val="24"/>
                <w:szCs w:val="24"/>
                <w:highlight w:val="none"/>
              </w:rPr>
              <w:t xml:space="preserve">日常清洁：</w:t>
            </w:r>
            <w:r>
              <w:rPr>
                <w:rFonts w:hint="eastAsia" w:ascii="宋体" w:hAnsi="宋体" w:eastAsia="宋体" w:cs="宋体"/>
                <w:sz w:val="24"/>
                <w:szCs w:val="24"/>
                <w:highlight w:val="none"/>
                <w:lang w:val="en-US" w:eastAsia="zh-CN"/>
              </w:rPr>
              <w:t xml:space="preserve">推尘，保持地面干净无杂物。</w:t>
            </w:r>
            <w:r/>
          </w:p>
        </w:tc>
      </w:tr>
      <w:tr>
        <w:trPr>
          <w:trHeight w:val="454"/>
        </w:trPr>
        <w:tc>
          <w:tcPr>
            <w:tcW w:w="907"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492" w:type="dxa"/>
            <w:vAlign w:val="center"/>
            <w:vMerge w:val="continue"/>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深度清洁：使用洗洁精或肥皂水清理。</w:t>
            </w:r>
            <w:r/>
          </w:p>
        </w:tc>
      </w:tr>
      <w:tr>
        <w:trPr>
          <w:trHeight w:val="454"/>
        </w:trPr>
        <w:tc>
          <w:tcPr>
            <w:tcW w:w="907"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4</w:t>
            </w:r>
            <w:r/>
          </w:p>
        </w:tc>
        <w:tc>
          <w:tcPr>
            <w:tcW w:w="1492" w:type="dxa"/>
            <w:vAlign w:val="center"/>
            <w:vMerge w:val="restart"/>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石材地面</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sz w:val="24"/>
                <w:szCs w:val="24"/>
                <w:highlight w:val="none"/>
                <w:vertAlign w:val="baseline"/>
                <w:lang w:val="en-US" w:eastAsia="zh-CN"/>
              </w:rPr>
              <w:t xml:space="preserve">根据各区域的人流量及大理石的实际磨损程度制定大理石的晶面保养计划。</w:t>
            </w:r>
            <w:r/>
          </w:p>
        </w:tc>
      </w:tr>
      <w:tr>
        <w:trPr>
          <w:trHeight w:val="454"/>
        </w:trPr>
        <w:tc>
          <w:tcPr>
            <w:tcW w:w="907"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492" w:type="dxa"/>
            <w:vAlign w:val="center"/>
            <w:vMerge w:val="continue"/>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（2）启动晶面机，使用中性清洁剂清洁，避免使用强酸或强碱清洁剂，定期进行基础维护。</w:t>
            </w:r>
            <w:r/>
          </w:p>
        </w:tc>
      </w:tr>
      <w:tr>
        <w:trPr>
          <w:trHeight w:val="454"/>
        </w:trPr>
        <w:tc>
          <w:tcPr>
            <w:tcW w:w="907"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5</w:t>
            </w:r>
            <w:r/>
          </w:p>
        </w:tc>
        <w:tc>
          <w:tcPr>
            <w:tcW w:w="1492" w:type="dxa"/>
            <w:vAlign w:val="center"/>
            <w:vMerge w:val="restart"/>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水磨石地面</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sz w:val="24"/>
                <w:szCs w:val="24"/>
                <w:highlight w:val="none"/>
              </w:rPr>
              <w:t xml:space="preserve">日常清洁：</w:t>
            </w:r>
            <w:r>
              <w:rPr>
                <w:rFonts w:hint="eastAsia" w:ascii="宋体" w:hAnsi="宋体" w:eastAsia="宋体" w:cs="宋体"/>
                <w:sz w:val="24"/>
                <w:szCs w:val="24"/>
                <w:highlight w:val="none"/>
                <w:lang w:val="en-US" w:eastAsia="zh-CN"/>
              </w:rPr>
              <w:t xml:space="preserve">推尘，保持地面干净无杂物。</w:t>
            </w:r>
            <w:r/>
          </w:p>
        </w:tc>
      </w:tr>
      <w:tr>
        <w:trPr>
          <w:trHeight w:val="454"/>
        </w:trPr>
        <w:tc>
          <w:tcPr>
            <w:tcW w:w="907"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492" w:type="dxa"/>
            <w:vAlign w:val="center"/>
            <w:vMerge w:val="continue"/>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深度清洁：使用洗洁精或肥皂水清理。</w:t>
            </w:r>
            <w:r/>
          </w:p>
        </w:tc>
      </w:tr>
      <w:tr>
        <w:trPr>
          <w:trHeight w:val="454"/>
        </w:trPr>
        <w:tc>
          <w:tcPr>
            <w:tcW w:w="907"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w:t>
            </w:r>
            <w:r/>
          </w:p>
        </w:tc>
        <w:tc>
          <w:tcPr>
            <w:tcW w:w="1492" w:type="dxa"/>
            <w:vAlign w:val="center"/>
            <w:vMerge w:val="restart"/>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地胶板地面</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sz w:val="24"/>
                <w:szCs w:val="24"/>
                <w:highlight w:val="none"/>
                <w:vertAlign w:val="baseline"/>
                <w:lang w:val="en-US" w:eastAsia="zh-CN"/>
              </w:rPr>
              <w:t xml:space="preserve">定期保养。使用中性清洁剂清洁，避免使用强酸或强碱清洁剂，定期进行基础维护。</w:t>
            </w:r>
            <w:r/>
          </w:p>
        </w:tc>
      </w:tr>
      <w:tr>
        <w:trPr>
          <w:trHeight w:val="454"/>
        </w:trPr>
        <w:tc>
          <w:tcPr>
            <w:tcW w:w="907"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492" w:type="dxa"/>
            <w:vAlign w:val="center"/>
            <w:vMerge w:val="continue"/>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sz w:val="24"/>
                <w:szCs w:val="24"/>
                <w:highlight w:val="none"/>
                <w:vertAlign w:val="baseline"/>
                <w:lang w:val="en-US" w:eastAsia="zh-CN"/>
              </w:rPr>
              <w:t xml:space="preserve">日常维护。使用湿润的拖把清洁，污染严重时局部清洁，每月对地胶板地面进行打蜡处理。</w:t>
            </w:r>
            <w:r/>
          </w:p>
        </w:tc>
      </w:tr>
      <w:tr>
        <w:trPr>
          <w:trHeight w:val="454"/>
        </w:trPr>
        <w:tc>
          <w:tcPr>
            <w:tcW w:w="907"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7</w:t>
            </w:r>
            <w:r/>
          </w:p>
        </w:tc>
        <w:tc>
          <w:tcPr>
            <w:tcW w:w="1492" w:type="dxa"/>
            <w:vAlign w:val="center"/>
            <w:vMerge w:val="restart"/>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地板地面</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sz w:val="24"/>
                <w:szCs w:val="24"/>
                <w:highlight w:val="none"/>
                <w:vertAlign w:val="baseline"/>
                <w:lang w:val="en-US" w:eastAsia="zh-CN"/>
              </w:rPr>
              <w:t xml:space="preserve">定期保养。使用中性清洁剂清洁，避免使用强酸或强碱清洁剂，定期进行基础维护。</w:t>
            </w:r>
            <w:r/>
          </w:p>
        </w:tc>
      </w:tr>
      <w:tr>
        <w:trPr>
          <w:trHeight w:val="454"/>
        </w:trPr>
        <w:tc>
          <w:tcPr>
            <w:tcW w:w="907"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492" w:type="dxa"/>
            <w:vAlign w:val="center"/>
            <w:vMerge w:val="continue"/>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sz w:val="24"/>
                <w:szCs w:val="24"/>
                <w:highlight w:val="none"/>
                <w:vertAlign w:val="baseline"/>
                <w:lang w:val="en-US" w:eastAsia="zh-CN"/>
              </w:rPr>
              <w:t xml:space="preserve">日常维护。使用湿润的拖把清洁，污染严重时局部清洁，每月对地板进行打蜡处理。</w:t>
            </w:r>
            <w:r/>
          </w:p>
        </w:tc>
      </w:tr>
      <w:tr>
        <w:trPr>
          <w:trHeight w:val="454"/>
        </w:trPr>
        <w:tc>
          <w:tcPr>
            <w:tcW w:w="907"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8</w:t>
            </w:r>
            <w:r/>
          </w:p>
        </w:tc>
        <w:tc>
          <w:tcPr>
            <w:tcW w:w="1492" w:type="dxa"/>
            <w:vAlign w:val="center"/>
            <w:vMerge w:val="restart"/>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地毯地面</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sz w:val="24"/>
                <w:szCs w:val="24"/>
                <w:highlight w:val="none"/>
                <w:vertAlign w:val="baseline"/>
                <w:lang w:val="en-US" w:eastAsia="zh-CN"/>
              </w:rPr>
              <w:t xml:space="preserve">日常用吸尘机除尘，局部脏污用湿布配中性清洁液重点清洁。</w:t>
            </w:r>
            <w:r/>
          </w:p>
        </w:tc>
      </w:tr>
      <w:tr>
        <w:trPr>
          <w:trHeight w:val="454"/>
        </w:trPr>
        <w:tc>
          <w:tcPr>
            <w:tcW w:w="907"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492" w:type="dxa"/>
            <w:vAlign w:val="center"/>
            <w:vMerge w:val="continue"/>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sz w:val="24"/>
                <w:szCs w:val="24"/>
                <w:highlight w:val="none"/>
                <w:vertAlign w:val="baseline"/>
                <w:lang w:val="en-US" w:eastAsia="zh-CN"/>
              </w:rPr>
              <w:t xml:space="preserve">用地毯清洗机进行整体清洗，除螨。</w:t>
            </w:r>
            <w:r/>
          </w:p>
        </w:tc>
      </w:tr>
      <w:tr>
        <w:trPr>
          <w:trHeight w:val="454"/>
        </w:trPr>
        <w:tc>
          <w:tcPr>
            <w:tcW w:w="90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9</w:t>
            </w:r>
            <w:r/>
          </w:p>
        </w:tc>
        <w:tc>
          <w:tcPr>
            <w:tcW w:w="1492"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乳胶漆内墙</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有污渍时用半干布擦拭。</w:t>
            </w:r>
            <w:r/>
          </w:p>
        </w:tc>
      </w:tr>
      <w:tr>
        <w:trPr>
          <w:trHeight w:val="454"/>
        </w:trPr>
        <w:tc>
          <w:tcPr>
            <w:tcW w:w="90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10</w:t>
            </w:r>
            <w:r/>
          </w:p>
        </w:tc>
        <w:tc>
          <w:tcPr>
            <w:tcW w:w="1492"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墙纸内墙</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有污渍时用半干布擦拭。</w:t>
            </w:r>
            <w:r/>
          </w:p>
        </w:tc>
      </w:tr>
      <w:tr>
        <w:trPr>
          <w:trHeight w:val="454"/>
        </w:trPr>
        <w:tc>
          <w:tcPr>
            <w:tcW w:w="90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11</w:t>
            </w:r>
            <w:r/>
          </w:p>
        </w:tc>
        <w:tc>
          <w:tcPr>
            <w:tcW w:w="1492"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木饰面内墙</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有污渍时用中性清洁剂、半干布擦拭。</w:t>
            </w:r>
            <w:r/>
          </w:p>
        </w:tc>
      </w:tr>
      <w:tr>
        <w:trPr>
          <w:trHeight w:val="454"/>
        </w:trPr>
        <w:tc>
          <w:tcPr>
            <w:tcW w:w="90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12</w:t>
            </w:r>
            <w:r/>
          </w:p>
        </w:tc>
        <w:tc>
          <w:tcPr>
            <w:tcW w:w="1492"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石材内墙</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有污渍时用半干布擦拭。</w:t>
            </w:r>
            <w:r/>
          </w:p>
        </w:tc>
      </w:tr>
      <w:tr>
        <w:trPr>
          <w:trHeight w:val="454"/>
        </w:trPr>
        <w:tc>
          <w:tcPr>
            <w:tcW w:w="90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13</w:t>
            </w:r>
            <w:r/>
          </w:p>
        </w:tc>
        <w:tc>
          <w:tcPr>
            <w:tcW w:w="1492"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金属板内墙</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有污渍时用半干布擦拭。</w:t>
            </w:r>
            <w:r/>
          </w:p>
        </w:tc>
      </w:tr>
      <w:tr>
        <w:trPr>
          <w:trHeight w:val="633"/>
        </w:trPr>
        <w:tc>
          <w:tcPr>
            <w:tcW w:w="90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14</w:t>
            </w:r>
            <w:r/>
          </w:p>
        </w:tc>
        <w:tc>
          <w:tcPr>
            <w:tcW w:w="1492"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涂料外墙</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定期专业清洗。</w:t>
            </w:r>
            <w:r/>
          </w:p>
        </w:tc>
      </w:tr>
      <w:tr>
        <w:trPr>
          <w:trHeight w:val="454"/>
        </w:trPr>
        <w:tc>
          <w:tcPr>
            <w:tcW w:w="90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15</w:t>
            </w:r>
            <w:r/>
          </w:p>
        </w:tc>
        <w:tc>
          <w:tcPr>
            <w:tcW w:w="1492"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真石漆外墙</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定期专业清洗。</w:t>
            </w:r>
            <w:r/>
          </w:p>
        </w:tc>
      </w:tr>
      <w:tr>
        <w:trPr>
          <w:trHeight w:val="454"/>
        </w:trPr>
        <w:tc>
          <w:tcPr>
            <w:tcW w:w="90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16</w:t>
            </w:r>
            <w:r/>
          </w:p>
        </w:tc>
        <w:tc>
          <w:tcPr>
            <w:tcW w:w="1492"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瓷砖外墙</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定期专业清洗。</w:t>
            </w:r>
            <w:r/>
          </w:p>
        </w:tc>
      </w:tr>
      <w:tr>
        <w:trPr>
          <w:trHeight w:val="454"/>
        </w:trPr>
        <w:tc>
          <w:tcPr>
            <w:tcW w:w="90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17</w:t>
            </w:r>
            <w:r/>
          </w:p>
        </w:tc>
        <w:tc>
          <w:tcPr>
            <w:tcW w:w="1492"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保温一体板外墙</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定期专业清洗。</w:t>
            </w:r>
            <w:r/>
          </w:p>
        </w:tc>
      </w:tr>
      <w:tr>
        <w:trPr>
          <w:trHeight w:val="454"/>
        </w:trPr>
        <w:tc>
          <w:tcPr>
            <w:tcW w:w="90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18</w:t>
            </w:r>
            <w:r/>
          </w:p>
        </w:tc>
        <w:tc>
          <w:tcPr>
            <w:tcW w:w="1492"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铝板外墙</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定期专业清洗。</w:t>
            </w:r>
            <w:r/>
          </w:p>
        </w:tc>
      </w:tr>
      <w:tr>
        <w:trPr>
          <w:trHeight w:val="454"/>
        </w:trPr>
        <w:tc>
          <w:tcPr>
            <w:tcW w:w="90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19</w:t>
            </w:r>
            <w:r/>
          </w:p>
        </w:tc>
        <w:tc>
          <w:tcPr>
            <w:tcW w:w="1492"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干挂石材外墙</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定期专业清洗。</w:t>
            </w:r>
            <w:r/>
          </w:p>
        </w:tc>
      </w:tr>
      <w:tr>
        <w:trPr>
          <w:trHeight w:val="454"/>
        </w:trPr>
        <w:tc>
          <w:tcPr>
            <w:tcW w:w="90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20</w:t>
            </w:r>
            <w:r/>
          </w:p>
        </w:tc>
        <w:tc>
          <w:tcPr>
            <w:tcW w:w="1492"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玻璃幕墙外墙</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定期专业清洗。</w:t>
            </w:r>
            <w:r/>
          </w:p>
        </w:tc>
      </w:tr>
    </w:tbl>
    <w:p>
      <w:pPr>
        <w:ind w:firstLine="480"/>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注：根据物业用材情况选择清洁要求</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7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3.5绿化服务</w:t>
      </w:r>
      <w:r/>
    </w:p>
    <w:tbl>
      <w:tblPr>
        <w:tblStyle w:val="713"/>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545"/>
        <w:gridCol w:w="6832"/>
      </w:tblGrid>
      <w:tr>
        <w:trPr>
          <w:trHeight w:val="454"/>
        </w:trPr>
        <w:tc>
          <w:tcPr>
            <w:tcW w:w="801" w:type="dxa"/>
            <w:vAlign w:val="center"/>
            <w:textDirection w:val="lrTb"/>
            <w:noWrap w:val="false"/>
          </w:tcPr>
          <w:p>
            <w:pPr>
              <w:ind w:left="0"/>
              <w:jc w:val="center"/>
              <w:keepLines w:val="0"/>
              <w:keepNext w:val="0"/>
              <w:pageBreakBefore w:val="0"/>
              <w:spacing w:after="80"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序号</w:t>
            </w:r>
            <w:r/>
          </w:p>
        </w:tc>
        <w:tc>
          <w:tcPr>
            <w:tcW w:w="1584" w:type="dxa"/>
            <w:vAlign w:val="center"/>
            <w:textDirection w:val="lrTb"/>
            <w:noWrap w:val="false"/>
          </w:tcPr>
          <w:p>
            <w:pPr>
              <w:ind w:left="0"/>
              <w:jc w:val="center"/>
              <w:keepLines w:val="0"/>
              <w:keepNext w:val="0"/>
              <w:pageBreakBefore w:val="0"/>
              <w:spacing w:after="80"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服务内容</w:t>
            </w:r>
            <w:r/>
          </w:p>
        </w:tc>
        <w:tc>
          <w:tcPr>
            <w:tcW w:w="7005" w:type="dxa"/>
            <w:vAlign w:val="center"/>
            <w:textDirection w:val="lrTb"/>
            <w:noWrap w:val="false"/>
          </w:tcPr>
          <w:p>
            <w:pPr>
              <w:ind w:left="0"/>
              <w:jc w:val="center"/>
              <w:keepLines w:val="0"/>
              <w:keepNext w:val="0"/>
              <w:pageBreakBefore w:val="0"/>
              <w:spacing w:after="80"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服务标准</w:t>
            </w:r>
            <w:r/>
          </w:p>
        </w:tc>
      </w:tr>
      <w:tr>
        <w:trPr>
          <w:trHeight w:val="454"/>
        </w:trPr>
        <w:tc>
          <w:tcPr>
            <w:tcW w:w="801" w:type="dxa"/>
            <w:vAlign w:val="center"/>
            <w:vMerge w:val="restart"/>
            <w:textDirection w:val="lrTb"/>
            <w:noWrap w:val="false"/>
          </w:tcPr>
          <w:p>
            <w:pPr>
              <w:numPr>
                <w:ilvl w:val="0"/>
                <w:numId w:val="0"/>
              </w:numPr>
              <w:ind w:left="0" w:firstLine="0"/>
              <w:jc w:val="center"/>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1584" w:type="dxa"/>
            <w:vAlign w:val="center"/>
            <w:vMerge w:val="restart"/>
            <w:textDirection w:val="lrTb"/>
            <w:noWrap w:val="false"/>
          </w:tcPr>
          <w:p>
            <w:pPr>
              <w:numPr>
                <w:ilvl w:val="0"/>
                <w:numId w:val="0"/>
              </w:numPr>
              <w:ind w:left="0" w:firstLine="0"/>
              <w:keepLines w:val="0"/>
              <w:keepNext w:val="0"/>
              <w:pageBreakBefore w:val="0"/>
              <w:spacing w:after="80"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基本要求</w:t>
            </w:r>
            <w:r/>
          </w:p>
        </w:tc>
        <w:tc>
          <w:tcPr>
            <w:tcW w:w="7005" w:type="dxa"/>
            <w:vAlign w:val="center"/>
            <w:textDirection w:val="lrTb"/>
            <w:noWrap w:val="false"/>
          </w:tcPr>
          <w:p>
            <w:pPr>
              <w:ind w:left="0" w:firstLine="240"/>
              <w:jc w:val="left"/>
              <w:keepLines w:val="0"/>
              <w:keepNext w:val="0"/>
              <w:pageBreakBefore w:val="0"/>
              <w:spacing w:after="8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（1）制定绿化服务的工作制度及工作计划，并按照执行。</w:t>
            </w:r>
            <w:r/>
          </w:p>
        </w:tc>
      </w:tr>
      <w:tr>
        <w:trPr>
          <w:trHeight w:val="454"/>
        </w:trPr>
        <w:tc>
          <w:tcPr>
            <w:tcW w:w="801" w:type="dxa"/>
            <w:vAlign w:val="center"/>
            <w:vMerge w:val="continue"/>
            <w:textDirection w:val="lrTb"/>
            <w:noWrap w:val="false"/>
          </w:tcPr>
          <w:p>
            <w:pPr>
              <w:numPr>
                <w:ilvl w:val="0"/>
                <w:numId w:val="0"/>
              </w:numPr>
              <w:ind w:left="0" w:firstLine="0"/>
              <w:jc w:val="center"/>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584" w:type="dxa"/>
            <w:vAlign w:val="center"/>
            <w:vMerge w:val="continue"/>
            <w:textDirection w:val="lrTb"/>
            <w:noWrap w:val="false"/>
          </w:tcPr>
          <w:p>
            <w:pPr>
              <w:numPr>
                <w:ilvl w:val="0"/>
                <w:numId w:val="0"/>
              </w:numPr>
              <w:ind w:left="0" w:firstLine="0"/>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005" w:type="dxa"/>
            <w:vAlign w:val="center"/>
            <w:textDirection w:val="lrTb"/>
            <w:noWrap w:val="false"/>
          </w:tcPr>
          <w:p>
            <w:pPr>
              <w:ind w:left="0" w:firstLine="240"/>
              <w:jc w:val="left"/>
              <w:keepLines w:val="0"/>
              <w:keepNext w:val="0"/>
              <w:pageBreakBefore w:val="0"/>
              <w:spacing w:after="8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（2）做好绿化服务工作记录，填写规范。</w:t>
            </w:r>
            <w:r/>
          </w:p>
        </w:tc>
      </w:tr>
      <w:tr>
        <w:trPr>
          <w:trHeight w:val="454"/>
        </w:trPr>
        <w:tc>
          <w:tcPr>
            <w:tcW w:w="801" w:type="dxa"/>
            <w:vAlign w:val="center"/>
            <w:vMerge w:val="continue"/>
            <w:textDirection w:val="lrTb"/>
            <w:noWrap w:val="false"/>
          </w:tcPr>
          <w:p>
            <w:pPr>
              <w:numPr>
                <w:ilvl w:val="0"/>
                <w:numId w:val="0"/>
              </w:numPr>
              <w:ind w:left="0" w:firstLine="0"/>
              <w:jc w:val="center"/>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584" w:type="dxa"/>
            <w:vAlign w:val="center"/>
            <w:vMerge w:val="continue"/>
            <w:textDirection w:val="lrTb"/>
            <w:noWrap w:val="false"/>
          </w:tcPr>
          <w:p>
            <w:pPr>
              <w:numPr>
                <w:ilvl w:val="0"/>
                <w:numId w:val="0"/>
              </w:numPr>
              <w:ind w:left="0" w:firstLine="0"/>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005" w:type="dxa"/>
            <w:vAlign w:val="center"/>
            <w:textDirection w:val="lrTb"/>
            <w:noWrap w:val="false"/>
          </w:tcPr>
          <w:p>
            <w:pPr>
              <w:ind w:left="0" w:firstLine="240"/>
              <w:jc w:val="left"/>
              <w:keepLines w:val="0"/>
              <w:keepNext w:val="0"/>
              <w:pageBreakBefore w:val="0"/>
              <w:spacing w:after="8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（3）作业时采取安全防护措施，防止对作业人员或他人造成伤害。</w:t>
            </w:r>
            <w:r/>
          </w:p>
        </w:tc>
      </w:tr>
      <w:tr>
        <w:trPr>
          <w:trHeight w:val="454"/>
        </w:trPr>
        <w:tc>
          <w:tcPr>
            <w:tcW w:w="801" w:type="dxa"/>
            <w:vAlign w:val="center"/>
            <w:vMerge w:val="continue"/>
            <w:textDirection w:val="lrTb"/>
            <w:noWrap w:val="false"/>
          </w:tcPr>
          <w:p>
            <w:pPr>
              <w:numPr>
                <w:ilvl w:val="0"/>
                <w:numId w:val="0"/>
              </w:numPr>
              <w:ind w:left="0" w:firstLine="0"/>
              <w:jc w:val="center"/>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584" w:type="dxa"/>
            <w:vAlign w:val="center"/>
            <w:vMerge w:val="continue"/>
            <w:textDirection w:val="lrTb"/>
            <w:noWrap w:val="false"/>
          </w:tcPr>
          <w:p>
            <w:pPr>
              <w:numPr>
                <w:ilvl w:val="0"/>
                <w:numId w:val="0"/>
              </w:numPr>
              <w:ind w:left="0" w:firstLine="0"/>
              <w:keepLines w:val="0"/>
              <w:keepNext w:val="0"/>
              <w:pageBreakBefore w:val="0"/>
              <w:spacing w:after="80"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7005" w:type="dxa"/>
            <w:vAlign w:val="center"/>
            <w:textDirection w:val="lrTb"/>
            <w:noWrap w:val="false"/>
          </w:tcPr>
          <w:p>
            <w:pPr>
              <w:ind w:left="0" w:firstLine="240"/>
              <w:jc w:val="left"/>
              <w:keepLines w:val="0"/>
              <w:keepNext w:val="0"/>
              <w:pageBreakBefore w:val="0"/>
              <w:spacing w:after="8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（4）相关耗材的环保、安全性应当符合规定要求。</w:t>
            </w:r>
            <w:r/>
          </w:p>
        </w:tc>
      </w:tr>
      <w:tr>
        <w:trPr>
          <w:trHeight w:val="454"/>
        </w:trPr>
        <w:tc>
          <w:tcPr>
            <w:tcW w:w="801" w:type="dxa"/>
            <w:vAlign w:val="center"/>
            <w:vMerge w:val="restart"/>
            <w:textDirection w:val="lrTb"/>
            <w:noWrap w:val="false"/>
          </w:tcPr>
          <w:p>
            <w:pPr>
              <w:numPr>
                <w:ilvl w:val="0"/>
                <w:numId w:val="0"/>
              </w:numPr>
              <w:ind w:left="0" w:firstLine="0"/>
              <w:jc w:val="center"/>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1584" w:type="dxa"/>
            <w:vAlign w:val="center"/>
            <w:vMerge w:val="restart"/>
            <w:textDirection w:val="lrTb"/>
            <w:noWrap w:val="false"/>
          </w:tcPr>
          <w:p>
            <w:pPr>
              <w:numPr>
                <w:ilvl w:val="0"/>
                <w:numId w:val="0"/>
              </w:numPr>
              <w:ind w:left="0" w:firstLine="0"/>
              <w:keepLines w:val="0"/>
              <w:keepNext w:val="0"/>
              <w:pageBreakBefore w:val="0"/>
              <w:spacing w:after="80"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室外绿化养护</w:t>
            </w:r>
            <w:r/>
          </w:p>
        </w:tc>
        <w:tc>
          <w:tcPr>
            <w:tcW w:w="7005" w:type="dxa"/>
            <w:vAlign w:val="center"/>
            <w:textDirection w:val="lrTb"/>
            <w:noWrap w:val="false"/>
          </w:tcPr>
          <w:p>
            <w:pPr>
              <w:ind w:left="0" w:firstLine="240"/>
              <w:jc w:val="left"/>
              <w:keepLines w:val="0"/>
              <w:keepNext w:val="0"/>
              <w:pageBreakBefore w:val="0"/>
              <w:spacing w:after="8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color w:val="auto"/>
                <w:sz w:val="24"/>
                <w:szCs w:val="24"/>
                <w:highlight w:val="none"/>
                <w:u w:val="none"/>
                <w:lang w:val="en-US" w:eastAsia="zh-CN"/>
              </w:rPr>
              <w:t xml:space="preserve">根据生长环境、植物特性进行除草、灌溉、施肥、整形修剪、防治病虫害等。</w:t>
            </w:r>
            <w:r/>
          </w:p>
        </w:tc>
      </w:tr>
      <w:tr>
        <w:trPr>
          <w:trHeight w:val="454"/>
        </w:trPr>
        <w:tc>
          <w:tcPr>
            <w:tcW w:w="801" w:type="dxa"/>
            <w:vAlign w:val="center"/>
            <w:vMerge w:val="continue"/>
            <w:textDirection w:val="lrTb"/>
            <w:noWrap w:val="false"/>
          </w:tcPr>
          <w:p>
            <w:pPr>
              <w:numPr>
                <w:ilvl w:val="0"/>
                <w:numId w:val="0"/>
              </w:numPr>
              <w:ind w:left="0" w:firstLine="0"/>
              <w:jc w:val="center"/>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584" w:type="dxa"/>
            <w:vAlign w:val="center"/>
            <w:vMerge w:val="continue"/>
            <w:textDirection w:val="lrTb"/>
            <w:noWrap w:val="false"/>
          </w:tcPr>
          <w:p>
            <w:pPr>
              <w:numPr>
                <w:ilvl w:val="0"/>
                <w:numId w:val="0"/>
              </w:numPr>
              <w:ind w:left="0" w:firstLine="0"/>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005" w:type="dxa"/>
            <w:vAlign w:val="center"/>
            <w:textDirection w:val="lrTb"/>
            <w:noWrap w:val="false"/>
          </w:tcPr>
          <w:p>
            <w:pPr>
              <w:ind w:left="0" w:firstLine="240"/>
              <w:jc w:val="left"/>
              <w:keepLines w:val="0"/>
              <w:keepNext w:val="0"/>
              <w:pageBreakBefore w:val="0"/>
              <w:spacing w:after="8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（2）根据生长情况修剪绿地，绿地内无枯草、无杂物，</w:t>
            </w:r>
            <w:r>
              <w:rPr>
                <w:rFonts w:hint="eastAsia" w:ascii="宋体" w:hAnsi="宋体" w:eastAsia="宋体" w:cs="宋体"/>
                <w:color w:val="auto"/>
                <w:sz w:val="24"/>
                <w:szCs w:val="24"/>
                <w:highlight w:val="none"/>
                <w:u w:val="none"/>
                <w:lang w:val="en-US" w:eastAsia="zh-CN"/>
              </w:rPr>
              <w:t xml:space="preserve">无干枯坏死和病虫侵害，基本无裸露土地。</w:t>
            </w:r>
            <w:r/>
          </w:p>
        </w:tc>
      </w:tr>
      <w:tr>
        <w:trPr>
          <w:trHeight w:val="454"/>
        </w:trPr>
        <w:tc>
          <w:tcPr>
            <w:tcW w:w="801" w:type="dxa"/>
            <w:vAlign w:val="center"/>
            <w:vMerge w:val="continue"/>
            <w:textDirection w:val="lrTb"/>
            <w:noWrap w:val="false"/>
          </w:tcPr>
          <w:p>
            <w:pPr>
              <w:numPr>
                <w:ilvl w:val="0"/>
                <w:numId w:val="0"/>
              </w:numPr>
              <w:ind w:left="0" w:firstLine="0"/>
              <w:jc w:val="center"/>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584" w:type="dxa"/>
            <w:vAlign w:val="center"/>
            <w:vMerge w:val="continue"/>
            <w:textDirection w:val="lrTb"/>
            <w:noWrap w:val="false"/>
          </w:tcPr>
          <w:p>
            <w:pPr>
              <w:numPr>
                <w:ilvl w:val="0"/>
                <w:numId w:val="0"/>
              </w:numPr>
              <w:ind w:left="0" w:firstLine="0"/>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005" w:type="dxa"/>
            <w:vAlign w:val="center"/>
            <w:textDirection w:val="lrTb"/>
            <w:noWrap w:val="false"/>
          </w:tcPr>
          <w:p>
            <w:pPr>
              <w:ind w:left="0" w:firstLine="240"/>
              <w:jc w:val="left"/>
              <w:keepLines w:val="0"/>
              <w:keepNext w:val="0"/>
              <w:pageBreakBefore w:val="0"/>
              <w:spacing w:after="8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（3）定期修剪树木、花卉等，</w:t>
            </w:r>
            <w:r>
              <w:rPr>
                <w:rFonts w:hint="eastAsia" w:ascii="宋体" w:hAnsi="宋体" w:eastAsia="宋体" w:cs="宋体"/>
                <w:color w:val="auto"/>
                <w:sz w:val="24"/>
                <w:szCs w:val="24"/>
                <w:highlight w:val="none"/>
                <w:u w:val="none"/>
                <w:lang w:val="en-US" w:eastAsia="zh-CN"/>
              </w:rPr>
              <w:t xml:space="preserve">灌乔木生长正常、造型美观自然、花枝新鲜，无枯叶、无病虫、无死树缺株。</w:t>
            </w:r>
            <w:r/>
          </w:p>
        </w:tc>
      </w:tr>
      <w:tr>
        <w:trPr>
          <w:trHeight w:val="454"/>
        </w:trPr>
        <w:tc>
          <w:tcPr>
            <w:tcW w:w="801" w:type="dxa"/>
            <w:vAlign w:val="center"/>
            <w:vMerge w:val="continue"/>
            <w:textDirection w:val="lrTb"/>
            <w:noWrap w:val="false"/>
          </w:tcPr>
          <w:p>
            <w:pPr>
              <w:numPr>
                <w:ilvl w:val="0"/>
                <w:numId w:val="0"/>
              </w:numPr>
              <w:ind w:left="0" w:firstLine="0"/>
              <w:jc w:val="center"/>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584" w:type="dxa"/>
            <w:vAlign w:val="center"/>
            <w:vMerge w:val="continue"/>
            <w:textDirection w:val="lrTb"/>
            <w:noWrap w:val="false"/>
          </w:tcPr>
          <w:p>
            <w:pPr>
              <w:numPr>
                <w:ilvl w:val="0"/>
                <w:numId w:val="0"/>
              </w:numPr>
              <w:ind w:left="0" w:firstLine="0"/>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005" w:type="dxa"/>
            <w:vAlign w:val="center"/>
            <w:textDirection w:val="lrTb"/>
            <w:noWrap w:val="false"/>
          </w:tcPr>
          <w:p>
            <w:pPr>
              <w:ind w:left="0" w:firstLine="240"/>
              <w:jc w:val="left"/>
              <w:keepLines w:val="0"/>
              <w:keepNext w:val="0"/>
              <w:pageBreakBefore w:val="0"/>
              <w:spacing w:after="8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color w:val="auto"/>
                <w:sz w:val="24"/>
                <w:szCs w:val="24"/>
                <w:highlight w:val="none"/>
                <w:u w:val="none"/>
                <w:lang w:val="en-US" w:eastAsia="zh-CN"/>
              </w:rPr>
              <w:t xml:space="preserve">绿篱生长造型正常，颜色正常，修剪及时，基本无死株和干死株，有虫株率在10%以下。</w:t>
            </w:r>
            <w:r/>
          </w:p>
        </w:tc>
      </w:tr>
      <w:tr>
        <w:trPr>
          <w:trHeight w:val="454"/>
        </w:trPr>
        <w:tc>
          <w:tcPr>
            <w:tcW w:w="801" w:type="dxa"/>
            <w:vAlign w:val="center"/>
            <w:vMerge w:val="continue"/>
            <w:textDirection w:val="lrTb"/>
            <w:noWrap w:val="false"/>
          </w:tcPr>
          <w:p>
            <w:pPr>
              <w:numPr>
                <w:ilvl w:val="0"/>
                <w:numId w:val="0"/>
              </w:numPr>
              <w:ind w:left="0" w:firstLine="0"/>
              <w:jc w:val="center"/>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584" w:type="dxa"/>
            <w:vAlign w:val="center"/>
            <w:vMerge w:val="continue"/>
            <w:textDirection w:val="lrTb"/>
            <w:noWrap w:val="false"/>
          </w:tcPr>
          <w:p>
            <w:pPr>
              <w:numPr>
                <w:ilvl w:val="0"/>
                <w:numId w:val="0"/>
              </w:numPr>
              <w:ind w:left="0" w:firstLine="0"/>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005" w:type="dxa"/>
            <w:vAlign w:val="center"/>
            <w:textDirection w:val="lrTb"/>
            <w:noWrap w:val="false"/>
          </w:tcPr>
          <w:p>
            <w:pPr>
              <w:ind w:left="0" w:firstLine="240"/>
              <w:jc w:val="left"/>
              <w:keepLines w:val="0"/>
              <w:keepNext w:val="0"/>
              <w:pageBreakBefore w:val="0"/>
              <w:spacing w:after="8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color w:val="auto"/>
                <w:sz w:val="24"/>
                <w:szCs w:val="24"/>
                <w:highlight w:val="none"/>
                <w:u w:val="none"/>
                <w:lang w:val="en-US" w:eastAsia="zh-CN"/>
              </w:rPr>
              <w:t xml:space="preserve">清除花坛和花景的花蒂、黄叶、杂草、垃圾，做好病虫害防治。</w:t>
            </w:r>
            <w:r/>
          </w:p>
        </w:tc>
      </w:tr>
      <w:tr>
        <w:trPr>
          <w:trHeight w:val="454"/>
        </w:trPr>
        <w:tc>
          <w:tcPr>
            <w:tcW w:w="801" w:type="dxa"/>
            <w:vAlign w:val="center"/>
            <w:vMerge w:val="continue"/>
            <w:textDirection w:val="lrTb"/>
            <w:noWrap w:val="false"/>
          </w:tcPr>
          <w:p>
            <w:pPr>
              <w:numPr>
                <w:ilvl w:val="0"/>
                <w:numId w:val="0"/>
              </w:numPr>
              <w:ind w:left="0" w:firstLine="0"/>
              <w:jc w:val="center"/>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584" w:type="dxa"/>
            <w:vAlign w:val="center"/>
            <w:vMerge w:val="continue"/>
            <w:textDirection w:val="lrTb"/>
            <w:noWrap w:val="false"/>
          </w:tcPr>
          <w:p>
            <w:pPr>
              <w:numPr>
                <w:ilvl w:val="0"/>
                <w:numId w:val="0"/>
              </w:numPr>
              <w:ind w:left="0" w:firstLine="0"/>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005" w:type="dxa"/>
            <w:vAlign w:val="center"/>
            <w:textDirection w:val="lrTb"/>
            <w:noWrap w:val="false"/>
          </w:tcPr>
          <w:p>
            <w:pPr>
              <w:ind w:left="0" w:firstLine="240"/>
              <w:jc w:val="left"/>
              <w:keepLines w:val="0"/>
              <w:keepNext w:val="0"/>
              <w:pageBreakBefore w:val="0"/>
              <w:spacing w:after="8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color w:val="auto"/>
                <w:sz w:val="24"/>
                <w:szCs w:val="24"/>
                <w:highlight w:val="none"/>
                <w:u w:val="none"/>
                <w:lang w:val="en-US" w:eastAsia="zh-CN"/>
              </w:rPr>
              <w:t xml:space="preserve">水池水面定期清理，无枯枝落叶、水质清洁。</w:t>
            </w:r>
            <w:r/>
          </w:p>
        </w:tc>
      </w:tr>
      <w:tr>
        <w:trPr>
          <w:trHeight w:val="454"/>
        </w:trPr>
        <w:tc>
          <w:tcPr>
            <w:tcW w:w="801" w:type="dxa"/>
            <w:vAlign w:val="center"/>
            <w:vMerge w:val="continue"/>
            <w:textDirection w:val="lrTb"/>
            <w:noWrap w:val="false"/>
          </w:tcPr>
          <w:p>
            <w:pPr>
              <w:numPr>
                <w:ilvl w:val="0"/>
                <w:numId w:val="0"/>
              </w:numPr>
              <w:ind w:left="0" w:firstLine="0"/>
              <w:jc w:val="center"/>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584" w:type="dxa"/>
            <w:vAlign w:val="center"/>
            <w:vMerge w:val="continue"/>
            <w:textDirection w:val="lrTb"/>
            <w:noWrap w:val="false"/>
          </w:tcPr>
          <w:p>
            <w:pPr>
              <w:numPr>
                <w:ilvl w:val="0"/>
                <w:numId w:val="0"/>
              </w:numPr>
              <w:ind w:left="0" w:firstLine="0"/>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005" w:type="dxa"/>
            <w:vAlign w:val="center"/>
            <w:textDirection w:val="lrTb"/>
            <w:noWrap w:val="false"/>
          </w:tcPr>
          <w:p>
            <w:pPr>
              <w:ind w:left="0" w:firstLine="240"/>
              <w:jc w:val="left"/>
              <w:keepLines w:val="0"/>
              <w:keepNext w:val="0"/>
              <w:pageBreakBefore w:val="0"/>
              <w:spacing w:after="8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（7）根据病虫害发生规律实施综合治理，通常在病虫率高时，以药剂杀死病虫，以确保植物良好生长。产生垃圾的主要区域和路段做到日产日清。</w:t>
            </w:r>
            <w:r/>
          </w:p>
        </w:tc>
      </w:tr>
      <w:tr>
        <w:trPr>
          <w:trHeight w:val="454"/>
        </w:trPr>
        <w:tc>
          <w:tcPr>
            <w:tcW w:w="801" w:type="dxa"/>
            <w:vAlign w:val="center"/>
            <w:vMerge w:val="continue"/>
            <w:textDirection w:val="lrTb"/>
            <w:noWrap w:val="false"/>
          </w:tcPr>
          <w:p>
            <w:pPr>
              <w:numPr>
                <w:ilvl w:val="0"/>
                <w:numId w:val="0"/>
              </w:numPr>
              <w:ind w:left="0" w:firstLine="0"/>
              <w:jc w:val="center"/>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584" w:type="dxa"/>
            <w:vAlign w:val="center"/>
            <w:vMerge w:val="continue"/>
            <w:textDirection w:val="lrTb"/>
            <w:noWrap w:val="false"/>
          </w:tcPr>
          <w:p>
            <w:pPr>
              <w:numPr>
                <w:ilvl w:val="0"/>
                <w:numId w:val="0"/>
              </w:numPr>
              <w:ind w:left="0" w:firstLine="0"/>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005" w:type="dxa"/>
            <w:vAlign w:val="center"/>
            <w:textDirection w:val="lrTb"/>
            <w:noWrap w:val="false"/>
          </w:tcPr>
          <w:p>
            <w:pPr>
              <w:ind w:left="0" w:firstLine="240"/>
              <w:jc w:val="left"/>
              <w:keepLines w:val="0"/>
              <w:keepNext w:val="0"/>
              <w:pageBreakBefore w:val="0"/>
              <w:spacing w:after="8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（8）雨雪、冰冻等恶劣天气来临前，专人巡查，对绿植做好预防措施，排除安全隐患。</w:t>
            </w:r>
            <w:r/>
          </w:p>
        </w:tc>
      </w:tr>
      <w:tr>
        <w:trPr>
          <w:trHeight w:val="454"/>
        </w:trPr>
        <w:tc>
          <w:tcPr>
            <w:tcW w:w="801" w:type="dxa"/>
            <w:vAlign w:val="center"/>
            <w:vMerge w:val="continue"/>
            <w:textDirection w:val="lrTb"/>
            <w:noWrap w:val="false"/>
          </w:tcPr>
          <w:p>
            <w:pPr>
              <w:numPr>
                <w:ilvl w:val="0"/>
                <w:numId w:val="0"/>
              </w:numPr>
              <w:ind w:left="0" w:firstLine="0"/>
              <w:jc w:val="center"/>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584" w:type="dxa"/>
            <w:vAlign w:val="center"/>
            <w:vMerge w:val="continue"/>
            <w:textDirection w:val="lrTb"/>
            <w:noWrap w:val="false"/>
          </w:tcPr>
          <w:p>
            <w:pPr>
              <w:numPr>
                <w:ilvl w:val="0"/>
                <w:numId w:val="0"/>
              </w:numPr>
              <w:ind w:left="0" w:firstLine="0"/>
              <w:keepLines w:val="0"/>
              <w:keepNext w:val="0"/>
              <w:pageBreakBefore w:val="0"/>
              <w:spacing w:after="80"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7005" w:type="dxa"/>
            <w:vAlign w:val="center"/>
            <w:textDirection w:val="lrTb"/>
            <w:noWrap w:val="false"/>
          </w:tcPr>
          <w:p>
            <w:pPr>
              <w:ind w:left="0" w:firstLine="240"/>
              <w:jc w:val="left"/>
              <w:keepLines w:val="0"/>
              <w:keepNext w:val="0"/>
              <w:pageBreakBefore w:val="0"/>
              <w:spacing w:after="8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（9）恶劣天气后，及时清除倒树断枝，疏通道路，尽快恢复原状。</w:t>
            </w:r>
            <w:r/>
          </w:p>
        </w:tc>
      </w:tr>
      <w:tr>
        <w:trPr>
          <w:trHeight w:val="454"/>
        </w:trPr>
        <w:tc>
          <w:tcPr>
            <w:tcW w:w="801" w:type="dxa"/>
            <w:vAlign w:val="center"/>
            <w:vMerge w:val="continue"/>
            <w:textDirection w:val="lrTb"/>
            <w:noWrap w:val="false"/>
          </w:tcPr>
          <w:p>
            <w:pPr>
              <w:numPr>
                <w:ilvl w:val="0"/>
                <w:numId w:val="0"/>
              </w:numPr>
              <w:ind w:left="0" w:firstLine="0"/>
              <w:jc w:val="center"/>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584" w:type="dxa"/>
            <w:vAlign w:val="center"/>
            <w:vMerge w:val="continue"/>
            <w:textDirection w:val="lrTb"/>
            <w:noWrap w:val="false"/>
          </w:tcPr>
          <w:p>
            <w:pPr>
              <w:numPr>
                <w:ilvl w:val="0"/>
                <w:numId w:val="0"/>
              </w:numPr>
              <w:ind w:left="0" w:firstLine="0"/>
              <w:keepLines w:val="0"/>
              <w:keepNext w:val="0"/>
              <w:pageBreakBefore w:val="0"/>
              <w:spacing w:after="80"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7005" w:type="dxa"/>
            <w:vAlign w:val="center"/>
            <w:textDirection w:val="lrTb"/>
            <w:noWrap w:val="false"/>
          </w:tcPr>
          <w:p>
            <w:pPr>
              <w:ind w:left="0" w:firstLine="240"/>
              <w:jc w:val="left"/>
              <w:keepLines w:val="0"/>
              <w:keepNext w:val="0"/>
              <w:pageBreakBefore w:val="0"/>
              <w:spacing w:after="8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（10）确保绿化养护期内100%存活。草坪盖度95%以上，无半径超过30cm的秃斑，对不能恢复的秃斑处进行补播让其恢复或者更换新草皮</w:t>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1"/>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b/>
          <w:bCs w:val="0"/>
          <w:i w:val="0"/>
          <w:iCs w:val="0"/>
          <w:sz w:val="24"/>
          <w:szCs w:val="24"/>
          <w:highlight w:val="none"/>
          <w:u w:val="none"/>
          <w:lang w:val="en-US" w:eastAsia="zh-CN"/>
        </w:rPr>
        <w:t xml:space="preserve">3.6</w:t>
      </w:r>
      <w:r>
        <w:rPr>
          <w:rFonts w:hint="eastAsia" w:ascii="宋体" w:hAnsi="宋体" w:eastAsia="宋体" w:cs="宋体"/>
          <w:color w:val="auto"/>
          <w:sz w:val="24"/>
          <w:szCs w:val="24"/>
          <w:highlight w:val="none"/>
          <w:u w:val="none"/>
          <w:lang w:val="en-US" w:eastAsia="zh-CN" w:bidi="ar-SA"/>
        </w:rPr>
        <w:t xml:space="preserve">保安服务</w:t>
      </w:r>
      <w:r/>
    </w:p>
    <w:tbl>
      <w:tblPr>
        <w:tblStyle w:val="67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9"/>
        <w:gridCol w:w="1559"/>
        <w:gridCol w:w="6347"/>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top"/>
            <w:textDirection w:val="lrTb"/>
            <w:noWrap/>
          </w:tcPr>
          <w:p>
            <w:pPr>
              <w:jc w:val="center"/>
              <w:spacing w:before="0" w:beforeAutospacing="0" w:after="0" w:afterAutospacing="0" w:line="24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lang w:eastAsia="zh-CN"/>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tcPr>
          <w:p>
            <w:pPr>
              <w:jc w:val="center"/>
              <w:spacing w:before="0" w:beforeAutospacing="0" w:after="0" w:afterAutospacing="0" w:line="24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lang w:eastAsia="zh-CN"/>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47" w:type="dxa"/>
            <w:vAlign w:val="top"/>
            <w:textDirection w:val="lrTb"/>
            <w:noWrap/>
          </w:tcPr>
          <w:p>
            <w:pPr>
              <w:jc w:val="center"/>
              <w:spacing w:before="0" w:beforeAutospacing="0" w:after="0" w:afterAutospacing="0" w:line="24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lang w:eastAsia="zh-CN"/>
              </w:rPr>
              <w:t xml:space="preserve">服务标准</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center"/>
            <w:textDirection w:val="lrTb"/>
            <w:noWrap/>
          </w:tcPr>
          <w:p>
            <w:pPr>
              <w:jc w:val="center"/>
              <w:spacing w:before="0" w:beforeAutospacing="0" w:after="0" w:afterAutospacing="0" w:line="24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pStyle w:val="787"/>
              <w:jc w:val="center"/>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基本要求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7" w:type="dxa"/>
            <w:vAlign w:val="center"/>
            <w:textDirection w:val="lrTb"/>
            <w:noWrap/>
          </w:tcPr>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（1）建立保安服务相关制度，并按照执行。</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（2）对巡查、值守及异常情况等做好相关记录，填写规范，保存完好。</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（3）配备保安服务必要的器材。</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（4）值岗期间与读者及其他来馆人员交谈时，应使用文明、规范用语，不得使用“命令”“要求”类用语及禁忌语，不得与读者发生争吵。</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（5）采购方举办讲座、展览等读者活动以及场馆装修、布局调整等，保安要协助做好搬运和安全警戒等工作；若有临时性、突发性任务安排，须配合完成。</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center"/>
            <w:textDirection w:val="lrTb"/>
            <w:noWrap/>
          </w:tcPr>
          <w:p>
            <w:pPr>
              <w:jc w:val="center"/>
              <w:spacing w:before="0" w:beforeAutospacing="0" w:after="0" w:afterAutospacing="0" w:line="24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pStyle w:val="787"/>
              <w:jc w:val="center"/>
              <w:spacing w:before="0" w:beforeAutospacing="0" w:after="0" w:afterAutospacing="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7" w:type="dxa"/>
            <w:vAlign w:val="center"/>
            <w:textDirection w:val="lrTb"/>
            <w:noWrap/>
          </w:tcPr>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（1）办公楼（区）主出入口应当实行 24 小时值班制。</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（2）设置门岗。</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（3）在出入口对外来人员及其携带大件物品、外来车辆进行询问和记录，并与相关部门取得联系， 同意后方可进入。</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（4）大件物品搬出有相关部门开具的证明和清单，经核实后放行。</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（5）排查可疑人员，对于不出示证件、不按规定登记、不听劝阻而强行闯入者，及时劝离，必要时 通知公安机关进行处理。</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（6）配合相关部门积极疏导上访人员，有效疏导出入口人群集聚、车辆拥堵、货物堵塞道路等情 况。</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（7）根据物业服务合同约定，对物品进出实行安检、登记、电话确认等分类管理措施。大宗物品进 出会同接收单位收件人审检，严防违禁品（包括毒品、军火弹药、管制刀具、易燃易爆品等）、限带品（包 括动物、任何未经授权的专业摄影设备、无人机等）进入。</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（8）提供现场接待服务。</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①做好来访人员、车辆进出证件登记，及时通报。</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②严禁无关人员、可疑人员和危险物品进入办公楼（区）内。</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③物品摆放整齐有序、分类放置。</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④现场办理等待时间不超过5分钟，等待较长时间应当及时沟通。</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⑤对来访人员咨询、建议、求助等事项，及时处理或答复，处理和答复率100%。</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⑥与被访人进行核实确认；告知被访人的办公室门牌号；告知访客注意事项（根据实际需要填写注意事项）。</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（9）根据采购方需求使用安检设备对进馆人员及其随身物品进行安检。 </w:t>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center"/>
            <w:textDirection w:val="lrTb"/>
            <w:noWrap/>
          </w:tcPr>
          <w:p>
            <w:pPr>
              <w:jc w:val="center"/>
              <w:spacing w:before="0" w:beforeAutospacing="0" w:after="0" w:afterAutospacing="0" w:line="24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pStyle w:val="787"/>
              <w:jc w:val="center"/>
              <w:spacing w:before="0" w:beforeAutospacing="0" w:after="0" w:afterAutospacing="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值班巡查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7" w:type="dxa"/>
            <w:vAlign w:val="center"/>
            <w:textDirection w:val="lrTb"/>
            <w:noWrap/>
          </w:tcPr>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（1）建立24小时值班巡查制度。</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（2）制定巡查路线，按照指定时间和路线执行，加强重点区域、重点部位及装修区域的巡查。</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（3）巡查期间保持通信设施设备畅通，遇到异常情况立即上报并在现场采取相应措施。</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（4）收到监控室指令后，巡查人员及时到达指定地点并迅速采取相应措施。</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（5）白天巡查不间断，夜间巡查2小时一次，做好巡查记录。  </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（6）21:00后必须进行全馆巡视、清场，确认无读者滞留后再关闭大门。</w:t>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center"/>
            <w:textDirection w:val="lrTb"/>
            <w:noWrap/>
          </w:tcPr>
          <w:p>
            <w:pPr>
              <w:jc w:val="center"/>
              <w:spacing w:before="0" w:beforeAutospacing="0" w:after="0" w:afterAutospacing="0" w:line="24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pStyle w:val="787"/>
              <w:jc w:val="center"/>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监控值守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7" w:type="dxa"/>
            <w:vAlign w:val="center"/>
            <w:textDirection w:val="lrTb"/>
            <w:noWrap/>
          </w:tcPr>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（1）监控室环境符合系统设备运行要求，定期进行检查和检测，确保系统功能正常。</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（2）监控设备24小时正常运行，监控室实行专人24小时值班制度。</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（3）监控记录画面清晰，视频监控无死角、无盲区。</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（4）值班期间遵守操作规程和保密制度，做好监控记录的保存工作。</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（5）监控记录保持完整，保存时间不应少于90天。</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（6）无关人员进入监控室或查阅监控记录，经授权人批准并做好相关记录。</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（7）监控室收到火情等报警信号、其他异常情况信号后，及时报警并安排其他安保人员前往现场进行处理。</w:t>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center"/>
            <w:textDirection w:val="lrTb"/>
            <w:noWrap/>
          </w:tcPr>
          <w:p>
            <w:pPr>
              <w:jc w:val="center"/>
              <w:spacing w:before="0" w:beforeAutospacing="0" w:after="0" w:afterAutospacing="0" w:line="24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pStyle w:val="787"/>
              <w:jc w:val="center"/>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车辆停放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7" w:type="dxa"/>
            <w:vAlign w:val="center"/>
            <w:textDirection w:val="lrTb"/>
            <w:noWrap/>
          </w:tcPr>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（1）车辆行驶路线设置合理、规范，导向标志完整、清晰。</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（2）合理规划车辆停放区域，张贴车辆引导标识，对车辆及停放区域实行规范管理。</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（3）严禁在大楼公用走道、楼梯间、安全出口处等公共区域停放车辆或充电。</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（4）非机动车定点有序停放。</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（5）发现车辆异常情况及时通知车主，并做好登记；发生交通事故、自然灾害等意外事故时及时赶赴现场疏导和协助处理，响应时间不超过3分钟。</w:t>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center"/>
            <w:textDirection w:val="lrTb"/>
            <w:noWrap/>
          </w:tcPr>
          <w:p>
            <w:pPr>
              <w:jc w:val="center"/>
              <w:spacing w:before="0" w:beforeAutospacing="0" w:after="0" w:afterAutospacing="0" w:line="24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pStyle w:val="787"/>
              <w:jc w:val="center"/>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消防安全管理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7" w:type="dxa"/>
            <w:vAlign w:val="center"/>
            <w:textDirection w:val="lrTb"/>
            <w:noWrap/>
          </w:tcPr>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（1）建立消防安全责任制，确定各级消防安全责任人及其职责。</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（2）消防控制室实行24小时值班制度。</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（3）消火栓、应急照明、应急物资、消防及人员逃生通道、消防车通道可随时正常使用。</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（4）易燃易爆品设专区专人管理，做好相关记录。</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（5）定期组织消防安全宣传，每半年至少开展1次消防演练。</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（6）值班人员须持证上岗，熟悉消防系统操作程序。</w:t>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center"/>
            <w:textDirection w:val="lrTb"/>
            <w:noWrap/>
          </w:tcPr>
          <w:p>
            <w:pPr>
              <w:jc w:val="center"/>
              <w:spacing w:before="0" w:beforeAutospacing="0" w:after="0" w:afterAutospacing="0" w:line="24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pStyle w:val="787"/>
              <w:jc w:val="center"/>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突发事件处理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7" w:type="dxa"/>
            <w:vAlign w:val="center"/>
            <w:textDirection w:val="lrTb"/>
            <w:noWrap/>
          </w:tcPr>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（1）制定突发事件安全责任书，明确突发事件责任人及应承担的安全责任。</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（2）建立应急突发事件处置队伍，明确各自的职责。</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（3）识别、分析各种潜在风险，针对不同风险类型制定相应解决方案，并配备应急物资。</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（4）每半年至少开展1次突发事件应急演练，并有相应记录。</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（5）发生意外事件时，及时采取应急措施，维护办公区域物业服务正常进行，保护人身财产安全。</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（6）办公区域物业服务应急预案终止实施后，积极采取措施，在尽可能短的时间内，消除事故带来的不良影响，妥善安置和慰问受害及受影响的人员和部门。</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（7）事故处理后，及时形成事故应急总结报告，完善应急救援工作方案。</w:t>
            </w:r>
            <w:r/>
          </w:p>
        </w:tc>
      </w:tr>
    </w:tbl>
    <w:p>
      <w:pPr>
        <w:pStyle w:val="67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7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3.7会议服务</w:t>
      </w:r>
      <w:r/>
    </w:p>
    <w:p>
      <w:pPr>
        <w:pStyle w:val="670"/>
        <w:rPr>
          <w:rFonts w:hint="eastAsia" w:ascii="宋体" w:hAnsi="宋体" w:eastAsia="宋体" w:cs="宋体"/>
          <w:color w:val="auto"/>
          <w:sz w:val="24"/>
          <w:szCs w:val="24"/>
          <w:highlight w:val="none"/>
          <w:u w:val="none"/>
          <w:lang w:val="en-US" w:eastAsia="zh-CN"/>
        </w:rPr>
      </w:pPr>
      <w:r/>
      <w:bookmarkStart w:id="199" w:name="_Toc26417"/>
      <w:r/>
      <w:bookmarkStart w:id="200" w:name="_Toc27983"/>
      <w:r/>
      <w:bookmarkStart w:id="201" w:name="_Toc12052"/>
      <w:r>
        <w:rPr>
          <w:rFonts w:hint="eastAsia" w:ascii="宋体" w:hAnsi="宋体" w:eastAsia="宋体" w:cs="宋体"/>
          <w:color w:val="auto"/>
          <w:sz w:val="24"/>
          <w:szCs w:val="24"/>
          <w:highlight w:val="none"/>
          <w:u w:val="none"/>
          <w:lang w:val="en-US" w:eastAsia="zh-CN"/>
        </w:rPr>
        <w:t xml:space="preserve">本项目不涉及</w:t>
      </w:r>
      <w:r/>
    </w:p>
    <w:p>
      <w:pP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r>
      <w:r/>
    </w:p>
    <w:p>
      <w:pPr>
        <w:pStyle w:val="67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4.供应商履行合同所需的设备</w:t>
      </w:r>
      <w:r/>
    </w:p>
    <w:p>
      <w:pPr>
        <w:ind w:firstLine="480"/>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采购人根据项目实际需求，需要供应商提供作业设备</w:t>
      </w:r>
      <w:r>
        <w:rPr>
          <w:rFonts w:hint="eastAsia" w:ascii="宋体" w:hAnsi="宋体" w:eastAsia="宋体" w:cs="宋体"/>
          <w:b w:val="0"/>
          <w:bCs w:val="0"/>
          <w:color w:val="auto"/>
          <w:sz w:val="24"/>
          <w:szCs w:val="24"/>
          <w:highlight w:val="none"/>
          <w:lang w:val="en-US" w:eastAsia="zh-CN"/>
        </w:rPr>
        <w:t xml:space="preserve">（自有或租赁）</w:t>
      </w:r>
      <w:r>
        <w:rPr>
          <w:rFonts w:hint="eastAsia" w:ascii="宋体" w:hAnsi="宋体" w:eastAsia="宋体" w:cs="宋体"/>
          <w:sz w:val="24"/>
          <w:szCs w:val="24"/>
          <w:highlight w:val="none"/>
          <w:lang w:val="en-US" w:eastAsia="zh-CN"/>
        </w:rPr>
        <w:t xml:space="preserve">用于物业管理服务的，可在下表中列出，举例如下：</w:t>
      </w:r>
      <w:r/>
    </w:p>
    <w:tbl>
      <w:tblPr>
        <w:tblStyle w:val="67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2928"/>
        <w:gridCol w:w="2994"/>
        <w:gridCol w:w="1289"/>
        <w:gridCol w:w="1244"/>
      </w:tblGrid>
      <w:tr>
        <w:trPr>
          <w:trHeight w:val="454"/>
        </w:trPr>
        <w:tc>
          <w:tcPr>
            <w:tcW w:w="732"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3002"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用途</w:t>
            </w:r>
            <w:r/>
          </w:p>
        </w:tc>
        <w:tc>
          <w:tcPr>
            <w:tcW w:w="3070"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作业设备</w:t>
            </w:r>
            <w:r>
              <w:rPr>
                <w:rFonts w:hint="eastAsia" w:ascii="宋体" w:hAnsi="宋体" w:eastAsia="宋体" w:cs="宋体"/>
                <w:b/>
                <w:bCs/>
                <w:color w:val="auto"/>
                <w:sz w:val="24"/>
                <w:szCs w:val="24"/>
                <w:highlight w:val="none"/>
              </w:rPr>
              <w:t xml:space="preserve">名称</w:t>
            </w:r>
            <w:r/>
          </w:p>
        </w:tc>
        <w:tc>
          <w:tcPr>
            <w:tcW w:w="1322"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数量</w:t>
            </w:r>
            <w:r/>
          </w:p>
        </w:tc>
        <w:tc>
          <w:tcPr>
            <w:tcW w:w="1275"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单位</w:t>
            </w:r>
            <w:r/>
          </w:p>
        </w:tc>
      </w:tr>
      <w:tr>
        <w:trPr>
          <w:trHeight w:val="454"/>
        </w:trPr>
        <w:tc>
          <w:tcPr>
            <w:tcW w:w="732" w:type="dxa"/>
            <w:vAlign w:val="center"/>
            <w:textDirection w:val="lrTb"/>
            <w:noWrap w:val="false"/>
          </w:tcPr>
          <w:p>
            <w:pPr>
              <w:numPr>
                <w:ilvl w:val="0"/>
                <w:numId w:val="0"/>
              </w:numPr>
              <w:ind w:left="0" w:firstLine="0"/>
              <w:jc w:val="center"/>
              <w:pageBreakBefore w:val="0"/>
              <w:spacing w:line="30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p>
        </w:tc>
        <w:tc>
          <w:tcPr>
            <w:tcW w:w="3002" w:type="dxa"/>
            <w:vAlign w:val="center"/>
            <w:textDirection w:val="lrTb"/>
            <w:noWrap w:val="false"/>
          </w:tcPr>
          <w:p>
            <w:pPr>
              <w:ind w:left="0"/>
              <w:jc w:val="center"/>
              <w:pageBreakBefore w:val="0"/>
              <w:spacing w:line="30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基本服务</w:t>
            </w:r>
            <w:r/>
          </w:p>
        </w:tc>
        <w:tc>
          <w:tcPr>
            <w:tcW w:w="3070" w:type="dxa"/>
            <w:vAlign w:val="center"/>
            <w:textDirection w:val="lrTb"/>
            <w:noWrap w:val="false"/>
          </w:tcPr>
          <w:p>
            <w:pPr>
              <w:ind w:left="0"/>
              <w:jc w:val="center"/>
              <w:pageBreakBefore w:val="0"/>
              <w:spacing w:line="30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spacing w:val="-2"/>
                <w:sz w:val="24"/>
                <w:szCs w:val="24"/>
              </w:rPr>
              <w:t xml:space="preserve">签到机</w:t>
            </w:r>
            <w:r/>
          </w:p>
        </w:tc>
        <w:tc>
          <w:tcPr>
            <w:tcW w:w="1322" w:type="dxa"/>
            <w:vAlign w:val="center"/>
            <w:textDirection w:val="lrTb"/>
            <w:noWrap w:val="false"/>
          </w:tcPr>
          <w:p>
            <w:pPr>
              <w:ind w:left="0"/>
              <w:jc w:val="center"/>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W w:w="1275" w:type="dxa"/>
            <w:vAlign w:val="center"/>
            <w:textDirection w:val="lrTb"/>
            <w:noWrap w:val="false"/>
          </w:tcPr>
          <w:p>
            <w:pPr>
              <w:ind w:left="0"/>
              <w:jc w:val="center"/>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台</w:t>
            </w:r>
            <w:r/>
          </w:p>
        </w:tc>
      </w:tr>
      <w:tr>
        <w:trPr>
          <w:trHeight w:val="454"/>
        </w:trPr>
        <w:tc>
          <w:tcPr>
            <w:tcW w:w="732" w:type="dxa"/>
            <w:vAlign w:val="center"/>
            <w:textDirection w:val="lrTb"/>
            <w:noWrap w:val="false"/>
          </w:tcPr>
          <w:p>
            <w:pPr>
              <w:numPr>
                <w:ilvl w:val="0"/>
                <w:numId w:val="0"/>
              </w:numPr>
              <w:ind w:left="0" w:firstLine="0"/>
              <w:jc w:val="center"/>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c>
          <w:tcPr>
            <w:tcW w:w="3002" w:type="dxa"/>
            <w:vAlign w:val="center"/>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rPr>
              <w:t xml:space="preserve">保安服务</w:t>
            </w:r>
            <w:r/>
          </w:p>
        </w:tc>
        <w:tc>
          <w:tcPr>
            <w:tcW w:w="3070"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eastAsia="宋体" w:cs="宋体"/>
                <w:color w:val="000000"/>
                <w:sz w:val="24"/>
                <w:szCs w:val="24"/>
              </w:rPr>
              <w:t xml:space="preserve">对讲机</w:t>
            </w:r>
            <w:r/>
          </w:p>
        </w:tc>
        <w:tc>
          <w:tcPr>
            <w:tcW w:w="1322"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000000"/>
                <w:sz w:val="24"/>
                <w:szCs w:val="24"/>
                <w:lang w:val="en-US" w:eastAsia="zh-CN"/>
              </w:rPr>
              <w:t xml:space="preserve">7</w:t>
            </w:r>
            <w:r/>
          </w:p>
        </w:tc>
        <w:tc>
          <w:tcPr>
            <w:tcW w:w="1275"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000000"/>
                <w:sz w:val="24"/>
                <w:szCs w:val="24"/>
              </w:rPr>
              <w:t xml:space="preserve">台</w:t>
            </w:r>
            <w:r/>
          </w:p>
        </w:tc>
      </w:tr>
    </w:tbl>
    <w:p>
      <w:pPr>
        <w:pStyle w:val="685"/>
        <w:rPr>
          <w:rFonts w:hint="eastAsia" w:ascii="宋体" w:hAnsi="宋体" w:eastAsia="宋体" w:cs="宋体"/>
          <w:b/>
          <w:bCs/>
          <w:color w:val="ff0000"/>
          <w:sz w:val="24"/>
          <w:szCs w:val="24"/>
          <w:lang w:val="en-US" w:eastAsia="zh-CN"/>
        </w:rPr>
      </w:pPr>
      <w:r>
        <w:rPr>
          <w:rFonts w:hint="eastAsia" w:ascii="宋体" w:hAnsi="宋体" w:eastAsia="宋体" w:cs="宋体"/>
          <w:b w:val="0"/>
          <w:bCs w:val="0"/>
          <w:sz w:val="24"/>
          <w:szCs w:val="24"/>
          <w:highlight w:val="none"/>
          <w:lang w:val="en-US" w:eastAsia="zh-CN"/>
        </w:rPr>
        <w:t xml:space="preserve">注：采购人已无偿提供的作业设备，不在此重复要求。</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67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物业管理服务人员需求</w:t>
      </w:r>
      <w:r/>
    </w:p>
    <w:p>
      <w:pPr>
        <w:ind w:left="0" w:right="0" w:firstLine="482"/>
        <w:jc w:val="both"/>
        <w:spacing w:before="0"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本项目允许配置按国家规定可不缴纳社保的人员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该类人员最多不超过</w:t>
      </w:r>
      <w:r>
        <w:rPr>
          <w:rFonts w:hint="eastAsia" w:ascii="宋体" w:hAnsi="宋体" w:eastAsia="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lang w:eastAsia="zh-CN"/>
        </w:rPr>
        <w:t xml:space="preserve">。</w:t>
      </w:r>
      <w:r/>
    </w:p>
    <w:p>
      <w:pPr>
        <w:ind w:left="0" w:right="0" w:firstLine="482"/>
        <w:jc w:val="both"/>
        <w:spacing w:before="0"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若所填人员有属于“按国家规定可不缴纳社保的人员”的，则该类人员须提供相关证明材料（如退休证明、符合国家政策的补贴证明等）扫描件，否则作无效投标文件处理</w:t>
      </w:r>
      <w:r>
        <w:rPr>
          <w:rFonts w:hint="eastAsia" w:ascii="宋体" w:hAnsi="宋体" w:eastAsia="宋体" w:cs="宋体"/>
          <w:b/>
          <w:bCs/>
          <w:color w:val="auto"/>
          <w:sz w:val="24"/>
          <w:szCs w:val="24"/>
          <w:highlight w:val="none"/>
          <w:lang w:eastAsia="zh-CN"/>
        </w:rPr>
        <w:t xml:space="preserve">。</w:t>
      </w:r>
      <w:r/>
    </w:p>
    <w:tbl>
      <w:tblPr>
        <w:tblStyle w:val="713"/>
        <w:tblW w:w="48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995"/>
        <w:gridCol w:w="868"/>
        <w:gridCol w:w="1297"/>
        <w:gridCol w:w="4491"/>
      </w:tblGrid>
      <w:tr>
        <w:trPr>
          <w:trHeight w:val="878"/>
        </w:trPr>
        <w:tc>
          <w:tcPr>
            <w:tcW w:w="1265" w:type="dxa"/>
            <w:vAlign w:val="center"/>
            <w:textDirection w:val="lrTb"/>
            <w:noWrap w:val="false"/>
          </w:tcPr>
          <w:p>
            <w:pPr>
              <w:ind w:left="0"/>
              <w:jc w:val="center"/>
              <w:keepLines w:val="0"/>
              <w:keepNext w:val="0"/>
              <w:pageBreakBefore w:val="0"/>
              <w:spacing w:after="0" w:line="30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部门</w:t>
            </w:r>
            <w:r>
              <w:rPr>
                <w:rFonts w:hint="eastAsia" w:ascii="宋体" w:hAnsi="宋体" w:eastAsia="宋体" w:cs="宋体"/>
                <w:b/>
                <w:bCs w:val="0"/>
                <w:color w:val="auto"/>
                <w:sz w:val="24"/>
                <w:szCs w:val="24"/>
                <w:highlight w:val="none"/>
                <w:lang w:eastAsia="zh-CN"/>
              </w:rPr>
              <w:t xml:space="preserve">职能</w:t>
            </w:r>
            <w:r/>
          </w:p>
        </w:tc>
        <w:tc>
          <w:tcPr>
            <w:tcW w:w="1020" w:type="dxa"/>
            <w:vAlign w:val="center"/>
            <w:textDirection w:val="lrTb"/>
            <w:noWrap w:val="false"/>
          </w:tcPr>
          <w:p>
            <w:pPr>
              <w:ind w:left="0"/>
              <w:jc w:val="center"/>
              <w:keepLines w:val="0"/>
              <w:keepNext w:val="0"/>
              <w:pageBreakBefore w:val="0"/>
              <w:spacing w:after="0" w:line="300" w:lineRule="auto"/>
              <w:widowControl/>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岗位</w:t>
            </w:r>
            <w:r/>
          </w:p>
        </w:tc>
        <w:tc>
          <w:tcPr>
            <w:tcW w:w="890" w:type="dxa"/>
            <w:vAlign w:val="center"/>
            <w:textDirection w:val="lrTb"/>
            <w:noWrap w:val="false"/>
          </w:tcPr>
          <w:p>
            <w:pPr>
              <w:ind w:left="0"/>
              <w:jc w:val="center"/>
              <w:keepLines w:val="0"/>
              <w:keepNext w:val="0"/>
              <w:pageBreakBefore w:val="0"/>
              <w:spacing w:after="0" w:line="300" w:lineRule="auto"/>
              <w:widowControl/>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同时在岗人数</w:t>
            </w:r>
            <w:r/>
          </w:p>
        </w:tc>
        <w:tc>
          <w:tcPr>
            <w:tcW w:w="1330" w:type="dxa"/>
            <w:vAlign w:val="center"/>
            <w:textDirection w:val="lrTb"/>
            <w:noWrap w:val="false"/>
          </w:tcPr>
          <w:p>
            <w:pPr>
              <w:ind w:left="0"/>
              <w:jc w:val="center"/>
              <w:keepLines w:val="0"/>
              <w:keepNext w:val="0"/>
              <w:pageBreakBefore w:val="0"/>
              <w:spacing w:after="0" w:line="300" w:lineRule="auto"/>
              <w:widowControl/>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岗位所需总人数</w:t>
            </w:r>
            <w:r/>
          </w:p>
        </w:tc>
        <w:tc>
          <w:tcPr>
            <w:tcW w:w="4605" w:type="dxa"/>
            <w:vAlign w:val="center"/>
            <w:textDirection w:val="lrTb"/>
            <w:noWrap w:val="false"/>
          </w:tcPr>
          <w:p>
            <w:pPr>
              <w:ind w:left="0"/>
              <w:jc w:val="center"/>
              <w:keepLines w:val="0"/>
              <w:keepNext w:val="0"/>
              <w:pageBreakBefore w:val="0"/>
              <w:spacing w:after="0" w:line="300" w:lineRule="auto"/>
              <w:widowControl/>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备注（岗位所需服务时长或时段、需具备的上岗资格证</w:t>
            </w:r>
            <w:r>
              <w:rPr>
                <w:rFonts w:hint="eastAsia" w:ascii="宋体" w:hAnsi="宋体" w:eastAsia="宋体" w:cs="宋体"/>
                <w:b/>
                <w:bCs w:val="0"/>
                <w:color w:val="auto"/>
                <w:sz w:val="24"/>
                <w:szCs w:val="24"/>
                <w:highlight w:val="none"/>
                <w:lang w:eastAsia="zh-CN"/>
              </w:rPr>
              <w:t xml:space="preserve">、人员学历、</w:t>
            </w:r>
            <w:r/>
          </w:p>
        </w:tc>
      </w:tr>
      <w:tr>
        <w:trPr>
          <w:trHeight w:val="764"/>
        </w:trPr>
        <w:tc>
          <w:tcPr>
            <w:tcW w:w="1265" w:type="dxa"/>
            <w:vAlign w:val="center"/>
            <w:textDirection w:val="lrTb"/>
            <w:noWrap w:val="false"/>
          </w:tcPr>
          <w:p>
            <w:pPr>
              <w:ind w:left="0"/>
              <w:jc w:val="both"/>
              <w:keepLines w:val="0"/>
              <w:keepNext w:val="0"/>
              <w:pageBreakBefore w:val="0"/>
              <w:spacing w:after="0" w:line="24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服务中心</w:t>
            </w:r>
            <w:r/>
          </w:p>
        </w:tc>
        <w:tc>
          <w:tcPr>
            <w:tcW w:w="1020" w:type="dxa"/>
            <w:vAlign w:val="center"/>
            <w:textDirection w:val="lrTb"/>
            <w:noWrap w:val="false"/>
          </w:tcPr>
          <w:p>
            <w:pPr>
              <w:ind w:left="0"/>
              <w:jc w:val="both"/>
              <w:keepLines w:val="0"/>
              <w:keepNext w:val="0"/>
              <w:pageBreakBefore w:val="0"/>
              <w:spacing w:after="0" w:line="240"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项目</w:t>
            </w:r>
            <w:r>
              <w:rPr>
                <w:rFonts w:hint="eastAsia" w:ascii="宋体" w:hAnsi="宋体" w:eastAsia="宋体" w:cs="宋体"/>
                <w:bCs/>
                <w:color w:val="auto"/>
                <w:sz w:val="24"/>
                <w:szCs w:val="24"/>
                <w:highlight w:val="none"/>
                <w:lang w:eastAsia="zh-CN"/>
              </w:rPr>
              <w:t xml:space="preserve">负责人</w:t>
            </w:r>
            <w:r/>
          </w:p>
        </w:tc>
        <w:tc>
          <w:tcPr>
            <w:tcW w:w="890" w:type="dxa"/>
            <w:vAlign w:val="center"/>
            <w:textDirection w:val="lrTb"/>
            <w:noWrap w:val="false"/>
          </w:tcPr>
          <w:p>
            <w:pPr>
              <w:ind w:left="0"/>
              <w:jc w:val="center"/>
              <w:keepLines w:val="0"/>
              <w:keepNext w:val="0"/>
              <w:pageBreakBefore w:val="0"/>
              <w:spacing w:after="0" w:line="24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1330" w:type="dxa"/>
            <w:vAlign w:val="center"/>
            <w:textDirection w:val="lrTb"/>
            <w:noWrap w:val="false"/>
          </w:tcPr>
          <w:p>
            <w:pPr>
              <w:ind w:left="0"/>
              <w:jc w:val="center"/>
              <w:keepLines w:val="0"/>
              <w:keepNext w:val="0"/>
              <w:pageBreakBefore w:val="0"/>
              <w:spacing w:after="0" w:line="24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4605" w:type="dxa"/>
            <w:vAlign w:val="center"/>
            <w:textDirection w:val="lrTb"/>
            <w:noWrap w:val="false"/>
          </w:tcPr>
          <w:p>
            <w:pPr>
              <w:ind w:left="0"/>
              <w:jc w:val="center"/>
              <w:keepLines w:val="0"/>
              <w:keepNext w:val="0"/>
              <w:pageBreakBefore w:val="0"/>
              <w:spacing w:after="0" w:line="240" w:lineRule="auto"/>
              <w:widowControl/>
              <w:rPr>
                <w:rFonts w:hint="eastAsia" w:ascii="宋体" w:hAnsi="宋体" w:eastAsia="宋体" w:cs="宋体"/>
                <w:bCs/>
                <w:color w:val="auto"/>
                <w:sz w:val="24"/>
                <w:szCs w:val="24"/>
                <w:highlight w:val="none"/>
              </w:rPr>
            </w:pPr>
            <w:r>
              <w:rPr>
                <w:rFonts w:hint="eastAsia" w:ascii="宋体" w:hAnsi="宋体" w:eastAsia="宋体" w:cs="宋体"/>
                <w:color w:val="000000"/>
                <w:sz w:val="24"/>
                <w:szCs w:val="24"/>
                <w:highlight w:val="none"/>
              </w:rPr>
              <w:t xml:space="preserve">学校物业管理</w:t>
            </w:r>
            <w:r>
              <w:rPr>
                <w:rFonts w:hint="eastAsia" w:ascii="宋体" w:hAnsi="宋体" w:eastAsia="宋体" w:cs="宋体"/>
                <w:color w:val="000000"/>
                <w:sz w:val="24"/>
                <w:szCs w:val="24"/>
                <w:highlight w:val="none"/>
                <w:lang w:val="en-US" w:eastAsia="zh-CN"/>
              </w:rPr>
              <w:t xml:space="preserve">1名经理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年龄</w:t>
            </w:r>
            <w:r>
              <w:rPr>
                <w:rFonts w:hint="eastAsia" w:ascii="宋体" w:hAnsi="宋体" w:eastAsia="宋体" w:cs="宋体"/>
                <w:color w:val="000000"/>
                <w:sz w:val="24"/>
                <w:szCs w:val="24"/>
                <w:highlight w:val="none"/>
                <w:lang w:val="en-US" w:eastAsia="zh-CN"/>
              </w:rPr>
              <w:t xml:space="preserve">50周岁以内</w:t>
            </w:r>
            <w:r>
              <w:rPr>
                <w:rFonts w:hint="eastAsia" w:ascii="宋体" w:hAnsi="宋体" w:eastAsia="宋体" w:cs="宋体"/>
                <w:color w:val="000000"/>
                <w:sz w:val="24"/>
                <w:szCs w:val="24"/>
                <w:highlight w:val="none"/>
              </w:rPr>
              <w:t xml:space="preserve">熟悉使用电脑各类软件。</w:t>
            </w:r>
            <w:r/>
          </w:p>
        </w:tc>
      </w:tr>
      <w:tr>
        <w:trPr>
          <w:trHeight w:val="1001"/>
        </w:trPr>
        <w:tc>
          <w:tcPr>
            <w:tcW w:w="1265" w:type="dxa"/>
            <w:vAlign w:val="center"/>
            <w:textDirection w:val="lrTb"/>
            <w:noWrap w:val="false"/>
          </w:tcPr>
          <w:p>
            <w:pPr>
              <w:ind w:left="0"/>
              <w:jc w:val="both"/>
              <w:keepLines w:val="0"/>
              <w:keepNext w:val="0"/>
              <w:pageBreakBefore w:val="0"/>
              <w:spacing w:after="0" w:line="24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公用设施设备维护服务</w:t>
            </w:r>
            <w:r/>
          </w:p>
        </w:tc>
        <w:tc>
          <w:tcPr>
            <w:tcW w:w="1020" w:type="dxa"/>
            <w:vAlign w:val="center"/>
            <w:textDirection w:val="lrTb"/>
            <w:noWrap w:val="false"/>
          </w:tcPr>
          <w:p>
            <w:pPr>
              <w:ind w:left="0"/>
              <w:jc w:val="both"/>
              <w:keepLines w:val="0"/>
              <w:keepNext w:val="0"/>
              <w:pageBreakBefore w:val="0"/>
              <w:spacing w:after="0" w:line="240" w:lineRule="auto"/>
              <w:widowControl/>
              <w:rPr>
                <w:rFonts w:hint="eastAsia" w:ascii="宋体" w:hAnsi="宋体" w:eastAsia="宋体" w:cs="宋体"/>
                <w:bCs/>
                <w:color w:val="auto"/>
                <w:sz w:val="24"/>
                <w:szCs w:val="24"/>
                <w:highlight w:val="none"/>
              </w:rPr>
            </w:pPr>
            <w:r>
              <w:rPr>
                <w:rStyle w:val="788"/>
                <w:rFonts w:hint="eastAsia" w:ascii="宋体" w:hAnsi="宋体" w:eastAsia="宋体" w:cs="宋体"/>
                <w:color w:val="000000"/>
                <w:sz w:val="24"/>
                <w:szCs w:val="24"/>
                <w:lang w:val="en-US" w:eastAsia="zh-CN" w:bidi="ar"/>
              </w:rPr>
              <w:t xml:space="preserve">维修工</w:t>
            </w:r>
            <w:r/>
          </w:p>
        </w:tc>
        <w:tc>
          <w:tcPr>
            <w:tcW w:w="890" w:type="dxa"/>
            <w:vAlign w:val="center"/>
            <w:textDirection w:val="lrTb"/>
            <w:noWrap w:val="false"/>
          </w:tcPr>
          <w:p>
            <w:pPr>
              <w:ind w:left="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p>
        </w:tc>
        <w:tc>
          <w:tcPr>
            <w:tcW w:w="1330" w:type="dxa"/>
            <w:vAlign w:val="center"/>
            <w:textDirection w:val="lrTb"/>
            <w:noWrap w:val="false"/>
          </w:tcPr>
          <w:p>
            <w:pPr>
              <w:ind w:left="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p>
        </w:tc>
        <w:tc>
          <w:tcPr>
            <w:tcW w:w="4605"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安排专职人员</w:t>
            </w:r>
            <w:r>
              <w:rPr>
                <w:rFonts w:hint="eastAsia" w:ascii="宋体" w:hAnsi="宋体" w:eastAsia="宋体" w:cs="宋体"/>
                <w:color w:val="000000"/>
                <w:sz w:val="24"/>
                <w:szCs w:val="24"/>
                <w:lang w:val="en-US" w:eastAsia="zh-CN"/>
              </w:rPr>
              <w:t xml:space="preserve">2名</w:t>
            </w:r>
            <w:r>
              <w:rPr>
                <w:rFonts w:hint="eastAsia" w:ascii="宋体" w:hAnsi="宋体" w:eastAsia="宋体" w:cs="宋体"/>
                <w:color w:val="000000"/>
                <w:sz w:val="24"/>
                <w:szCs w:val="24"/>
              </w:rPr>
              <w:t xml:space="preserve">，做好日常巡查和维修。</w:t>
            </w:r>
            <w:r/>
          </w:p>
          <w:p>
            <w:pPr>
              <w:ind w:left="0"/>
              <w:jc w:val="left"/>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000000"/>
                <w:sz w:val="24"/>
                <w:szCs w:val="24"/>
                <w:lang w:eastAsia="zh-CN"/>
              </w:rPr>
              <w:t xml:space="preserve">基本素质要求：</w:t>
            </w:r>
            <w:r>
              <w:rPr>
                <w:rFonts w:hint="eastAsia" w:ascii="宋体" w:hAnsi="宋体" w:eastAsia="宋体" w:cs="宋体"/>
                <w:bCs/>
                <w:color w:val="000000"/>
                <w:sz w:val="24"/>
                <w:szCs w:val="24"/>
                <w:lang w:val="en-US" w:eastAsia="zh-CN"/>
              </w:rPr>
              <w:t xml:space="preserve">55</w:t>
            </w:r>
            <w:r>
              <w:rPr>
                <w:rFonts w:hint="eastAsia" w:ascii="宋体" w:hAnsi="宋体" w:eastAsia="宋体" w:cs="宋体"/>
                <w:bCs/>
                <w:color w:val="000000"/>
                <w:sz w:val="24"/>
                <w:szCs w:val="24"/>
                <w:lang w:eastAsia="zh-CN"/>
              </w:rPr>
              <w:t xml:space="preserve">周岁以下、</w:t>
            </w:r>
            <w:r>
              <w:rPr>
                <w:rFonts w:hint="eastAsia" w:ascii="宋体" w:hAnsi="宋体" w:eastAsia="宋体" w:cs="宋体"/>
                <w:bCs/>
                <w:color w:val="000000"/>
                <w:sz w:val="24"/>
                <w:szCs w:val="24"/>
                <w:lang w:val="en-US" w:eastAsia="zh-CN"/>
              </w:rPr>
              <w:t xml:space="preserve">身体健康</w:t>
            </w:r>
            <w:r>
              <w:rPr>
                <w:rFonts w:hint="eastAsia" w:ascii="宋体" w:hAnsi="宋体" w:eastAsia="宋体" w:cs="宋体"/>
                <w:bCs/>
                <w:color w:val="000000"/>
                <w:sz w:val="24"/>
                <w:szCs w:val="24"/>
                <w:lang w:eastAsia="zh-CN"/>
              </w:rPr>
              <w:t xml:space="preserve">。</w:t>
            </w:r>
            <w:r/>
          </w:p>
        </w:tc>
      </w:tr>
      <w:tr>
        <w:trPr>
          <w:trHeight w:val="538"/>
        </w:trPr>
        <w:tc>
          <w:tcPr>
            <w:tcW w:w="1265" w:type="dxa"/>
            <w:vAlign w:val="center"/>
            <w:vMerge w:val="restart"/>
            <w:textDirection w:val="lrTb"/>
            <w:noWrap w:val="false"/>
          </w:tcPr>
          <w:p>
            <w:pPr>
              <w:ind w:left="0"/>
              <w:jc w:val="both"/>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保洁服务</w:t>
            </w:r>
            <w:r/>
          </w:p>
        </w:tc>
        <w:tc>
          <w:tcPr>
            <w:tcW w:w="1020" w:type="dxa"/>
            <w:vAlign w:val="center"/>
            <w:textDirection w:val="lrTb"/>
            <w:noWrap w:val="false"/>
          </w:tcPr>
          <w:p>
            <w:pPr>
              <w:ind w:left="0"/>
              <w:jc w:val="both"/>
              <w:keepLines w:val="0"/>
              <w:keepNext w:val="0"/>
              <w:pageBreakBefore w:val="0"/>
              <w:spacing w:after="0" w:line="24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主管</w:t>
            </w:r>
            <w:r/>
          </w:p>
        </w:tc>
        <w:tc>
          <w:tcPr>
            <w:tcW w:w="890" w:type="dxa"/>
            <w:vAlign w:val="center"/>
            <w:textDirection w:val="lrTb"/>
            <w:noWrap w:val="false"/>
          </w:tcPr>
          <w:p>
            <w:pPr>
              <w:ind w:left="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p>
        </w:tc>
        <w:tc>
          <w:tcPr>
            <w:tcW w:w="1330" w:type="dxa"/>
            <w:vAlign w:val="center"/>
            <w:textDirection w:val="lrTb"/>
            <w:noWrap w:val="false"/>
          </w:tcPr>
          <w:p>
            <w:pPr>
              <w:ind w:left="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p>
        </w:tc>
        <w:tc>
          <w:tcPr>
            <w:tcW w:w="4605"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常日班</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1人。</w:t>
            </w:r>
            <w:r/>
          </w:p>
          <w:p>
            <w:pPr>
              <w:ind w:left="0"/>
              <w:jc w:val="left"/>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000000"/>
                <w:sz w:val="24"/>
                <w:szCs w:val="24"/>
                <w:highlight w:val="none"/>
                <w:lang w:eastAsia="zh-CN"/>
              </w:rPr>
              <w:t xml:space="preserve">基本素质要求：</w:t>
            </w:r>
            <w:r>
              <w:rPr>
                <w:rFonts w:hint="eastAsia" w:ascii="宋体" w:hAnsi="宋体" w:eastAsia="宋体" w:cs="宋体"/>
                <w:bCs/>
                <w:color w:val="000000"/>
                <w:sz w:val="24"/>
                <w:szCs w:val="24"/>
                <w:highlight w:val="none"/>
                <w:lang w:val="en-US" w:eastAsia="zh-CN"/>
              </w:rPr>
              <w:t xml:space="preserve">55</w:t>
            </w:r>
            <w:r>
              <w:rPr>
                <w:rFonts w:hint="eastAsia" w:ascii="宋体" w:hAnsi="宋体" w:eastAsia="宋体" w:cs="宋体"/>
                <w:bCs/>
                <w:color w:val="000000"/>
                <w:sz w:val="24"/>
                <w:szCs w:val="24"/>
                <w:highlight w:val="none"/>
                <w:lang w:eastAsia="zh-CN"/>
              </w:rPr>
              <w:t xml:space="preserve">周岁以下、</w:t>
            </w:r>
            <w:r>
              <w:rPr>
                <w:rFonts w:hint="eastAsia" w:ascii="宋体" w:hAnsi="宋体" w:eastAsia="宋体" w:cs="宋体"/>
                <w:bCs/>
                <w:color w:val="000000"/>
                <w:sz w:val="24"/>
                <w:szCs w:val="24"/>
                <w:highlight w:val="none"/>
                <w:lang w:val="en-US" w:eastAsia="zh-CN"/>
              </w:rPr>
              <w:t xml:space="preserve">身体健康</w:t>
            </w:r>
            <w:r>
              <w:rPr>
                <w:rFonts w:hint="eastAsia" w:ascii="宋体" w:hAnsi="宋体" w:eastAsia="宋体" w:cs="宋体"/>
                <w:bCs/>
                <w:color w:val="000000"/>
                <w:sz w:val="24"/>
                <w:szCs w:val="24"/>
                <w:highlight w:val="none"/>
                <w:lang w:eastAsia="zh-CN"/>
              </w:rPr>
              <w:t xml:space="preserve">。</w:t>
            </w:r>
            <w:r/>
          </w:p>
        </w:tc>
      </w:tr>
      <w:tr>
        <w:trPr>
          <w:trHeight w:val="538"/>
        </w:trPr>
        <w:tc>
          <w:tcPr>
            <w:tcW w:w="1265" w:type="dxa"/>
            <w:vAlign w:val="center"/>
            <w:vMerge w:val="continue"/>
            <w:textDirection w:val="lrTb"/>
            <w:noWrap w:val="false"/>
          </w:tcPr>
          <w:p>
            <w:pPr>
              <w:ind w:left="0"/>
              <w:jc w:val="both"/>
              <w:keepLines w:val="0"/>
              <w:keepNext w:val="0"/>
              <w:pageBreakBefore w:val="0"/>
              <w:spacing w:after="0" w:line="24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020" w:type="dxa"/>
            <w:vAlign w:val="center"/>
            <w:textDirection w:val="lrTb"/>
            <w:noWrap w:val="false"/>
          </w:tcPr>
          <w:p>
            <w:pPr>
              <w:ind w:left="0"/>
              <w:jc w:val="both"/>
              <w:keepLines w:val="0"/>
              <w:keepNext w:val="0"/>
              <w:pageBreakBefore w:val="0"/>
              <w:spacing w:after="0" w:line="24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保洁员</w:t>
            </w:r>
            <w:r/>
          </w:p>
        </w:tc>
        <w:tc>
          <w:tcPr>
            <w:tcW w:w="890" w:type="dxa"/>
            <w:vAlign w:val="center"/>
            <w:textDirection w:val="lrTb"/>
            <w:noWrap w:val="false"/>
          </w:tcPr>
          <w:p>
            <w:pPr>
              <w:ind w:left="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w:t>
            </w:r>
            <w:r/>
          </w:p>
        </w:tc>
        <w:tc>
          <w:tcPr>
            <w:tcW w:w="1330" w:type="dxa"/>
            <w:vAlign w:val="center"/>
            <w:textDirection w:val="lrTb"/>
            <w:noWrap w:val="false"/>
          </w:tcPr>
          <w:p>
            <w:pPr>
              <w:ind w:left="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w:t>
            </w:r>
            <w:r/>
          </w:p>
        </w:tc>
        <w:tc>
          <w:tcPr>
            <w:tcW w:w="4605"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常日班</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9人。（可不缴纳社保）</w:t>
            </w:r>
            <w:r/>
          </w:p>
          <w:p>
            <w:pPr>
              <w:ind w:left="0"/>
              <w:jc w:val="left"/>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000000"/>
                <w:sz w:val="24"/>
                <w:szCs w:val="24"/>
                <w:highlight w:val="none"/>
                <w:lang w:eastAsia="zh-CN"/>
              </w:rPr>
              <w:t xml:space="preserve">基本素质要求：</w:t>
            </w:r>
            <w:r>
              <w:rPr>
                <w:rFonts w:hint="eastAsia" w:ascii="宋体" w:hAnsi="宋体" w:eastAsia="宋体" w:cs="宋体"/>
                <w:bCs/>
                <w:color w:val="000000"/>
                <w:sz w:val="24"/>
                <w:szCs w:val="24"/>
                <w:highlight w:val="none"/>
                <w:lang w:val="en-US" w:eastAsia="zh-CN"/>
              </w:rPr>
              <w:t xml:space="preserve">60</w:t>
            </w:r>
            <w:r>
              <w:rPr>
                <w:rFonts w:hint="eastAsia" w:ascii="宋体" w:hAnsi="宋体" w:eastAsia="宋体" w:cs="宋体"/>
                <w:bCs/>
                <w:color w:val="000000"/>
                <w:sz w:val="24"/>
                <w:szCs w:val="24"/>
                <w:highlight w:val="none"/>
                <w:lang w:eastAsia="zh-CN"/>
              </w:rPr>
              <w:t xml:space="preserve">周岁以下、</w:t>
            </w:r>
            <w:r>
              <w:rPr>
                <w:rFonts w:hint="eastAsia" w:ascii="宋体" w:hAnsi="宋体" w:eastAsia="宋体" w:cs="宋体"/>
                <w:bCs/>
                <w:color w:val="000000"/>
                <w:sz w:val="24"/>
                <w:szCs w:val="24"/>
                <w:highlight w:val="none"/>
                <w:lang w:val="en-US" w:eastAsia="zh-CN"/>
              </w:rPr>
              <w:t xml:space="preserve">身体健康</w:t>
            </w:r>
            <w:r>
              <w:rPr>
                <w:rFonts w:hint="eastAsia" w:ascii="宋体" w:hAnsi="宋体" w:eastAsia="宋体" w:cs="宋体"/>
                <w:bCs/>
                <w:color w:val="000000"/>
                <w:sz w:val="24"/>
                <w:szCs w:val="24"/>
                <w:highlight w:val="none"/>
                <w:lang w:eastAsia="zh-CN"/>
              </w:rPr>
              <w:t xml:space="preserve">。</w:t>
            </w:r>
            <w:r/>
          </w:p>
        </w:tc>
      </w:tr>
      <w:tr>
        <w:trPr>
          <w:trHeight w:val="519"/>
        </w:trPr>
        <w:tc>
          <w:tcPr>
            <w:tcW w:w="1265" w:type="dxa"/>
            <w:vAlign w:val="center"/>
            <w:vMerge w:val="restart"/>
            <w:textDirection w:val="lrTb"/>
            <w:noWrap w:val="false"/>
          </w:tcPr>
          <w:p>
            <w:pPr>
              <w:ind w:left="0"/>
              <w:jc w:val="both"/>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保安服务</w:t>
            </w:r>
            <w:r/>
          </w:p>
        </w:tc>
        <w:tc>
          <w:tcPr>
            <w:tcW w:w="102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color w:val="auto"/>
                <w:sz w:val="24"/>
                <w:szCs w:val="24"/>
                <w:highlight w:val="none"/>
              </w:rPr>
              <w:suppressLineNumbers w:val="0"/>
            </w:pPr>
            <w:r>
              <w:rPr>
                <w:rStyle w:val="788"/>
                <w:rFonts w:hint="eastAsia" w:ascii="宋体" w:hAnsi="宋体" w:eastAsia="宋体" w:cs="宋体"/>
                <w:color w:val="000000"/>
                <w:sz w:val="24"/>
                <w:szCs w:val="24"/>
                <w:highlight w:val="none"/>
                <w:lang w:val="en-US" w:eastAsia="zh-CN" w:bidi="ar"/>
              </w:rPr>
              <w:t xml:space="preserve">保安员</w:t>
            </w:r>
            <w:r/>
          </w:p>
        </w:tc>
        <w:tc>
          <w:tcPr>
            <w:tcW w:w="890" w:type="dxa"/>
            <w:vAlign w:val="center"/>
            <w:textDirection w:val="lrTb"/>
            <w:noWrap w:val="false"/>
          </w:tcPr>
          <w:p>
            <w:pPr>
              <w:ind w:left="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p>
        </w:tc>
        <w:tc>
          <w:tcPr>
            <w:tcW w:w="1330" w:type="dxa"/>
            <w:vAlign w:val="center"/>
            <w:textDirection w:val="lrTb"/>
            <w:noWrap w:val="false"/>
          </w:tcPr>
          <w:p>
            <w:pPr>
              <w:ind w:left="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w:t>
            </w:r>
            <w:r/>
          </w:p>
        </w:tc>
        <w:tc>
          <w:tcPr>
            <w:tcW w:w="4605" w:type="dxa"/>
            <w:vAlign w:val="center"/>
            <w:textDirection w:val="lrTb"/>
            <w:noWrap w:val="false"/>
          </w:tcPr>
          <w:p>
            <w:pPr>
              <w:keepLines w:val="0"/>
              <w:keepNext w:val="0"/>
              <w:pageBreakBefore w:val="0"/>
              <w:spacing w:after="0" w:line="24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有1人担任</w:t>
            </w:r>
            <w:r>
              <w:rPr>
                <w:rFonts w:hint="eastAsia" w:ascii="宋体" w:hAnsi="宋体" w:eastAsia="宋体" w:cs="宋体"/>
                <w:bCs/>
                <w:color w:val="000000"/>
                <w:sz w:val="24"/>
                <w:szCs w:val="24"/>
                <w:highlight w:val="none"/>
                <w:lang w:val="en-US" w:eastAsia="zh-CN"/>
              </w:rPr>
              <w:t xml:space="preserve">保安</w:t>
            </w:r>
            <w:r>
              <w:rPr>
                <w:rFonts w:hint="eastAsia" w:ascii="宋体" w:hAnsi="宋体" w:eastAsia="宋体" w:cs="宋体"/>
                <w:bCs/>
                <w:color w:val="000000"/>
                <w:sz w:val="24"/>
                <w:szCs w:val="24"/>
                <w:highlight w:val="none"/>
                <w:lang w:eastAsia="zh-CN"/>
              </w:rPr>
              <w:t xml:space="preserve">主管</w:t>
            </w:r>
            <w:r>
              <w:rPr>
                <w:rFonts w:hint="eastAsia" w:ascii="宋体" w:hAnsi="宋体" w:eastAsia="宋体" w:cs="宋体"/>
                <w:bCs/>
                <w:color w:val="000000"/>
                <w:sz w:val="24"/>
                <w:szCs w:val="24"/>
                <w:highlight w:val="none"/>
              </w:rPr>
              <w:t xml:space="preserve">，负责日常秩序管理，</w:t>
            </w:r>
            <w:r>
              <w:rPr>
                <w:rFonts w:hint="eastAsia" w:ascii="宋体" w:hAnsi="宋体" w:eastAsia="宋体" w:cs="宋体"/>
                <w:bCs/>
                <w:color w:val="000000"/>
                <w:sz w:val="24"/>
                <w:szCs w:val="24"/>
                <w:highlight w:val="none"/>
                <w:lang w:val="en-US" w:eastAsia="zh-CN"/>
              </w:rPr>
              <w:t xml:space="preserve">白天确保3人在</w:t>
            </w:r>
            <w:r>
              <w:rPr>
                <w:rFonts w:hint="eastAsia" w:ascii="宋体" w:hAnsi="宋体" w:eastAsia="宋体" w:cs="宋体"/>
                <w:bCs/>
                <w:color w:val="000000"/>
                <w:sz w:val="24"/>
                <w:szCs w:val="24"/>
                <w:highlight w:val="none"/>
              </w:rPr>
              <w:t xml:space="preserve">岗</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晚上2人在岗。学生早晚上放学高峰时间段护学岗保安员不低于4人值勤。</w:t>
            </w:r>
            <w:r/>
          </w:p>
          <w:p>
            <w:pP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000000"/>
                <w:sz w:val="24"/>
                <w:szCs w:val="24"/>
                <w:highlight w:val="none"/>
                <w:lang w:eastAsia="zh-CN"/>
              </w:rPr>
              <w:t xml:space="preserve">基本素质要求：</w:t>
            </w:r>
            <w:r>
              <w:rPr>
                <w:rFonts w:hint="eastAsia" w:ascii="宋体" w:hAnsi="宋体" w:eastAsia="宋体" w:cs="宋体"/>
                <w:bCs/>
                <w:color w:val="000000"/>
                <w:sz w:val="24"/>
                <w:szCs w:val="24"/>
                <w:highlight w:val="none"/>
                <w:lang w:val="en-US" w:eastAsia="zh-CN"/>
              </w:rPr>
              <w:t xml:space="preserve">原则上不高于</w:t>
            </w:r>
            <w:r>
              <w:rPr>
                <w:rFonts w:hint="eastAsia" w:ascii="宋体" w:hAnsi="宋体" w:eastAsia="宋体" w:cs="宋体"/>
                <w:bCs/>
                <w:color w:val="000000"/>
                <w:sz w:val="24"/>
                <w:szCs w:val="24"/>
                <w:highlight w:val="none"/>
                <w:lang w:eastAsia="zh-CN"/>
              </w:rPr>
              <w:t xml:space="preserve">5</w:t>
            </w:r>
            <w:r>
              <w:rPr>
                <w:rFonts w:hint="eastAsia" w:ascii="宋体" w:hAnsi="宋体" w:eastAsia="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lang w:eastAsia="zh-CN"/>
              </w:rPr>
              <w:t xml:space="preserve">周岁、</w:t>
            </w:r>
            <w:r>
              <w:rPr>
                <w:rFonts w:hint="eastAsia" w:ascii="宋体" w:hAnsi="宋体" w:eastAsia="宋体" w:cs="宋体"/>
                <w:bCs/>
                <w:color w:val="000000"/>
                <w:sz w:val="24"/>
                <w:szCs w:val="24"/>
                <w:highlight w:val="none"/>
                <w:lang w:val="en-US" w:eastAsia="zh-CN"/>
              </w:rPr>
              <w:t xml:space="preserve">身体健康</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无犯罪记录证明</w:t>
            </w:r>
            <w:r>
              <w:rPr>
                <w:rFonts w:hint="eastAsia" w:ascii="宋体" w:hAnsi="宋体" w:eastAsia="宋体" w:cs="宋体"/>
                <w:bCs/>
                <w:color w:val="000000"/>
                <w:sz w:val="24"/>
                <w:szCs w:val="24"/>
                <w:highlight w:val="none"/>
                <w:lang w:eastAsia="zh-CN"/>
              </w:rPr>
              <w:t xml:space="preserve">。</w:t>
            </w:r>
            <w:r/>
          </w:p>
        </w:tc>
      </w:tr>
      <w:tr>
        <w:trPr>
          <w:trHeight w:val="1104"/>
        </w:trPr>
        <w:tc>
          <w:tcPr>
            <w:tcW w:w="1265" w:type="dxa"/>
            <w:vAlign w:val="center"/>
            <w:vMerge w:val="continue"/>
            <w:textDirection w:val="lrTb"/>
            <w:noWrap w:val="false"/>
          </w:tcPr>
          <w:p>
            <w:pPr>
              <w:ind w:left="0"/>
              <w:jc w:val="both"/>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02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color w:val="auto"/>
                <w:sz w:val="24"/>
                <w:szCs w:val="24"/>
                <w:highlight w:val="none"/>
              </w:rPr>
              <w:suppressLineNumbers w:val="0"/>
            </w:pPr>
            <w:r>
              <w:rPr>
                <w:rStyle w:val="788"/>
                <w:rFonts w:hint="eastAsia" w:ascii="宋体" w:hAnsi="宋体" w:eastAsia="宋体" w:cs="宋体"/>
                <w:color w:val="000000"/>
                <w:sz w:val="24"/>
                <w:szCs w:val="24"/>
                <w:highlight w:val="none"/>
                <w:lang w:val="en-US" w:eastAsia="zh-CN" w:bidi="ar"/>
              </w:rPr>
              <w:t xml:space="preserve">消监控</w:t>
            </w:r>
            <w:r/>
          </w:p>
        </w:tc>
        <w:tc>
          <w:tcPr>
            <w:tcW w:w="890" w:type="dxa"/>
            <w:vAlign w:val="center"/>
            <w:textDirection w:val="lrTb"/>
            <w:noWrap w:val="false"/>
          </w:tcPr>
          <w:p>
            <w:pPr>
              <w:ind w:left="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p>
        </w:tc>
        <w:tc>
          <w:tcPr>
            <w:tcW w:w="1330" w:type="dxa"/>
            <w:vAlign w:val="center"/>
            <w:textDirection w:val="lrTb"/>
            <w:noWrap w:val="false"/>
          </w:tcPr>
          <w:p>
            <w:pPr>
              <w:ind w:left="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p>
        </w:tc>
        <w:tc>
          <w:tcPr>
            <w:tcW w:w="4605" w:type="dxa"/>
            <w:vAlign w:val="center"/>
            <w:textDirection w:val="lrTb"/>
            <w:noWrap w:val="false"/>
          </w:tcPr>
          <w:p>
            <w:pP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24小</w:t>
            </w:r>
            <w:r>
              <w:rPr>
                <w:rFonts w:hint="eastAsia" w:ascii="宋体" w:hAnsi="宋体" w:eastAsia="宋体" w:cs="宋体"/>
                <w:color w:val="000000"/>
                <w:sz w:val="24"/>
                <w:szCs w:val="24"/>
                <w:highlight w:val="none"/>
                <w:lang w:val="en-US" w:eastAsia="zh-CN"/>
              </w:rPr>
              <w:t xml:space="preserve">时消控室都有人值守，每班1人在岗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至少具备中级</w:t>
            </w:r>
            <w:r>
              <w:rPr>
                <w:rFonts w:hint="eastAsia" w:ascii="宋体" w:hAnsi="宋体" w:eastAsia="宋体" w:cs="宋体"/>
                <w:b/>
                <w:bCs/>
                <w:color w:val="auto"/>
                <w:sz w:val="24"/>
                <w:szCs w:val="24"/>
                <w:highlight w:val="none"/>
                <w:lang w:eastAsia="zh-CN"/>
              </w:rPr>
              <w:t xml:space="preserve">消防设施操作员或者建构筑物消防员证书</w:t>
            </w:r>
            <w:r>
              <w:rPr>
                <w:rFonts w:hint="eastAsia" w:ascii="宋体" w:hAnsi="宋体" w:eastAsia="宋体" w:cs="宋体"/>
                <w:b/>
                <w:bCs/>
                <w:color w:val="auto"/>
                <w:sz w:val="24"/>
                <w:szCs w:val="24"/>
                <w:highlight w:val="none"/>
                <w:lang w:val="en-US" w:eastAsia="zh-CN"/>
              </w:rPr>
              <w:t xml:space="preserve">（提供证书扫描件，否则作无效标处理）</w:t>
            </w:r>
            <w:r>
              <w:rPr>
                <w:rFonts w:hint="eastAsia" w:ascii="宋体" w:hAnsi="宋体" w:eastAsia="宋体" w:cs="宋体"/>
                <w:b/>
                <w:bCs/>
                <w:color w:val="auto"/>
                <w:sz w:val="24"/>
                <w:szCs w:val="24"/>
                <w:highlight w:val="none"/>
                <w:lang w:eastAsia="zh-CN"/>
              </w:rPr>
              <w:t xml:space="preserve">。</w:t>
            </w:r>
            <w:r/>
          </w:p>
        </w:tc>
      </w:tr>
      <w:tr>
        <w:trPr>
          <w:trHeight w:val="1309"/>
        </w:trPr>
        <w:tc>
          <w:tcPr>
            <w:tcW w:w="1265" w:type="dxa"/>
            <w:vAlign w:val="center"/>
            <w:textDirection w:val="lrTb"/>
            <w:noWrap w:val="false"/>
          </w:tcPr>
          <w:p>
            <w:pPr>
              <w:ind w:left="0"/>
              <w:jc w:val="both"/>
              <w:keepLines w:val="0"/>
              <w:keepNext w:val="0"/>
              <w:pageBreakBefore w:val="0"/>
              <w:spacing w:after="0" w:line="24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绿化服务</w:t>
            </w:r>
            <w:r/>
          </w:p>
        </w:tc>
        <w:tc>
          <w:tcPr>
            <w:tcW w:w="1020" w:type="dxa"/>
            <w:vAlign w:val="center"/>
            <w:textDirection w:val="lrTb"/>
            <w:noWrap w:val="false"/>
          </w:tcPr>
          <w:p>
            <w:pPr>
              <w:ind w:left="0"/>
              <w:jc w:val="both"/>
              <w:keepLines w:val="0"/>
              <w:keepNext w:val="0"/>
              <w:pageBreakBefore w:val="0"/>
              <w:spacing w:after="0" w:line="24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绿化工</w:t>
            </w:r>
            <w:r/>
          </w:p>
        </w:tc>
        <w:tc>
          <w:tcPr>
            <w:tcW w:w="890" w:type="dxa"/>
            <w:vAlign w:val="center"/>
            <w:textDirection w:val="lrTb"/>
            <w:noWrap w:val="false"/>
          </w:tcPr>
          <w:p>
            <w:pPr>
              <w:ind w:left="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p>
        </w:tc>
        <w:tc>
          <w:tcPr>
            <w:tcW w:w="1330" w:type="dxa"/>
            <w:vAlign w:val="center"/>
            <w:textDirection w:val="lrTb"/>
            <w:noWrap w:val="false"/>
          </w:tcPr>
          <w:p>
            <w:pPr>
              <w:ind w:left="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p>
        </w:tc>
        <w:tc>
          <w:tcPr>
            <w:tcW w:w="4605" w:type="dxa"/>
            <w:vAlign w:val="center"/>
            <w:textDirection w:val="lrTb"/>
            <w:noWrap w:val="false"/>
          </w:tcPr>
          <w:p>
            <w:pPr>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安排专职绿化人员</w:t>
            </w:r>
            <w:r>
              <w:rPr>
                <w:rFonts w:hint="eastAsia" w:ascii="宋体" w:hAnsi="宋体" w:eastAsia="宋体" w:cs="宋体"/>
                <w:color w:val="000000"/>
                <w:sz w:val="24"/>
                <w:szCs w:val="24"/>
                <w:highlight w:val="none"/>
                <w:lang w:val="en-US" w:eastAsia="zh-CN"/>
              </w:rPr>
              <w:t xml:space="preserve">1名</w:t>
            </w:r>
            <w:r>
              <w:rPr>
                <w:rFonts w:hint="eastAsia" w:ascii="宋体" w:hAnsi="宋体" w:eastAsia="宋体" w:cs="宋体"/>
                <w:color w:val="000000"/>
                <w:sz w:val="24"/>
                <w:szCs w:val="24"/>
                <w:highlight w:val="none"/>
              </w:rPr>
              <w:t xml:space="preserve">，对全校范围内绿化及足球场进行保养，按学校要求定期更换草花，</w:t>
            </w:r>
            <w:r>
              <w:rPr>
                <w:rFonts w:hint="eastAsia" w:ascii="宋体" w:hAnsi="宋体" w:eastAsia="宋体" w:cs="宋体"/>
                <w:color w:val="000000"/>
                <w:sz w:val="24"/>
                <w:szCs w:val="24"/>
                <w:highlight w:val="none"/>
                <w:lang w:val="en-US" w:eastAsia="zh-CN"/>
              </w:rPr>
              <w:t xml:space="preserve">对绿化</w:t>
            </w:r>
            <w:r>
              <w:rPr>
                <w:rFonts w:hint="eastAsia" w:ascii="宋体" w:hAnsi="宋体" w:eastAsia="宋体" w:cs="宋体"/>
                <w:color w:val="000000"/>
                <w:sz w:val="24"/>
                <w:szCs w:val="24"/>
                <w:highlight w:val="none"/>
              </w:rPr>
              <w:t xml:space="preserve">区域做好补植草坪、树苗、优化提升。</w:t>
            </w:r>
            <w:r/>
          </w:p>
          <w:p>
            <w:pPr>
              <w:ind w:left="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000000"/>
                <w:sz w:val="24"/>
                <w:szCs w:val="24"/>
                <w:highlight w:val="none"/>
                <w:lang w:eastAsia="zh-CN"/>
              </w:rPr>
              <w:t xml:space="preserve">基本素质要求：</w:t>
            </w:r>
            <w:r>
              <w:rPr>
                <w:rFonts w:hint="eastAsia" w:ascii="宋体" w:hAnsi="宋体" w:eastAsia="宋体" w:cs="宋体"/>
                <w:bCs/>
                <w:color w:val="000000"/>
                <w:sz w:val="24"/>
                <w:szCs w:val="24"/>
                <w:highlight w:val="none"/>
                <w:lang w:val="en-US" w:eastAsia="zh-CN"/>
              </w:rPr>
              <w:t xml:space="preserve">60</w:t>
            </w:r>
            <w:r>
              <w:rPr>
                <w:rFonts w:hint="eastAsia" w:ascii="宋体" w:hAnsi="宋体" w:eastAsia="宋体" w:cs="宋体"/>
                <w:bCs/>
                <w:color w:val="000000"/>
                <w:sz w:val="24"/>
                <w:szCs w:val="24"/>
                <w:highlight w:val="none"/>
                <w:lang w:eastAsia="zh-CN"/>
              </w:rPr>
              <w:t xml:space="preserve">周岁以下、</w:t>
            </w:r>
            <w:r>
              <w:rPr>
                <w:rFonts w:hint="eastAsia" w:ascii="宋体" w:hAnsi="宋体" w:eastAsia="宋体" w:cs="宋体"/>
                <w:bCs/>
                <w:color w:val="000000"/>
                <w:sz w:val="24"/>
                <w:szCs w:val="24"/>
                <w:highlight w:val="none"/>
                <w:lang w:val="en-US" w:eastAsia="zh-CN"/>
              </w:rPr>
              <w:t xml:space="preserve">身体健康</w:t>
            </w:r>
            <w:r>
              <w:rPr>
                <w:rFonts w:hint="eastAsia" w:ascii="宋体" w:hAnsi="宋体" w:eastAsia="宋体" w:cs="宋体"/>
                <w:bCs/>
                <w:color w:val="000000"/>
                <w:sz w:val="24"/>
                <w:szCs w:val="24"/>
                <w:highlight w:val="none"/>
                <w:lang w:eastAsia="zh-CN"/>
              </w:rPr>
              <w:t xml:space="preserve">。</w:t>
            </w:r>
            <w:r/>
          </w:p>
        </w:tc>
      </w:tr>
      <w:tr>
        <w:trPr>
          <w:trHeight w:val="548"/>
        </w:trPr>
        <w:tc>
          <w:tcPr>
            <w:gridSpan w:val="3"/>
            <w:tcW w:w="3175" w:type="dxa"/>
            <w:vAlign w:val="center"/>
            <w:textDirection w:val="lrTb"/>
            <w:noWrap w:val="false"/>
          </w:tcPr>
          <w:p>
            <w:pPr>
              <w:ind w:left="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人员总数</w:t>
            </w:r>
            <w:r/>
          </w:p>
        </w:tc>
        <w:tc>
          <w:tcPr>
            <w:tcW w:w="1330" w:type="dxa"/>
            <w:vAlign w:val="center"/>
            <w:textDirection w:val="lrTb"/>
            <w:noWrap w:val="false"/>
          </w:tcPr>
          <w:p>
            <w:pPr>
              <w:ind w:left="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23</w:t>
            </w:r>
            <w:r/>
          </w:p>
        </w:tc>
        <w:tc>
          <w:tcPr>
            <w:tcW w:w="4605" w:type="dxa"/>
            <w:vAlign w:val="center"/>
            <w:textDirection w:val="lrTb"/>
            <w:noWrap w:val="false"/>
          </w:tcPr>
          <w:p>
            <w:pPr>
              <w:ind w:left="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bookmarkEnd w:id="199"/>
            <w:bookmarkEnd w:id="200"/>
            <w:bookmarkEnd w:id="201"/>
            <w:r/>
          </w:p>
        </w:tc>
      </w:tr>
    </w:tbl>
    <w:p>
      <w:pPr>
        <w:ind w:left="0" w:right="0" w:firstLine="480"/>
        <w:jc w:val="both"/>
        <w:spacing w:before="0" w:after="0" w:line="24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p>
    <w:p>
      <w:pPr>
        <w:ind w:firstLine="480"/>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验收标准与要求</w:t>
      </w:r>
      <w:r/>
    </w:p>
    <w:p>
      <w:pPr>
        <w:ind w:firstLine="480"/>
        <w:spacing w:line="36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按照采购合同约定对供应商提供的物业管理服务进行验收，对于供应商未按合同约定提供物业管理服务的，采购人有权依法追究其违约责任。</w:t>
      </w:r>
      <w:r/>
    </w:p>
    <w:p>
      <w:pPr>
        <w:ind w:firstLine="480"/>
        <w:spacing w:line="36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具体要求：</w:t>
      </w:r>
      <w:r/>
    </w:p>
    <w:p>
      <w:pPr>
        <w:ind w:left="525"/>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考核标准</w:t>
      </w:r>
      <w:r/>
    </w:p>
    <w:tbl>
      <w:tblPr>
        <w:tblStyle w:val="67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6469"/>
        <w:gridCol w:w="458"/>
        <w:gridCol w:w="457"/>
        <w:gridCol w:w="983"/>
      </w:tblGrid>
      <w:tr>
        <w:trPr>
          <w:cantSplit/>
          <w:jc w:val="center"/>
          <w:tblHeader/>
        </w:trPr>
        <w:tc>
          <w:tcPr>
            <w:shd w:val="clear" w:color="auto" w:fill="bfbfbf"/>
            <w:tcW w:w="815" w:type="dxa"/>
            <w:vAlign w:val="center"/>
            <w:textDirection w:val="lrTb"/>
            <w:noWrap w:val="false"/>
          </w:tcPr>
          <w:p>
            <w:pPr>
              <w:ind w:left="1" w:hanging="89"/>
              <w:jc w:val="center"/>
              <w:keepLines w:val="0"/>
              <w:keepNext w:val="0"/>
              <w:pageBreakBefore w:val="0"/>
              <w:spacing w:line="12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类别</w:t>
            </w:r>
            <w:r/>
          </w:p>
        </w:tc>
        <w:tc>
          <w:tcPr>
            <w:shd w:val="clear" w:color="auto" w:fill="bfbfbf"/>
            <w:tcW w:w="6669" w:type="dxa"/>
            <w:vAlign w:val="center"/>
            <w:textDirection w:val="lrTb"/>
            <w:noWrap w:val="false"/>
          </w:tcPr>
          <w:p>
            <w:pPr>
              <w:jc w:val="center"/>
              <w:keepLines w:val="0"/>
              <w:keepNext w:val="0"/>
              <w:pageBreakBefore w:val="0"/>
              <w:spacing w:line="12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考核内容</w:t>
            </w:r>
            <w:r/>
          </w:p>
        </w:tc>
        <w:tc>
          <w:tcPr>
            <w:shd w:val="clear" w:color="auto" w:fill="bfbfbf"/>
            <w:tcW w:w="458" w:type="dxa"/>
            <w:vAlign w:val="center"/>
            <w:textDirection w:val="lrTb"/>
            <w:noWrap w:val="false"/>
          </w:tcPr>
          <w:p>
            <w:pPr>
              <w:jc w:val="center"/>
              <w:keepLines w:val="0"/>
              <w:keepNext w:val="0"/>
              <w:pageBreakBefore w:val="0"/>
              <w:spacing w:line="12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总分</w:t>
            </w:r>
            <w:r/>
          </w:p>
        </w:tc>
        <w:tc>
          <w:tcPr>
            <w:shd w:val="clear" w:color="auto" w:fill="bfbfbf"/>
            <w:tcW w:w="457" w:type="dxa"/>
            <w:vAlign w:val="center"/>
            <w:textDirection w:val="lrTb"/>
            <w:noWrap w:val="false"/>
          </w:tcPr>
          <w:p>
            <w:pPr>
              <w:jc w:val="center"/>
              <w:keepLines w:val="0"/>
              <w:keepNext w:val="0"/>
              <w:pageBreakBefore w:val="0"/>
              <w:spacing w:line="12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得分</w:t>
            </w:r>
            <w:r/>
          </w:p>
        </w:tc>
        <w:tc>
          <w:tcPr>
            <w:shd w:val="clear" w:color="auto" w:fill="bfbfbf"/>
            <w:tcW w:w="1002" w:type="dxa"/>
            <w:vAlign w:val="center"/>
            <w:textDirection w:val="lrTb"/>
            <w:noWrap w:val="false"/>
          </w:tcPr>
          <w:p>
            <w:pPr>
              <w:jc w:val="center"/>
              <w:keepLines w:val="0"/>
              <w:keepNext w:val="0"/>
              <w:pageBreakBefore w:val="0"/>
              <w:spacing w:line="12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备注</w:t>
            </w:r>
            <w:r/>
          </w:p>
        </w:tc>
      </w:tr>
      <w:tr>
        <w:trPr>
          <w:cantSplit/>
          <w:jc w:val="center"/>
          <w:tblHeader/>
        </w:trPr>
        <w:tc>
          <w:tcPr>
            <w:tcW w:w="815" w:type="dxa"/>
            <w:vAlign w:val="center"/>
            <w:textDirection w:val="lrTb"/>
            <w:noWrap w:val="false"/>
          </w:tcPr>
          <w:p>
            <w:pPr>
              <w:ind w:left="1" w:hanging="89"/>
              <w:jc w:val="center"/>
              <w:keepLines w:val="0"/>
              <w:keepNext w:val="0"/>
              <w:pageBreakBefore w:val="0"/>
              <w:spacing w:after="0" w:line="24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环境</w:t>
            </w:r>
            <w:r/>
          </w:p>
          <w:p>
            <w:pPr>
              <w:ind w:left="1" w:hanging="89"/>
              <w:jc w:val="center"/>
              <w:keepLines w:val="0"/>
              <w:keepNext w:val="0"/>
              <w:pageBreakBefore w:val="0"/>
              <w:spacing w:after="0" w:line="24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卫生</w:t>
            </w:r>
            <w:r/>
          </w:p>
          <w:p>
            <w:pPr>
              <w:ind w:left="1" w:hanging="89"/>
              <w:jc w:val="center"/>
              <w:keepLines w:val="0"/>
              <w:keepNext w:val="0"/>
              <w:pageBreakBefore w:val="0"/>
              <w:spacing w:after="0" w:line="24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管理</w:t>
            </w:r>
            <w:r/>
          </w:p>
        </w:tc>
        <w:tc>
          <w:tcPr>
            <w:tcW w:w="6669" w:type="dxa"/>
            <w:vAlign w:val="center"/>
            <w:textDirection w:val="lrTb"/>
            <w:noWrap w:val="false"/>
          </w:tcPr>
          <w:p>
            <w:pPr>
              <w:ind w:right="105"/>
              <w:jc w:val="left"/>
              <w:keepLines w:val="0"/>
              <w:keepNext w:val="0"/>
              <w:pageBreakBefore w:val="0"/>
              <w:spacing w:after="0" w:line="240" w:lineRule="auto"/>
              <w:widowControl w:val="off"/>
              <w:tabs>
                <w:tab w:val="center" w:pos="4153" w:leader="none"/>
                <w:tab w:val="left" w:pos="64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1.严格按要求对责任区域进行卫生保洁、垃圾清运，做到垃圾日产日清；</w:t>
            </w:r>
            <w:r/>
          </w:p>
          <w:p>
            <w:pPr>
              <w:ind w:right="105"/>
              <w:jc w:val="left"/>
              <w:keepLines w:val="0"/>
              <w:keepNext w:val="0"/>
              <w:pageBreakBefore w:val="0"/>
              <w:spacing w:after="0" w:line="240" w:lineRule="auto"/>
              <w:widowControl w:val="off"/>
              <w:tabs>
                <w:tab w:val="center" w:pos="4153" w:leader="none"/>
                <w:tab w:val="left" w:pos="64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2.及时制止有损环境卫生和违反管理制度的行为；</w:t>
            </w:r>
            <w:r/>
          </w:p>
          <w:p>
            <w:pPr>
              <w:ind w:right="105"/>
              <w:jc w:val="left"/>
              <w:keepLines w:val="0"/>
              <w:keepNext w:val="0"/>
              <w:pageBreakBefore w:val="0"/>
              <w:spacing w:after="0" w:line="240" w:lineRule="auto"/>
              <w:widowControl w:val="off"/>
              <w:tabs>
                <w:tab w:val="center" w:pos="4153" w:leader="none"/>
                <w:tab w:val="left" w:pos="64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3.发现可疑人员或异常情况及时汇报上级领导；</w:t>
            </w:r>
            <w:r/>
          </w:p>
          <w:p>
            <w:pPr>
              <w:ind w:right="105"/>
              <w:jc w:val="left"/>
              <w:keepLines w:val="0"/>
              <w:keepNext w:val="0"/>
              <w:pageBreakBefore w:val="0"/>
              <w:spacing w:after="0" w:line="240" w:lineRule="auto"/>
              <w:widowControl w:val="off"/>
              <w:tabs>
                <w:tab w:val="center" w:pos="4153" w:leader="none"/>
                <w:tab w:val="left" w:pos="64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4.遵守工作纪律、劳动时间，爱护公物，尊敬师生；</w:t>
            </w:r>
            <w:r/>
          </w:p>
          <w:p>
            <w:pPr>
              <w:ind w:right="105"/>
              <w:jc w:val="left"/>
              <w:keepLines w:val="0"/>
              <w:keepNext w:val="0"/>
              <w:pageBreakBefore w:val="0"/>
              <w:spacing w:after="0" w:line="240" w:lineRule="auto"/>
              <w:widowControl w:val="off"/>
              <w:tabs>
                <w:tab w:val="center" w:pos="4153" w:leader="none"/>
                <w:tab w:val="left" w:pos="64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5.负责个人使用的清洁工具、用品、药剂的维护、保管；</w:t>
            </w:r>
            <w:r/>
          </w:p>
          <w:p>
            <w:pPr>
              <w:ind w:right="105"/>
              <w:jc w:val="left"/>
              <w:keepLines w:val="0"/>
              <w:keepNext w:val="0"/>
              <w:pageBreakBefore w:val="0"/>
              <w:spacing w:after="0" w:line="240" w:lineRule="auto"/>
              <w:widowControl w:val="off"/>
              <w:tabs>
                <w:tab w:val="center" w:pos="4153" w:leader="none"/>
                <w:tab w:val="left" w:pos="64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6.疫情期间公共卫生间消毒；</w:t>
            </w:r>
            <w:r/>
          </w:p>
          <w:p>
            <w:pPr>
              <w:ind w:right="105"/>
              <w:jc w:val="left"/>
              <w:keepLines w:val="0"/>
              <w:keepNext w:val="0"/>
              <w:pageBreakBefore w:val="0"/>
              <w:spacing w:after="0" w:line="240" w:lineRule="auto"/>
              <w:widowControl w:val="off"/>
              <w:tabs>
                <w:tab w:val="center" w:pos="4153" w:leader="none"/>
                <w:tab w:val="left" w:pos="64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7.清理卫生间垃圾需佩戴口罩及一次性或（橡胶手套），清理完成后及时洗手。</w:t>
            </w:r>
            <w:r/>
          </w:p>
          <w:p>
            <w:pPr>
              <w:ind w:right="105"/>
              <w:jc w:val="left"/>
              <w:keepLines w:val="0"/>
              <w:keepNext w:val="0"/>
              <w:pageBreakBefore w:val="0"/>
              <w:spacing w:after="0" w:line="240" w:lineRule="auto"/>
              <w:widowControl w:val="off"/>
              <w:tabs>
                <w:tab w:val="center" w:pos="4153" w:leader="none"/>
                <w:tab w:val="left" w:pos="64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8.校园内无久积落叶，无白色垃圾，烟头，无明显泥沙污垢和积水</w:t>
            </w:r>
            <w:r/>
          </w:p>
          <w:p>
            <w:pPr>
              <w:ind w:right="105"/>
              <w:jc w:val="left"/>
              <w:keepLines w:val="0"/>
              <w:keepNext w:val="0"/>
              <w:pageBreakBefore w:val="0"/>
              <w:spacing w:after="0" w:line="240" w:lineRule="auto"/>
              <w:widowControl w:val="off"/>
              <w:tabs>
                <w:tab w:val="center" w:pos="4153" w:leader="none"/>
                <w:tab w:val="left" w:pos="64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9.绿化带无大片树叶，纸屑，垃圾等杂物</w:t>
            </w:r>
            <w:r/>
          </w:p>
          <w:p>
            <w:pPr>
              <w:ind w:right="105"/>
              <w:jc w:val="left"/>
              <w:keepLines w:val="0"/>
              <w:keepNext w:val="0"/>
              <w:pageBreakBefore w:val="0"/>
              <w:spacing w:after="0" w:line="240" w:lineRule="auto"/>
              <w:widowControl w:val="off"/>
              <w:tabs>
                <w:tab w:val="center" w:pos="4153" w:leader="none"/>
                <w:tab w:val="left" w:pos="64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10.地下车库无明显灰尘及杂物</w:t>
            </w:r>
            <w:r/>
          </w:p>
          <w:p>
            <w:pPr>
              <w:ind w:right="105"/>
              <w:jc w:val="left"/>
              <w:keepLines w:val="0"/>
              <w:keepNext w:val="0"/>
              <w:pageBreakBefore w:val="0"/>
              <w:spacing w:after="0" w:line="240" w:lineRule="auto"/>
              <w:widowControl w:val="off"/>
              <w:tabs>
                <w:tab w:val="center" w:pos="4153" w:leader="none"/>
                <w:tab w:val="left" w:pos="64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11.楼道、楼梯、楼梯扶手无明显灰尘及杂物</w:t>
            </w:r>
            <w:r/>
          </w:p>
          <w:p>
            <w:pPr>
              <w:ind w:right="105"/>
              <w:jc w:val="left"/>
              <w:keepLines w:val="0"/>
              <w:keepNext w:val="0"/>
              <w:pageBreakBefore w:val="0"/>
              <w:spacing w:after="0" w:line="240" w:lineRule="auto"/>
              <w:widowControl w:val="off"/>
              <w:tabs>
                <w:tab w:val="center" w:pos="4153" w:leader="none"/>
                <w:tab w:val="left" w:pos="64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12.每月检查清理一次露天平台排水沟，保持雨水排泄畅通</w:t>
            </w:r>
            <w:r/>
          </w:p>
          <w:p>
            <w:pPr>
              <w:ind w:right="105"/>
              <w:jc w:val="left"/>
              <w:keepLines w:val="0"/>
              <w:keepNext w:val="0"/>
              <w:pageBreakBefore w:val="0"/>
              <w:spacing w:after="0" w:line="240" w:lineRule="auto"/>
              <w:widowControl w:val="off"/>
              <w:tabs>
                <w:tab w:val="center" w:pos="4153" w:leader="none"/>
                <w:tab w:val="left" w:pos="64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13.下雨天及时清理楼道口、楼梯、主干道积水</w:t>
            </w:r>
            <w:r/>
          </w:p>
          <w:p>
            <w:pPr>
              <w:ind w:right="105"/>
              <w:jc w:val="left"/>
              <w:keepLines w:val="0"/>
              <w:keepNext w:val="0"/>
              <w:pageBreakBefore w:val="0"/>
              <w:spacing w:after="0" w:line="240" w:lineRule="auto"/>
              <w:widowControl w:val="off"/>
              <w:tabs>
                <w:tab w:val="center" w:pos="4153" w:leader="none"/>
                <w:tab w:val="left" w:pos="64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14.壁面、顶面无蛛网、积尘，无乱张贴</w:t>
            </w:r>
            <w:r/>
          </w:p>
          <w:p>
            <w:pPr>
              <w:ind w:right="105"/>
              <w:jc w:val="left"/>
              <w:keepLines w:val="0"/>
              <w:keepNext w:val="0"/>
              <w:pageBreakBefore w:val="0"/>
              <w:spacing w:after="0" w:line="240" w:lineRule="auto"/>
              <w:widowControl w:val="off"/>
              <w:tabs>
                <w:tab w:val="center" w:pos="4153" w:leader="none"/>
                <w:tab w:val="left" w:pos="64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15.台盆镜面整洁，无积水，洗手液及</w:t>
            </w:r>
            <w:r>
              <w:rPr>
                <w:rFonts w:hint="eastAsia" w:ascii="宋体" w:hAnsi="宋体" w:eastAsia="宋体" w:cs="宋体"/>
                <w:color w:val="000000"/>
                <w:sz w:val="24"/>
                <w:szCs w:val="24"/>
                <w:lang w:eastAsia="zh-CN" w:bidi="ar"/>
              </w:rPr>
              <w:t xml:space="preserve">湿巾</w:t>
            </w:r>
            <w:r>
              <w:rPr>
                <w:rFonts w:hint="eastAsia" w:ascii="宋体" w:hAnsi="宋体" w:eastAsia="宋体" w:cs="宋体"/>
                <w:color w:val="000000"/>
                <w:sz w:val="24"/>
                <w:szCs w:val="24"/>
                <w:lang w:bidi="ar"/>
              </w:rPr>
              <w:t xml:space="preserve">摆放整齐</w:t>
            </w:r>
            <w:r/>
          </w:p>
          <w:p>
            <w:pPr>
              <w:ind w:right="105"/>
              <w:jc w:val="left"/>
              <w:keepLines w:val="0"/>
              <w:keepNext w:val="0"/>
              <w:pageBreakBefore w:val="0"/>
              <w:spacing w:after="0" w:line="240" w:lineRule="auto"/>
              <w:widowControl w:val="off"/>
              <w:tabs>
                <w:tab w:val="center" w:pos="4153" w:leader="none"/>
                <w:tab w:val="left" w:pos="64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16.大小便池无明显异味，不堵塞，保持干净</w:t>
            </w:r>
            <w:r/>
          </w:p>
          <w:p>
            <w:pPr>
              <w:ind w:right="105"/>
              <w:jc w:val="left"/>
              <w:keepLines w:val="0"/>
              <w:keepNext w:val="0"/>
              <w:pageBreakBefore w:val="0"/>
              <w:spacing w:after="0" w:line="240" w:lineRule="auto"/>
              <w:widowControl w:val="off"/>
              <w:tabs>
                <w:tab w:val="center" w:pos="4153" w:leader="none"/>
                <w:tab w:val="left" w:pos="64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17.完成上级交办的其他工作任务</w:t>
            </w:r>
            <w:r/>
          </w:p>
        </w:tc>
        <w:tc>
          <w:tcPr>
            <w:tcW w:w="458" w:type="dxa"/>
            <w:vAlign w:val="center"/>
            <w:textDirection w:val="lrTb"/>
            <w:noWrap w:val="false"/>
          </w:tcPr>
          <w:p>
            <w:pPr>
              <w:jc w:val="left"/>
              <w:keepLines w:val="0"/>
              <w:keepNext w:val="0"/>
              <w:pageBreakBefore w:val="0"/>
              <w:spacing w:line="12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30</w:t>
            </w:r>
            <w:r/>
          </w:p>
        </w:tc>
        <w:tc>
          <w:tcPr>
            <w:tcW w:w="457" w:type="dxa"/>
            <w:vAlign w:val="top"/>
            <w:textDirection w:val="lrTb"/>
            <w:noWrap w:val="false"/>
          </w:tcPr>
          <w:p>
            <w:pPr>
              <w:jc w:val="left"/>
              <w:keepLines w:val="0"/>
              <w:keepNext w:val="0"/>
              <w:pageBreakBefore w:val="0"/>
              <w:spacing w:line="12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02" w:type="dxa"/>
            <w:vAlign w:val="top"/>
            <w:textDirection w:val="lrTb"/>
            <w:noWrap w:val="false"/>
          </w:tcPr>
          <w:p>
            <w:pPr>
              <w:jc w:val="left"/>
              <w:keepLines w:val="0"/>
              <w:keepNext w:val="0"/>
              <w:pageBreakBefore w:val="0"/>
              <w:spacing w:line="12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blHeader/>
        </w:trPr>
        <w:tc>
          <w:tcPr>
            <w:tcW w:w="815" w:type="dxa"/>
            <w:vAlign w:val="center"/>
            <w:textDirection w:val="lrTb"/>
            <w:noWrap w:val="false"/>
          </w:tcPr>
          <w:p>
            <w:pPr>
              <w:ind w:left="1" w:hanging="89"/>
              <w:jc w:val="center"/>
              <w:keepLines w:val="0"/>
              <w:keepNext w:val="0"/>
              <w:pageBreakBefore w:val="0"/>
              <w:spacing w:after="0" w:line="24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秩序管理</w:t>
            </w:r>
            <w:r/>
          </w:p>
        </w:tc>
        <w:tc>
          <w:tcPr>
            <w:tcW w:w="6669"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1.制定完善的秩序维护服务管理制度、岗位职责、工作检查制度等，并有相应表式及台账记录。</w:t>
            </w:r>
            <w:r/>
          </w:p>
          <w:p>
            <w:pPr>
              <w:jc w:val="left"/>
              <w:keepLines w:val="0"/>
              <w:keepNext w:val="0"/>
              <w:pageBreakBefore w:val="0"/>
              <w:spacing w:after="0" w:line="24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2.人员配备到位，统一着装，并配备相应的对讲机等警用器材，有专业管理人员进行规范管理，管理无盲点。</w:t>
            </w:r>
            <w:r/>
          </w:p>
          <w:p>
            <w:pPr>
              <w:jc w:val="left"/>
              <w:keepLines w:val="0"/>
              <w:keepNext w:val="0"/>
              <w:pageBreakBefore w:val="0"/>
              <w:spacing w:after="0" w:line="24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3.服务人员须进行岗前系统性的安全教育与业务培训，清晰工作流程与工作标准。</w:t>
            </w:r>
            <w:r/>
          </w:p>
          <w:p>
            <w:pPr>
              <w:jc w:val="left"/>
              <w:keepLines w:val="0"/>
              <w:keepNext w:val="0"/>
              <w:pageBreakBefore w:val="0"/>
              <w:spacing w:after="0" w:line="24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4.服务人员须遵守秩序维护工作管理与考核制度，认真履行秩序维护岗位职责，并严格执行学校制定的一切规章制度</w:t>
            </w:r>
            <w:r>
              <w:rPr>
                <w:rFonts w:hint="eastAsia" w:ascii="宋体" w:hAnsi="宋体" w:eastAsia="宋体" w:cs="宋体"/>
                <w:color w:val="000000"/>
                <w:sz w:val="24"/>
                <w:szCs w:val="24"/>
                <w:lang w:eastAsia="zh-CN" w:bidi="ar"/>
              </w:rPr>
              <w:t xml:space="preserve">，</w:t>
            </w:r>
            <w:r/>
          </w:p>
          <w:p>
            <w:pPr>
              <w:jc w:val="left"/>
              <w:keepLines w:val="0"/>
              <w:keepNext w:val="0"/>
              <w:pageBreakBefore w:val="0"/>
              <w:spacing w:after="0" w:line="24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5.门卫人员负责出入校门人员、车辆及携带物资的登记检查和验证，维护校门进出秩序，保证道路畅通，防止不法分子进入校园，防止危险品带入校园，保障学校财产安全。 </w:t>
            </w:r>
            <w:r/>
          </w:p>
          <w:p>
            <w:pPr>
              <w:jc w:val="left"/>
              <w:keepLines w:val="0"/>
              <w:keepNext w:val="0"/>
              <w:pageBreakBefore w:val="0"/>
              <w:spacing w:after="0" w:line="24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6.巡逻人员每天24小时对学校进行不间断巡查。巡查道路、停车场车辆停放情况，防止火灾、盗窃、破坏和治安灾害事故及各类不利于学校治安秩序和稳定的事件发生。</w:t>
            </w:r>
            <w:r/>
          </w:p>
          <w:p>
            <w:pPr>
              <w:jc w:val="left"/>
              <w:keepLines w:val="0"/>
              <w:keepNext w:val="0"/>
              <w:pageBreakBefore w:val="0"/>
              <w:spacing w:after="0" w:line="24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7.做好大型活动、重要接待任务的维护秩序与安全保卫工作。若有临时性、突发性的任务安排，服从学校安排。重大活动等加班由组织单位承担加班费。</w:t>
            </w:r>
            <w:r/>
          </w:p>
        </w:tc>
        <w:tc>
          <w:tcPr>
            <w:tcW w:w="458" w:type="dxa"/>
            <w:vAlign w:val="center"/>
            <w:textDirection w:val="lrTb"/>
            <w:noWrap w:val="false"/>
          </w:tcPr>
          <w:p>
            <w:pPr>
              <w:jc w:val="left"/>
              <w:keepLines w:val="0"/>
              <w:keepNext w:val="0"/>
              <w:pageBreakBefore w:val="0"/>
              <w:spacing w:line="12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30</w:t>
            </w:r>
            <w:r/>
          </w:p>
        </w:tc>
        <w:tc>
          <w:tcPr>
            <w:tcW w:w="457" w:type="dxa"/>
            <w:vAlign w:val="top"/>
            <w:textDirection w:val="lrTb"/>
            <w:noWrap w:val="false"/>
          </w:tcPr>
          <w:p>
            <w:pPr>
              <w:jc w:val="left"/>
              <w:keepLines w:val="0"/>
              <w:keepNext w:val="0"/>
              <w:pageBreakBefore w:val="0"/>
              <w:spacing w:line="12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02" w:type="dxa"/>
            <w:vAlign w:val="top"/>
            <w:textDirection w:val="lrTb"/>
            <w:noWrap w:val="false"/>
          </w:tcPr>
          <w:p>
            <w:pPr>
              <w:jc w:val="left"/>
              <w:keepLines w:val="0"/>
              <w:keepNext w:val="0"/>
              <w:pageBreakBefore w:val="0"/>
              <w:spacing w:line="12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blHeader/>
        </w:trPr>
        <w:tc>
          <w:tcPr>
            <w:tcW w:w="815"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left="1" w:hanging="108"/>
              <w:jc w:val="center"/>
              <w:keepLines w:val="0"/>
              <w:keepNext w:val="0"/>
              <w:pageBreakBefore w:val="0"/>
              <w:spacing w:after="0" w:line="24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绿化</w:t>
            </w:r>
            <w:r/>
          </w:p>
          <w:p>
            <w:pPr>
              <w:ind w:left="1" w:hanging="108"/>
              <w:jc w:val="center"/>
              <w:keepLines w:val="0"/>
              <w:keepNext w:val="0"/>
              <w:pageBreakBefore w:val="0"/>
              <w:spacing w:after="0" w:line="24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养护</w:t>
            </w:r>
            <w:r/>
          </w:p>
          <w:p>
            <w:pPr>
              <w:ind w:left="1" w:hanging="89"/>
              <w:jc w:val="center"/>
              <w:keepLines w:val="0"/>
              <w:keepNext w:val="0"/>
              <w:pageBreakBefore w:val="0"/>
              <w:spacing w:after="0" w:line="24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tc>
        <w:tc>
          <w:tcPr>
            <w:tcW w:w="6669"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1.植物生长旺盛，无病虫害、无黄叶，叶面洁净无灰尘。</w:t>
            </w:r>
            <w:r/>
          </w:p>
          <w:p>
            <w:pPr>
              <w:jc w:val="left"/>
              <w:keepLines w:val="0"/>
              <w:keepNext w:val="0"/>
              <w:pageBreakBefore w:val="0"/>
              <w:spacing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2.花盆、底碟干净，无积水，无泥沙。</w:t>
            </w:r>
            <w:r/>
          </w:p>
          <w:p>
            <w:pPr>
              <w:jc w:val="left"/>
              <w:keepLines w:val="0"/>
              <w:keepNext w:val="0"/>
              <w:pageBreakBefore w:val="0"/>
              <w:spacing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3.无踩踏、无黄土裸露、无随意占用。</w:t>
            </w:r>
            <w:r/>
          </w:p>
          <w:p>
            <w:pPr>
              <w:jc w:val="left"/>
              <w:keepLines w:val="0"/>
              <w:keepNext w:val="0"/>
              <w:pageBreakBefore w:val="0"/>
              <w:spacing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4.绿化作业应</w:t>
            </w:r>
            <w:r>
              <w:rPr>
                <w:rFonts w:hint="eastAsia" w:ascii="宋体" w:hAnsi="宋体" w:eastAsia="宋体" w:cs="宋体"/>
                <w:color w:val="000000"/>
                <w:sz w:val="24"/>
                <w:szCs w:val="24"/>
                <w:lang w:eastAsia="zh-CN" w:bidi="ar"/>
              </w:rPr>
              <w:t xml:space="preserve">做到</w:t>
            </w:r>
            <w:r>
              <w:rPr>
                <w:rFonts w:hint="eastAsia" w:ascii="宋体" w:hAnsi="宋体" w:eastAsia="宋体" w:cs="宋体"/>
                <w:color w:val="000000"/>
                <w:sz w:val="24"/>
                <w:szCs w:val="24"/>
                <w:lang w:bidi="ar"/>
              </w:rPr>
              <w:t xml:space="preserve">工完场清，绿化垃圾及时清收。</w:t>
            </w:r>
            <w:r/>
          </w:p>
          <w:p>
            <w:pPr>
              <w:jc w:val="left"/>
              <w:keepLines w:val="0"/>
              <w:keepNext w:val="0"/>
              <w:pageBreakBefore w:val="0"/>
              <w:spacing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5.主路及重要部位边缘切除，整齐美观。</w:t>
            </w:r>
            <w:r/>
          </w:p>
          <w:p>
            <w:pPr>
              <w:jc w:val="left"/>
              <w:keepLines w:val="0"/>
              <w:keepNext w:val="0"/>
              <w:pageBreakBefore w:val="0"/>
              <w:spacing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6.乔木无枯枝。</w:t>
            </w:r>
            <w:r/>
          </w:p>
          <w:p>
            <w:pPr>
              <w:jc w:val="left"/>
              <w:keepLines w:val="0"/>
              <w:keepNext w:val="0"/>
              <w:pageBreakBefore w:val="0"/>
              <w:spacing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7.绿化工具无随处乱放。</w:t>
            </w:r>
            <w:r/>
          </w:p>
          <w:p>
            <w:pPr>
              <w:jc w:val="left"/>
              <w:keepLines w:val="0"/>
              <w:keepNext w:val="0"/>
              <w:pageBreakBefore w:val="0"/>
              <w:spacing w:after="0" w:line="24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8.绿化垃圾清理及时。</w:t>
            </w:r>
            <w:r/>
          </w:p>
          <w:p>
            <w:pPr>
              <w:keepLines w:val="0"/>
              <w:keepNext w:val="0"/>
              <w:pageBreakBefore w:val="0"/>
              <w:spacing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9.完成学校要求的绿化优化。</w:t>
            </w:r>
            <w:r/>
          </w:p>
        </w:tc>
        <w:tc>
          <w:tcPr>
            <w:tcW w:w="458" w:type="dxa"/>
            <w:vAlign w:val="center"/>
            <w:textDirection w:val="lrTb"/>
            <w:noWrap w:val="false"/>
          </w:tcPr>
          <w:p>
            <w:pPr>
              <w:jc w:val="left"/>
              <w:keepLines w:val="0"/>
              <w:keepNext w:val="0"/>
              <w:pageBreakBefore w:val="0"/>
              <w:spacing w:line="12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20</w:t>
            </w:r>
            <w:r/>
          </w:p>
        </w:tc>
        <w:tc>
          <w:tcPr>
            <w:tcW w:w="457" w:type="dxa"/>
            <w:vAlign w:val="top"/>
            <w:textDirection w:val="lrTb"/>
            <w:noWrap w:val="false"/>
          </w:tcPr>
          <w:p>
            <w:pPr>
              <w:jc w:val="left"/>
              <w:keepLines w:val="0"/>
              <w:keepNext w:val="0"/>
              <w:pageBreakBefore w:val="0"/>
              <w:spacing w:line="12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02" w:type="dxa"/>
            <w:vAlign w:val="top"/>
            <w:textDirection w:val="lrTb"/>
            <w:noWrap w:val="false"/>
          </w:tcPr>
          <w:p>
            <w:pPr>
              <w:jc w:val="left"/>
              <w:keepLines w:val="0"/>
              <w:keepNext w:val="0"/>
              <w:pageBreakBefore w:val="0"/>
              <w:spacing w:line="12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blHeader/>
        </w:trPr>
        <w:tc>
          <w:tcPr>
            <w:tcW w:w="815" w:type="dxa"/>
            <w:vAlign w:val="top"/>
            <w:textDirection w:val="lrTb"/>
            <w:noWrap w:val="false"/>
          </w:tcPr>
          <w:p>
            <w:pPr>
              <w:ind w:left="1" w:hanging="89"/>
              <w:jc w:val="center"/>
              <w:keepLines w:val="0"/>
              <w:keepNext w:val="0"/>
              <w:pageBreakBefore w:val="0"/>
              <w:spacing w:after="0" w:line="24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设施设备维护</w:t>
            </w:r>
            <w:r/>
          </w:p>
        </w:tc>
        <w:tc>
          <w:tcPr>
            <w:tcW w:w="6669" w:type="dxa"/>
            <w:vAlign w:val="top"/>
            <w:textDirection w:val="lrTb"/>
            <w:noWrap w:val="false"/>
          </w:tcPr>
          <w:p>
            <w:pPr>
              <w:numPr>
                <w:ilvl w:val="0"/>
                <w:numId w:val="5"/>
              </w:numPr>
              <w:jc w:val="left"/>
              <w:keepLines w:val="0"/>
              <w:keepNext w:val="0"/>
              <w:pageBreakBefore w:val="0"/>
              <w:spacing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按照采购人要求对房屋建筑主体及公共设施设备进行日常维护和维修（含设备房）</w:t>
            </w:r>
            <w:r/>
          </w:p>
          <w:p>
            <w:pPr>
              <w:numPr>
                <w:ilvl w:val="0"/>
                <w:numId w:val="5"/>
              </w:numPr>
              <w:jc w:val="left"/>
              <w:keepLines w:val="0"/>
              <w:keepNext w:val="0"/>
              <w:pageBreakBefore w:val="0"/>
              <w:spacing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及时接听报修电话，随叫随到，做到优质服务</w:t>
            </w:r>
            <w:r/>
          </w:p>
        </w:tc>
        <w:tc>
          <w:tcPr>
            <w:tcW w:w="458" w:type="dxa"/>
            <w:vAlign w:val="top"/>
            <w:textDirection w:val="lrTb"/>
            <w:noWrap w:val="false"/>
          </w:tcPr>
          <w:p>
            <w:pPr>
              <w:jc w:val="left"/>
              <w:keepLines w:val="0"/>
              <w:keepNext w:val="0"/>
              <w:pageBreakBefore w:val="0"/>
              <w:spacing w:line="12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20</w:t>
            </w:r>
            <w:r/>
          </w:p>
        </w:tc>
        <w:tc>
          <w:tcPr>
            <w:tcW w:w="457" w:type="dxa"/>
            <w:vAlign w:val="top"/>
            <w:textDirection w:val="lrTb"/>
            <w:noWrap w:val="false"/>
          </w:tcPr>
          <w:p>
            <w:pPr>
              <w:jc w:val="left"/>
              <w:keepLines w:val="0"/>
              <w:keepNext w:val="0"/>
              <w:pageBreakBefore w:val="0"/>
              <w:spacing w:line="12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02" w:type="dxa"/>
            <w:vAlign w:val="top"/>
            <w:textDirection w:val="lrTb"/>
            <w:noWrap w:val="false"/>
          </w:tcPr>
          <w:p>
            <w:pPr>
              <w:jc w:val="left"/>
              <w:keepLines w:val="0"/>
              <w:keepNext w:val="0"/>
              <w:pageBreakBefore w:val="0"/>
              <w:spacing w:line="12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blHeader/>
        </w:trPr>
        <w:tc>
          <w:tcPr>
            <w:gridSpan w:val="2"/>
            <w:tcW w:w="7484" w:type="dxa"/>
            <w:vAlign w:val="top"/>
            <w:textDirection w:val="lrTb"/>
            <w:noWrap w:val="false"/>
          </w:tcPr>
          <w:p>
            <w:pPr>
              <w:jc w:val="left"/>
              <w:keepLines w:val="0"/>
              <w:keepNext w:val="0"/>
              <w:pageBreakBefore w:val="0"/>
              <w:spacing w:line="12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合计</w:t>
            </w:r>
            <w:r/>
          </w:p>
        </w:tc>
        <w:tc>
          <w:tcPr>
            <w:gridSpan w:val="3"/>
            <w:tcW w:w="1917" w:type="dxa"/>
            <w:vAlign w:val="top"/>
            <w:textDirection w:val="lrTb"/>
            <w:noWrap w:val="false"/>
          </w:tcPr>
          <w:p>
            <w:pPr>
              <w:jc w:val="left"/>
              <w:keepLines w:val="0"/>
              <w:keepNext w:val="0"/>
              <w:pageBreakBefore w:val="0"/>
              <w:spacing w:line="12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lang w:bidi="ar"/>
        </w:rPr>
        <w:t xml:space="preserve">备注：月度分数90分以上不作扣款，80-90分扣除5%，60-80扣除10%，60分以下扣除20%，</w:t>
      </w:r>
      <w:r>
        <w:rPr>
          <w:rFonts w:hint="eastAsia" w:ascii="宋体" w:hAnsi="宋体" w:eastAsia="宋体" w:cs="宋体"/>
          <w:sz w:val="24"/>
          <w:szCs w:val="24"/>
        </w:rPr>
        <w:t xml:space="preserve">供应商不整改且</w:t>
      </w:r>
      <w:r>
        <w:rPr>
          <w:rFonts w:hint="eastAsia" w:ascii="宋体" w:hAnsi="宋体" w:eastAsia="宋体" w:cs="宋体"/>
          <w:sz w:val="24"/>
          <w:szCs w:val="24"/>
          <w:lang w:bidi="ar"/>
        </w:rPr>
        <w:t xml:space="preserve">连续三个月低于60分的，</w:t>
      </w:r>
      <w:r>
        <w:rPr>
          <w:rFonts w:hint="eastAsia" w:ascii="宋体" w:hAnsi="宋体" w:eastAsia="宋体" w:cs="宋体"/>
          <w:sz w:val="24"/>
          <w:szCs w:val="24"/>
        </w:rPr>
        <w:t xml:space="preserve">采购人有权依法</w:t>
      </w:r>
      <w:r>
        <w:rPr>
          <w:rFonts w:hint="eastAsia" w:ascii="宋体" w:hAnsi="宋体" w:eastAsia="宋体" w:cs="宋体"/>
          <w:sz w:val="24"/>
          <w:szCs w:val="24"/>
          <w:lang w:bidi="ar"/>
        </w:rPr>
        <w:t xml:space="preserve">解除合同。</w:t>
      </w:r>
      <w:r/>
    </w:p>
    <w:p>
      <w:pPr>
        <w:ind w:left="424"/>
        <w:spacing w:before="90" w:line="185" w:lineRule="auto"/>
        <w:rPr>
          <w:rFonts w:hint="eastAsia" w:ascii="宋体" w:hAnsi="宋体" w:eastAsia="宋体" w:cs="宋体"/>
          <w:color w:val="000000"/>
          <w:sz w:val="24"/>
          <w:szCs w:val="24"/>
          <w:lang w:eastAsia="zh-CN"/>
        </w:rPr>
        <w:outlineLvl w:val="0"/>
      </w:pPr>
      <w:r>
        <w:rPr>
          <w:rFonts w:hint="eastAsia" w:ascii="宋体" w:hAnsi="宋体" w:eastAsia="宋体" w:cs="宋体"/>
          <w:b/>
          <w:bCs/>
          <w:color w:val="000000"/>
          <w:spacing w:val="-1"/>
          <w:sz w:val="24"/>
          <w:szCs w:val="24"/>
        </w:rPr>
        <w:t xml:space="preserve">7.需要说明的其他事项</w:t>
      </w:r>
      <w:r/>
    </w:p>
    <w:p>
      <w:pPr>
        <w:ind w:left="424"/>
        <w:spacing w:before="90" w:line="185" w:lineRule="auto"/>
        <w:rPr>
          <w:rFonts w:hint="eastAsia" w:ascii="宋体" w:hAnsi="宋体" w:eastAsia="宋体" w:cs="宋体"/>
          <w:color w:val="000000"/>
          <w:sz w:val="24"/>
          <w:szCs w:val="24"/>
        </w:rPr>
        <w:outlineLvl w:val="0"/>
      </w:pPr>
      <w:r>
        <w:rPr>
          <w:rFonts w:hint="eastAsia" w:ascii="宋体" w:hAnsi="宋体" w:eastAsia="宋体" w:cs="宋体"/>
          <w:b/>
          <w:bCs/>
          <w:color w:val="000000"/>
          <w:spacing w:val="-1"/>
          <w:sz w:val="24"/>
          <w:szCs w:val="24"/>
        </w:rPr>
        <w:t xml:space="preserve">7.1零星维修材料费用</w:t>
      </w:r>
      <w:r/>
    </w:p>
    <w:p>
      <w:pPr>
        <w:ind w:left="424"/>
        <w:spacing w:before="90" w:line="186" w:lineRule="auto"/>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本项目涉及的零星维修材料、低值易耗品、苗木、客耗品等费用，不论是由供应商，还是采购人承担，涉及的相关服务由供应商承担，服务费用包含在物业服务项目合同金额之内。</w:t>
      </w:r>
      <w:r/>
    </w:p>
    <w:p>
      <w:pPr>
        <w:ind w:left="424"/>
        <w:spacing w:before="90" w:line="186" w:lineRule="auto"/>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例：低值易耗品费用</w:t>
      </w:r>
      <w:r/>
    </w:p>
    <w:p>
      <w:pPr>
        <w:ind w:left="424"/>
        <w:spacing w:before="90" w:line="186" w:lineRule="auto"/>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  涉及以下情形的，相关费用包含在物业管理服务采购合同金额之内，由供应商承担：300元以下的单个维修配件材料费（明确涉及的环境维护、绿化养护等服务中需要的低值易耗品以及关于费用方面的规定）。</w:t>
      </w:r>
      <w:r/>
    </w:p>
    <w:p>
      <w:pPr>
        <w:ind w:left="424"/>
        <w:spacing w:before="90" w:line="186" w:lineRule="auto"/>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  涉及以下情形的，由采购人承担：维修物品单价超出300元（明确涉及的环境维护、绿化养护等服务中需要的低值易耗品以及关于费用方面的规定）。</w:t>
      </w:r>
      <w:r/>
    </w:p>
    <w:p>
      <w:pPr>
        <w:ind w:left="424"/>
        <w:spacing w:before="90" w:line="186" w:lineRule="auto"/>
        <w:rPr>
          <w:rFonts w:hint="eastAsia" w:ascii="宋体" w:hAnsi="宋体" w:eastAsia="宋体" w:cs="宋体"/>
          <w:color w:val="000000"/>
          <w:sz w:val="24"/>
          <w:szCs w:val="24"/>
        </w:rPr>
        <w:outlineLvl w:val="0"/>
      </w:pPr>
      <w:r>
        <w:rPr>
          <w:rFonts w:hint="eastAsia" w:ascii="宋体" w:hAnsi="宋体" w:eastAsia="宋体" w:cs="宋体"/>
          <w:b/>
          <w:bCs/>
          <w:color w:val="000000"/>
          <w:spacing w:val="-1"/>
          <w:sz w:val="24"/>
          <w:szCs w:val="24"/>
        </w:rPr>
        <w:t xml:space="preserve">7.2低值易耗品费用</w:t>
      </w:r>
      <w:r/>
    </w:p>
    <w:p>
      <w:pPr>
        <w:pStyle w:val="687"/>
        <w:ind w:left="433"/>
        <w:spacing w:before="87" w:line="220" w:lineRule="auto"/>
        <w:rPr>
          <w:rFonts w:hint="eastAsia" w:ascii="宋体" w:hAnsi="宋体" w:eastAsia="宋体" w:cs="宋体"/>
          <w:b/>
          <w:bCs/>
          <w:color w:val="000000"/>
          <w:sz w:val="24"/>
          <w:szCs w:val="24"/>
          <w:lang w:eastAsia="zh-CN"/>
        </w:rPr>
      </w:pPr>
      <w:r>
        <w:rPr>
          <w:rFonts w:hint="eastAsia" w:ascii="宋体" w:hAnsi="宋体" w:eastAsia="宋体" w:cs="宋体"/>
          <w:b/>
          <w:bCs/>
          <w:color w:val="000000"/>
          <w:spacing w:val="-1"/>
          <w:sz w:val="24"/>
          <w:szCs w:val="24"/>
        </w:rPr>
        <w:t xml:space="preserve">抹布、垃圾袋、清洁球、洁厕液、洗洁液等易耗品由学校承担。</w:t>
      </w:r>
      <w:r/>
    </w:p>
    <w:p>
      <w:pPr>
        <w:ind w:left="424"/>
        <w:spacing w:before="90" w:line="186" w:lineRule="auto"/>
        <w:rPr>
          <w:rFonts w:hint="eastAsia" w:ascii="宋体" w:hAnsi="宋体" w:eastAsia="宋体" w:cs="宋体"/>
          <w:color w:val="000000"/>
          <w:sz w:val="24"/>
          <w:szCs w:val="24"/>
        </w:rPr>
        <w:outlineLvl w:val="0"/>
      </w:pPr>
      <w:r>
        <w:rPr>
          <w:rFonts w:hint="eastAsia" w:ascii="宋体" w:hAnsi="宋体" w:eastAsia="宋体" w:cs="宋体"/>
          <w:b/>
          <w:bCs/>
          <w:color w:val="000000"/>
          <w:spacing w:val="-1"/>
          <w:sz w:val="24"/>
          <w:szCs w:val="24"/>
        </w:rPr>
        <w:t xml:space="preserve">7.3苗木费用</w:t>
      </w:r>
      <w:r/>
    </w:p>
    <w:p>
      <w:pPr>
        <w:pStyle w:val="687"/>
        <w:ind w:left="433"/>
        <w:spacing w:before="62" w:line="2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由学校</w:t>
      </w:r>
      <w:r>
        <w:rPr>
          <w:rFonts w:hint="eastAsia" w:ascii="宋体" w:hAnsi="宋体" w:eastAsia="宋体" w:cs="宋体"/>
          <w:b/>
          <w:bCs/>
          <w:color w:val="000000"/>
          <w:spacing w:val="-1"/>
          <w:sz w:val="24"/>
          <w:szCs w:val="24"/>
        </w:rPr>
        <w:t xml:space="preserve">承担</w:t>
      </w:r>
      <w:r>
        <w:rPr>
          <w:rFonts w:hint="eastAsia" w:ascii="宋体" w:hAnsi="宋体" w:eastAsia="宋体" w:cs="宋体"/>
          <w:color w:val="000000"/>
          <w:sz w:val="24"/>
          <w:szCs w:val="24"/>
        </w:rPr>
        <w:t xml:space="preserve">。</w:t>
      </w:r>
      <w:r/>
    </w:p>
    <w:p>
      <w:pPr>
        <w:ind w:left="424"/>
        <w:spacing w:before="90" w:line="186" w:lineRule="auto"/>
        <w:rPr>
          <w:rFonts w:hint="eastAsia" w:ascii="宋体" w:hAnsi="宋体" w:eastAsia="宋体" w:cs="宋体"/>
          <w:color w:val="000000"/>
          <w:sz w:val="24"/>
          <w:szCs w:val="24"/>
        </w:rPr>
        <w:outlineLvl w:val="0"/>
      </w:pPr>
      <w:r>
        <w:rPr>
          <w:rFonts w:hint="eastAsia" w:ascii="宋体" w:hAnsi="宋体" w:eastAsia="宋体" w:cs="宋体"/>
          <w:b/>
          <w:bCs/>
          <w:color w:val="000000"/>
          <w:spacing w:val="-1"/>
          <w:sz w:val="24"/>
          <w:szCs w:val="24"/>
        </w:rPr>
        <w:t xml:space="preserve">7.4客耗品费用</w:t>
      </w:r>
      <w:r/>
    </w:p>
    <w:p>
      <w:pPr>
        <w:ind w:left="424"/>
        <w:spacing w:before="90" w:line="186" w:lineRule="auto"/>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本次不涉及</w:t>
      </w:r>
      <w:r/>
    </w:p>
    <w:p>
      <w:pPr>
        <w:ind w:left="424"/>
        <w:spacing w:before="90" w:line="186" w:lineRule="auto"/>
        <w:rPr>
          <w:rFonts w:hint="eastAsia" w:ascii="宋体" w:hAnsi="宋体" w:eastAsia="宋体" w:cs="宋体"/>
          <w:color w:val="000000"/>
          <w:sz w:val="24"/>
          <w:szCs w:val="24"/>
        </w:rPr>
        <w:outlineLvl w:val="0"/>
      </w:pPr>
      <w:r>
        <w:rPr>
          <w:rFonts w:hint="eastAsia" w:ascii="宋体" w:hAnsi="宋体" w:eastAsia="宋体" w:cs="宋体"/>
          <w:b/>
          <w:bCs/>
          <w:color w:val="000000"/>
          <w:spacing w:val="-1"/>
          <w:sz w:val="24"/>
          <w:szCs w:val="24"/>
        </w:rPr>
        <w:t xml:space="preserve">7.</w:t>
      </w:r>
      <w:r>
        <w:rPr>
          <w:rFonts w:hint="eastAsia" w:ascii="宋体" w:hAnsi="宋体" w:eastAsia="宋体" w:cs="宋体"/>
          <w:b/>
          <w:bCs/>
          <w:color w:val="000000"/>
          <w:spacing w:val="-1"/>
          <w:sz w:val="24"/>
          <w:szCs w:val="24"/>
          <w:lang w:eastAsia="zh-CN"/>
        </w:rPr>
        <w:t xml:space="preserve">5报价说明</w:t>
      </w:r>
      <w:r/>
    </w:p>
    <w:p>
      <w:pPr>
        <w:ind w:firstLine="420"/>
        <w:spacing w:line="324"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7.5.1</w:t>
      </w:r>
      <w:r>
        <w:rPr>
          <w:rFonts w:hint="eastAsia" w:ascii="宋体" w:hAnsi="宋体" w:eastAsia="宋体" w:cs="宋体"/>
          <w:b/>
          <w:color w:val="000000"/>
          <w:sz w:val="24"/>
          <w:szCs w:val="24"/>
        </w:rPr>
        <w:t xml:space="preserve">本次物业管理采购项目预算</w:t>
      </w:r>
      <w:r>
        <w:rPr>
          <w:rFonts w:hint="eastAsia" w:ascii="宋体" w:hAnsi="宋体" w:eastAsia="宋体" w:cs="宋体"/>
          <w:b/>
          <w:color w:val="000000"/>
          <w:sz w:val="24"/>
          <w:szCs w:val="24"/>
          <w:highlight w:val="none"/>
        </w:rPr>
        <w:t xml:space="preserve">总额</w:t>
      </w:r>
      <w:r>
        <w:rPr>
          <w:rFonts w:hint="eastAsia" w:ascii="宋体" w:hAnsi="宋体" w:eastAsia="宋体" w:cs="宋体"/>
          <w:b/>
          <w:color w:val="000000"/>
          <w:sz w:val="24"/>
          <w:szCs w:val="24"/>
          <w:highlight w:val="none"/>
          <w:lang w:val="en-US" w:eastAsia="zh-CN"/>
        </w:rPr>
        <w:t xml:space="preserve">155.652854万元</w:t>
      </w:r>
      <w:r>
        <w:rPr>
          <w:rFonts w:hint="eastAsia" w:ascii="宋体" w:hAnsi="宋体" w:eastAsia="宋体" w:cs="宋体"/>
          <w:color w:val="000000"/>
          <w:sz w:val="24"/>
          <w:szCs w:val="24"/>
          <w:highlight w:val="none"/>
        </w:rPr>
        <w:t xml:space="preserve">，总报</w:t>
      </w:r>
      <w:r>
        <w:rPr>
          <w:rFonts w:hint="eastAsia" w:ascii="宋体" w:hAnsi="宋体" w:eastAsia="宋体" w:cs="宋体"/>
          <w:color w:val="000000"/>
          <w:sz w:val="24"/>
          <w:szCs w:val="24"/>
        </w:rPr>
        <w:t xml:space="preserve">价应包括为完成招标文件规定的物业管理工作服务期内所</w:t>
      </w:r>
      <w:r>
        <w:rPr>
          <w:rFonts w:hint="eastAsia" w:ascii="宋体" w:hAnsi="宋体" w:eastAsia="宋体" w:cs="宋体"/>
          <w:color w:val="000000"/>
          <w:sz w:val="24"/>
          <w:szCs w:val="24"/>
          <w:lang w:eastAsia="zh-CN"/>
        </w:rPr>
        <w:t xml:space="preserve">涉及</w:t>
      </w:r>
      <w:r>
        <w:rPr>
          <w:rFonts w:hint="eastAsia" w:ascii="宋体" w:hAnsi="宋体" w:eastAsia="宋体" w:cs="宋体"/>
          <w:color w:val="000000"/>
          <w:sz w:val="24"/>
          <w:szCs w:val="24"/>
        </w:rPr>
        <w:t xml:space="preserve">的一切相关费用。投标供应商报价时应充分考虑服务期内所有可能影响到报价的因素。一旦中标，总价包定，不予调整。国家法定节假日加班费及高温费等包含在投标报价中。如发生漏、缺、少项，都将被认为是中标供应商的报价让利行为，损失自负。</w:t>
      </w:r>
      <w:r/>
    </w:p>
    <w:p>
      <w:pPr>
        <w:ind w:firstLine="420"/>
        <w:spacing w:line="324"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7.5.2</w:t>
      </w:r>
      <w:r>
        <w:rPr>
          <w:rFonts w:hint="eastAsia" w:ascii="宋体" w:hAnsi="宋体" w:eastAsia="宋体" w:cs="宋体"/>
          <w:color w:val="000000"/>
          <w:sz w:val="24"/>
          <w:szCs w:val="24"/>
        </w:rPr>
        <w:t xml:space="preserve">投标供应商须按规定为上述所有人员</w:t>
      </w:r>
      <w:r>
        <w:rPr>
          <w:rFonts w:hint="eastAsia" w:ascii="宋体" w:hAnsi="宋体" w:eastAsia="宋体" w:cs="宋体"/>
          <w:color w:val="000000"/>
          <w:sz w:val="24"/>
          <w:szCs w:val="24"/>
          <w:lang w:eastAsia="zh-CN"/>
        </w:rPr>
        <w:t xml:space="preserve">缴纳</w:t>
      </w:r>
      <w:r>
        <w:rPr>
          <w:rFonts w:hint="eastAsia" w:ascii="宋体" w:hAnsi="宋体" w:eastAsia="宋体" w:cs="宋体"/>
          <w:color w:val="000000"/>
          <w:sz w:val="24"/>
          <w:szCs w:val="24"/>
        </w:rPr>
        <w:t xml:space="preserve">社会保险、提供相关福利等，现场所有人员工资、社保及福利等须符合国家相关政策。</w:t>
      </w:r>
      <w:r/>
    </w:p>
    <w:p>
      <w:pPr>
        <w:ind w:left="422"/>
        <w:spacing w:before="91" w:line="185" w:lineRule="auto"/>
        <w:rPr>
          <w:rFonts w:hint="eastAsia" w:ascii="宋体" w:hAnsi="宋体" w:eastAsia="宋体" w:cs="宋体"/>
          <w:color w:val="000000"/>
          <w:sz w:val="24"/>
          <w:szCs w:val="24"/>
          <w:lang w:eastAsia="zh-CN"/>
        </w:rPr>
        <w:outlineLvl w:val="0"/>
      </w:pPr>
      <w:r>
        <w:rPr>
          <w:rFonts w:hint="eastAsia" w:ascii="宋体" w:hAnsi="宋体" w:eastAsia="宋体" w:cs="宋体"/>
          <w:b/>
          <w:bCs/>
          <w:color w:val="000000"/>
          <w:spacing w:val="-1"/>
          <w:sz w:val="24"/>
          <w:szCs w:val="24"/>
        </w:rPr>
        <w:t xml:space="preserve">8.采购项目需落实的政府采购政策</w:t>
      </w:r>
      <w:r/>
    </w:p>
    <w:p>
      <w:pPr>
        <w:ind w:firstLine="472"/>
        <w:spacing w:line="360" w:lineRule="auto"/>
        <w:rPr>
          <w:rFonts w:hint="eastAsia" w:ascii="宋体" w:hAnsi="宋体" w:eastAsia="宋体" w:cs="宋体"/>
          <w:bCs/>
          <w:sz w:val="24"/>
          <w:szCs w:val="24"/>
          <w:highlight w:val="yellow"/>
        </w:rPr>
      </w:pPr>
      <w:r>
        <w:rPr>
          <w:rFonts w:hint="eastAsia" w:ascii="宋体" w:hAnsi="宋体" w:eastAsia="宋体" w:cs="宋体"/>
          <w:color w:val="000000"/>
          <w:spacing w:val="-2"/>
          <w:sz w:val="24"/>
          <w:szCs w:val="24"/>
        </w:rPr>
        <w:t xml:space="preserve">采购人应当落实政府采购政策，包括但不</w:t>
      </w:r>
      <w:r>
        <w:rPr>
          <w:rFonts w:hint="eastAsia" w:ascii="宋体" w:hAnsi="宋体" w:eastAsia="宋体" w:cs="宋体"/>
          <w:color w:val="000000"/>
          <w:spacing w:val="-3"/>
          <w:sz w:val="24"/>
          <w:szCs w:val="24"/>
        </w:rPr>
        <w:t xml:space="preserve">限于促进中小企业发展、促进残疾人就业、政府绿色采购政策等。</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78"/>
        <w:rPr>
          <w:sz w:val="28"/>
          <w:szCs w:val="28"/>
        </w:rPr>
      </w:pPr>
      <w:r>
        <w:rPr>
          <w:rFonts w:hint="eastAsia" w:ascii="宋体" w:hAnsi="宋体" w:eastAsia="宋体" w:cs="宋体"/>
          <w:b/>
          <w:bCs/>
          <w:color w:val="000000"/>
          <w:spacing w:val="-1"/>
          <w:sz w:val="24"/>
          <w:szCs w:val="24"/>
          <w:lang w:val="en-US" w:eastAsia="zh-CN"/>
        </w:rPr>
        <w:t xml:space="preserve">9.</w:t>
      </w:r>
      <w:r>
        <w:rPr>
          <w:rFonts w:hint="eastAsia" w:ascii="宋体" w:hAnsi="宋体" w:eastAsia="宋体" w:cs="宋体"/>
          <w:b/>
          <w:bCs/>
          <w:color w:val="000000"/>
          <w:spacing w:val="-1"/>
          <w:sz w:val="24"/>
          <w:szCs w:val="24"/>
        </w:rPr>
        <w:t xml:space="preserve">关于中标后项目进行分包的要求</w:t>
      </w:r>
      <w:r/>
    </w:p>
    <w:p>
      <w:pPr>
        <w:ind w:firstLine="480"/>
        <w:spacing w:line="360" w:lineRule="auto"/>
        <w:rPr>
          <w:rFonts w:ascii="宋体" w:hAnsi="宋体"/>
          <w:bCs/>
          <w:sz w:val="24"/>
          <w:szCs w:val="24"/>
        </w:rPr>
      </w:pPr>
      <w:r>
        <w:rPr>
          <w:rFonts w:hint="eastAsia" w:ascii="宋体" w:hAnsi="宋体"/>
          <w:bCs/>
          <w:sz w:val="24"/>
          <w:szCs w:val="24"/>
        </w:rPr>
        <w:t xml:space="preserve">（1）分包内容及要求</w:t>
      </w:r>
      <w:r/>
    </w:p>
    <w:p>
      <w:pPr>
        <w:ind w:firstLine="480"/>
        <w:spacing w:line="360" w:lineRule="auto"/>
        <w:rPr>
          <w:rFonts w:ascii="宋体" w:hAnsi="宋体"/>
          <w:bCs/>
          <w:sz w:val="24"/>
          <w:szCs w:val="24"/>
        </w:rPr>
      </w:pPr>
      <w:r>
        <w:rPr>
          <w:rFonts w:hint="eastAsia" w:ascii="宋体" w:hAnsi="宋体"/>
          <w:bCs/>
          <w:sz w:val="24"/>
          <w:szCs w:val="24"/>
        </w:rPr>
        <w:t xml:space="preserve">本项目中的</w:t>
      </w:r>
      <w:r>
        <w:rPr>
          <w:rFonts w:hint="eastAsia" w:ascii="宋体" w:hAnsi="宋体"/>
          <w:bCs/>
          <w:color w:val="000000"/>
          <w:sz w:val="24"/>
          <w:szCs w:val="24"/>
          <w:highlight w:val="none"/>
          <w:lang w:val="en-US" w:eastAsia="zh-CN"/>
        </w:rPr>
        <w:t xml:space="preserve">消防维保</w:t>
      </w:r>
      <w:r>
        <w:rPr>
          <w:rFonts w:hint="eastAsia" w:ascii="宋体" w:hAnsi="宋体"/>
          <w:bCs/>
          <w:sz w:val="24"/>
          <w:szCs w:val="24"/>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w:t>
      </w:r>
      <w:r>
        <w:rPr>
          <w:rFonts w:hint="eastAsia" w:ascii="宋体" w:hAnsi="宋体"/>
          <w:bCs/>
          <w:color w:val="0000ff"/>
          <w:sz w:val="24"/>
          <w:szCs w:val="24"/>
        </w:rPr>
        <w:t xml:space="preserve">。</w:t>
      </w:r>
      <w:r>
        <w:rPr>
          <w:rFonts w:hint="eastAsia" w:ascii="宋体" w:hAnsi="宋体"/>
          <w:bCs/>
          <w:sz w:val="24"/>
          <w:szCs w:val="24"/>
        </w:rPr>
        <w:t xml:space="preserve">采购合同分包履行的，中标供应商就采购项目和分包项目向采购人负责，分包供应商就分包项目承担责任。分包承担主体（即分包供应商）应当具备相应资质条件且不得再次分包。</w:t>
      </w:r>
      <w:r/>
    </w:p>
    <w:p>
      <w:pPr>
        <w:ind w:firstLine="480"/>
        <w:spacing w:line="360" w:lineRule="auto"/>
        <w:rPr>
          <w:rFonts w:ascii="宋体" w:hAnsi="宋体"/>
          <w:bCs/>
          <w:sz w:val="24"/>
          <w:szCs w:val="24"/>
        </w:rPr>
      </w:pPr>
      <w:r>
        <w:rPr>
          <w:rFonts w:hint="eastAsia" w:ascii="宋体" w:hAnsi="宋体"/>
          <w:bCs/>
          <w:sz w:val="24"/>
          <w:szCs w:val="24"/>
        </w:rPr>
        <w:t xml:space="preserve">（2）关于分包事项投标人或分包供应商应具备的资质条件要求</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【分包事项</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分包具体内容：消防维保</w:t>
      </w:r>
      <w:r/>
    </w:p>
    <w:p>
      <w:pPr>
        <w:ind w:firstLine="480"/>
        <w:spacing w:line="360" w:lineRule="auto"/>
        <w:rPr>
          <w:rFonts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分包金额或比例：不超过预算金额的2.51%</w:t>
      </w:r>
      <w:r/>
    </w:p>
    <w:p>
      <w:pPr>
        <w:ind w:firstLine="480"/>
        <w:spacing w:line="360" w:lineRule="auto"/>
        <w:rPr>
          <w:rFonts w:ascii="宋体" w:hAnsi="宋体"/>
          <w:bCs/>
          <w:color w:val="0000ff"/>
          <w:sz w:val="24"/>
          <w:szCs w:val="24"/>
        </w:rPr>
      </w:pPr>
      <w:r>
        <w:rPr>
          <w:rFonts w:hint="eastAsia" w:ascii="宋体" w:hAnsi="宋体"/>
          <w:bCs/>
          <w:color w:val="000000"/>
          <w:sz w:val="24"/>
          <w:szCs w:val="24"/>
          <w:highlight w:val="none"/>
          <w:lang w:val="en-US" w:eastAsia="zh-CN"/>
        </w:rPr>
        <w:t xml:space="preserve">投标人或分包供应商资质条件：供应商具备社会消防技术服务信息系统中消防设施维护保养检测类企业，以“社会消防技术服务信息系统”网站查询结果为准。</w:t>
      </w:r>
      <w:r/>
    </w:p>
    <w:p>
      <w:pPr>
        <w:ind w:firstLine="480"/>
        <w:spacing w:line="360" w:lineRule="auto"/>
        <w:rPr>
          <w:rFonts w:ascii="宋体" w:hAnsi="宋体"/>
          <w:bCs/>
          <w:sz w:val="24"/>
          <w:szCs w:val="24"/>
        </w:rPr>
      </w:pPr>
      <w:r>
        <w:rPr>
          <w:rFonts w:hint="eastAsia" w:ascii="宋体" w:hAnsi="宋体"/>
          <w:bCs/>
          <w:sz w:val="24"/>
          <w:szCs w:val="24"/>
        </w:rPr>
        <w:t xml:space="preserve">（3）投标人须提供的材料</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p>
    <w:p>
      <w:pPr>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p>
    <w:p>
      <w:pPr>
        <w:ind w:firstLine="480"/>
        <w:spacing w:line="360" w:lineRule="auto"/>
        <w:rPr>
          <w:rFonts w:ascii="宋体" w:hAnsi="宋体"/>
          <w:bCs/>
          <w:sz w:val="24"/>
          <w:szCs w:val="24"/>
        </w:rPr>
      </w:pPr>
      <w:r>
        <w:rPr>
          <w:rFonts w:hint="eastAsia" w:ascii="宋体" w:hAnsi="宋体"/>
          <w:bCs/>
          <w:sz w:val="24"/>
          <w:szCs w:val="24"/>
        </w:rPr>
        <w:t xml:space="preserve">（4）关于中小企业的要求</w:t>
      </w:r>
      <w:r/>
    </w:p>
    <w:p>
      <w:pPr>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p>
    <w:p>
      <w:pPr>
        <w:ind w:firstLine="480"/>
        <w:spacing w:line="360" w:lineRule="auto"/>
        <w:rPr>
          <w:rFonts w:ascii="宋体" w:hAnsi="宋体"/>
          <w:bCs/>
          <w:sz w:val="24"/>
          <w:szCs w:val="24"/>
        </w:rPr>
      </w:pPr>
      <w:r>
        <w:rPr>
          <w:rFonts w:hint="eastAsia" w:ascii="宋体" w:hAnsi="宋体"/>
          <w:bCs/>
          <w:sz w:val="24"/>
          <w:szCs w:val="24"/>
        </w:rPr>
        <w:t xml:space="preserve">（5）其他要求</w:t>
      </w:r>
      <w:r/>
    </w:p>
    <w:p>
      <w:pPr>
        <w:ind w:firstLine="480"/>
        <w:spacing w:line="360" w:lineRule="auto"/>
        <w:rPr>
          <w:rFonts w:ascii="宋体" w:hAnsi="宋体"/>
          <w:bCs/>
          <w:sz w:val="24"/>
          <w:szCs w:val="24"/>
        </w:rPr>
      </w:pPr>
      <w:r>
        <w:rPr>
          <w:rFonts w:hint="eastAsia" w:ascii="宋体" w:hAnsi="宋体"/>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ascii="宋体" w:hAnsi="宋体"/>
          <w:b/>
          <w:color w:val="000000"/>
          <w:sz w:val="30"/>
          <w:szCs w:val="30"/>
          <w:u w:val="none"/>
        </w:rPr>
      </w:pPr>
      <w:r>
        <w:rPr>
          <w:rFonts w:ascii="宋体" w:hAnsi="宋体"/>
          <w:bCs/>
          <w:sz w:val="24"/>
          <w:szCs w:val="24"/>
        </w:rPr>
        <w:br w:type="page" w:clear="all"/>
      </w:r>
      <w:r>
        <w:rPr>
          <w:rFonts w:hint="eastAsia" w:ascii="宋体" w:hAnsi="宋体"/>
          <w:b/>
          <w:color w:val="auto"/>
          <w:sz w:val="30"/>
          <w:szCs w:val="30"/>
          <w:highlight w:val="none"/>
          <w:u w:val="none"/>
        </w:rPr>
        <w:t xml:space="preserve">第二部分  有关说明</w:t>
      </w:r>
      <w:r/>
    </w:p>
    <w:p>
      <w:pPr>
        <w:numPr>
          <w:ilvl w:val="1"/>
          <w:numId w:val="6"/>
        </w:numPr>
        <w:ind w:left="0" w:firstLine="480"/>
        <w:spacing w:line="360" w:lineRule="auto"/>
        <w:tabs>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p>
    <w:p>
      <w:pPr>
        <w:numPr>
          <w:ilvl w:val="1"/>
          <w:numId w:val="6"/>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p>
    <w:p>
      <w:pPr>
        <w:numPr>
          <w:ilvl w:val="1"/>
          <w:numId w:val="6"/>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eastAsia="宋体" w:cs="Times New Roman"/>
          <w:bCs/>
          <w:color w:val="000000"/>
          <w:sz w:val="24"/>
          <w:highlight w:val="none"/>
        </w:rPr>
      </w:pPr>
      <w:r>
        <w:rPr>
          <w:rFonts w:hint="eastAsia" w:ascii="宋体" w:hAnsi="宋体"/>
          <w:bCs/>
          <w:color w:val="000000"/>
          <w:sz w:val="24"/>
          <w:szCs w:val="24"/>
        </w:rPr>
        <w:t xml:space="preserve">投标人必须在满足采购文件要求的基础上进行报价，如有服务偏离请于投标偏离表</w:t>
      </w:r>
      <w:r>
        <w:rPr>
          <w:rFonts w:hint="eastAsia" w:ascii="宋体" w:hAnsi="宋体" w:eastAsia="宋体" w:cs="Times New Roman"/>
          <w:bCs/>
          <w:color w:val="000000"/>
          <w:sz w:val="24"/>
          <w:highlight w:val="none"/>
        </w:rPr>
        <w:t xml:space="preserve">中说明。</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服务期限：自合同签订生效之日起一年</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付款方式：物业服务费按季度支付，第二季度次月中旬根据管理考核标准，结合物业服务考核结果，支付第一季度费用，以此类推</w:t>
      </w:r>
      <w:r>
        <w:rPr>
          <w:rFonts w:hint="eastAsia" w:ascii="宋体" w:hAnsi="宋体" w:eastAsia="宋体" w:cs="Times New Roman"/>
          <w:bCs/>
          <w:color w:val="000000"/>
          <w:sz w:val="24"/>
          <w:highlight w:val="none"/>
          <w:lang w:eastAsia="zh-CN"/>
        </w:rPr>
        <w:t xml:space="preserve">。</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中标（成交）供应商以履约保函（保险）形式按签约合同价的</w:t>
      </w:r>
      <w:r>
        <w:rPr>
          <w:rFonts w:hint="eastAsia" w:ascii="宋体" w:hAnsi="宋体" w:eastAsia="宋体" w:cs="Times New Roman"/>
          <w:bCs/>
          <w:color w:val="000000"/>
          <w:sz w:val="24"/>
          <w:highlight w:val="none"/>
          <w:lang w:val="en-US" w:eastAsia="zh-CN"/>
        </w:rPr>
        <w:t xml:space="preserve">7</w:t>
      </w:r>
      <w:r>
        <w:rPr>
          <w:rFonts w:hint="eastAsia" w:ascii="宋体" w:hAnsi="宋体" w:eastAsia="宋体" w:cs="Times New Roman"/>
          <w:bCs/>
          <w:color w:val="000000"/>
          <w:sz w:val="24"/>
          <w:highlight w:val="none"/>
        </w:rPr>
        <w:t xml:space="preserve">%提供履约担保。中标（成交）供应商可采用电子履约保函（保险）形式,具体操作可登录江苏政府采购网的保险保函模块进行办理。</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本项目合同履行地点：无锡市新吴区第一实验学校。中标方必须按采购人要求将本项目中货物送到指定地点(包括可能的分布范围)，并分地实施安装调试。</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根据《关于推</w:t>
      </w:r>
      <w:r>
        <w:rPr>
          <w:rFonts w:hint="eastAsia" w:ascii="宋体" w:hAnsi="宋体" w:eastAsia="宋体" w:cs="Times New Roman"/>
          <w:bCs/>
          <w:color w:val="000000"/>
          <w:sz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u w:val="none"/>
        </w:rPr>
        <w:t xml:space="preserve">第三部分  政府采购政策（包括但不限于下列具体政策要求）</w:t>
      </w:r>
      <w:r/>
    </w:p>
    <w:p>
      <w:pPr>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7"/>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7"/>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7"/>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202" w:name="OLE_LINK1"/>
      <w:r/>
      <w:bookmarkStart w:id="203" w:name="OLE_LINK2"/>
      <w:r>
        <w:rPr>
          <w:rFonts w:hint="eastAsia" w:ascii="宋体"/>
          <w:bCs/>
          <w:sz w:val="24"/>
          <w:szCs w:val="24"/>
        </w:rPr>
        <w:t xml:space="preserve">《保障中小企业款项支付条例》（中华人民共和国国务院令第802号）</w:t>
      </w:r>
      <w:bookmarkEnd w:id="202"/>
      <w:r/>
      <w:bookmarkEnd w:id="203"/>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204" w:name="_Toc120614281"/>
      <w:r>
        <w:rPr>
          <w:rFonts w:hint="eastAsia" w:ascii="黑体" w:hAnsi="黑体" w:eastAsia="黑体"/>
          <w:sz w:val="36"/>
          <w:szCs w:val="36"/>
        </w:rPr>
        <w:t xml:space="preserve">第五章  评标方法与评标标准</w:t>
      </w:r>
      <w:r/>
    </w:p>
    <w:p>
      <w:pPr>
        <w:pStyle w:val="758"/>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758"/>
        <w:spacing w:before="0" w:after="0" w:line="500" w:lineRule="exact"/>
        <w:rPr>
          <w:rFonts w:hint="eastAsia" w:cs="Arial"/>
        </w:rPr>
      </w:pPr>
      <w:r>
        <w:rPr>
          <w:rFonts w:hint="eastAsia" w:cs="Arial"/>
        </w:rPr>
        <w:t xml:space="preserve">投标人通过初审的，方可进入比较与评价程序。</w:t>
      </w:r>
      <w:r/>
    </w:p>
    <w:p>
      <w:pPr>
        <w:pStyle w:val="758"/>
        <w:spacing w:before="0" w:after="0" w:line="500" w:lineRule="exact"/>
        <w:rPr>
          <w:rFonts w:hint="eastAsia" w:cs="Arial"/>
        </w:rPr>
      </w:pPr>
      <w:r>
        <w:rPr>
          <w:rFonts w:hint="eastAsia" w:cs="Arial"/>
        </w:rPr>
        <w:t xml:space="preserve">比较与评价采用综合评分法。</w:t>
      </w:r>
      <w:r/>
    </w:p>
    <w:p>
      <w:pPr>
        <w:pStyle w:val="758"/>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758"/>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758"/>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758"/>
        <w:ind w:firstLine="562"/>
        <w:spacing w:before="0" w:after="0" w:line="500" w:lineRule="exact"/>
        <w:rPr>
          <w:rFonts w:hint="eastAsia" w:ascii="宋体" w:hAnsi="宋体"/>
          <w:b/>
          <w:sz w:val="28"/>
          <w:szCs w:val="28"/>
          <w:highlight w:val="none"/>
        </w:rPr>
      </w:pPr>
      <w:r>
        <w:rPr>
          <w:rFonts w:hint="eastAsia" w:ascii="宋体" w:hAnsi="宋体"/>
          <w:b/>
          <w:sz w:val="28"/>
          <w:szCs w:val="28"/>
          <w:highlight w:val="none"/>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对小型和微型企业产品的价</w:t>
      </w:r>
      <w:r>
        <w:rPr>
          <w:rFonts w:hint="eastAsia" w:ascii="宋体" w:hAnsi="宋体"/>
          <w:bCs/>
          <w:sz w:val="24"/>
          <w:szCs w:val="24"/>
        </w:rPr>
        <w:t xml:space="preserve">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rPr>
          <w:rFonts w:ascii="宋体" w:hAnsi="宋体"/>
          <w:highlight w:val="yellow"/>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758"/>
        <w:ind w:firstLine="422"/>
        <w:spacing w:before="0" w:after="0" w:line="500" w:lineRule="exact"/>
        <w:rPr>
          <w:rFonts w:hint="eastAsia" w:ascii="宋体" w:hAnsi="宋体"/>
          <w:shd w:val="clear" w:color="ffffff" w:fill="d9d9d9"/>
        </w:rPr>
      </w:pPr>
      <w:r>
        <w:rPr>
          <w:rFonts w:hint="eastAsia" w:ascii="宋体" w:hAnsi="宋体"/>
          <w:b/>
          <w:sz w:val="28"/>
          <w:szCs w:val="28"/>
        </w:rPr>
        <w:t xml:space="preserve">二、评分标准</w:t>
      </w:r>
      <w:r/>
    </w:p>
    <w:p>
      <w:pPr>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p>
    <w:p>
      <w:pPr>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人员配置</w:t>
      </w:r>
      <w:r>
        <w:rPr>
          <w:rFonts w:hint="eastAsia" w:ascii="宋体" w:hAnsi="宋体" w:eastAsia="宋体"/>
          <w:b/>
          <w:bCs/>
          <w:color w:val="000000"/>
          <w:sz w:val="24"/>
          <w:szCs w:val="24"/>
          <w:lang w:val="en-US" w:eastAsia="zh-CN"/>
        </w:rPr>
        <w:t xml:space="preserve">情况</w:t>
      </w: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11</w:t>
      </w:r>
      <w:r>
        <w:rPr>
          <w:rFonts w:hint="eastAsia" w:ascii="宋体" w:hAnsi="宋体"/>
          <w:b/>
          <w:bCs/>
          <w:color w:val="000000"/>
          <w:sz w:val="24"/>
          <w:szCs w:val="24"/>
        </w:rPr>
        <w:t xml:space="preserve">分）：</w:t>
      </w:r>
      <w:r/>
    </w:p>
    <w:p>
      <w:pPr>
        <w:numPr>
          <w:ilvl w:val="0"/>
          <w:numId w:val="0"/>
        </w:numPr>
        <w:ind w:firstLine="480"/>
        <w:keepLines w:val="0"/>
        <w:keepNext w:val="0"/>
        <w:pageBreakBefore w:val="0"/>
        <w:spacing w:after="80" w:line="360" w:lineRule="auto"/>
        <w:widowControl/>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考察投标人为本项目配备的重点人员配置情况，人员以填列的《项目人员配置考察表》为准（格式见附件），并按评分标准要求提供相应证明材料及表格要求提供所填人员社保证明，否则不得分。</w:t>
      </w:r>
      <w:r/>
    </w:p>
    <w:p>
      <w:pPr>
        <w:ind w:firstLine="480"/>
        <w:keepLines w:val="0"/>
        <w:keepNext w:val="0"/>
        <w:pageBreakBefore w:val="0"/>
        <w:spacing w:after="80" w:line="360" w:lineRule="auto"/>
        <w:widowControl/>
        <w:tabs>
          <w:tab w:val="left" w:pos="1155" w:leader="none"/>
        </w:tabs>
        <w:rPr>
          <w:rFonts w:hint="eastAsia" w:ascii="宋体" w:hAnsi="宋体" w:eastAsia="宋体" w:cs="宋体"/>
          <w:bCs/>
          <w:color w:val="000000"/>
          <w:sz w:val="24"/>
          <w:szCs w:val="24"/>
          <w:highlight w:val="none"/>
          <w:shd w:val="clear" w:color="auto" w:fill="auto"/>
          <w:lang w:val="en-US" w:eastAsia="zh-CN" w:bidi="ar-SA"/>
        </w:rPr>
      </w:pPr>
      <w:r>
        <w:rPr>
          <w:rFonts w:hint="eastAsia" w:ascii="宋体" w:hAnsi="宋体" w:eastAsia="宋体" w:cs="宋体"/>
          <w:bCs/>
          <w:color w:val="000000"/>
          <w:sz w:val="24"/>
          <w:szCs w:val="24"/>
          <w:highlight w:val="none"/>
          <w:shd w:val="clear" w:color="auto" w:fill="auto"/>
          <w:lang w:val="en-US" w:eastAsia="zh-CN" w:bidi="ar-SA"/>
        </w:rPr>
        <w:t xml:space="preserve">（1）</w:t>
      </w:r>
      <w:r>
        <w:rPr>
          <w:rFonts w:hint="eastAsia" w:ascii="宋体" w:hAnsi="宋体" w:eastAsia="宋体" w:cs="宋体"/>
          <w:bCs/>
          <w:color w:val="000000"/>
          <w:sz w:val="24"/>
          <w:szCs w:val="24"/>
          <w:highlight w:val="none"/>
          <w:shd w:val="clear" w:color="auto" w:fill="auto"/>
          <w:lang w:val="zh-CN" w:eastAsia="zh-CN" w:bidi="ar-SA"/>
        </w:rPr>
        <w:t xml:space="preserve">拟配物业项目</w:t>
      </w:r>
      <w:r>
        <w:rPr>
          <w:rFonts w:hint="eastAsia" w:ascii="宋体" w:hAnsi="宋体" w:eastAsia="宋体" w:cs="宋体"/>
          <w:bCs/>
          <w:color w:val="000000"/>
          <w:sz w:val="24"/>
          <w:szCs w:val="24"/>
          <w:highlight w:val="none"/>
          <w:shd w:val="clear" w:color="auto" w:fill="auto"/>
          <w:lang w:val="en-US" w:eastAsia="zh-CN" w:bidi="ar-SA"/>
        </w:rPr>
        <w:t xml:space="preserve">负责人</w:t>
      </w:r>
      <w:r>
        <w:rPr>
          <w:rFonts w:hint="eastAsia" w:ascii="宋体" w:hAnsi="宋体" w:eastAsia="宋体" w:cs="宋体"/>
          <w:bCs/>
          <w:color w:val="000000"/>
          <w:sz w:val="24"/>
          <w:szCs w:val="24"/>
          <w:highlight w:val="none"/>
          <w:shd w:val="clear" w:color="auto" w:fill="auto"/>
          <w:lang w:val="zh-CN" w:eastAsia="zh-CN" w:bidi="ar-SA"/>
        </w:rPr>
        <w:t xml:space="preserve">（</w:t>
      </w:r>
      <w:r>
        <w:rPr>
          <w:rFonts w:hint="eastAsia" w:ascii="宋体" w:hAnsi="宋体" w:eastAsia="宋体" w:cs="宋体"/>
          <w:bCs/>
          <w:color w:val="000000"/>
          <w:sz w:val="24"/>
          <w:szCs w:val="24"/>
          <w:highlight w:val="none"/>
          <w:shd w:val="clear" w:color="auto" w:fill="auto"/>
          <w:lang w:val="en-US" w:eastAsia="zh-CN" w:bidi="ar-SA"/>
        </w:rPr>
        <w:t xml:space="preserve">5分</w:t>
      </w:r>
      <w:r>
        <w:rPr>
          <w:rFonts w:hint="eastAsia" w:ascii="宋体" w:hAnsi="宋体" w:eastAsia="宋体" w:cs="宋体"/>
          <w:bCs/>
          <w:color w:val="000000"/>
          <w:sz w:val="24"/>
          <w:szCs w:val="24"/>
          <w:highlight w:val="none"/>
          <w:shd w:val="clear" w:color="auto" w:fill="auto"/>
          <w:lang w:val="zh-CN" w:eastAsia="zh-CN" w:bidi="ar-SA"/>
        </w:rPr>
        <w:t xml:space="preserve">）</w:t>
      </w:r>
      <w:r>
        <w:rPr>
          <w:rFonts w:hint="eastAsia" w:ascii="宋体" w:hAnsi="宋体" w:eastAsia="宋体" w:cs="宋体"/>
          <w:bCs/>
          <w:color w:val="000000"/>
          <w:sz w:val="24"/>
          <w:szCs w:val="24"/>
          <w:highlight w:val="none"/>
          <w:shd w:val="clear" w:color="auto" w:fill="auto"/>
          <w:lang w:val="en-US" w:eastAsia="zh-CN" w:bidi="ar-SA"/>
        </w:rPr>
        <w:t xml:space="preserve">：</w:t>
      </w:r>
      <w:r/>
    </w:p>
    <w:p>
      <w:pPr>
        <w:ind w:firstLine="480"/>
        <w:keepLines w:val="0"/>
        <w:keepNext w:val="0"/>
        <w:pageBreakBefore w:val="0"/>
        <w:spacing w:after="80" w:line="360" w:lineRule="auto"/>
        <w:widowControl/>
        <w:tabs>
          <w:tab w:val="left" w:pos="1155" w:leader="none"/>
        </w:tabs>
        <w:rPr>
          <w:rFonts w:hint="eastAsia" w:ascii="宋体" w:hAnsi="宋体" w:eastAsia="宋体" w:cs="宋体"/>
          <w:bCs/>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rPr>
        <w:t xml:space="preserve">项目负责人：</w:t>
      </w:r>
      <w:r>
        <w:rPr>
          <w:rFonts w:hint="eastAsia" w:ascii="宋体" w:hAnsi="宋体" w:eastAsia="宋体" w:cs="宋体"/>
          <w:color w:val="000000"/>
          <w:sz w:val="24"/>
          <w:szCs w:val="24"/>
          <w:highlight w:val="none"/>
          <w:shd w:val="clear" w:color="auto" w:fill="auto"/>
          <w:lang w:val="en-US" w:eastAsia="zh-CN"/>
        </w:rPr>
        <w:t xml:space="preserve">40</w:t>
      </w:r>
      <w:r>
        <w:rPr>
          <w:rFonts w:hint="eastAsia" w:ascii="宋体" w:hAnsi="宋体" w:eastAsia="宋体" w:cs="宋体"/>
          <w:color w:val="000000"/>
          <w:sz w:val="24"/>
          <w:szCs w:val="24"/>
          <w:highlight w:val="none"/>
          <w:shd w:val="clear" w:color="auto" w:fill="auto"/>
        </w:rPr>
        <w:t xml:space="preserve">周岁（含）以下得</w:t>
      </w:r>
      <w:r>
        <w:rPr>
          <w:rFonts w:hint="eastAsia" w:ascii="宋体" w:hAnsi="宋体" w:eastAsia="宋体" w:cs="宋体"/>
          <w:color w:val="000000"/>
          <w:sz w:val="24"/>
          <w:szCs w:val="24"/>
          <w:highlight w:val="none"/>
          <w:shd w:val="clear" w:color="auto" w:fill="auto"/>
          <w:lang w:val="en-US" w:eastAsia="zh-CN"/>
        </w:rPr>
        <w:t xml:space="preserve">1</w:t>
      </w:r>
      <w:r>
        <w:rPr>
          <w:rFonts w:hint="eastAsia" w:ascii="宋体" w:hAnsi="宋体" w:eastAsia="宋体" w:cs="宋体"/>
          <w:color w:val="000000"/>
          <w:sz w:val="24"/>
          <w:szCs w:val="24"/>
          <w:highlight w:val="none"/>
          <w:shd w:val="clear" w:color="auto" w:fill="auto"/>
        </w:rPr>
        <w:t xml:space="preserve">分；具有</w:t>
      </w:r>
      <w:r>
        <w:rPr>
          <w:rFonts w:hint="eastAsia" w:ascii="宋体" w:hAnsi="宋体" w:eastAsia="宋体" w:cs="宋体"/>
          <w:color w:val="000000"/>
          <w:sz w:val="24"/>
          <w:szCs w:val="24"/>
          <w:highlight w:val="none"/>
          <w:shd w:val="clear" w:color="auto" w:fill="auto"/>
          <w:lang w:val="en-US" w:eastAsia="zh-CN"/>
        </w:rPr>
        <w:t xml:space="preserve">大专</w:t>
      </w:r>
      <w:r>
        <w:rPr>
          <w:rFonts w:hint="eastAsia" w:ascii="宋体" w:hAnsi="宋体" w:eastAsia="宋体" w:cs="宋体"/>
          <w:color w:val="000000"/>
          <w:sz w:val="24"/>
          <w:szCs w:val="24"/>
          <w:highlight w:val="none"/>
          <w:shd w:val="clear" w:color="auto" w:fill="auto"/>
        </w:rPr>
        <w:t xml:space="preserve">（含）以上学历</w:t>
      </w:r>
      <w:r>
        <w:rPr>
          <w:rFonts w:hint="eastAsia" w:ascii="宋体" w:hAnsi="宋体" w:eastAsia="宋体" w:cs="宋体"/>
          <w:color w:val="000000"/>
          <w:sz w:val="24"/>
          <w:szCs w:val="24"/>
          <w:highlight w:val="none"/>
          <w:shd w:val="clear" w:color="auto" w:fill="auto"/>
          <w:lang w:eastAsia="zh-CN"/>
        </w:rPr>
        <w:t xml:space="preserve">的</w:t>
      </w:r>
      <w:r>
        <w:rPr>
          <w:rFonts w:hint="eastAsia" w:ascii="宋体" w:hAnsi="宋体" w:eastAsia="宋体" w:cs="宋体"/>
          <w:color w:val="000000"/>
          <w:sz w:val="24"/>
          <w:szCs w:val="24"/>
          <w:highlight w:val="none"/>
          <w:shd w:val="clear" w:color="auto" w:fill="auto"/>
          <w:lang w:val="en-US" w:eastAsia="zh-CN"/>
        </w:rPr>
        <w:t xml:space="preserve">得1分；</w:t>
      </w:r>
      <w:r>
        <w:rPr>
          <w:rFonts w:hint="eastAsia" w:ascii="宋体" w:hAnsi="宋体" w:eastAsia="宋体" w:cs="宋体"/>
          <w:sz w:val="24"/>
          <w:highlight w:val="none"/>
        </w:rPr>
        <w:t xml:space="preserve">具有</w:t>
      </w:r>
      <w:r>
        <w:rPr>
          <w:rFonts w:hint="eastAsia" w:ascii="宋体" w:hAnsi="宋体" w:eastAsia="宋体" w:cs="宋体"/>
          <w:sz w:val="24"/>
          <w:szCs w:val="24"/>
          <w:highlight w:val="none"/>
          <w:lang w:val="zh-CN"/>
        </w:rPr>
        <w:t xml:space="preserve">全国物业管理企业经理岗位证书或物业管理项目经理岗位技能证书</w:t>
      </w:r>
      <w:r>
        <w:rPr>
          <w:rFonts w:hint="eastAsia" w:ascii="宋体" w:hAnsi="宋体" w:eastAsia="宋体" w:cs="宋体"/>
          <w:sz w:val="24"/>
          <w:szCs w:val="24"/>
          <w:highlight w:val="none"/>
        </w:rPr>
        <w:t xml:space="preserve">的得1分；</w:t>
      </w:r>
      <w:r>
        <w:rPr>
          <w:rFonts w:hint="eastAsia" w:ascii="宋体" w:hAnsi="宋体" w:eastAsia="宋体" w:cs="宋体"/>
          <w:bCs/>
          <w:color w:val="000000"/>
          <w:sz w:val="24"/>
          <w:szCs w:val="24"/>
          <w:highlight w:val="none"/>
          <w:shd w:val="clear" w:color="auto" w:fill="auto"/>
          <w:lang w:val="en-US" w:eastAsia="zh-CN" w:bidi="ar-SA"/>
        </w:rPr>
        <w:t xml:space="preserve">具有行政主管部门颁发的三级（高级）及以上保安员证书的得1分；</w:t>
      </w:r>
      <w:r>
        <w:rPr>
          <w:rFonts w:hint="eastAsia" w:ascii="宋体" w:hAnsi="宋体" w:eastAsia="宋体" w:cs="宋体"/>
          <w:bCs/>
          <w:color w:val="000000"/>
          <w:sz w:val="24"/>
          <w:szCs w:val="24"/>
          <w:highlight w:val="none"/>
          <w:shd w:val="clear" w:color="auto" w:fill="auto"/>
          <w:lang w:val="en-US" w:eastAsia="zh-CN"/>
        </w:rPr>
        <w:t xml:space="preserve">具有中级及以上消防设施操作员证或者中级及以上</w:t>
      </w:r>
      <w:r>
        <w:rPr>
          <w:rFonts w:hint="eastAsia" w:ascii="宋体" w:hAnsi="宋体" w:eastAsia="宋体" w:cs="宋体"/>
          <w:b w:val="0"/>
          <w:bCs/>
          <w:color w:val="000000"/>
          <w:sz w:val="24"/>
          <w:szCs w:val="24"/>
          <w:highlight w:val="none"/>
          <w:shd w:val="clear" w:color="auto" w:fill="auto"/>
          <w:lang w:val="en-US" w:eastAsia="zh-CN"/>
        </w:rPr>
        <w:t xml:space="preserve">建（构）筑物消防员证得1分</w:t>
      </w:r>
      <w:r>
        <w:rPr>
          <w:rFonts w:hint="eastAsia" w:ascii="宋体" w:hAnsi="宋体" w:eastAsia="宋体" w:cs="宋体"/>
          <w:b/>
          <w:bCs/>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rPr>
        <w:t xml:space="preserve">本项最高得</w:t>
      </w:r>
      <w:r>
        <w:rPr>
          <w:rFonts w:hint="eastAsia" w:ascii="宋体" w:hAnsi="宋体" w:eastAsia="宋体" w:cs="宋体"/>
          <w:color w:val="000000"/>
          <w:sz w:val="24"/>
          <w:szCs w:val="24"/>
          <w:highlight w:val="none"/>
          <w:shd w:val="clear" w:color="auto" w:fill="auto"/>
          <w:lang w:val="en-US" w:eastAsia="zh-CN"/>
        </w:rPr>
        <w:t xml:space="preserve">5</w:t>
      </w:r>
      <w:r>
        <w:rPr>
          <w:rFonts w:hint="eastAsia" w:ascii="宋体" w:hAnsi="宋体" w:eastAsia="宋体" w:cs="宋体"/>
          <w:color w:val="000000"/>
          <w:sz w:val="24"/>
          <w:szCs w:val="24"/>
          <w:highlight w:val="none"/>
          <w:shd w:val="clear" w:color="auto" w:fill="auto"/>
        </w:rPr>
        <w:t xml:space="preserve">分</w:t>
      </w:r>
      <w:r>
        <w:rPr>
          <w:rFonts w:hint="eastAsia" w:ascii="宋体" w:hAnsi="宋体" w:eastAsia="宋体" w:cs="宋体"/>
          <w:b/>
          <w:bCs/>
          <w:color w:val="000000"/>
          <w:sz w:val="24"/>
          <w:szCs w:val="24"/>
          <w:highlight w:val="none"/>
          <w:shd w:val="clear" w:color="auto" w:fill="auto"/>
        </w:rPr>
        <w:t xml:space="preserve">【提供项目负责人身份证、相关证书</w:t>
      </w:r>
      <w:r>
        <w:rPr>
          <w:rFonts w:hint="eastAsia" w:ascii="宋体" w:hAnsi="宋体" w:eastAsia="宋体" w:cs="宋体"/>
          <w:b/>
          <w:bCs/>
          <w:color w:val="000000"/>
          <w:sz w:val="24"/>
          <w:szCs w:val="24"/>
          <w:highlight w:val="none"/>
          <w:shd w:val="clear" w:color="auto" w:fill="auto"/>
          <w:lang w:eastAsia="zh-CN"/>
        </w:rPr>
        <w:t xml:space="preserve">、</w:t>
      </w:r>
      <w:r>
        <w:rPr>
          <w:rFonts w:hint="eastAsia" w:ascii="宋体" w:hAnsi="宋体" w:eastAsia="宋体" w:cs="宋体"/>
          <w:b/>
          <w:bCs/>
          <w:color w:val="000000"/>
          <w:sz w:val="24"/>
          <w:szCs w:val="24"/>
          <w:highlight w:val="none"/>
          <w:shd w:val="clear" w:color="auto" w:fill="auto"/>
        </w:rPr>
        <w:t xml:space="preserve">劳动合同以及</w:t>
      </w:r>
      <w:r>
        <w:rPr>
          <w:rFonts w:hint="eastAsia" w:ascii="宋体" w:hAnsi="宋体" w:eastAsia="宋体" w:cs="宋体"/>
          <w:b/>
          <w:bCs/>
          <w:color w:val="000000"/>
          <w:sz w:val="24"/>
          <w:szCs w:val="24"/>
          <w:highlight w:val="none"/>
          <w:shd w:val="clear" w:color="auto" w:fill="auto"/>
          <w:lang w:val="zh-CN"/>
        </w:rPr>
        <w:t xml:space="preserve">投标人近</w:t>
      </w:r>
      <w:r>
        <w:rPr>
          <w:rFonts w:hint="eastAsia" w:ascii="宋体" w:hAnsi="宋体" w:eastAsia="宋体" w:cs="宋体"/>
          <w:b/>
          <w:bCs/>
          <w:color w:val="000000"/>
          <w:sz w:val="24"/>
          <w:szCs w:val="24"/>
          <w:highlight w:val="none"/>
          <w:shd w:val="clear" w:color="auto" w:fill="auto"/>
          <w:lang w:val="en-US" w:eastAsia="zh-CN"/>
        </w:rPr>
        <w:t xml:space="preserve">一年中任意一个月</w:t>
      </w:r>
      <w:r>
        <w:rPr>
          <w:rFonts w:hint="eastAsia" w:ascii="宋体" w:hAnsi="宋体" w:eastAsia="宋体" w:cs="宋体"/>
          <w:b/>
          <w:bCs/>
          <w:color w:val="000000"/>
          <w:sz w:val="24"/>
          <w:szCs w:val="24"/>
          <w:highlight w:val="none"/>
          <w:shd w:val="clear" w:color="auto" w:fill="auto"/>
          <w:lang w:val="zh-CN"/>
        </w:rPr>
        <w:t xml:space="preserve">（不含投标当月）为其缴纳社保的缴费证明（需提供带有清晰二维码的官网</w:t>
      </w:r>
      <w:r>
        <w:rPr>
          <w:rFonts w:hint="eastAsia" w:ascii="宋体" w:hAnsi="宋体" w:eastAsia="宋体" w:cs="宋体"/>
          <w:b/>
          <w:bCs/>
          <w:color w:val="000000"/>
          <w:sz w:val="24"/>
          <w:szCs w:val="24"/>
          <w:highlight w:val="none"/>
          <w:shd w:val="clear" w:color="auto" w:fill="auto"/>
        </w:rPr>
        <w:t xml:space="preserve">扫描</w:t>
      </w:r>
      <w:r>
        <w:rPr>
          <w:rFonts w:hint="eastAsia" w:ascii="宋体" w:hAnsi="宋体" w:eastAsia="宋体" w:cs="宋体"/>
          <w:b/>
          <w:bCs/>
          <w:color w:val="000000"/>
          <w:sz w:val="24"/>
          <w:szCs w:val="24"/>
          <w:highlight w:val="none"/>
          <w:shd w:val="clear" w:color="auto" w:fill="auto"/>
          <w:lang w:val="zh-CN"/>
        </w:rPr>
        <w:t xml:space="preserve">件）</w:t>
      </w:r>
      <w:r>
        <w:rPr>
          <w:rFonts w:hint="eastAsia" w:ascii="宋体" w:hAnsi="宋体" w:eastAsia="宋体" w:cs="宋体"/>
          <w:b/>
          <w:bCs/>
          <w:color w:val="000000"/>
          <w:sz w:val="24"/>
          <w:szCs w:val="24"/>
          <w:highlight w:val="none"/>
          <w:shd w:val="clear" w:color="auto" w:fill="auto"/>
        </w:rPr>
        <w:t xml:space="preserve">等资料扫描件上传至投标文件</w:t>
      </w:r>
      <w:r>
        <w:rPr>
          <w:rFonts w:hint="eastAsia" w:ascii="宋体" w:hAnsi="宋体" w:eastAsia="宋体" w:cs="宋体"/>
          <w:b/>
          <w:bCs/>
          <w:color w:val="000000"/>
          <w:sz w:val="24"/>
          <w:szCs w:val="24"/>
          <w:highlight w:val="none"/>
          <w:shd w:val="clear" w:color="auto" w:fill="auto"/>
          <w:lang w:val="en-US" w:eastAsia="zh-CN"/>
        </w:rPr>
        <w:t xml:space="preserve">中并加盖投标人电子签章</w:t>
      </w:r>
      <w:r>
        <w:rPr>
          <w:rFonts w:hint="eastAsia" w:ascii="宋体" w:hAnsi="宋体" w:eastAsia="宋体" w:cs="宋体"/>
          <w:b/>
          <w:bCs/>
          <w:color w:val="000000"/>
          <w:sz w:val="24"/>
          <w:szCs w:val="24"/>
          <w:highlight w:val="none"/>
          <w:shd w:val="clear" w:color="auto" w:fill="auto"/>
        </w:rPr>
        <w:t xml:space="preserve">，未按要求提供不得分】</w:t>
      </w:r>
      <w:r/>
    </w:p>
    <w:p>
      <w:pPr>
        <w:numPr>
          <w:ilvl w:val="0"/>
          <w:numId w:val="0"/>
        </w:numPr>
        <w:keepLines w:val="0"/>
        <w:keepNext w:val="0"/>
        <w:pageBreakBefore w:val="0"/>
        <w:spacing w:after="80" w:line="360" w:lineRule="auto"/>
        <w:widowControl/>
        <w:rPr>
          <w:rFonts w:hint="eastAsia" w:ascii="宋体" w:hAnsi="宋体" w:eastAsia="宋体" w:cs="宋体"/>
          <w:color w:val="auto"/>
          <w:sz w:val="24"/>
          <w:highlight w:val="none"/>
        </w:rPr>
      </w:pPr>
      <w:r>
        <w:rPr>
          <w:rFonts w:hint="eastAsia" w:ascii="宋体" w:hAnsi="宋体" w:eastAsia="宋体" w:cs="宋体"/>
          <w:bCs/>
          <w:color w:val="000000"/>
          <w:sz w:val="24"/>
          <w:szCs w:val="24"/>
          <w:highlight w:val="none"/>
          <w:shd w:val="clear" w:color="auto" w:fill="auto"/>
          <w:lang w:val="en-US" w:eastAsia="zh-CN" w:bidi="ar-SA"/>
        </w:rPr>
        <w:t xml:space="preserve">（2）</w:t>
      </w:r>
      <w:r>
        <w:rPr>
          <w:rFonts w:hint="eastAsia" w:ascii="宋体" w:hAnsi="宋体" w:eastAsia="宋体" w:cs="宋体"/>
          <w:bCs/>
          <w:color w:val="auto"/>
          <w:sz w:val="24"/>
          <w:szCs w:val="21"/>
          <w:highlight w:val="none"/>
          <w:lang w:val="zh-CN"/>
        </w:rPr>
        <w:t xml:space="preserve">管理人员配置（</w:t>
      </w:r>
      <w:r>
        <w:rPr>
          <w:rFonts w:hint="eastAsia" w:ascii="宋体" w:hAnsi="宋体" w:eastAsia="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lang w:val="zh-CN"/>
        </w:rPr>
        <w:t xml:space="preserve">分）</w:t>
      </w:r>
      <w:r/>
    </w:p>
    <w:p>
      <w:pPr>
        <w:ind w:firstLine="480"/>
        <w:keepLines w:val="0"/>
        <w:keepNext w:val="0"/>
        <w:pageBreakBefore w:val="0"/>
        <w:spacing w:after="80" w:line="360" w:lineRule="auto"/>
        <w:widowControl/>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lang w:val="zh-CN"/>
        </w:rPr>
        <w:t xml:space="preserve">①保洁主管（</w:t>
      </w:r>
      <w:r>
        <w:rPr>
          <w:rFonts w:hint="eastAsia" w:ascii="宋体" w:hAnsi="宋体" w:eastAsia="宋体" w:cs="宋体"/>
          <w:bCs/>
          <w:color w:val="auto"/>
          <w:sz w:val="24"/>
          <w:szCs w:val="21"/>
          <w:highlight w:val="none"/>
          <w:lang w:val="en-US" w:eastAsia="zh-CN"/>
        </w:rPr>
        <w:t xml:space="preserve">3</w:t>
      </w:r>
      <w:r>
        <w:rPr>
          <w:rFonts w:hint="eastAsia" w:ascii="宋体" w:hAnsi="宋体" w:eastAsia="宋体" w:cs="宋体"/>
          <w:bCs/>
          <w:color w:val="auto"/>
          <w:sz w:val="24"/>
          <w:szCs w:val="21"/>
          <w:highlight w:val="none"/>
          <w:lang w:val="zh-CN"/>
        </w:rPr>
        <w:t xml:space="preserve">分）：</w:t>
      </w:r>
      <w:r>
        <w:rPr>
          <w:rFonts w:hint="eastAsia" w:ascii="宋体" w:hAnsi="宋体" w:eastAsia="宋体" w:cs="宋体"/>
          <w:bCs/>
          <w:color w:val="auto"/>
          <w:sz w:val="24"/>
          <w:szCs w:val="21"/>
          <w:highlight w:val="none"/>
          <w:lang w:val="en-US" w:eastAsia="zh-CN"/>
        </w:rPr>
        <w:t xml:space="preserve">40</w:t>
      </w:r>
      <w:r>
        <w:rPr>
          <w:rFonts w:hint="eastAsia" w:ascii="宋体" w:hAnsi="宋体" w:eastAsia="宋体" w:cs="宋体"/>
          <w:bCs/>
          <w:color w:val="auto"/>
          <w:sz w:val="24"/>
          <w:szCs w:val="21"/>
          <w:highlight w:val="none"/>
          <w:lang w:val="zh-CN"/>
        </w:rPr>
        <w:t xml:space="preserve">周岁以下得</w:t>
      </w:r>
      <w:r>
        <w:rPr>
          <w:rFonts w:hint="eastAsia" w:ascii="宋体" w:hAnsi="宋体" w:eastAsia="宋体" w:cs="宋体"/>
          <w:bCs/>
          <w:color w:val="auto"/>
          <w:sz w:val="24"/>
          <w:szCs w:val="21"/>
          <w:highlight w:val="none"/>
          <w:lang w:val="en-US" w:eastAsia="zh-CN"/>
        </w:rPr>
        <w:t xml:space="preserve">1</w:t>
      </w:r>
      <w:r>
        <w:rPr>
          <w:rFonts w:hint="eastAsia" w:ascii="宋体" w:hAnsi="宋体" w:eastAsia="宋体" w:cs="宋体"/>
          <w:bCs/>
          <w:color w:val="auto"/>
          <w:sz w:val="24"/>
          <w:szCs w:val="21"/>
          <w:highlight w:val="none"/>
          <w:lang w:val="zh-CN"/>
        </w:rPr>
        <w:t xml:space="preserve">分；具有大专及以上学历得</w:t>
      </w:r>
      <w:r>
        <w:rPr>
          <w:rFonts w:hint="eastAsia" w:ascii="宋体" w:hAnsi="宋体" w:eastAsia="宋体" w:cs="宋体"/>
          <w:bCs/>
          <w:color w:val="auto"/>
          <w:sz w:val="24"/>
          <w:szCs w:val="21"/>
          <w:highlight w:val="none"/>
          <w:lang w:val="en-US" w:eastAsia="zh-CN"/>
        </w:rPr>
        <w:t xml:space="preserve">1</w:t>
      </w:r>
      <w:r>
        <w:rPr>
          <w:rFonts w:hint="eastAsia" w:ascii="宋体" w:hAnsi="宋体" w:eastAsia="宋体" w:cs="宋体"/>
          <w:bCs/>
          <w:color w:val="auto"/>
          <w:sz w:val="24"/>
          <w:szCs w:val="21"/>
          <w:highlight w:val="none"/>
          <w:lang w:val="zh-CN"/>
        </w:rPr>
        <w:t xml:space="preserve">分；</w:t>
      </w:r>
      <w:r>
        <w:rPr>
          <w:rFonts w:hint="eastAsia" w:ascii="宋体" w:hAnsi="宋体" w:eastAsia="宋体" w:cs="宋体"/>
          <w:sz w:val="24"/>
          <w:highlight w:val="none"/>
        </w:rPr>
        <w:t xml:space="preserve">具有</w:t>
      </w:r>
      <w:r>
        <w:rPr>
          <w:rFonts w:hint="eastAsia" w:ascii="宋体" w:hAnsi="宋体" w:eastAsia="宋体" w:cs="宋体"/>
          <w:sz w:val="24"/>
          <w:szCs w:val="24"/>
          <w:highlight w:val="none"/>
          <w:lang w:val="zh-CN"/>
        </w:rPr>
        <w:t xml:space="preserve">全国物业管理企业经理岗位证书或物业管理项目经理岗位技能证书</w:t>
      </w:r>
      <w:r>
        <w:rPr>
          <w:rFonts w:hint="eastAsia" w:ascii="宋体" w:hAnsi="宋体" w:eastAsia="宋体" w:cs="宋体"/>
          <w:sz w:val="24"/>
          <w:szCs w:val="24"/>
          <w:highlight w:val="none"/>
        </w:rPr>
        <w:t xml:space="preserve">的得1分；</w:t>
      </w:r>
      <w:r>
        <w:rPr>
          <w:rFonts w:hint="eastAsia" w:ascii="宋体" w:hAnsi="宋体" w:eastAsia="宋体" w:cs="宋体"/>
          <w:color w:val="000000"/>
          <w:sz w:val="24"/>
          <w:szCs w:val="24"/>
          <w:highlight w:val="none"/>
          <w:shd w:val="clear" w:color="auto" w:fill="auto"/>
        </w:rPr>
        <w:t xml:space="preserve">本项最高得</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分</w:t>
      </w:r>
      <w:r>
        <w:rPr>
          <w:rFonts w:hint="eastAsia" w:ascii="宋体" w:hAnsi="宋体" w:eastAsia="宋体" w:cs="宋体"/>
          <w:bCs/>
          <w:color w:val="auto"/>
          <w:sz w:val="24"/>
          <w:szCs w:val="21"/>
          <w:highlight w:val="none"/>
          <w:lang w:val="zh-CN"/>
        </w:rPr>
        <w:t xml:space="preserve">。</w:t>
      </w:r>
      <w:r/>
    </w:p>
    <w:p>
      <w:pPr>
        <w:ind w:firstLine="480"/>
        <w:keepLines w:val="0"/>
        <w:keepNext w:val="0"/>
        <w:pageBreakBefore w:val="0"/>
        <w:spacing w:after="80" w:line="360" w:lineRule="auto"/>
        <w:widowControl/>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lang w:val="zh-CN"/>
        </w:rPr>
        <w:t xml:space="preserve">②保安主管（3分）：</w:t>
      </w:r>
      <w:r>
        <w:rPr>
          <w:rFonts w:hint="eastAsia" w:ascii="宋体" w:hAnsi="宋体" w:eastAsia="宋体" w:cs="宋体"/>
          <w:bCs/>
          <w:color w:val="auto"/>
          <w:sz w:val="24"/>
          <w:szCs w:val="21"/>
          <w:highlight w:val="none"/>
          <w:lang w:val="en-US" w:eastAsia="zh-CN"/>
        </w:rPr>
        <w:t xml:space="preserve">40</w:t>
      </w:r>
      <w:r>
        <w:rPr>
          <w:rFonts w:hint="eastAsia" w:ascii="宋体" w:hAnsi="宋体" w:eastAsia="宋体" w:cs="宋体"/>
          <w:bCs/>
          <w:color w:val="auto"/>
          <w:sz w:val="24"/>
          <w:szCs w:val="21"/>
          <w:highlight w:val="none"/>
          <w:lang w:val="zh-CN"/>
        </w:rPr>
        <w:t xml:space="preserve">周岁以下得</w:t>
      </w:r>
      <w:r>
        <w:rPr>
          <w:rFonts w:hint="eastAsia" w:ascii="宋体" w:hAnsi="宋体" w:eastAsia="宋体" w:cs="宋体"/>
          <w:bCs/>
          <w:color w:val="auto"/>
          <w:sz w:val="24"/>
          <w:szCs w:val="21"/>
          <w:highlight w:val="none"/>
          <w:lang w:val="en-US" w:eastAsia="zh-CN"/>
        </w:rPr>
        <w:t xml:space="preserve">1</w:t>
      </w:r>
      <w:r>
        <w:rPr>
          <w:rFonts w:hint="eastAsia" w:ascii="宋体" w:hAnsi="宋体" w:eastAsia="宋体" w:cs="宋体"/>
          <w:bCs/>
          <w:color w:val="auto"/>
          <w:sz w:val="24"/>
          <w:szCs w:val="21"/>
          <w:highlight w:val="none"/>
          <w:lang w:val="zh-CN"/>
        </w:rPr>
        <w:t xml:space="preserve">分；具有大专及以上学历得</w:t>
      </w:r>
      <w:r>
        <w:rPr>
          <w:rFonts w:hint="eastAsia" w:ascii="宋体" w:hAnsi="宋体" w:eastAsia="宋体" w:cs="宋体"/>
          <w:bCs/>
          <w:color w:val="auto"/>
          <w:sz w:val="24"/>
          <w:szCs w:val="21"/>
          <w:highlight w:val="none"/>
          <w:lang w:val="en-US" w:eastAsia="zh-CN"/>
        </w:rPr>
        <w:t xml:space="preserve">1</w:t>
      </w:r>
      <w:r>
        <w:rPr>
          <w:rFonts w:hint="eastAsia" w:ascii="宋体" w:hAnsi="宋体" w:eastAsia="宋体" w:cs="宋体"/>
          <w:bCs/>
          <w:color w:val="auto"/>
          <w:sz w:val="24"/>
          <w:szCs w:val="21"/>
          <w:highlight w:val="none"/>
          <w:lang w:val="zh-CN"/>
        </w:rPr>
        <w:t xml:space="preserve">分；</w:t>
      </w:r>
      <w:r>
        <w:rPr>
          <w:rFonts w:hint="eastAsia" w:ascii="宋体" w:hAnsi="宋体" w:eastAsia="宋体" w:cs="宋体"/>
          <w:bCs/>
          <w:color w:val="000000"/>
          <w:sz w:val="24"/>
          <w:szCs w:val="24"/>
          <w:highlight w:val="none"/>
          <w:shd w:val="clear" w:color="auto" w:fill="auto"/>
          <w:lang w:val="en-US" w:eastAsia="zh-CN" w:bidi="ar-SA"/>
        </w:rPr>
        <w:t xml:space="preserve">具有行政主管部门颁发的三级（高级）及以上保安员证书的得1分；</w:t>
      </w:r>
      <w:r>
        <w:rPr>
          <w:rFonts w:hint="eastAsia" w:ascii="宋体" w:hAnsi="宋体" w:eastAsia="宋体" w:cs="宋体"/>
          <w:color w:val="000000"/>
          <w:sz w:val="24"/>
          <w:szCs w:val="24"/>
          <w:highlight w:val="none"/>
          <w:shd w:val="clear" w:color="auto" w:fill="auto"/>
        </w:rPr>
        <w:t xml:space="preserve">本项最高得</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分</w:t>
      </w:r>
      <w:r>
        <w:rPr>
          <w:rFonts w:hint="eastAsia" w:ascii="宋体" w:hAnsi="宋体" w:eastAsia="宋体" w:cs="宋体"/>
          <w:bCs/>
          <w:color w:val="auto"/>
          <w:sz w:val="24"/>
          <w:szCs w:val="21"/>
          <w:highlight w:val="none"/>
          <w:lang w:val="zh-CN"/>
        </w:rPr>
        <w:t xml:space="preserve">。</w:t>
      </w:r>
      <w:r/>
    </w:p>
    <w:p>
      <w:pPr>
        <w:ind w:firstLine="480"/>
        <w:keepLines w:val="0"/>
        <w:keepNext w:val="0"/>
        <w:pageBreakBefore w:val="0"/>
        <w:spacing w:after="80" w:line="360" w:lineRule="auto"/>
        <w:widowControl/>
        <w:tabs>
          <w:tab w:val="left" w:pos="1155" w:leader="none"/>
        </w:tabs>
        <w:rPr>
          <w:rFonts w:hint="eastAsia" w:ascii="宋体" w:hAnsi="宋体" w:eastAsia="宋体" w:cs="宋体"/>
          <w:bCs/>
          <w:color w:val="000000"/>
          <w:sz w:val="24"/>
          <w:szCs w:val="24"/>
          <w:highlight w:val="none"/>
          <w:shd w:val="clear" w:color="auto" w:fill="auto"/>
          <w:lang w:val="en-US" w:eastAsia="zh-CN" w:bidi="ar-SA"/>
        </w:rPr>
      </w:pPr>
      <w:r>
        <w:rPr>
          <w:rFonts w:hint="eastAsia" w:ascii="宋体" w:hAnsi="宋体" w:eastAsia="宋体" w:cs="宋体"/>
          <w:bCs/>
          <w:color w:val="auto"/>
          <w:sz w:val="24"/>
          <w:szCs w:val="21"/>
          <w:highlight w:val="none"/>
          <w:lang w:val="zh-CN"/>
        </w:rPr>
        <w:t xml:space="preserve">【以上①—②人员一人多证不重复得分。以上人员</w:t>
      </w:r>
      <w:r>
        <w:rPr>
          <w:rFonts w:hint="eastAsia" w:ascii="宋体" w:hAnsi="宋体" w:eastAsia="宋体" w:cs="宋体"/>
          <w:bCs/>
          <w:color w:val="000000"/>
          <w:sz w:val="24"/>
          <w:szCs w:val="24"/>
          <w:highlight w:val="none"/>
          <w:shd w:val="clear" w:color="auto" w:fill="auto"/>
          <w:lang w:val="zh-CN" w:eastAsia="zh-CN" w:bidi="ar-SA"/>
        </w:rPr>
        <w:t xml:space="preserve">须</w:t>
      </w:r>
      <w:r>
        <w:rPr>
          <w:rFonts w:hint="eastAsia" w:ascii="宋体" w:hAnsi="宋体" w:eastAsia="宋体" w:cs="宋体"/>
          <w:bCs/>
          <w:color w:val="000000"/>
          <w:sz w:val="24"/>
          <w:szCs w:val="24"/>
          <w:highlight w:val="none"/>
          <w:shd w:val="clear" w:color="auto" w:fill="auto"/>
          <w:lang w:val="en-US" w:eastAsia="zh-CN" w:bidi="ar-SA"/>
        </w:rPr>
        <w:t xml:space="preserve">提供身份证、相关证书、劳动合同以及</w:t>
      </w:r>
      <w:r>
        <w:rPr>
          <w:rFonts w:hint="eastAsia" w:ascii="宋体" w:hAnsi="宋体" w:eastAsia="宋体" w:cs="宋体"/>
          <w:bCs/>
          <w:color w:val="000000"/>
          <w:sz w:val="24"/>
          <w:szCs w:val="24"/>
          <w:highlight w:val="none"/>
          <w:shd w:val="clear" w:color="auto" w:fill="auto"/>
          <w:lang w:val="zh-CN" w:eastAsia="zh-CN" w:bidi="ar-SA"/>
        </w:rPr>
        <w:t xml:space="preserve">投标人近</w:t>
      </w:r>
      <w:r>
        <w:rPr>
          <w:rFonts w:hint="eastAsia" w:ascii="宋体" w:hAnsi="宋体" w:eastAsia="宋体" w:cs="宋体"/>
          <w:bCs/>
          <w:color w:val="000000"/>
          <w:sz w:val="24"/>
          <w:szCs w:val="24"/>
          <w:highlight w:val="none"/>
          <w:shd w:val="clear" w:color="auto" w:fill="auto"/>
          <w:lang w:val="en-US" w:eastAsia="zh-CN" w:bidi="ar-SA"/>
        </w:rPr>
        <w:t xml:space="preserve">一年中任意一个月</w:t>
      </w:r>
      <w:r>
        <w:rPr>
          <w:rFonts w:hint="eastAsia" w:ascii="宋体" w:hAnsi="宋体" w:eastAsia="宋体" w:cs="宋体"/>
          <w:bCs/>
          <w:color w:val="000000"/>
          <w:sz w:val="24"/>
          <w:szCs w:val="24"/>
          <w:highlight w:val="none"/>
          <w:shd w:val="clear" w:color="auto" w:fill="auto"/>
          <w:lang w:val="zh-CN" w:eastAsia="zh-CN" w:bidi="ar-SA"/>
        </w:rPr>
        <w:t xml:space="preserve">（不含投标当月）为其缴纳社保的缴费证明（需提供带有清晰二维码的官网</w:t>
      </w:r>
      <w:r>
        <w:rPr>
          <w:rFonts w:hint="eastAsia" w:ascii="宋体" w:hAnsi="宋体" w:eastAsia="宋体" w:cs="宋体"/>
          <w:bCs/>
          <w:color w:val="000000"/>
          <w:sz w:val="24"/>
          <w:szCs w:val="24"/>
          <w:highlight w:val="none"/>
          <w:shd w:val="clear" w:color="auto" w:fill="auto"/>
          <w:lang w:val="en-US" w:eastAsia="zh-CN" w:bidi="ar-SA"/>
        </w:rPr>
        <w:t xml:space="preserve">扫描</w:t>
      </w:r>
      <w:r>
        <w:rPr>
          <w:rFonts w:hint="eastAsia" w:ascii="宋体" w:hAnsi="宋体" w:eastAsia="宋体" w:cs="宋体"/>
          <w:bCs/>
          <w:color w:val="000000"/>
          <w:sz w:val="24"/>
          <w:szCs w:val="24"/>
          <w:highlight w:val="none"/>
          <w:shd w:val="clear" w:color="auto" w:fill="auto"/>
          <w:lang w:val="zh-CN" w:eastAsia="zh-CN" w:bidi="ar-SA"/>
        </w:rPr>
        <w:t xml:space="preserve">件）</w:t>
      </w:r>
      <w:r>
        <w:rPr>
          <w:rFonts w:hint="eastAsia" w:ascii="宋体" w:hAnsi="宋体" w:eastAsia="宋体" w:cs="宋体"/>
          <w:bCs/>
          <w:color w:val="000000"/>
          <w:sz w:val="24"/>
          <w:szCs w:val="24"/>
          <w:highlight w:val="none"/>
          <w:shd w:val="clear" w:color="auto" w:fill="auto"/>
          <w:lang w:val="en-US" w:eastAsia="zh-CN" w:bidi="ar-SA"/>
        </w:rPr>
        <w:t xml:space="preserve">等资料扫描件上传至投标文件中并加盖投标人电子签章，未按要求提供不得分】</w:t>
      </w:r>
      <w:r/>
    </w:p>
    <w:p>
      <w:pPr>
        <w:ind w:firstLine="480"/>
        <w:spacing w:line="360" w:lineRule="auto"/>
        <w:tabs>
          <w:tab w:val="left" w:pos="1155" w:leader="none"/>
        </w:tabs>
        <w:rPr>
          <w:rFonts w:hint="eastAsia"/>
          <w:lang w:val="zh-CN"/>
        </w:rPr>
      </w:pPr>
      <w:r>
        <w:rPr>
          <w:rFonts w:hint="eastAsia" w:ascii="宋体" w:hAnsi="宋体"/>
          <w:bCs/>
          <w:color w:val="auto"/>
          <w:sz w:val="24"/>
          <w:szCs w:val="21"/>
          <w:highlight w:val="none"/>
          <w:lang w:val="zh-CN"/>
        </w:rPr>
        <w:t xml:space="preserve">【以上人员</w:t>
      </w:r>
      <w:r>
        <w:rPr>
          <w:rFonts w:hint="eastAsia" w:ascii="宋体" w:eastAsia="宋体" w:cs="宋体"/>
          <w:bCs/>
          <w:color w:val="000000"/>
          <w:sz w:val="24"/>
          <w:szCs w:val="24"/>
          <w:highlight w:val="none"/>
          <w:shd w:val="clear" w:color="auto" w:fill="auto"/>
          <w:lang w:val="zh-CN" w:eastAsia="zh-CN" w:bidi="ar-SA"/>
        </w:rPr>
        <w:t xml:space="preserve">须</w:t>
      </w:r>
      <w:r>
        <w:rPr>
          <w:rFonts w:hint="eastAsia" w:ascii="宋体" w:eastAsia="宋体" w:cs="宋体"/>
          <w:bCs/>
          <w:color w:val="000000"/>
          <w:sz w:val="24"/>
          <w:szCs w:val="24"/>
          <w:highlight w:val="none"/>
          <w:shd w:val="clear" w:color="auto" w:fill="auto"/>
          <w:lang w:val="en-US" w:eastAsia="zh-CN" w:bidi="ar-SA"/>
        </w:rPr>
        <w:t xml:space="preserve">提供相关证书、劳动合同以及</w:t>
      </w:r>
      <w:r>
        <w:rPr>
          <w:rFonts w:hint="eastAsia" w:ascii="宋体" w:eastAsia="宋体" w:cs="宋体"/>
          <w:bCs/>
          <w:color w:val="000000"/>
          <w:sz w:val="24"/>
          <w:szCs w:val="24"/>
          <w:highlight w:val="none"/>
          <w:shd w:val="clear" w:color="auto" w:fill="auto"/>
          <w:lang w:val="zh-CN" w:eastAsia="zh-CN" w:bidi="ar-SA"/>
        </w:rPr>
        <w:t xml:space="preserve">投标人近</w:t>
      </w:r>
      <w:r>
        <w:rPr>
          <w:rFonts w:hint="eastAsia" w:ascii="宋体" w:eastAsia="宋体" w:cs="宋体"/>
          <w:bCs/>
          <w:color w:val="000000"/>
          <w:sz w:val="24"/>
          <w:szCs w:val="24"/>
          <w:highlight w:val="none"/>
          <w:shd w:val="clear" w:color="auto" w:fill="auto"/>
          <w:lang w:val="en-US" w:eastAsia="zh-CN" w:bidi="ar-SA"/>
        </w:rPr>
        <w:t xml:space="preserve">一年中任意一个月</w:t>
      </w:r>
      <w:r>
        <w:rPr>
          <w:rFonts w:hint="eastAsia" w:ascii="宋体" w:eastAsia="宋体" w:cs="宋体"/>
          <w:bCs/>
          <w:color w:val="000000"/>
          <w:sz w:val="24"/>
          <w:szCs w:val="24"/>
          <w:highlight w:val="none"/>
          <w:shd w:val="clear" w:color="auto" w:fill="auto"/>
          <w:lang w:val="zh-CN" w:eastAsia="zh-CN" w:bidi="ar-SA"/>
        </w:rPr>
        <w:t xml:space="preserve">（不含投标当月）为其缴纳社保的缴费证明（需提供带有清晰二维码的官网</w:t>
      </w:r>
      <w:r>
        <w:rPr>
          <w:rFonts w:hint="eastAsia" w:ascii="宋体" w:eastAsia="宋体" w:cs="宋体"/>
          <w:bCs/>
          <w:color w:val="000000"/>
          <w:sz w:val="24"/>
          <w:szCs w:val="24"/>
          <w:highlight w:val="none"/>
          <w:shd w:val="clear" w:color="auto" w:fill="auto"/>
          <w:lang w:val="en-US" w:eastAsia="zh-CN" w:bidi="ar-SA"/>
        </w:rPr>
        <w:t xml:space="preserve">扫描</w:t>
      </w:r>
      <w:r>
        <w:rPr>
          <w:rFonts w:hint="eastAsia" w:ascii="宋体" w:eastAsia="宋体" w:cs="宋体"/>
          <w:bCs/>
          <w:color w:val="000000"/>
          <w:sz w:val="24"/>
          <w:szCs w:val="24"/>
          <w:highlight w:val="none"/>
          <w:shd w:val="clear" w:color="auto" w:fill="auto"/>
          <w:lang w:val="zh-CN" w:eastAsia="zh-CN" w:bidi="ar-SA"/>
        </w:rPr>
        <w:t xml:space="preserve">件）</w:t>
      </w:r>
      <w:r>
        <w:rPr>
          <w:rFonts w:hint="eastAsia" w:ascii="宋体" w:eastAsia="宋体" w:cs="宋体"/>
          <w:bCs/>
          <w:color w:val="000000"/>
          <w:sz w:val="24"/>
          <w:szCs w:val="24"/>
          <w:highlight w:val="none"/>
          <w:shd w:val="clear" w:color="auto" w:fill="auto"/>
          <w:lang w:val="en-US" w:eastAsia="zh-CN" w:bidi="ar-SA"/>
        </w:rPr>
        <w:t xml:space="preserve">等资料扫描件上传至投标文件中并加盖投标人电子签章，未按要求提供不得分】</w:t>
      </w:r>
      <w:r/>
    </w:p>
    <w:p>
      <w:pPr>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eastAsia="宋体"/>
          <w:bCs/>
          <w:sz w:val="24"/>
          <w:szCs w:val="24"/>
          <w:highlight w:val="none"/>
          <w:lang w:eastAsia="zh-CN"/>
        </w:rPr>
      </w:pPr>
      <w:r>
        <w:rPr>
          <w:rFonts w:hint="eastAsia" w:ascii="宋体" w:hAnsi="宋体"/>
          <w:b/>
          <w:sz w:val="24"/>
          <w:szCs w:val="24"/>
          <w:highlight w:val="none"/>
        </w:rPr>
        <w:t xml:space="preserve">投标人评价（</w:t>
      </w:r>
      <w:r>
        <w:rPr>
          <w:rFonts w:hint="eastAsia" w:ascii="宋体" w:hAnsi="宋体"/>
          <w:b/>
          <w:sz w:val="24"/>
          <w:szCs w:val="24"/>
          <w:highlight w:val="none"/>
          <w:lang w:val="en-US" w:eastAsia="zh-CN"/>
        </w:rPr>
        <w:t xml:space="preserve">14</w:t>
      </w:r>
      <w:r>
        <w:rPr>
          <w:rFonts w:hint="eastAsia" w:ascii="宋体" w:hAnsi="宋体"/>
          <w:b/>
          <w:sz w:val="24"/>
          <w:szCs w:val="24"/>
          <w:highlight w:val="none"/>
        </w:rPr>
        <w:t xml:space="preserve">分）</w:t>
      </w:r>
      <w:r>
        <w:rPr>
          <w:rFonts w:hint="eastAsia" w:ascii="宋体" w:hAnsi="宋体"/>
          <w:b/>
          <w:sz w:val="24"/>
          <w:szCs w:val="24"/>
          <w:highlight w:val="none"/>
          <w:lang w:eastAsia="zh-CN"/>
        </w:rPr>
        <w:t xml:space="preserve">：</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（1）业绩（</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分）：投标人自202</w:t>
      </w: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年1月1日</w:t>
      </w:r>
      <w:r>
        <w:rPr>
          <w:rFonts w:hint="eastAsia" w:ascii="宋体" w:eastAsia="宋体" w:cs="宋体"/>
          <w:bCs/>
          <w:color w:val="000000"/>
          <w:sz w:val="24"/>
          <w:szCs w:val="24"/>
          <w:highlight w:val="none"/>
          <w:shd w:val="clear" w:color="auto" w:fill="auto"/>
          <w:lang w:val="en-US" w:eastAsia="zh-CN" w:bidi="ar-SA"/>
        </w:rPr>
        <w:t xml:space="preserve">以来承接过与</w:t>
      </w:r>
      <w:r>
        <w:rPr>
          <w:rFonts w:hint="eastAsia" w:ascii="宋体" w:cs="宋体"/>
          <w:bCs/>
          <w:color w:val="000000"/>
          <w:sz w:val="24"/>
          <w:szCs w:val="24"/>
          <w:highlight w:val="none"/>
          <w:shd w:val="clear" w:color="auto" w:fill="auto"/>
          <w:lang w:val="en-US" w:eastAsia="zh-CN" w:bidi="ar-SA"/>
        </w:rPr>
        <w:t xml:space="preserve">物业</w:t>
      </w:r>
      <w:r>
        <w:rPr>
          <w:rFonts w:hint="eastAsia" w:ascii="宋体" w:eastAsia="宋体" w:cs="宋体"/>
          <w:bCs/>
          <w:color w:val="000000"/>
          <w:sz w:val="24"/>
          <w:szCs w:val="24"/>
          <w:highlight w:val="none"/>
          <w:shd w:val="clear" w:color="auto" w:fill="auto"/>
          <w:lang w:val="en-US" w:eastAsia="zh-CN" w:bidi="ar-SA"/>
        </w:rPr>
        <w:t xml:space="preserve">类似项目的</w:t>
      </w:r>
      <w:r>
        <w:rPr>
          <w:rFonts w:hint="eastAsia" w:ascii="宋体" w:hAnsi="宋体"/>
          <w:bCs/>
          <w:sz w:val="24"/>
          <w:szCs w:val="24"/>
          <w:highlight w:val="none"/>
        </w:rPr>
        <w:t xml:space="preserve">，有1个得</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分，</w:t>
      </w:r>
      <w:r>
        <w:rPr>
          <w:rFonts w:hint="eastAsia" w:ascii="宋体" w:hAnsi="宋体"/>
          <w:bCs/>
          <w:sz w:val="24"/>
          <w:szCs w:val="24"/>
          <w:highlight w:val="none"/>
          <w:lang w:val="en-US" w:eastAsia="zh-CN"/>
        </w:rPr>
        <w:t xml:space="preserve">本项最高</w:t>
      </w:r>
      <w:r>
        <w:rPr>
          <w:rFonts w:hint="eastAsia" w:ascii="宋体" w:hAnsi="宋体"/>
          <w:bCs/>
          <w:sz w:val="24"/>
          <w:szCs w:val="24"/>
          <w:highlight w:val="none"/>
        </w:rPr>
        <w:t xml:space="preserve">得</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分。【业绩提供合同（协议）原件的扫描件加盖公章上传系统，时间以合同签订时间为准，未按要求提供不得分】</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）认证体系（</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分）：投标人具备有效的质量管理体系认证证书、环境管理体系认证证书、职业安全健康管理体系认证证书的，有一个得</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分，本项最</w:t>
      </w:r>
      <w:r>
        <w:rPr>
          <w:rFonts w:hint="eastAsia" w:ascii="宋体" w:hAnsi="宋体"/>
          <w:bCs/>
          <w:sz w:val="24"/>
          <w:szCs w:val="24"/>
          <w:highlight w:val="none"/>
          <w:lang w:val="en-US" w:eastAsia="zh-CN"/>
        </w:rPr>
        <w:t xml:space="preserve">高</w:t>
      </w:r>
      <w:r>
        <w:rPr>
          <w:rFonts w:hint="eastAsia" w:ascii="宋体" w:hAnsi="宋体"/>
          <w:bCs/>
          <w:sz w:val="24"/>
          <w:szCs w:val="24"/>
          <w:highlight w:val="none"/>
        </w:rPr>
        <w:t xml:space="preserve">得</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分。【提供证书扫描件上传系统，未按要求提供不得分】</w:t>
      </w:r>
      <w:r/>
    </w:p>
    <w:p>
      <w:pPr>
        <w:ind w:firstLine="480"/>
        <w:spacing w:line="360" w:lineRule="auto"/>
        <w:rPr>
          <w:rFonts w:ascii="宋体" w:hAnsi="宋体"/>
          <w:bCs/>
          <w:sz w:val="24"/>
          <w:szCs w:val="24"/>
        </w:rPr>
      </w:pP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）信息化系统管理（</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分）：投标人使用物业管理信息化系统管理的得</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分。【须提供所用物业管理信息化系统软件的采购合同或发票原件扫描件加盖公章上传系统，如是自主开发软件的则提供软件著作权登记</w:t>
      </w:r>
      <w:r>
        <w:rPr>
          <w:rFonts w:hint="eastAsia" w:ascii="宋体" w:hAnsi="宋体"/>
          <w:bCs/>
          <w:sz w:val="24"/>
          <w:szCs w:val="24"/>
        </w:rPr>
        <w:t xml:space="preserve">证书原件扫描件加盖公章上传系统，否则不得分。】</w:t>
      </w:r>
      <w:r/>
    </w:p>
    <w:p>
      <w:pPr>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项目方案（</w:t>
      </w:r>
      <w:r>
        <w:rPr>
          <w:rFonts w:hint="eastAsia" w:ascii="宋体" w:hAnsi="宋体" w:eastAsia="宋体" w:cs="宋体"/>
          <w:b/>
          <w:bCs/>
          <w:color w:val="auto"/>
          <w:sz w:val="24"/>
          <w:szCs w:val="24"/>
          <w:highlight w:val="none"/>
          <w:lang w:val="en-US" w:eastAsia="zh-CN"/>
        </w:rPr>
        <w:t xml:space="preserve">50</w:t>
      </w:r>
      <w:r>
        <w:rPr>
          <w:rFonts w:hint="eastAsia" w:ascii="宋体" w:hAnsi="宋体" w:eastAsia="宋体" w:cs="宋体"/>
          <w:b/>
          <w:bCs/>
          <w:color w:val="auto"/>
          <w:sz w:val="24"/>
          <w:szCs w:val="24"/>
          <w:highlight w:val="none"/>
        </w:rPr>
        <w:t xml:space="preserve">分）：</w:t>
      </w:r>
      <w:r>
        <w:rPr>
          <w:rFonts w:hint="eastAsia" w:ascii="宋体" w:hAnsi="宋体" w:eastAsia="宋体" w:cs="宋体"/>
          <w:bCs/>
          <w:color w:val="auto"/>
          <w:sz w:val="24"/>
          <w:szCs w:val="24"/>
          <w:highlight w:val="none"/>
        </w:rPr>
        <w:t xml:space="preserve">考察投标人项目技术方案，在响应采购文件需求的基础上针对下列各部分进行评价，要求体现科学合理性、条理性、可行性、完善性、针对性，无方案不得分。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4.1</w:t>
      </w:r>
      <w:r>
        <w:rPr>
          <w:rFonts w:hint="eastAsia" w:ascii="宋体" w:hAnsi="宋体" w:eastAsia="宋体" w:cs="宋体"/>
          <w:bCs/>
          <w:sz w:val="24"/>
          <w:szCs w:val="24"/>
        </w:rPr>
        <w:t xml:space="preserve">目标及整体设想（</w:t>
      </w: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rPr>
        <w:t xml:space="preserve">分）：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方案完整、科学合理，设计清晰详细，完全符合本项目需求，且能够提供上述5项全部方案的，得</w:t>
      </w: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rPr>
        <w:t xml:space="preserve">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方案较完整，科学合理性较强，设计较清晰详细，能够符合本项目需求，能够提供上述4-5项方案的，得</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方案完整性一般，科学合理性一般，设计清晰详细程度一般，能够符合本项目需求，能够提供上述3-5项方案的，得</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方案完整性、科学合理性、设计的清晰详细程度等只能基本满足要求，能够提供上述2-5项方案的，得1分；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提供方案不足2项或无方案的，不得分。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4.2</w:t>
      </w:r>
      <w:r>
        <w:rPr>
          <w:rFonts w:hint="eastAsia" w:ascii="宋体" w:hAnsi="宋体" w:eastAsia="宋体" w:cs="宋体"/>
          <w:bCs/>
          <w:sz w:val="24"/>
          <w:szCs w:val="24"/>
        </w:rPr>
        <w:t xml:space="preserve">管理服务体系（</w:t>
      </w: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rPr>
        <w:t xml:space="preserve">分）：内容包括：①综合管理服务体系；②公共区域秩序维护服务体系；③公共区域清洁管理服务体系；④公用设施设备日常运行、保养、维修管理服务体系。⑤物资装备的配备及维保使用方案。</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方案完整、科学合理，设计清晰详细，完全符合本项目需求，且能够提供上述5项全部方案的，得</w:t>
      </w: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rPr>
        <w:t xml:space="preserve">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方案较完整，科学合理性较强，设计较清晰详细，能够符合本项目需求，能够提供上述4-5项方案的，得</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方案完整性一般，科学合理性一般，设计清晰详细程度一般，能够符合本项目需求，能够提供上述3-5项方案的，得</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方案完整性、科学合理性、设计的清晰详细程度等只能基本满足要求，能够提供上述2-5项方案的，得</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提供方案不足2项或无方案的，不得分。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4.3</w:t>
      </w:r>
      <w:r>
        <w:rPr>
          <w:rFonts w:hint="eastAsia" w:ascii="宋体" w:hAnsi="宋体" w:eastAsia="宋体" w:cs="宋体"/>
          <w:bCs/>
          <w:sz w:val="24"/>
          <w:szCs w:val="24"/>
        </w:rPr>
        <w:t xml:space="preserve">培训及日常管理标准和措施（7分）：内容包括：①物业管理服务的岗前培训目标、方案、计划、内容等和物业管理服务的阶段性培训管理；②综合管理的日常管理标准及措施；③保安管理的日常管理标准及措施；④保洁管理的日常管理标准及措施；⑤绿化管理的日常管理标准及措施。</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方案完整、科学合理，设计清晰详细，完全符合本项目需求，且能够提供上述5项全部方案的，得7分；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方案较完整，科学合理性较强，设计较清晰详细，能够符合本项目需求，能够提供上述4-5项方案的，得5分；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方案完整性一般，科学合理性一般，设计清晰详细程度一般，能够符合本项目需求，能够提供上述3-5项方案的，得3分；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方案完整性、科学合理性、设计的清晰详细程度等只能基本满足要求，能够提供上述2-5项方案的，得1分；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提供方案不足2项或无方案的，不得分。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4.4</w:t>
      </w:r>
      <w:r>
        <w:rPr>
          <w:rFonts w:hint="eastAsia" w:ascii="宋体" w:hAnsi="宋体" w:eastAsia="宋体" w:cs="宋体"/>
          <w:bCs/>
          <w:sz w:val="24"/>
          <w:szCs w:val="24"/>
        </w:rPr>
        <w:t xml:space="preserve">管理规章制度（7分）：内容包括：①管理运作制度与客户服务制度；②安全管理制度；③日常巡检制度；④清洁管理制度；⑤档案资料的建立、分类管理等制度。</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方案完整、科学合理，设计清晰详细，完全符合本项目需求，且能够提供上述5项全部方案的，得7分；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方案较完整，科学合理性较强，设计较清晰详细，能够符合本项目需求，能够提供上述4-5项方案的，得5分；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方案完整性一般，科学合理性一般，设计清晰详细程度一般，能够符合本项目需求，能够提供上述3-5项方案的，得3分；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方案完整性、科学合理性、设计的清晰详细程度等只能基本满足要求，能够提供上述2-5项方案的，得1分；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提供方案不足2项或无方案的，不得分。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4.5</w:t>
      </w:r>
      <w:r>
        <w:rPr>
          <w:rFonts w:hint="eastAsia" w:ascii="宋体" w:hAnsi="宋体" w:eastAsia="宋体" w:cs="宋体"/>
          <w:bCs/>
          <w:sz w:val="24"/>
          <w:szCs w:val="24"/>
        </w:rPr>
        <w:t xml:space="preserve">综合协调方案和正式接管前具体措施（</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分）：内容包括：①与采购人、物业管理行政主管部门的协调；②与其他单位、部门的协调；③物业管理服务正式接管前的工作内容；④物业管理服务正式接管前的注意事项；⑤物业管理服务正式接管前的具体措施。</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 方案完整、科学合理，设计清晰详细，完全符合本项目需求，且能够提供上述5项全部方案的，得</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方案较完整，科学合理性较强，设计较清晰详细，能够符合本项目需求，能够提供上述4-5项方案的，得5分；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方案完整性一般，科学合理性一般，设计清晰详细程度一般，能够符合本项目需求，能够提供上述3-5项方案的，得3分；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方案完整性、科学合理性、设计的清晰详细程度等只能基本满足要求，能够提供上述2-5项方案的，得1分；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提供方案不足2项或无方案的，不得分。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4.6</w:t>
      </w:r>
      <w:r>
        <w:rPr>
          <w:rFonts w:hint="eastAsia" w:ascii="宋体" w:hAnsi="宋体" w:eastAsia="宋体" w:cs="宋体"/>
          <w:bCs/>
          <w:sz w:val="24"/>
          <w:szCs w:val="24"/>
        </w:rPr>
        <w:t xml:space="preserve">应急预案及措施、管理重点难点和措施（</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分）：内容包括：①物业管理服务中应对自然灾害、事故灾害、公共卫生安全事件等突发事件的应急预案及措施；②物业管理服务中涉及的过失及意外的具体保障措施；③针对物业管理服务中可能存在的重点难点进行调研及分析；④针对本项目可能存在的重点难点说明；⑤针对重点和难点计划解决措施。</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方案完整、科学合理，设计清晰详细，完全符合本项目需求，且能够提供上述5项全部方案的，得</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方案较完整，科学合理性较强，设计较清晰详细，能够符合本项目需求，能够提供上述4-5项方案的，得</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方案完整性一般，科学合理性一般，设计清晰详细程度一般，能够符合本项目需求，能够提供上述3-5项方案的，得3分；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方案完整性、科学合理性、设计的清晰详细程度等只能基本满足要求，能够提供上述2-5项方案的，得1分；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提供方案不足2项或无方案的，不得分。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4.7</w:t>
      </w:r>
      <w:r>
        <w:rPr>
          <w:rFonts w:hint="eastAsia" w:ascii="宋体" w:hAnsi="宋体" w:eastAsia="宋体" w:cs="宋体"/>
          <w:bCs/>
          <w:sz w:val="24"/>
          <w:szCs w:val="24"/>
        </w:rPr>
        <w:t xml:space="preserve">服务响应、特色与创新（</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分）：内容包括：①综合管理服务响应时间；②公共区域秩序维护服务响应时间；③公共区域清洁服务响应时间；④公用设施设备日常运行、保养、维修服务响应时间；⑤针对投标项目，提出有针对性、可落地、可执行的物业管理服务特色与创新举措。</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方案完整、科学合理，设计清晰详细，完全符合本项目需求，且能够提供上述5项全部方案的，得</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方案较完整，科学合理性较强，设计较清晰详细，能够符合本项目需求，能够提供上述4-5项方案的，得</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方案完整性一般，科学合理性一般，设计清晰详细程度一般，能够符合本项目需求，能够提供上述3-5项方案的，得3分；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方案完整性、科学合理性、设计的清晰详细程度等只能基本满足要求，能够提供上述2-5项方案的，得1分；</w:t>
      </w:r>
      <w:r/>
    </w:p>
    <w:p>
      <w:pPr>
        <w:ind w:right="3645"/>
        <w:jc w:val="center"/>
        <w:keepLines w:val="0"/>
        <w:keepNext w:val="0"/>
        <w:pageBreakBefore w:val="0"/>
        <w:spacing w:after="80" w:line="360" w:lineRule="auto"/>
        <w:widowControl/>
        <w:tabs>
          <w:tab w:val="left" w:pos="1440" w:leader="none"/>
        </w:tabs>
        <w:rPr>
          <w:rFonts w:hint="eastAsia" w:ascii="宋体" w:hAnsi="宋体" w:eastAsia="宋体" w:cs="宋体"/>
          <w:bCs/>
          <w:color w:val="000000"/>
          <w:sz w:val="24"/>
          <w:szCs w:val="24"/>
        </w:rPr>
        <w:outlineLvl w:val="0"/>
      </w:pPr>
      <w:r>
        <w:rPr>
          <w:rFonts w:hint="eastAsia" w:ascii="宋体" w:hAnsi="宋体" w:eastAsia="宋体" w:cs="宋体"/>
          <w:bCs/>
          <w:sz w:val="24"/>
          <w:szCs w:val="24"/>
        </w:rPr>
        <w:t xml:space="preserve">提供方案不足2项或无方案的，不得分。</w:t>
      </w:r>
      <w:r/>
    </w:p>
    <w:p>
      <w:pPr>
        <w:ind w:right="3645"/>
        <w:jc w:val="center"/>
        <w:keepLines w:val="0"/>
        <w:keepNext w:val="0"/>
        <w:pageBreakBefore w:val="0"/>
        <w:spacing w:after="80" w:line="360" w:lineRule="auto"/>
        <w:widowControl/>
        <w:tabs>
          <w:tab w:val="left" w:pos="144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spacing w:line="500" w:lineRule="exact"/>
        <w:rPr>
          <w:rFonts w:ascii="宋体" w:hAnsi="宋体"/>
          <w:color w:val="000000"/>
          <w:sz w:val="24"/>
        </w:rPr>
      </w:pPr>
      <w:r>
        <w:rPr>
          <w:rFonts w:ascii="宋体" w:hAnsi="宋体"/>
          <w:color w:val="000000"/>
          <w:sz w:val="24"/>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204"/>
      <w:r>
        <w:rPr>
          <w:rFonts w:hint="eastAsia" w:ascii="黑体" w:hAnsi="黑体" w:eastAsia="黑体"/>
          <w:sz w:val="36"/>
          <w:szCs w:val="36"/>
        </w:rPr>
        <w:t xml:space="preserve">投标文件内容与格式</w:t>
      </w:r>
      <w:r/>
    </w:p>
    <w:p>
      <w:pPr>
        <w:pStyle w:val="758"/>
        <w:ind w:firstLine="602"/>
        <w:spacing w:before="0" w:after="0" w:line="500" w:lineRule="exact"/>
        <w:rPr>
          <w:rFonts w:hint="eastAsia" w:cs="Arial"/>
          <w:b/>
          <w:sz w:val="30"/>
          <w:szCs w:val="30"/>
        </w:rPr>
      </w:pPr>
      <w:r/>
      <w:bookmarkStart w:id="205" w:name="_Hlt26955039"/>
      <w:r/>
      <w:bookmarkEnd w:id="205"/>
      <w:r/>
      <w:bookmarkStart w:id="206" w:name="_Hlt26671244"/>
      <w:r/>
      <w:bookmarkEnd w:id="206"/>
      <w:r/>
      <w:bookmarkStart w:id="207" w:name="_Toc26554094"/>
      <w:r/>
      <w:bookmarkStart w:id="208" w:name="_Toc49090576"/>
      <w:r/>
      <w:bookmarkStart w:id="209" w:name="_Toc120614282"/>
      <w:r>
        <w:rPr>
          <w:rFonts w:hint="eastAsia" w:cs="Arial"/>
          <w:b/>
          <w:sz w:val="30"/>
          <w:szCs w:val="30"/>
        </w:rPr>
        <w:t xml:space="preserve">第一部分  投标文件内容</w:t>
      </w:r>
      <w:r/>
    </w:p>
    <w:p>
      <w:pPr>
        <w:pStyle w:val="758"/>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679"/>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758"/>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758"/>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758"/>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758"/>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758"/>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758"/>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758"/>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758"/>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758"/>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758"/>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758"/>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19"/>
                <w:rFonts w:hint="eastAsia" w:ascii="宋体" w:hAnsi="宋体" w:cs="宋体"/>
                <w:sz w:val="24"/>
                <w:szCs w:val="24"/>
              </w:rPr>
              <w:t xml:space="preserve">。</w:t>
            </w:r>
            <w:r/>
          </w:p>
        </w:tc>
        <w:tc>
          <w:tcPr>
            <w:tcW w:w="2449" w:type="dxa"/>
            <w:vAlign w:val="center"/>
            <w:vMerge w:val="continue"/>
            <w:textDirection w:val="lrTb"/>
            <w:noWrap w:val="false"/>
          </w:tcPr>
          <w:p>
            <w:pPr>
              <w:pStyle w:val="758"/>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758"/>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758"/>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758"/>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758"/>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758"/>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758"/>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758"/>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758"/>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758"/>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758"/>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758"/>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758"/>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758"/>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758"/>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758"/>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758"/>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758"/>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9"/>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6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758"/>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758"/>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758"/>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758"/>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758"/>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758"/>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758"/>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758"/>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758"/>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58"/>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758"/>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758"/>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758"/>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758"/>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758"/>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58"/>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758"/>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758"/>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758"/>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758"/>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758"/>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0"/>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758"/>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项目编号：</w:t>
      </w:r>
      <w:r>
        <w:rPr>
          <w:rFonts w:hint="eastAsia" w:ascii="黑体" w:hAnsi="华文中宋" w:eastAsia="黑体"/>
          <w:bCs/>
          <w:color w:val="auto"/>
          <w:sz w:val="30"/>
          <w:szCs w:val="30"/>
          <w:lang w:eastAsia="zh-CN"/>
        </w:rPr>
        <w:t xml:space="preserve">JSZC-320214-JZCG-G2026-0065</w:t>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无锡市新吴区第一实验学校物业管理服务项目</w:t>
      </w:r>
      <w:r/>
    </w:p>
    <w:p>
      <w:pPr>
        <w:ind w:firstLine="1800"/>
        <w:rPr>
          <w:rFonts w:hint="eastAsia" w:ascii="黑体" w:hAnsi="华文中宋" w:eastAsia="黑体"/>
          <w:bCs/>
          <w:color w:val="auto"/>
          <w:sz w:val="30"/>
          <w:szCs w:val="30"/>
        </w:rPr>
      </w:pPr>
      <w:r>
        <w:rPr>
          <w:rFonts w:hint="eastAsia" w:ascii="黑体" w:hAnsi="华文中宋" w:eastAsia="黑体"/>
          <w:bCs/>
          <w:color w:val="auto"/>
          <w:sz w:val="30"/>
          <w:szCs w:val="30"/>
        </w:rPr>
        <w:t xml:space="preserve">投 标 人：</w:t>
      </w:r>
      <w:r/>
    </w:p>
    <w:p>
      <w:pPr>
        <w:ind w:firstLine="1800"/>
        <w:rPr>
          <w:rFonts w:ascii="黑体" w:hAnsi="华文中宋" w:eastAsia="黑体"/>
          <w:bCs/>
          <w:color w:val="auto"/>
          <w:sz w:val="30"/>
          <w:szCs w:val="30"/>
        </w:rPr>
      </w:pPr>
      <w:r>
        <w:rPr>
          <w:rFonts w:hint="eastAsia" w:ascii="黑体" w:hAnsi="华文中宋" w:eastAsia="黑体"/>
          <w:bCs/>
          <w:color w:val="auto"/>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756"/>
        <w:ind w:firstLine="480"/>
        <w:rPr>
          <w:rFonts w:hint="eastAsia"/>
          <w:color w:val="auto"/>
          <w:sz w:val="24"/>
          <w:szCs w:val="24"/>
        </w:rPr>
      </w:pPr>
      <w:r>
        <w:rPr>
          <w:rFonts w:hint="eastAsia"/>
          <w:sz w:val="24"/>
          <w:szCs w:val="24"/>
        </w:rPr>
        <w:t xml:space="preserve">我公司（单位、</w:t>
      </w:r>
      <w:r>
        <w:rPr>
          <w:rFonts w:hint="eastAsia"/>
          <w:color w:val="auto"/>
          <w:sz w:val="24"/>
          <w:szCs w:val="24"/>
        </w:rPr>
        <w:t xml:space="preserve">联合体）针对</w:t>
      </w:r>
      <w:r>
        <w:rPr>
          <w:rFonts w:hint="eastAsia" w:ascii="宋体" w:hAnsi="宋体"/>
          <w:bCs/>
          <w:color w:val="auto"/>
          <w:sz w:val="24"/>
          <w:szCs w:val="24"/>
          <w:lang w:eastAsia="zh-CN"/>
        </w:rPr>
        <w:t xml:space="preserve">JSZC-320214-JZCG-G2026-0065</w:t>
      </w:r>
      <w:r>
        <w:rPr>
          <w:rFonts w:hint="eastAsia" w:ascii="宋体" w:hAnsi="宋体"/>
          <w:bCs/>
          <w:color w:val="auto"/>
          <w:sz w:val="24"/>
          <w:szCs w:val="24"/>
        </w:rPr>
        <w:t xml:space="preserve">项目，兹授权：</w:t>
      </w:r>
      <w:r/>
    </w:p>
    <w:p>
      <w:pPr>
        <w:pStyle w:val="756"/>
        <w:ind w:firstLine="480"/>
        <w:rPr>
          <w:rFonts w:hint="eastAsia"/>
          <w:color w:val="auto"/>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color w:val="auto"/>
          <w:sz w:val="24"/>
          <w:szCs w:val="24"/>
        </w:rPr>
        <w:t xml:space="preserve">；</w:t>
      </w:r>
      <w:r/>
    </w:p>
    <w:p>
      <w:pPr>
        <w:pStyle w:val="756"/>
        <w:ind w:firstLine="480"/>
        <w:rPr>
          <w:rFonts w:hint="eastAsia"/>
          <w:color w:val="auto"/>
          <w:sz w:val="24"/>
          <w:szCs w:val="24"/>
        </w:rPr>
      </w:pPr>
      <w:r>
        <w:rPr>
          <w:rFonts w:hint="eastAsia"/>
          <w:color w:val="auto"/>
          <w:sz w:val="24"/>
          <w:szCs w:val="24"/>
        </w:rPr>
        <w:t xml:space="preserve">被授权人的身份证号码：</w:t>
      </w:r>
      <w:r>
        <w:rPr>
          <w:rFonts w:hint="eastAsia"/>
          <w:color w:val="auto"/>
          <w:sz w:val="24"/>
          <w:szCs w:val="24"/>
          <w:u w:val="single"/>
        </w:rPr>
        <w:t xml:space="preserve">                  </w:t>
      </w:r>
      <w:r>
        <w:rPr>
          <w:rFonts w:hint="eastAsia"/>
          <w:color w:val="auto"/>
          <w:sz w:val="24"/>
          <w:szCs w:val="24"/>
        </w:rPr>
        <w:t xml:space="preserve">；联系方式：</w:t>
      </w:r>
      <w:r>
        <w:rPr>
          <w:rFonts w:hint="eastAsia"/>
          <w:color w:val="auto"/>
          <w:sz w:val="24"/>
          <w:szCs w:val="24"/>
          <w:u w:val="single"/>
        </w:rPr>
        <w:t xml:space="preserve">          </w:t>
      </w:r>
      <w:r>
        <w:rPr>
          <w:rFonts w:hint="eastAsia"/>
          <w:color w:val="auto"/>
          <w:sz w:val="24"/>
          <w:szCs w:val="24"/>
        </w:rPr>
        <w:t xml:space="preserve">；</w:t>
      </w:r>
      <w:r/>
    </w:p>
    <w:p>
      <w:pPr>
        <w:pStyle w:val="756"/>
        <w:ind w:firstLine="480"/>
        <w:rPr>
          <w:rFonts w:hint="eastAsia"/>
          <w:sz w:val="24"/>
          <w:szCs w:val="24"/>
        </w:rPr>
      </w:pPr>
      <w:r>
        <w:rPr>
          <w:rFonts w:hint="eastAsia"/>
          <w:color w:val="auto"/>
          <w:sz w:val="24"/>
          <w:szCs w:val="24"/>
        </w:rPr>
        <w:t xml:space="preserve">为我方合法代理人，以本单位名义全权处理</w:t>
      </w:r>
      <w:r>
        <w:rPr>
          <w:rFonts w:hint="eastAsia" w:ascii="宋体" w:hAnsi="宋体"/>
          <w:bCs/>
          <w:color w:val="auto"/>
          <w:sz w:val="24"/>
          <w:szCs w:val="24"/>
        </w:rPr>
        <w:t xml:space="preserve">针对本次项目的投标、参与开标、评标、签约等具体工作，并签署全部有关的文件、协议及</w:t>
      </w:r>
      <w:r>
        <w:rPr>
          <w:rFonts w:hint="eastAsia" w:ascii="宋体" w:hAnsi="宋体"/>
          <w:bCs/>
          <w:color w:val="000000"/>
          <w:sz w:val="24"/>
          <w:szCs w:val="24"/>
        </w:rPr>
        <w:t xml:space="preserve">合同以及其他</w:t>
      </w:r>
      <w:r>
        <w:rPr>
          <w:rFonts w:hint="eastAsia"/>
          <w:sz w:val="24"/>
          <w:szCs w:val="24"/>
        </w:rPr>
        <w:t xml:space="preserve">一切与该项目采购有关的事务。</w:t>
      </w:r>
      <w:r/>
    </w:p>
    <w:p>
      <w:pPr>
        <w:pStyle w:val="756"/>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756"/>
        <w:ind w:firstLine="480"/>
        <w:rPr>
          <w:rFonts w:hint="eastAsia"/>
          <w:sz w:val="24"/>
          <w:szCs w:val="24"/>
        </w:rPr>
      </w:pPr>
      <w:r>
        <w:rPr>
          <w:rFonts w:hint="eastAsia"/>
          <w:sz w:val="24"/>
          <w:szCs w:val="24"/>
        </w:rPr>
        <w:t xml:space="preserve">特此授权委托。</w:t>
      </w:r>
      <w:r/>
    </w:p>
    <w:p>
      <w:pPr>
        <w:pStyle w:val="756"/>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756"/>
        <w:ind w:firstLine="0"/>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756"/>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756"/>
        <w:ind w:firstLine="0"/>
        <w:rPr>
          <w:rFonts w:hint="eastAsia"/>
          <w:sz w:val="21"/>
          <w:szCs w:val="21"/>
        </w:rPr>
      </w:pPr>
      <w:r>
        <w:rPr>
          <w:rFonts w:hint="eastAsia"/>
          <w:sz w:val="21"/>
          <w:szCs w:val="21"/>
        </w:rPr>
      </w:r>
      <w:r/>
    </w:p>
    <w:p>
      <w:pPr>
        <w:pStyle w:val="756"/>
        <w:ind w:firstLine="0"/>
        <w:spacing w:line="360" w:lineRule="auto"/>
        <w:rPr>
          <w:rFonts w:hint="eastAsia"/>
          <w:sz w:val="21"/>
          <w:szCs w:val="21"/>
        </w:rPr>
      </w:pPr>
      <w:r>
        <w:rPr>
          <w:rFonts w:hint="eastAsia"/>
          <w:sz w:val="21"/>
          <w:szCs w:val="21"/>
        </w:rPr>
        <w:t xml:space="preserve">说明：</w:t>
      </w:r>
      <w:r/>
    </w:p>
    <w:p>
      <w:pPr>
        <w:pStyle w:val="756"/>
        <w:numPr>
          <w:ilvl w:val="0"/>
          <w:numId w:val="11"/>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756"/>
        <w:numPr>
          <w:ilvl w:val="0"/>
          <w:numId w:val="11"/>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756"/>
        <w:numPr>
          <w:ilvl w:val="0"/>
          <w:numId w:val="11"/>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756"/>
        <w:numPr>
          <w:ilvl w:val="0"/>
          <w:numId w:val="11"/>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756"/>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10" w:name="报价方关于资格的声明函（格式）"/>
      <w:r/>
      <w:bookmarkEnd w:id="210"/>
      <w:r>
        <w:rPr>
          <w:rFonts w:hint="eastAsia" w:ascii="黑体" w:eastAsia="黑体"/>
          <w:bCs/>
          <w:color w:val="000000"/>
          <w:sz w:val="28"/>
          <w:szCs w:val="28"/>
        </w:rPr>
        <w:t xml:space="preserve">资格声明函</w:t>
      </w:r>
      <w:r/>
    </w:p>
    <w:p>
      <w:pPr>
        <w:jc w:val="center"/>
        <w:spacing w:line="480" w:lineRule="auto"/>
        <w:rPr>
          <w:rFonts w:ascii="宋体"/>
          <w:bCs/>
          <w:color w:val="auto"/>
          <w:sz w:val="24"/>
          <w:szCs w:val="24"/>
        </w:rPr>
      </w:pPr>
      <w:r>
        <w:rPr>
          <w:rFonts w:ascii="宋体"/>
          <w:bCs/>
          <w:color w:val="auto"/>
          <w:sz w:val="24"/>
          <w:szCs w:val="24"/>
        </w:rPr>
      </w:r>
      <w:r/>
    </w:p>
    <w:p>
      <w:pPr>
        <w:spacing w:line="480" w:lineRule="auto"/>
        <w:rPr>
          <w:rFonts w:ascii="宋体"/>
          <w:bCs/>
          <w:color w:val="auto"/>
          <w:sz w:val="24"/>
          <w:szCs w:val="24"/>
        </w:rPr>
      </w:pPr>
      <w:r>
        <w:rPr>
          <w:rFonts w:hint="eastAsia" w:ascii="宋体" w:hAnsi="宋体"/>
          <w:bCs/>
          <w:color w:val="auto"/>
          <w:sz w:val="24"/>
          <w:szCs w:val="24"/>
          <w:lang w:eastAsia="zh-CN"/>
        </w:rPr>
        <w:t xml:space="preserve">无锡市公共资源交易中心新吴分中心</w:t>
      </w:r>
      <w:r>
        <w:rPr>
          <w:rFonts w:hint="eastAsia" w:ascii="宋体" w:hAnsi="宋体"/>
          <w:bCs/>
          <w:color w:val="auto"/>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我公司（单位、联合体）针对本次项目</w:t>
      </w:r>
      <w:r>
        <w:rPr>
          <w:rFonts w:hint="eastAsia" w:ascii="宋体" w:hAnsi="宋体"/>
          <w:bCs/>
          <w:color w:val="auto"/>
          <w:sz w:val="24"/>
          <w:szCs w:val="24"/>
          <w:lang w:eastAsia="zh-CN"/>
        </w:rPr>
        <w:t xml:space="preserve">JSZC-320214-JZCG-G2026-0065</w:t>
      </w:r>
      <w:r>
        <w:rPr>
          <w:rFonts w:hint="eastAsia" w:ascii="宋体" w:hAnsi="宋体"/>
          <w:bCs/>
          <w:color w:val="auto"/>
          <w:sz w:val="24"/>
          <w:szCs w:val="24"/>
        </w:rPr>
        <w:t xml:space="preserve">进行投标，并作如下声明</w:t>
      </w:r>
      <w:r/>
    </w:p>
    <w:p>
      <w:pPr>
        <w:ind w:firstLine="480"/>
        <w:spacing w:line="480" w:lineRule="auto"/>
        <w:rPr>
          <w:rFonts w:hint="eastAsia" w:ascii="宋体" w:hAnsi="宋体"/>
          <w:bCs/>
          <w:color w:val="000000"/>
          <w:sz w:val="24"/>
          <w:szCs w:val="24"/>
        </w:rPr>
      </w:pPr>
      <w:r>
        <w:rPr>
          <w:rFonts w:hint="eastAsia" w:ascii="宋体" w:hAnsi="宋体"/>
          <w:bCs/>
          <w:color w:val="auto"/>
          <w:sz w:val="24"/>
          <w:szCs w:val="24"/>
        </w:rPr>
        <w:t xml:space="preserve">1.我公司（单位、联合体）参加本次项目政府采购活动前三年内，在经营活动中没有重大违法（因违法经营受到刑事处罚或者责令停产停业</w:t>
      </w:r>
      <w:r>
        <w:rPr>
          <w:rFonts w:hint="eastAsia" w:ascii="宋体" w:hAnsi="宋体"/>
          <w:bCs/>
          <w:color w:val="000000"/>
          <w:sz w:val="24"/>
          <w:szCs w:val="24"/>
        </w:rPr>
        <w:t xml:space="preserve">、吊销许可证或者执照、较大数额罚款等行政处罚）记录。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hint="eastAsia" w:ascii="宋体" w:hAnsi="宋体" w:cs="宋体"/>
          <w:b/>
          <w:color w:val="auto"/>
          <w:sz w:val="28"/>
          <w:szCs w:val="28"/>
        </w:rPr>
      </w:pPr>
      <w:r>
        <w:rPr>
          <w:rFonts w:ascii="宋体"/>
          <w:bCs/>
          <w:color w:val="000000"/>
          <w:sz w:val="24"/>
          <w:szCs w:val="24"/>
        </w:rPr>
        <w:br w:type="page" w:clear="all"/>
      </w:r>
      <w:r>
        <w:rPr>
          <w:rFonts w:hint="eastAsia" w:ascii="宋体" w:hAnsi="宋体" w:cs="宋体"/>
          <w:b/>
          <w:sz w:val="28"/>
          <w:szCs w:val="28"/>
        </w:rPr>
        <w:t xml:space="preserve">四、中</w:t>
      </w:r>
      <w:r>
        <w:rPr>
          <w:rFonts w:hint="eastAsia" w:ascii="宋体" w:hAnsi="宋体" w:cs="宋体"/>
          <w:b/>
          <w:color w:val="auto"/>
          <w:sz w:val="28"/>
          <w:szCs w:val="28"/>
        </w:rPr>
        <w:t xml:space="preserve">小企业声明函（给定格式）：</w:t>
      </w:r>
      <w:r/>
    </w:p>
    <w:p>
      <w:pPr>
        <w:ind w:firstLine="560"/>
        <w:jc w:val="center"/>
        <w:spacing w:line="360" w:lineRule="auto"/>
        <w:rPr>
          <w:rFonts w:ascii="黑体" w:eastAsia="黑体"/>
          <w:bCs/>
          <w:color w:val="auto"/>
          <w:sz w:val="28"/>
          <w:szCs w:val="28"/>
        </w:rPr>
      </w:pPr>
      <w:r>
        <w:rPr>
          <w:rFonts w:ascii="黑体" w:eastAsia="黑体"/>
          <w:bCs/>
          <w:color w:val="auto"/>
          <w:sz w:val="28"/>
          <w:szCs w:val="28"/>
        </w:rPr>
        <w:t xml:space="preserve">中小企业声明函（服务）</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w:t>
      </w:r>
      <w:r>
        <w:rPr>
          <w:rFonts w:hint="eastAsia" w:ascii="宋体" w:hAnsi="宋体"/>
          <w:bCs/>
          <w:sz w:val="24"/>
          <w:szCs w:val="24"/>
          <w:u w:val="single"/>
        </w:rPr>
        <w:t xml:space="preserve">物业管理服务</w:t>
      </w:r>
      <w:r>
        <w:rPr>
          <w:rFonts w:hint="eastAsia" w:ascii="宋体" w:hAnsi="宋体" w:eastAsia="宋体" w:cs="Times New Roman"/>
          <w:bCs/>
          <w:sz w:val="24"/>
          <w:szCs w:val="24"/>
          <w:u w:val="single"/>
        </w:rPr>
        <w:t xml:space="preserve">（不含</w:t>
      </w:r>
      <w:r>
        <w:rPr>
          <w:rFonts w:hint="eastAsia" w:ascii="宋体" w:hAnsi="宋体" w:eastAsia="宋体" w:cs="Times New Roman"/>
          <w:bCs/>
          <w:sz w:val="24"/>
          <w:szCs w:val="24"/>
          <w:u w:val="single"/>
          <w:lang w:val="en-US" w:eastAsia="zh-CN"/>
        </w:rPr>
        <w:t xml:space="preserve">消防维保</w:t>
      </w:r>
      <w:r>
        <w:rPr>
          <w:rFonts w:hint="eastAsia" w:ascii="宋体" w:hAnsi="宋体" w:eastAsia="宋体" w:cs="Times New Roman"/>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w:t>
      </w:r>
      <w:r>
        <w:rPr>
          <w:rFonts w:hint="eastAsia" w:ascii="宋体" w:hAnsi="宋体" w:eastAsia="宋体" w:cs="Times New Roman"/>
          <w:bCs/>
          <w:sz w:val="24"/>
          <w:szCs w:val="24"/>
          <w:u w:val="single"/>
          <w:lang w:val="en-US" w:eastAsia="zh-CN"/>
        </w:rPr>
        <w:t xml:space="preserve">消防维保</w:t>
      </w:r>
      <w:r>
        <w:rPr>
          <w:rFonts w:ascii="宋体" w:hAnsi="宋体"/>
          <w:bCs/>
          <w:sz w:val="24"/>
          <w:szCs w:val="24"/>
          <w:u w:val="single"/>
        </w:rPr>
        <w:t xml:space="preserve"> </w:t>
      </w:r>
      <w:r>
        <w:rPr>
          <w:rFonts w:ascii="宋体" w:hAnsi="宋体"/>
          <w:bCs/>
          <w:sz w:val="24"/>
          <w:szCs w:val="24"/>
        </w:rPr>
        <w:t xml:space="preserve">，属于</w:t>
      </w:r>
      <w:r>
        <w:rPr>
          <w:rFonts w:hint="eastAsia" w:ascii="宋体" w:hAnsi="宋体" w:eastAsia="宋体" w:cs="Times New Roman"/>
          <w:bCs/>
          <w:sz w:val="24"/>
          <w:szCs w:val="24"/>
          <w:u w:val="single"/>
        </w:rPr>
        <w:t xml:space="preserve">物业管</w:t>
      </w:r>
      <w:r>
        <w:rPr>
          <w:rFonts w:ascii="宋体" w:hAnsi="宋体"/>
          <w:bCs/>
          <w:sz w:val="24"/>
          <w:szCs w:val="24"/>
          <w:u w:val="single"/>
        </w:rPr>
        <w:t xml:space="preserve">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pPr>
      <w:r/>
      <w:r/>
    </w:p>
    <w:p>
      <w:pPr>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w:t>
      </w:r>
      <w:r>
        <w:rPr>
          <w:rFonts w:hint="eastAsia"/>
          <w:color w:val="auto"/>
        </w:rPr>
        <w:t xml:space="preserve">服务类的，只须按项目技术要求中的服务部分标的及其所属行业逐一进行填报，</w:t>
      </w:r>
      <w:r>
        <w:rPr>
          <w:rFonts w:hint="eastAsia"/>
          <w:b/>
          <w:color w:val="auto"/>
          <w:u w:val="single"/>
        </w:rPr>
        <w:t xml:space="preserve">“企业名称”应填报为提供该项服务的承建（承接）商，“企业名称（盖章）”处须盖有相应承建（承接）商企业公章（即</w:t>
      </w:r>
      <w:r>
        <w:rPr>
          <w:rFonts w:hint="eastAsia" w:ascii="Times New Roman" w:hAnsi="Times New Roman" w:eastAsia="宋体" w:cs="Times New Roman"/>
          <w:b/>
          <w:color w:val="auto"/>
          <w:u w:val="single"/>
          <w:lang w:val="en-US" w:eastAsia="zh-CN"/>
        </w:rPr>
        <w:t xml:space="preserve">消防维保</w:t>
      </w:r>
      <w:r>
        <w:rPr>
          <w:rFonts w:hint="eastAsia" w:ascii="Times New Roman" w:hAnsi="Times New Roman" w:eastAsia="宋体" w:cs="Times New Roman"/>
          <w:b/>
          <w:color w:val="auto"/>
          <w:u w:val="single"/>
        </w:rPr>
        <w:t xml:space="preserve">如</w:t>
      </w:r>
      <w:r>
        <w:rPr>
          <w:rFonts w:hint="eastAsia"/>
          <w:b/>
          <w:color w:val="auto"/>
          <w:u w:val="single"/>
        </w:rPr>
        <w:t xml:space="preserve">中标后由分包供应商承建（承接）的，则“企业名称（盖章）”处还须盖有该分包供应商单位公章）。</w:t>
      </w:r>
      <w:r>
        <w:rPr>
          <w:rFonts w:hint="eastAsia"/>
          <w:color w:val="auto"/>
        </w:rPr>
        <w:t xml:space="preserve">专门面向中小企业的项目投标人未按上述要求逐一进行填报的将被视为无效投标文件；非专门面向中</w:t>
      </w:r>
      <w:r>
        <w:rPr>
          <w:rFonts w:hint="eastAsia"/>
        </w:rPr>
        <w:t xml:space="preserve">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ind w:firstLine="480"/>
        <w:spacing w:line="360" w:lineRule="auto"/>
        <w:rPr>
          <w:rFonts w:ascii="宋体" w:hAnsi="宋体"/>
          <w:bCs/>
          <w:color w:val="ff0000"/>
          <w:sz w:val="24"/>
          <w:szCs w:val="24"/>
        </w:rPr>
      </w:pPr>
      <w:r>
        <w:rPr>
          <w:rFonts w:ascii="宋体" w:hAnsi="宋体"/>
          <w:bCs/>
          <w:color w:val="ff0000"/>
          <w:sz w:val="24"/>
          <w:szCs w:val="24"/>
        </w:rPr>
      </w:r>
      <w:r/>
    </w:p>
    <w:p>
      <w:pPr>
        <w:ind w:firstLine="420"/>
        <w:spacing w:line="360" w:lineRule="auto"/>
      </w:pPr>
      <w:r/>
      <w:r/>
    </w:p>
    <w:p>
      <w:pPr>
        <w:spacing w:line="360" w:lineRule="auto"/>
        <w:rPr>
          <w:rFonts w:hint="eastAsia"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auto"/>
          <w:sz w:val="24"/>
          <w:szCs w:val="24"/>
        </w:rPr>
      </w:pPr>
      <w:r>
        <w:rPr>
          <w:rFonts w:hint="eastAsia" w:ascii="黑体" w:eastAsia="黑体"/>
          <w:bCs/>
          <w:color w:val="auto"/>
          <w:sz w:val="28"/>
          <w:szCs w:val="28"/>
        </w:rPr>
        <w:t xml:space="preserve">投标函</w:t>
      </w:r>
      <w:r/>
    </w:p>
    <w:p>
      <w:pPr>
        <w:spacing w:line="400" w:lineRule="exact"/>
        <w:rPr>
          <w:rFonts w:ascii="宋体"/>
          <w:bCs/>
          <w:color w:val="auto"/>
          <w:sz w:val="24"/>
          <w:szCs w:val="24"/>
        </w:rPr>
      </w:pPr>
      <w:r>
        <w:rPr>
          <w:rFonts w:hint="eastAsia" w:ascii="宋体" w:hAnsi="宋体"/>
          <w:bCs/>
          <w:color w:val="auto"/>
          <w:sz w:val="24"/>
          <w:szCs w:val="24"/>
        </w:rPr>
        <w:t xml:space="preserve">致</w:t>
      </w:r>
      <w:r>
        <w:rPr>
          <w:rFonts w:hint="eastAsia" w:ascii="宋体" w:hAnsi="宋体"/>
          <w:bCs/>
          <w:color w:val="auto"/>
          <w:sz w:val="24"/>
          <w:szCs w:val="24"/>
          <w:lang w:eastAsia="zh-CN"/>
        </w:rPr>
        <w:t xml:space="preserve">无锡市公共资源交易中心新吴分中心</w:t>
      </w:r>
      <w:r>
        <w:rPr>
          <w:rFonts w:hint="eastAsia" w:ascii="宋体" w:hAnsi="宋体"/>
          <w:bCs/>
          <w:color w:val="auto"/>
          <w:sz w:val="24"/>
          <w:szCs w:val="24"/>
        </w:rPr>
        <w:t xml:space="preserve">：</w:t>
      </w:r>
      <w:r/>
    </w:p>
    <w:p>
      <w:pPr>
        <w:ind w:firstLine="480"/>
        <w:spacing w:line="400" w:lineRule="exact"/>
        <w:rPr>
          <w:rFonts w:ascii="宋体"/>
          <w:bCs/>
          <w:color w:val="auto"/>
          <w:sz w:val="24"/>
          <w:szCs w:val="24"/>
        </w:rPr>
      </w:pPr>
      <w:r>
        <w:rPr>
          <w:rFonts w:ascii="宋体"/>
          <w:bCs/>
          <w:color w:val="auto"/>
          <w:sz w:val="24"/>
          <w:szCs w:val="24"/>
        </w:rPr>
      </w:r>
      <w:r/>
    </w:p>
    <w:p>
      <w:pPr>
        <w:ind w:firstLine="480"/>
        <w:spacing w:line="400" w:lineRule="exact"/>
        <w:rPr>
          <w:rFonts w:ascii="宋体"/>
          <w:bCs/>
          <w:color w:val="auto"/>
          <w:sz w:val="24"/>
          <w:szCs w:val="24"/>
        </w:rPr>
      </w:pPr>
      <w:r>
        <w:rPr>
          <w:rFonts w:hint="eastAsia" w:ascii="宋体" w:hAnsi="宋体"/>
          <w:bCs/>
          <w:color w:val="auto"/>
          <w:sz w:val="24"/>
          <w:szCs w:val="24"/>
        </w:rPr>
        <w:t xml:space="preserve">我方收到贵方</w:t>
      </w:r>
      <w:r>
        <w:rPr>
          <w:rFonts w:hint="eastAsia" w:ascii="宋体" w:hAnsi="宋体"/>
          <w:bCs/>
          <w:color w:val="auto"/>
          <w:sz w:val="24"/>
          <w:szCs w:val="24"/>
          <w:lang w:eastAsia="zh-CN"/>
        </w:rPr>
        <w:t xml:space="preserve">JSZC-320214-JZCG-G2026-0065</w:t>
      </w:r>
      <w:r>
        <w:rPr>
          <w:rFonts w:hint="eastAsia" w:ascii="宋体" w:hAnsi="宋体"/>
          <w:bCs/>
          <w:color w:val="auto"/>
          <w:sz w:val="24"/>
          <w:szCs w:val="24"/>
        </w:rPr>
        <w:t xml:space="preserve">招标文件，经仔细阅读和研究，我方决定参加此项目的投标。</w:t>
      </w:r>
      <w:r/>
    </w:p>
    <w:p>
      <w:pPr>
        <w:numPr>
          <w:ilvl w:val="0"/>
          <w:numId w:val="12"/>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auto"/>
          <w:sz w:val="24"/>
          <w:szCs w:val="24"/>
        </w:rPr>
        <w:t xml:space="preserve">我方愿意按照招标文件的一切</w:t>
      </w:r>
      <w:r>
        <w:rPr>
          <w:rFonts w:hint="eastAsia" w:ascii="宋体" w:hAnsi="宋体"/>
          <w:bCs/>
          <w:color w:val="000000"/>
          <w:sz w:val="24"/>
          <w:szCs w:val="24"/>
        </w:rPr>
        <w:t xml:space="preserve">要求，提供本项目的投标，投标总价见《开标一览表》。</w:t>
      </w:r>
      <w:r/>
    </w:p>
    <w:p>
      <w:pPr>
        <w:numPr>
          <w:ilvl w:val="0"/>
          <w:numId w:val="12"/>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17"/>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spacing w:line="480" w:lineRule="auto"/>
        <w:rPr>
          <w:rFonts w:ascii="宋体" w:hAnsi="宋体"/>
          <w:bCs/>
          <w:color w:val="000000"/>
          <w:sz w:val="24"/>
          <w:szCs w:val="24"/>
        </w:rPr>
      </w:pPr>
      <w:r>
        <w:rPr>
          <w:rFonts w:ascii="宋体" w:hAnsi="宋体"/>
          <w:bCs/>
          <w:color w:val="000000"/>
          <w:sz w:val="24"/>
          <w:szCs w:val="24"/>
        </w:rPr>
      </w:r>
      <w:r/>
    </w:p>
    <w:p>
      <w:pPr>
        <w:rPr>
          <w:rFonts w:hint="eastAsia"/>
          <w:b/>
          <w:color w:val="auto"/>
          <w:sz w:val="28"/>
          <w:szCs w:val="28"/>
          <w:highlight w:val="none"/>
        </w:rPr>
        <w:outlineLvl w:val="0"/>
      </w:pPr>
      <w:r>
        <w:rPr>
          <w:rFonts w:ascii="宋体" w:hAnsi="宋体"/>
          <w:bCs/>
          <w:color w:val="000000"/>
          <w:sz w:val="24"/>
          <w:szCs w:val="24"/>
        </w:rPr>
        <w:br w:type="page" w:clear="all"/>
      </w:r>
      <w:r>
        <w:rPr>
          <w:rFonts w:hint="eastAsia"/>
          <w:b/>
          <w:color w:val="auto"/>
          <w:sz w:val="28"/>
          <w:szCs w:val="28"/>
          <w:highlight w:val="none"/>
        </w:rPr>
        <w:t xml:space="preserve">七、承诺书（给定格式）：</w:t>
      </w:r>
      <w:r/>
    </w:p>
    <w:p>
      <w:pPr>
        <w:ind w:firstLine="602"/>
        <w:rPr>
          <w:rFonts w:hint="eastAsia"/>
          <w:b/>
          <w:color w:val="auto"/>
          <w:sz w:val="30"/>
          <w:szCs w:val="30"/>
          <w:highlight w:val="none"/>
        </w:rPr>
        <w:outlineLvl w:val="0"/>
      </w:pPr>
      <w:r>
        <w:rPr>
          <w:rFonts w:hint="eastAsia"/>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JSZC-320214-JZCG-G2026-0065</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sz w:val="24"/>
          <w:szCs w:val="24"/>
        </w:rPr>
      </w:pPr>
      <w:r>
        <w:rPr>
          <w:rFonts w:hint="eastAsia" w:ascii="宋体" w:hAnsi="宋体" w:cs="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）对本项目所提供的服务符合招标</w:t>
      </w:r>
      <w:r>
        <w:rPr>
          <w:rFonts w:hint="eastAsia" w:ascii="宋体" w:hAnsi="宋体" w:cs="宋体"/>
          <w:sz w:val="24"/>
          <w:szCs w:val="24"/>
        </w:rPr>
        <w:t xml:space="preserve">文件要求；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w:t>
      </w:r>
      <w:r/>
    </w:p>
    <w:p>
      <w:pPr>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p>
    <w:p>
      <w:pPr>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p>
    <w:p>
      <w:pPr>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p>
    <w:p>
      <w:pPr>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sz w:val="24"/>
        </w:rPr>
      </w:pPr>
      <w:r>
        <w:rPr>
          <w:rFonts w:hint="eastAsia"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p>
    <w:p>
      <w:pPr>
        <w:spacing w:line="360" w:lineRule="auto"/>
        <w:rPr>
          <w:rFonts w:hint="eastAsia" w:ascii="黑体" w:eastAsia="黑体"/>
          <w:bCs/>
          <w:color w:val="auto"/>
          <w:sz w:val="24"/>
          <w:szCs w:val="24"/>
        </w:rPr>
      </w:pPr>
      <w:r>
        <w:rPr>
          <w:rFonts w:hint="eastAsia" w:ascii="黑体" w:eastAsia="黑体"/>
          <w:bCs/>
          <w:color w:val="auto"/>
          <w:sz w:val="24"/>
          <w:szCs w:val="24"/>
        </w:rPr>
      </w:r>
      <w:r/>
    </w:p>
    <w:p>
      <w:pPr>
        <w:spacing w:line="360" w:lineRule="auto"/>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JSZC-320214-JZCG-G2026-0065</w:t>
      </w:r>
      <w:r/>
    </w:p>
    <w:tbl>
      <w:tblPr>
        <w:tblStyle w:val="679"/>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188" w:type="dxa"/>
            <w:vAlign w:val="center"/>
            <w:textDirection w:val="lrTb"/>
            <w:noWrap w:val="false"/>
          </w:tcPr>
          <w:p>
            <w:pPr>
              <w:jc w:val="center"/>
              <w:rPr>
                <w:rFonts w:hint="eastAsia" w:ascii="宋体" w:eastAsia="宋体"/>
                <w:b/>
                <w:bCs/>
                <w:color w:val="auto"/>
                <w:sz w:val="24"/>
                <w:szCs w:val="24"/>
                <w:lang w:eastAsia="zh-CN"/>
              </w:rPr>
            </w:pPr>
            <w:r>
              <w:rPr>
                <w:rFonts w:hint="eastAsia" w:ascii="宋体" w:hAnsi="宋体"/>
                <w:b/>
                <w:bCs/>
                <w:color w:val="auto"/>
                <w:sz w:val="24"/>
                <w:szCs w:val="24"/>
              </w:rPr>
              <w:t xml:space="preserve">投标总报价</w:t>
            </w:r>
            <w:r>
              <w:rPr>
                <w:rFonts w:ascii="宋体" w:hAnsi="宋体"/>
                <w:b/>
                <w:bCs/>
                <w:color w:val="auto"/>
                <w:sz w:val="24"/>
                <w:szCs w:val="24"/>
              </w:rPr>
              <w:t xml:space="preserve">(</w:t>
            </w:r>
            <w:r>
              <w:rPr>
                <w:rFonts w:hint="eastAsia" w:ascii="宋体" w:hAnsi="宋体"/>
                <w:b/>
                <w:bCs/>
                <w:color w:val="auto"/>
                <w:sz w:val="24"/>
                <w:szCs w:val="24"/>
              </w:rPr>
              <w:t xml:space="preserve">小写</w:t>
            </w:r>
            <w:r>
              <w:rPr>
                <w:rFonts w:ascii="宋体" w:hAnsi="宋体"/>
                <w:b/>
                <w:bCs/>
                <w:color w:val="auto"/>
                <w:sz w:val="24"/>
                <w:szCs w:val="24"/>
              </w:rPr>
              <w:t xml:space="preserve">)</w:t>
            </w:r>
            <w:r/>
          </w:p>
        </w:tc>
      </w:tr>
      <w:tr>
        <w:trPr>
          <w:cantSplit/>
          <w:trHeight w:val="1630"/>
        </w:trPr>
        <w:tc>
          <w:tcPr>
            <w:tcW w:w="5697" w:type="dxa"/>
            <w:vAlign w:val="center"/>
            <w:textDirection w:val="lrTb"/>
            <w:noWrap w:val="false"/>
          </w:tcPr>
          <w:p>
            <w:pPr>
              <w:pStyle w:val="784"/>
              <w:jc w:val="center"/>
              <w:spacing w:line="400" w:lineRule="exact"/>
              <w:rPr>
                <w:rFonts w:hint="eastAsia" w:hAnsi="宋体" w:eastAsia="宋体"/>
                <w:bCs/>
                <w:color w:val="auto"/>
                <w:szCs w:val="24"/>
                <w:lang w:eastAsia="zh-CN"/>
              </w:rPr>
            </w:pPr>
            <w:r>
              <w:rPr>
                <w:rFonts w:hint="eastAsia" w:hAnsi="宋体"/>
                <w:bCs/>
                <w:color w:val="auto"/>
                <w:szCs w:val="24"/>
                <w:lang w:eastAsia="zh-CN"/>
              </w:rPr>
              <w:t xml:space="preserve">无锡市新吴区第一实验学校物业管理服务项目</w:t>
            </w:r>
            <w:r/>
          </w:p>
        </w:tc>
        <w:tc>
          <w:tcPr>
            <w:tcW w:w="3188" w:type="dxa"/>
            <w:vAlign w:val="center"/>
            <w:textDirection w:val="lrTb"/>
            <w:noWrap w:val="false"/>
          </w:tcPr>
          <w:p>
            <w:pPr>
              <w:pStyle w:val="784"/>
              <w:jc w:val="center"/>
              <w:rPr>
                <w:rFonts w:hAnsi="宋体"/>
                <w:b/>
                <w:color w:val="auto"/>
                <w:szCs w:val="24"/>
              </w:rPr>
            </w:pPr>
            <w:r>
              <w:rPr>
                <w:rFonts w:hAnsi="宋体"/>
                <w:b/>
                <w:color w:val="auto"/>
                <w:szCs w:val="24"/>
              </w:rPr>
            </w:r>
            <w:r/>
          </w:p>
        </w:tc>
      </w:tr>
      <w:tr>
        <w:trPr>
          <w:cantSplit/>
          <w:trHeight w:val="780"/>
        </w:trPr>
        <w:tc>
          <w:tcPr>
            <w:gridSpan w:val="2"/>
            <w:tcW w:w="8885" w:type="dxa"/>
            <w:vAlign w:val="center"/>
            <w:textDirection w:val="lrTb"/>
            <w:noWrap w:val="false"/>
          </w:tcPr>
          <w:p>
            <w:pPr>
              <w:rPr>
                <w:rFonts w:ascii="宋体"/>
                <w:bCs/>
                <w:color w:val="auto"/>
                <w:sz w:val="24"/>
                <w:szCs w:val="24"/>
              </w:rPr>
            </w:pPr>
            <w:r>
              <w:rPr>
                <w:rFonts w:hint="eastAsia" w:ascii="黑体" w:eastAsia="黑体"/>
                <w:color w:val="auto"/>
                <w:sz w:val="24"/>
              </w:rPr>
              <w:t xml:space="preserve">投标总报价（大写）</w:t>
            </w:r>
            <w:r>
              <w:rPr>
                <w:rFonts w:hint="eastAsia" w:ascii="宋体" w:hAnsi="宋体"/>
                <w:bCs/>
                <w:color w:val="auto"/>
                <w:sz w:val="24"/>
                <w:szCs w:val="24"/>
                <w:u w:val="none"/>
              </w:rPr>
              <w:t xml:space="preserve">：</w:t>
            </w:r>
            <w:r>
              <w:rPr>
                <w:rFonts w:ascii="宋体"/>
                <w:bCs/>
                <w:color w:val="auto"/>
                <w:sz w:val="24"/>
                <w:szCs w:val="24"/>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bookmarkEnd w:id="207"/>
      <w:bookmarkEnd w:id="208"/>
      <w:bookmarkEnd w:id="209"/>
      <w:r/>
    </w:p>
    <w:p>
      <w:pPr>
        <w:ind w:firstLine="420"/>
        <w:jc w:val="center"/>
        <w:spacing w:line="400" w:lineRule="exact"/>
        <w:rPr>
          <w:rFonts w:hint="eastAsia" w:ascii="黑体" w:hAnsi="宋体" w:eastAsia="黑体"/>
          <w:bCs/>
          <w:color w:val="auto"/>
          <w:sz w:val="24"/>
          <w:szCs w:val="24"/>
          <w:highlight w:val="none"/>
        </w:rPr>
        <w:outlineLvl w:val="0"/>
      </w:pPr>
      <w:r/>
      <w:bookmarkStart w:id="211" w:name="_Toc120614284"/>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JSZC-320214-JZCG-G2026-0065</w:t>
      </w:r>
      <w:r/>
    </w:p>
    <w:tbl>
      <w:tblPr>
        <w:tblStyle w:val="679"/>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序号</w:t>
            </w:r>
            <w:r/>
          </w:p>
        </w:tc>
        <w:tc>
          <w:tcPr>
            <w:tcW w:w="357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项目名称</w:t>
            </w:r>
            <w:r/>
          </w:p>
        </w:tc>
        <w:tc>
          <w:tcPr>
            <w:tcW w:w="146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（元/月）</w:t>
            </w:r>
            <w:r/>
          </w:p>
        </w:tc>
        <w:tc>
          <w:tcPr>
            <w:tcW w:w="1418"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（元/年）</w:t>
            </w:r>
            <w:r/>
          </w:p>
        </w:tc>
        <w:tc>
          <w:tcPr>
            <w:tcW w:w="1842"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备注</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1</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员工工资、福利、法定计提费用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参照表（1）</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2</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行政办公费用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办公用品、耗材费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参照表（2）、（3）</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交通费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通讯费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培训费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（5）</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员工餐费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（6）</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标识标牌等费用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 </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（7）</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b/>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b/>
                <w:color w:val="000000"/>
              </w:rPr>
              <w:t xml:space="preserve">服装费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4</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卫生清洁费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（1）</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保洁工具</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（2）</w:t>
            </w:r>
            <w:r/>
          </w:p>
        </w:tc>
        <w:tc>
          <w:tcPr>
            <w:tcW w:w="3575" w:type="dxa"/>
            <w:vAlign w:val="center"/>
            <w:textDirection w:val="lrTb"/>
            <w:noWrap w:val="false"/>
          </w:tcPr>
          <w:p>
            <w:pPr>
              <w:rPr>
                <w:rFonts w:hint="eastAsia"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参照表（3）</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消杀防疫等费用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5</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安保器械装备费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6</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餐饮服务相关费用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7</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维修维保费用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参照表（4）</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8</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合理利润</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9</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税金</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10</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其他支出（按需求自行列举）</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ascii="宋体" w:hAnsi="宋体"/>
                <w:color w:val="000000"/>
              </w:rPr>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合计：</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bl>
    <w:p>
      <w:pPr>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lang w:eastAsia="zh-CN"/>
        </w:rPr>
        <w:t xml:space="preserve">无锡市公共资源交易中心新吴分中心</w:t>
      </w:r>
      <w:r>
        <w:rPr>
          <w:rFonts w:hint="eastAsia" w:ascii="宋体" w:hAnsi="Calibri"/>
          <w:bCs/>
        </w:rPr>
        <w:t xml:space="preserve">有权将相关内容进行公示；</w:t>
      </w:r>
      <w:r/>
    </w:p>
    <w:p>
      <w:pPr>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p>
    <w:tbl>
      <w:tblPr>
        <w:tblStyle w:val="679"/>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198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项目名称</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人数配置</w:t>
            </w:r>
            <w:r/>
          </w:p>
        </w:tc>
        <w:tc>
          <w:tcPr>
            <w:tcW w:w="141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人员费用标准</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84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681"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1</w:t>
            </w:r>
            <w:r/>
          </w:p>
        </w:tc>
        <w:tc>
          <w:tcPr>
            <w:tcW w:w="1985" w:type="dxa"/>
            <w:vAlign w:val="center"/>
            <w:textDirection w:val="lrTb"/>
            <w:noWrap w:val="false"/>
          </w:tcPr>
          <w:p>
            <w:pPr>
              <w:rPr>
                <w:rFonts w:hint="eastAsia" w:ascii="宋体" w:hAnsi="宋体"/>
                <w:b/>
                <w:sz w:val="18"/>
                <w:szCs w:val="18"/>
              </w:rPr>
            </w:pPr>
            <w:r>
              <w:rPr>
                <w:rFonts w:hint="eastAsia" w:ascii="宋体" w:hAnsi="宋体"/>
                <w:b/>
                <w:sz w:val="18"/>
                <w:szCs w:val="18"/>
              </w:rPr>
              <w:t xml:space="preserve">员工工资及福利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项目经理</w:t>
            </w:r>
            <w:r/>
          </w:p>
          <w:p>
            <w:pPr>
              <w:jc w:val="center"/>
              <w:rPr>
                <w:rFonts w:hint="eastAsia" w:ascii="宋体" w:hAnsi="宋体"/>
                <w:sz w:val="18"/>
                <w:szCs w:val="18"/>
              </w:rPr>
            </w:pPr>
            <w:r>
              <w:rPr>
                <w:rFonts w:hint="eastAsia" w:ascii="宋体" w:hAnsi="宋体"/>
                <w:sz w:val="18"/>
                <w:szCs w:val="18"/>
              </w:rPr>
              <w:t xml:space="preserve">（项目负责人）</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XX人员</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自行添行明确</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法定节假日加班工资</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员工人身意外保险费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2</w:t>
            </w:r>
            <w:r/>
          </w:p>
        </w:tc>
        <w:tc>
          <w:tcPr>
            <w:tcW w:w="1985"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法定计提费用</w:t>
            </w:r>
            <w:r/>
          </w:p>
        </w:tc>
        <w:tc>
          <w:tcPr>
            <w:tcW w:w="992" w:type="dxa"/>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养老保险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医疗统筹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失业</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工伤</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（5）</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生育</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sz w:val="18"/>
                <w:szCs w:val="18"/>
              </w:rPr>
            </w:pPr>
            <w:r>
              <w:rPr>
                <w:rFonts w:hint="eastAsia" w:ascii="宋体" w:hAnsi="宋体"/>
                <w:sz w:val="18"/>
                <w:szCs w:val="18"/>
              </w:rPr>
              <w:t xml:space="preserve">（6）</w:t>
            </w:r>
            <w:r/>
          </w:p>
        </w:tc>
        <w:tc>
          <w:tcPr>
            <w:tcW w:w="198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jc w:val="center"/>
        </w:trPr>
        <w:tc>
          <w:tcPr>
            <w:tcW w:w="681" w:type="dxa"/>
            <w:vAlign w:val="center"/>
            <w:textDirection w:val="lrTb"/>
            <w:noWrap w:val="false"/>
          </w:tcPr>
          <w:p>
            <w:pPr>
              <w:jc w:val="center"/>
              <w:rPr>
                <w:rFonts w:hint="eastAsia" w:ascii="宋体" w:hAnsi="宋体"/>
                <w:b/>
                <w:color w:val="000000"/>
                <w:sz w:val="18"/>
                <w:szCs w:val="18"/>
              </w:rPr>
            </w:pPr>
            <w:r>
              <w:rPr>
                <w:rFonts w:hint="eastAsia" w:ascii="宋体" w:hAnsi="宋体"/>
                <w:color w:val="000000"/>
                <w:sz w:val="18"/>
                <w:szCs w:val="18"/>
              </w:rPr>
              <w:t xml:space="preserve">……</w:t>
            </w:r>
            <w:r/>
          </w:p>
        </w:tc>
        <w:tc>
          <w:tcPr>
            <w:tcW w:w="1985" w:type="dxa"/>
            <w:vAlign w:val="center"/>
            <w:textDirection w:val="lrTb"/>
            <w:noWrap w:val="false"/>
          </w:tcPr>
          <w:p>
            <w:pPr>
              <w:jc w:val="center"/>
            </w:p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rPr>
          <w:rFonts w:hint="eastAsia" w:ascii="宋体" w:hAnsi="宋体"/>
          <w:bCs/>
          <w:color w:val="000000"/>
        </w:rPr>
      </w:pPr>
      <w:r>
        <w:rPr>
          <w:rFonts w:hint="eastAsia" w:ascii="宋体" w:hAnsi="宋体"/>
          <w:bCs/>
          <w:color w:val="000000"/>
        </w:rPr>
        <w:t xml:space="preserve">注：1、</w:t>
      </w:r>
      <w:r>
        <w:rPr>
          <w:rFonts w:hint="eastAsia" w:ascii="宋体" w:hAnsi="宋体"/>
          <w:bCs/>
        </w:rPr>
        <w:t xml:space="preserve">以上人员费用须包括工资、社保等</w:t>
      </w:r>
      <w:r>
        <w:rPr>
          <w:rFonts w:hint="eastAsia" w:ascii="宋体" w:hAnsi="宋体"/>
          <w:bCs/>
          <w:color w:val="auto"/>
        </w:rPr>
        <w:t xml:space="preserve">内容，须符合国家、省、市相关政策规定；本项目如有允许配置</w:t>
      </w:r>
      <w:r>
        <w:rPr>
          <w:rFonts w:ascii="宋体" w:hAnsi="宋体"/>
          <w:bCs/>
          <w:color w:val="auto"/>
        </w:rPr>
        <w:t xml:space="preserve">按国家规定可不缴纳社保的人员</w:t>
      </w:r>
      <w:r>
        <w:rPr>
          <w:rFonts w:hint="eastAsia" w:ascii="宋体" w:hAnsi="宋体"/>
          <w:bCs/>
          <w:color w:val="auto"/>
        </w:rPr>
        <w:t xml:space="preserve">（详见第四章《采购需求》），上表“法定计提费用”中的人员配置总数可扣除上述人员，但须</w:t>
      </w:r>
      <w:r>
        <w:rPr>
          <w:rFonts w:ascii="宋体" w:hAnsi="宋体"/>
          <w:bCs/>
          <w:color w:val="auto"/>
        </w:rPr>
        <w:t xml:space="preserve">提供</w:t>
      </w:r>
      <w:r>
        <w:rPr>
          <w:rFonts w:hint="eastAsia" w:ascii="宋体" w:hAnsi="宋体"/>
          <w:bCs/>
          <w:color w:val="auto"/>
        </w:rPr>
        <w:t xml:space="preserve">该人员</w:t>
      </w:r>
      <w:r>
        <w:rPr>
          <w:rFonts w:ascii="宋体" w:hAnsi="宋体"/>
          <w:bCs/>
          <w:color w:val="auto"/>
        </w:rPr>
        <w:t xml:space="preserve">相关证明材料复印件</w:t>
      </w:r>
      <w:r>
        <w:rPr>
          <w:rFonts w:hint="eastAsia" w:ascii="宋体" w:hAnsi="宋体"/>
          <w:bCs/>
          <w:color w:val="auto"/>
        </w:rPr>
        <w:t xml:space="preserve">，否则投标文件无效。</w:t>
      </w:r>
      <w:r/>
    </w:p>
    <w:p>
      <w:pPr>
        <w:ind w:firstLine="405"/>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表（2）：投入本项目的工具设备物资明细表</w:t>
      </w:r>
      <w:r/>
    </w:p>
    <w:tbl>
      <w:tblPr>
        <w:tblStyle w:val="679"/>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566"/>
        <w:gridCol w:w="1481"/>
        <w:gridCol w:w="639"/>
      </w:tblGrid>
      <w:tr>
        <w:trPr/>
        <w:tc>
          <w:tcPr>
            <w:tcW w:w="81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992"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物品名称</w:t>
            </w:r>
            <w:r/>
          </w:p>
        </w:tc>
        <w:tc>
          <w:tcPr>
            <w:tcW w:w="709"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品牌</w:t>
            </w:r>
            <w:r/>
          </w:p>
          <w:p>
            <w:pPr>
              <w:rPr>
                <w:rFonts w:hint="eastAsia" w:ascii="宋体" w:hAnsi="宋体"/>
                <w:b/>
                <w:color w:val="000000"/>
                <w:sz w:val="18"/>
                <w:szCs w:val="18"/>
              </w:rPr>
            </w:pPr>
            <w:r>
              <w:rPr>
                <w:rFonts w:hint="eastAsia" w:ascii="宋体" w:hAnsi="宋体"/>
                <w:b/>
                <w:color w:val="000000"/>
                <w:sz w:val="18"/>
                <w:szCs w:val="18"/>
              </w:rPr>
              <w:t xml:space="preserve">型号</w:t>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数量</w:t>
            </w:r>
            <w:r/>
          </w:p>
        </w:tc>
        <w:tc>
          <w:tcPr>
            <w:tcW w:w="850"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156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48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639"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8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63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8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63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56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8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63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p>
    <w:tbl>
      <w:tblPr>
        <w:tblStyle w:val="679"/>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85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名称</w:t>
            </w:r>
            <w:r/>
          </w:p>
        </w:tc>
        <w:tc>
          <w:tcPr>
            <w:tcW w:w="708"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品牌</w:t>
            </w:r>
            <w:r/>
          </w:p>
        </w:tc>
        <w:tc>
          <w:tcPr>
            <w:tcW w:w="993"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每年用量</w:t>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27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金额（元/月）</w:t>
            </w:r>
            <w:r/>
          </w:p>
        </w:tc>
        <w:tc>
          <w:tcPr>
            <w:tcW w:w="1560"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金额（元/年）</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p>
    <w:tbl>
      <w:tblPr>
        <w:tblStyle w:val="679"/>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2705"/>
        <w:gridCol w:w="1275"/>
        <w:gridCol w:w="1699"/>
        <w:gridCol w:w="1657"/>
        <w:gridCol w:w="744"/>
      </w:tblGrid>
      <w:tr>
        <w:trPr>
          <w:jc w:val="center"/>
        </w:trPr>
        <w:tc>
          <w:tcPr>
            <w:tcW w:w="867"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2705"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维保内容</w:t>
            </w:r>
            <w:r/>
          </w:p>
        </w:tc>
        <w:tc>
          <w:tcPr>
            <w:tcW w:w="1275"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单价（元）</w:t>
            </w:r>
            <w:r/>
          </w:p>
        </w:tc>
        <w:tc>
          <w:tcPr>
            <w:tcW w:w="169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65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（元/年）</w:t>
            </w:r>
            <w:r/>
          </w:p>
        </w:tc>
        <w:tc>
          <w:tcPr>
            <w:tcW w:w="74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86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1</w:t>
            </w:r>
            <w:r/>
          </w:p>
        </w:tc>
        <w:tc>
          <w:tcPr>
            <w:tcW w:w="2705" w:type="dxa"/>
            <w:vAlign w:val="center"/>
            <w:textDirection w:val="lrTb"/>
            <w:noWrap w:val="false"/>
          </w:tcPr>
          <w:p>
            <w:pPr>
              <w:jc w:val="center"/>
              <w:rPr>
                <w:rFonts w:ascii="宋体" w:hAnsi="宋体"/>
                <w:b/>
                <w:color w:val="000000"/>
                <w:sz w:val="18"/>
                <w:szCs w:val="18"/>
              </w:rPr>
            </w:pPr>
            <w:r>
              <w:rPr>
                <w:rFonts w:ascii="宋体" w:hAnsi="宋体"/>
                <w:b/>
                <w:color w:val="000000"/>
                <w:sz w:val="18"/>
                <w:szCs w:val="18"/>
              </w:rPr>
            </w:r>
            <w:r/>
          </w:p>
        </w:tc>
        <w:tc>
          <w:tcPr>
            <w:tcW w:w="1275"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699"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657"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4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tcW w:w="86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w:t>
            </w:r>
            <w:r/>
          </w:p>
        </w:tc>
        <w:tc>
          <w:tcPr>
            <w:tcW w:w="2705" w:type="dxa"/>
            <w:vAlign w:val="center"/>
            <w:textDirection w:val="lrTb"/>
            <w:noWrap w:val="false"/>
          </w:tcPr>
          <w:p>
            <w:pPr>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75"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699"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657"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4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gridSpan w:val="3"/>
            <w:tcW w:w="484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合计：</w:t>
            </w:r>
            <w:r/>
          </w:p>
        </w:tc>
        <w:tc>
          <w:tcPr>
            <w:tcW w:w="1699"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657"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4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p>
    <w:p>
      <w:pPr>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JSZC-320214-JZCG-G2026-0065</w:t>
      </w:r>
      <w:r/>
    </w:p>
    <w:tbl>
      <w:tblPr>
        <w:tblStyle w:val="679"/>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rPr>
            </w:pPr>
            <w:r>
              <w:rPr>
                <w:rFonts w:ascii="宋体"/>
                <w:bCs/>
                <w:color w:val="auto"/>
              </w:rPr>
            </w:r>
            <w:r/>
          </w:p>
        </w:tc>
      </w:tr>
    </w:tbl>
    <w:p>
      <w:pPr>
        <w:rPr>
          <w:rFonts w:hint="eastAsia" w:ascii="宋体" w:eastAsia="黑体"/>
          <w:b/>
          <w:color w:val="auto"/>
          <w:sz w:val="24"/>
          <w:szCs w:val="24"/>
        </w:rPr>
      </w:pPr>
      <w:r>
        <w:rPr>
          <w:rFonts w:hint="eastAsia" w:ascii="黑体" w:eastAsia="黑体"/>
          <w:bCs/>
          <w:color w:val="auto"/>
          <w:sz w:val="24"/>
          <w:szCs w:val="24"/>
        </w:rPr>
        <w:t xml:space="preserve">投标人名称（盖章）：</w:t>
      </w:r>
      <w:r/>
    </w:p>
    <w:p>
      <w:pPr>
        <w:rPr>
          <w:rFonts w:ascii="宋体"/>
          <w:bCs/>
          <w:color w:val="auto"/>
          <w:sz w:val="30"/>
        </w:rPr>
      </w:pPr>
      <w:r>
        <w:rPr>
          <w:rFonts w:ascii="宋体"/>
          <w:bCs/>
          <w:color w:val="auto"/>
          <w:sz w:val="30"/>
        </w:rPr>
      </w:r>
      <w:bookmarkEnd w:id="189"/>
      <w:bookmarkEnd w:id="190"/>
      <w:bookmarkEnd w:id="211"/>
      <w:r/>
    </w:p>
    <w:p>
      <w:pPr>
        <w:ind w:firstLine="420"/>
        <w:rPr>
          <w:rFonts w:hint="eastAsia" w:ascii="宋体" w:hAnsi="宋体"/>
          <w:bCs/>
          <w:color w:val="auto"/>
          <w:sz w:val="24"/>
          <w:szCs w:val="24"/>
        </w:rPr>
        <w:outlineLvl w:val="0"/>
      </w:pPr>
      <w:r>
        <w:rPr>
          <w:rFonts w:hint="eastAsia" w:ascii="宋体" w:hAnsi="宋体"/>
          <w:bCs/>
          <w:color w:val="auto"/>
          <w:sz w:val="24"/>
          <w:szCs w:val="24"/>
        </w:rPr>
      </w:r>
      <w:r/>
    </w:p>
    <w:p>
      <w:pPr>
        <w:ind w:firstLine="420"/>
        <w:rPr>
          <w:rFonts w:ascii="宋体" w:hAnsi="宋体"/>
          <w:bCs/>
          <w:color w:val="auto"/>
          <w:sz w:val="24"/>
          <w:szCs w:val="24"/>
        </w:rPr>
        <w:outlineLvl w:val="0"/>
      </w:pPr>
      <w:r>
        <w:rPr>
          <w:rFonts w:hint="eastAsia" w:ascii="宋体" w:hAnsi="宋体"/>
          <w:bCs/>
          <w:color w:val="auto"/>
          <w:sz w:val="24"/>
          <w:szCs w:val="24"/>
        </w:rPr>
        <w:t xml:space="preserve">注：（</w:t>
      </w:r>
      <w:r>
        <w:rPr>
          <w:rFonts w:ascii="宋体" w:hAnsi="宋体"/>
          <w:bCs/>
          <w:color w:val="auto"/>
          <w:sz w:val="24"/>
          <w:szCs w:val="24"/>
        </w:rPr>
        <w:t xml:space="preserve">1</w:t>
      </w:r>
      <w:r>
        <w:rPr>
          <w:rFonts w:hint="eastAsia" w:ascii="宋体" w:hAnsi="宋体"/>
          <w:bCs/>
          <w:color w:val="auto"/>
          <w:sz w:val="24"/>
          <w:szCs w:val="24"/>
        </w:rPr>
        <w:t xml:space="preserve">）本表不得删除；</w:t>
      </w:r>
      <w:r/>
    </w:p>
    <w:p>
      <w:pPr>
        <w:ind w:firstLine="420"/>
        <w:rPr>
          <w:rFonts w:ascii="宋体" w:hAnsi="宋体"/>
          <w:bCs/>
          <w:color w:val="auto"/>
          <w:sz w:val="24"/>
          <w:szCs w:val="24"/>
        </w:rPr>
        <w:outlineLvl w:val="0"/>
      </w:pPr>
      <w:r>
        <w:rPr>
          <w:rFonts w:ascii="宋体" w:hAnsi="宋体"/>
          <w:bCs/>
          <w:color w:val="auto"/>
          <w:sz w:val="24"/>
          <w:szCs w:val="24"/>
        </w:rPr>
        <w:t xml:space="preserve">   </w:t>
      </w:r>
      <w:r>
        <w:rPr>
          <w:rFonts w:hint="eastAsia" w:ascii="宋体" w:hAnsi="宋体"/>
          <w:bCs/>
          <w:color w:val="auto"/>
          <w:sz w:val="24"/>
          <w:szCs w:val="24"/>
        </w:rPr>
        <w:t xml:space="preserve">（</w:t>
      </w:r>
      <w:r>
        <w:rPr>
          <w:rFonts w:ascii="宋体" w:hAnsi="宋体"/>
          <w:bCs/>
          <w:color w:val="auto"/>
          <w:sz w:val="24"/>
          <w:szCs w:val="24"/>
        </w:rPr>
        <w:t xml:space="preserve">2</w:t>
      </w:r>
      <w:r>
        <w:rPr>
          <w:rFonts w:hint="eastAsia" w:ascii="宋体" w:hAnsi="宋体"/>
          <w:bCs/>
          <w:color w:val="auto"/>
          <w:sz w:val="24"/>
          <w:szCs w:val="24"/>
        </w:rPr>
        <w:t xml:space="preserve">）如无任何服务偏离，请于本表 “偏离说明”中注明“无偏离”；</w:t>
      </w:r>
      <w:r/>
    </w:p>
    <w:p>
      <w:pPr>
        <w:ind w:firstLine="420"/>
        <w:rPr>
          <w:rFonts w:ascii="宋体" w:hAnsi="宋体"/>
          <w:bCs/>
          <w:color w:val="auto"/>
          <w:sz w:val="24"/>
          <w:szCs w:val="24"/>
        </w:rPr>
        <w:outlineLvl w:val="0"/>
      </w:pPr>
      <w:r>
        <w:rPr>
          <w:rFonts w:hint="eastAsia" w:ascii="宋体" w:hAnsi="宋体"/>
          <w:bCs/>
          <w:color w:val="auto"/>
          <w:sz w:val="24"/>
          <w:szCs w:val="24"/>
        </w:rPr>
        <w:t xml:space="preserve">   （3）如有服务偏离项，请于本表中列明偏离内容，如需要可自行延长，其余无偏离内容不须赘述。</w:t>
      </w:r>
      <w:r/>
    </w:p>
    <w:p>
      <w:pPr>
        <w:ind w:firstLine="420"/>
        <w:rPr>
          <w:rFonts w:ascii="宋体" w:hAnsi="宋体"/>
          <w:bCs/>
          <w:color w:val="auto"/>
          <w:sz w:val="24"/>
          <w:szCs w:val="24"/>
        </w:rPr>
        <w:outlineLvl w:val="0"/>
      </w:pPr>
      <w:r>
        <w:rPr>
          <w:rFonts w:ascii="宋体" w:hAnsi="宋体"/>
          <w:bCs/>
          <w:color w:val="auto"/>
          <w:sz w:val="24"/>
          <w:szCs w:val="24"/>
        </w:rPr>
      </w:r>
      <w:r/>
    </w:p>
    <w:p>
      <w:r/>
      <w:r/>
    </w:p>
    <w:p>
      <w:pPr>
        <w:rPr>
          <w:rFonts w:hint="eastAsia"/>
          <w:b/>
          <w:color w:val="auto"/>
          <w:sz w:val="28"/>
          <w:szCs w:val="28"/>
          <w:highlight w:val="none"/>
        </w:rPr>
        <w:outlineLvl w:val="0"/>
      </w:pPr>
      <w:r>
        <w:rPr>
          <w:rFonts w:ascii="宋体" w:hAnsi="宋体"/>
          <w:bCs/>
          <w:color w:val="000000"/>
          <w:sz w:val="24"/>
          <w:szCs w:val="24"/>
        </w:rPr>
        <w:br w:type="page" w:clear="all"/>
      </w:r>
      <w:r>
        <w:rPr>
          <w:rFonts w:hint="eastAsia"/>
          <w:b/>
          <w:color w:val="auto"/>
          <w:sz w:val="28"/>
          <w:szCs w:val="28"/>
          <w:highlight w:val="none"/>
        </w:rPr>
        <w:t xml:space="preserve">十一、项目人员配置考察表（格式）</w:t>
      </w:r>
      <w:r/>
    </w:p>
    <w:p>
      <w:pPr>
        <w:ind w:firstLine="42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90"/>
        <w:jc w:val="center"/>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项目人员配置考察表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JSZC-320214-JZCG-G2026-0065</w:t>
      </w:r>
      <w:r/>
    </w:p>
    <w:tbl>
      <w:tblPr>
        <w:tblStyle w:val="6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098"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44"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性别</w:t>
            </w:r>
            <w:r/>
          </w:p>
        </w:tc>
        <w:tc>
          <w:tcPr>
            <w:tcW w:w="709"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834"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学历</w:t>
            </w:r>
            <w:r/>
          </w:p>
        </w:tc>
        <w:tc>
          <w:tcPr>
            <w:tcW w:w="1276" w:type="dxa"/>
            <w:vAlign w:val="center"/>
            <w:textDirection w:val="lrTb"/>
            <w:noWrap w:val="false"/>
          </w:tcPr>
          <w:p>
            <w:pPr>
              <w:jc w:val="center"/>
              <w:rPr>
                <w:b/>
                <w:color w:val="auto"/>
                <w:sz w:val="24"/>
                <w:highlight w:val="none"/>
              </w:rPr>
            </w:pPr>
            <w:r>
              <w:rPr>
                <w:rFonts w:hint="eastAsia"/>
                <w:b/>
                <w:color w:val="auto"/>
                <w:sz w:val="24"/>
                <w:highlight w:val="none"/>
              </w:rPr>
              <w:t xml:space="preserve">岗位职责</w:t>
            </w:r>
            <w:r/>
          </w:p>
        </w:tc>
        <w:tc>
          <w:tcPr>
            <w:tcW w:w="1285"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c>
          <w:tcPr>
            <w:tcW w:w="1833"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人员经验描述</w:t>
            </w:r>
            <w:r/>
          </w:p>
          <w:p>
            <w:pPr>
              <w:jc w:val="center"/>
              <w:rPr>
                <w:rFonts w:hint="eastAsia"/>
                <w:b/>
                <w:color w:val="auto"/>
                <w:sz w:val="24"/>
                <w:highlight w:val="none"/>
              </w:rPr>
            </w:pPr>
            <w:r>
              <w:rPr>
                <w:rFonts w:hint="eastAsia"/>
                <w:b/>
                <w:color w:val="auto"/>
                <w:sz w:val="24"/>
                <w:highlight w:val="none"/>
              </w:rPr>
              <w:t xml:space="preserve">（如有要求）</w:t>
            </w:r>
            <w:r/>
          </w:p>
        </w:tc>
        <w:tc>
          <w:tcPr>
            <w:tcW w:w="992"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备注</w:t>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t xml:space="preserve">……</w:t>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本表对应评分标准中的项目人员配置情况，表格不够可自行延长。</w:t>
      </w:r>
      <w:r/>
    </w:p>
    <w:p>
      <w:pPr>
        <w:rPr>
          <w:rFonts w:hint="eastAsia"/>
          <w:color w:val="auto"/>
          <w:highlight w:val="none"/>
        </w:rPr>
      </w:pPr>
      <w:r>
        <w:rPr>
          <w:rFonts w:hint="eastAsia" w:ascii="宋体" w:hAnsi="宋体"/>
          <w:bCs/>
          <w:color w:val="auto"/>
          <w:highlight w:val="none"/>
        </w:rPr>
        <w:t xml:space="preserve">2. 上表内容须提供投标人近一年中任意一个月份(不含投标当月)经社保部门确认的社保缴纳名单复印件；若上表中所填报人员有属于“按国家规定可不缴纳社保的人员”的，则该类人员须提供相关证明材料复印件。</w:t>
      </w:r>
      <w:r/>
    </w:p>
    <w:p>
      <w:pPr>
        <w:rPr>
          <w:rFonts w:hint="eastAsia" w:ascii="宋体" w:hAnsi="宋体"/>
          <w:bCs/>
        </w:rPr>
      </w:pPr>
      <w:r>
        <w:rPr>
          <w:rFonts w:hint="eastAsia" w:ascii="宋体" w:hAnsi="宋体"/>
          <w:bCs/>
          <w:color w:val="auto"/>
          <w:highlight w:val="none"/>
        </w:rPr>
        <w:t xml:space="preserve">3.上表内容须按评分标准中的相关要求提</w:t>
      </w:r>
      <w:r>
        <w:rPr>
          <w:rFonts w:hint="eastAsia" w:ascii="宋体" w:hAnsi="宋体"/>
          <w:bCs/>
        </w:rPr>
        <w:t xml:space="preserve">供相应证明材料。</w:t>
      </w:r>
      <w:r/>
    </w:p>
    <w:p>
      <w:pPr>
        <w:rPr>
          <w:rFonts w:hint="eastAsia" w:ascii="宋体" w:hAnsi="宋体"/>
          <w:bCs/>
        </w:rPr>
      </w:pPr>
      <w:r>
        <w:rPr>
          <w:rFonts w:hint="eastAsia" w:ascii="宋体" w:hAnsi="宋体"/>
          <w:bCs/>
        </w:rPr>
        <w:t xml:space="preserve">4.证明材料均请附在本表之后。</w:t>
      </w:r>
      <w:r/>
    </w:p>
    <w:p>
      <w:pPr>
        <w:rPr>
          <w:rFonts w:hint="eastAsia" w:ascii="宋体" w:hAnsi="宋体"/>
          <w:bCs/>
          <w:color w:val="000000"/>
          <w:sz w:val="24"/>
          <w:szCs w:val="24"/>
        </w:rPr>
      </w:pPr>
      <w:r>
        <w:rPr>
          <w:rFonts w:hint="eastAsia" w:ascii="宋体" w:hAnsi="宋体"/>
          <w:bCs/>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rPr>
        <w:rStyle w:val="715"/>
        <w:rFonts w:ascii="宋体" w:hAnsi="宋体"/>
      </w:rPr>
      <w:framePr w:wrap="around" w:vAnchor="text" w:hAnchor="margin" w:xAlign="center" w:y="1"/>
    </w:pPr>
    <w:r>
      <w:rPr>
        <w:rFonts w:ascii="宋体" w:hAnsi="宋体"/>
      </w:rPr>
      <w:fldChar w:fldCharType="begin"/>
    </w:r>
    <w:r>
      <w:rPr>
        <w:rStyle w:val="715"/>
        <w:rFonts w:ascii="宋体" w:hAnsi="宋体"/>
      </w:rPr>
      <w:instrText xml:space="preserve">PAGE  </w:instrText>
    </w:r>
    <w:r>
      <w:rPr>
        <w:rFonts w:ascii="宋体" w:hAnsi="宋体"/>
      </w:rPr>
      <w:fldChar w:fldCharType="separate"/>
    </w:r>
    <w:r>
      <w:rPr>
        <w:rStyle w:val="715"/>
        <w:rFonts w:ascii="宋体" w:hAnsi="宋体"/>
      </w:rPr>
      <w:t xml:space="preserve">１５</w:t>
    </w:r>
    <w:r>
      <w:rPr>
        <w:rFonts w:ascii="宋体" w:hAnsi="宋体"/>
      </w:rPr>
      <w:fldChar w:fldCharType="end"/>
    </w:r>
    <w:r/>
  </w:p>
  <w:p>
    <w:pPr>
      <w:pStyle w:val="697"/>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rPr>
        <w:rStyle w:val="715"/>
      </w:rPr>
      <w:framePr w:wrap="around" w:vAnchor="text" w:hAnchor="margin" w:xAlign="center" w:y="1"/>
    </w:pPr>
    <w:r>
      <w:fldChar w:fldCharType="begin"/>
    </w:r>
    <w:r>
      <w:rPr>
        <w:rStyle w:val="715"/>
      </w:rPr>
      <w:instrText xml:space="preserve">PAGE  </w:instrText>
    </w:r>
    <w:r>
      <w:fldChar w:fldCharType="separate"/>
    </w:r>
    <w:r>
      <w:rPr>
        <w:rStyle w:val="715"/>
      </w:rPr>
      <w:t xml:space="preserve">1</w:t>
    </w:r>
    <w:r>
      <w:fldChar w:fldCharType="end"/>
    </w:r>
    <w:r/>
  </w:p>
  <w:p>
    <w:pPr>
      <w:pStyle w:val="6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tabs>
          <w:tab w:val="left" w:pos="312"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76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76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74"/>
      <w:isLgl w:val="false"/>
      <w:suff w:val="nothing"/>
      <w:lvlText w:val=""/>
      <w:lvlJc w:val="left"/>
      <w:pPr>
        <w:ind w:left="0" w:firstLine="0"/>
      </w:pPr>
      <w:rPr>
        <w:rFonts w:hint="eastAsia"/>
      </w:rPr>
    </w:lvl>
    <w:lvl w:ilvl="6">
      <w:start w:val="1"/>
      <w:numFmt w:val="none"/>
      <w:pStyle w:val="675"/>
      <w:isLgl w:val="false"/>
      <w:suff w:val="nothing"/>
      <w:lvlText w:val=""/>
      <w:lvlJc w:val="left"/>
      <w:pPr>
        <w:ind w:left="0" w:firstLine="0"/>
      </w:pPr>
      <w:rPr>
        <w:rFonts w:hint="eastAsia"/>
      </w:rPr>
    </w:lvl>
    <w:lvl w:ilvl="7">
      <w:start w:val="1"/>
      <w:numFmt w:val="none"/>
      <w:pStyle w:val="676"/>
      <w:isLgl w:val="false"/>
      <w:suff w:val="nothing"/>
      <w:lvlText w:val=""/>
      <w:lvlJc w:val="left"/>
      <w:pPr>
        <w:ind w:left="0" w:firstLine="0"/>
      </w:pPr>
      <w:rPr>
        <w:rFonts w:hint="eastAsia"/>
      </w:rPr>
    </w:lvl>
    <w:lvl w:ilvl="8">
      <w:start w:val="1"/>
      <w:numFmt w:val="none"/>
      <w:pStyle w:val="677"/>
      <w:isLgl w:val="false"/>
      <w:suff w:val="nothing"/>
      <w:lvlText w:val=""/>
      <w:lvlJc w:val="left"/>
      <w:pPr>
        <w:ind w:left="0" w:firstLine="0"/>
      </w:pPr>
      <w:rPr>
        <w:rFonts w:hint="eastAsia"/>
      </w:rPr>
    </w:lvl>
  </w:abstractNum>
  <w:abstractNum w:abstractNumId="8">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5"/>
  </w:num>
  <w:num w:numId="4">
    <w:abstractNumId w:val="1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2"/>
  </w:num>
  <w:num w:numId="8">
    <w:abstractNumId w:val="8"/>
  </w:num>
  <w:num w:numId="9">
    <w:abstractNumId w:val="3"/>
  </w:num>
  <w:num w:numId="10">
    <w:abstractNumId w:val="10"/>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8"/>
    <w:link w:val="669"/>
    <w:uiPriority w:val="9"/>
    <w:rPr>
      <w:rFonts w:ascii="Arial" w:hAnsi="Arial" w:eastAsia="Arial" w:cs="Arial"/>
      <w:sz w:val="40"/>
      <w:szCs w:val="40"/>
    </w:rPr>
  </w:style>
  <w:style w:type="character" w:styleId="15">
    <w:name w:val="Heading 2 Char"/>
    <w:basedOn w:val="678"/>
    <w:link w:val="670"/>
    <w:uiPriority w:val="9"/>
    <w:rPr>
      <w:rFonts w:ascii="Arial" w:hAnsi="Arial" w:eastAsia="Arial" w:cs="Arial"/>
      <w:sz w:val="34"/>
    </w:rPr>
  </w:style>
  <w:style w:type="character" w:styleId="17">
    <w:name w:val="Heading 3 Char"/>
    <w:basedOn w:val="678"/>
    <w:link w:val="671"/>
    <w:uiPriority w:val="9"/>
    <w:rPr>
      <w:rFonts w:ascii="Arial" w:hAnsi="Arial" w:eastAsia="Arial" w:cs="Arial"/>
      <w:sz w:val="30"/>
      <w:szCs w:val="30"/>
    </w:rPr>
  </w:style>
  <w:style w:type="character" w:styleId="19">
    <w:name w:val="Heading 4 Char"/>
    <w:basedOn w:val="678"/>
    <w:link w:val="672"/>
    <w:uiPriority w:val="9"/>
    <w:rPr>
      <w:rFonts w:ascii="Arial" w:hAnsi="Arial" w:eastAsia="Arial" w:cs="Arial"/>
      <w:b/>
      <w:bCs/>
      <w:sz w:val="26"/>
      <w:szCs w:val="26"/>
    </w:rPr>
  </w:style>
  <w:style w:type="character" w:styleId="21">
    <w:name w:val="Heading 5 Char"/>
    <w:basedOn w:val="678"/>
    <w:link w:val="673"/>
    <w:uiPriority w:val="9"/>
    <w:rPr>
      <w:rFonts w:ascii="Arial" w:hAnsi="Arial" w:eastAsia="Arial" w:cs="Arial"/>
      <w:b/>
      <w:bCs/>
      <w:sz w:val="24"/>
      <w:szCs w:val="24"/>
    </w:rPr>
  </w:style>
  <w:style w:type="character" w:styleId="23">
    <w:name w:val="Heading 6 Char"/>
    <w:basedOn w:val="678"/>
    <w:link w:val="674"/>
    <w:uiPriority w:val="9"/>
    <w:rPr>
      <w:rFonts w:ascii="Arial" w:hAnsi="Arial" w:eastAsia="Arial" w:cs="Arial"/>
      <w:b/>
      <w:bCs/>
      <w:sz w:val="22"/>
      <w:szCs w:val="22"/>
    </w:rPr>
  </w:style>
  <w:style w:type="character" w:styleId="25">
    <w:name w:val="Heading 7 Char"/>
    <w:basedOn w:val="678"/>
    <w:link w:val="675"/>
    <w:uiPriority w:val="9"/>
    <w:rPr>
      <w:rFonts w:ascii="Arial" w:hAnsi="Arial" w:eastAsia="Arial" w:cs="Arial"/>
      <w:b/>
      <w:bCs/>
      <w:i/>
      <w:iCs/>
      <w:sz w:val="22"/>
      <w:szCs w:val="22"/>
    </w:rPr>
  </w:style>
  <w:style w:type="character" w:styleId="27">
    <w:name w:val="Heading 8 Char"/>
    <w:basedOn w:val="678"/>
    <w:link w:val="676"/>
    <w:uiPriority w:val="9"/>
    <w:rPr>
      <w:rFonts w:ascii="Arial" w:hAnsi="Arial" w:eastAsia="Arial" w:cs="Arial"/>
      <w:i/>
      <w:iCs/>
      <w:sz w:val="22"/>
      <w:szCs w:val="22"/>
    </w:rPr>
  </w:style>
  <w:style w:type="character" w:styleId="29">
    <w:name w:val="Heading 9 Char"/>
    <w:basedOn w:val="678"/>
    <w:link w:val="677"/>
    <w:uiPriority w:val="9"/>
    <w:rPr>
      <w:rFonts w:ascii="Arial" w:hAnsi="Arial" w:eastAsia="Arial" w:cs="Arial"/>
      <w:i/>
      <w:iCs/>
      <w:sz w:val="21"/>
      <w:szCs w:val="21"/>
    </w:rPr>
  </w:style>
  <w:style w:type="paragraph" w:styleId="33">
    <w:name w:val="Title"/>
    <w:basedOn w:val="668"/>
    <w:next w:val="668"/>
    <w:link w:val="34"/>
    <w:uiPriority w:val="10"/>
    <w:qFormat/>
    <w:pPr>
      <w:contextualSpacing/>
      <w:spacing w:before="300" w:after="200"/>
    </w:pPr>
    <w:rPr>
      <w:sz w:val="48"/>
      <w:szCs w:val="48"/>
    </w:rPr>
  </w:style>
  <w:style w:type="character" w:styleId="34">
    <w:name w:val="Title Char"/>
    <w:basedOn w:val="678"/>
    <w:link w:val="33"/>
    <w:uiPriority w:val="10"/>
    <w:rPr>
      <w:sz w:val="48"/>
      <w:szCs w:val="48"/>
    </w:rPr>
  </w:style>
  <w:style w:type="paragraph" w:styleId="35">
    <w:name w:val="Subtitle"/>
    <w:basedOn w:val="668"/>
    <w:next w:val="668"/>
    <w:link w:val="36"/>
    <w:uiPriority w:val="11"/>
    <w:qFormat/>
    <w:pPr>
      <w:spacing w:before="200" w:after="200"/>
    </w:pPr>
    <w:rPr>
      <w:sz w:val="24"/>
      <w:szCs w:val="24"/>
    </w:rPr>
  </w:style>
  <w:style w:type="character" w:styleId="36">
    <w:name w:val="Subtitle Char"/>
    <w:basedOn w:val="678"/>
    <w:link w:val="35"/>
    <w:uiPriority w:val="11"/>
    <w:rPr>
      <w:sz w:val="24"/>
      <w:szCs w:val="24"/>
    </w:rPr>
  </w:style>
  <w:style w:type="paragraph" w:styleId="37">
    <w:name w:val="Quote"/>
    <w:basedOn w:val="668"/>
    <w:next w:val="668"/>
    <w:link w:val="38"/>
    <w:uiPriority w:val="29"/>
    <w:qFormat/>
    <w:pPr>
      <w:ind w:left="720" w:right="720"/>
    </w:pPr>
    <w:rPr>
      <w:i/>
    </w:rPr>
  </w:style>
  <w:style w:type="character" w:styleId="38">
    <w:name w:val="Quote Char"/>
    <w:link w:val="37"/>
    <w:uiPriority w:val="29"/>
    <w:rPr>
      <w:i/>
    </w:rPr>
  </w:style>
  <w:style w:type="paragraph" w:styleId="39">
    <w:name w:val="Intense Quote"/>
    <w:basedOn w:val="668"/>
    <w:next w:val="66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8"/>
    <w:link w:val="698"/>
    <w:uiPriority w:val="99"/>
  </w:style>
  <w:style w:type="character" w:styleId="44">
    <w:name w:val="Footer Char"/>
    <w:basedOn w:val="678"/>
    <w:link w:val="697"/>
    <w:uiPriority w:val="99"/>
  </w:style>
  <w:style w:type="paragraph" w:styleId="45">
    <w:name w:val="Caption"/>
    <w:basedOn w:val="668"/>
    <w:next w:val="668"/>
    <w:uiPriority w:val="35"/>
    <w:semiHidden/>
    <w:unhideWhenUsed/>
    <w:qFormat/>
    <w:pPr>
      <w:spacing w:line="276" w:lineRule="auto"/>
    </w:pPr>
    <w:rPr>
      <w:b/>
      <w:bCs/>
      <w:color w:val="4f81bd" w:themeColor="accent1"/>
      <w:sz w:val="18"/>
      <w:szCs w:val="18"/>
    </w:rPr>
  </w:style>
  <w:style w:type="character" w:styleId="46">
    <w:name w:val="Caption Char"/>
    <w:basedOn w:val="45"/>
    <w:link w:val="697"/>
    <w:uiPriority w:val="99"/>
  </w:style>
  <w:style w:type="table" w:styleId="48">
    <w:name w:val="Table Grid Light"/>
    <w:basedOn w:val="6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8"/>
    <w:uiPriority w:val="99"/>
    <w:unhideWhenUsed/>
    <w:rPr>
      <w:vertAlign w:val="superscript"/>
    </w:rPr>
  </w:style>
  <w:style w:type="paragraph" w:styleId="177">
    <w:name w:val="endnote text"/>
    <w:basedOn w:val="66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8"/>
    <w:uiPriority w:val="99"/>
    <w:semiHidden/>
    <w:unhideWhenUsed/>
    <w:rPr>
      <w:vertAlign w:val="superscript"/>
    </w:rPr>
  </w:style>
  <w:style w:type="paragraph" w:styleId="189">
    <w:name w:val="TOC Heading"/>
    <w:uiPriority w:val="39"/>
    <w:unhideWhenUsed/>
  </w:style>
  <w:style w:type="paragraph" w:styleId="668" w:default="1">
    <w:name w:val="Normal"/>
    <w:next w:val="680"/>
    <w:uiPriority w:val="0"/>
    <w:qFormat/>
    <w:pPr>
      <w:jc w:val="both"/>
      <w:widowControl w:val="off"/>
    </w:pPr>
    <w:rPr>
      <w:rFonts w:ascii="Times New Roman" w:hAnsi="Times New Roman" w:eastAsia="宋体" w:cs="Times New Roman"/>
      <w:sz w:val="21"/>
      <w:szCs w:val="21"/>
      <w:lang w:val="en-US" w:eastAsia="zh-CN" w:bidi="ar-SA"/>
    </w:rPr>
  </w:style>
  <w:style w:type="paragraph" w:styleId="669">
    <w:name w:val="Heading 1"/>
    <w:basedOn w:val="668"/>
    <w:next w:val="668"/>
    <w:link w:val="722"/>
    <w:uiPriority w:val="0"/>
    <w:qFormat/>
    <w:pPr>
      <w:jc w:val="center"/>
      <w:keepNext/>
      <w:outlineLvl w:val="0"/>
    </w:pPr>
    <w:rPr>
      <w:rFonts w:ascii="楷体_GB2312" w:eastAsia="楷体_GB2312"/>
      <w:sz w:val="28"/>
      <w:szCs w:val="28"/>
    </w:rPr>
  </w:style>
  <w:style w:type="paragraph" w:styleId="670">
    <w:name w:val="Heading 2"/>
    <w:basedOn w:val="668"/>
    <w:next w:val="668"/>
    <w:link w:val="723"/>
    <w:uiPriority w:val="0"/>
    <w:qFormat/>
    <w:pPr>
      <w:jc w:val="center"/>
      <w:keepLines/>
      <w:keepNext/>
      <w:spacing w:before="260" w:after="260" w:line="416" w:lineRule="auto"/>
      <w:outlineLvl w:val="1"/>
    </w:pPr>
    <w:rPr>
      <w:rFonts w:ascii="Arial" w:hAnsi="Arial" w:eastAsia="幼圆"/>
      <w:b/>
      <w:bCs/>
      <w:sz w:val="44"/>
      <w:szCs w:val="44"/>
    </w:rPr>
  </w:style>
  <w:style w:type="paragraph" w:styleId="671">
    <w:name w:val="Heading 3"/>
    <w:basedOn w:val="668"/>
    <w:next w:val="668"/>
    <w:link w:val="724"/>
    <w:uiPriority w:val="0"/>
    <w:qFormat/>
    <w:pPr>
      <w:keepLines/>
      <w:keepNext/>
      <w:spacing w:before="260" w:after="260" w:line="416" w:lineRule="auto"/>
      <w:outlineLvl w:val="2"/>
    </w:pPr>
    <w:rPr>
      <w:b/>
      <w:bCs/>
      <w:sz w:val="32"/>
      <w:szCs w:val="32"/>
    </w:rPr>
  </w:style>
  <w:style w:type="paragraph" w:styleId="672">
    <w:name w:val="Heading 4"/>
    <w:basedOn w:val="668"/>
    <w:next w:val="681"/>
    <w:link w:val="725"/>
    <w:uiPriority w:val="0"/>
    <w:qFormat/>
    <w:pPr>
      <w:keepLines/>
      <w:keepNext/>
      <w:spacing w:before="280" w:after="290" w:line="376" w:lineRule="auto"/>
      <w:outlineLvl w:val="3"/>
    </w:pPr>
    <w:rPr>
      <w:rFonts w:ascii="Arial" w:hAnsi="Arial" w:eastAsia="黑体"/>
      <w:b/>
      <w:bCs/>
      <w:sz w:val="28"/>
      <w:szCs w:val="28"/>
    </w:rPr>
  </w:style>
  <w:style w:type="paragraph" w:styleId="673">
    <w:name w:val="Heading 5"/>
    <w:basedOn w:val="668"/>
    <w:next w:val="681"/>
    <w:link w:val="726"/>
    <w:uiPriority w:val="0"/>
    <w:qFormat/>
    <w:pPr>
      <w:keepNext/>
      <w:outlineLvl w:val="4"/>
    </w:pPr>
    <w:rPr>
      <w:rFonts w:ascii="宋体"/>
      <w:color w:val="000000"/>
      <w:sz w:val="28"/>
      <w:szCs w:val="28"/>
    </w:rPr>
  </w:style>
  <w:style w:type="paragraph" w:styleId="674">
    <w:name w:val="Heading 6"/>
    <w:basedOn w:val="668"/>
    <w:next w:val="668"/>
    <w:link w:val="72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75">
    <w:name w:val="Heading 7"/>
    <w:basedOn w:val="668"/>
    <w:next w:val="668"/>
    <w:link w:val="728"/>
    <w:uiPriority w:val="0"/>
    <w:qFormat/>
    <w:pPr>
      <w:numPr>
        <w:ilvl w:val="6"/>
        <w:numId w:val="1"/>
      </w:numPr>
      <w:keepLines/>
      <w:keepNext/>
      <w:spacing w:before="240" w:after="64" w:line="320" w:lineRule="auto"/>
      <w:outlineLvl w:val="6"/>
    </w:pPr>
    <w:rPr>
      <w:b/>
      <w:bCs/>
      <w:sz w:val="24"/>
      <w:szCs w:val="24"/>
    </w:rPr>
  </w:style>
  <w:style w:type="paragraph" w:styleId="676">
    <w:name w:val="Heading 8"/>
    <w:basedOn w:val="668"/>
    <w:next w:val="668"/>
    <w:link w:val="72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77">
    <w:name w:val="Heading 9"/>
    <w:basedOn w:val="668"/>
    <w:next w:val="668"/>
    <w:link w:val="730"/>
    <w:uiPriority w:val="0"/>
    <w:qFormat/>
    <w:pPr>
      <w:numPr>
        <w:ilvl w:val="8"/>
        <w:numId w:val="1"/>
      </w:numPr>
      <w:keepLines/>
      <w:keepNext/>
      <w:spacing w:before="240" w:after="64" w:line="320" w:lineRule="auto"/>
      <w:outlineLvl w:val="8"/>
    </w:pPr>
    <w:rPr>
      <w:rFonts w:ascii="Arial" w:hAnsi="Arial" w:eastAsia="黑体"/>
      <w:sz w:val="20"/>
    </w:rPr>
  </w:style>
  <w:style w:type="character" w:styleId="678" w:default="1">
    <w:name w:val="Default Paragraph Font"/>
    <w:uiPriority w:val="1"/>
    <w:unhideWhenUsed/>
    <w:qFormat/>
  </w:style>
  <w:style w:type="table" w:styleId="679" w:default="1">
    <w:name w:val="Normal Table"/>
    <w:uiPriority w:val="99"/>
    <w:unhideWhenUsed/>
    <w:qFormat/>
    <w:tblPr>
      <w:tblCellMar>
        <w:left w:w="108" w:type="dxa"/>
        <w:top w:w="0" w:type="dxa"/>
        <w:right w:w="108" w:type="dxa"/>
        <w:bottom w:w="0" w:type="dxa"/>
      </w:tblCellMar>
    </w:tblPr>
  </w:style>
  <w:style w:type="paragraph" w:styleId="680" w:customStyle="1">
    <w:name w:val="正文文本1"/>
    <w:basedOn w:val="668"/>
    <w:uiPriority w:val="0"/>
    <w:qFormat/>
    <w:rPr>
      <w:rFonts w:ascii="楷体_GB2312" w:hAnsi="Arial" w:eastAsia="楷体_GB2312"/>
      <w:sz w:val="28"/>
      <w:szCs w:val="28"/>
    </w:rPr>
  </w:style>
  <w:style w:type="paragraph" w:styleId="681">
    <w:name w:val="Normal Indent"/>
    <w:basedOn w:val="668"/>
    <w:next w:val="668"/>
    <w:link w:val="721"/>
    <w:uiPriority w:val="0"/>
    <w:qFormat/>
    <w:pPr>
      <w:ind w:firstLine="420"/>
    </w:pPr>
    <w:rPr>
      <w:sz w:val="20"/>
    </w:rPr>
  </w:style>
  <w:style w:type="paragraph" w:styleId="682">
    <w:name w:val="List 3"/>
    <w:basedOn w:val="668"/>
    <w:uiPriority w:val="0"/>
    <w:qFormat/>
    <w:pPr>
      <w:ind w:left="100" w:hanging="200"/>
    </w:pPr>
  </w:style>
  <w:style w:type="paragraph" w:styleId="683">
    <w:name w:val="toc 7"/>
    <w:basedOn w:val="668"/>
    <w:next w:val="668"/>
    <w:uiPriority w:val="0"/>
    <w:semiHidden/>
    <w:qFormat/>
    <w:pPr>
      <w:ind w:left="1260"/>
      <w:jc w:val="left"/>
    </w:pPr>
  </w:style>
  <w:style w:type="paragraph" w:styleId="684">
    <w:name w:val="Document Map"/>
    <w:basedOn w:val="668"/>
    <w:link w:val="731"/>
    <w:uiPriority w:val="0"/>
    <w:semiHidden/>
    <w:qFormat/>
    <w:pPr>
      <w:shd w:val="clear" w:color="auto" w:fill="000080"/>
    </w:pPr>
    <w:rPr>
      <w:sz w:val="20"/>
    </w:rPr>
  </w:style>
  <w:style w:type="paragraph" w:styleId="685">
    <w:name w:val="annotation text"/>
    <w:basedOn w:val="668"/>
    <w:link w:val="732"/>
    <w:uiPriority w:val="0"/>
    <w:semiHidden/>
    <w:qFormat/>
    <w:pPr>
      <w:jc w:val="left"/>
    </w:pPr>
    <w:rPr>
      <w:sz w:val="20"/>
    </w:rPr>
  </w:style>
  <w:style w:type="paragraph" w:styleId="686">
    <w:name w:val="Body Text 3"/>
    <w:basedOn w:val="668"/>
    <w:link w:val="733"/>
    <w:uiPriority w:val="0"/>
    <w:qFormat/>
    <w:rPr>
      <w:rFonts w:ascii="仿宋_GB2312" w:hAnsi="Arial" w:eastAsia="仿宋_GB2312"/>
      <w:sz w:val="32"/>
      <w:szCs w:val="32"/>
    </w:rPr>
  </w:style>
  <w:style w:type="paragraph" w:styleId="687">
    <w:name w:val="Body Text"/>
    <w:basedOn w:val="668"/>
    <w:link w:val="734"/>
    <w:uiPriority w:val="0"/>
    <w:qFormat/>
    <w:rPr>
      <w:rFonts w:ascii="楷体_GB2312" w:hAnsi="Arial" w:eastAsia="楷体_GB2312"/>
      <w:sz w:val="28"/>
      <w:szCs w:val="28"/>
    </w:rPr>
  </w:style>
  <w:style w:type="paragraph" w:styleId="688">
    <w:name w:val="Body Text Indent"/>
    <w:basedOn w:val="668"/>
    <w:link w:val="735"/>
    <w:uiPriority w:val="0"/>
    <w:qFormat/>
    <w:pPr>
      <w:ind w:firstLine="645"/>
    </w:pPr>
    <w:rPr>
      <w:rFonts w:ascii="楷体_GB2312" w:eastAsia="楷体_GB2312"/>
      <w:sz w:val="32"/>
      <w:szCs w:val="32"/>
    </w:rPr>
  </w:style>
  <w:style w:type="paragraph" w:styleId="689">
    <w:name w:val="List 2"/>
    <w:basedOn w:val="668"/>
    <w:uiPriority w:val="0"/>
    <w:qFormat/>
    <w:pPr>
      <w:ind w:left="100" w:hanging="200"/>
    </w:pPr>
  </w:style>
  <w:style w:type="paragraph" w:styleId="690">
    <w:name w:val="toc 5"/>
    <w:basedOn w:val="668"/>
    <w:next w:val="668"/>
    <w:uiPriority w:val="0"/>
    <w:semiHidden/>
    <w:qFormat/>
    <w:pPr>
      <w:ind w:left="840"/>
      <w:jc w:val="left"/>
    </w:pPr>
  </w:style>
  <w:style w:type="paragraph" w:styleId="691">
    <w:name w:val="toc 3"/>
    <w:basedOn w:val="668"/>
    <w:next w:val="668"/>
    <w:uiPriority w:val="0"/>
    <w:semiHidden/>
    <w:qFormat/>
    <w:pPr>
      <w:ind w:left="420"/>
      <w:jc w:val="left"/>
    </w:pPr>
    <w:rPr>
      <w:i/>
      <w:iCs/>
      <w:szCs w:val="24"/>
    </w:rPr>
  </w:style>
  <w:style w:type="paragraph" w:styleId="692">
    <w:name w:val="Plain Text"/>
    <w:basedOn w:val="668"/>
    <w:link w:val="736"/>
    <w:uiPriority w:val="0"/>
    <w:qFormat/>
    <w:rPr>
      <w:rFonts w:ascii="宋体" w:hAnsi="Courier New"/>
      <w:sz w:val="20"/>
    </w:rPr>
  </w:style>
  <w:style w:type="paragraph" w:styleId="693">
    <w:name w:val="toc 8"/>
    <w:basedOn w:val="668"/>
    <w:next w:val="668"/>
    <w:uiPriority w:val="0"/>
    <w:semiHidden/>
    <w:qFormat/>
    <w:pPr>
      <w:ind w:left="1470"/>
      <w:jc w:val="left"/>
    </w:pPr>
  </w:style>
  <w:style w:type="paragraph" w:styleId="694">
    <w:name w:val="Date"/>
    <w:basedOn w:val="668"/>
    <w:next w:val="668"/>
    <w:link w:val="737"/>
    <w:uiPriority w:val="0"/>
    <w:qFormat/>
    <w:rPr>
      <w:sz w:val="24"/>
      <w:szCs w:val="24"/>
    </w:rPr>
  </w:style>
  <w:style w:type="paragraph" w:styleId="695">
    <w:name w:val="Body Text Indent 2"/>
    <w:basedOn w:val="668"/>
    <w:link w:val="738"/>
    <w:uiPriority w:val="0"/>
    <w:qFormat/>
    <w:pPr>
      <w:ind w:left="630" w:firstLine="645"/>
    </w:pPr>
    <w:rPr>
      <w:rFonts w:ascii="Arial" w:hAnsi="Arial" w:eastAsia="仿宋_GB2312"/>
      <w:sz w:val="32"/>
      <w:szCs w:val="32"/>
    </w:rPr>
  </w:style>
  <w:style w:type="paragraph" w:styleId="696">
    <w:name w:val="Balloon Text"/>
    <w:basedOn w:val="668"/>
    <w:link w:val="739"/>
    <w:uiPriority w:val="0"/>
    <w:semiHidden/>
    <w:qFormat/>
    <w:rPr>
      <w:sz w:val="18"/>
      <w:szCs w:val="18"/>
    </w:rPr>
  </w:style>
  <w:style w:type="paragraph" w:styleId="697">
    <w:name w:val="Footer"/>
    <w:basedOn w:val="668"/>
    <w:link w:val="740"/>
    <w:uiPriority w:val="0"/>
    <w:qFormat/>
    <w:pPr>
      <w:jc w:val="left"/>
      <w:tabs>
        <w:tab w:val="center" w:pos="4153" w:leader="none"/>
        <w:tab w:val="right" w:pos="8306" w:leader="none"/>
      </w:tabs>
    </w:pPr>
    <w:rPr>
      <w:sz w:val="18"/>
      <w:szCs w:val="18"/>
    </w:rPr>
  </w:style>
  <w:style w:type="paragraph" w:styleId="698">
    <w:name w:val="Header"/>
    <w:basedOn w:val="668"/>
    <w:link w:val="741"/>
    <w:uiPriority w:val="99"/>
    <w:qFormat/>
    <w:pPr>
      <w:jc w:val="center"/>
      <w:tabs>
        <w:tab w:val="center" w:pos="4153" w:leader="none"/>
        <w:tab w:val="right" w:pos="8306" w:leader="none"/>
      </w:tabs>
      <w:pBdr>
        <w:bottom w:val="single" w:color="auto" w:sz="6" w:space="1"/>
      </w:pBdr>
    </w:pPr>
    <w:rPr>
      <w:sz w:val="18"/>
      <w:szCs w:val="18"/>
    </w:rPr>
  </w:style>
  <w:style w:type="paragraph" w:styleId="699">
    <w:name w:val="toc 1"/>
    <w:basedOn w:val="668"/>
    <w:next w:val="668"/>
    <w:uiPriority w:val="0"/>
    <w:semiHidden/>
    <w:qFormat/>
    <w:pPr>
      <w:jc w:val="left"/>
      <w:spacing w:before="120" w:after="120" w:line="400" w:lineRule="exact"/>
      <w:tabs>
        <w:tab w:val="right" w:pos="8720" w:leader="dot"/>
      </w:tabs>
    </w:pPr>
    <w:rPr>
      <w:rFonts w:ascii="宋体" w:hAnsi="宋体"/>
      <w:caps/>
      <w:sz w:val="24"/>
      <w:szCs w:val="24"/>
    </w:rPr>
  </w:style>
  <w:style w:type="paragraph" w:styleId="700">
    <w:name w:val="toc 4"/>
    <w:basedOn w:val="668"/>
    <w:next w:val="668"/>
    <w:uiPriority w:val="0"/>
    <w:semiHidden/>
    <w:qFormat/>
    <w:pPr>
      <w:ind w:left="630"/>
      <w:jc w:val="left"/>
    </w:pPr>
  </w:style>
  <w:style w:type="paragraph" w:styleId="701">
    <w:name w:val="List"/>
    <w:basedOn w:val="668"/>
    <w:uiPriority w:val="0"/>
    <w:qFormat/>
    <w:pPr>
      <w:ind w:left="200" w:hanging="200"/>
    </w:pPr>
  </w:style>
  <w:style w:type="paragraph" w:styleId="702">
    <w:name w:val="toc 6"/>
    <w:basedOn w:val="668"/>
    <w:next w:val="668"/>
    <w:uiPriority w:val="0"/>
    <w:semiHidden/>
    <w:qFormat/>
    <w:pPr>
      <w:ind w:left="1050"/>
      <w:jc w:val="left"/>
    </w:pPr>
  </w:style>
  <w:style w:type="paragraph" w:styleId="703">
    <w:name w:val="Body Text Indent 3"/>
    <w:basedOn w:val="668"/>
    <w:link w:val="742"/>
    <w:uiPriority w:val="0"/>
    <w:qFormat/>
    <w:pPr>
      <w:ind w:left="645" w:firstLine="645"/>
    </w:pPr>
    <w:rPr>
      <w:rFonts w:ascii="Arial" w:hAnsi="Arial" w:eastAsia="仿宋_GB2312"/>
      <w:color w:val="ffff00"/>
      <w:sz w:val="32"/>
      <w:szCs w:val="32"/>
    </w:rPr>
  </w:style>
  <w:style w:type="paragraph" w:styleId="704">
    <w:name w:val="table of figures"/>
    <w:basedOn w:val="668"/>
    <w:next w:val="668"/>
    <w:uiPriority w:val="0"/>
    <w:semiHidden/>
    <w:qFormat/>
    <w:pPr>
      <w:ind w:left="840" w:hanging="420"/>
    </w:pPr>
  </w:style>
  <w:style w:type="paragraph" w:styleId="705">
    <w:name w:val="toc 2"/>
    <w:basedOn w:val="668"/>
    <w:next w:val="668"/>
    <w:uiPriority w:val="0"/>
    <w:semiHidden/>
    <w:qFormat/>
    <w:pPr>
      <w:ind w:left="210"/>
      <w:jc w:val="left"/>
    </w:pPr>
    <w:rPr>
      <w:smallCaps/>
      <w:szCs w:val="24"/>
    </w:rPr>
  </w:style>
  <w:style w:type="paragraph" w:styleId="706">
    <w:name w:val="toc 9"/>
    <w:basedOn w:val="668"/>
    <w:next w:val="668"/>
    <w:uiPriority w:val="0"/>
    <w:semiHidden/>
    <w:qFormat/>
    <w:pPr>
      <w:ind w:left="1680"/>
      <w:jc w:val="left"/>
    </w:pPr>
  </w:style>
  <w:style w:type="paragraph" w:styleId="707">
    <w:name w:val="Body Text 2"/>
    <w:basedOn w:val="668"/>
    <w:link w:val="743"/>
    <w:uiPriority w:val="0"/>
    <w:qFormat/>
    <w:pPr>
      <w:jc w:val="center"/>
      <w:widowControl/>
    </w:pPr>
    <w:rPr>
      <w:rFonts w:ascii="楷体_GB2312" w:eastAsia="楷体_GB2312"/>
      <w:sz w:val="28"/>
      <w:szCs w:val="28"/>
    </w:rPr>
  </w:style>
  <w:style w:type="paragraph" w:styleId="708">
    <w:name w:val="Normal (Web)"/>
    <w:basedOn w:val="668"/>
    <w:uiPriority w:val="99"/>
    <w:qFormat/>
    <w:pPr>
      <w:jc w:val="left"/>
      <w:spacing w:before="100" w:beforeAutospacing="1" w:after="100" w:afterAutospacing="1"/>
      <w:widowControl/>
    </w:pPr>
    <w:rPr>
      <w:rFonts w:ascii="宋体" w:hAnsi="宋体" w:cs="宋体"/>
      <w:sz w:val="24"/>
      <w:szCs w:val="24"/>
    </w:rPr>
  </w:style>
  <w:style w:type="paragraph" w:styleId="709">
    <w:name w:val="index 1"/>
    <w:basedOn w:val="668"/>
    <w:next w:val="668"/>
    <w:uiPriority w:val="0"/>
    <w:semiHidden/>
    <w:qFormat/>
    <w:pPr>
      <w:spacing w:line="240" w:lineRule="atLeast"/>
    </w:pPr>
    <w:rPr>
      <w:b/>
      <w:bCs/>
    </w:rPr>
  </w:style>
  <w:style w:type="paragraph" w:styleId="710">
    <w:name w:val="annotation subject"/>
    <w:basedOn w:val="685"/>
    <w:next w:val="685"/>
    <w:link w:val="744"/>
    <w:uiPriority w:val="0"/>
    <w:semiHidden/>
    <w:qFormat/>
    <w:rPr>
      <w:b/>
      <w:bCs/>
    </w:rPr>
  </w:style>
  <w:style w:type="paragraph" w:styleId="711">
    <w:name w:val="Body Text First Indent"/>
    <w:basedOn w:val="668"/>
    <w:link w:val="745"/>
    <w:uiPriority w:val="0"/>
    <w:qFormat/>
    <w:pPr>
      <w:ind w:firstLine="200"/>
      <w:spacing w:line="360" w:lineRule="auto"/>
    </w:pPr>
    <w:rPr>
      <w:rFonts w:ascii="仿宋_GB2312" w:eastAsia="仿宋_GB2312"/>
      <w:sz w:val="30"/>
      <w:szCs w:val="30"/>
    </w:rPr>
  </w:style>
  <w:style w:type="paragraph" w:styleId="712">
    <w:name w:val="Body Text First Indent 2"/>
    <w:basedOn w:val="688"/>
    <w:link w:val="746"/>
    <w:uiPriority w:val="0"/>
    <w:qFormat/>
    <w:pPr>
      <w:ind w:firstLine="420"/>
      <w:spacing w:line="360" w:lineRule="auto"/>
    </w:pPr>
    <w:rPr>
      <w:rFonts w:ascii="宋体" w:hAnsi="宋体" w:eastAsia="宋体"/>
      <w:szCs w:val="20"/>
    </w:rPr>
  </w:style>
  <w:style w:type="table" w:styleId="713">
    <w:name w:val="Table Grid"/>
    <w:basedOn w:val="679"/>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4">
    <w:name w:val="Strong"/>
    <w:uiPriority w:val="0"/>
    <w:qFormat/>
    <w:rPr>
      <w:b/>
      <w:bCs/>
    </w:rPr>
  </w:style>
  <w:style w:type="character" w:styleId="715">
    <w:name w:val="page number"/>
    <w:uiPriority w:val="0"/>
    <w:qFormat/>
  </w:style>
  <w:style w:type="character" w:styleId="716">
    <w:name w:val="FollowedHyperlink"/>
    <w:uiPriority w:val="0"/>
    <w:qFormat/>
    <w:rPr>
      <w:color w:val="800080"/>
      <w:u w:val="single"/>
    </w:rPr>
  </w:style>
  <w:style w:type="character" w:styleId="717">
    <w:name w:val="HTML Typewriter"/>
    <w:uiPriority w:val="99"/>
    <w:qFormat/>
    <w:rPr>
      <w:rFonts w:ascii="宋体" w:hAnsi="宋体" w:eastAsia="宋体" w:cs="宋体"/>
      <w:sz w:val="24"/>
      <w:szCs w:val="24"/>
    </w:rPr>
  </w:style>
  <w:style w:type="character" w:styleId="718">
    <w:name w:val="Hyperlink"/>
    <w:uiPriority w:val="0"/>
    <w:qFormat/>
    <w:rPr>
      <w:color w:val="0000ff"/>
      <w:u w:val="single"/>
    </w:rPr>
  </w:style>
  <w:style w:type="character" w:styleId="719">
    <w:name w:val="annotation reference"/>
    <w:uiPriority w:val="0"/>
    <w:semiHidden/>
    <w:qFormat/>
    <w:rPr>
      <w:sz w:val="21"/>
      <w:szCs w:val="21"/>
    </w:rPr>
  </w:style>
  <w:style w:type="paragraph" w:styleId="720" w:customStyle="1">
    <w:name w:val="正文文本11"/>
    <w:uiPriority w:val="0"/>
    <w:qFormat/>
    <w:pPr>
      <w:jc w:val="both"/>
      <w:widowControl w:val="off"/>
    </w:pPr>
    <w:rPr>
      <w:rFonts w:ascii="Times New Roman" w:hAnsi="Times New Roman" w:eastAsia="宋体" w:cs="Times New Roman"/>
      <w:sz w:val="18"/>
      <w:lang w:val="en-US" w:eastAsia="zh-CN" w:bidi="ar-SA"/>
    </w:rPr>
  </w:style>
  <w:style w:type="character" w:styleId="721" w:customStyle="1">
    <w:name w:val="正文缩进 Char"/>
    <w:link w:val="681"/>
    <w:uiPriority w:val="0"/>
    <w:qFormat/>
    <w:rPr>
      <w:rFonts w:ascii="Times New Roman" w:hAnsi="Times New Roman" w:eastAsia="宋体" w:cs="Times New Roman"/>
      <w:szCs w:val="21"/>
    </w:rPr>
  </w:style>
  <w:style w:type="character" w:styleId="722" w:customStyle="1">
    <w:name w:val="标题 1 Char"/>
    <w:link w:val="669"/>
    <w:uiPriority w:val="0"/>
    <w:qFormat/>
    <w:rPr>
      <w:rFonts w:ascii="楷体_GB2312" w:hAnsi="Times New Roman" w:eastAsia="楷体_GB2312" w:cs="Times New Roman"/>
      <w:sz w:val="28"/>
      <w:szCs w:val="28"/>
    </w:rPr>
  </w:style>
  <w:style w:type="character" w:styleId="723" w:customStyle="1">
    <w:name w:val="标题 2 Char"/>
    <w:link w:val="670"/>
    <w:uiPriority w:val="0"/>
    <w:qFormat/>
    <w:rPr>
      <w:rFonts w:ascii="Arial" w:hAnsi="Arial" w:eastAsia="幼圆" w:cs="Arial"/>
      <w:b/>
      <w:bCs/>
      <w:sz w:val="44"/>
      <w:szCs w:val="44"/>
    </w:rPr>
  </w:style>
  <w:style w:type="character" w:styleId="724" w:customStyle="1">
    <w:name w:val="标题 3 Char"/>
    <w:link w:val="671"/>
    <w:uiPriority w:val="0"/>
    <w:qFormat/>
    <w:rPr>
      <w:rFonts w:ascii="Times New Roman" w:hAnsi="Times New Roman" w:eastAsia="宋体" w:cs="Times New Roman"/>
      <w:b/>
      <w:bCs/>
      <w:sz w:val="32"/>
      <w:szCs w:val="32"/>
    </w:rPr>
  </w:style>
  <w:style w:type="character" w:styleId="725" w:customStyle="1">
    <w:name w:val="标题 4 Char"/>
    <w:link w:val="672"/>
    <w:uiPriority w:val="0"/>
    <w:qFormat/>
    <w:rPr>
      <w:rFonts w:ascii="Arial" w:hAnsi="Arial" w:eastAsia="黑体" w:cs="Arial"/>
      <w:b/>
      <w:bCs/>
      <w:sz w:val="28"/>
      <w:szCs w:val="28"/>
    </w:rPr>
  </w:style>
  <w:style w:type="character" w:styleId="726" w:customStyle="1">
    <w:name w:val="标题 5 Char"/>
    <w:link w:val="673"/>
    <w:uiPriority w:val="0"/>
    <w:qFormat/>
    <w:rPr>
      <w:rFonts w:ascii="宋体" w:hAnsi="Times New Roman" w:eastAsia="宋体" w:cs="Times New Roman"/>
      <w:color w:val="000000"/>
      <w:sz w:val="28"/>
      <w:szCs w:val="28"/>
    </w:rPr>
  </w:style>
  <w:style w:type="character" w:styleId="727" w:customStyle="1">
    <w:name w:val="标题 6 Char"/>
    <w:link w:val="674"/>
    <w:uiPriority w:val="0"/>
    <w:qFormat/>
    <w:rPr>
      <w:rFonts w:ascii="Arial" w:hAnsi="Arial" w:eastAsia="黑体" w:cs="Times New Roman"/>
      <w:b/>
      <w:bCs/>
      <w:sz w:val="24"/>
      <w:szCs w:val="24"/>
    </w:rPr>
  </w:style>
  <w:style w:type="character" w:styleId="728" w:customStyle="1">
    <w:name w:val="标题 7 Char"/>
    <w:link w:val="675"/>
    <w:uiPriority w:val="0"/>
    <w:qFormat/>
    <w:rPr>
      <w:rFonts w:ascii="Times New Roman" w:hAnsi="Times New Roman" w:eastAsia="宋体" w:cs="Times New Roman"/>
      <w:b/>
      <w:bCs/>
      <w:sz w:val="24"/>
      <w:szCs w:val="24"/>
    </w:rPr>
  </w:style>
  <w:style w:type="character" w:styleId="729" w:customStyle="1">
    <w:name w:val="标题 8 Char"/>
    <w:link w:val="676"/>
    <w:uiPriority w:val="0"/>
    <w:qFormat/>
    <w:rPr>
      <w:rFonts w:ascii="Arial" w:hAnsi="Arial" w:eastAsia="黑体" w:cs="Times New Roman"/>
      <w:sz w:val="24"/>
      <w:szCs w:val="24"/>
    </w:rPr>
  </w:style>
  <w:style w:type="character" w:styleId="730" w:customStyle="1">
    <w:name w:val="标题 9 Char"/>
    <w:link w:val="677"/>
    <w:uiPriority w:val="0"/>
    <w:qFormat/>
    <w:rPr>
      <w:rFonts w:ascii="Arial" w:hAnsi="Arial" w:eastAsia="黑体" w:cs="Times New Roman"/>
      <w:szCs w:val="21"/>
    </w:rPr>
  </w:style>
  <w:style w:type="character" w:styleId="731" w:customStyle="1">
    <w:name w:val="文档结构图 Char"/>
    <w:link w:val="684"/>
    <w:uiPriority w:val="0"/>
    <w:semiHidden/>
    <w:qFormat/>
    <w:rPr>
      <w:rFonts w:ascii="Times New Roman" w:hAnsi="Times New Roman" w:eastAsia="宋体" w:cs="Times New Roman"/>
      <w:szCs w:val="21"/>
      <w:shd w:val="clear" w:color="auto" w:fill="000080"/>
    </w:rPr>
  </w:style>
  <w:style w:type="character" w:styleId="732" w:customStyle="1">
    <w:name w:val="批注文字 Char"/>
    <w:link w:val="685"/>
    <w:uiPriority w:val="0"/>
    <w:semiHidden/>
    <w:qFormat/>
    <w:rPr>
      <w:rFonts w:ascii="Times New Roman" w:hAnsi="Times New Roman" w:eastAsia="宋体" w:cs="Times New Roman"/>
      <w:szCs w:val="21"/>
    </w:rPr>
  </w:style>
  <w:style w:type="character" w:styleId="733" w:customStyle="1">
    <w:name w:val="正文文本 3 Char"/>
    <w:link w:val="686"/>
    <w:uiPriority w:val="0"/>
    <w:qFormat/>
    <w:rPr>
      <w:rFonts w:ascii="仿宋_GB2312" w:hAnsi="Arial" w:eastAsia="仿宋_GB2312" w:cs="Times New Roman"/>
      <w:sz w:val="32"/>
      <w:szCs w:val="32"/>
    </w:rPr>
  </w:style>
  <w:style w:type="character" w:styleId="734" w:customStyle="1">
    <w:name w:val="正文文本 Char"/>
    <w:link w:val="687"/>
    <w:uiPriority w:val="0"/>
    <w:qFormat/>
    <w:rPr>
      <w:rFonts w:ascii="楷体_GB2312" w:hAnsi="Arial" w:eastAsia="楷体_GB2312" w:cs="Times New Roman"/>
      <w:sz w:val="28"/>
      <w:szCs w:val="28"/>
    </w:rPr>
  </w:style>
  <w:style w:type="character" w:styleId="735" w:customStyle="1">
    <w:name w:val="正文文本缩进 Char"/>
    <w:link w:val="688"/>
    <w:uiPriority w:val="0"/>
    <w:qFormat/>
    <w:rPr>
      <w:rFonts w:ascii="楷体_GB2312" w:hAnsi="Times New Roman" w:eastAsia="楷体_GB2312" w:cs="Times New Roman"/>
      <w:sz w:val="32"/>
      <w:szCs w:val="32"/>
    </w:rPr>
  </w:style>
  <w:style w:type="character" w:styleId="736" w:customStyle="1">
    <w:name w:val="纯文本 Char"/>
    <w:link w:val="692"/>
    <w:uiPriority w:val="0"/>
    <w:qFormat/>
    <w:rPr>
      <w:rFonts w:ascii="宋体" w:hAnsi="Courier New" w:eastAsia="宋体" w:cs="Courier New"/>
      <w:szCs w:val="21"/>
    </w:rPr>
  </w:style>
  <w:style w:type="character" w:styleId="737" w:customStyle="1">
    <w:name w:val="日期 Char"/>
    <w:link w:val="694"/>
    <w:uiPriority w:val="0"/>
    <w:qFormat/>
    <w:rPr>
      <w:rFonts w:ascii="Times New Roman" w:hAnsi="Times New Roman" w:eastAsia="宋体" w:cs="Times New Roman"/>
      <w:sz w:val="24"/>
      <w:szCs w:val="24"/>
    </w:rPr>
  </w:style>
  <w:style w:type="character" w:styleId="738" w:customStyle="1">
    <w:name w:val="正文文本缩进 2 Char"/>
    <w:link w:val="695"/>
    <w:uiPriority w:val="0"/>
    <w:qFormat/>
    <w:rPr>
      <w:rFonts w:ascii="Arial" w:hAnsi="Arial" w:eastAsia="仿宋_GB2312" w:cs="Arial"/>
      <w:sz w:val="32"/>
      <w:szCs w:val="32"/>
    </w:rPr>
  </w:style>
  <w:style w:type="character" w:styleId="739" w:customStyle="1">
    <w:name w:val="批注框文本 Char"/>
    <w:link w:val="696"/>
    <w:uiPriority w:val="0"/>
    <w:semiHidden/>
    <w:qFormat/>
    <w:rPr>
      <w:rFonts w:ascii="Times New Roman" w:hAnsi="Times New Roman" w:eastAsia="宋体" w:cs="Times New Roman"/>
      <w:sz w:val="18"/>
      <w:szCs w:val="18"/>
    </w:rPr>
  </w:style>
  <w:style w:type="character" w:styleId="740" w:customStyle="1">
    <w:name w:val="页脚 Char"/>
    <w:link w:val="697"/>
    <w:uiPriority w:val="0"/>
    <w:qFormat/>
    <w:rPr>
      <w:rFonts w:ascii="Times New Roman" w:hAnsi="Times New Roman" w:eastAsia="宋体" w:cs="Times New Roman"/>
      <w:sz w:val="18"/>
      <w:szCs w:val="18"/>
    </w:rPr>
  </w:style>
  <w:style w:type="character" w:styleId="741" w:customStyle="1">
    <w:name w:val="页眉 Char"/>
    <w:link w:val="698"/>
    <w:uiPriority w:val="99"/>
    <w:qFormat/>
    <w:rPr>
      <w:rFonts w:ascii="Times New Roman" w:hAnsi="Times New Roman" w:eastAsia="宋体" w:cs="Times New Roman"/>
      <w:sz w:val="18"/>
      <w:szCs w:val="18"/>
    </w:rPr>
  </w:style>
  <w:style w:type="character" w:styleId="742" w:customStyle="1">
    <w:name w:val="正文文本缩进 3 Char"/>
    <w:link w:val="703"/>
    <w:uiPriority w:val="0"/>
    <w:qFormat/>
    <w:rPr>
      <w:rFonts w:ascii="Arial" w:hAnsi="Arial" w:eastAsia="仿宋_GB2312" w:cs="Arial"/>
      <w:color w:val="ffff00"/>
      <w:sz w:val="32"/>
      <w:szCs w:val="32"/>
    </w:rPr>
  </w:style>
  <w:style w:type="character" w:styleId="743" w:customStyle="1">
    <w:name w:val="正文文本 2 Char"/>
    <w:link w:val="707"/>
    <w:uiPriority w:val="0"/>
    <w:qFormat/>
    <w:rPr>
      <w:rFonts w:ascii="楷体_GB2312" w:hAnsi="Times New Roman" w:eastAsia="楷体_GB2312" w:cs="Times New Roman"/>
      <w:sz w:val="28"/>
      <w:szCs w:val="28"/>
    </w:rPr>
  </w:style>
  <w:style w:type="character" w:styleId="744" w:customStyle="1">
    <w:name w:val="批注主题 Char"/>
    <w:link w:val="710"/>
    <w:uiPriority w:val="0"/>
    <w:semiHidden/>
    <w:qFormat/>
    <w:rPr>
      <w:rFonts w:ascii="Times New Roman" w:hAnsi="Times New Roman" w:eastAsia="宋体" w:cs="Times New Roman"/>
      <w:b/>
      <w:bCs/>
      <w:szCs w:val="21"/>
    </w:rPr>
  </w:style>
  <w:style w:type="character" w:styleId="745" w:customStyle="1">
    <w:name w:val="正文首行缩进 Char"/>
    <w:link w:val="711"/>
    <w:uiPriority w:val="0"/>
    <w:qFormat/>
    <w:rPr>
      <w:rFonts w:ascii="仿宋_GB2312" w:hAnsi="Times New Roman" w:eastAsia="仿宋_GB2312" w:cs="Times New Roman"/>
      <w:sz w:val="30"/>
      <w:szCs w:val="30"/>
    </w:rPr>
  </w:style>
  <w:style w:type="character" w:styleId="746" w:customStyle="1">
    <w:name w:val="正文首行缩进 2 Char"/>
    <w:link w:val="712"/>
    <w:uiPriority w:val="0"/>
    <w:qFormat/>
    <w:rPr>
      <w:rFonts w:ascii="宋体" w:hAnsi="宋体" w:eastAsia="宋体" w:cs="Times New Roman"/>
      <w:sz w:val="32"/>
      <w:szCs w:val="20"/>
    </w:rPr>
  </w:style>
  <w:style w:type="character" w:styleId="747" w:customStyle="1">
    <w:name w:val="默认段落字体1"/>
    <w:uiPriority w:val="1"/>
    <w:unhideWhenUsed/>
    <w:qFormat/>
  </w:style>
  <w:style w:type="character" w:styleId="748" w:customStyle="1">
    <w:name w:val="font5 Char"/>
    <w:uiPriority w:val="0"/>
    <w:qFormat/>
    <w:rPr>
      <w:rFonts w:ascii="宋体" w:hAnsi="宋体" w:eastAsia="宋体"/>
      <w:sz w:val="28"/>
      <w:szCs w:val="28"/>
      <w:lang w:val="en-US" w:eastAsia="zh-CN" w:bidi="ar-SA"/>
    </w:rPr>
  </w:style>
  <w:style w:type="character" w:styleId="749" w:customStyle="1">
    <w:name w:val="二级目录 Char"/>
    <w:link w:val="750"/>
    <w:uiPriority w:val="0"/>
    <w:qFormat/>
    <w:rPr>
      <w:b/>
      <w:sz w:val="30"/>
      <w:szCs w:val="28"/>
      <w:lang w:val="en-US" w:eastAsia="zh-CN" w:bidi="ar-SA"/>
    </w:rPr>
  </w:style>
  <w:style w:type="paragraph" w:styleId="750" w:customStyle="1">
    <w:name w:val="二级目录"/>
    <w:next w:val="668"/>
    <w:link w:val="749"/>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751" w:customStyle="1">
    <w:name w:val="列出段落 Char"/>
    <w:link w:val="752"/>
    <w:uiPriority w:val="0"/>
    <w:qFormat/>
    <w:rPr>
      <w:rFonts w:ascii="Calibri" w:hAnsi="Calibri"/>
      <w:sz w:val="24"/>
      <w:szCs w:val="24"/>
      <w:lang w:eastAsia="en-US" w:bidi="en-US"/>
    </w:rPr>
  </w:style>
  <w:style w:type="paragraph" w:styleId="752" w:customStyle="1">
    <w:name w:val="列出段落1"/>
    <w:basedOn w:val="668"/>
    <w:link w:val="751"/>
    <w:uiPriority w:val="0"/>
    <w:qFormat/>
    <w:pPr>
      <w:contextualSpacing/>
      <w:ind w:left="720"/>
      <w:jc w:val="left"/>
      <w:widowControl/>
    </w:pPr>
    <w:rPr>
      <w:rFonts w:ascii="Calibri" w:hAnsi="Calibri"/>
      <w:sz w:val="24"/>
      <w:szCs w:val="24"/>
      <w:lang w:eastAsia="en-US" w:bidi="en-US"/>
    </w:rPr>
  </w:style>
  <w:style w:type="paragraph" w:styleId="753" w:customStyle="1">
    <w:name w:val="Body Text(ch)"/>
    <w:basedOn w:val="668"/>
    <w:next w:val="687"/>
    <w:uiPriority w:val="0"/>
    <w:qFormat/>
    <w:pPr>
      <w:spacing w:after="120"/>
    </w:pPr>
    <w:rPr>
      <w:rFonts w:ascii="宋体" w:hAnsi="Arial"/>
      <w:bCs/>
      <w:iCs/>
      <w:szCs w:val="24"/>
    </w:rPr>
  </w:style>
  <w:style w:type="paragraph" w:styleId="754" w:customStyle="1">
    <w:name w:val="xl27"/>
    <w:basedOn w:val="66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55" w:customStyle="1">
    <w:name w:val="xl26"/>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56" w:customStyle="1">
    <w:name w:val="Char"/>
    <w:basedOn w:val="668"/>
    <w:uiPriority w:val="0"/>
    <w:qFormat/>
    <w:pPr>
      <w:ind w:firstLine="200"/>
      <w:tabs>
        <w:tab w:val="left" w:pos="360" w:leader="none"/>
      </w:tabs>
    </w:pPr>
    <w:rPr>
      <w:sz w:val="28"/>
      <w:szCs w:val="30"/>
    </w:rPr>
  </w:style>
  <w:style w:type="paragraph" w:styleId="757" w:customStyle="1">
    <w:name w:val=" Char"/>
    <w:basedOn w:val="684"/>
    <w:uiPriority w:val="0"/>
    <w:qFormat/>
    <w:rPr>
      <w:rFonts w:ascii="Tahoma" w:hAnsi="Tahoma"/>
      <w:sz w:val="24"/>
      <w:szCs w:val="24"/>
    </w:rPr>
  </w:style>
  <w:style w:type="paragraph" w:styleId="758" w:customStyle="1">
    <w:name w:val="普通正文"/>
    <w:basedOn w:val="668"/>
    <w:uiPriority w:val="0"/>
    <w:qFormat/>
    <w:pPr>
      <w:ind w:firstLine="480"/>
      <w:jc w:val="left"/>
      <w:spacing w:before="120" w:after="120" w:line="360" w:lineRule="auto"/>
    </w:pPr>
    <w:rPr>
      <w:rFonts w:ascii="Arial" w:hAnsi="Arial"/>
      <w:sz w:val="24"/>
      <w:szCs w:val="24"/>
    </w:rPr>
  </w:style>
  <w:style w:type="paragraph" w:styleId="759" w:customStyle="1">
    <w:name w:val="table_lines"/>
    <w:basedOn w:val="668"/>
    <w:uiPriority w:val="0"/>
    <w:qFormat/>
    <w:pPr>
      <w:jc w:val="left"/>
      <w:widowControl/>
    </w:pPr>
    <w:rPr>
      <w:sz w:val="20"/>
      <w:szCs w:val="20"/>
      <w:lang w:val="de-DE" w:eastAsia="de-DE"/>
    </w:rPr>
  </w:style>
  <w:style w:type="paragraph" w:styleId="760"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761" w:customStyle="1">
    <w:name w:val="font7"/>
    <w:basedOn w:val="668"/>
    <w:uiPriority w:val="0"/>
    <w:qFormat/>
    <w:pPr>
      <w:jc w:val="left"/>
      <w:spacing w:before="100" w:beforeAutospacing="1" w:after="100" w:afterAutospacing="1"/>
      <w:widowControl/>
    </w:pPr>
    <w:rPr>
      <w:rFonts w:hint="eastAsia" w:ascii="宋体" w:hAnsi="宋体"/>
      <w:sz w:val="18"/>
      <w:szCs w:val="18"/>
    </w:rPr>
  </w:style>
  <w:style w:type="paragraph" w:styleId="762" w:customStyle="1">
    <w:name w:val=" Char Char Char Char"/>
    <w:basedOn w:val="684"/>
    <w:uiPriority w:val="0"/>
    <w:qFormat/>
    <w:pPr>
      <w:spacing w:line="360" w:lineRule="auto"/>
    </w:pPr>
    <w:rPr>
      <w:rFonts w:ascii="Tahoma" w:hAnsi="Tahoma"/>
      <w:sz w:val="24"/>
      <w:szCs w:val="24"/>
    </w:rPr>
  </w:style>
  <w:style w:type="paragraph" w:styleId="763">
    <w:name w:val="List Paragraph"/>
    <w:basedOn w:val="668"/>
    <w:uiPriority w:val="99"/>
    <w:qFormat/>
    <w:pPr>
      <w:contextualSpacing/>
      <w:ind w:left="720"/>
      <w:jc w:val="left"/>
      <w:widowControl/>
    </w:pPr>
    <w:rPr>
      <w:rFonts w:ascii="Calibri" w:hAnsi="Calibri"/>
      <w:sz w:val="24"/>
      <w:szCs w:val="24"/>
      <w:lang w:eastAsia="en-US" w:bidi="en-US"/>
    </w:rPr>
  </w:style>
  <w:style w:type="paragraph" w:styleId="764" w:customStyle="1">
    <w:name w:val="4"/>
    <w:basedOn w:val="668"/>
    <w:next w:val="703"/>
    <w:uiPriority w:val="0"/>
    <w:qFormat/>
    <w:pPr>
      <w:ind w:firstLine="420"/>
      <w:spacing w:line="360" w:lineRule="auto"/>
    </w:pPr>
    <w:rPr>
      <w:color w:val="ff0000"/>
      <w:sz w:val="24"/>
      <w:szCs w:val="24"/>
    </w:rPr>
  </w:style>
  <w:style w:type="paragraph" w:styleId="765" w:customStyle="1">
    <w:name w:val="普通 (Web)"/>
    <w:basedOn w:val="668"/>
    <w:uiPriority w:val="0"/>
    <w:qFormat/>
    <w:pPr>
      <w:jc w:val="left"/>
      <w:spacing w:before="100" w:beforeAutospacing="1" w:after="100" w:afterAutospacing="1"/>
      <w:widowControl/>
    </w:pPr>
    <w:rPr>
      <w:rFonts w:ascii="宋体" w:hAnsi="宋体"/>
      <w:sz w:val="24"/>
      <w:szCs w:val="24"/>
    </w:rPr>
  </w:style>
  <w:style w:type="paragraph" w:styleId="766" w:customStyle="1">
    <w:name w:val=" Char Char Char Char Char Char Char Char Char Char"/>
    <w:basedOn w:val="668"/>
    <w:uiPriority w:val="0"/>
    <w:qFormat/>
    <w:pPr>
      <w:spacing w:line="360" w:lineRule="auto"/>
    </w:pPr>
    <w:rPr>
      <w:sz w:val="24"/>
      <w:szCs w:val="20"/>
    </w:rPr>
  </w:style>
  <w:style w:type="paragraph" w:styleId="767" w:customStyle="1">
    <w:name w:val="样式1"/>
    <w:basedOn w:val="668"/>
    <w:uiPriority w:val="0"/>
    <w:qFormat/>
    <w:pPr>
      <w:numPr>
        <w:ilvl w:val="0"/>
        <w:numId w:val="3"/>
      </w:numPr>
    </w:pPr>
    <w:rPr>
      <w:rFonts w:ascii="宋体" w:hAnsi="宋体"/>
    </w:rPr>
  </w:style>
  <w:style w:type="paragraph" w:styleId="768" w:customStyle="1">
    <w:name w:val="font6"/>
    <w:basedOn w:val="668"/>
    <w:uiPriority w:val="0"/>
    <w:qFormat/>
    <w:pPr>
      <w:jc w:val="left"/>
      <w:spacing w:before="100" w:beforeAutospacing="1" w:after="100" w:afterAutospacing="1"/>
      <w:widowControl/>
    </w:pPr>
    <w:rPr>
      <w:rFonts w:hint="eastAsia" w:ascii="宋体" w:hAnsi="宋体"/>
      <w:sz w:val="28"/>
      <w:szCs w:val="28"/>
      <w:u w:val="single"/>
    </w:rPr>
  </w:style>
  <w:style w:type="paragraph" w:styleId="769" w:customStyle="1">
    <w:name w:val="xl25"/>
    <w:basedOn w:val="66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0" w:customStyle="1">
    <w:name w:val="图标"/>
    <w:basedOn w:val="668"/>
    <w:next w:val="66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1" w:customStyle="1">
    <w:name w:val="标题3"/>
    <w:basedOn w:val="668"/>
    <w:next w:val="668"/>
    <w:uiPriority w:val="0"/>
    <w:qFormat/>
    <w:pPr>
      <w:ind w:firstLine="624"/>
      <w:spacing w:line="590" w:lineRule="atLeast"/>
    </w:pPr>
    <w:rPr>
      <w:rFonts w:ascii="方正黑体_GBK" w:eastAsia="方正黑体_GBK"/>
      <w:sz w:val="32"/>
      <w:szCs w:val="32"/>
    </w:rPr>
  </w:style>
  <w:style w:type="paragraph" w:styleId="772" w:customStyle="1">
    <w:name w:val="xl24"/>
    <w:basedOn w:val="66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73" w:customStyle="1">
    <w:name w:val="xl29"/>
    <w:basedOn w:val="668"/>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774" w:customStyle="1">
    <w:name w:val="Char Char Char Char Char Char Char Char"/>
    <w:basedOn w:val="668"/>
    <w:uiPriority w:val="0"/>
    <w:qFormat/>
    <w:pPr>
      <w:jc w:val="left"/>
      <w:spacing w:after="160" w:line="240" w:lineRule="exact"/>
      <w:widowControl/>
    </w:pPr>
    <w:rPr>
      <w:rFonts w:ascii="Verdana" w:hAnsi="Verdana"/>
      <w:sz w:val="20"/>
      <w:szCs w:val="20"/>
      <w:lang w:eastAsia="en-US"/>
    </w:rPr>
  </w:style>
  <w:style w:type="paragraph" w:styleId="775" w:customStyle="1">
    <w:name w:val="xl28"/>
    <w:basedOn w:val="66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776" w:customStyle="1">
    <w:name w:val=" Char Char Char Char Char Char Char Char"/>
    <w:basedOn w:val="668"/>
    <w:uiPriority w:val="0"/>
    <w:qFormat/>
    <w:pPr>
      <w:jc w:val="left"/>
      <w:spacing w:after="160" w:line="240" w:lineRule="exact"/>
      <w:widowControl/>
    </w:pPr>
    <w:rPr>
      <w:rFonts w:ascii="Verdana" w:hAnsi="Verdana"/>
      <w:sz w:val="20"/>
      <w:szCs w:val="20"/>
      <w:lang w:eastAsia="en-US"/>
    </w:rPr>
  </w:style>
  <w:style w:type="paragraph" w:styleId="777" w:customStyle="1">
    <w:name w:val="xl30"/>
    <w:basedOn w:val="668"/>
    <w:uiPriority w:val="0"/>
    <w:qFormat/>
    <w:pPr>
      <w:jc w:val="center"/>
      <w:spacing w:before="100" w:beforeAutospacing="1" w:after="100" w:afterAutospacing="1"/>
      <w:widowControl/>
    </w:pPr>
    <w:rPr>
      <w:rFonts w:ascii="宋体" w:hAnsi="宋体"/>
      <w:b/>
      <w:bCs/>
      <w:sz w:val="36"/>
      <w:szCs w:val="36"/>
    </w:rPr>
  </w:style>
  <w:style w:type="paragraph" w:styleId="778" w:customStyle="1">
    <w:name w:val="Char Char Char Char"/>
    <w:basedOn w:val="684"/>
    <w:uiPriority w:val="0"/>
    <w:qFormat/>
    <w:pPr>
      <w:spacing w:line="360" w:lineRule="auto"/>
    </w:pPr>
    <w:rPr>
      <w:rFonts w:ascii="Tahoma" w:hAnsi="Tahoma"/>
      <w:sz w:val="24"/>
      <w:szCs w:val="24"/>
    </w:rPr>
  </w:style>
  <w:style w:type="paragraph" w:styleId="779" w:customStyle="1">
    <w:name w:val="table_1stline"/>
    <w:basedOn w:val="668"/>
    <w:uiPriority w:val="0"/>
    <w:qFormat/>
    <w:pPr>
      <w:jc w:val="left"/>
      <w:spacing w:before="120"/>
      <w:widowControl/>
    </w:pPr>
    <w:rPr>
      <w:bCs/>
      <w:sz w:val="20"/>
      <w:szCs w:val="20"/>
      <w:lang w:val="de-DE" w:eastAsia="de-DE"/>
    </w:rPr>
  </w:style>
  <w:style w:type="paragraph" w:styleId="780" w:customStyle="1">
    <w:name w:val="font5"/>
    <w:basedOn w:val="668"/>
    <w:uiPriority w:val="0"/>
    <w:qFormat/>
    <w:pPr>
      <w:jc w:val="left"/>
      <w:spacing w:before="100" w:beforeAutospacing="1" w:after="100" w:afterAutospacing="1"/>
      <w:widowControl/>
    </w:pPr>
    <w:rPr>
      <w:rFonts w:hint="eastAsia" w:ascii="宋体" w:hAnsi="宋体"/>
      <w:sz w:val="28"/>
      <w:szCs w:val="28"/>
    </w:rPr>
  </w:style>
  <w:style w:type="paragraph" w:styleId="781" w:customStyle="1">
    <w:name w:val="标题1"/>
    <w:basedOn w:val="668"/>
    <w:next w:val="66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82" w:customStyle="1">
    <w:name w:val="_Style 113"/>
    <w:uiPriority w:val="99"/>
    <w:semiHidden/>
    <w:qFormat/>
    <w:rPr>
      <w:rFonts w:ascii="Times New Roman" w:hAnsi="Times New Roman" w:eastAsia="宋体" w:cs="Times New Roman"/>
      <w:sz w:val="21"/>
      <w:szCs w:val="21"/>
      <w:lang w:val="en-US" w:eastAsia="zh-CN" w:bidi="ar-SA"/>
    </w:rPr>
  </w:style>
  <w:style w:type="paragraph" w:styleId="783">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784" w:customStyle="1">
    <w:name w:val="普通文字"/>
    <w:basedOn w:val="668"/>
    <w:next w:val="668"/>
    <w:uiPriority w:val="99"/>
    <w:qFormat/>
    <w:rPr>
      <w:rFonts w:ascii="宋体" w:hAnsi="Times New Roman" w:eastAsia="宋体" w:cs="Times New Roman"/>
      <w:sz w:val="24"/>
      <w:szCs w:val="20"/>
      <w:u w:val="none"/>
    </w:rPr>
  </w:style>
  <w:style w:type="paragraph" w:styleId="785" w:customStyle="1">
    <w:name w:val="目录 111"/>
    <w:basedOn w:val="668"/>
    <w:next w:val="668"/>
    <w:uiPriority w:val="39"/>
    <w:unhideWhenUsed/>
    <w:qFormat/>
    <w:pPr>
      <w:jc w:val="left"/>
      <w:spacing w:after="100" w:line="259" w:lineRule="auto"/>
      <w:widowControl/>
    </w:pPr>
    <w:rPr>
      <w:rFonts w:ascii="Calibri" w:hAnsi="Calibri" w:eastAsia="宋体"/>
      <w:sz w:val="22"/>
      <w:szCs w:val="22"/>
    </w:rPr>
  </w:style>
  <w:style w:type="character" w:styleId="786" w:customStyle="1">
    <w:name w:val="font21"/>
    <w:basedOn w:val="678"/>
    <w:uiPriority w:val="0"/>
    <w:qFormat/>
    <w:rPr>
      <w:rFonts w:hint="eastAsia" w:ascii="宋体" w:hAnsi="宋体" w:eastAsia="宋体" w:cs="宋体"/>
      <w:color w:val="000000"/>
      <w:sz w:val="21"/>
      <w:szCs w:val="21"/>
      <w:u w:val="none"/>
    </w:rPr>
  </w:style>
  <w:style w:type="paragraph" w:styleId="787" w:customStyle="1">
    <w:name w:val="批注框文本1"/>
    <w:uiPriority w:val="99"/>
    <w:qFormat/>
    <w:pPr>
      <w:jc w:val="both"/>
      <w:widowControl w:val="off"/>
    </w:pPr>
    <w:rPr>
      <w:rFonts w:ascii="Times New Roman" w:hAnsi="Times New Roman" w:eastAsia="宋体" w:cs="Times New Roman"/>
      <w:sz w:val="18"/>
      <w:szCs w:val="18"/>
      <w:lang w:val="en-US" w:eastAsia="en-US" w:bidi="ar-SA"/>
    </w:rPr>
  </w:style>
  <w:style w:type="character" w:styleId="788" w:customStyle="1">
    <w:name w:val="font11"/>
    <w:basedOn w:val="747"/>
    <w:uiPriority w:val="0"/>
    <w:qFormat/>
    <w:rPr>
      <w:rFonts w:ascii="Times New Roman" w:hAnsi="Times New Roman"/>
      <w:sz w:val="21"/>
      <w:szCs w:val="21"/>
      <w:lang w:val="en-US" w:eastAsia="zh-CN" w:bidi="ar-SA"/>
    </w:rPr>
  </w:style>
  <w:style w:type="numbering" w:styleId="181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华晓芸</cp:lastModifiedBy>
  <cp:revision>629</cp:revision>
  <dcterms:created xsi:type="dcterms:W3CDTF">2023-03-16T02:16:00Z</dcterms:created>
  <dcterms:modified xsi:type="dcterms:W3CDTF">2026-06-29T01:23:26Z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B079E8502E0B4388B9BD658C08C385DB_13</vt:lpwstr>
  </property>
  <property fmtid="{D5CDD505-2E9C-101B-9397-08002B2CF9AE}" pid="4" name="KSOTemplateDocerSaveRecord">
    <vt:lpwstr>eyJoZGlkIjoiM2I1OTQ2NDJjNjRhMmE2ZTU5NDcxMWJiZTc3MGMzNzciLCJ1c2VySWQiOiIxMzY2MzQxNDQ3In0=</vt:lpwstr>
  </property>
</Properties>
</file>