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9"/>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72"/>
        </w:rPr>
        <w:t xml:space="preserve">竞争性磋商文件</w:t>
      </w:r>
      <w:r/>
    </w:p>
    <w:p>
      <w:pPr>
        <w:ind w:left="0" w:right="0" w:firstLine="0"/>
        <w:spacing w:before="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项目编号：</w:t>
      </w:r>
      <w:r>
        <w:rPr>
          <w:rFonts w:ascii="Times New Roman" w:hAnsi="Times New Roman" w:eastAsia="Times New Roman" w:cs="Times New Roman"/>
          <w:b/>
          <w:color w:val="000000"/>
          <w:sz w:val="36"/>
        </w:rPr>
        <w:t xml:space="preserve">JSZC-320000-NJJC-C2026-0082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项目名称：田径场塑胶跑道、人工草皮更新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项目类别：工程类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采购人：江苏海事职业技术学院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采购代理机构：南京江城工程项目管理有限公司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二○二六年七月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71" w:after="240"/>
        <w:tabs>
          <w:tab w:val="left" w:pos="3200" w:leader="none"/>
          <w:tab w:val="left" w:pos="8910"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5205" w:history="1">
        <w:r>
          <w:rPr>
            <w:rStyle w:val="942"/>
            <w:rFonts w:ascii="SimSun" w:hAnsi="SimSun" w:eastAsia="SimSun" w:cs="SimSun"/>
            <w:b/>
            <w:color w:val="0000ee"/>
            <w:sz w:val="24"/>
            <w:u w:val="single"/>
          </w:rPr>
          <w:t xml:space="preserve">第一章  竞争性磋商邀请..................................................</w:t>
        </w:r>
      </w:hyperlink>
      <w:r/>
      <w:r/>
    </w:p>
    <w:p>
      <w:pPr>
        <w:ind w:left="0" w:right="0" w:firstLine="0"/>
        <w:spacing w:before="271" w:after="240"/>
        <w:tabs>
          <w:tab w:val="left" w:pos="8910"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209" w:history="1">
        <w:r>
          <w:rPr>
            <w:rStyle w:val="942"/>
            <w:rFonts w:ascii="SimSun" w:hAnsi="SimSun" w:eastAsia="SimSun" w:cs="SimSun"/>
            <w:b/>
            <w:color w:val="0000ee"/>
            <w:sz w:val="24"/>
            <w:u w:val="single"/>
          </w:rPr>
          <w:t xml:space="preserve">第二章竞争性磋商须知..................................................</w:t>
        </w:r>
      </w:hyperlink>
      <w:r/>
      <w:r/>
    </w:p>
    <w:p>
      <w:pPr>
        <w:ind w:left="0" w:right="0" w:firstLine="0"/>
        <w:spacing w:before="271" w:after="240"/>
        <w:tabs>
          <w:tab w:val="left" w:pos="8910"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951" w:history="1">
        <w:r>
          <w:rPr>
            <w:rStyle w:val="942"/>
            <w:rFonts w:ascii="SimSun" w:hAnsi="SimSun" w:eastAsia="SimSun" w:cs="SimSun"/>
            <w:b/>
            <w:color w:val="0000ee"/>
            <w:sz w:val="24"/>
            <w:u w:val="single"/>
          </w:rPr>
          <w:t xml:space="preserve">第三章成交标准.......................................................</w:t>
        </w:r>
      </w:hyperlink>
      <w:r/>
      <w:r/>
    </w:p>
    <w:p>
      <w:pPr>
        <w:ind w:left="0" w:right="0" w:firstLine="0"/>
        <w:spacing w:before="271" w:after="240"/>
        <w:tabs>
          <w:tab w:val="left" w:pos="8910"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7610" w:history="1">
        <w:r>
          <w:rPr>
            <w:rStyle w:val="942"/>
            <w:rFonts w:ascii="SimSun" w:hAnsi="SimSun" w:eastAsia="SimSun" w:cs="SimSun"/>
            <w:b/>
            <w:color w:val="0000ee"/>
            <w:sz w:val="24"/>
            <w:u w:val="single"/>
          </w:rPr>
          <w:t xml:space="preserve">第四章采购项目需求...................................................</w:t>
        </w:r>
      </w:hyperlink>
      <w:r/>
      <w:r/>
    </w:p>
    <w:p>
      <w:pPr>
        <w:ind w:left="0" w:right="0" w:firstLine="0"/>
        <w:spacing w:before="271" w:after="240"/>
        <w:tabs>
          <w:tab w:val="left" w:pos="8910"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6369" w:history="1">
        <w:r>
          <w:rPr>
            <w:rStyle w:val="942"/>
            <w:rFonts w:ascii="SimSun" w:hAnsi="SimSun" w:eastAsia="SimSun" w:cs="SimSun"/>
            <w:b/>
            <w:color w:val="0000ee"/>
            <w:sz w:val="24"/>
            <w:u w:val="single"/>
          </w:rPr>
          <w:t xml:space="preserve">第五章  合同条款及格式.................................................</w:t>
        </w:r>
      </w:hyperlink>
      <w:r/>
      <w:r/>
    </w:p>
    <w:p>
      <w:pPr>
        <w:ind w:left="0" w:right="0" w:firstLine="0"/>
        <w:spacing w:before="271" w:after="240"/>
        <w:tabs>
          <w:tab w:val="left" w:pos="2800" w:leader="none"/>
          <w:tab w:val="left" w:pos="8910"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31270" w:history="1">
        <w:r>
          <w:rPr>
            <w:rStyle w:val="942"/>
            <w:rFonts w:ascii="SimSun" w:hAnsi="SimSun" w:eastAsia="SimSun" w:cs="SimSun"/>
            <w:b/>
            <w:color w:val="0000ee"/>
            <w:sz w:val="24"/>
            <w:u w:val="single"/>
          </w:rPr>
          <w:t xml:space="preserve">第六章  响应文件格式...................................................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327" w:right="0" w:firstLine="0"/>
        <w:spacing w:before="151" w:after="240"/>
        <w:tabs>
          <w:tab w:val="left" w:pos="89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ab/>
        <w:t xml:space="preserve">竞争性磋商邀请</w:t>
      </w:r>
      <w:r/>
    </w:p>
    <w:p>
      <w:pPr>
        <w:ind w:left="0" w:right="0" w:firstLine="41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u w:val="single"/>
        </w:rPr>
        <w:t xml:space="preserve">田径场塑胶跑道、人工草皮更新 </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2026年08月4日09点30分（北京时间）</w:t>
      </w:r>
      <w:r>
        <w:rPr>
          <w:rFonts w:ascii="SimSun" w:hAnsi="SimSun" w:eastAsia="SimSun" w:cs="SimSun"/>
          <w:color w:val="000000"/>
          <w:sz w:val="21"/>
        </w:rPr>
        <w:t xml:space="preserve">前提交响应文件。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项目编号：JSZC-320000-NJJC-C2026-0082 </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项目名称：田径场塑胶跑道、人工草皮更新 </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项目预算金额：372.616万元</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最高限价：366.477583万元，超过最高限价的投标文件为无效投标。</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采购需求：主要包含塑胶跑道翻新，排水沟盖板更换等，具体内容详见工程量清单。</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工期：30个日历天</w:t>
      </w:r>
      <w:r/>
    </w:p>
    <w:p>
      <w:pPr>
        <w:ind w:left="0" w:right="0" w:firstLine="1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w:t>
      </w:r>
      <w:r/>
    </w:p>
    <w:p>
      <w:pPr>
        <w:ind w:left="0" w:right="0" w:firstLine="1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本项目所属行业</w:t>
      </w:r>
      <w:r>
        <w:rPr>
          <w:rFonts w:ascii="SimSun" w:hAnsi="SimSun" w:eastAsia="SimSun" w:cs="SimSun"/>
          <w:color w:val="000000"/>
          <w:sz w:val="21"/>
        </w:rPr>
        <w:t xml:space="preserve">：</w:t>
      </w:r>
      <w:r>
        <w:rPr>
          <w:rFonts w:ascii="SimSun" w:hAnsi="SimSun" w:eastAsia="SimSun" w:cs="SimSun"/>
          <w:b/>
          <w:color w:val="000000"/>
          <w:sz w:val="21"/>
        </w:rPr>
        <w:t xml:space="preserve">建筑业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）具有独立承担民事责任的能力（提供法人或者其他组织的营业执照等证明文件</w:t>
      </w:r>
      <w:r>
        <w:rPr>
          <w:rFonts w:ascii="SimSun" w:hAnsi="SimSun" w:eastAsia="SimSun" w:cs="SimSun"/>
          <w:color w:val="000000"/>
          <w:sz w:val="21"/>
        </w:rPr>
        <w:t xml:space="preserve">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）具有良好的商业信誉和健全的财务会计制度（提供由第三方专业机构出具的</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年度财务审计报告（财务审计报告至少包含资产负债表、利润表、现金流量表、第三方专业机构盖章和注册会计师签字页加盖公章）或</w:t>
      </w:r>
      <w:r>
        <w:rPr>
          <w:rFonts w:ascii="Calibri" w:hAnsi="Calibri" w:eastAsia="Calibri" w:cs="Calibri"/>
          <w:color w:val="000000"/>
          <w:sz w:val="20"/>
        </w:rPr>
        <w:t xml:space="preserve">提供参加本次政府采购活动前半年内任意一个月（</w:t>
      </w:r>
      <w:r>
        <w:rPr>
          <w:rFonts w:ascii="Times New Roman" w:hAnsi="Times New Roman" w:eastAsia="Times New Roman" w:cs="Times New Roman"/>
          <w:color w:val="000000"/>
          <w:sz w:val="20"/>
        </w:rPr>
        <w:t xml:space="preserve">2026</w:t>
      </w:r>
      <w:r>
        <w:rPr>
          <w:rFonts w:ascii="Calibri" w:hAnsi="Calibri" w:eastAsia="Calibri" w:cs="Calibri"/>
          <w:color w:val="000000"/>
          <w:sz w:val="20"/>
        </w:rPr>
        <w:t xml:space="preserve">年</w:t>
      </w:r>
      <w:r>
        <w:rPr>
          <w:rFonts w:ascii="Times New Roman" w:hAnsi="Times New Roman" w:eastAsia="Times New Roman" w:cs="Times New Roman"/>
          <w:color w:val="000000"/>
          <w:sz w:val="20"/>
        </w:rPr>
        <w:t xml:space="preserve">1</w:t>
      </w:r>
      <w:r>
        <w:rPr>
          <w:rFonts w:ascii="Calibri" w:hAnsi="Calibri" w:eastAsia="Calibri" w:cs="Calibri"/>
          <w:color w:val="000000"/>
          <w:sz w:val="20"/>
        </w:rPr>
        <w:t xml:space="preserve">月以来）的财务报表（包含资产负债表、现金流量表、利润表）</w:t>
      </w:r>
      <w:r>
        <w:rPr>
          <w:rFonts w:ascii="SimSun" w:hAnsi="SimSun" w:eastAsia="SimSun" w:cs="SimSun"/>
          <w:color w:val="000000"/>
          <w:sz w:val="21"/>
        </w:rPr>
        <w:t xml:space="preserve">或响应截止时间前六个月银行出具的企业资信证明加盖公章，成立不满一年则无需提供，否则视为未提供）；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）具有履行合同所必需的设备和专业技术能力（根据项目需求提供履行合同所必需的设备和专业技术能力的证明材料或相关加盖公章的承诺书原件）；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）有依法缴纳税收和社会保障资金的良好记录（提供响应截止前半年内任意一个月（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月以来）缴纳增值税，或营业税，或企业所得税或印花税的凭据，及缴纳社会保险的凭据（专用收据，或社会保险缴纳清单）加盖公章，否则视为未提供）；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）参加本次采购活动前三年内，在经营活动中没有重大违法或不良征信记录（提供参加本次采购活动前三年内在经营活动中没有重大违法记录的书面声明承诺书原件）。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w:t>
      </w:r>
      <w:r>
        <w:rPr>
          <w:rFonts w:ascii="Times New Roman" w:hAnsi="Times New Roman" w:eastAsia="Times New Roman" w:cs="Times New Roman"/>
          <w:b/>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rPr>
          <w:rFonts w:ascii="SimSun" w:hAnsi="SimSun" w:eastAsia="SimSun" w:cs="SimSun"/>
          <w:b/>
          <w:color w:val="000000"/>
          <w:sz w:val="21"/>
        </w:rPr>
        <w:t xml:space="preserve"> </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供应商资质等级及范围：具有建筑工程施工总承包三级(含)以上资质或施工总承包市政公用工程三级(含)以上和有效期内的安全生产许可证（提供有效的资质证书、安全生产许可证加盖公章）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（2）凡为本项目提供整体设计、规范编制或者项目管理、监理、检测等服务的供应商，不得再参加本项目的采购活动。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2、地点：江苏政府采购网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3、方式：网上下载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截止时间：2026年08月4日09点30分（北京时间）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时间：2026年08月4日09点30分（北京时间）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地点：“苏采云”政府采购交易系统网上开标大厅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rPr>
          <w:rFonts w:ascii="SimSun" w:hAnsi="SimSun" w:eastAsia="SimSun" w:cs="SimSun"/>
          <w:color w:val="000000"/>
          <w:sz w:val="21"/>
          <w:u w:val="non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集中考察现场或答疑：本次项目各供应商自愿按规定时间至现场勘查现有情况，供应商代表携带营业执照复印件（加盖单位公章）、法定代表人授权委托书（加盖单位公章）参加集中考察或答疑。现场勘察签到开始时间：2026年07月21日09点 30分，签到截止时间：2026年07月21日10点 30分，地点： 江苏海事职业技术学院学生公寓（入校需申请，请提前联系学校老师），联系人：唐鹏 ，联系电话：15335169081 ， 每家供应商只允许派1名代表参加集中答疑。现场由工作人员带领沿指定线路踏勘。因为不可抗力无法踏勘现场</w:t>
      </w:r>
      <w:r>
        <w:rPr>
          <w:rFonts w:ascii="SimSun" w:hAnsi="SimSun" w:eastAsia="SimSun" w:cs="SimSun"/>
          <w:color w:val="000000"/>
          <w:sz w:val="21"/>
        </w:rPr>
        <w:t xml:space="preserve">或者取消踏勘，采购人不负任何责任。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3、中标后不允许转包、分包本工程。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八、对本次磋商提出询问，请按以下方式联系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称：江苏海事职业技术学院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地址：南京市江宁区格致路309号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联系方式：陈老师（技术业务咨询）、陈老师（招标业务咨询）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联系电话：15380780998、025-86176900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联系方式：025-58066836</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话：025-58066836</w:t>
      </w:r>
      <w:r/>
    </w:p>
    <w:p>
      <w:pPr>
        <w:pStyle w:val="955"/>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955"/>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第二章竞争性磋商</w:t>
      </w:r>
      <w:r>
        <w:rPr>
          <w:rFonts w:ascii="SimSun" w:hAnsi="SimSun" w:eastAsia="SimSun" w:cs="SimSun"/>
          <w:b/>
          <w:color w:val="000000"/>
          <w:sz w:val="36"/>
        </w:rPr>
        <w:t xml:space="preserve">须知</w:t>
      </w:r>
      <w:r/>
    </w:p>
    <w:p>
      <w:pPr>
        <w:ind w:left="0" w:right="0" w:firstLine="0"/>
        <w:jc w:val="center"/>
        <w:spacing w:before="1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7"/>
        <w:gridCol w:w="910"/>
        <w:gridCol w:w="8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称：江苏海事职业技术学院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址：</w:t>
            </w:r>
            <w:r>
              <w:rPr>
                <w:rFonts w:ascii="SimSun" w:hAnsi="SimSun" w:eastAsia="SimSun" w:cs="SimSun"/>
                <w:color w:val="000000"/>
                <w:sz w:val="21"/>
              </w:rPr>
              <w:t xml:space="preserve">南京市江宁区格致路</w:t>
            </w:r>
            <w:r>
              <w:rPr>
                <w:rFonts w:ascii="Times New Roman" w:hAnsi="Times New Roman" w:eastAsia="Times New Roman" w:cs="Times New Roman"/>
                <w:color w:val="000000"/>
                <w:sz w:val="21"/>
              </w:rPr>
              <w:t xml:space="preserve">309</w:t>
            </w:r>
            <w:r>
              <w:rPr>
                <w:rFonts w:ascii="SimSun" w:hAnsi="SimSun" w:eastAsia="SimSun" w:cs="SimSun"/>
                <w:color w:val="000000"/>
                <w:sz w:val="21"/>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1"/>
              </w:rPr>
              <w:t xml:space="preserve">陈老师（技术业务咨询）、陈老师（招标业务咨询）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1"/>
              </w:rPr>
              <w:t xml:space="preserve">15380780998、025-86176900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地　址：南京市建邺区云龙山路</w:t>
            </w:r>
            <w:r>
              <w:rPr>
                <w:rFonts w:ascii="SimSun" w:hAnsi="SimSun" w:eastAsia="SimSun" w:cs="SimSun"/>
                <w:color w:val="000000"/>
                <w:sz w:val="22"/>
              </w:rPr>
              <w:t xml:space="preserve">89</w:t>
            </w:r>
            <w:r>
              <w:rPr>
                <w:rFonts w:ascii="Calibri" w:hAnsi="Calibri" w:eastAsia="Calibri" w:cs="Calibri"/>
                <w:color w:val="000000"/>
                <w:sz w:val="22"/>
              </w:rPr>
              <w:t xml:space="preserve">号龙湖时代上城</w:t>
            </w:r>
            <w:r>
              <w:rPr>
                <w:rFonts w:ascii="SimSun" w:hAnsi="SimSun" w:eastAsia="SimSun" w:cs="SimSun"/>
                <w:color w:val="000000"/>
                <w:sz w:val="22"/>
              </w:rPr>
              <w:t xml:space="preserve">1</w:t>
            </w:r>
            <w:r>
              <w:rPr>
                <w:rFonts w:ascii="Calibri" w:hAnsi="Calibri" w:eastAsia="Calibri" w:cs="Calibri"/>
                <w:color w:val="000000"/>
                <w:sz w:val="22"/>
              </w:rPr>
              <w:t xml:space="preserve">栋</w:t>
            </w:r>
            <w:r>
              <w:rPr>
                <w:rFonts w:ascii="SimSun" w:hAnsi="SimSun" w:eastAsia="SimSun" w:cs="SimSun"/>
                <w:color w:val="000000"/>
                <w:sz w:val="22"/>
              </w:rPr>
              <w:t xml:space="preserve">29</w:t>
            </w:r>
            <w:r>
              <w:rPr>
                <w:rFonts w:ascii="Calibri" w:hAnsi="Calibri" w:eastAsia="Calibri" w:cs="Calibri"/>
                <w:color w:val="000000"/>
                <w:sz w:val="22"/>
              </w:rPr>
              <w:t xml:space="preserve">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联系方式： </w:t>
            </w:r>
            <w:r>
              <w:rPr>
                <w:rFonts w:ascii="SimSun" w:hAnsi="SimSun" w:eastAsia="SimSun" w:cs="SimSun"/>
                <w:color w:val="000000"/>
                <w:sz w:val="22"/>
              </w:rPr>
              <w:t xml:space="preserve">025-58066836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田径场塑胶跑道、人工草皮更新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江苏省南京市江宁区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财政资金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w:t>
            </w:r>
            <w:r>
              <w:rPr>
                <w:rFonts w:ascii="SimSun" w:hAnsi="SimSun" w:eastAsia="SimSun" w:cs="SimSun"/>
                <w:color w:val="000000"/>
                <w:sz w:val="22"/>
              </w:rPr>
              <w:t xml:space="preserve">1</w:t>
            </w:r>
            <w:r>
              <w:rPr>
                <w:rFonts w:ascii="Calibri" w:hAnsi="Calibri" w:eastAsia="Calibri" w:cs="Calibri"/>
                <w:color w:val="000000"/>
                <w:sz w:val="22"/>
              </w:rPr>
              <w:t xml:space="preserve">）查询渠道：“信用中国”网站（</w:t>
            </w:r>
            <w:r>
              <w:rPr>
                <w:rFonts w:ascii="SimSun" w:hAnsi="SimSun" w:eastAsia="SimSun" w:cs="SimSun"/>
                <w:color w:val="000000"/>
                <w:sz w:val="22"/>
              </w:rPr>
              <w:t xml:space="preserve">www.creditchina.gov.cn</w:t>
            </w:r>
            <w:r>
              <w:rPr>
                <w:rFonts w:ascii="Calibri" w:hAnsi="Calibri" w:eastAsia="Calibri" w:cs="Calibri"/>
                <w:color w:val="000000"/>
                <w:sz w:val="22"/>
              </w:rPr>
              <w:t xml:space="preserve">）、“中国政府采购网”网站（</w:t>
            </w:r>
            <w:r>
              <w:rPr>
                <w:rFonts w:ascii="SimSun" w:hAnsi="SimSun" w:eastAsia="SimSun" w:cs="SimSun"/>
                <w:color w:val="000000"/>
                <w:sz w:val="22"/>
              </w:rPr>
              <w:t xml:space="preserve">www.ccgp.gov.cn</w:t>
            </w:r>
            <w:r>
              <w:rPr>
                <w:rFonts w:ascii="Calibri" w:hAnsi="Calibri" w:eastAsia="Calibri" w:cs="Calibri"/>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w:t>
            </w:r>
            <w:r>
              <w:rPr>
                <w:rFonts w:ascii="SimSun" w:hAnsi="SimSun" w:eastAsia="SimSun" w:cs="SimSun"/>
                <w:color w:val="000000"/>
                <w:sz w:val="22"/>
              </w:rPr>
              <w:t xml:space="preserve">2</w:t>
            </w:r>
            <w:r>
              <w:rPr>
                <w:rFonts w:ascii="Calibri" w:hAnsi="Calibri" w:eastAsia="Calibri" w:cs="Calibri"/>
                <w:color w:val="000000"/>
                <w:sz w:val="22"/>
              </w:rPr>
              <w:t xml:space="preserve">）查询时间：资格审查时；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w:t>
            </w:r>
            <w:r>
              <w:rPr>
                <w:rFonts w:ascii="SimSun" w:hAnsi="SimSun" w:eastAsia="SimSun" w:cs="SimSun"/>
                <w:color w:val="000000"/>
                <w:sz w:val="22"/>
              </w:rPr>
              <w:t xml:space="preserve">3</w:t>
            </w:r>
            <w:r>
              <w:rPr>
                <w:rFonts w:ascii="Calibri" w:hAnsi="Calibri" w:eastAsia="Calibri" w:cs="Calibri"/>
                <w:color w:val="000000"/>
                <w:sz w:val="22"/>
              </w:rPr>
              <w:t xml:space="preserve">）查询记录留存方式：由采购代理机构负责将供应商各网站信用记录截图保存；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w:t>
            </w:r>
            <w:r>
              <w:rPr>
                <w:rFonts w:ascii="SimSun" w:hAnsi="SimSun" w:eastAsia="SimSun" w:cs="SimSun"/>
                <w:color w:val="000000"/>
                <w:sz w:val="22"/>
              </w:rPr>
              <w:t xml:space="preserve">4</w:t>
            </w:r>
            <w:r>
              <w:rPr>
                <w:rFonts w:ascii="Calibri" w:hAnsi="Calibri" w:eastAsia="Calibri" w:cs="Calibri"/>
                <w:color w:val="000000"/>
                <w:sz w:val="22"/>
              </w:rPr>
              <w:t xml:space="preserve">）查询结果处理：对具有违法失信记录的供应商作无效投标处理。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供应商响应文件中加盖的公章仅能使用与供应商名称一致的标准公章，不得使用其他形式（如带有“专用章”、“合同章”、“财务章”、“业务章”等字样）的印章；否则，按无效投标处理。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rPr>
          <w:rFonts w:ascii="Calibri" w:hAnsi="Calibri" w:eastAsia="Calibri" w:cs="Calibri"/>
          <w:b/>
          <w:color w:val="000000"/>
          <w:sz w:val="22"/>
        </w:rPr>
        <w:t xml:space="preserve">一、总则</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执行《中华人民共和国政府采购法》、《中华人民共和国政府采购法实施条例》、《政府采购竞争性磋商采购方式管理暂行办法》等有关法律、规章和规定等。</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2.1“采购人”是指依法进行政府采购的国家机关、事业单位、团体组织。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2.2“供应商”是指参加竞争性磋商，并符合采购文件规定资格条件的法人、其他组织或者自然人。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2.3“工程”指本采购文件中所述相关工程。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2.4“用户或使用单位”是指使用服务的单位。</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政策功能</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 中小企业、监狱企业、残疾人福利性单位相关政策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（2）对于专门面向中小微型企业的项目，只面向中小微型企业采购。对于非专门面向中小微企业采购的项目，采购人或采购代理机构应给予小微企业5%的价格扣除，用扣除后的价格参与评审。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（7）中小企业依据《政府采购促进中小企业发展管理办法》的通知[财库〔2020〕46号]规定的政策获取政府采购合同后，小微企业不得将合同分包给大中型企业，中型企业不得将合同分包给大型企业。</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3.2节能产品、环境标志产品政策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（1）政府采购节能产品、环境标志产品实施品目清单管理。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（2）拟采购产品属于节能产品、环境标志产品品目清单规定必须强制采购的，实行强制采购。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（3）拟采购产品属于节能产品、环境标志产品品目清单规定优先采购的，在性能、技术、服务等指标同等条件下，实行优先采购，优先采购的成交标准详见本采购文件第三章。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（4）参加政府采购活动的节能产品、环境标志产品供应商应当提供国家确定的认证机构出具的、处于有效期之内的节能产品、环境标志产品认证证书。</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3.3进口产品政策（本项目不执行）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（1）除在磋商文件另有规定外，不允许进口产品参加。进口产品认定依照《财政部关于政府采购进口产品管理有关问题的通知》（财办库〔2008〕248号）的规定。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（3）允许进口产品参加的，优先采购向我国企业转让技术、与我国企业签订消化吸收再创新方案的供应商的进口产品。</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4、磋商费用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代理费由成交人支付，本项目招标代理服务费由成交人在领取成交通知书前一次性支付给招标代理机构，招标代理费按照1980号文件收费标准的48%收取，造价咨询费根据苏价服【2014】383号文收费标准*80％*48％，造价咨询费</w:t>
      </w:r>
      <w:r>
        <w:rPr>
          <w:rFonts w:ascii="SimSun" w:hAnsi="SimSun" w:eastAsia="SimSun" w:cs="SimSun"/>
          <w:color w:val="000000"/>
          <w:sz w:val="21"/>
        </w:rPr>
        <w:t xml:space="preserve">5347.64</w:t>
      </w:r>
      <w:r>
        <w:rPr>
          <w:rFonts w:ascii="SimSun" w:hAnsi="SimSun" w:eastAsia="SimSun" w:cs="SimSun"/>
          <w:color w:val="000000"/>
          <w:sz w:val="22"/>
        </w:rPr>
        <w:t xml:space="preserve">元由成交供应商汇入采购人指定账户，该项费用请供应商综合考虑在投标报价中。</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5、磋商文件的约束力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供应商一旦参加本项目采购活动，即被认为接受了本磋商文件的规定和约束。</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二、磋商文件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6、磋商文件构成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磋商文件由以下部分组成：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（1）竞争性磋商公告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（5）合同草案条款及格式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（6）响应文件格式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（7）附件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请仔细检查磋商文件是否齐全，如有缺漏请立即与采购代理机构联系解决。</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7、磋商文件的澄清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任何要求对磋商文件进行澄清的供应商，应在磋商截止期5日前按磋商公告中的通讯地址，以书面形式通知采购代理机构。</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8、磋商文件的澄清和修改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采购代理机构可以视采购项目的具体情况，组织供应商进行现场考察或召开磋商前答疑会，但不单独或分别组织只有一个供应商参加的现场考察和答疑会。</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三、响应文件的编制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9、响应文件的语言、计量单位、货币和编制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供应商所使用的计量单位应为国家法定计量单位。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供应商应用人民币报价。报价产品如果是进口产品的，应提供人民币与外币之间的汇率；报价单位为“元”。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 磋商响应文件应字迹清楚、内容齐全、不得涂改。如有修改，修改处须有供应商公章或投标专用章和法定代表人或其授权磋商代表签字。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 供应商应在磋商响应文件中写清相应的项目编号、项目名称、供应商全称、地址、电话、传真等。</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10、响应文件构成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供应商应当根据竞争性磋商文件要求编制磋商电子响应文件，并根据自己的商务能力、技术水平对竞争性磋商文件提出的要求和条件逐条标明是否响应。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磋商响应文件由商务部分、技术部分、价格部分，以及其他部分组成。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 本次采购的最小单位是包。采购项目的技术要求中未分包的，供应商对要求提供的服务不得部分投标；采购项目的技术要求中已经分包的，可以以包为单位投标。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 如标书制作工具中格式和内容与“江苏政府采购网”发布的磋商文件不一致，请以“江苏政府采购网”发布的磋商文件为准。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 </w:t>
      </w:r>
      <w:r>
        <w:rPr>
          <w:rFonts w:ascii="SimSun" w:hAnsi="SimSun" w:eastAsia="SimSun" w:cs="SimSun"/>
          <w:b/>
          <w:color w:val="000000"/>
          <w:sz w:val="22"/>
        </w:rPr>
        <w:t xml:space="preserve">磋商响应文件的商务部分</w:t>
      </w:r>
      <w:r>
        <w:rPr>
          <w:rFonts w:ascii="SimSun" w:hAnsi="SimSun" w:eastAsia="SimSun" w:cs="SimSun"/>
          <w:color w:val="000000"/>
          <w:sz w:val="22"/>
        </w:rPr>
        <w:t xml:space="preserve">。商务部分是证明供应商有资格参加磋商和成交后有能力履行合同的文件，这些文件应能满足竞争性磋商采购的要求，包括但不限于下列文件，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2"/>
        </w:rPr>
        <w:t xml:space="preserve">其中加★项目不得有缺失或无效，否则竞争性磋商小组有权否决供应商的投标</w:t>
      </w:r>
      <w:r>
        <w:rPr>
          <w:rFonts w:ascii="SimSun" w:hAnsi="SimSun" w:eastAsia="SimSun" w:cs="SimSun"/>
          <w:color w:val="000000"/>
          <w:sz w:val="22"/>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（1）★竞争性磋商申请及声明（格式见第六章）；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（2）★法定代表人授权委托书及委托代理人的身份证（格式见第六章）；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（3）★第一章竞争性磋商公告中满足《中华人民共和国政府采购法》规定的资格条件证明文件；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（4）★第一章竞争性磋商公告中采购人根据采购项目的特殊要求规定的特定条件证明文件；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（5）★工程量清单报价表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（6）★报价表；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（7）★《商务条款偏离表》；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（8）供应商认为需要提供的其他资格证明文件和商务资料。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 </w:t>
      </w:r>
      <w:r>
        <w:rPr>
          <w:rFonts w:ascii="SimSun" w:hAnsi="SimSun" w:eastAsia="SimSun" w:cs="SimSun"/>
          <w:b/>
          <w:color w:val="000000"/>
          <w:sz w:val="22"/>
        </w:rPr>
        <w:t xml:space="preserve">磋商响应文件的技术部分</w:t>
      </w:r>
      <w:r>
        <w:rPr>
          <w:rFonts w:ascii="SimSun" w:hAnsi="SimSun" w:eastAsia="SimSun" w:cs="SimSun"/>
          <w:color w:val="000000"/>
          <w:sz w:val="22"/>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（1）★《技术条款偏离表》；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（2）施工组织方案；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（3）承诺书（如有）；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（4）供应商拟投入本项目的项目组成员员情况一览表；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（5）供应商认为需要提供的其他技术资料。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 </w:t>
      </w:r>
      <w:r>
        <w:rPr>
          <w:rFonts w:ascii="SimSun" w:hAnsi="SimSun" w:eastAsia="SimSun" w:cs="SimSun"/>
          <w:b/>
          <w:color w:val="000000"/>
          <w:sz w:val="22"/>
        </w:rPr>
        <w:t xml:space="preserve">磋商响应文件的价格部分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（1）价格部分是对服务或工程价格构成的说明，竞争性磋商文件如没有特别说明的话，对每一项服务或工程仅接受一个价格。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（2）报价应包含与磋商项目有关的所用费用，以及技术资料、支付给员工的工资和国家强制缴纳的各种社会保障资金，以及供应商认为需要的其他费用等。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（3）供应商应以表格形式详细说明服务或工程的价格构成，以及价格构成各项因素的单价和总价。供应商系中小企业（含小型、微型企业），并由本企业提供服务的，须在《报价表》、《分项报价表》中注明。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（4）供应商应充分考虑到市场价格变动，以及项目实施过程中的不可预见因素，一旦成交，总价格不变。如果有漏项，视同让利。</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（5）响应文件所报的投标价格不得超过磋商文件规定的最高限价，超过磋商文件规定的最高限价的响应文件，按无效投标处理。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经磋商后，二次报价为最终报价，二次报价原则上不高于首次报价，如果成交价低于供应商在响应文件首次报价的，分项报价（除暂列金额、甲供材料费、材料暂估价、专业工程暂估价以外的所有费用）同比例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 磋商响应文件的其他部分。其他部分由供应商根据编制磋商响应文件需要提供的其他相关文件组成。</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11、证明磋商响应标的符合磋商文件规定的文件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供应商应按照磋商文件要求提交证明文件，证明其及磋商响应标的符合磋商文件规定。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磋商文件对证明文件无明确形式要求的，证明文件可以以文字资料、图纸和数据等形式提交。</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供应商应按照磋商文件规定格式填报分项报价表。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磋商货币。响应文件中的单价和总价无特殊规定的采用人民币报价，以元为单位标注。磋商文件中另有规定的按规定执行。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13、技术要求响应及偏离表、商务要求响应及偏离表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供应商需对磋商文件中的技术要求与商务要求逐项作出响应或偏离。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供应商可在响应文件中提供认为需要的其他技术文件或说明。</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14、竞争性磋商申请及声明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供应商应按照磋商文件中提供的格式完整、正确填写竞争性磋商申请及声明。</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15、磋商有效期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磋商有效期为采购代理机构规定的提交响应文件截止之日后90天。磋商有效期比规定短的将被视为非实质性响应磋商文件而予以拒绝。</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16、磋商有效期的延长</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四、响应文件的递交</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17、电子磋商响应文件的递交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电子响应文件的递交供应商应当按照《操作手册》规定，在磋商响应截止时间前制作并上传电子响应文件。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17.2政府采购管理交易系统（苏采云）相关要求是本采购文件的组成部分。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17.3供应商应对 CA 证书妥善保管，如被他人盗用投标，因此带来的结果均由供应商自行承担。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17.4供应商应当对采购文件提出的要求和条件作出实质性响应，并在电子投标系统逐条应答。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17.5供应商应对要求提供的资格证明文件（如资质证书、资格证书）、技术资料（如服务方案、人员要求等）扫描上传至投标系统。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17.6各供应商应在规定时间内凭CA证书进行网上解密。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18、提交响应文件截止时间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供应商上传电子响应文件的时间不得迟于磋商公告中规定的提交响应文件截止时间。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供应商应充分考虑到网络环境、网络带宽等风险因素，如因供应商自身原因造成的电子响应文件上传不成功的按照无效响应处理。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19、响应文件的拒收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采购代理机构拒绝接收在其规定的提交响应文件截止时间后上传的任何电子响应文件。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20、响应文件的撤回和修改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20.1响应文件的撤回</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电子响应文件的撤回</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供应商可在提交响应文件截止时间前，撤回其电子响应文件，具体操作方法见《操作手册》。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供应商撤回电子响应文件，则认为其不再参与本项目磋商活动。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20.2响应文件的修改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 供应商可在提交响应文件截止时间前，对其电子响应文件进行修改，具体操作方法见《操作手册》。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 在提交响应文件截止时间之后，供应商不得对其电子响应文件作任何修改。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 在提交响应文件截止时间至磋商文件中规定的磋商有效期满之间的这段时间内，供应商不得撤回其响应文件。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五、响应文件的解密与评审</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21、响应文件解密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供应商应当按照《操作手册》规定，在苏采云系统规定的时间内对磋商响应文件进行解密。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22、磋商小组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采购代理机构将组织磋商小组对响应文件进行评审。磋商小组由采购人代表和有关技术、经济等方面的专家组成，且人员构成符合政府采购有关规定。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磋商小组独立工作，负责评审所有响应文件并确定成交侯选人。</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23、评审过程的保密与公正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磋商小组、采购人和采购代理机构工作人员、相关监督人员等与评审工作有关的人员，对评审情况以及在评审过程中获悉的国家秘密、商业秘密负有保密责任。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在评审过程中，供应商不得以任何行为影响磋商评审过程，否则其响应文件将被作为无效响应文件。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在项目评审期间，采购代理机构将设专门人员与供应商联系。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采购代理机构和磋商小组不向未成交的供应商解释未成交原因，也不公布评审过程中的相关细节。</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24、评审过程中的的澄清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磋商小组并非对每个供应商都作澄清要求。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接到磋商小组澄清、说明和更正要求的供应商如未按规定做出澄清、说明和更正，其风险由供应商自行承担。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25、对响应文件的审查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响应文件审查分为资格审查和符合性审查。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 资格审查：由磋商小组依据法律法规和磋商文件的规定，对响应文件中的资格证明文件进行审查，以确定供应商是否具备参加磋商的资格。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 符合性审查：依据磋商文件的规定，由磋商小组从响应文件的有效性、完整性和对磋商文件的响应程度进行审查，以确定是否对磋商文件的实质性要求作出响应。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未实质性响应磋商文件的情形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25.3.1 供应商在苏采云系统规定的时间内未成功解密电子响应文件的。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25.3.2 供应商未按照磋商文件要求上传电子响应文件的。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25.3.3 同一供应商提交两个（含两个）以上不同的响应文件或者最后报价的。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25.3.4 供应商不具备磋商文件中规定资格要求的。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25.3.5 供应商的投标报价超过了最高投标限价。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25.3.6 不符合磋商文件中规定的实质性要求和条件的。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25.3.8 响应文件含有采购人不能接受的附加条件的。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25.3.9 响应文件未按照磋商文件要求加盖CA电子公章或签字的。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25.3.10 改变工程量清单计价规则、数量、项目特征等；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25.3.11 改变工程量清单不可竞争费、暂列金、暂估价等。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25.3.12 不同供应商的响应文件以及响应文件制作过程出现了磋商小组认为不应当雷同的情况的。（如标书IP一致、MAC码等其他雷同性问题）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25.3.13  其他法律法规要求的事宜。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  无效响应的情形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25.4.1 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25.4.2 未实质性响应磋商文件的响应文件按无效响应处理。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 如果响应文件实质上没有响应磋商文件的要求，磋商小组将予以拒绝，供应商不得通过修改或撤销不合要求的偏离或保留而使其成为实质性响应的文件。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 供应商在项目评审全过程中应保持通讯畅通，并安排专人与采购代理机构及磋商小组联系。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 政府采购异常低价流程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评审过程中出现下列情形之一的，磋商小组会应当启动异常低价投标审查程序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 应)报价平均值50%的，即投标(响应)报价&lt;全部通过符合性审查供应商投标(响应)报价平均值×50%；</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 投标(响应)报价50%的，即投标(响应)报价&lt;通过符合性审查 的次低报价供应商投标(响应)报价×50%；</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（3）投标(响应)报价低于采购项目最高限价45%的，即投标(响 应)报价&lt;采购项目最高限价×45%；</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（4）磋商小组认定的供应商响应报价过低、有可能影响产品质量或者不能诚信履约的其他情形。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26、磋商程序及评审方法和成交标准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磋商程序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最后报价是供应商响应文件的有效组成部分，提交最后报价的供应商不少于3家，磋商小组将根据供应商最后得分由高到低的顺序推荐成交候选供应商。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 供应商未在磋商小组规定的时间内在苏采云系统中提交最后报价的视为放弃磋商，其响应文件按无效响应处理，最后报价格式表须加盖CA电子公章,否则视为未提交最后报价。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  评审方法和成交标准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26.2.1评审方法。经磋商确定最终采购需求和提交最后报价的供应商后，由磋商小组采用综合评分法对提交最后报价的供应商的响应文件和最后报价进行综合评分。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26.2.2 成交标准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见本磋商文件第三章规定。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26.3无效响应条款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 供应商未按照采购文件要求上传电子磋商响应文件的。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26.3.2 供应商未成功解密电子磋商响应文件的。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26.3.3 供应商不具备采购文件中规定资格要求的。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26.3.4 未通过符合性审查的。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26.3.5 不符合采购文件中规定的其他实质性要求和条件的（本采购文件中加★为实质性要求和条件）。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26.3.6 供应商被 “信用中国”网站（www.creditchina.gov.cn）、“中国政府采购网"(www.ccgp.gov.cn)列入失信被执行人或重大税收违法案件当事人名单或政府采购严重失信行为记录名单。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26.3.7 本项目采购产品被财政部、国家发改委、生态环境部等列入“节能产品品目清单”强制采购范围，而供应商所磋商产品不在强制采购范围内的。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26.3.8 响应文件未按照采购文件要求加盖电子签章。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26.3.9 改变工程量清单，计价规范，工程数量，单位，不可竞争费等。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26.3.10其他法律、法规及本采购文件规定的属无效响应的情形。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采购活动终止的情况</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出现下列情形之一的，本次竞争性磋商采购活动将被终止：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26.4.1 因情况变化，不再符合规定的竞争性磋商采购方式适用情形的。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26.4.2 出现影响采购公正的违法、违规行为的。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26.4.3 除本磋商文件第二章第26.1.2条第三款规定的情形外，在采购过程中符合要求的供应商或者最后报价未超过采购预算的供应商不足3家的。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26.4.4 在苏采云系统规定时间内成功解密电子响应文件的供应商不足3家的。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26.4.4 因重大变故，采购任务取消的。</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六、成交</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27、确定成交单位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如商务指标得分相同，则以技术方案优劣顺序推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按以下第（2）种方式确定成交供应商；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（1）磋商小组直接确定排名第一的成交候选人为成交供应商；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（2）采购人在磋商小组推荐的3名成交候选人中按顺序确定成交供应商。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确定成交供应商后，采购代理机构将在“江苏政府采购网”发布成交结果公告，公告期限为1个工作日。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若有充分证据证明，成交供应商出现下列情况之一的，一经查实，将被取消成交资格：</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 提供虚假材料谋取成交的。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 与评审专家、采购人、其他供应商或者采购代理机构工作人员恶意串通的。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 向评审专家、采购人或采购代理机构工作人员行贿或者提供其他不正当利益的。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 恶意竞争，最后报价明显低于其自身合理成本且又无法提供证明的。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 不满足本磋商文件规定的实质性要求，但在评审过程中又未被磋商小组发现的。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 成交后无正当理由拒不与采购人签订政府采购合同或者未按照磋商文件确定的事项签订政府采购合同的。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 将政府采购合同转包的。</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28、询问、质疑、投诉和诚实信用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询问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 提出质疑的供应商应当是参与所质疑项目采购活动的供应商。潜在供应商依法获取其可质疑的采购文件的，可以对采购文件提出质疑。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（1）对可以质疑的采购文件提出质疑的，应当在获取采购文件之日或者采购文件公告期限届满之日起7个工作日内提出。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（2）对采购过程提出质疑的，为各采购程序环节结束之日起7个工作日内提出。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（3）对成交结果提出质疑的，为成交结果公告期限届满之日起7个工作日内提出。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质疑文件应包括以下主要内容：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（1）质疑供应商的姓名或者名称、地址、邮编、联系人及联系电话；</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（2）质疑项目的名称、编号、公告发布时间、磋商时间；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（3）具体、明确的质疑事项和与质疑事项相关的请求；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（4）事实依据；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（5）必要的法律依据；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（6）提出质疑的日期；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28.2.5 供应商（含潜在供应商）对与本项目有关的所有询问、质疑均请向采购代理机构提出，由采购代理机构负责答复。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28.2.6 采购代理机构只接收以纸质原件形式送达的质疑。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采购人质疑接收人及联系方式见采购文件第一章。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28.2.7 以下情形的质疑不予受理：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（1）内容不符合《政府采购质疑和投诉办法》第十二条规定的质疑。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（2）超出政府采购法定期限的质疑。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（3）以传真、电子邮件等方式递交的非原件形式的质疑。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（4）未参加磋商活动的供应商或在磋商活动中自身权益未受到损害的供应商所提出的质疑。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（5）供应商组成联合体参加磋商，联合体中任何一方或多方未按要求签字、盖章、加盖公章的质疑。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代理机构应当在收到供应商的书面质疑后7个工作日内作出答复，并以书面形式通知质疑供应商和其他有关供应商，但答复的内容不得涉及商业秘密。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29、成交通知书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30.l成交供应商应当在成交通知书发出之日起三十日内，按照磋商文件确定的事项与采购人签订政府采购合同。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磋商文件、成交供应商的响应文件及磋商过程中有关澄清、承诺文件均应作为合同附件。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31、其他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 依据《政府采购促进中小企业发展管理办法》享受享受扶持政策获得政府采购合同的，小微企业不得将合同分包给大中型企业，中型企业不得将合同分包给大型企业。</w:t>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w:t>
      </w:r>
      <w:r>
        <w:rPr>
          <w:rFonts w:ascii="SimSun" w:hAnsi="SimSun" w:eastAsia="SimSun" w:cs="SimSun"/>
          <w:b/>
          <w:color w:val="000000"/>
          <w:sz w:val="36"/>
        </w:rPr>
        <w:t xml:space="preserve">成交标准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磋商小组根据综合评分情况，</w:t>
      </w:r>
      <w:r>
        <w:rPr>
          <w:rFonts w:ascii="SimSun" w:hAnsi="SimSun" w:eastAsia="SimSun" w:cs="SimSun"/>
          <w:color w:val="000000"/>
          <w:sz w:val="22"/>
        </w:rPr>
        <w:t xml:space="preserve">编写评审报告。评审得分相同的，按照最后报价由低到高的顺序推荐。评审得分且最后报价相同的，按照商务指标优劣顺序推荐，如商务指标得分相同，则以技术方案优劣顺序推荐</w:t>
      </w:r>
      <w:r>
        <w:rPr>
          <w:rFonts w:ascii="SimSun" w:hAnsi="SimSun" w:eastAsia="SimSun" w:cs="SimSun"/>
          <w:color w:val="000000"/>
          <w:sz w:val="21"/>
        </w:rPr>
        <w:t xml:space="preserve">。</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2"/>
        <w:gridCol w:w="1066"/>
        <w:gridCol w:w="6298"/>
        <w:gridCol w:w="907"/>
      </w:tblGrid>
      <w:tr>
        <w:trPr>
          <w:trHeight w:val="8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60" w:right="52"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194" w:right="186"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1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17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供应商自2023年1月1日以来承担过类似项目施工业绩，有一个得2分，最多得8分。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（同时提供中标通知书、合同协议书、竣工验收证明材料加盖电子公章，缺一不可；时间以竣工验收证明材料时间为准，内容以合同为准）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2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根据供应商提供的项目总体实施方案的清晰性、全面性、前瞻性、合理性、科学性、可行性及针对性进行评分：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（1）总体实施方案表述清晰完整、严谨、科学合理，针对性强、可操作性强的得5分；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（2）总体实施方案表述清晰完整但不够严谨、合理，具有针对性和可操作性的得 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（3）总体实施方案表述清晰但不够完整、无针对性，可操作性一般的得 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5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根据供应商提供的项目进度计划和各阶段进度的保证措施的思路的清晰性、准确性、完整性，可操作性、科学性、针对性进行评分：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（1）进度计划安排清晰完整、严谨、科学合理，针对性强、可操作性强的得 5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（2）进度计划安排清晰完整但不够严谨、合理，具有针对性和可操作性的得 3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（3）进度计划安排清晰但不够完整、无针对性，可操作性一般的得 1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1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根据供应商提供的针对本项目安全文明措施的规范性、全面性、合理性、针对性、具体性、可靠性、及操作规程科学性进行评分：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（1）安全文明措施表述清晰完整、严谨、科学合理，针对性强、可操作性强的得 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（2）安全文明措施表述清晰完整但不够严谨、合理，具有针对性和可操作性的得 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（3）安全文明措施表述清晰但不够完整、无针对性，可操作性一般的得 1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19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根据供应商提供的针对本项目质量保证体系及措施符合规范要求，各项措施方法可靠、详尽，有质量保证承诺等进行评分：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（1）质量保证体系及措施表述清晰完整、严谨、科学合理，针对性强、可操作性强的得 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（2）质量保证体系及措施表述清晰完整但不够严谨、合理，具有针对性和可操作性的得 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（3）质量保证体系及措施表述清晰但不够完整、无针对性，可操作性一般的得 1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根据供应商提供的售后服务方案进行综合评分，包括但不限于服务体系、服务承诺、服务内容、故障解决方案、响应速度、响应次数、响应时间、专业人员技术保障、售后技术装备及备品备件等内容。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（1）方案全面、科学合理、操作可行、具有针对性的得4分，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（2）方案考虑较全面、合理性，具有一定操作性的得 2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（3）方案考虑片面、无针对性的 1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根据供应商提供的针对本项目关键施工技术、工艺及工程项目实施的重点、难点和解决方案进行评分：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（1）关键方案表述清晰完整、严谨、科学合理，针对性强、可操作性强的得 5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（2）关键方案表述清晰完整但不够严谨、合理，具有针对性和可操作性的得 3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（3）关键方案表述清晰但不够完整、无针对性，可操作性一般的得 1 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6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vMerge w:val="restart"/>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具有建设类中级及以上工程师职称得2分，本项满分2分。（提供职称证书加盖电子公章、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注：项目负责人与技术负责人不可为同一人。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66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拟派项目技术负责人具有建设类中级及以上工程师得2分，本项满分2分。（提供证书加盖电子公章）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职称证书加盖电子公章、社保机构出具的近半年（2026年01月至2026年06月）中任意一月供应商为其缴纳的养老保险缴费证明（需明确缴费月份、个人姓名、缴费单位）材料并加盖社保中心章或社保中心参保缴费证明电子专用章及有效期内的劳动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注：项目负责人与技术负责人不可为同一人。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项目组成员（</w:t>
            </w:r>
            <w:r>
              <w:rPr>
                <w:rFonts w:ascii="SimSun" w:hAnsi="SimSun" w:eastAsia="SimSun" w:cs="SimSun"/>
                <w:color w:val="000000"/>
                <w:sz w:val="21"/>
              </w:rPr>
              <w:t xml:space="preserve">项目负责人、技术负责人除外）具有建设类中级及以上职称，每提供一名得2分，满分4分。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须配置齐全且有相应的证书，同一人员不可重复计分，提供有效证书加盖电子公章、社保机构出具的近半年（2026年01月至2026年06月）中任意一月供应商为其缴纳的养老保险缴费证明（需明确缴费月份、个人姓名、缴费单位）材料并加盖社保中心章或社保中心参保缴费证明电子专用章及有效期内的劳动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注：本项目项目负责人、技术负责人、项目组成员均不可兼任。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样品评审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（暗标评审，不得出现供应商名称，出现为无效投标）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（1）根据供应商提供的预制跑道样品材质进行综合评审（满分 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①样品表面纹理均匀，无气泡、分层、缺胶、裂纹；接缝平整；厚度均匀、颜色无色差、无杂色颗粒；无刺鼻气味得 2分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②样品表面纹理基本均匀，有略微气泡、分层、缺胶、裂纹；接缝基本平整；厚度基本均匀；颜色有略微色差、颗粒；略有刺鼻气味得 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③样品表面纹理不一；气泡、缺胶、裂纹、分层明显；接缝存在出入，厚度不一；颜色颜色差距大；气味刺激明显得0.5分；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（2）根据供应商提供的人造草坪材质进行综合评审 （满分 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①草丝直立性好，无倒伏、并丝、焦丝、破损、漏胶，背胶均匀不透底；色泽统一，无色差、油污得 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②草丝直立性较好，有略微焦丝、破损、漏胶，背胶基本均匀；色泽无明显色差、油污得1分；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③草丝出现气泡、分层、大面积色得0.5分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2" w:type="dxa"/>
            <w:vAlign w:val="center"/>
            <w:textDirection w:val="lrTb"/>
            <w:noWrap w:val="false"/>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供应商质保期在满足招标文件的基础每增加一年得1分，本项最高得3分（提供相关承诺书加盖公章）。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46"/>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3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3、小微企业的价格扣除</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3.1本项目对小微企业投标报价给予报价的5%价格扣除，用扣除后的价格参与评审。</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享受5%价格扣除，用扣除后的价格参与评审。 小企业（含小型、微型企业）应当同时符合以下条件：</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3.3小企业（含小型、微型企业）应当同时符合以下条件：</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4、监狱和戒毒企业的价格扣除</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本项目对监狱和戒毒企业（简称监狱企业），给予5%的价格扣除，用扣除后的价格参与评审。</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5、残疾人福利性单位的价格扣除</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本项目对残疾人福利性单位，给予5%的价格扣除，用扣除后的价格参与评审。</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118" w:right="0" w:firstLine="0"/>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6、监狱企业、残疾人福利单位属于小型、微型企业的，不重复享受政策。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7、采购标的对应的中小企业划分标准所属行业：建筑业。</w:t>
      </w:r>
      <w:r/>
    </w:p>
    <w:p>
      <w:pPr>
        <w:ind w:left="0" w:right="0" w:firstLine="0"/>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w:t>
      </w:r>
      <w:r>
        <w:rPr>
          <w:rFonts w:ascii="SimSun" w:hAnsi="SimSun" w:eastAsia="SimSun" w:cs="SimSun"/>
          <w:b/>
          <w:color w:val="000000"/>
          <w:sz w:val="36"/>
        </w:rPr>
        <w:t xml:space="preserve">采购项目需求</w:t>
      </w:r>
      <w:r/>
    </w:p>
    <w:p>
      <w:pPr>
        <w:pStyle w:val="717"/>
        <w:numPr>
          <w:ilvl w:val="0"/>
          <w:numId w:val="9"/>
        </w:numPr>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采购说明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1、本采购需求中的品牌、技术参数及其性能（配置）仅起参考作用，供应商可选用其他品牌替代，但这些替代的品牌要实质上相当于或优于参考品牌及其技术参数性能（配置）要求。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2、本采购需求中参考品牌及技术参数性能（配置）不明确或有误的，或供应商选用其他品牌替代的，请以详细、正确的品牌、技术参数性能（配置）同时填写技术响应表。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3、磋商时，如磋商小组发现本采购需求中技术参数及性能（配置）要求中含有某一品牌特有的参数或限制性要求的，有权认定不作为主要技术参数及性能（配置）要求处理。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4、本文打“★”为实质性响应条款，不满足做无效投标处理。其他非“★”技术条款，不能负偏离，响应人需在响应文件中提供偏离表。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5、如无特别说明，每个项目只允许有一个报价，任何有选择的报价将不予接受。</w:t>
      </w:r>
      <w:r/>
    </w:p>
    <w:p>
      <w:pPr>
        <w:ind w:left="0" w:right="0" w:firstLine="42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二、工程量清单编制范围：</w:t>
      </w:r>
      <w:r>
        <w:rPr>
          <w:rFonts w:ascii="SimSun" w:hAnsi="SimSun" w:eastAsia="SimSun" w:cs="SimSun"/>
          <w:color w:val="000000"/>
          <w:sz w:val="21"/>
        </w:rPr>
        <w:t xml:space="preserve">主要包含塑胶跑道翻新，排水沟盖板更换等，具体内容详见工程量清单。</w:t>
      </w:r>
      <w:r/>
    </w:p>
    <w:p>
      <w:pPr>
        <w:ind w:left="0" w:right="0" w:firstLine="474"/>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三、工程量清单编制依据：</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1、采购人提供的做法及图纸：</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2、中华人民共和国住房城乡建设部《建设工程工程量清单计价标准》GB/T50500-2024、《房屋建筑与装饰工程工程量计算标准》GB/T50854-2024、《通用安装工程工程量计算标准》GB/50856-2024等；</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江苏省建筑与装饰工程消耗量》（2026版）、《江苏省通用安装工程》（2026年）、《江苏省市政工程》（2026）、《江苏省房屋修缮工程计价表》(2009)、《江苏省古建筑修缮工程消耗量定额》（2024）、《江苏省建设工程费用参考》（2026）；</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4、拟定的采购文件；</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5、相关标准图集以及现行有关清单编制文件；</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6、省住房城乡建设厅关于明确材料预算价格中含税价和除税价计算方式的通知苏建函价〔2025〕2号。 </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7、最高投标限价人工费标准执行《江苏省市政工程》中人工参考价，材料价格执行2026年05月份南京市建设工程材料信息价，缺项部分材料价格按市场询价计入；投标报价由 供应商自行考虑计入。</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8、本项目安全生产费遵照江苏省建设工程费用参考文件计取，市政工程1.9%、土建工程 3.8%、安装工程 2.9%，此费率为下限值，采购人供应商双方可根据项目实际确定费率，供应商报价时不得低于文件要求的下限费率，低于为无效响应。</w:t>
      </w:r>
      <w:r/>
    </w:p>
    <w:p>
      <w:pPr>
        <w:ind w:left="0" w:right="0" w:firstLine="474"/>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四、编制说明：</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1、工程质量要求：合格。</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2、专业工程暂估价：无暂估价，以工程量清单为准。</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3、本工程暂列金额：以工程量清单为准。</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4、本工程暂定材：无暂定材，详见工程量清单，以工程量清单为准。</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5、本工程甲供材：无甲供材，详见工程量清单，以工程量清单为准。</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7、措施费项目清单中，内容仅供参考， 供应商可根据工程实际与施工组织设计进行增补，但不得更改已列措施项目，结算时除工程变更引起施工方案改变外，供应商不得以招标工程措施项目清单缺项为由要求新增措施项目。</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所报工程量清单综合单价应包括完成采购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w:t>
      </w:r>
      <w:r>
        <w:rPr>
          <w:rFonts w:ascii="SimSun" w:hAnsi="SimSun" w:eastAsia="SimSun" w:cs="SimSun"/>
          <w:color w:val="000000"/>
          <w:sz w:val="21"/>
        </w:rPr>
        <w:t xml:space="preserve">他应当计取的费用。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9、本工程量清单作为 供应商报价的基础之一， 供应商应结合采购文件、项目现状、取费文件、技术规范等确定投标报价。</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本工程招标控制价（含综合单价）为采购人根据相关规定结合市场价编制， 供应商未在约定时间内提出异议，视为对招标控制价（含综合单价）完全理解并接受，中标后不作调整。</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供应商必须充分勘察现场实际情况，自行考虑材料运输及堆场、机械进退场所必须的临时道路、场地硬化费用。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12、本项目对于材料的运输、施工时间的限制、施工场地和临设场地的影响等，请 供应商在报价中充分考虑，结算时不得增加与此有关的费用。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13、对于江苏省、南京市相关部门对工程施工要求所发的文件规定，特别是对于工程围挡、扬尘控制等的要求，请 供应商在报价中充分考虑，结算时不得增加与此有关的费用。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14、请供应商自行查勘现场，对于现场是否满足所有临时设施、施工场地的搭设要求，请 供应商在报价中充分考虑本项目施工的特殊性，结算时不得增加与此有关的费用。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15、本工程施工外部协调工作由供应商负责， 供应商应充分考虑周边地域情况，并将此费用考虑在投标报价中，结算时发包人不再为此增加费用。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供应商在填写工程量清单的每一项综合单价和合价时均应结合采购文件、技术规范、设计施工图纸和现场勘察情况，谨慎仔细地进行报价。清单特征中未描述的，但计价规范中注明的工程内容，供应商在报价时应充分考虑“工程内容”而产生的费用，列入相应投标报价中，实施过程中费用不调整。</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 供应商根据现场实际施工场地考察的情况并结合各自条件情况自行计入报价。</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18、本工程中施工的实际损耗，自行综合考虑在本次报价中，不另增加费用。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19、供应商须自行考虑材料的采购、保管费，中标后不再调整。</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20、供应商应充分了解本项目性质、学校管理制度及地理位置，所需人员、机械、材料的超常规运费等增加费用，应在综合单价中考虑。 供应商应充分考虑保证机械正常运转的措施费用，含场地硬化(回填道碴、钢板等)措施等，结算时不另外增加费用。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供应商需结合现场情况在投标报价中综合考虑内、外部道路运输的保护、安全围护、清理以及交通管制产生的措施及降效等费用，结算时不因运输问题增加任何费用。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22、供应商应充分考虑本工程的特殊性及管理制度，施工期应满足校方管理要求。包括但不限于配合校方活动、学生作息时间、校方巡视检查等临时停工，投标时综合考虑，结算时不增加相关费用。</w:t>
      </w:r>
      <w:r/>
    </w:p>
    <w:p>
      <w:pPr>
        <w:ind w:left="0" w:right="0" w:firstLine="474"/>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五、工程量清单编制中需说明的其他事项：</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1.施工工程需注意成品保护，避免损坏其他构件，应考虑对现状构件保护的费用；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2.建筑垃圾弃置含渣土费、消纳费，弃置距离自行考虑，实际弃置场地与运距由供应商自行考虑，结算不作调整；</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3.本工程为改造项目，供应商需仔细勘察现场结合工程量清单，自行考虑施工措施方案并综合考虑在投标报价中，结算时不得增加与此有关的费用。</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4、施工过程中不能污染、破坏校园路面。如有污染、破坏要及时恢复。在投标报价中必须予以考虑，结算时不得调整。</w:t>
      </w:r>
      <w:r/>
    </w:p>
    <w:p>
      <w:pPr>
        <w:pStyle w:val="717"/>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w:t>
      </w:r>
      <w:r>
        <w:rPr>
          <w:rFonts w:ascii="SimSun" w:hAnsi="SimSun" w:eastAsia="SimSun" w:cs="SimSun"/>
          <w:b/>
          <w:color w:val="000000"/>
          <w:sz w:val="21"/>
        </w:rPr>
        <w:t xml:space="preserve">推荐主材品牌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（供应商负责采购的主要材料设备，供应商响应时需明确所选品牌，格式自拟，</w:t>
      </w:r>
      <w:r>
        <w:rPr>
          <w:rFonts w:ascii="SimSun" w:hAnsi="SimSun" w:eastAsia="SimSun" w:cs="SimSun"/>
          <w:color w:val="000000"/>
          <w:sz w:val="21"/>
        </w:rPr>
        <w:t xml:space="preserve">本项目推荐主材品牌，仅供参考，如供应商选择之外的，提供对应的佐证证明材料证明满足其要求即可。）</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1393"/>
        <w:gridCol w:w="1953"/>
        <w:gridCol w:w="5404"/>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参考品牌（同等及以上档次）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4" w:type="dxa"/>
            <w:vAlign w:val="center"/>
            <w:textDirection w:val="lrTb"/>
            <w:noWrap/>
          </w:tcPr>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环保型预制型橡胶跑道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江苏长诺、南京高健、湖南盛亚</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4"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厚度13mm，大小：50cm*50cm；响应时提供样品评审，中标后合同签订前提供样品至采购人处。</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人造草坪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3"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江苏共创、北京火炬、广东利蒙塔</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4" w:type="dxa"/>
            <w:vAlign w:val="center"/>
            <w:textDirection w:val="lrTb"/>
            <w:noWrap/>
          </w:tcPr>
          <w:p>
            <w:pPr>
              <w:ind w:left="0"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高度50mm,大小：50cm*50cm；响应时提供样品评审，中标后合同签订前提供样品至采购人处。</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七、样品递交要求</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（1）样品提交（或邮寄送达）时间：2026年8月3日09:30起至17:30止，在此期间样品由供应商自行保管。采购人及代理机构不接收在样品递交截止时间后递交的样品。</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（2）样品递交地点：南京市建邺区云龙山路89号龙湖天街1栋29楼。联系人：曹工（025-58066836、025-58875827-0）</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递交方式：①如选择现场递交：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选择邮寄送达：请自行承担邮寄在途时间、样品运输破损、丢失责任、邮寄送达滞后等导致样品不满足要求或者无法接受等，均由其供应商负责，采购人及代理机构不对其负责。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left="0" w:right="0" w:firstLine="47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品的退还。未中标样品在在招标投标活动结束后经采购代理机构通知后由供应商自行带走（费用自理），如邮寄退回（费用自理）采购代理机构不对邮寄样品的完整性负责，各供应商应在接到退还通知后，1天内将样品搬离样品递交现场，超过3天未退还的，由采购人或采购代理机构处置。成交供应商的样品将封存，并按照采购人要求负责运送到指定地点，后期作为项目实施和验收的依据。</w:t>
      </w:r>
      <w:r/>
    </w:p>
    <w:p>
      <w:pPr>
        <w:pStyle w:val="717"/>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w:t>
      </w:r>
      <w:r>
        <w:rPr>
          <w:rFonts w:ascii="SimSun" w:hAnsi="SimSun" w:eastAsia="SimSun" w:cs="SimSun"/>
          <w:b/>
          <w:color w:val="000000"/>
          <w:sz w:val="21"/>
        </w:rPr>
        <w:t xml:space="preserve">田径场塑胶跑道和人造草坪技术参数要求:（除明确需要提供的佐证证明材料以外，其他内容以技术偏离表中逐条响应，未响应视为无效投标）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所有施工均严格遵循国家体育场地建设相关标准（GB/T 14833等），具体建设内容如下：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1、草坪翻新内容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原草坪拆除：对场地内所有老化的人造草坪及杂草进行彻底清理拆除、清理、清运、处置，采用专业机械剥离草坪表层，确保拆除干净，无残留人造草坪及其它杂物；拆除后的草坪废料进行集中收集、分类处理，优先采用环保回收方式，避免环境污染；拆除完成后，对场地表层进行初步清理，为后续沥青基础修补做好准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沥青基础平整：对拆除草坪后的沥青基础进行全面排查，标注破损、坑洼、裂缝等问题区域；对裂缝区域，采用专业填补材料进行灌注、压实，确保裂缝填补牢固，无松动、空鼓现象；对坑洼、破损区域，进行切割、清理，铺设新的沥青混合料，采用专业机械碾压平整，确保修补后区域与原有沥青基础衔接顺畅、高度一致；对整个沥青基础进行全面平整、压实处理，确保场地平整度误差符合国家足球场地标准（平整度≤3mm/3m），表面无积水死角、无凸起凹陷，提升基础承载能力和稳定性，为草坪铺设奠定坚实基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草坪铺设：选用优质人造草坪（草高50mm，填充石英砂+橡胶颗粒，耐踩踏次数≥50万次，符合高校体育场地环保标准，无异味、无污染），按照标准11人制足球场规格进行规范铺设；铺设前对沥青基础进行除尘、防潮处理，确保基础表面干燥、整洁；草坪铺设过程中，严格控制铺设张力，确保草坪平整、无褶皱，草坪接缝处采用专业粘接剂粘接牢固，无缝隙、无翘边；铺设完成后，填充石英砂和橡胶颗粒，采用专业机械梳理、碾压，确保石英砂和橡胶颗粒均匀填充，与草丝贴合紧密，提升场地弹性和舒适性；最后，重新绘制标准足球场地标线、球门区、罚球</w:t>
      </w:r>
      <w:r>
        <w:rPr>
          <w:rFonts w:ascii="SimSun" w:hAnsi="SimSun" w:eastAsia="SimSun" w:cs="SimSun"/>
          <w:color w:val="000000"/>
          <w:sz w:val="21"/>
        </w:rPr>
        <w:t xml:space="preserve">区等标识，确保标线清晰、规范，符合赛事标准。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2、跑道维修内容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原塑胶跑道拆除：对场地内所有老化、开裂、起砂、脱层的塑胶跑道进行彻底清理拆除、清理、清运、处置，采用专业机械剥离塑胶表层及底层粘接层，确保拆除干净，无残留塑胶、胶层及杂物；拆除后的塑胶废料、杂物进行集中收集、分类处理，优先采用环保回收方式，避免环境污染；拆除完成后，对场地沥青基础表层进行初步清理、除尘，为后续沥青基础修补做好准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（2）沥青基础平整：对拆除塑胶后的沥青基础进行全面排查，</w:t>
      </w:r>
      <w:r>
        <w:rPr>
          <w:rFonts w:ascii="Calibri" w:hAnsi="Calibri" w:eastAsia="Calibri" w:cs="Calibri"/>
          <w:color w:val="000000"/>
          <w:sz w:val="22"/>
        </w:rPr>
        <w:t xml:space="preserve">整体采用</w:t>
      </w:r>
      <w:r>
        <w:rPr>
          <w:rFonts w:ascii="SimSun" w:hAnsi="SimSun" w:eastAsia="SimSun" w:cs="SimSun"/>
          <w:color w:val="000000"/>
          <w:sz w:val="22"/>
        </w:rPr>
        <w:t xml:space="preserve">4cm</w:t>
      </w:r>
      <w:r>
        <w:rPr>
          <w:rFonts w:ascii="Calibri" w:hAnsi="Calibri" w:eastAsia="Calibri" w:cs="Calibri"/>
          <w:color w:val="000000"/>
          <w:sz w:val="22"/>
        </w:rPr>
        <w:t xml:space="preserve">沥青混凝土</w:t>
      </w:r>
      <w:r>
        <w:rPr>
          <w:rFonts w:ascii="Times New Roman" w:hAnsi="Times New Roman" w:eastAsia="Times New Roman" w:cs="Times New Roman"/>
          <w:color w:val="000000"/>
          <w:sz w:val="20"/>
        </w:rPr>
        <w:t xml:space="preserve">摊铺</w:t>
      </w:r>
      <w:r>
        <w:rPr>
          <w:rFonts w:ascii="Calibri" w:hAnsi="Calibri" w:eastAsia="Calibri" w:cs="Calibri"/>
          <w:color w:val="000000"/>
          <w:sz w:val="22"/>
        </w:rPr>
        <w:t xml:space="preserve">处理</w:t>
      </w:r>
      <w:r>
        <w:rPr>
          <w:rFonts w:ascii="SimSun" w:hAnsi="SimSun" w:eastAsia="SimSun" w:cs="SimSun"/>
          <w:color w:val="000000"/>
          <w:sz w:val="21"/>
        </w:rPr>
        <w:t xml:space="preserve">铺设新的沥青混合料，采用专业机械对整个沥青基础进行全面平整、压实处理，确保场地平整度误差符合国家田径跑道标准（平整度≤3mm/3m），表面无积水死角、无凸起凹陷、无起砂现象，提升基础承载能力和稳定性，为新塑胶跑道铺设奠定坚实基础；铺设完成后，对基础进行养护，确保基础强度达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新塑胶跑道铺设：选用优质环保EPDM一体成型预制型橡胶（厚度不小于13mm，符合高校体育场地环保标准，无异味、无污染，弹性适中，防滑性能优良，耐老化、耐踩踏），按照标准400米环形跑道规格（8条分道，道宽1.22米）进行规范铺设；铺设前对沥青基础进行彻底除尘、防潮处理，确保基础表面干燥、整洁、无杂物；预制型塑胶卷材采用工厂一体化一次成型工艺，卷材内部弹性层与表层防滑耐磨结构预制成型，现场仅单层整体铺设，无需现场分层施工。基层铺垫找平工序精准管控铺设厚度及全场平整度，使用专业碾压设备反复滚压夯实，消除基</w:t>
      </w:r>
      <w:r>
        <w:rPr>
          <w:rFonts w:ascii="SimSun" w:hAnsi="SimSun" w:eastAsia="SimSun" w:cs="SimSun"/>
          <w:color w:val="000000"/>
          <w:sz w:val="21"/>
        </w:rPr>
        <w:t xml:space="preserve">底空隙，确保场地回弹、弹性性能符合国标要求；卷材开卷铺装作业时均匀释放卷材张力，杜绝过度拉伸或松弛堆积，铺展完成后板面整体平整统一，不存在褶皱、气泡、空鼓凸起等外观质量问题；卷材长短向拼接位置清理洁净，均匀涂刷卷材专用粘接胶，贴合后用压辊充分滚压密实，粘接成型后接缝无分离缝隙、卷材边角无翘曲起边，拼接线条平整顺滑，无明显拼接痕迹。铺设完成后，重新绘制标准田径跑道分道线、起点线、终点线、弯道标志线及各类田径项目标识（如接力区、投掷区、跳高区标识等），确保标线清晰、规范、耐磨，符合田径赛事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3、草坪安装质量要求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彻底清除草坪区域内的杂草、枯萎植被、石块、建筑垃圾及表层板结土壤，清理深度控制在5-8cm，确保场地无杂物、无尖锐凸起物，避免刺穿人造草坪底部；基础找平压实，对场地进行深耕（深度20-30cm），随后分层回填级配砂石（粒径2-5cm），分层厚度10cm，每回填一层采用压路机压实，压实度不低于95%，确保基础坚实、无沉降隐患；按照“中心高、四周低”的原则，调整基础坡度，坡度控制在2‰-3‰，确保排水顺畅，无积水死角；基础打磨修整，采用打磨机对基础表面进行全面打磨，去除尖锐棱角、凸起部位，确保基础表面平整</w:t>
      </w:r>
      <w:r>
        <w:rPr>
          <w:rFonts w:ascii="SimSun" w:hAnsi="SimSun" w:eastAsia="SimSun" w:cs="SimSun"/>
          <w:color w:val="000000"/>
          <w:sz w:val="21"/>
        </w:rPr>
        <w:t xml:space="preserve">度误差不超过3mm/㎡，表面无裂缝、无坑洼。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（2）选用优质PE材质人造草坪（物理及化学性能应满足GB 36246-2018《中小学合成材料面层运动场地》），草高50mm，密度10500簇/㎡，贴合高校足球教学、训练及日常使用需求，具体工艺如下：铺设厚度10mm，颜色绿色，XPE材质，防滑A级的缓冲垫（密度≥1.2g/cm³，回弹率≥45%），缓冲垫铺设平整、无褶皱、无破损，相邻缓冲垫搭接宽度5-10cm，搭接处用专用胶水粘接牢固，防止移位；将人造草坪按场地尺寸裁剪，裁剪边缘整齐、无毛刺，草坪铺设方向一致，接缝处可采用人造草坪专用环保聚氨酯胶水+无纺接</w:t>
      </w:r>
      <w:r>
        <w:rPr>
          <w:rFonts w:ascii="SimSun" w:hAnsi="SimSun" w:eastAsia="SimSun" w:cs="SimSun"/>
          <w:color w:val="000000"/>
          <w:sz w:val="21"/>
        </w:rPr>
        <w:t xml:space="preserve">缝布。各接缝处搭接应均匀、对齐、无高低落差，接缝间隙应不大于草丝的行距或间距。接缝处应位于连接带中央。连接带宽度应不小于20cm，中圈和禁区弧顶以及各处标志线连接带宽度应不小于30 cm；采用人造草坪专用环保胶水（粘结强度≥1.5MPa），在搭接处均匀涂刷胶水，涂刷厚度0.8-1.0mm，涂刷面积全覆盖搭接区域，晾置5-10分钟后，将草坪压实贴合，确保粘接牢固、无气泡、无松动，粘接后静置24小时固化。选用干燥、洁净的石英砂（高透水性，透气性，防霉，20-40目颗粒均匀圆润无棱角），采用充砂机均匀填充，填充量</w:t>
      </w:r>
      <w:r>
        <w:rPr>
          <w:rFonts w:ascii="SimSun" w:hAnsi="SimSun" w:eastAsia="SimSun" w:cs="SimSun"/>
          <w:color w:val="000000"/>
          <w:sz w:val="21"/>
        </w:rPr>
        <w:t xml:space="preserve">为28-30kg/m²，填充后用梳理机梳理草坪，同时，填充草坪专用环保颗粒（规格1.5-3mm），填充量≥4-6kg/m²。确保石英砂及环保颗粒，均匀分布在草丝根部，草丝直立，无倒伏确保草坪无褶皱、无松动、无脱胶，草丝直立整齐，平整度误差不超过2mm/㎡，符合人造草坪场地使用规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基础找坡+地下盲管+周边排水沟”三重排水工艺，彻底解决积水问题。在基础处理阶段，严格控制2‰-3‰的坡度，确保地表雨水可快速通过草坪缝隙渗透至基础，流向周边排水沟，避免地表积水；在基础下方20cm处铺设排水盲管，盲管选用HDPE打孔盲管，管径110mm，铺设间距1.5-2m，呈网格状分布，盲管周边包裹土工布，防止砂石堵塞孔道，盲管铺设需平整、无弯折，确保排水顺畅；在盲管下方铺设10-15cm厚的碎石垫层（碎石粒径2-4cm），提升排水通透性，碎石垫层铺设平整、压实，压实度不低于90%；盲管接口采</w:t>
      </w:r>
      <w:r>
        <w:rPr>
          <w:rFonts w:ascii="SimSun" w:hAnsi="SimSun" w:eastAsia="SimSun" w:cs="SimSun"/>
          <w:color w:val="000000"/>
          <w:sz w:val="21"/>
        </w:rPr>
        <w:t xml:space="preserve">用承插式连接，接口处用密封胶密封，无渗漏，盲管末端接入田径场周边主排水沟，确保排水畅通；排水系统铺设完成后，进行人工浇水测试，模拟暴雨场景，确保雨水在30分钟内排净，无积水残留，测试合格后方可进行后续草坪铺设工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表2  人造草坪材料检测标准</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1"/>
        <w:gridCol w:w="7733"/>
      </w:tblGrid>
      <w:tr>
        <w:trPr>
          <w:trHeight w:val="37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人造草坪</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草丝形状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挤出型单丝</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草丝颜色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翠绿/柠檬黄，单色或双色斑马铺装</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草丝磅重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≥PE 10000dtex</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50±1mm</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 inch</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织距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16.7针/10CM</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10500±100针/平方米</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双层加强型底布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环保型背胶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直线型走针</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报告中需包含各性能指标检测具体方法。（提供承诺书原件，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4、跑道安装质量要求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Calibri" w:hAnsi="Calibri" w:eastAsia="Calibri" w:cs="Calibri"/>
          <w:color w:val="000000"/>
          <w:sz w:val="22"/>
        </w:rPr>
        <w:t xml:space="preserve">面层拆除，整体彻底铲除场地原有塑胶面层，所有废弃材料统一清运出场、清理、处置；基层铣刨，对现状基层开展 </w:t>
      </w:r>
      <w:r>
        <w:rPr>
          <w:rFonts w:ascii="Times New Roman" w:hAnsi="Times New Roman" w:eastAsia="Times New Roman" w:cs="Times New Roman"/>
          <w:color w:val="000000"/>
          <w:sz w:val="22"/>
        </w:rPr>
        <w:t xml:space="preserve">4cm </w:t>
      </w:r>
      <w:r>
        <w:rPr>
          <w:rFonts w:ascii="Calibri" w:hAnsi="Calibri" w:eastAsia="Calibri" w:cs="Calibri"/>
          <w:color w:val="000000"/>
          <w:sz w:val="22"/>
        </w:rPr>
        <w:t xml:space="preserve">深度铣刨施工，铣刨完成后对基面全面清扫、高压吹扫，保证基面无浮灰、松散骨料、油污及各类杂物，基面保持洁净干燥；沥青摊铺，摊铺 </w:t>
      </w:r>
      <w:r>
        <w:rPr>
          <w:rFonts w:ascii="Times New Roman" w:hAnsi="Times New Roman" w:eastAsia="Times New Roman" w:cs="Times New Roman"/>
          <w:color w:val="000000"/>
          <w:sz w:val="22"/>
        </w:rPr>
        <w:t xml:space="preserve">4cm </w:t>
      </w:r>
      <w:r>
        <w:rPr>
          <w:rFonts w:ascii="Calibri" w:hAnsi="Calibri" w:eastAsia="Calibri" w:cs="Calibri"/>
          <w:color w:val="000000"/>
          <w:sz w:val="22"/>
        </w:rPr>
        <w:t xml:space="preserve">厚 </w:t>
      </w:r>
      <w:r>
        <w:rPr>
          <w:rFonts w:ascii="Times New Roman" w:hAnsi="Times New Roman" w:eastAsia="Times New Roman" w:cs="Times New Roman"/>
          <w:color w:val="000000"/>
          <w:sz w:val="22"/>
        </w:rPr>
        <w:t xml:space="preserve">AC-10 </w:t>
      </w:r>
      <w:r>
        <w:rPr>
          <w:rFonts w:ascii="Calibri" w:hAnsi="Calibri" w:eastAsia="Calibri" w:cs="Calibri"/>
          <w:color w:val="000000"/>
          <w:sz w:val="22"/>
        </w:rPr>
        <w:t xml:space="preserve">改性沥青混合料作为全新基础层。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（2）采用EPDM一体成型预制型塑胶跑道，符合GB 36246-2018《中小学合成材料面层运动场地》、2)GB/T14833-2020《合成材料运动场地面层》等标准要求。厚度≥13mmm，跳高起跳区助跑道最后3m、三级跳远助跑道最后13m、跳高助跑道最后8m、铅球掷起掷区域厚度均应≥20mm。EPDM预制型橡胶跑道卷材面层有防滑耐磨纹路，底层有凹凸立体弹性层。为增强场地使用年限，EPDM预制型橡胶跑道卷材为同材质一体成型形态，无分层结构，通体材质为同一颜色，产品厚度≥13mm，产品外观及横切面无杂质，工厂</w:t>
      </w:r>
      <w:r>
        <w:rPr>
          <w:rFonts w:ascii="SimSun" w:hAnsi="SimSun" w:eastAsia="SimSun" w:cs="SimSun"/>
          <w:color w:val="000000"/>
          <w:sz w:val="21"/>
        </w:rPr>
        <w:t xml:space="preserve">机械精密延压成预制型卷材，整体性强、无颗粒脱落，产品不得在正常弯折的情况下出现开裂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的问题，现场统一粘接铺装。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EPDM预制型橡胶跑道面层外观应颜色均匀一致，无明显色差；跑道、助跑道和两个半圆区的合成面层材料和颜色一致；面层固化均匀，不出现起鼓、气泡、裂缝、分层、断裂或台阶式凹凸；点位线清晰、不反光且无明显虚边；表面颗粒均匀，粘接牢固。面层表面应平坦，任何位置和方向上的2m直尺下不应有大于3mm的间隙。不应有大于1mm阶梯状起伏。环形跑道的纵向坡度(跑进方向)不大于0.1%，横向坡度(由外沿向内沿，垂直于跑进方向)不大于1%；跳远、三级跳远横向坡度不大于1.0%，最后40m，纵向坡度不大于0.1%，扇形半圆区域</w:t>
      </w:r>
      <w:r>
        <w:rPr>
          <w:rFonts w:ascii="SimSun" w:hAnsi="SimSun" w:eastAsia="SimSun" w:cs="SimSun"/>
          <w:color w:val="000000"/>
          <w:sz w:val="21"/>
        </w:rPr>
        <w:t xml:space="preserve">内跳高助跑道最后15m的纵向坡度不大于0.4%；铅球投掷圈保持水平，铅球落地区沿投掷方向坡度不大于0.1%。面层粘接不准许出现空鼓，接头平顺无缝隙且不出现台阶式凹凸，粘接胶采用专用粘接材料，无有害物质释放。符合GB/T 22517.6-2020《体育场地使用要求及检测验方法第6部分：田径场地》要求。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表3  EPDM一体成型预制型橡胶跑道检测标准1</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6"/>
        <w:gridCol w:w="7569"/>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EPDM一体成型预制型橡胶跑道物理性能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EPDM（三元乙丙橡胶）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≥13mm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宽度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1220mm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冲击吸收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垂直变形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0.6~3.0mm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抗滑值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≥47（BPN，20℃）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拉伸强度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≥0.5MPa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拉断伸长率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阻燃性能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无机填料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塑胶面层成品中有害物质限量、气味满足以下参数。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表3  中小学合成材料面层运动场地检测标准2</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2"/>
        <w:gridCol w:w="531"/>
        <w:gridCol w:w="7063"/>
        <w:gridCol w:w="1098"/>
      </w:tblGrid>
      <w:tr>
        <w:trPr>
          <w:trHeight w:val="9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29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有害物质含量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种邻苯二甲酸酯类   （DBP、BBP、DEHP）总和/（g/kg）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种邻苯二甲酸酯类（DNOP、DINP、DIDP）总和/（g/kg）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122"/>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种多环芳烃总和/(mg/kg)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90"/>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苯并［a］芘/（mg/kg）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短链氯化石蜡（C10-C13）/（g/kg）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40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4,4′－二氨基一 3,3′－二氯二苯甲烷（MOCA）/（g/kg）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游离甲苯二异氰酸酯和游离六亚甲基二异氰酸酯总和/（g/kg）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w:t>
            </w:r>
            <w:r/>
          </w:p>
        </w:tc>
      </w:tr>
      <w:tr>
        <w:trPr>
          <w:trHeight w:val="1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游离二苯基甲烷二异氰酸酯（MDI）/（g/kg）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可溶性铅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4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可溶性镉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可溶性铬/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可溶性汞/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9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有害物质释放量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总挥发性有机化合物（TVOC）/（mg/（m2•h））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甲醛/（mg/（m2•h））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苯/（mg/（m2•h））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甲苯、二甲苯和乙苯总和/（mg/（m2•h））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二硫化碳/（mg/（m2•h））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气味等级/级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塑胶面层非固体原材料中有害物质限量要求满足以下参数。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表4  中小学合成材料面层运动场地检测标准3</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5"/>
        <w:gridCol w:w="7055"/>
        <w:gridCol w:w="119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标准要求</w:t>
            </w:r>
            <w:r/>
          </w:p>
        </w:tc>
      </w:tr>
      <w:tr>
        <w:trPr>
          <w:trHeight w:val="1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3种邻苯二甲酸酯类（DBP、BBP、DEHP）总和/（g/kg）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3种邻苯二甲酸酯类（DNOP、DINP、DIDP）总和/（g/kg）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短链氯化石蜡（C10-C13）/（g/kg）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游离甲苯二异氰酸酯和游离六亚甲基二异氰酸酯总和/（g/kg）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挥发性有机化合物/（g/L）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游离甲醛/（g/kg）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苯/（g/kg）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甲苯、二甲苯和乙苯总和/（g/kg）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可溶性铅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可溶性镉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可溶性铬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可溶性汞 /(mg/kg)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w:t>
      </w:r>
      <w:r>
        <w:rPr>
          <w:rFonts w:ascii="SimSun" w:hAnsi="SimSun" w:eastAsia="SimSun" w:cs="SimSun"/>
          <w:b/>
          <w:color w:val="000000"/>
          <w:sz w:val="21"/>
        </w:rPr>
        <w:t xml:space="preserve">、其他要求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1、质保期24小时内响应，48小时完成维保。</w:t>
      </w:r>
      <w:r/>
    </w:p>
    <w:p>
      <w:pPr>
        <w:pStyle w:val="717"/>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十</w:t>
      </w:r>
      <w:r>
        <w:rPr>
          <w:rFonts w:ascii="SimSun" w:hAnsi="SimSun" w:eastAsia="SimSun" w:cs="SimSun"/>
          <w:b/>
          <w:color w:val="000000"/>
          <w:sz w:val="21"/>
        </w:rPr>
        <w:t xml:space="preserve">、付款方式</w:t>
      </w:r>
      <w:r/>
    </w:p>
    <w:p>
      <w:pPr>
        <w:pStyle w:val="717"/>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p>
    <w:p>
      <w:pPr>
        <w:pStyle w:val="717"/>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十一、</w:t>
      </w:r>
      <w:r>
        <w:rPr>
          <w:rFonts w:ascii="SimSun" w:hAnsi="SimSun" w:eastAsia="SimSun" w:cs="SimSun"/>
          <w:b/>
          <w:color w:val="000000"/>
          <w:sz w:val="21"/>
        </w:rPr>
        <w:t xml:space="preserve">质保期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本项目基础质保期为：60个月</w:t>
      </w:r>
      <w:r/>
    </w:p>
    <w:p>
      <w:pPr>
        <w:pStyle w:val="717"/>
        <w:ind w:left="1558"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十二、</w:t>
      </w:r>
      <w:r>
        <w:rPr>
          <w:rFonts w:ascii="SimSun" w:hAnsi="SimSun" w:eastAsia="SimSun" w:cs="SimSun"/>
          <w:b/>
          <w:color w:val="000000"/>
          <w:sz w:val="21"/>
        </w:rPr>
        <w:t xml:space="preserve">工程量清单：</w:t>
      </w:r>
      <w:r/>
    </w:p>
    <w:p>
      <w:pPr>
        <w:pStyle w:val="717"/>
        <w:ind w:left="1558"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详见百度网盘：</w:t>
      </w:r>
      <w:r>
        <w:rPr>
          <w:rFonts w:ascii="SimSun" w:hAnsi="SimSun" w:eastAsia="SimSun" w:cs="SimSun"/>
          <w:color w:val="000000"/>
          <w:sz w:val="21"/>
        </w:rPr>
        <w:t xml:space="preserve"> https://pan.baidu.com/s/1Sfi1sLaUYGEmKTGkVlLp4A?pwd=Ti8k</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5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u w:val="none"/>
        </w:rPr>
        <w:t xml:space="preserve">江苏海事职业技术学院工程合同</w:t>
      </w:r>
      <w:r/>
    </w:p>
    <w:p>
      <w:pPr>
        <w:ind w:left="0" w:right="0" w:firstLine="392"/>
        <w:spacing w:before="23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甲方（发包方）：</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江苏海事职业技术学院</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乙方（承包方）：</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            </w:t>
      </w:r>
      <w:r/>
    </w:p>
    <w:p>
      <w:pPr>
        <w:ind w:left="0" w:right="0" w:firstLine="392"/>
        <w:spacing w:before="142"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合同编号：</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        </w:t>
      </w:r>
      <w:r/>
    </w:p>
    <w:p>
      <w:pPr>
        <w:ind w:left="0" w:right="0" w:firstLine="392"/>
        <w:spacing w:before="142"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签订时间：</w:t>
      </w:r>
      <w:r/>
    </w:p>
    <w:p>
      <w:pPr>
        <w:ind w:left="0" w:right="0" w:firstLine="392"/>
        <w:spacing w:before="142"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依照《中华人民共和国民法典》、《中华人民共和国建筑法》及其他有关法律、行政法规，遵循平等、自愿、公平和诚实信用的原则，双方就</w:t>
      </w:r>
      <w:r>
        <w:rPr>
          <w:rFonts w:ascii="Calibri" w:hAnsi="Calibri" w:eastAsia="Calibri" w:cs="Calibri"/>
          <w:color w:val="000000"/>
          <w:spacing w:val="-2"/>
          <w:sz w:val="20"/>
          <w:u w:val="single"/>
        </w:rPr>
        <w:t xml:space="preserve">                 </w:t>
      </w:r>
      <w:r>
        <w:rPr>
          <w:rFonts w:ascii="Calibri" w:hAnsi="Calibri" w:eastAsia="Calibri" w:cs="Calibri"/>
          <w:color w:val="000000"/>
          <w:spacing w:val="-2"/>
          <w:sz w:val="20"/>
        </w:rPr>
        <w:t xml:space="preserve">项目（项目编号：</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         ）施工事项协商一致，订立本协议。</w:t>
      </w:r>
      <w:r/>
    </w:p>
    <w:p>
      <w:pPr>
        <w:ind w:left="0"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、工程概况</w:t>
      </w:r>
      <w:r/>
    </w:p>
    <w:p>
      <w:pPr>
        <w:ind w:left="0" w:right="0" w:firstLine="392"/>
        <w:spacing w:before="20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 </w:t>
      </w:r>
      <w:r>
        <w:rPr>
          <w:rFonts w:ascii="Calibri" w:hAnsi="Calibri" w:eastAsia="Calibri" w:cs="Calibri"/>
          <w:color w:val="000000"/>
          <w:spacing w:val="-2"/>
          <w:sz w:val="20"/>
        </w:rPr>
        <w:t xml:space="preserve">工程名称：</w:t>
      </w:r>
      <w:r>
        <w:rPr>
          <w:rFonts w:ascii="Calibri" w:hAnsi="Calibri" w:eastAsia="Calibri" w:cs="Calibri"/>
          <w:color w:val="000000"/>
          <w:spacing w:val="-2"/>
          <w:sz w:val="20"/>
          <w:u w:val="single"/>
        </w:rPr>
        <w:t xml:space="preserve">                    </w:t>
      </w:r>
      <w:r>
        <w:rPr>
          <w:rFonts w:ascii="Calibri" w:hAnsi="Calibri" w:eastAsia="Calibri" w:cs="Calibri"/>
          <w:color w:val="000000"/>
          <w:spacing w:val="-2"/>
          <w:sz w:val="20"/>
        </w:rPr>
        <w:t xml:space="preserve">            </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 </w:t>
      </w:r>
      <w:r>
        <w:rPr>
          <w:rFonts w:ascii="Calibri" w:hAnsi="Calibri" w:eastAsia="Calibri" w:cs="Calibri"/>
          <w:color w:val="000000"/>
          <w:spacing w:val="-2"/>
          <w:sz w:val="20"/>
        </w:rPr>
        <w:t xml:space="preserve">工程地点：</w:t>
      </w:r>
      <w:r>
        <w:rPr>
          <w:rFonts w:ascii="Calibri" w:hAnsi="Calibri" w:eastAsia="Calibri" w:cs="Calibri"/>
          <w:color w:val="000000"/>
          <w:spacing w:val="-2"/>
          <w:sz w:val="20"/>
          <w:u w:val="single"/>
        </w:rPr>
        <w:t xml:space="preserve">                    </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 </w:t>
      </w:r>
      <w:r>
        <w:rPr>
          <w:rFonts w:ascii="Calibri" w:hAnsi="Calibri" w:eastAsia="Calibri" w:cs="Calibri"/>
          <w:color w:val="000000"/>
          <w:spacing w:val="-2"/>
          <w:sz w:val="20"/>
        </w:rPr>
        <w:t xml:space="preserve">工程范围：</w:t>
      </w:r>
      <w:r>
        <w:rPr>
          <w:rFonts w:ascii="Calibri" w:hAnsi="Calibri" w:eastAsia="Calibri" w:cs="Calibri"/>
          <w:color w:val="000000"/>
          <w:spacing w:val="-2"/>
          <w:sz w:val="20"/>
          <w:u w:val="single"/>
        </w:rPr>
        <w:t xml:space="preserve">                    </w:t>
      </w:r>
      <w:r>
        <w:rPr>
          <w:rFonts w:ascii="SimSun" w:hAnsi="SimSun" w:eastAsia="SimSun" w:cs="SimSun"/>
          <w:color w:val="000000"/>
          <w:spacing w:val="-2"/>
          <w:sz w:val="20"/>
        </w:rPr>
        <w:t xml:space="preserve">                                                      </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 </w:t>
      </w:r>
      <w:r>
        <w:rPr>
          <w:rFonts w:ascii="Calibri" w:hAnsi="Calibri" w:eastAsia="Calibri" w:cs="Calibri"/>
          <w:color w:val="000000"/>
          <w:spacing w:val="-2"/>
          <w:sz w:val="20"/>
        </w:rPr>
        <w:t xml:space="preserve">工程内容：</w:t>
      </w:r>
      <w:r>
        <w:rPr>
          <w:rFonts w:ascii="Calibri" w:hAnsi="Calibri" w:eastAsia="Calibri" w:cs="Calibri"/>
          <w:color w:val="000000"/>
          <w:spacing w:val="-2"/>
          <w:sz w:val="20"/>
          <w:u w:val="single"/>
        </w:rPr>
        <w:t xml:space="preserve">                    </w:t>
      </w:r>
      <w:r>
        <w:rPr>
          <w:rFonts w:ascii="SimSun" w:hAnsi="SimSun" w:eastAsia="SimSun" w:cs="SimSun"/>
          <w:color w:val="000000"/>
          <w:spacing w:val="-2"/>
          <w:sz w:val="20"/>
        </w:rPr>
        <w:t xml:space="preserve">                                                      </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 </w:t>
      </w:r>
      <w:r>
        <w:rPr>
          <w:rFonts w:ascii="Calibri" w:hAnsi="Calibri" w:eastAsia="Calibri" w:cs="Calibri"/>
          <w:color w:val="000000"/>
          <w:spacing w:val="-2"/>
          <w:sz w:val="20"/>
        </w:rPr>
        <w:t xml:space="preserve">签约合同价为：</w:t>
      </w:r>
      <w:r>
        <w:rPr>
          <w:rFonts w:ascii="Calibri" w:hAnsi="Calibri" w:eastAsia="Calibri" w:cs="Calibri"/>
          <w:color w:val="000000"/>
          <w:spacing w:val="-2"/>
          <w:sz w:val="20"/>
          <w:u w:val="single"/>
        </w:rPr>
        <w:t xml:space="preserve">人民币（大写）              </w:t>
      </w:r>
      <w:r>
        <w:rPr>
          <w:rFonts w:ascii="SimSun" w:hAnsi="SimSun" w:eastAsia="SimSun" w:cs="SimSun"/>
          <w:color w:val="000000"/>
          <w:spacing w:val="-2"/>
          <w:sz w:val="20"/>
          <w:u w:val="single"/>
        </w:rPr>
        <w:t xml:space="preserve">(¥</w:t>
      </w:r>
      <w:r>
        <w:rPr>
          <w:rFonts w:ascii="Calibri" w:hAnsi="Calibri" w:eastAsia="Calibri" w:cs="Calibri"/>
          <w:color w:val="000000"/>
          <w:spacing w:val="-2"/>
          <w:sz w:val="20"/>
          <w:u w:val="single"/>
        </w:rPr>
        <w:t xml:space="preserve">          元</w:t>
      </w:r>
      <w:r>
        <w:rPr>
          <w:rFonts w:ascii="SimSun" w:hAnsi="SimSun" w:eastAsia="SimSun" w:cs="SimSun"/>
          <w:color w:val="000000"/>
          <w:spacing w:val="-2"/>
          <w:sz w:val="20"/>
          <w:u w:val="single"/>
        </w:rPr>
        <w:t xml:space="preserve">)</w:t>
      </w:r>
      <w:r>
        <w:rPr>
          <w:rFonts w:ascii="Calibri" w:hAnsi="Calibri" w:eastAsia="Calibri" w:cs="Calibri"/>
          <w:color w:val="000000"/>
          <w:spacing w:val="-2"/>
          <w:sz w:val="20"/>
        </w:rPr>
        <w:t xml:space="preserve">。</w:t>
      </w:r>
      <w:r/>
    </w:p>
    <w:p>
      <w:pPr>
        <w:ind w:left="51" w:right="0" w:firstLine="0"/>
        <w:spacing w:before="2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、结算方式</w:t>
      </w:r>
      <w:r/>
    </w:p>
    <w:p>
      <w:pPr>
        <w:ind w:left="0" w:right="0" w:firstLine="392"/>
        <w:spacing w:before="20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 </w:t>
      </w:r>
      <w:r>
        <w:rPr>
          <w:rFonts w:ascii="Calibri" w:hAnsi="Calibri" w:eastAsia="Calibri" w:cs="Calibri"/>
          <w:color w:val="000000"/>
          <w:spacing w:val="-2"/>
          <w:sz w:val="20"/>
        </w:rPr>
        <w:t xml:space="preserve">合同内价格形式：</w:t>
      </w:r>
      <w:r>
        <w:rPr>
          <w:rFonts w:ascii="Calibri" w:hAnsi="Calibri" w:eastAsia="Calibri" w:cs="Calibri"/>
          <w:color w:val="000000"/>
          <w:spacing w:val="-2"/>
          <w:sz w:val="20"/>
          <w:u w:val="single"/>
        </w:rPr>
        <w:t xml:space="preserve">固定单价合同，工程量按实结算，计量规则执行</w:t>
      </w:r>
      <w:r>
        <w:rPr>
          <w:rFonts w:ascii="SimSun" w:hAnsi="SimSun" w:eastAsia="SimSun" w:cs="SimSun"/>
          <w:color w:val="000000"/>
          <w:spacing w:val="-2"/>
          <w:sz w:val="20"/>
          <w:u w:val="single"/>
        </w:rPr>
        <w:t xml:space="preserve"> GB/T50500-2024 </w:t>
      </w:r>
      <w:r>
        <w:rPr>
          <w:rFonts w:ascii="Calibri" w:hAnsi="Calibri" w:eastAsia="Calibri" w:cs="Calibri"/>
          <w:color w:val="000000"/>
          <w:spacing w:val="-2"/>
          <w:sz w:val="20"/>
          <w:u w:val="single"/>
        </w:rPr>
        <w:t xml:space="preserve">及配套各专业工程量计算标准。</w:t>
      </w:r>
      <w:r/>
    </w:p>
    <w:p>
      <w:pPr>
        <w:ind w:left="0" w:right="0" w:firstLine="392"/>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 </w:t>
      </w:r>
      <w:r>
        <w:rPr>
          <w:rFonts w:ascii="Calibri" w:hAnsi="Calibri" w:eastAsia="Calibri" w:cs="Calibri"/>
          <w:color w:val="000000"/>
          <w:spacing w:val="-2"/>
          <w:sz w:val="20"/>
        </w:rPr>
        <w:t xml:space="preserve">合同外增加项目结算方式：</w:t>
      </w:r>
      <w:r/>
    </w:p>
    <w:p>
      <w:pPr>
        <w:pStyle w:val="719"/>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2.2.1 </w:t>
      </w:r>
      <w:r>
        <w:rPr>
          <w:rFonts w:ascii="Calibri" w:hAnsi="Calibri" w:eastAsia="Calibri" w:cs="Calibri"/>
          <w:b/>
          <w:color w:val="000000"/>
          <w:spacing w:val="-2"/>
          <w:sz w:val="20"/>
          <w:u w:val="none"/>
        </w:rPr>
        <w:t xml:space="preserve">同清单子目工程量调价规则</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相同施工条件下实施相同项目特征的清单项目：</w:t>
      </w:r>
      <w:r>
        <w:rPr>
          <w:rFonts w:ascii="SimSun" w:hAnsi="SimSun" w:eastAsia="SimSun" w:cs="SimSun"/>
          <w:color w:val="000000"/>
          <w:spacing w:val="-2"/>
          <w:sz w:val="20"/>
        </w:rPr>
        <w:t xml:space="preserve">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工程量增幅</w:t>
      </w:r>
      <w:r>
        <w:rPr>
          <w:rFonts w:ascii="SimSun" w:hAnsi="SimSun" w:eastAsia="SimSun" w:cs="SimSun"/>
          <w:color w:val="000000"/>
          <w:spacing w:val="-2"/>
          <w:sz w:val="20"/>
        </w:rPr>
        <w:t xml:space="preserve">≤15% </w:t>
      </w:r>
      <w:r>
        <w:rPr>
          <w:rFonts w:ascii="Calibri" w:hAnsi="Calibri" w:eastAsia="Calibri" w:cs="Calibri"/>
          <w:color w:val="000000"/>
          <w:spacing w:val="-2"/>
          <w:sz w:val="20"/>
        </w:rPr>
        <w:t xml:space="preserve">部分，按投标原综合单价结算；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工程量增幅＞</w:t>
      </w:r>
      <w:r>
        <w:rPr>
          <w:rFonts w:ascii="SimSun" w:hAnsi="SimSun" w:eastAsia="SimSun" w:cs="SimSun"/>
          <w:color w:val="000000"/>
          <w:spacing w:val="-2"/>
          <w:sz w:val="20"/>
        </w:rPr>
        <w:t xml:space="preserve">15% </w:t>
      </w:r>
      <w:r>
        <w:rPr>
          <w:rFonts w:ascii="Calibri" w:hAnsi="Calibri" w:eastAsia="Calibri" w:cs="Calibri"/>
          <w:color w:val="000000"/>
          <w:spacing w:val="-2"/>
          <w:sz w:val="20"/>
        </w:rPr>
        <w:t xml:space="preserve">的超出部分，依据《建设工程工程量清单计价标准》（</w:t>
      </w:r>
      <w:r>
        <w:rPr>
          <w:rFonts w:ascii="SimSun" w:hAnsi="SimSun" w:eastAsia="SimSun" w:cs="SimSun"/>
          <w:color w:val="000000"/>
          <w:spacing w:val="-2"/>
          <w:sz w:val="20"/>
        </w:rPr>
        <w:t xml:space="preserve">GB/T50500-2024</w:t>
      </w:r>
      <w:r>
        <w:rPr>
          <w:rFonts w:ascii="Calibri" w:hAnsi="Calibri" w:eastAsia="Calibri" w:cs="Calibri"/>
          <w:color w:val="000000"/>
          <w:spacing w:val="-2"/>
          <w:sz w:val="20"/>
        </w:rPr>
        <w:t xml:space="preserve">）价格调整规则，以中标价 </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招标控制价比值同比例下浮重新核定综合单价。</w:t>
      </w:r>
      <w:r/>
    </w:p>
    <w:p>
      <w:pPr>
        <w:ind w:left="0" w:right="0" w:firstLine="196"/>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2.2.2</w:t>
      </w:r>
      <w:r>
        <w:rPr>
          <w:rFonts w:ascii="Calibri" w:hAnsi="Calibri" w:eastAsia="Calibri" w:cs="Calibri"/>
          <w:color w:val="000000"/>
          <w:spacing w:val="-2"/>
          <w:sz w:val="20"/>
        </w:rPr>
        <w:t xml:space="preserve">分项报价同比例调整</w:t>
      </w:r>
      <w:r/>
    </w:p>
    <w:p>
      <w:pPr>
        <w:ind w:left="198" w:right="0" w:firstLine="0"/>
        <w:spacing w:before="144"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若磋商后分项成交价与投标首次报价存在价差，全部清单分项综合单价按价差比例同步同比例调整。</w:t>
      </w:r>
      <w:r>
        <w:rPr>
          <w:rFonts w:ascii="SimSun" w:hAnsi="SimSun" w:eastAsia="SimSun" w:cs="SimSun"/>
          <w:color w:val="000000"/>
          <w:spacing w:val="-2"/>
          <w:sz w:val="20"/>
        </w:rPr>
        <w:t xml:space="preserve">2.2.3 </w:t>
      </w:r>
      <w:r>
        <w:rPr>
          <w:rFonts w:ascii="Calibri" w:hAnsi="Calibri" w:eastAsia="Calibri" w:cs="Calibri"/>
          <w:color w:val="000000"/>
          <w:spacing w:val="-2"/>
          <w:sz w:val="20"/>
        </w:rPr>
        <w:t xml:space="preserve">无对应清单子目新增 </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变更项目组价规则</w:t>
      </w:r>
      <w:r/>
    </w:p>
    <w:p>
      <w:pPr>
        <w:ind w:left="0" w:right="0" w:firstLine="196"/>
        <w:spacing w:before="144"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投标清单无对应综合单价、或项目特征不一致的变更、新增项目，综合单价按以下顺序组价：</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 计价依据：执行苏建价〔</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76 </w:t>
      </w:r>
      <w:r>
        <w:rPr>
          <w:rFonts w:ascii="Calibri" w:hAnsi="Calibri" w:eastAsia="Calibri" w:cs="Calibri"/>
          <w:color w:val="000000"/>
          <w:spacing w:val="-2"/>
          <w:sz w:val="20"/>
        </w:rPr>
        <w:t xml:space="preserve">号发布的《江苏省建筑与装饰工程消耗量（</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）》《江苏省通用安装工程消耗量（</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）》《江苏省市政工程消耗量（</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）》《江苏省建设工程费用参考（</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）》《江苏建设工程施工机具台班费用参考表（</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）》；《江苏省房屋修缮工程  计价表》（</w:t>
      </w:r>
      <w:r>
        <w:rPr>
          <w:rFonts w:ascii="SimSun" w:hAnsi="SimSun" w:eastAsia="SimSun" w:cs="SimSun"/>
          <w:color w:val="000000"/>
          <w:spacing w:val="-2"/>
          <w:sz w:val="20"/>
        </w:rPr>
        <w:t xml:space="preserve">2009</w:t>
      </w:r>
      <w:r>
        <w:rPr>
          <w:rFonts w:ascii="Calibri" w:hAnsi="Calibri" w:eastAsia="Calibri" w:cs="Calibri"/>
          <w:color w:val="000000"/>
          <w:spacing w:val="-2"/>
          <w:sz w:val="20"/>
        </w:rPr>
        <w:t xml:space="preserve">）、《江苏省抗震加固工程计价表》（</w:t>
      </w:r>
      <w:r>
        <w:rPr>
          <w:rFonts w:ascii="SimSun" w:hAnsi="SimSun" w:eastAsia="SimSun" w:cs="SimSun"/>
          <w:color w:val="000000"/>
          <w:spacing w:val="-2"/>
          <w:sz w:val="20"/>
        </w:rPr>
        <w:t xml:space="preserve">2009</w:t>
      </w:r>
      <w:r>
        <w:rPr>
          <w:rFonts w:ascii="Calibri" w:hAnsi="Calibri" w:eastAsia="Calibri" w:cs="Calibri"/>
          <w:color w:val="000000"/>
          <w:spacing w:val="-2"/>
          <w:sz w:val="20"/>
        </w:rPr>
        <w:t xml:space="preserve">）以及配套的费用定额。</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 人工单价：按江苏省南京市发布公文信息指导价，以施工当期官方文件为准。</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rPr>
          <w:rFonts w:ascii="Calibri" w:hAnsi="Calibri" w:eastAsia="Calibri" w:cs="Calibri"/>
          <w:color w:val="000000"/>
          <w:spacing w:val="-2"/>
          <w:sz w:val="20"/>
        </w:rPr>
        <w:t xml:space="preserve">、机械台班：采用《江苏建设工程施工机具台班费用参考表（</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）》，按施工同期市场燃油、动力价格调整价差。</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rPr>
          <w:rFonts w:ascii="Calibri" w:hAnsi="Calibri" w:eastAsia="Calibri" w:cs="Calibri"/>
          <w:color w:val="000000"/>
          <w:spacing w:val="-2"/>
          <w:sz w:val="20"/>
        </w:rPr>
        <w:t xml:space="preserve">、材料价格取价优先级：</w:t>
      </w:r>
      <w:r>
        <w:rPr>
          <w:rFonts w:ascii="SimSun" w:hAnsi="SimSun" w:eastAsia="SimSun" w:cs="SimSun"/>
          <w:color w:val="000000"/>
          <w:spacing w:val="-2"/>
          <w:sz w:val="20"/>
        </w:rPr>
        <w:t xml:space="preserve"> ① </w:t>
      </w:r>
      <w:r>
        <w:rPr>
          <w:rFonts w:ascii="Calibri" w:hAnsi="Calibri" w:eastAsia="Calibri" w:cs="Calibri"/>
          <w:color w:val="000000"/>
          <w:spacing w:val="-2"/>
          <w:sz w:val="20"/>
        </w:rPr>
        <w:t xml:space="preserve">当期《南京工程造价管理》月刊除税信息价； </w:t>
      </w:r>
      <w:r>
        <w:rPr>
          <w:rFonts w:ascii="SimSun" w:hAnsi="SimSun" w:eastAsia="SimSun" w:cs="SimSun"/>
          <w:color w:val="000000"/>
          <w:spacing w:val="-2"/>
          <w:sz w:val="20"/>
        </w:rPr>
        <w:t xml:space="preserve">② </w:t>
      </w:r>
      <w:r>
        <w:rPr>
          <w:rFonts w:ascii="Calibri" w:hAnsi="Calibri" w:eastAsia="Calibri" w:cs="Calibri"/>
          <w:color w:val="000000"/>
          <w:spacing w:val="-2"/>
          <w:sz w:val="20"/>
        </w:rPr>
        <w:t xml:space="preserve">信息价缺失的采用含税市场价，优先京东自营电商含税价； </w:t>
      </w:r>
      <w:r>
        <w:rPr>
          <w:rFonts w:ascii="SimSun" w:hAnsi="SimSun" w:eastAsia="SimSun" w:cs="SimSun"/>
          <w:color w:val="000000"/>
          <w:spacing w:val="-2"/>
          <w:sz w:val="20"/>
        </w:rPr>
        <w:t xml:space="preserve">③ </w:t>
      </w:r>
      <w:r>
        <w:rPr>
          <w:rFonts w:ascii="Calibri" w:hAnsi="Calibri" w:eastAsia="Calibri" w:cs="Calibri"/>
          <w:color w:val="000000"/>
          <w:spacing w:val="-2"/>
          <w:sz w:val="20"/>
        </w:rPr>
        <w:t xml:space="preserve">京东无对应品类采用天猫官方自营含税价； </w:t>
      </w:r>
      <w:r>
        <w:rPr>
          <w:rFonts w:ascii="SimSun" w:hAnsi="SimSun" w:eastAsia="SimSun" w:cs="SimSun"/>
          <w:color w:val="000000"/>
          <w:spacing w:val="-2"/>
          <w:sz w:val="20"/>
        </w:rPr>
        <w:t xml:space="preserve">④ </w:t>
      </w:r>
      <w:r>
        <w:rPr>
          <w:rFonts w:ascii="Calibri" w:hAnsi="Calibri" w:eastAsia="Calibri" w:cs="Calibri"/>
          <w:color w:val="000000"/>
          <w:spacing w:val="-2"/>
          <w:sz w:val="20"/>
        </w:rPr>
        <w:t xml:space="preserve">线上渠道无参考价，乙方提供三家及以上正规供应商报价单，甲方、审计共同确认市场价。</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、取费标准：执行《江苏省建筑与装饰工程消耗量（</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）》、《江苏省通用安装工程消耗量（</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）》和《江苏省市政工程消耗量（</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）》的管理费、利润按《江苏省建设工程费用参考（</w:t>
      </w:r>
      <w:r>
        <w:rPr>
          <w:rFonts w:ascii="SimSun" w:hAnsi="SimSun" w:eastAsia="SimSun" w:cs="SimSun"/>
          <w:color w:val="000000"/>
          <w:spacing w:val="-2"/>
          <w:sz w:val="20"/>
        </w:rPr>
        <w:t xml:space="preserve">2026</w:t>
      </w:r>
      <w:r>
        <w:rPr>
          <w:rFonts w:ascii="Calibri" w:hAnsi="Calibri" w:eastAsia="Calibri" w:cs="Calibri"/>
          <w:color w:val="000000"/>
          <w:spacing w:val="-2"/>
          <w:sz w:val="20"/>
        </w:rPr>
        <w:t xml:space="preserve">）》对应工程类别标准计取，增值税按现行建筑业税率计列，价差部分仅计增值税，不再计取管理费、利润（苏建价〔</w:t>
      </w:r>
      <w:r>
        <w:rPr>
          <w:rFonts w:ascii="SimSun" w:hAnsi="SimSun" w:eastAsia="SimSun" w:cs="SimSun"/>
          <w:color w:val="000000"/>
          <w:spacing w:val="-2"/>
          <w:sz w:val="20"/>
        </w:rPr>
        <w:t xml:space="preserve">2025</w:t>
      </w: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12 </w:t>
      </w:r>
      <w:r>
        <w:rPr>
          <w:rFonts w:ascii="Calibri" w:hAnsi="Calibri" w:eastAsia="Calibri" w:cs="Calibri"/>
          <w:color w:val="000000"/>
          <w:spacing w:val="-2"/>
          <w:sz w:val="20"/>
        </w:rPr>
        <w:t xml:space="preserve">号）；执行《江苏省房屋修缮工程</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计价表》（</w:t>
      </w:r>
      <w:r>
        <w:rPr>
          <w:rFonts w:ascii="SimSun" w:hAnsi="SimSun" w:eastAsia="SimSun" w:cs="SimSun"/>
          <w:color w:val="000000"/>
          <w:spacing w:val="-2"/>
          <w:sz w:val="20"/>
        </w:rPr>
        <w:t xml:space="preserve">2009</w:t>
      </w:r>
      <w:r>
        <w:rPr>
          <w:rFonts w:ascii="Calibri" w:hAnsi="Calibri" w:eastAsia="Calibri" w:cs="Calibri"/>
          <w:color w:val="000000"/>
          <w:spacing w:val="-2"/>
          <w:sz w:val="20"/>
        </w:rPr>
        <w:t xml:space="preserve">）、《江苏省抗震加固工程计价表》（</w:t>
      </w:r>
      <w:r>
        <w:rPr>
          <w:rFonts w:ascii="SimSun" w:hAnsi="SimSun" w:eastAsia="SimSun" w:cs="SimSun"/>
          <w:color w:val="000000"/>
          <w:spacing w:val="-2"/>
          <w:sz w:val="20"/>
        </w:rPr>
        <w:t xml:space="preserve">2009</w:t>
      </w:r>
      <w:r>
        <w:rPr>
          <w:rFonts w:ascii="Calibri" w:hAnsi="Calibri" w:eastAsia="Calibri" w:cs="Calibri"/>
          <w:color w:val="000000"/>
          <w:spacing w:val="-2"/>
          <w:sz w:val="20"/>
        </w:rPr>
        <w:t xml:space="preserve">）的管理费、利润配套的按配套的费用定额计取。</w:t>
      </w:r>
      <w:r/>
    </w:p>
    <w:p>
      <w:pPr>
        <w:ind w:left="0" w:right="0" w:firstLine="1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rPr>
          <w:rFonts w:ascii="Calibri" w:hAnsi="Calibri" w:eastAsia="Calibri" w:cs="Calibri"/>
          <w:color w:val="000000"/>
          <w:spacing w:val="-2"/>
          <w:sz w:val="20"/>
        </w:rPr>
        <w:t xml:space="preserve">、下浮规则：上述组价完成后，按（中标价</w:t>
      </w:r>
      <w:r>
        <w:rPr>
          <w:rFonts w:ascii="SimSun" w:hAnsi="SimSun" w:eastAsia="SimSun" w:cs="SimSun"/>
          <w:color w:val="000000"/>
          <w:spacing w:val="-2"/>
          <w:sz w:val="20"/>
        </w:rPr>
        <w:t xml:space="preserve"> ÷ </w:t>
      </w:r>
      <w:r>
        <w:rPr>
          <w:rFonts w:ascii="Calibri" w:hAnsi="Calibri" w:eastAsia="Calibri" w:cs="Calibri"/>
          <w:color w:val="000000"/>
          <w:spacing w:val="-2"/>
          <w:sz w:val="20"/>
        </w:rPr>
        <w:t xml:space="preserve">招标控制价）比值同比例下浮。</w:t>
      </w:r>
      <w:r/>
    </w:p>
    <w:p>
      <w:pPr>
        <w:ind w:left="0" w:right="0" w:firstLine="190"/>
        <w:spacing w:before="0" w:after="0" w:line="2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9"/>
        </w:rPr>
        <w:t xml:space="preserve">2.2.4 </w:t>
      </w:r>
      <w:r>
        <w:rPr>
          <w:rFonts w:ascii="Calibri" w:hAnsi="Calibri" w:eastAsia="Calibri" w:cs="Calibri"/>
          <w:b/>
          <w:color w:val="000000"/>
          <w:sz w:val="19"/>
        </w:rPr>
        <w:t xml:space="preserve">单独计日人工签证结算</w:t>
      </w:r>
      <w:r/>
    </w:p>
    <w:p>
      <w:pPr>
        <w:ind w:left="0" w:right="0" w:firstLine="196"/>
        <w:spacing w:before="144"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如签证内单独签定人工数量，结算时价格按《南京工程造价管理》中江苏省建设工程人工工资指导价取费后，计入分部分项费。</w:t>
      </w:r>
      <w:r/>
    </w:p>
    <w:p>
      <w:pPr>
        <w:ind w:left="0" w:right="0" w:firstLine="190"/>
        <w:spacing w:before="0" w:after="0" w:line="2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9"/>
        </w:rPr>
        <w:t xml:space="preserve">2.2.5 </w:t>
      </w:r>
      <w:r>
        <w:rPr>
          <w:rFonts w:ascii="Calibri" w:hAnsi="Calibri" w:eastAsia="Calibri" w:cs="Calibri"/>
          <w:b/>
          <w:color w:val="000000"/>
          <w:sz w:val="19"/>
        </w:rPr>
        <w:t xml:space="preserve">定额无对应新工艺、新做法计价</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涉及新工艺、新做法（定额没有的），施工前由乙方上报施工工艺，经甲方使用部门审核确认后方可实施，具体金额按照审计相关要求核算。</w:t>
      </w:r>
      <w:r/>
    </w:p>
    <w:p>
      <w:pPr>
        <w:ind w:left="53" w:right="0" w:firstLine="0"/>
        <w:spacing w:before="2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rPr>
          <w:rFonts w:ascii="Calibri" w:hAnsi="Calibri" w:eastAsia="Calibri" w:cs="Calibri"/>
          <w:color w:val="000000"/>
          <w:spacing w:val="-2"/>
          <w:sz w:val="20"/>
          <w:u w:val="none"/>
        </w:rPr>
        <w:t xml:space="preserve">、工程期限及承包方式</w:t>
      </w:r>
      <w:r/>
    </w:p>
    <w:p>
      <w:pPr>
        <w:ind w:left="0" w:right="0" w:firstLine="392"/>
        <w:spacing w:before="20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 </w:t>
      </w:r>
      <w:r>
        <w:rPr>
          <w:rFonts w:ascii="Calibri" w:hAnsi="Calibri" w:eastAsia="Calibri" w:cs="Calibri"/>
          <w:color w:val="000000"/>
          <w:spacing w:val="-2"/>
          <w:sz w:val="20"/>
        </w:rPr>
        <w:t xml:space="preserve">自合同签订之日起，</w:t>
      </w:r>
      <w:r>
        <w:rPr>
          <w:rFonts w:ascii="Calibri" w:hAnsi="Calibri" w:eastAsia="Calibri" w:cs="Calibri"/>
          <w:color w:val="000000"/>
          <w:spacing w:val="-2"/>
          <w:sz w:val="20"/>
          <w:u w:val="single"/>
        </w:rPr>
        <w:t xml:space="preserve">   </w:t>
      </w:r>
      <w:r>
        <w:rPr>
          <w:rFonts w:ascii="Calibri" w:hAnsi="Calibri" w:eastAsia="Calibri" w:cs="Calibri"/>
          <w:color w:val="000000"/>
          <w:spacing w:val="-2"/>
          <w:sz w:val="20"/>
        </w:rPr>
        <w:t xml:space="preserve">个日历日内竣工。</w:t>
      </w:r>
      <w:r/>
    </w:p>
    <w:p>
      <w:pPr>
        <w:ind w:left="0" w:right="0" w:firstLine="392"/>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 </w:t>
      </w:r>
      <w:r>
        <w:rPr>
          <w:rFonts w:ascii="Calibri" w:hAnsi="Calibri" w:eastAsia="Calibri" w:cs="Calibri"/>
          <w:color w:val="000000"/>
          <w:spacing w:val="-2"/>
          <w:sz w:val="20"/>
        </w:rPr>
        <w:t xml:space="preserve">在施工时如遇到下列情况，可顺延工期。 </w:t>
      </w:r>
      <w:r/>
    </w:p>
    <w:p>
      <w:pPr>
        <w:ind w:left="0" w:right="0" w:firstLine="392"/>
        <w:spacing w:before="142"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）由于不可抗力，而被迫停工者。</w:t>
      </w:r>
      <w:r/>
    </w:p>
    <w:p>
      <w:pPr>
        <w:ind w:left="0" w:right="0" w:firstLine="392"/>
        <w:spacing w:before="14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）因甲方原因不能连续施工者。</w:t>
      </w:r>
      <w:r/>
    </w:p>
    <w:p>
      <w:pPr>
        <w:ind w:left="0" w:right="0" w:firstLine="392"/>
        <w:spacing w:before="144"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3</w:t>
      </w:r>
      <w:r>
        <w:rPr>
          <w:rFonts w:ascii="Calibri" w:hAnsi="Calibri" w:eastAsia="Calibri" w:cs="Calibri"/>
          <w:color w:val="000000"/>
          <w:spacing w:val="-2"/>
          <w:sz w:val="20"/>
        </w:rPr>
        <w:t xml:space="preserve">）由于过年期间材料供应商无法提供相关材料或其他客观原因导致不能施工的，施工可顺延。</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 </w:t>
      </w:r>
      <w:r>
        <w:rPr>
          <w:rFonts w:ascii="Calibri" w:hAnsi="Calibri" w:eastAsia="Calibri" w:cs="Calibri"/>
          <w:color w:val="000000"/>
          <w:spacing w:val="-2"/>
          <w:sz w:val="20"/>
        </w:rPr>
        <w:t xml:space="preserve">承包方式：</w:t>
      </w:r>
      <w:r>
        <w:rPr>
          <w:rFonts w:ascii="SimSun" w:hAnsi="SimSun" w:eastAsia="SimSun" w:cs="SimSun"/>
          <w:color w:val="000000"/>
          <w:spacing w:val="-2"/>
          <w:sz w:val="20"/>
          <w:u w:val="single"/>
        </w:rPr>
        <w:t xml:space="preserve"> </w:t>
      </w:r>
      <w:r>
        <w:rPr>
          <w:rFonts w:ascii="Calibri" w:hAnsi="Calibri" w:eastAsia="Calibri" w:cs="Calibri"/>
          <w:color w:val="000000"/>
          <w:spacing w:val="-2"/>
          <w:sz w:val="20"/>
          <w:u w:val="single"/>
        </w:rPr>
        <w:t xml:space="preserve">包工包料</w:t>
      </w:r>
      <w:r/>
    </w:p>
    <w:p>
      <w:pPr>
        <w:ind w:left="47" w:right="0" w:firstLine="0"/>
        <w:spacing w:before="2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rPr>
          <w:rFonts w:ascii="Calibri" w:hAnsi="Calibri" w:eastAsia="Calibri" w:cs="Calibri"/>
          <w:color w:val="000000"/>
          <w:spacing w:val="-2"/>
          <w:sz w:val="20"/>
          <w:u w:val="none"/>
        </w:rPr>
        <w:t xml:space="preserve">、施工准备中甲方乙双方的义务</w:t>
      </w:r>
      <w:r/>
    </w:p>
    <w:p>
      <w:pPr>
        <w:ind w:left="0" w:right="0" w:firstLine="392"/>
        <w:spacing w:before="20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 </w:t>
      </w:r>
      <w:r>
        <w:rPr>
          <w:rFonts w:ascii="Calibri" w:hAnsi="Calibri" w:eastAsia="Calibri" w:cs="Calibri"/>
          <w:color w:val="000000"/>
          <w:spacing w:val="-2"/>
          <w:sz w:val="20"/>
        </w:rPr>
        <w:t xml:space="preserve">甲方义务</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4.1.1 </w:t>
      </w:r>
      <w:r>
        <w:rPr>
          <w:rFonts w:ascii="Calibri" w:hAnsi="Calibri" w:eastAsia="Calibri" w:cs="Calibri"/>
          <w:color w:val="000000"/>
          <w:spacing w:val="-2"/>
          <w:sz w:val="20"/>
        </w:rPr>
        <w:t xml:space="preserve">明确工程内容，项目及要求，提供施工所需的水电及材料堆放地。施工过程中</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甲方需要派一名现场人员与乙方单位进行协调工作。</w:t>
      </w:r>
      <w:r/>
    </w:p>
    <w:p>
      <w:pPr>
        <w:ind w:left="0" w:right="0" w:firstLine="392"/>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 </w:t>
      </w:r>
      <w:r>
        <w:rPr>
          <w:rFonts w:ascii="Calibri" w:hAnsi="Calibri" w:eastAsia="Calibri" w:cs="Calibri"/>
          <w:color w:val="000000"/>
          <w:spacing w:val="-2"/>
          <w:sz w:val="20"/>
        </w:rPr>
        <w:t xml:space="preserve">乙方义务</w:t>
      </w:r>
      <w:r/>
    </w:p>
    <w:p>
      <w:pPr>
        <w:ind w:left="0" w:right="0" w:firstLine="392"/>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4.2.1 </w:t>
      </w:r>
      <w:r>
        <w:rPr>
          <w:rFonts w:ascii="Calibri" w:hAnsi="Calibri" w:eastAsia="Calibri" w:cs="Calibri"/>
          <w:color w:val="000000"/>
          <w:spacing w:val="-2"/>
          <w:sz w:val="20"/>
        </w:rPr>
        <w:t xml:space="preserve">按照合同约定的工期按国家相关规范要求完成工程项目。</w:t>
      </w:r>
      <w:r/>
    </w:p>
    <w:p>
      <w:pPr>
        <w:ind w:left="0" w:right="0" w:firstLine="392"/>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4.2.2 </w:t>
      </w:r>
      <w:r>
        <w:rPr>
          <w:rFonts w:ascii="Calibri" w:hAnsi="Calibri" w:eastAsia="Calibri" w:cs="Calibri"/>
          <w:color w:val="000000"/>
          <w:spacing w:val="-2"/>
          <w:sz w:val="20"/>
        </w:rPr>
        <w:t xml:space="preserve">保护施工现场的环境卫生及文明施工。</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4.2.3 </w:t>
      </w:r>
      <w:r>
        <w:rPr>
          <w:rFonts w:ascii="Calibri" w:hAnsi="Calibri" w:eastAsia="Calibri" w:cs="Calibri"/>
          <w:color w:val="000000"/>
          <w:spacing w:val="-2"/>
          <w:sz w:val="20"/>
        </w:rPr>
        <w:t xml:space="preserve">保证所用材料须符合国家标准和行业标准，且经甲方认可。</w:t>
      </w:r>
      <w:r/>
    </w:p>
    <w:p>
      <w:pPr>
        <w:ind w:left="0" w:right="0" w:firstLine="392"/>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4.2.4 </w:t>
      </w:r>
      <w:r>
        <w:rPr>
          <w:rFonts w:ascii="Calibri" w:hAnsi="Calibri" w:eastAsia="Calibri" w:cs="Calibri"/>
          <w:color w:val="000000"/>
          <w:spacing w:val="-2"/>
          <w:sz w:val="20"/>
        </w:rPr>
        <w:t xml:space="preserve">施工过程中，乙方人员的人身、财产安全及因乙方施工造成第三方的人身、财产的侵害由乙方自行负责承担有关责任。甲方因此受到的损失概由乙方承担。</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rPr>
          <w:rFonts w:ascii="Calibri" w:hAnsi="Calibri" w:eastAsia="Calibri" w:cs="Calibri"/>
          <w:color w:val="000000"/>
          <w:spacing w:val="-2"/>
          <w:sz w:val="20"/>
        </w:rPr>
        <w:t xml:space="preserve"> 乙方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乙方将承担全部责任，并承担所有赔偿费用。若发生任何大小安全责任事故或伤亡事故均由承包方承担，发包方不承担任何责任</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并根据事故大小对乙方每次</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万元至</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万元的违约金扣除。</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4.2.6</w:t>
      </w:r>
      <w:r>
        <w:rPr>
          <w:rFonts w:ascii="Calibri" w:hAnsi="Calibri" w:eastAsia="Calibri" w:cs="Calibri"/>
          <w:color w:val="000000"/>
          <w:spacing w:val="-2"/>
          <w:sz w:val="20"/>
        </w:rPr>
        <w:t xml:space="preserve"> 合同当事人对文明施工的要求：</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）乙方须定期上报现场一线操作工人名单、人数、籍贯等。如有人员调整，必须及时通知甲方</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）施工人员未经允许不得进入已经交付的工程区域</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3</w:t>
      </w:r>
      <w:r>
        <w:rPr>
          <w:rFonts w:ascii="Calibri" w:hAnsi="Calibri" w:eastAsia="Calibri" w:cs="Calibri"/>
          <w:color w:val="000000"/>
          <w:spacing w:val="-2"/>
          <w:sz w:val="20"/>
        </w:rPr>
        <w:t xml:space="preserve">）乙方对施工范围内的安全防火承担责任</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4</w:t>
      </w:r>
      <w:r>
        <w:rPr>
          <w:rFonts w:ascii="Calibri" w:hAnsi="Calibri" w:eastAsia="Calibri" w:cs="Calibri"/>
          <w:color w:val="000000"/>
          <w:spacing w:val="-2"/>
          <w:sz w:val="20"/>
        </w:rPr>
        <w:t xml:space="preserve">）乙方应遵守工程建设安全生产有关管理规定，严格按安全标准组织施工，并随时接受行业安全检查人员依法实施的监督检查，采取必要的安全防护措施，消除事故隐患。安全施工防护费用已含在合同价款内。由于乙方安全措施不力造成事故的责任和因此发生的费用，由乙方承担，造成安全事故带来不良影响的，每次承担</w:t>
      </w:r>
      <w:r>
        <w:rPr>
          <w:rFonts w:ascii="SimSun" w:hAnsi="SimSun" w:eastAsia="SimSun" w:cs="SimSun"/>
          <w:color w:val="000000"/>
          <w:spacing w:val="-2"/>
          <w:sz w:val="20"/>
        </w:rPr>
        <w:t xml:space="preserve">5000</w:t>
      </w:r>
      <w:r>
        <w:rPr>
          <w:rFonts w:ascii="Calibri" w:hAnsi="Calibri" w:eastAsia="Calibri" w:cs="Calibri"/>
          <w:color w:val="000000"/>
          <w:spacing w:val="-2"/>
          <w:sz w:val="20"/>
        </w:rPr>
        <w:t xml:space="preserve">元的违约金。乙方负责施工现场的安全及第三方人身安全</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乙方应负责为其雇员安排食宿并提供各种必需的生活设施，并应采取合理的卫生防护措施和安全措施以保护其雇员的健康和安全。若因卫生、火灾等原因造成损失，由乙方承担全部责任。甲方有权根据现场损失情况要求承担合同价</w:t>
      </w:r>
      <w:r>
        <w:rPr>
          <w:rFonts w:ascii="SimSun" w:hAnsi="SimSun" w:eastAsia="SimSun" w:cs="SimSun"/>
          <w:color w:val="000000"/>
          <w:spacing w:val="-2"/>
          <w:sz w:val="20"/>
        </w:rPr>
        <w:t xml:space="preserve">2%-5%</w:t>
      </w:r>
      <w:r>
        <w:rPr>
          <w:rFonts w:ascii="Calibri" w:hAnsi="Calibri" w:eastAsia="Calibri" w:cs="Calibri"/>
          <w:color w:val="000000"/>
          <w:spacing w:val="-2"/>
          <w:sz w:val="20"/>
        </w:rPr>
        <w:t xml:space="preserve">的违约金</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6</w:t>
      </w:r>
      <w:r>
        <w:rPr>
          <w:rFonts w:ascii="Calibri" w:hAnsi="Calibri" w:eastAsia="Calibri" w:cs="Calibri"/>
          <w:color w:val="000000"/>
          <w:spacing w:val="-2"/>
          <w:sz w:val="20"/>
        </w:rPr>
        <w:t xml:space="preserve">）施工期间必须做好场地清洁卫生，设置冲洗平台，做到净车出场，避免在场外道路上“抛、洒、滴、漏”。由此产生的责任由乙方承担</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7</w:t>
      </w:r>
      <w:r>
        <w:rPr>
          <w:rFonts w:ascii="Calibri" w:hAnsi="Calibri" w:eastAsia="Calibri" w:cs="Calibri"/>
          <w:color w:val="000000"/>
          <w:spacing w:val="-2"/>
          <w:sz w:val="20"/>
        </w:rPr>
        <w:t xml:space="preserve">）乙方严禁污水乱排放，将生活垃圾集中外运，达到标化现场要求</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8</w:t>
      </w:r>
      <w:r>
        <w:rPr>
          <w:rFonts w:ascii="Calibri" w:hAnsi="Calibri" w:eastAsia="Calibri" w:cs="Calibri"/>
          <w:color w:val="000000"/>
          <w:spacing w:val="-2"/>
          <w:sz w:val="20"/>
        </w:rPr>
        <w:t xml:space="preserve">）对施工场地内的已完工程、在建工程、管沟、管网等进行保护</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9</w:t>
      </w:r>
      <w:r>
        <w:rPr>
          <w:rFonts w:ascii="Calibri" w:hAnsi="Calibri" w:eastAsia="Calibri" w:cs="Calibri"/>
          <w:color w:val="000000"/>
          <w:spacing w:val="-2"/>
          <w:sz w:val="20"/>
        </w:rPr>
        <w:t xml:space="preserve">）施工期间必须挂牌上岗并统一着装</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）禁止乱堆乱放材料与机械设备</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11</w:t>
      </w:r>
      <w:r>
        <w:rPr>
          <w:rFonts w:ascii="Calibri" w:hAnsi="Calibri" w:eastAsia="Calibri" w:cs="Calibri"/>
          <w:color w:val="000000"/>
          <w:spacing w:val="-2"/>
          <w:sz w:val="20"/>
        </w:rPr>
        <w:t xml:space="preserve">）必须设置标语牌（包括安全、质量、环境、操作规程等）</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4.2.7</w:t>
      </w:r>
      <w:r>
        <w:rPr>
          <w:rFonts w:ascii="Calibri" w:hAnsi="Calibri" w:eastAsia="Calibri" w:cs="Calibri"/>
          <w:color w:val="000000"/>
          <w:spacing w:val="-2"/>
          <w:sz w:val="20"/>
        </w:rPr>
        <w:t xml:space="preserve"> 乙方施工不得影响甲方正常教学工作。</w:t>
      </w:r>
      <w:r/>
    </w:p>
    <w:p>
      <w:pPr>
        <w:ind w:left="0" w:right="0" w:firstLine="392"/>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 </w:t>
      </w:r>
      <w:r>
        <w:rPr>
          <w:rFonts w:ascii="Calibri" w:hAnsi="Calibri" w:eastAsia="Calibri" w:cs="Calibri"/>
          <w:color w:val="000000"/>
          <w:spacing w:val="-2"/>
          <w:sz w:val="20"/>
        </w:rPr>
        <w:t xml:space="preserve">违约责任：</w:t>
      </w:r>
      <w:r/>
    </w:p>
    <w:p>
      <w:pPr>
        <w:ind w:left="0" w:right="0" w:firstLine="392"/>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4.3.1 </w:t>
      </w:r>
      <w:r>
        <w:rPr>
          <w:rFonts w:ascii="Calibri" w:hAnsi="Calibri" w:eastAsia="Calibri" w:cs="Calibri"/>
          <w:color w:val="000000"/>
          <w:spacing w:val="-2"/>
          <w:sz w:val="20"/>
        </w:rPr>
        <w:t xml:space="preserve">如果乙方不能根据工程量清单或承诺书承诺的工期按期完成施工内容，工期每延误一天罚款</w:t>
      </w:r>
      <w:r>
        <w:rPr>
          <w:rFonts w:ascii="SimSun" w:hAnsi="SimSun" w:eastAsia="SimSun" w:cs="SimSun"/>
          <w:color w:val="000000"/>
          <w:spacing w:val="-2"/>
          <w:sz w:val="20"/>
        </w:rPr>
        <w:t xml:space="preserve">1000</w:t>
      </w:r>
      <w:r>
        <w:rPr>
          <w:rFonts w:ascii="Calibri" w:hAnsi="Calibri" w:eastAsia="Calibri" w:cs="Calibri"/>
          <w:color w:val="000000"/>
          <w:spacing w:val="-2"/>
          <w:sz w:val="20"/>
        </w:rPr>
        <w:t xml:space="preserve">元</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总罚款不超合同总价的</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4.3.2 </w:t>
      </w:r>
      <w:r>
        <w:rPr>
          <w:rFonts w:ascii="Calibri" w:hAnsi="Calibri" w:eastAsia="Calibri" w:cs="Calibri"/>
          <w:color w:val="000000"/>
          <w:spacing w:val="-2"/>
          <w:sz w:val="20"/>
        </w:rPr>
        <w:t xml:space="preserve">如果因甲方方案调整原因，导致工程停工等待设计方案，甲方需补偿相应工期及甲方补偿给乙方每停工一天</w:t>
      </w:r>
      <w:r>
        <w:rPr>
          <w:rFonts w:ascii="SimSun" w:hAnsi="SimSun" w:eastAsia="SimSun" w:cs="SimSun"/>
          <w:color w:val="000000"/>
          <w:spacing w:val="-2"/>
          <w:sz w:val="20"/>
        </w:rPr>
        <w:t xml:space="preserve">500</w:t>
      </w:r>
      <w:r>
        <w:rPr>
          <w:rFonts w:ascii="Calibri" w:hAnsi="Calibri" w:eastAsia="Calibri" w:cs="Calibri"/>
          <w:color w:val="000000"/>
          <w:spacing w:val="-2"/>
          <w:sz w:val="20"/>
        </w:rPr>
        <w:t xml:space="preserve">元费用，总罚款不超合同总价的</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4.3.3 </w:t>
      </w:r>
      <w:r>
        <w:rPr>
          <w:rFonts w:ascii="Calibri" w:hAnsi="Calibri" w:eastAsia="Calibri" w:cs="Calibri"/>
          <w:color w:val="000000"/>
          <w:spacing w:val="-2"/>
          <w:sz w:val="20"/>
        </w:rPr>
        <w:t xml:space="preserve">乙方的质量未达国家质量验收标准标，甲方将对乙方进行不低于合同价的</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％罚款，同时乙方必须整改至国家质量验收标准，费用由乙方承担</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4.3.4</w:t>
      </w:r>
      <w:r>
        <w:rPr>
          <w:rFonts w:ascii="Calibri" w:hAnsi="Calibri" w:eastAsia="Calibri" w:cs="Calibri"/>
          <w:color w:val="000000"/>
          <w:spacing w:val="-2"/>
          <w:sz w:val="20"/>
        </w:rPr>
        <w:t xml:space="preserve"> 本工程具体分项工程完成时间应服从甲方的总体要求，如因乙方原因导致实际进度与甲方要求的进度计划不符，乙方无措施或无法按工期完工或质量无法达到合同要求的，甲方有权对部分分项工程指定第三方施工，乙方必须无条件服从和配合；此分项工程费用由甲方按实际发生费用从乙方的工程款中扣除，并加收</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的管理费；当累计完成工程量不足计划进度的</w:t>
      </w:r>
      <w:r>
        <w:rPr>
          <w:rFonts w:ascii="SimSun" w:hAnsi="SimSun" w:eastAsia="SimSun" w:cs="SimSun"/>
          <w:color w:val="000000"/>
          <w:spacing w:val="-2"/>
          <w:sz w:val="20"/>
        </w:rPr>
        <w:t xml:space="preserve">70%</w:t>
      </w:r>
      <w:r>
        <w:rPr>
          <w:rFonts w:ascii="Calibri" w:hAnsi="Calibri" w:eastAsia="Calibri" w:cs="Calibri"/>
          <w:color w:val="000000"/>
          <w:spacing w:val="-2"/>
          <w:sz w:val="20"/>
        </w:rPr>
        <w:t xml:space="preserve">时，可认为乙方无能力按期履行合同，甲方有权终止合同，并由乙方承担一切损失</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4.3.5</w:t>
      </w:r>
      <w:r>
        <w:rPr>
          <w:rFonts w:ascii="Calibri" w:hAnsi="Calibri" w:eastAsia="Calibri" w:cs="Calibri"/>
          <w:color w:val="000000"/>
          <w:spacing w:val="-2"/>
          <w:sz w:val="20"/>
        </w:rPr>
        <w:t xml:space="preserve"> 乙方未按程序报验的，每次向甲方支付</w:t>
      </w:r>
      <w:r>
        <w:rPr>
          <w:rFonts w:ascii="SimSun" w:hAnsi="SimSun" w:eastAsia="SimSun" w:cs="SimSun"/>
          <w:color w:val="000000"/>
          <w:spacing w:val="-2"/>
          <w:sz w:val="20"/>
        </w:rPr>
        <w:t xml:space="preserve">1000</w:t>
      </w:r>
      <w:r>
        <w:rPr>
          <w:rFonts w:ascii="Calibri" w:hAnsi="Calibri" w:eastAsia="Calibri" w:cs="Calibri"/>
          <w:color w:val="000000"/>
          <w:spacing w:val="-2"/>
          <w:sz w:val="20"/>
        </w:rPr>
        <w:t xml:space="preserve">元违约赔偿金；工序验收不合格的，须按要求返工，并每次向甲方支付</w:t>
      </w:r>
      <w:r>
        <w:rPr>
          <w:rFonts w:ascii="SimSun" w:hAnsi="SimSun" w:eastAsia="SimSun" w:cs="SimSun"/>
          <w:color w:val="000000"/>
          <w:spacing w:val="-2"/>
          <w:sz w:val="20"/>
        </w:rPr>
        <w:t xml:space="preserve">2000</w:t>
      </w:r>
      <w:r>
        <w:rPr>
          <w:rFonts w:ascii="Calibri" w:hAnsi="Calibri" w:eastAsia="Calibri" w:cs="Calibri"/>
          <w:color w:val="000000"/>
          <w:spacing w:val="-2"/>
          <w:sz w:val="20"/>
        </w:rPr>
        <w:t xml:space="preserve">元违约赔偿金</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4.3.6</w:t>
      </w:r>
      <w:r>
        <w:rPr>
          <w:rFonts w:ascii="Calibri" w:hAnsi="Calibri" w:eastAsia="Calibri" w:cs="Calibri"/>
          <w:color w:val="000000"/>
          <w:spacing w:val="-2"/>
          <w:sz w:val="20"/>
        </w:rPr>
        <w:t xml:space="preserve"> 乙方必须服从甲方发布的各项符合现行法律、法规的管理规定，如乙方不服从甲方及监理的管理，每次向甲方支付</w:t>
      </w:r>
      <w:r>
        <w:rPr>
          <w:rFonts w:ascii="SimSun" w:hAnsi="SimSun" w:eastAsia="SimSun" w:cs="SimSun"/>
          <w:color w:val="000000"/>
          <w:spacing w:val="-2"/>
          <w:sz w:val="20"/>
        </w:rPr>
        <w:t xml:space="preserve">10000</w:t>
      </w:r>
      <w:r>
        <w:rPr>
          <w:rFonts w:ascii="Calibri" w:hAnsi="Calibri" w:eastAsia="Calibri" w:cs="Calibri"/>
          <w:color w:val="000000"/>
          <w:spacing w:val="-2"/>
          <w:sz w:val="20"/>
        </w:rPr>
        <w:t xml:space="preserve">元违约赔偿金，且甲方有权解除合同，并要求乙方赔偿损失</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4.3.7</w:t>
      </w:r>
      <w:r>
        <w:rPr>
          <w:rFonts w:ascii="Calibri" w:hAnsi="Calibri" w:eastAsia="Calibri" w:cs="Calibri"/>
          <w:color w:val="000000"/>
          <w:spacing w:val="-2"/>
          <w:sz w:val="20"/>
        </w:rPr>
        <w:t xml:space="preserve"> 项目经理每周不少于</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天，每天不少于八小时必须在本工程现场工作，且必须参加每周召开的例会。并接受业主代表和监理总监的监督，如项目经理有特殊原因不能保证上述在岗时间的，需征得甲方书面同意后，授权项目副经理全权处理现场事务，且满足上述在岗时间，甲方发现项目经理不在本工程现场工作，甲方有权按每天</w:t>
      </w:r>
      <w:r>
        <w:rPr>
          <w:rFonts w:ascii="SimSun" w:hAnsi="SimSun" w:eastAsia="SimSun" w:cs="SimSun"/>
          <w:color w:val="000000"/>
          <w:spacing w:val="-2"/>
          <w:sz w:val="20"/>
        </w:rPr>
        <w:t xml:space="preserve">2000</w:t>
      </w:r>
      <w:r>
        <w:rPr>
          <w:rFonts w:ascii="Calibri" w:hAnsi="Calibri" w:eastAsia="Calibri" w:cs="Calibri"/>
          <w:color w:val="000000"/>
          <w:spacing w:val="-2"/>
          <w:sz w:val="20"/>
        </w:rPr>
        <w:t xml:space="preserve">元人民币的标准扣罚，项目经理每次例会无故不参加的罚款</w:t>
      </w:r>
      <w:r>
        <w:rPr>
          <w:rFonts w:ascii="SimSun" w:hAnsi="SimSun" w:eastAsia="SimSun" w:cs="SimSun"/>
          <w:color w:val="000000"/>
          <w:spacing w:val="-2"/>
          <w:sz w:val="20"/>
        </w:rPr>
        <w:t xml:space="preserve">500</w:t>
      </w:r>
      <w:r>
        <w:rPr>
          <w:rFonts w:ascii="Calibri" w:hAnsi="Calibri" w:eastAsia="Calibri" w:cs="Calibri"/>
          <w:color w:val="000000"/>
          <w:spacing w:val="-2"/>
          <w:sz w:val="20"/>
        </w:rPr>
        <w:t xml:space="preserve">元</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次。如项目经理一周有二个工作日或二周累计</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天不在现场，为乙方严重违约，甲方有权解除合同，将乙方清退出场，解除合同的同时不免除乙方应当承担的上述违约责任；</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4.3.8 </w:t>
      </w:r>
      <w:r>
        <w:rPr>
          <w:rFonts w:ascii="Calibri" w:hAnsi="Calibri" w:eastAsia="Calibri" w:cs="Calibri"/>
          <w:color w:val="000000"/>
          <w:spacing w:val="-2"/>
          <w:sz w:val="20"/>
        </w:rPr>
        <w:t xml:space="preserve">经查实如乙方有出借资质或挂靠施工现象发生，视乙方违约，乙方除须立即进行纠正外，甲方有权没收履约保证金</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4.3.9</w:t>
      </w:r>
      <w:r>
        <w:rPr>
          <w:rFonts w:ascii="Calibri" w:hAnsi="Calibri" w:eastAsia="Calibri" w:cs="Calibri"/>
          <w:color w:val="000000"/>
          <w:spacing w:val="-2"/>
          <w:sz w:val="20"/>
        </w:rPr>
        <w:t xml:space="preserve"> 乙方工程结算应实事求是、依法合规，严禁高估冒算、弄虚作假，否则由于种种不良行为造成的后果由施工单位承担。</w:t>
      </w:r>
      <w:r/>
    </w:p>
    <w:p>
      <w:pPr>
        <w:ind w:left="20" w:right="0" w:firstLine="392"/>
        <w:spacing w:before="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 </w:t>
      </w:r>
      <w:r/>
    </w:p>
    <w:p>
      <w:pPr>
        <w:ind w:left="0"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、付款方式</w:t>
      </w:r>
      <w:r/>
    </w:p>
    <w:p>
      <w:pPr>
        <w:pStyle w:val="717"/>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ascii="SimHei" w:hAnsi="SimHei" w:eastAsia="SimHei" w:cs="SimHei"/>
          <w:b/>
          <w:color w:val="000000"/>
          <w:spacing w:val="-2"/>
          <w:sz w:val="20"/>
        </w:rPr>
        <w:t xml:space="preserve">因设计和施工变更产生的追加工程项目，只能付至追加工程项目签证金额的</w:t>
      </w:r>
      <w:r>
        <w:rPr>
          <w:rFonts w:ascii="SimSun" w:hAnsi="SimSun" w:eastAsia="SimSun" w:cs="SimSun"/>
          <w:b/>
          <w:color w:val="000000"/>
          <w:spacing w:val="-2"/>
          <w:sz w:val="20"/>
        </w:rPr>
        <w:t xml:space="preserve">50%</w:t>
      </w:r>
      <w:r>
        <w:rPr>
          <w:rFonts w:ascii="SimHei" w:hAnsi="SimHei" w:eastAsia="SimHei" w:cs="SimHei"/>
          <w:b/>
          <w:color w:val="000000"/>
          <w:spacing w:val="-2"/>
          <w:sz w:val="20"/>
        </w:rPr>
        <w:t xml:space="preserve">；因设计和施工变更导致减少工程项目，应同比例减少本次工程进度款的支付）</w:t>
      </w:r>
      <w:r/>
    </w:p>
    <w:p>
      <w:pPr>
        <w:ind w:left="50" w:right="0" w:firstLine="0"/>
        <w:spacing w:before="2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rPr>
          <w:rFonts w:ascii="Calibri" w:hAnsi="Calibri" w:eastAsia="Calibri" w:cs="Calibri"/>
          <w:color w:val="000000"/>
          <w:spacing w:val="-2"/>
          <w:sz w:val="20"/>
          <w:u w:val="none"/>
        </w:rPr>
        <w:t xml:space="preserve">、结算审计的时间要求与费用</w:t>
      </w:r>
      <w:r/>
    </w:p>
    <w:p>
      <w:pPr>
        <w:ind w:left="0" w:right="0" w:firstLine="392"/>
        <w:spacing w:before="20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结算报审、审计时间要求</w:t>
      </w:r>
      <w:r/>
    </w:p>
    <w:p>
      <w:pPr>
        <w:ind w:left="0" w:right="0" w:firstLine="469"/>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 </w:t>
      </w:r>
      <w:r>
        <w:rPr>
          <w:rFonts w:ascii="Calibri" w:hAnsi="Calibri" w:eastAsia="Calibri" w:cs="Calibri"/>
          <w:color w:val="000000"/>
          <w:spacing w:val="-2"/>
          <w:sz w:val="20"/>
        </w:rPr>
        <w:t xml:space="preserve">结算报审、审计时间要求乙方在竣工验收及工程签证手续办理完成后</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个月内联系 甲方上报工程结算资料，甲方收到乙方提供的完备的竣工结算资料后，四十五个工作日内  出具审计征求意见稿。施工方需在收到征求意见稿之后</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个工作日内，就争议部分出具书  面意见并送达审计处，如按期未提供书面意见则视为无异议。双方对审计结果认可后十日内出具审核报告。甲方有权对超供部分甲供材在结算中扣除。</w:t>
      </w:r>
      <w:r/>
    </w:p>
    <w:p>
      <w:pPr>
        <w:ind w:left="0" w:right="0" w:firstLine="392"/>
        <w:spacing w:before="147"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竣工结算资料包括但不仅限于：（</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）施工合同、补充协议等；（</w:t>
      </w: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）中标通知书</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3</w:t>
      </w:r>
      <w:r>
        <w:rPr>
          <w:rFonts w:ascii="Calibri" w:hAnsi="Calibri" w:eastAsia="Calibri" w:cs="Calibri"/>
          <w:color w:val="000000"/>
          <w:spacing w:val="-2"/>
          <w:sz w:val="20"/>
        </w:rPr>
        <w:t xml:space="preserve">）招标文件、招标答疑、投标文件（纸质版和</w:t>
      </w:r>
      <w:r>
        <w:rPr>
          <w:rFonts w:ascii="SimSun" w:hAnsi="SimSun" w:eastAsia="SimSun" w:cs="SimSun"/>
          <w:color w:val="000000"/>
          <w:spacing w:val="-2"/>
          <w:sz w:val="20"/>
        </w:rPr>
        <w:t xml:space="preserve">PDF</w:t>
      </w:r>
      <w:r>
        <w:rPr>
          <w:rFonts w:ascii="Calibri" w:hAnsi="Calibri" w:eastAsia="Calibri" w:cs="Calibri"/>
          <w:color w:val="000000"/>
          <w:spacing w:val="-2"/>
          <w:sz w:val="20"/>
        </w:rPr>
        <w:t xml:space="preserve">版）；（</w:t>
      </w:r>
      <w:r>
        <w:rPr>
          <w:rFonts w:ascii="SimSun" w:hAnsi="SimSun" w:eastAsia="SimSun" w:cs="SimSun"/>
          <w:color w:val="000000"/>
          <w:spacing w:val="-2"/>
          <w:sz w:val="20"/>
        </w:rPr>
        <w:t xml:space="preserve">4</w:t>
      </w:r>
      <w:r>
        <w:rPr>
          <w:rFonts w:ascii="Calibri" w:hAnsi="Calibri" w:eastAsia="Calibri" w:cs="Calibri"/>
          <w:color w:val="000000"/>
          <w:spacing w:val="-2"/>
          <w:sz w:val="20"/>
        </w:rPr>
        <w:t xml:space="preserve">）竣工图、工程签证单、 设计变更等资料（至少一份原件）；（</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）开工、竣工报告；（</w:t>
      </w:r>
      <w:r>
        <w:rPr>
          <w:rFonts w:ascii="SimSun" w:hAnsi="SimSun" w:eastAsia="SimSun" w:cs="SimSun"/>
          <w:color w:val="000000"/>
          <w:spacing w:val="-2"/>
          <w:sz w:val="20"/>
        </w:rPr>
        <w:t xml:space="preserve">6</w:t>
      </w:r>
      <w:r>
        <w:rPr>
          <w:rFonts w:ascii="Calibri" w:hAnsi="Calibri" w:eastAsia="Calibri" w:cs="Calibri"/>
          <w:color w:val="000000"/>
          <w:spacing w:val="-2"/>
          <w:sz w:val="20"/>
        </w:rPr>
        <w:t xml:space="preserve">）工程影像资料；（</w:t>
      </w:r>
      <w:r>
        <w:rPr>
          <w:rFonts w:ascii="SimSun" w:hAnsi="SimSun" w:eastAsia="SimSun" w:cs="SimSun"/>
          <w:color w:val="000000"/>
          <w:spacing w:val="-2"/>
          <w:sz w:val="20"/>
        </w:rPr>
        <w:t xml:space="preserve">7</w:t>
      </w:r>
      <w:r>
        <w:rPr>
          <w:rFonts w:ascii="Calibri" w:hAnsi="Calibri" w:eastAsia="Calibri" w:cs="Calibri"/>
          <w:color w:val="000000"/>
          <w:spacing w:val="-2"/>
          <w:sz w:val="20"/>
        </w:rPr>
        <w:t xml:space="preserve">）施工用水电度数（如有）；（</w:t>
      </w:r>
      <w:r>
        <w:rPr>
          <w:rFonts w:ascii="SimSun" w:hAnsi="SimSun" w:eastAsia="SimSun" w:cs="SimSun"/>
          <w:color w:val="000000"/>
          <w:spacing w:val="-2"/>
          <w:sz w:val="20"/>
        </w:rPr>
        <w:t xml:space="preserve">8</w:t>
      </w:r>
      <w:r>
        <w:rPr>
          <w:rFonts w:ascii="Calibri" w:hAnsi="Calibri" w:eastAsia="Calibri" w:cs="Calibri"/>
          <w:color w:val="000000"/>
          <w:spacing w:val="-2"/>
          <w:sz w:val="20"/>
        </w:rPr>
        <w:t xml:space="preserve">）有关工程的质量、安全、奖罚资料；（</w:t>
      </w:r>
      <w:r>
        <w:rPr>
          <w:rFonts w:ascii="SimSun" w:hAnsi="SimSun" w:eastAsia="SimSun" w:cs="SimSun"/>
          <w:color w:val="000000"/>
          <w:spacing w:val="-2"/>
          <w:sz w:val="20"/>
        </w:rPr>
        <w:t xml:space="preserve">9</w:t>
      </w:r>
      <w:r>
        <w:rPr>
          <w:rFonts w:ascii="Calibri" w:hAnsi="Calibri" w:eastAsia="Calibri" w:cs="Calibri"/>
          <w:color w:val="000000"/>
          <w:spacing w:val="-2"/>
          <w:sz w:val="20"/>
        </w:rPr>
        <w:t xml:space="preserve">）竣工结算资料（含竣工结算书、工程量计算书）；（</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）甲供材清单（如有）；</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 </w:t>
      </w:r>
      <w:r>
        <w:rPr>
          <w:rFonts w:ascii="Calibri" w:hAnsi="Calibri" w:eastAsia="Calibri" w:cs="Calibri"/>
          <w:color w:val="000000"/>
          <w:spacing w:val="-2"/>
          <w:sz w:val="20"/>
        </w:rPr>
        <w:t xml:space="preserve">高校建设项目结算审计，应按下列规定支付审计费用</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）单项工程核减率超过</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的，其审计费用全部由施工单位承担，并由学校从施工单位工程款中扣除（下同）；（</w:t>
      </w: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）单项工程核减率在</w:t>
      </w:r>
      <w:r>
        <w:rPr>
          <w:rFonts w:ascii="SimSun" w:hAnsi="SimSun" w:eastAsia="SimSun" w:cs="SimSun"/>
          <w:color w:val="000000"/>
          <w:spacing w:val="-2"/>
          <w:sz w:val="20"/>
        </w:rPr>
        <w:t xml:space="preserve">8%—10%</w:t>
      </w:r>
      <w:r>
        <w:rPr>
          <w:rFonts w:ascii="Calibri" w:hAnsi="Calibri" w:eastAsia="Calibri" w:cs="Calibri"/>
          <w:color w:val="000000"/>
          <w:spacing w:val="-2"/>
          <w:sz w:val="20"/>
        </w:rPr>
        <w:t xml:space="preserve">（含</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）之间的，其审计费用由学校承担</w:t>
      </w:r>
      <w:r>
        <w:rPr>
          <w:rFonts w:ascii="SimSun" w:hAnsi="SimSun" w:eastAsia="SimSun" w:cs="SimSun"/>
          <w:color w:val="000000"/>
          <w:spacing w:val="-2"/>
          <w:sz w:val="20"/>
        </w:rPr>
        <w:t xml:space="preserve">20%</w:t>
      </w:r>
      <w:r>
        <w:rPr>
          <w:rFonts w:ascii="Calibri" w:hAnsi="Calibri" w:eastAsia="Calibri" w:cs="Calibri"/>
          <w:color w:val="000000"/>
          <w:spacing w:val="-2"/>
          <w:sz w:val="20"/>
        </w:rPr>
        <w:t xml:space="preserve">，施工单位承担</w:t>
      </w:r>
      <w:r>
        <w:rPr>
          <w:rFonts w:ascii="SimSun" w:hAnsi="SimSun" w:eastAsia="SimSun" w:cs="SimSun"/>
          <w:color w:val="000000"/>
          <w:spacing w:val="-2"/>
          <w:sz w:val="20"/>
        </w:rPr>
        <w:t xml:space="preserve">80%</w:t>
      </w: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3</w:t>
      </w:r>
      <w:r>
        <w:rPr>
          <w:rFonts w:ascii="Calibri" w:hAnsi="Calibri" w:eastAsia="Calibri" w:cs="Calibri"/>
          <w:color w:val="000000"/>
          <w:spacing w:val="-2"/>
          <w:sz w:val="20"/>
        </w:rPr>
        <w:t xml:space="preserve">）单项工程核减率在</w:t>
      </w:r>
      <w:r>
        <w:rPr>
          <w:rFonts w:ascii="SimSun" w:hAnsi="SimSun" w:eastAsia="SimSun" w:cs="SimSun"/>
          <w:color w:val="000000"/>
          <w:spacing w:val="-2"/>
          <w:sz w:val="20"/>
        </w:rPr>
        <w:t xml:space="preserve">5%—8%</w:t>
      </w:r>
      <w:r>
        <w:rPr>
          <w:rFonts w:ascii="Calibri" w:hAnsi="Calibri" w:eastAsia="Calibri" w:cs="Calibri"/>
          <w:color w:val="000000"/>
          <w:spacing w:val="-2"/>
          <w:sz w:val="20"/>
        </w:rPr>
        <w:t xml:space="preserve">（含</w:t>
      </w:r>
      <w:r>
        <w:rPr>
          <w:rFonts w:ascii="SimSun" w:hAnsi="SimSun" w:eastAsia="SimSun" w:cs="SimSun"/>
          <w:color w:val="000000"/>
          <w:spacing w:val="-2"/>
          <w:sz w:val="20"/>
        </w:rPr>
        <w:t xml:space="preserve">8%</w:t>
      </w:r>
      <w:r>
        <w:rPr>
          <w:rFonts w:ascii="Calibri" w:hAnsi="Calibri" w:eastAsia="Calibri" w:cs="Calibri"/>
          <w:color w:val="000000"/>
          <w:spacing w:val="-2"/>
          <w:sz w:val="20"/>
        </w:rPr>
        <w:t xml:space="preserve">）之间的，其审计费用由施工单位承担</w:t>
      </w:r>
      <w:r>
        <w:rPr>
          <w:rFonts w:ascii="SimSun" w:hAnsi="SimSun" w:eastAsia="SimSun" w:cs="SimSun"/>
          <w:color w:val="000000"/>
          <w:spacing w:val="-2"/>
          <w:sz w:val="20"/>
        </w:rPr>
        <w:t xml:space="preserve">20%</w:t>
      </w:r>
      <w:r>
        <w:rPr>
          <w:rFonts w:ascii="Calibri" w:hAnsi="Calibri" w:eastAsia="Calibri" w:cs="Calibri"/>
          <w:color w:val="000000"/>
          <w:spacing w:val="-2"/>
          <w:sz w:val="20"/>
        </w:rPr>
        <w:t xml:space="preserve">，学校承担</w:t>
      </w:r>
      <w:r>
        <w:rPr>
          <w:rFonts w:ascii="SimSun" w:hAnsi="SimSun" w:eastAsia="SimSun" w:cs="SimSun"/>
          <w:color w:val="000000"/>
          <w:spacing w:val="-2"/>
          <w:sz w:val="20"/>
        </w:rPr>
        <w:t xml:space="preserve">80%</w:t>
      </w: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4</w:t>
      </w:r>
      <w:r>
        <w:rPr>
          <w:rFonts w:ascii="Calibri" w:hAnsi="Calibri" w:eastAsia="Calibri" w:cs="Calibri"/>
          <w:color w:val="000000"/>
          <w:spacing w:val="-2"/>
          <w:sz w:val="20"/>
        </w:rPr>
        <w:t xml:space="preserve">）单项工程核减率在</w:t>
      </w:r>
      <w:r>
        <w:rPr>
          <w:rFonts w:ascii="SimSun" w:hAnsi="SimSun" w:eastAsia="SimSun" w:cs="SimSun"/>
          <w:color w:val="000000"/>
          <w:spacing w:val="-2"/>
          <w:sz w:val="20"/>
        </w:rPr>
        <w:t xml:space="preserve">5%</w:t>
      </w:r>
      <w:r>
        <w:rPr>
          <w:rFonts w:ascii="Calibri" w:hAnsi="Calibri" w:eastAsia="Calibri" w:cs="Calibri"/>
          <w:color w:val="000000"/>
          <w:spacing w:val="-2"/>
          <w:sz w:val="20"/>
        </w:rPr>
        <w:t xml:space="preserve">及以下的，其审计费用由学校承担。  核减率按审计最终核定额与施工单位申报的决算额之间的差额计算，费用由发包方在付工程款中扣除。</w:t>
      </w:r>
      <w:r/>
    </w:p>
    <w:p>
      <w:pPr>
        <w:ind w:left="0" w:right="0" w:firstLine="392"/>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 </w:t>
      </w:r>
      <w:r>
        <w:rPr>
          <w:rFonts w:ascii="Calibri" w:hAnsi="Calibri" w:eastAsia="Calibri" w:cs="Calibri"/>
          <w:color w:val="000000"/>
          <w:spacing w:val="-2"/>
          <w:sz w:val="20"/>
        </w:rPr>
        <w:t xml:space="preserve">工程设计变更签证单的管理</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1</w:t>
      </w:r>
      <w:r>
        <w:rPr>
          <w:rFonts w:ascii="Calibri" w:hAnsi="Calibri" w:eastAsia="Calibri" w:cs="Calibri"/>
          <w:color w:val="000000"/>
          <w:spacing w:val="-2"/>
          <w:sz w:val="20"/>
        </w:rPr>
        <w:t xml:space="preserve">）工程施工中发生的变更签证，严格按规定履行变更审批手续。在项目实施过程中</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建设管理部门应对变更项目进行费用预估。工程项目单项变更追加预算的审批权限：</w:t>
      </w:r>
      <w:r>
        <w:rPr>
          <w:rFonts w:ascii="SimSun" w:hAnsi="SimSun" w:eastAsia="SimSun" w:cs="SimSun"/>
          <w:color w:val="000000"/>
          <w:spacing w:val="-2"/>
          <w:sz w:val="20"/>
        </w:rPr>
        <w:t xml:space="preserve">设计变更、签证预估金额10万元以下，经使用（管理）单位党、政负责人申请，建设单位审核，分管维修校领导复核，校长审批；设计变更、签证预估金额10万元以上100万元以下，经使用（管理）单位党、政负责人申请，校长办公会决策；设计变更、签证预估金额 100 万元以上，经使用（管理）单位党、政负责人申请，校长办公会审议后，党委会决策。</w:t>
      </w:r>
      <w:r>
        <w:rPr>
          <w:rFonts w:ascii="Calibri" w:hAnsi="Calibri" w:eastAsia="Calibri" w:cs="Calibri"/>
          <w:color w:val="000000"/>
          <w:spacing w:val="-2"/>
          <w:sz w:val="20"/>
        </w:rPr>
        <w:t xml:space="preserve">建设工程项目进度预付款小于等于合同价格的</w:t>
      </w:r>
      <w:r>
        <w:rPr>
          <w:rFonts w:ascii="SimSun" w:hAnsi="SimSun" w:eastAsia="SimSun" w:cs="SimSun"/>
          <w:color w:val="000000"/>
          <w:spacing w:val="-2"/>
          <w:sz w:val="20"/>
        </w:rPr>
        <w:t xml:space="preserve">75%</w:t>
      </w:r>
      <w:r>
        <w:rPr>
          <w:rFonts w:ascii="Calibri" w:hAnsi="Calibri" w:eastAsia="Calibri" w:cs="Calibri"/>
          <w:color w:val="000000"/>
          <w:spacing w:val="-2"/>
          <w:sz w:val="20"/>
        </w:rPr>
        <w:t xml:space="preserve">和建设工程签证追加预付款小于等于预估价</w:t>
      </w:r>
      <w:r>
        <w:rPr>
          <w:rFonts w:ascii="SimSun" w:hAnsi="SimSun" w:eastAsia="SimSun" w:cs="SimSun"/>
          <w:color w:val="000000"/>
          <w:spacing w:val="-2"/>
          <w:sz w:val="20"/>
        </w:rPr>
        <w:t xml:space="preserve">50%</w:t>
      </w:r>
      <w:r>
        <w:rPr>
          <w:rFonts w:ascii="Calibri" w:hAnsi="Calibri" w:eastAsia="Calibri" w:cs="Calibri"/>
          <w:color w:val="000000"/>
          <w:spacing w:val="-2"/>
          <w:sz w:val="20"/>
        </w:rPr>
        <w:t xml:space="preserve">的，按照财务经费支付权限审批；建设工程签证减少工程预付款，同比例减少工程进度款的支付，由建设工程管理部门负责任人审批；（以上预估费用，仅作为签证权限使用，不作为结算费用依据。）</w:t>
      </w:r>
      <w:r/>
    </w:p>
    <w:p>
      <w:pPr>
        <w:ind w:left="0" w:right="0" w:firstLine="392"/>
        <w:spacing w:before="14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w:t>
      </w:r>
      <w:r>
        <w:rPr>
          <w:rFonts w:ascii="SimSun" w:hAnsi="SimSun" w:eastAsia="SimSun" w:cs="SimSun"/>
          <w:color w:val="000000"/>
          <w:spacing w:val="-2"/>
          <w:sz w:val="20"/>
        </w:rPr>
        <w:t xml:space="preserve">2</w:t>
      </w:r>
      <w:r>
        <w:rPr>
          <w:rFonts w:ascii="Calibri" w:hAnsi="Calibri" w:eastAsia="Calibri" w:cs="Calibri"/>
          <w:color w:val="000000"/>
          <w:spacing w:val="-2"/>
          <w:sz w:val="20"/>
        </w:rPr>
        <w:t xml:space="preserve">）工程签证总费用，不得超过合同价格的</w:t>
      </w:r>
      <w:r>
        <w:rPr>
          <w:rFonts w:ascii="SimSun" w:hAnsi="SimSun" w:eastAsia="SimSun" w:cs="SimSun"/>
          <w:color w:val="000000"/>
          <w:spacing w:val="-2"/>
          <w:sz w:val="20"/>
        </w:rPr>
        <w:t xml:space="preserve">10%</w:t>
      </w:r>
      <w:r>
        <w:rPr>
          <w:rFonts w:ascii="Calibri" w:hAnsi="Calibri" w:eastAsia="Calibri" w:cs="Calibri"/>
          <w:color w:val="000000"/>
          <w:spacing w:val="-2"/>
          <w:sz w:val="20"/>
        </w:rPr>
        <w:t xml:space="preserve">。</w:t>
      </w:r>
      <w:r/>
    </w:p>
    <w:p>
      <w:pPr>
        <w:ind w:left="0" w:right="0" w:firstLine="0"/>
        <w:spacing w:before="2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rPr>
          <w:rFonts w:ascii="Calibri" w:hAnsi="Calibri" w:eastAsia="Calibri" w:cs="Calibri"/>
          <w:color w:val="000000"/>
          <w:spacing w:val="-2"/>
          <w:sz w:val="20"/>
          <w:u w:val="none"/>
        </w:rPr>
        <w:t xml:space="preserve">、工程质量</w:t>
      </w:r>
      <w:r/>
    </w:p>
    <w:p>
      <w:pPr>
        <w:ind w:left="0" w:right="0" w:firstLine="392"/>
        <w:spacing w:before="20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 </w:t>
      </w:r>
      <w:r>
        <w:rPr>
          <w:rFonts w:ascii="Calibri" w:hAnsi="Calibri" w:eastAsia="Calibri" w:cs="Calibri"/>
          <w:color w:val="000000"/>
          <w:spacing w:val="-2"/>
          <w:sz w:val="20"/>
        </w:rPr>
        <w:t xml:space="preserve">改造部位施工质量达到合格要求。</w:t>
      </w:r>
      <w:r/>
    </w:p>
    <w:p>
      <w:pPr>
        <w:ind w:left="0" w:right="0" w:firstLine="0"/>
        <w:spacing w:before="2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rPr>
          <w:rFonts w:ascii="Calibri" w:hAnsi="Calibri" w:eastAsia="Calibri" w:cs="Calibri"/>
          <w:color w:val="000000"/>
          <w:spacing w:val="-2"/>
          <w:sz w:val="20"/>
          <w:u w:val="none"/>
        </w:rPr>
        <w:t xml:space="preserve">、甲、乙双方驻工地代表</w:t>
      </w:r>
      <w:r/>
    </w:p>
    <w:p>
      <w:pPr>
        <w:ind w:left="0" w:right="0" w:firstLine="392"/>
        <w:spacing w:before="20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8.1 </w:t>
      </w:r>
      <w:r>
        <w:rPr>
          <w:rFonts w:ascii="Calibri" w:hAnsi="Calibri" w:eastAsia="Calibri" w:cs="Calibri"/>
          <w:color w:val="000000"/>
          <w:spacing w:val="-2"/>
          <w:sz w:val="20"/>
        </w:rPr>
        <w:t xml:space="preserve">甲方驻工地代表：</w:t>
      </w:r>
      <w:r>
        <w:rPr>
          <w:rFonts w:ascii="Calibri" w:hAnsi="Calibri" w:eastAsia="Calibri" w:cs="Calibri"/>
          <w:color w:val="000000"/>
          <w:spacing w:val="-2"/>
          <w:sz w:val="20"/>
          <w:u w:val="single"/>
        </w:rPr>
        <w:t xml:space="preserve">           </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乙方驻工地代表：</w:t>
      </w:r>
      <w:r>
        <w:rPr>
          <w:rFonts w:ascii="Calibri" w:hAnsi="Calibri" w:eastAsia="Calibri" w:cs="Calibri"/>
          <w:color w:val="000000"/>
          <w:spacing w:val="-2"/>
          <w:sz w:val="20"/>
          <w:u w:val="single"/>
        </w:rPr>
        <w:t xml:space="preserve">              </w:t>
      </w:r>
      <w:r>
        <w:rPr>
          <w:rFonts w:ascii="SimSun" w:hAnsi="SimSun" w:eastAsia="SimSun" w:cs="SimSun"/>
          <w:color w:val="000000"/>
          <w:spacing w:val="-2"/>
          <w:sz w:val="20"/>
        </w:rPr>
        <w:t xml:space="preserve">           </w:t>
      </w:r>
      <w:r/>
    </w:p>
    <w:p>
      <w:pPr>
        <w:ind w:left="0" w:right="0" w:firstLine="0"/>
        <w:spacing w:before="192" w:after="0" w:line="85" w:lineRule="atLeast"/>
        <w:tabs>
          <w:tab w:val="left" w:pos="2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rPr>
          <w:rFonts w:ascii="Calibri" w:hAnsi="Calibri" w:eastAsia="Calibri" w:cs="Calibri"/>
          <w:color w:val="000000"/>
          <w:spacing w:val="-2"/>
          <w:sz w:val="20"/>
        </w:rPr>
        <w:t xml:space="preserve">、竣工验收及工程交付</w:t>
      </w:r>
      <w:r/>
    </w:p>
    <w:p>
      <w:pPr>
        <w:ind w:left="0" w:right="0" w:firstLine="392"/>
        <w:spacing w:before="20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9.1 </w:t>
      </w:r>
      <w:r>
        <w:rPr>
          <w:rFonts w:ascii="Calibri" w:hAnsi="Calibri" w:eastAsia="Calibri" w:cs="Calibri"/>
          <w:color w:val="000000"/>
          <w:spacing w:val="-2"/>
          <w:sz w:val="20"/>
        </w:rPr>
        <w:t xml:space="preserve">在进行竣工工程验收中，如发现工程质量不符合规定，乙方应负责在规定时间内无偿修理或返工直至验收合格。</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9.2 </w:t>
      </w:r>
      <w:r>
        <w:rPr>
          <w:rFonts w:ascii="Calibri" w:hAnsi="Calibri" w:eastAsia="Calibri" w:cs="Calibri"/>
          <w:color w:val="000000"/>
          <w:spacing w:val="-2"/>
          <w:sz w:val="20"/>
        </w:rPr>
        <w:t xml:space="preserve">乙方应当在验收合格之日起</w:t>
      </w:r>
      <w:r>
        <w:rPr>
          <w:rFonts w:ascii="SimSun" w:hAnsi="SimSun" w:eastAsia="SimSun" w:cs="SimSun"/>
          <w:color w:val="000000"/>
          <w:spacing w:val="-2"/>
          <w:sz w:val="20"/>
        </w:rPr>
        <w:t xml:space="preserve">3</w:t>
      </w:r>
      <w:r>
        <w:rPr>
          <w:rFonts w:ascii="Calibri" w:hAnsi="Calibri" w:eastAsia="Calibri" w:cs="Calibri"/>
          <w:color w:val="000000"/>
          <w:spacing w:val="-2"/>
          <w:sz w:val="20"/>
        </w:rPr>
        <w:t xml:space="preserve">天内向甲方交付工程，在交付之前，乙方应当将一切杂物及剩余材料清除干净，一切费用由乙方承担。</w:t>
      </w:r>
      <w:r/>
    </w:p>
    <w:p>
      <w:pPr>
        <w:ind w:left="0" w:right="0" w:firstLine="0"/>
        <w:spacing w:before="2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rPr>
          <w:rFonts w:ascii="Calibri" w:hAnsi="Calibri" w:eastAsia="Calibri" w:cs="Calibri"/>
          <w:color w:val="000000"/>
          <w:spacing w:val="-2"/>
          <w:sz w:val="20"/>
          <w:u w:val="none"/>
        </w:rPr>
        <w:t xml:space="preserve">、工程质量标准及保修</w:t>
      </w:r>
      <w:r/>
    </w:p>
    <w:p>
      <w:pPr>
        <w:ind w:left="0" w:right="230" w:firstLine="392"/>
        <w:jc w:val="both"/>
        <w:spacing w:before="21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按发包合同有关质量的约定、国家现行的其他相关规范执行，本工作必须达到国家质量验收标准，根据《建设工程质量管理条例》及有关规定，工程的质量保修期如下：工程保修期限为：</w:t>
      </w:r>
      <w:r>
        <w:rPr>
          <w:rFonts w:ascii="Calibri" w:hAnsi="Calibri" w:eastAsia="Calibri" w:cs="Calibri"/>
          <w:color w:val="000000"/>
          <w:spacing w:val="-2"/>
          <w:sz w:val="20"/>
          <w:u w:val="single"/>
        </w:rPr>
        <w:t xml:space="preserve">    </w:t>
      </w:r>
      <w:r>
        <w:rPr>
          <w:rFonts w:ascii="Calibri" w:hAnsi="Calibri" w:eastAsia="Calibri" w:cs="Calibri"/>
          <w:color w:val="000000"/>
          <w:spacing w:val="-2"/>
          <w:sz w:val="20"/>
        </w:rPr>
        <w:t xml:space="preserve">个月（以乙方承诺质保期为准），自工程竣工验收合格交付之日起计算。质保期如出现质量问题，乙方无条件负责维修。缺陷责任期为：</w:t>
      </w:r>
      <w:r>
        <w:rPr>
          <w:rFonts w:ascii="SimSun" w:hAnsi="SimSun" w:eastAsia="SimSun" w:cs="SimSun"/>
          <w:color w:val="000000"/>
          <w:spacing w:val="-2"/>
          <w:sz w:val="20"/>
          <w:u w:val="single"/>
        </w:rPr>
        <w:t xml:space="preserve">24</w:t>
      </w:r>
      <w:r>
        <w:rPr>
          <w:rFonts w:ascii="Calibri" w:hAnsi="Calibri" w:eastAsia="Calibri" w:cs="Calibri"/>
          <w:color w:val="000000"/>
          <w:spacing w:val="-2"/>
          <w:sz w:val="20"/>
        </w:rPr>
        <w:t xml:space="preserve">个月。</w:t>
      </w:r>
      <w:r/>
    </w:p>
    <w:p>
      <w:pPr>
        <w:ind w:left="0" w:right="0" w:firstLine="0"/>
        <w:spacing w:before="2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rPr>
          <w:rFonts w:ascii="Calibri" w:hAnsi="Calibri" w:eastAsia="Calibri" w:cs="Calibri"/>
          <w:color w:val="000000"/>
          <w:spacing w:val="-2"/>
          <w:sz w:val="20"/>
          <w:u w:val="none"/>
        </w:rPr>
        <w:t xml:space="preserve">、纠纷解决</w:t>
      </w:r>
      <w:r/>
    </w:p>
    <w:p>
      <w:pPr>
        <w:ind w:left="0" w:right="0" w:firstLine="392"/>
        <w:spacing w:before="20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11.1 </w:t>
      </w:r>
      <w:r>
        <w:rPr>
          <w:rFonts w:ascii="Calibri" w:hAnsi="Calibri" w:eastAsia="Calibri" w:cs="Calibri"/>
          <w:color w:val="000000"/>
          <w:spacing w:val="-2"/>
          <w:sz w:val="20"/>
        </w:rPr>
        <w:t xml:space="preserve">对本协议所产生的争议，甲、乙双方可通过友好协商，如协商不成时，可向工程所在地人民法院起诉。</w:t>
      </w:r>
      <w:r/>
    </w:p>
    <w:p>
      <w:pPr>
        <w:ind w:left="26"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rPr>
          <w:rFonts w:ascii="Calibri" w:hAnsi="Calibri" w:eastAsia="Calibri" w:cs="Calibri"/>
          <w:color w:val="000000"/>
          <w:spacing w:val="-2"/>
          <w:sz w:val="20"/>
          <w:u w:val="none"/>
        </w:rPr>
        <w:t xml:space="preserve">合同生效及其它</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12.1 </w:t>
      </w:r>
      <w:r>
        <w:rPr>
          <w:rFonts w:ascii="Calibri" w:hAnsi="Calibri" w:eastAsia="Calibri" w:cs="Calibri"/>
          <w:color w:val="000000"/>
          <w:spacing w:val="-2"/>
          <w:sz w:val="20"/>
        </w:rPr>
        <w:t xml:space="preserve">本合同一式肆份，甲方执叁份，乙方执壹份。</w:t>
      </w:r>
      <w:r/>
    </w:p>
    <w:p>
      <w:pPr>
        <w:ind w:left="0" w:right="0" w:firstLine="39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12.2 </w:t>
      </w:r>
      <w:r>
        <w:rPr>
          <w:rFonts w:ascii="Calibri" w:hAnsi="Calibri" w:eastAsia="Calibri" w:cs="Calibri"/>
          <w:color w:val="000000"/>
          <w:spacing w:val="-2"/>
          <w:sz w:val="20"/>
        </w:rPr>
        <w:t xml:space="preserve">本合同自双方签订之日起生效。合同如有变更，经双方协商后制成合同附件或者双方经协商一致可签订补充协议，双方签订盖章后与本合同具有同等法律效力。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36"/>
        <w:gridCol w:w="4012"/>
      </w:tblGrid>
      <w:tr>
        <w:trPr>
          <w:trHeight w:val="120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80" w:right="0" w:firstLine="0"/>
              <w:spacing w:before="7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甲方</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公章</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2994" w:right="0" w:firstLine="0"/>
              <w:spacing w:before="69"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年</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月</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日</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70" w:right="0" w:firstLine="0"/>
              <w:spacing w:before="7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乙方</w:t>
            </w:r>
            <w:r>
              <w:rPr>
                <w:rFonts w:ascii="SimSun" w:hAnsi="SimSun" w:eastAsia="SimSun" w:cs="SimSun"/>
                <w:color w:val="000000"/>
                <w:spacing w:val="-2"/>
                <w:sz w:val="20"/>
              </w:rPr>
              <w:t xml:space="preserve">(</w:t>
            </w:r>
            <w:r>
              <w:rPr>
                <w:rFonts w:ascii="Calibri" w:hAnsi="Calibri" w:eastAsia="Calibri" w:cs="Calibri"/>
                <w:color w:val="000000"/>
                <w:spacing w:val="-2"/>
                <w:sz w:val="20"/>
              </w:rPr>
              <w:t xml:space="preserve">公章</w:t>
            </w:r>
            <w:r>
              <w:rPr>
                <w:rFonts w:ascii="SimSun" w:hAnsi="SimSun" w:eastAsia="SimSun" w:cs="SimSun"/>
                <w:color w:val="000000"/>
                <w:spacing w:val="-2"/>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2994" w:right="0" w:firstLine="0"/>
              <w:spacing w:before="69"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年</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月</w:t>
            </w:r>
            <w:r>
              <w:rPr>
                <w:rFonts w:ascii="SimSun" w:hAnsi="SimSun" w:eastAsia="SimSun" w:cs="SimSun"/>
                <w:color w:val="000000"/>
                <w:spacing w:val="-2"/>
                <w:sz w:val="20"/>
              </w:rPr>
              <w:t xml:space="preserve">  </w:t>
            </w:r>
            <w:r>
              <w:rPr>
                <w:rFonts w:ascii="Calibri" w:hAnsi="Calibri" w:eastAsia="Calibri" w:cs="Calibri"/>
                <w:color w:val="000000"/>
                <w:spacing w:val="-2"/>
                <w:sz w:val="20"/>
              </w:rPr>
              <w:t xml:space="preserve">日</w:t>
            </w:r>
            <w:r/>
          </w:p>
        </w:tc>
      </w:tr>
      <w:tr>
        <w:trPr>
          <w:trHeight w:val="6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54" w:right="0" w:firstLine="0"/>
              <w:spacing w:before="23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单位地址：</w:t>
            </w:r>
            <w:r>
              <w:rPr>
                <w:rFonts w:ascii="SimSun" w:hAnsi="SimSun" w:eastAsia="SimSun" w:cs="SimSun"/>
                <w:color w:val="000000"/>
                <w:spacing w:val="-2"/>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55"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单位地址：</w:t>
            </w:r>
            <w:r>
              <w:rPr>
                <w:rFonts w:ascii="SimSun" w:hAnsi="SimSun" w:eastAsia="SimSun" w:cs="SimSun"/>
                <w:color w:val="000000"/>
                <w:spacing w:val="-2"/>
                <w:sz w:val="20"/>
              </w:rPr>
              <w:t xml:space="preserve"> </w:t>
            </w:r>
            <w:r/>
          </w:p>
        </w:tc>
      </w:tr>
      <w:tr>
        <w:trPr>
          <w:trHeight w:val="3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68" w:right="0" w:firstLine="0"/>
              <w:spacing w:before="99"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邮政编码：</w:t>
            </w:r>
            <w:r>
              <w:rPr>
                <w:rFonts w:ascii="SimSun" w:hAnsi="SimSun" w:eastAsia="SimSun" w:cs="SimSun"/>
                <w:color w:val="000000"/>
                <w:spacing w:val="-2"/>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68" w:right="0" w:firstLine="0"/>
              <w:spacing w:before="99"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邮政编码：</w:t>
            </w:r>
            <w:r/>
          </w:p>
        </w:tc>
      </w:tr>
      <w:tr>
        <w:trPr>
          <w:trHeight w:val="6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54" w:right="0" w:firstLine="0"/>
              <w:spacing w:before="7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法定代表人（或委托代理人）</w:t>
            </w:r>
            <w:r/>
          </w:p>
          <w:p>
            <w:pPr>
              <w:ind w:left="58"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（签字）：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54" w:right="0" w:firstLine="0"/>
              <w:spacing w:before="7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法定代表人（或委托代理人）</w:t>
            </w:r>
            <w:r/>
          </w:p>
          <w:p>
            <w:pPr>
              <w:ind w:left="59"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（签字）：</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54" w:right="0" w:firstLine="0"/>
              <w:spacing w:before="103"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54" w:right="0" w:firstLine="0"/>
              <w:spacing w:before="103"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联系人：</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77" w:right="0" w:firstLine="0"/>
              <w:spacing w:before="104"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77" w:right="0" w:firstLine="0"/>
              <w:spacing w:before="104"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电话：</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开户银行：</w:t>
            </w:r>
            <w:r/>
          </w:p>
          <w:p>
            <w:pPr>
              <w:ind w:left="54" w:right="0" w:firstLine="0"/>
              <w:spacing w:before="10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54" w:right="0" w:firstLine="0"/>
              <w:spacing w:before="10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开户银行：</w:t>
            </w:r>
            <w:r/>
          </w:p>
        </w:tc>
      </w:tr>
      <w:tr>
        <w:trPr>
          <w:trHeight w:val="3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账号：</w:t>
            </w:r>
            <w:r/>
          </w:p>
          <w:p>
            <w:pPr>
              <w:ind w:left="56" w:right="0" w:firstLine="0"/>
              <w:spacing w:before="10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2" w:type="dxa"/>
            <w:vAlign w:val="top"/>
            <w:textDirection w:val="lrTb"/>
            <w:noWrap w:val="false"/>
          </w:tcPr>
          <w:p>
            <w:pPr>
              <w:ind w:left="56" w:right="0" w:firstLine="0"/>
              <w:spacing w:before="105"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
                <w:sz w:val="20"/>
              </w:rPr>
              <w:t xml:space="preserve">账号：</w:t>
            </w:r>
            <w:r/>
          </w:p>
        </w:tc>
      </w:tr>
    </w:tbl>
    <w:p>
      <w:pPr>
        <w:pStyle w:val="955"/>
        <w:ind w:left="0" w:right="177" w:firstLine="0"/>
        <w:jc w:val="center"/>
        <w:spacing w:before="0" w:after="0" w:line="85" w:lineRule="atLeast"/>
        <w:tabs>
          <w:tab w:val="left" w:pos="1279" w:leader="none"/>
        </w:tabs>
        <w:pBdr>
          <w:top w:val="none" w:color="000000" w:sz="4" w:space="0"/>
          <w:left w:val="none" w:color="000000" w:sz="4" w:space="0"/>
          <w:bottom w:val="none" w:color="000000" w:sz="4" w:space="0"/>
          <w:right w:val="none" w:color="000000" w:sz="4" w:space="0"/>
        </w:pBdr>
      </w:pPr>
      <w:r>
        <w:br w:type="page" w:clear="all"/>
      </w:r>
      <w:r/>
    </w:p>
    <w:p>
      <w:pPr>
        <w:pStyle w:val="955"/>
        <w:ind w:left="0" w:right="177" w:firstLine="0"/>
        <w:jc w:val="center"/>
        <w:spacing w:before="0" w:after="0" w:line="85" w:lineRule="atLeast"/>
        <w:tabs>
          <w:tab w:val="left" w:pos="12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w:t>
      </w:r>
      <w:r>
        <w:rPr>
          <w:rFonts w:ascii="SimSun" w:hAnsi="SimSun" w:eastAsia="SimSun" w:cs="SimSun"/>
          <w:b/>
          <w:color w:val="000000"/>
          <w:sz w:val="44"/>
        </w:rPr>
        <w:tab/>
        <w:t xml:space="preserve"> 响应文件格式</w:t>
      </w:r>
      <w:r/>
    </w:p>
    <w:p>
      <w:pPr>
        <w:ind w:left="0" w:right="0" w:firstLine="47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磋商响应文件相应材料请按附件样式进行填写，如附件无明确规定的，由供应商自行编制。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正本/副本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[注：供应商根据编制顺序编制磋商文件并制作目录（须生成页码）]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格式一、竞争性磋商申请及声明格式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磋商申请及声明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致：江苏海事职业技术学院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（项目编号）磋商邀请，正式授权下述签字人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 (姓名和职务)代表</w:t>
      </w:r>
      <w:r>
        <w:rPr>
          <w:rFonts w:ascii="SimSun" w:hAnsi="SimSun" w:eastAsia="SimSun" w:cs="SimSun"/>
          <w:color w:val="000000"/>
          <w:sz w:val="22"/>
          <w:u w:val="single"/>
        </w:rPr>
        <w:t xml:space="preserve">                        </w:t>
      </w:r>
      <w:r>
        <w:rPr>
          <w:rFonts w:ascii="SimSun" w:hAnsi="SimSun" w:eastAsia="SimSun" w:cs="SimSun"/>
          <w:color w:val="000000"/>
          <w:sz w:val="22"/>
        </w:rPr>
        <w:t xml:space="preserve">（供应商名称），提交响应性文件并参加磋商。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1、我们的资格条件完全符合政府采购法和本次采购要求，我们同意并向贵方提供了与本次采购活动有关的所有证据和资料。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2、按竞争性磋商要求，</w:t>
      </w:r>
      <w:r>
        <w:rPr>
          <w:rFonts w:ascii="SimSun" w:hAnsi="SimSun" w:eastAsia="SimSun" w:cs="SimSun"/>
          <w:color w:val="000000"/>
          <w:sz w:val="21"/>
        </w:rPr>
        <w:t xml:space="preserve">我方的</w:t>
      </w:r>
      <w:r>
        <w:rPr>
          <w:rFonts w:ascii="SimSun" w:hAnsi="SimSun" w:eastAsia="SimSun" w:cs="SimSun"/>
          <w:color w:val="000000"/>
          <w:sz w:val="22"/>
        </w:rPr>
        <w:t xml:space="preserve">响应总价为人民币（大写）</w:t>
      </w:r>
      <w:r>
        <w:rPr>
          <w:rFonts w:ascii="SimSun" w:hAnsi="SimSun" w:eastAsia="SimSun" w:cs="SimSun"/>
          <w:color w:val="000000"/>
          <w:sz w:val="22"/>
          <w:u w:val="single"/>
        </w:rPr>
        <w:t xml:space="preserve">                     ，</w:t>
      </w:r>
      <w:r>
        <w:rPr>
          <w:rFonts w:ascii="SimSun" w:hAnsi="SimSun" w:eastAsia="SimSun" w:cs="SimSun"/>
          <w:color w:val="000000"/>
          <w:sz w:val="22"/>
        </w:rPr>
        <w:t xml:space="preserve">（小写）</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我方承诺本项目的工期（合同履行期）为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4、如果我方中标，将派出_____________作为项目负责人。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5、我们已详细审核全部磋商文件及其有效补充文件，我们放弃对磋商文件任何误解的权利，提交响应文件后，不对磋商文件本身提出质疑。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6、一旦我方成交，我方将根据磋商文件的规定，严格履行合同，保证于承诺的时间内完成，并交付采购人验收、使用。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8、我方正式通讯方式为：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9、我方正式开户银行和账号为：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帐    号：</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供应商授权代表姓名（签字或签章）：</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w:t>
      </w:r>
      <w:r>
        <w:rPr>
          <w:rFonts w:ascii="SimSun" w:hAnsi="SimSun" w:eastAsia="SimSun" w:cs="SimSun"/>
          <w:color w:val="000000"/>
          <w:sz w:val="22"/>
          <w:u w:val="single"/>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致：江苏海事职业技术学院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SimSun" w:hAnsi="SimSun" w:eastAsia="SimSun" w:cs="SimSun"/>
          <w:color w:val="000000"/>
          <w:sz w:val="22"/>
          <w:u w:val="single"/>
        </w:rPr>
        <w:t xml:space="preserve">              </w:t>
      </w:r>
      <w:r>
        <w:rPr>
          <w:rFonts w:ascii="SimSun" w:hAnsi="SimSun" w:eastAsia="SimSun" w:cs="SimSun"/>
          <w:color w:val="000000"/>
          <w:sz w:val="22"/>
        </w:rPr>
        <w:t xml:space="preserve">（响应人住址）的</w:t>
      </w:r>
      <w:r>
        <w:rPr>
          <w:rFonts w:ascii="SimSun" w:hAnsi="SimSun" w:eastAsia="SimSun" w:cs="SimSun"/>
          <w:color w:val="000000"/>
          <w:sz w:val="22"/>
          <w:u w:val="single"/>
        </w:rPr>
        <w:t xml:space="preserve">           </w:t>
      </w:r>
      <w:r>
        <w:rPr>
          <w:rFonts w:ascii="SimSun" w:hAnsi="SimSun" w:eastAsia="SimSun" w:cs="SimSun"/>
          <w:color w:val="000000"/>
          <w:sz w:val="22"/>
        </w:rPr>
        <w:t xml:space="preserve">（响应人名称）法定代表人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SimSun" w:hAnsi="SimSun" w:eastAsia="SimSun" w:cs="SimSun"/>
          <w:color w:val="000000"/>
          <w:sz w:val="22"/>
          <w:u w:val="single"/>
        </w:rPr>
        <w:t xml:space="preserve">        </w:t>
      </w:r>
      <w:r>
        <w:rPr>
          <w:rFonts w:ascii="SimSun" w:hAnsi="SimSun" w:eastAsia="SimSun" w:cs="SimSun"/>
          <w:color w:val="000000"/>
          <w:sz w:val="22"/>
        </w:rPr>
        <w:t xml:space="preserve">（响应人代表姓名、职务）为本公司的合法代理人，就贵方组织的</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（项目编号）响应，以本公司名义处理一切与之有关的事务。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法定代表人、委托代理人的身份证加盖电子公章：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5"/>
      </w:tblGrid>
      <w:tr>
        <w:trPr>
          <w:trHeight w:val="26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身份证正面</w:t>
            </w:r>
            <w:r/>
          </w:p>
        </w:tc>
      </w:tr>
      <w:tr>
        <w:trPr>
          <w:trHeight w:val="2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身份证反面</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格式三、响应报价表格式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响应报价表（首轮报价）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9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项目名称：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69"/>
        <w:gridCol w:w="1455"/>
        <w:gridCol w:w="1294"/>
        <w:gridCol w:w="1354"/>
        <w:gridCol w:w="1562"/>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小、微型企业报价（元）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总价（人民币，大写）</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1、在“供应商是否属于小和微型企业”栏后“是”或“否”上打“√”，如填写“是”，供应商需提供《中小企业声明函》，如未按要求填写或相关内容表述不清的，不得享受价格扣除。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2、如果行数不够，请自行增加。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42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（根据工程量清单报价）</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w:t>
      </w:r>
      <w:r>
        <w:rPr>
          <w:rFonts w:ascii="SimSun" w:hAnsi="SimSun" w:eastAsia="SimSun" w:cs="SimSun"/>
          <w:b/>
          <w:color w:val="000000"/>
          <w:sz w:val="21"/>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 </w:t>
      </w:r>
      <w:r>
        <w:rPr>
          <w:rFonts w:ascii="SimSun" w:hAnsi="SimSun" w:eastAsia="SimSun" w:cs="SimSun"/>
          <w:color w:val="000000"/>
          <w:sz w:val="24"/>
          <w:u w:val="single"/>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格式四：企业声明函格式（非中小企业无需提供）</w:t>
      </w:r>
      <w:r/>
    </w:p>
    <w:p>
      <w:pPr>
        <w:ind w:left="118" w:right="0" w:firstLine="0"/>
        <w:jc w:val="center"/>
        <w:spacing w:before="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u w:val="none"/>
        </w:rPr>
        <w:t xml:space="preserve">中小</w:t>
      </w:r>
      <w:r>
        <w:rPr>
          <w:rFonts w:ascii="SimSun" w:hAnsi="SimSun" w:eastAsia="SimSun" w:cs="SimSun"/>
          <w:b/>
          <w:color w:val="000000"/>
          <w:sz w:val="36"/>
        </w:rPr>
        <w:t xml:space="preserve">企</w:t>
      </w:r>
      <w:r>
        <w:rPr>
          <w:rFonts w:ascii="SimSun" w:hAnsi="SimSun" w:eastAsia="SimSun" w:cs="SimSun"/>
          <w:b/>
          <w:color w:val="000000"/>
          <w:spacing w:val="2"/>
          <w:sz w:val="36"/>
        </w:rPr>
        <w:t xml:space="preserve">业声</w:t>
      </w:r>
      <w:r>
        <w:rPr>
          <w:rFonts w:ascii="SimSun" w:hAnsi="SimSun" w:eastAsia="SimSun" w:cs="SimSun"/>
          <w:b/>
          <w:color w:val="000000"/>
          <w:sz w:val="36"/>
        </w:rPr>
        <w:t xml:space="preserve">明</w:t>
      </w:r>
      <w:r>
        <w:rPr>
          <w:rFonts w:ascii="SimSun" w:hAnsi="SimSun" w:eastAsia="SimSun" w:cs="SimSun"/>
          <w:b/>
          <w:color w:val="000000"/>
          <w:spacing w:val="2"/>
          <w:sz w:val="36"/>
        </w:rPr>
        <w:t xml:space="preserve">函（</w:t>
      </w:r>
      <w:r>
        <w:rPr>
          <w:rFonts w:ascii="SimSun" w:hAnsi="SimSun" w:eastAsia="SimSun" w:cs="SimSun"/>
          <w:b/>
          <w:color w:val="000000"/>
          <w:sz w:val="36"/>
        </w:rPr>
        <w:t xml:space="preserve">工程）</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采购活动，提供的货物/工程全部由符合政策要求的中小企业承接。相关企业（含联合体中的中小企业、签订分包意向协议的中小企业）的具体情况如下：</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          </w:t>
      </w:r>
      <w:r>
        <w:rPr>
          <w:rFonts w:ascii="SimSun" w:hAnsi="SimSun" w:eastAsia="SimSun" w:cs="SimSun"/>
          <w:color w:val="000000"/>
          <w:sz w:val="21"/>
        </w:rPr>
        <w:t xml:space="preserve"> （标的名称） ，属于</w:t>
      </w:r>
      <w:r>
        <w:rPr>
          <w:rFonts w:ascii="SimSun" w:hAnsi="SimSun" w:eastAsia="SimSun" w:cs="SimSun"/>
          <w:color w:val="000000"/>
          <w:sz w:val="21"/>
          <w:u w:val="single"/>
        </w:rPr>
        <w:t xml:space="preserve">   建筑业</w:t>
      </w:r>
      <w:r>
        <w:rPr>
          <w:rFonts w:ascii="SimSun" w:hAnsi="SimSun" w:eastAsia="SimSun" w:cs="SimSun"/>
          <w:color w:val="000000"/>
          <w:sz w:val="21"/>
        </w:rPr>
        <w:t xml:space="preserve">（所属行业）； 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 小型企业、微型企业）； </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          </w:t>
      </w:r>
      <w:r>
        <w:rPr>
          <w:rFonts w:ascii="SimSun" w:hAnsi="SimSun" w:eastAsia="SimSun" w:cs="SimSun"/>
          <w:color w:val="000000"/>
          <w:sz w:val="21"/>
        </w:rPr>
        <w:t xml:space="preserve"> （标的名称） ，属于</w:t>
      </w:r>
      <w:r>
        <w:rPr>
          <w:rFonts w:ascii="SimSun" w:hAnsi="SimSun" w:eastAsia="SimSun" w:cs="SimSun"/>
          <w:color w:val="000000"/>
          <w:sz w:val="21"/>
          <w:u w:val="single"/>
        </w:rPr>
        <w:t xml:space="preserve">           </w:t>
      </w:r>
      <w:r>
        <w:rPr>
          <w:rFonts w:ascii="SimSun" w:hAnsi="SimSun" w:eastAsia="SimSun" w:cs="SimSun"/>
          <w:color w:val="000000"/>
          <w:sz w:val="21"/>
        </w:rPr>
        <w:t xml:space="preserve">（所属行业）； 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 小型企业、微型企业）； </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84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8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2、供应商如不提供此声明函，价格将不做相应扣除。</w:t>
      </w:r>
      <w:r/>
    </w:p>
    <w:p>
      <w:pPr>
        <w:ind w:left="0" w:right="0" w:firstLine="8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3、采购标的对应的中小企业划分标准所属行业：建筑业。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各行业划型标准为：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格式五、技术条款偏离表格式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2655"/>
        <w:gridCol w:w="1513"/>
        <w:gridCol w:w="1614"/>
        <w:gridCol w:w="1692"/>
        <w:gridCol w:w="1143"/>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技术条款</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795"/>
        <w:gridCol w:w="2945"/>
        <w:gridCol w:w="1270"/>
        <w:gridCol w:w="1337"/>
        <w:gridCol w:w="373"/>
      </w:tblGrid>
      <w:tr>
        <w:trPr/>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75" w:type="dxa"/>
            <w:vAlign w:val="center"/>
            <w:textDirection w:val="lrTb"/>
            <w:noWrap w:val="false"/>
          </w:tcPr>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gridAfter w:val="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磋商文件要求的商务条款</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格式七、拟投入本项目人员表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拟投入本项目人员表</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拟在本项目承担的角色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职位/职称/相关证书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  根据第三章“评分标准”提供相关证明材料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格式八、 响应人类似业绩情况表格式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响应人类似业绩情况表</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注：具体时间要求及需提交的证明材料见“第三章 成交标准”。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格式九、资格证明文件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（1）具有独立承担民事责任的能力（提供法人或者其他组织的营业执照等证明文件加盖公章）；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具有良好的商业信誉和健全的财务会计制度（提供由第三方专业机构出具的2024年度/2025年度财务审计报告（财务审计报告至少包含资产负债表、利润表、现金流量表、第三方专业机构盖章和注册会计师签字页加盖公章）或提供参加本次政府采购活动前半年内任意一个月（2026年1月以来）的财务报表（包含资产负债表、现金流量表、利润表）或响应截止时间前六个月银行出具的企业资信证明加盖公章，成立不满一年则无需提供，否则视为未提供）；</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（3）具有履行合同所必需的设备和专业技术能力（根据项目需求提供履行合同所必需的设备和专业技术能力的证明材料或相关加盖公章的承诺书原件）；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（5）参加本次采购活动前三年内，在经营活动中没有重大违法或不良征信记录（提供参加本次采购活动前三年内在经营活动中没有重大违法记录的书面声明承诺书原件）。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（6）法律、行政法规规定的其他条件。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2.本项目的特定资格要求 ：供应商具有建筑工程施工总承包三级(含)以上资质或施工总承包市政公用工程三级(含)以上和有效期内的安全生产许可证（提供有效的资质证书、安全生产许可证加盖公章）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江苏海事职业技术学院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3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参加政府采购活动前三年内，在经营活动中没有重大违法记录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江苏海事职业技术学院 </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我单位（响应人名称）郑重声明：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参加政府采购活动前三年内在经营活动中（在下划线上如实填写：有或没有）重大违法记录。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（说明：政府采购法第二十二条第一款第五项所称重大违法记录，是指响应人因违法经营受到刑事处罚或者责令停产停业、吊销许可证或者执照、较大数额罚款等行政处罚。）</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附件</w:t>
      </w:r>
      <w:r>
        <w:rPr>
          <w:rFonts w:ascii="SimSun" w:hAnsi="SimSun" w:eastAsia="SimSun" w:cs="SimSun"/>
          <w:b/>
          <w:color w:val="000000"/>
          <w:sz w:val="22"/>
        </w:rPr>
        <w:t xml:space="preserve">三：</w:t>
      </w:r>
      <w:r>
        <w:rPr>
          <w:rFonts w:ascii="SimSun" w:hAnsi="SimSun" w:eastAsia="SimSun" w:cs="SimSun"/>
          <w:b/>
          <w:color w:val="000000"/>
          <w:sz w:val="21"/>
        </w:rPr>
        <w:t xml:space="preserve">供应商资质等级及范围：具有建筑工程施工总承包三级</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含</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以上资质或施工总承包市政公用工程三级</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含</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以上和有效期内的安全生产许可证（提供有效的资质证书、安全生产许可证加盖公章）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格式十、材料品牌推荐表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材料品牌推荐表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（格式自拟）</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格式十一、其他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注释：此处可附采购文件中所要求的材料或供应商认为需要提供的其他材料。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10" w:h="16840" w:orient="portrait"/>
      <w:pgMar w:top="1080" w:right="1120" w:bottom="920" w:left="1300"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黑体">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9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93"/>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93"/>
                            <w:ind w:left="20"/>
                            <w:spacing w:line="219" w:lineRule="exact"/>
                            <w:rPr>
                              <w:rFonts w:ascii="楷体" w:hAnsi="楷体" w:eastAsia="楷体" w:cs="楷体"/>
                              <w:sz w:val="20"/>
                              <w:szCs w:val="20"/>
                            </w:rPr>
                          </w:pPr>
                          <w:r>
                            <w:rPr>
                              <w:rFonts w:ascii="楷体" w:hAnsi="楷体" w:eastAsia="楷体" w:cs="楷体"/>
                              <w:sz w:val="20"/>
                              <w:szCs w:val="20"/>
                            </w:rPr>
                          </w:r>
                          <w:r/>
                        </w:p>
                        <w:p>
                          <w:pPr>
                            <w:pStyle w:val="89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93"/>
                      <w:ind w:left="20"/>
                      <w:spacing w:line="219" w:lineRule="exact"/>
                      <w:rPr>
                        <w:rFonts w:ascii="楷体" w:hAnsi="楷体" w:eastAsia="楷体" w:cs="楷体"/>
                        <w:sz w:val="20"/>
                        <w:szCs w:val="20"/>
                      </w:rPr>
                    </w:pPr>
                    <w:r>
                      <w:rPr>
                        <w:rFonts w:ascii="楷体" w:hAnsi="楷体" w:eastAsia="楷体" w:cs="楷体"/>
                        <w:sz w:val="20"/>
                        <w:szCs w:val="20"/>
                      </w:rPr>
                    </w:r>
                    <w:r/>
                  </w:p>
                  <w:p>
                    <w:pPr>
                      <w:pStyle w:val="893"/>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3"/>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6"/>
      <w:isLgl w:val="false"/>
      <w:suff w:val="tab"/>
      <w:lvlText w:val=""/>
      <w:lvlJc w:val="left"/>
      <w:pPr>
        <w:pStyle w:val="89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link w:val="95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uiPriority w:val="1"/>
    <w:qFormat/>
    <w:pPr>
      <w:widowControl w:val="off"/>
    </w:pPr>
    <w:rPr>
      <w:rFonts w:eastAsia="Calibri"/>
      <w:sz w:val="22"/>
      <w:szCs w:val="22"/>
      <w:lang w:val="en-US" w:eastAsia="en-US" w:bidi="ar-SA"/>
    </w:rPr>
  </w:style>
  <w:style w:type="paragraph" w:styleId="894">
    <w:name w:val="标题 1"/>
    <w:basedOn w:val="893"/>
    <w:next w:val="893"/>
    <w:link w:val="900"/>
    <w:uiPriority w:val="9"/>
    <w:qFormat/>
    <w:pPr>
      <w:outlineLvl w:val="0"/>
    </w:pPr>
    <w:rPr>
      <w:rFonts w:ascii="黑体" w:hAnsi="黑体" w:eastAsia="宋体"/>
      <w:b/>
      <w:sz w:val="36"/>
      <w:szCs w:val="72"/>
    </w:rPr>
  </w:style>
  <w:style w:type="paragraph" w:styleId="895">
    <w:name w:val="标题 2"/>
    <w:basedOn w:val="893"/>
    <w:next w:val="893"/>
    <w:link w:val="901"/>
    <w:qFormat/>
    <w:pPr>
      <w:ind w:left="1558"/>
      <w:outlineLvl w:val="1"/>
    </w:pPr>
    <w:rPr>
      <w:rFonts w:ascii="黑体" w:hAnsi="黑体" w:eastAsia="黑体"/>
      <w:b/>
      <w:bCs/>
      <w:sz w:val="36"/>
      <w:szCs w:val="36"/>
    </w:rPr>
  </w:style>
  <w:style w:type="paragraph" w:styleId="896">
    <w:name w:val="标题 3"/>
    <w:basedOn w:val="893"/>
    <w:next w:val="893"/>
    <w:link w:val="902"/>
    <w:qFormat/>
    <w:pPr>
      <w:outlineLvl w:val="2"/>
    </w:pPr>
    <w:rPr>
      <w:rFonts w:ascii="黑体" w:hAnsi="黑体" w:eastAsia="黑体"/>
      <w:sz w:val="32"/>
      <w:szCs w:val="32"/>
    </w:rPr>
  </w:style>
  <w:style w:type="paragraph" w:styleId="897">
    <w:name w:val="标题 4"/>
    <w:basedOn w:val="893"/>
    <w:next w:val="893"/>
    <w:link w:val="903"/>
    <w:uiPriority w:val="1"/>
    <w:qFormat/>
    <w:pPr>
      <w:ind w:left="358"/>
      <w:spacing w:before="34"/>
      <w:outlineLvl w:val="3"/>
    </w:pPr>
    <w:rPr>
      <w:rFonts w:ascii="宋体" w:hAnsi="宋体" w:eastAsia="宋体"/>
      <w:b/>
      <w:bCs/>
      <w:sz w:val="24"/>
      <w:szCs w:val="24"/>
    </w:rPr>
  </w:style>
  <w:style w:type="character" w:styleId="898">
    <w:name w:val="默认段落字体"/>
    <w:next w:val="898"/>
    <w:link w:val="893"/>
    <w:uiPriority w:val="1"/>
    <w:unhideWhenUsed/>
    <w:qFormat/>
  </w:style>
  <w:style w:type="table" w:styleId="899">
    <w:name w:val="普通表格"/>
    <w:next w:val="899"/>
    <w:link w:val="893"/>
    <w:semiHidden/>
    <w:tblPr/>
  </w:style>
  <w:style w:type="character" w:styleId="900">
    <w:name w:val="标题 1 字符1"/>
    <w:next w:val="900"/>
    <w:link w:val="894"/>
    <w:uiPriority w:val="9"/>
    <w:rPr>
      <w:rFonts w:ascii="黑体" w:hAnsi="黑体" w:eastAsia="宋体"/>
      <w:b/>
      <w:sz w:val="36"/>
      <w:szCs w:val="72"/>
      <w:lang w:eastAsia="en-US"/>
    </w:rPr>
  </w:style>
  <w:style w:type="character" w:styleId="901">
    <w:name w:val="标题 2 字符1"/>
    <w:next w:val="901"/>
    <w:link w:val="895"/>
    <w:rPr>
      <w:rFonts w:ascii="黑体" w:hAnsi="黑体" w:eastAsia="黑体"/>
      <w:b/>
      <w:bCs/>
      <w:sz w:val="36"/>
      <w:szCs w:val="36"/>
      <w:lang w:eastAsia="en-US"/>
    </w:rPr>
  </w:style>
  <w:style w:type="character" w:styleId="902">
    <w:name w:val="标题 3 字符1"/>
    <w:next w:val="902"/>
    <w:link w:val="896"/>
    <w:rPr>
      <w:rFonts w:ascii="黑体" w:hAnsi="黑体" w:eastAsia="黑体"/>
      <w:sz w:val="32"/>
      <w:szCs w:val="32"/>
      <w:lang w:eastAsia="en-US"/>
    </w:rPr>
  </w:style>
  <w:style w:type="character" w:styleId="903">
    <w:name w:val="标题 4 字符1"/>
    <w:next w:val="903"/>
    <w:link w:val="897"/>
    <w:uiPriority w:val="1"/>
    <w:rPr>
      <w:rFonts w:ascii="宋体" w:hAnsi="宋体"/>
      <w:b/>
      <w:bCs/>
      <w:sz w:val="24"/>
      <w:szCs w:val="24"/>
      <w:lang w:eastAsia="en-US"/>
    </w:rPr>
  </w:style>
  <w:style w:type="paragraph" w:styleId="904">
    <w:name w:val="正文缩进"/>
    <w:basedOn w:val="893"/>
    <w:next w:val="904"/>
    <w:link w:val="905"/>
    <w:qFormat/>
    <w:pPr>
      <w:ind w:firstLine="420"/>
    </w:pPr>
  </w:style>
  <w:style w:type="character" w:styleId="905">
    <w:name w:val="正文缩进 字符"/>
    <w:next w:val="905"/>
    <w:link w:val="904"/>
    <w:rPr>
      <w:rFonts w:eastAsia="Calibri"/>
      <w:sz w:val="22"/>
      <w:szCs w:val="22"/>
      <w:lang w:eastAsia="en-US"/>
    </w:rPr>
  </w:style>
  <w:style w:type="paragraph" w:styleId="906">
    <w:name w:val="列表项目符号"/>
    <w:basedOn w:val="893"/>
    <w:next w:val="906"/>
    <w:link w:val="893"/>
    <w:pPr>
      <w:numPr>
        <w:ilvl w:val="0"/>
        <w:numId w:val="1"/>
      </w:numPr>
      <w:tabs>
        <w:tab w:val="left" w:pos="360" w:leader="none"/>
      </w:tabs>
    </w:pPr>
  </w:style>
  <w:style w:type="paragraph" w:styleId="907">
    <w:name w:val="文档结构图"/>
    <w:basedOn w:val="893"/>
    <w:next w:val="907"/>
    <w:link w:val="908"/>
    <w:rPr>
      <w:rFonts w:ascii="宋体" w:hAnsi="Calibri" w:eastAsia="宋体"/>
      <w:sz w:val="18"/>
      <w:szCs w:val="18"/>
    </w:rPr>
  </w:style>
  <w:style w:type="character" w:styleId="908">
    <w:name w:val="文档结构图 字符1"/>
    <w:next w:val="908"/>
    <w:link w:val="907"/>
    <w:rPr>
      <w:rFonts w:ascii="宋体" w:hAnsi="Calibri" w:cs="Calibri"/>
      <w:sz w:val="18"/>
      <w:szCs w:val="18"/>
      <w:lang w:eastAsia="en-US"/>
    </w:rPr>
  </w:style>
  <w:style w:type="paragraph" w:styleId="909">
    <w:name w:val="批注文字"/>
    <w:basedOn w:val="893"/>
    <w:next w:val="909"/>
    <w:link w:val="910"/>
    <w:qFormat/>
    <w:pPr>
      <w:jc w:val="left"/>
    </w:pPr>
    <w:rPr>
      <w:sz w:val="20"/>
    </w:rPr>
  </w:style>
  <w:style w:type="character" w:styleId="910">
    <w:name w:val="批注文字 字符1"/>
    <w:next w:val="910"/>
    <w:link w:val="909"/>
    <w:qFormat/>
    <w:rPr>
      <w:rFonts w:eastAsia="Calibri"/>
      <w:szCs w:val="22"/>
      <w:lang w:eastAsia="en-US"/>
    </w:rPr>
  </w:style>
  <w:style w:type="paragraph" w:styleId="911">
    <w:name w:val="正文文本"/>
    <w:basedOn w:val="893"/>
    <w:next w:val="911"/>
    <w:link w:val="912"/>
    <w:uiPriority w:val="1"/>
    <w:qFormat/>
    <w:pPr>
      <w:ind w:left="118"/>
      <w:spacing w:before="34"/>
    </w:pPr>
    <w:rPr>
      <w:rFonts w:ascii="宋体" w:hAnsi="宋体" w:eastAsia="宋体"/>
      <w:sz w:val="24"/>
      <w:szCs w:val="24"/>
    </w:rPr>
  </w:style>
  <w:style w:type="character" w:styleId="912">
    <w:name w:val="正文文本 字符1"/>
    <w:next w:val="912"/>
    <w:link w:val="911"/>
    <w:uiPriority w:val="1"/>
    <w:rPr>
      <w:rFonts w:ascii="宋体" w:hAnsi="宋体"/>
      <w:sz w:val="24"/>
      <w:szCs w:val="24"/>
      <w:lang w:eastAsia="en-US"/>
    </w:rPr>
  </w:style>
  <w:style w:type="paragraph" w:styleId="913">
    <w:name w:val="目录 3"/>
    <w:basedOn w:val="893"/>
    <w:next w:val="893"/>
    <w:link w:val="893"/>
    <w:uiPriority w:val="39"/>
    <w:pPr>
      <w:ind w:left="840"/>
      <w:jc w:val="both"/>
    </w:pPr>
    <w:rPr>
      <w:rFonts w:ascii="Calibri" w:hAnsi="Calibri" w:eastAsia="宋体"/>
      <w:sz w:val="21"/>
      <w:lang w:eastAsia="zh-CN"/>
    </w:rPr>
  </w:style>
  <w:style w:type="paragraph" w:styleId="914">
    <w:name w:val="纯文本"/>
    <w:basedOn w:val="893"/>
    <w:next w:val="914"/>
    <w:link w:val="915"/>
    <w:qFormat/>
    <w:pPr>
      <w:jc w:val="both"/>
    </w:pPr>
    <w:rPr>
      <w:rFonts w:ascii="宋体" w:hAnsi="Courier New" w:eastAsia="宋体"/>
      <w:sz w:val="20"/>
      <w:szCs w:val="20"/>
    </w:rPr>
  </w:style>
  <w:style w:type="character" w:styleId="915">
    <w:name w:val="纯文本 字符"/>
    <w:next w:val="915"/>
    <w:link w:val="914"/>
    <w:qFormat/>
    <w:rPr>
      <w:rFonts w:ascii="宋体" w:hAnsi="Courier New"/>
    </w:rPr>
  </w:style>
  <w:style w:type="paragraph" w:styleId="916">
    <w:name w:val="日期"/>
    <w:basedOn w:val="893"/>
    <w:next w:val="893"/>
    <w:link w:val="917"/>
    <w:pPr>
      <w:ind w:left="100"/>
      <w:jc w:val="both"/>
    </w:pPr>
    <w:rPr>
      <w:rFonts w:ascii="Calibri" w:hAnsi="Calibri" w:eastAsia="宋体"/>
      <w:sz w:val="21"/>
      <w:szCs w:val="24"/>
    </w:rPr>
  </w:style>
  <w:style w:type="character" w:styleId="917">
    <w:name w:val="日期 字符1"/>
    <w:next w:val="917"/>
    <w:link w:val="916"/>
    <w:rPr>
      <w:rFonts w:ascii="Calibri" w:hAnsi="Calibri" w:cs="Calibri"/>
      <w:sz w:val="21"/>
      <w:szCs w:val="24"/>
      <w:lang w:eastAsia="en-US"/>
    </w:rPr>
  </w:style>
  <w:style w:type="paragraph" w:styleId="918">
    <w:name w:val="批注框文本"/>
    <w:basedOn w:val="893"/>
    <w:next w:val="918"/>
    <w:link w:val="919"/>
    <w:uiPriority w:val="99"/>
    <w:rPr>
      <w:sz w:val="18"/>
      <w:szCs w:val="18"/>
    </w:rPr>
  </w:style>
  <w:style w:type="character" w:styleId="919">
    <w:name w:val="批注框文本 字符1"/>
    <w:next w:val="919"/>
    <w:link w:val="918"/>
    <w:uiPriority w:val="99"/>
    <w:rPr>
      <w:rFonts w:eastAsia="Calibri"/>
      <w:sz w:val="18"/>
      <w:szCs w:val="18"/>
      <w:lang w:eastAsia="en-US"/>
    </w:rPr>
  </w:style>
  <w:style w:type="paragraph" w:styleId="920">
    <w:name w:val="页脚"/>
    <w:basedOn w:val="893"/>
    <w:next w:val="920"/>
    <w:link w:val="921"/>
    <w:pPr>
      <w:jc w:val="left"/>
      <w:tabs>
        <w:tab w:val="center" w:pos="4153" w:leader="none"/>
        <w:tab w:val="right" w:pos="8306" w:leader="none"/>
      </w:tabs>
    </w:pPr>
    <w:rPr>
      <w:sz w:val="18"/>
    </w:rPr>
  </w:style>
  <w:style w:type="character" w:styleId="921">
    <w:name w:val="页脚 字符1"/>
    <w:next w:val="921"/>
    <w:link w:val="920"/>
    <w:rPr>
      <w:rFonts w:eastAsia="Calibri"/>
      <w:sz w:val="18"/>
      <w:szCs w:val="22"/>
      <w:lang w:eastAsia="en-US"/>
    </w:rPr>
  </w:style>
  <w:style w:type="paragraph" w:styleId="922">
    <w:name w:val="页眉"/>
    <w:basedOn w:val="893"/>
    <w:next w:val="922"/>
    <w:link w:val="923"/>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3">
    <w:name w:val="页眉 字符1"/>
    <w:next w:val="923"/>
    <w:link w:val="922"/>
    <w:rPr>
      <w:rFonts w:eastAsia="Calibri"/>
      <w:sz w:val="18"/>
      <w:szCs w:val="22"/>
      <w:lang w:eastAsia="en-US"/>
    </w:rPr>
  </w:style>
  <w:style w:type="paragraph" w:styleId="924">
    <w:name w:val="目录 1"/>
    <w:basedOn w:val="893"/>
    <w:next w:val="893"/>
    <w:link w:val="893"/>
    <w:uiPriority w:val="39"/>
    <w:qFormat/>
    <w:pPr>
      <w:spacing w:before="271"/>
    </w:pPr>
    <w:rPr>
      <w:rFonts w:ascii="宋体" w:hAnsi="宋体" w:eastAsia="宋体"/>
      <w:b/>
      <w:bCs/>
      <w:sz w:val="24"/>
      <w:szCs w:val="24"/>
    </w:rPr>
  </w:style>
  <w:style w:type="paragraph" w:styleId="925">
    <w:name w:val="目录 2"/>
    <w:basedOn w:val="893"/>
    <w:next w:val="893"/>
    <w:link w:val="893"/>
    <w:uiPriority w:val="39"/>
    <w:qFormat/>
    <w:pPr>
      <w:ind w:left="327"/>
      <w:spacing w:before="151"/>
    </w:pPr>
    <w:rPr>
      <w:rFonts w:ascii="宋体" w:hAnsi="宋体" w:eastAsia="宋体"/>
      <w:sz w:val="24"/>
      <w:szCs w:val="24"/>
    </w:rPr>
  </w:style>
  <w:style w:type="paragraph" w:styleId="926">
    <w:name w:val="HTML 预设格式"/>
    <w:basedOn w:val="893"/>
    <w:next w:val="926"/>
    <w:link w:val="927"/>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27">
    <w:name w:val="HTML 预设格式 字符1"/>
    <w:next w:val="927"/>
    <w:link w:val="926"/>
    <w:uiPriority w:val="99"/>
    <w:rPr>
      <w:rFonts w:ascii="Arial" w:hAnsi="Arial" w:cs="Calibri"/>
      <w:sz w:val="11"/>
      <w:szCs w:val="11"/>
      <w:lang w:eastAsia="en-US"/>
    </w:rPr>
  </w:style>
  <w:style w:type="paragraph" w:styleId="928">
    <w:name w:val="普通(网站)"/>
    <w:basedOn w:val="893"/>
    <w:next w:val="928"/>
    <w:link w:val="893"/>
    <w:uiPriority w:val="99"/>
    <w:unhideWhenUsed/>
    <w:pPr>
      <w:spacing w:before="100" w:beforeAutospacing="1" w:after="100" w:afterAutospacing="1"/>
      <w:widowControl/>
    </w:pPr>
    <w:rPr>
      <w:rFonts w:ascii="宋体" w:hAnsi="宋体" w:eastAsia="宋体" w:cs="宋体"/>
      <w:sz w:val="24"/>
      <w:lang w:eastAsia="zh-CN"/>
    </w:rPr>
  </w:style>
  <w:style w:type="paragraph" w:styleId="929">
    <w:name w:val="标题"/>
    <w:basedOn w:val="893"/>
    <w:next w:val="893"/>
    <w:link w:val="930"/>
    <w:qFormat/>
    <w:pPr>
      <w:jc w:val="center"/>
      <w:spacing w:before="240" w:after="60"/>
      <w:outlineLvl w:val="0"/>
    </w:pPr>
    <w:rPr>
      <w:rFonts w:ascii="Cambria" w:hAnsi="Cambria" w:eastAsia="宋体"/>
      <w:b/>
      <w:bCs/>
      <w:sz w:val="32"/>
      <w:szCs w:val="32"/>
    </w:rPr>
  </w:style>
  <w:style w:type="character" w:styleId="930">
    <w:name w:val="标题 字符1"/>
    <w:next w:val="930"/>
    <w:link w:val="929"/>
    <w:rPr>
      <w:rFonts w:ascii="Cambria" w:hAnsi="Cambria"/>
      <w:b/>
      <w:bCs/>
      <w:sz w:val="32"/>
      <w:szCs w:val="32"/>
      <w:lang w:eastAsia="en-US"/>
    </w:rPr>
  </w:style>
  <w:style w:type="paragraph" w:styleId="931">
    <w:name w:val="批注主题"/>
    <w:basedOn w:val="909"/>
    <w:next w:val="909"/>
    <w:link w:val="932"/>
    <w:rPr>
      <w:b/>
      <w:bCs/>
      <w:sz w:val="22"/>
    </w:rPr>
  </w:style>
  <w:style w:type="character" w:styleId="932">
    <w:name w:val="批注主题 字符1"/>
    <w:next w:val="932"/>
    <w:link w:val="931"/>
    <w:rPr>
      <w:rFonts w:eastAsia="Calibri"/>
      <w:b/>
      <w:bCs/>
      <w:sz w:val="22"/>
      <w:szCs w:val="22"/>
      <w:lang w:eastAsia="en-US"/>
    </w:rPr>
  </w:style>
  <w:style w:type="paragraph" w:styleId="933">
    <w:name w:val="正文首行缩进"/>
    <w:basedOn w:val="911"/>
    <w:next w:val="933"/>
    <w:link w:val="934"/>
    <w:pPr>
      <w:ind w:left="0" w:firstLine="420"/>
      <w:spacing w:before="0" w:after="120"/>
    </w:pPr>
    <w:rPr>
      <w:rFonts w:eastAsia="Calibri"/>
      <w:sz w:val="22"/>
      <w:szCs w:val="22"/>
    </w:rPr>
  </w:style>
  <w:style w:type="character" w:styleId="934">
    <w:name w:val="正文文本首行缩进 字符1"/>
    <w:next w:val="934"/>
    <w:link w:val="933"/>
    <w:rPr>
      <w:rFonts w:ascii="宋体" w:hAnsi="宋体" w:eastAsia="Calibri"/>
      <w:sz w:val="22"/>
      <w:szCs w:val="22"/>
      <w:lang w:eastAsia="en-US"/>
    </w:rPr>
  </w:style>
  <w:style w:type="table" w:styleId="935">
    <w:name w:val="网格型"/>
    <w:basedOn w:val="899"/>
    <w:next w:val="935"/>
    <w:link w:val="893"/>
    <w:uiPriority w:val="59"/>
    <w:tblPr/>
  </w:style>
  <w:style w:type="character" w:styleId="936">
    <w:name w:val="要点"/>
    <w:next w:val="936"/>
    <w:link w:val="893"/>
    <w:uiPriority w:val="22"/>
    <w:qFormat/>
    <w:rPr>
      <w:b/>
      <w:bCs/>
    </w:rPr>
  </w:style>
  <w:style w:type="character" w:styleId="937">
    <w:name w:val="页码"/>
    <w:basedOn w:val="898"/>
    <w:next w:val="937"/>
    <w:link w:val="893"/>
    <w:qFormat/>
  </w:style>
  <w:style w:type="character" w:styleId="938">
    <w:name w:val="已访问的超链接"/>
    <w:next w:val="938"/>
    <w:link w:val="893"/>
    <w:unhideWhenUsed/>
    <w:rPr>
      <w:color w:val="954f72"/>
      <w:u w:val="single"/>
    </w:rPr>
  </w:style>
  <w:style w:type="character" w:styleId="939">
    <w:name w:val="强调"/>
    <w:next w:val="939"/>
    <w:link w:val="893"/>
    <w:uiPriority w:val="20"/>
    <w:qFormat/>
    <w:rPr>
      <w:i/>
      <w:iCs/>
    </w:rPr>
  </w:style>
  <w:style w:type="character" w:styleId="940">
    <w:name w:val="HTML 打字机"/>
    <w:next w:val="940"/>
    <w:link w:val="893"/>
    <w:rPr>
      <w:rFonts w:ascii="monospace" w:hAnsi="monospace" w:eastAsia="monospace" w:cs="monospace"/>
      <w:sz w:val="20"/>
    </w:rPr>
  </w:style>
  <w:style w:type="character" w:styleId="941">
    <w:name w:val="HTML 缩写"/>
    <w:basedOn w:val="898"/>
    <w:next w:val="941"/>
    <w:link w:val="893"/>
  </w:style>
  <w:style w:type="character" w:styleId="942">
    <w:name w:val="超链接"/>
    <w:next w:val="942"/>
    <w:link w:val="893"/>
    <w:uiPriority w:val="99"/>
    <w:rPr>
      <w:color w:val="0000ff"/>
      <w:u w:val="none"/>
    </w:rPr>
  </w:style>
  <w:style w:type="character" w:styleId="943">
    <w:name w:val="HTML 代码"/>
    <w:next w:val="943"/>
    <w:link w:val="893"/>
    <w:rPr>
      <w:rFonts w:ascii="monospace" w:hAnsi="monospace" w:eastAsia="monospace" w:cs="monospace"/>
      <w:sz w:val="20"/>
    </w:rPr>
  </w:style>
  <w:style w:type="character" w:styleId="944">
    <w:name w:val="批注引用"/>
    <w:next w:val="944"/>
    <w:link w:val="893"/>
    <w:rPr>
      <w:sz w:val="21"/>
      <w:szCs w:val="21"/>
    </w:rPr>
  </w:style>
  <w:style w:type="character" w:styleId="945">
    <w:name w:val="HTML 键盘"/>
    <w:next w:val="945"/>
    <w:link w:val="893"/>
    <w:rPr>
      <w:rFonts w:ascii="monospace" w:hAnsi="monospace" w:eastAsia="monospace" w:cs="monospace"/>
      <w:sz w:val="20"/>
    </w:rPr>
  </w:style>
  <w:style w:type="character" w:styleId="946">
    <w:name w:val="HTML 样本"/>
    <w:next w:val="946"/>
    <w:link w:val="893"/>
    <w:rPr>
      <w:rFonts w:ascii="monospace" w:hAnsi="monospace" w:eastAsia="monospace" w:cs="monospace"/>
    </w:rPr>
  </w:style>
  <w:style w:type="paragraph" w:styleId="947">
    <w:name w:val="首行缩进"/>
    <w:basedOn w:val="893"/>
    <w:next w:val="947"/>
    <w:link w:val="893"/>
    <w:qFormat/>
    <w:pPr>
      <w:ind w:firstLine="480"/>
      <w:jc w:val="left"/>
      <w:spacing w:line="360" w:lineRule="auto"/>
    </w:pPr>
    <w:rPr>
      <w:rFonts w:ascii="宋体" w:hAnsi="宋体"/>
      <w:sz w:val="24"/>
      <w:szCs w:val="24"/>
    </w:rPr>
  </w:style>
  <w:style w:type="character" w:styleId="948">
    <w:name w:val="NormalCharacter1"/>
    <w:next w:val="948"/>
    <w:link w:val="893"/>
    <w:qFormat/>
  </w:style>
  <w:style w:type="character" w:styleId="949">
    <w:name w:val="UserStyle_1"/>
    <w:next w:val="949"/>
    <w:link w:val="950"/>
    <w:rPr>
      <w:sz w:val="21"/>
      <w:szCs w:val="24"/>
    </w:rPr>
  </w:style>
  <w:style w:type="paragraph" w:styleId="950">
    <w:name w:val="NormalIndent1"/>
    <w:basedOn w:val="893"/>
    <w:next w:val="950"/>
    <w:link w:val="949"/>
    <w:pPr>
      <w:ind w:firstLine="420"/>
      <w:jc w:val="both"/>
      <w:widowControl/>
    </w:pPr>
    <w:rPr>
      <w:rFonts w:eastAsia="宋体"/>
      <w:sz w:val="21"/>
      <w:szCs w:val="24"/>
    </w:rPr>
  </w:style>
  <w:style w:type="character" w:styleId="951">
    <w:name w:val="无"/>
    <w:next w:val="951"/>
    <w:link w:val="893"/>
    <w:uiPriority w:val="99"/>
    <w:qFormat/>
  </w:style>
  <w:style w:type="character" w:styleId="952">
    <w:name w:val="纯文本 Char1"/>
    <w:next w:val="952"/>
    <w:link w:val="893"/>
    <w:rPr>
      <w:rFonts w:ascii="宋体" w:hAnsi="Courier New" w:cs="Courier New"/>
      <w:sz w:val="21"/>
      <w:szCs w:val="21"/>
      <w:lang w:eastAsia="en-US"/>
    </w:rPr>
  </w:style>
  <w:style w:type="paragraph" w:styleId="953">
    <w:name w:val="Table Paragraph"/>
    <w:basedOn w:val="893"/>
    <w:next w:val="953"/>
    <w:link w:val="893"/>
    <w:uiPriority w:val="1"/>
    <w:qFormat/>
  </w:style>
  <w:style w:type="paragraph" w:styleId="954">
    <w:name w:val="Default"/>
    <w:next w:val="954"/>
    <w:link w:val="893"/>
    <w:qFormat/>
    <w:pPr>
      <w:widowControl w:val="off"/>
    </w:pPr>
    <w:rPr>
      <w:rFonts w:ascii="宋体" w:cs="宋体"/>
      <w:color w:val="000000"/>
      <w:sz w:val="24"/>
      <w:szCs w:val="24"/>
      <w:lang w:val="en-US" w:eastAsia="zh-CN" w:bidi="ar-SA"/>
    </w:rPr>
  </w:style>
  <w:style w:type="paragraph" w:styleId="955">
    <w:name w:val="Heading 1"/>
    <w:basedOn w:val="893"/>
    <w:next w:val="955"/>
    <w:link w:val="893"/>
    <w:uiPriority w:val="1"/>
    <w:qFormat/>
    <w:pPr>
      <w:ind w:left="39"/>
      <w:outlineLvl w:val="0"/>
    </w:pPr>
    <w:rPr>
      <w:rFonts w:ascii="宋体" w:hAnsi="Times New Roman" w:eastAsia="宋体" w:cs="宋体"/>
      <w:b/>
      <w:bCs/>
      <w:sz w:val="21"/>
      <w:szCs w:val="21"/>
      <w:lang w:eastAsia="zh-CN"/>
    </w:rPr>
  </w:style>
  <w:style w:type="paragraph" w:styleId="956">
    <w:name w:val="正文_0_1"/>
    <w:next w:val="956"/>
    <w:link w:val="893"/>
    <w:qFormat/>
    <w:pPr>
      <w:jc w:val="both"/>
      <w:widowControl w:val="off"/>
    </w:pPr>
    <w:rPr>
      <w:sz w:val="21"/>
      <w:szCs w:val="22"/>
      <w:lang w:val="en-US" w:eastAsia="zh-CN" w:bidi="ar-SA"/>
    </w:rPr>
  </w:style>
  <w:style w:type="paragraph" w:styleId="957">
    <w:name w:val="列出段落1"/>
    <w:next w:val="957"/>
    <w:link w:val="893"/>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58">
    <w:name w:val="Normal_26"/>
    <w:next w:val="958"/>
    <w:link w:val="893"/>
    <w:pPr>
      <w:jc w:val="both"/>
      <w:spacing w:before="120" w:after="240"/>
    </w:pPr>
    <w:rPr>
      <w:rFonts w:eastAsia="Times New Roman"/>
      <w:sz w:val="22"/>
      <w:szCs w:val="22"/>
      <w:lang w:val="en-US" w:eastAsia="en-US" w:bidi="ar-SA"/>
    </w:rPr>
  </w:style>
  <w:style w:type="paragraph" w:styleId="959">
    <w:name w:val="普通正文"/>
    <w:basedOn w:val="893"/>
    <w:next w:val="959"/>
    <w:link w:val="893"/>
    <w:pPr>
      <w:ind w:firstLine="480"/>
      <w:spacing w:before="120" w:after="120" w:line="360" w:lineRule="auto"/>
    </w:pPr>
    <w:rPr>
      <w:rFonts w:ascii="Arial" w:hAnsi="Arial" w:eastAsia="宋体"/>
      <w:sz w:val="24"/>
      <w:szCs w:val="24"/>
      <w:lang w:eastAsia="zh-CN"/>
    </w:rPr>
  </w:style>
  <w:style w:type="paragraph" w:styleId="960">
    <w:name w:val="正文（绿盟科技）"/>
    <w:next w:val="960"/>
    <w:link w:val="893"/>
    <w:qFormat/>
    <w:pPr>
      <w:spacing w:line="300" w:lineRule="auto"/>
    </w:pPr>
    <w:rPr>
      <w:rFonts w:ascii="Arial" w:hAnsi="Arial" w:cs="黑体"/>
      <w:sz w:val="21"/>
      <w:szCs w:val="21"/>
      <w:lang w:val="en-US" w:eastAsia="zh-CN" w:bidi="ar-SA"/>
    </w:rPr>
  </w:style>
  <w:style w:type="paragraph" w:styleId="961">
    <w:name w:val="列表段落"/>
    <w:basedOn w:val="893"/>
    <w:next w:val="893"/>
    <w:link w:val="893"/>
    <w:uiPriority w:val="34"/>
    <w:qFormat/>
  </w:style>
  <w:style w:type="paragraph" w:styleId="962">
    <w:name w:val="正文 A"/>
    <w:next w:val="947"/>
    <w:link w:val="893"/>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963">
    <w:name w:val="Table Normal"/>
    <w:next w:val="963"/>
    <w:link w:val="893"/>
    <w:uiPriority w:val="2"/>
    <w:unhideWhenUsed/>
    <w:qFormat/>
    <w:rPr>
      <w:lang w:val="en-US" w:eastAsia="zh-CN" w:bidi="ar-SA"/>
    </w:rPr>
    <w:tblPr/>
  </w:style>
  <w:style w:type="character" w:styleId="964">
    <w:name w:val="标题 2 字符"/>
    <w:next w:val="964"/>
    <w:link w:val="893"/>
    <w:uiPriority w:val="9"/>
    <w:semiHidden/>
    <w:rPr>
      <w:rFonts w:ascii="等线 Light" w:hAnsi="等线 Light" w:eastAsia="等线 Light" w:cs="Times New Roman"/>
      <w:b/>
      <w:bCs/>
      <w:sz w:val="32"/>
      <w:szCs w:val="32"/>
      <w:lang w:eastAsia="en-US"/>
    </w:rPr>
  </w:style>
  <w:style w:type="character" w:styleId="965">
    <w:name w:val="标题 4 字符"/>
    <w:next w:val="965"/>
    <w:link w:val="893"/>
    <w:uiPriority w:val="9"/>
    <w:semiHidden/>
    <w:rPr>
      <w:rFonts w:ascii="等线 Light" w:hAnsi="等线 Light" w:eastAsia="等线 Light" w:cs="Times New Roman"/>
      <w:b/>
      <w:bCs/>
      <w:sz w:val="28"/>
      <w:szCs w:val="28"/>
      <w:lang w:eastAsia="en-US"/>
    </w:rPr>
  </w:style>
  <w:style w:type="character" w:styleId="966">
    <w:name w:val="p21"/>
    <w:next w:val="966"/>
    <w:link w:val="893"/>
    <w:rPr>
      <w:sz w:val="9"/>
      <w:szCs w:val="9"/>
    </w:rPr>
  </w:style>
  <w:style w:type="character" w:styleId="967">
    <w:name w:val="HTML 预设格式 字符"/>
    <w:next w:val="967"/>
    <w:link w:val="893"/>
    <w:uiPriority w:val="99"/>
    <w:rPr>
      <w:rFonts w:ascii="Courier New" w:hAnsi="Courier New" w:eastAsia="Calibri" w:cs="Courier New"/>
      <w:lang w:eastAsia="en-US"/>
    </w:rPr>
  </w:style>
  <w:style w:type="character" w:styleId="968">
    <w:name w:val="文档结构图 字符"/>
    <w:next w:val="968"/>
    <w:link w:val="893"/>
    <w:uiPriority w:val="99"/>
    <w:rPr>
      <w:rFonts w:ascii="Microsoft YaHei UI" w:eastAsia="Microsoft YaHei UI"/>
      <w:sz w:val="18"/>
      <w:szCs w:val="18"/>
      <w:lang w:eastAsia="en-US"/>
    </w:rPr>
  </w:style>
  <w:style w:type="character" w:styleId="969">
    <w:name w:val="批注框文本 字符"/>
    <w:next w:val="969"/>
    <w:link w:val="893"/>
    <w:uiPriority w:val="99"/>
    <w:semiHidden/>
    <w:rPr>
      <w:rFonts w:ascii="Times New Roman" w:hAnsi="Times New Roman" w:eastAsia="Calibri" w:cs="Times New Roman"/>
      <w:sz w:val="18"/>
      <w:szCs w:val="18"/>
      <w:lang w:eastAsia="en-US"/>
    </w:rPr>
  </w:style>
  <w:style w:type="character" w:styleId="970">
    <w:name w:val="标题 字符"/>
    <w:next w:val="970"/>
    <w:link w:val="893"/>
    <w:uiPriority w:val="10"/>
    <w:rPr>
      <w:rFonts w:ascii="等线 Light" w:hAnsi="等线 Light" w:eastAsia="等线 Light" w:cs="Times New Roman"/>
      <w:b/>
      <w:bCs/>
      <w:sz w:val="32"/>
      <w:szCs w:val="32"/>
      <w:lang w:eastAsia="en-US"/>
    </w:rPr>
  </w:style>
  <w:style w:type="character" w:styleId="971">
    <w:name w:val="纯文本 Char_0"/>
    <w:next w:val="971"/>
    <w:link w:val="972"/>
    <w:uiPriority w:val="99"/>
    <w:rPr>
      <w:rFonts w:ascii="宋体" w:hAnsi="Courier New"/>
      <w:szCs w:val="21"/>
    </w:rPr>
  </w:style>
  <w:style w:type="paragraph" w:styleId="972">
    <w:name w:val="纯文本_0"/>
    <w:basedOn w:val="973"/>
    <w:next w:val="972"/>
    <w:link w:val="971"/>
    <w:uiPriority w:val="99"/>
    <w:unhideWhenUsed/>
    <w:rPr>
      <w:rFonts w:ascii="宋体" w:hAnsi="Courier New" w:cs="Times New Roman"/>
      <w:szCs w:val="21"/>
    </w:rPr>
  </w:style>
  <w:style w:type="paragraph" w:styleId="973">
    <w:name w:val="正文_1_0"/>
    <w:next w:val="973"/>
    <w:link w:val="893"/>
    <w:qFormat/>
    <w:pPr>
      <w:jc w:val="both"/>
      <w:widowControl w:val="off"/>
    </w:pPr>
    <w:rPr>
      <w:rFonts w:ascii="Calibri" w:hAnsi="Calibri" w:cs="Calibri"/>
      <w:lang w:val="en-US" w:eastAsia="zh-CN" w:bidi="ar-SA"/>
    </w:rPr>
  </w:style>
  <w:style w:type="character" w:styleId="974">
    <w:name w:val="ca-10"/>
    <w:next w:val="974"/>
    <w:link w:val="893"/>
    <w:rPr>
      <w:rFonts w:eastAsia="Times New Roman"/>
    </w:rPr>
  </w:style>
  <w:style w:type="character" w:styleId="975">
    <w:name w:val="批注文字 Char1"/>
    <w:next w:val="975"/>
    <w:link w:val="893"/>
    <w:uiPriority w:val="99"/>
    <w:semiHidden/>
    <w:rPr>
      <w:rFonts w:eastAsia="Calibri"/>
      <w:sz w:val="22"/>
      <w:szCs w:val="22"/>
      <w:lang w:eastAsia="en-US"/>
    </w:rPr>
  </w:style>
  <w:style w:type="character" w:styleId="976">
    <w:name w:val="批注主题 字符"/>
    <w:next w:val="976"/>
    <w:link w:val="893"/>
    <w:uiPriority w:val="99"/>
    <w:rPr>
      <w:rFonts w:eastAsia="Calibri"/>
      <w:b/>
      <w:bCs/>
      <w:sz w:val="22"/>
      <w:szCs w:val="22"/>
      <w:lang w:eastAsia="en-US"/>
    </w:rPr>
  </w:style>
  <w:style w:type="character" w:styleId="977">
    <w:name w:val="apple-converted-space"/>
    <w:next w:val="977"/>
    <w:link w:val="893"/>
    <w:rPr>
      <w:rFonts w:eastAsia="Times New Roman"/>
    </w:rPr>
  </w:style>
  <w:style w:type="character" w:styleId="978">
    <w:name w:val="ca-2"/>
    <w:next w:val="978"/>
    <w:link w:val="893"/>
    <w:rPr>
      <w:rFonts w:eastAsia="Times New Roman"/>
    </w:rPr>
  </w:style>
  <w:style w:type="character" w:styleId="979">
    <w:name w:val="标题3 Char_0"/>
    <w:next w:val="979"/>
    <w:link w:val="980"/>
    <w:rPr>
      <w:rFonts w:ascii="黑体" w:hAnsi="黑体" w:eastAsia="黑体"/>
      <w:b/>
      <w:sz w:val="32"/>
      <w:szCs w:val="32"/>
    </w:rPr>
  </w:style>
  <w:style w:type="paragraph" w:styleId="980">
    <w:name w:val="标题3_0"/>
    <w:basedOn w:val="981"/>
    <w:next w:val="980"/>
    <w:link w:val="979"/>
    <w:qFormat/>
    <w:pPr>
      <w:jc w:val="center"/>
      <w:outlineLvl w:val="2"/>
    </w:pPr>
    <w:rPr>
      <w:rFonts w:ascii="黑体" w:hAnsi="黑体" w:eastAsia="黑体" w:cs="Times New Roman"/>
      <w:b/>
      <w:sz w:val="32"/>
      <w:szCs w:val="32"/>
    </w:rPr>
  </w:style>
  <w:style w:type="paragraph" w:styleId="981">
    <w:name w:val="正文_1"/>
    <w:next w:val="981"/>
    <w:link w:val="893"/>
    <w:qFormat/>
    <w:pPr>
      <w:jc w:val="both"/>
      <w:widowControl w:val="off"/>
    </w:pPr>
    <w:rPr>
      <w:rFonts w:ascii="Calibri" w:hAnsi="Calibri" w:cs="Calibri"/>
      <w:szCs w:val="24"/>
      <w:lang w:val="en-US" w:eastAsia="zh-CN" w:bidi="ar-SA"/>
    </w:rPr>
  </w:style>
  <w:style w:type="character" w:styleId="982">
    <w:name w:val="正文文本 字符"/>
    <w:next w:val="982"/>
    <w:link w:val="893"/>
    <w:uiPriority w:val="99"/>
    <w:semiHidden/>
    <w:rPr>
      <w:rFonts w:ascii="Times New Roman" w:hAnsi="Times New Roman" w:eastAsia="Calibri" w:cs="Times New Roman"/>
      <w:sz w:val="22"/>
      <w:lang w:eastAsia="en-US"/>
    </w:rPr>
  </w:style>
  <w:style w:type="character" w:styleId="983">
    <w:name w:val="标题3 Char"/>
    <w:next w:val="983"/>
    <w:link w:val="984"/>
    <w:rPr>
      <w:rFonts w:ascii="黑体" w:hAnsi="黑体" w:eastAsia="黑体"/>
      <w:b/>
      <w:sz w:val="32"/>
      <w:szCs w:val="32"/>
    </w:rPr>
  </w:style>
  <w:style w:type="paragraph" w:styleId="984">
    <w:name w:val="标题3"/>
    <w:basedOn w:val="893"/>
    <w:next w:val="984"/>
    <w:link w:val="983"/>
    <w:qFormat/>
    <w:pPr>
      <w:jc w:val="center"/>
      <w:pageBreakBefore/>
      <w:outlineLvl w:val="2"/>
    </w:pPr>
    <w:rPr>
      <w:rFonts w:ascii="黑体" w:hAnsi="黑体" w:eastAsia="黑体"/>
      <w:b/>
      <w:sz w:val="32"/>
      <w:szCs w:val="32"/>
    </w:rPr>
  </w:style>
  <w:style w:type="character" w:styleId="985">
    <w:name w:val="批注主题 Char1"/>
    <w:next w:val="985"/>
    <w:link w:val="893"/>
    <w:uiPriority w:val="99"/>
    <w:semiHidden/>
    <w:rPr>
      <w:rFonts w:eastAsia="Calibri"/>
      <w:b/>
      <w:bCs/>
      <w:sz w:val="22"/>
      <w:szCs w:val="22"/>
      <w:lang w:eastAsia="en-US"/>
    </w:rPr>
  </w:style>
  <w:style w:type="character" w:styleId="986">
    <w:name w:val="标题 1 字符"/>
    <w:next w:val="986"/>
    <w:link w:val="893"/>
    <w:uiPriority w:val="9"/>
    <w:rPr>
      <w:rFonts w:ascii="Times New Roman" w:hAnsi="Times New Roman" w:eastAsia="Calibri" w:cs="Times New Roman"/>
      <w:b/>
      <w:bCs/>
      <w:sz w:val="44"/>
      <w:szCs w:val="44"/>
      <w:lang w:eastAsia="en-US"/>
    </w:rPr>
  </w:style>
  <w:style w:type="character" w:styleId="987">
    <w:name w:val="正文文本首行缩进 字符"/>
    <w:next w:val="987"/>
    <w:link w:val="893"/>
    <w:uiPriority w:val="99"/>
    <w:semiHidden/>
    <w:rPr>
      <w:rFonts w:ascii="Times New Roman" w:hAnsi="Times New Roman" w:eastAsia="Calibri" w:cs="Times New Roman"/>
      <w:sz w:val="22"/>
      <w:szCs w:val="24"/>
      <w:lang w:eastAsia="en-US"/>
    </w:rPr>
  </w:style>
  <w:style w:type="character" w:styleId="988">
    <w:name w:val="批注文字 字符"/>
    <w:next w:val="988"/>
    <w:link w:val="893"/>
    <w:uiPriority w:val="99"/>
    <w:semiHidden/>
    <w:rPr>
      <w:rFonts w:ascii="Times New Roman" w:hAnsi="Times New Roman" w:eastAsia="Calibri" w:cs="Times New Roman"/>
      <w:sz w:val="22"/>
      <w:lang w:eastAsia="en-US"/>
    </w:rPr>
  </w:style>
  <w:style w:type="character" w:styleId="989">
    <w:name w:val="标题 3 字符"/>
    <w:next w:val="989"/>
    <w:link w:val="893"/>
    <w:uiPriority w:val="9"/>
    <w:semiHidden/>
    <w:rPr>
      <w:rFonts w:ascii="Times New Roman" w:hAnsi="Times New Roman" w:eastAsia="Calibri" w:cs="Times New Roman"/>
      <w:b/>
      <w:bCs/>
      <w:sz w:val="32"/>
      <w:szCs w:val="32"/>
      <w:lang w:eastAsia="en-US"/>
    </w:rPr>
  </w:style>
  <w:style w:type="character" w:styleId="990">
    <w:name w:val="批注框文本 Char1"/>
    <w:next w:val="990"/>
    <w:link w:val="893"/>
    <w:uiPriority w:val="99"/>
    <w:semiHidden/>
    <w:rPr>
      <w:rFonts w:eastAsia="Calibri"/>
      <w:sz w:val="18"/>
      <w:szCs w:val="18"/>
      <w:lang w:eastAsia="en-US"/>
    </w:rPr>
  </w:style>
  <w:style w:type="character" w:styleId="991">
    <w:name w:val="日期 字符"/>
    <w:next w:val="991"/>
    <w:link w:val="893"/>
    <w:uiPriority w:val="99"/>
    <w:rPr>
      <w:rFonts w:eastAsia="Calibri"/>
      <w:sz w:val="22"/>
      <w:szCs w:val="22"/>
      <w:lang w:eastAsia="en-US"/>
    </w:rPr>
  </w:style>
  <w:style w:type="character" w:styleId="992">
    <w:name w:val="页眉 字符"/>
    <w:next w:val="992"/>
    <w:link w:val="893"/>
    <w:uiPriority w:val="99"/>
    <w:semiHidden/>
    <w:rPr>
      <w:rFonts w:ascii="Times New Roman" w:hAnsi="Times New Roman" w:eastAsia="Calibri" w:cs="Times New Roman"/>
      <w:sz w:val="18"/>
      <w:szCs w:val="18"/>
      <w:lang w:eastAsia="en-US"/>
    </w:rPr>
  </w:style>
  <w:style w:type="character" w:styleId="993">
    <w:name w:val="页脚 字符"/>
    <w:next w:val="993"/>
    <w:link w:val="893"/>
    <w:uiPriority w:val="99"/>
    <w:semiHidden/>
    <w:rPr>
      <w:rFonts w:ascii="Times New Roman" w:hAnsi="Times New Roman" w:eastAsia="Calibri" w:cs="Times New Roman"/>
      <w:sz w:val="18"/>
      <w:szCs w:val="18"/>
      <w:lang w:eastAsia="en-US"/>
    </w:rPr>
  </w:style>
  <w:style w:type="paragraph" w:styleId="994">
    <w:name w:val="Plain Text_0"/>
    <w:basedOn w:val="973"/>
    <w:next w:val="994"/>
    <w:link w:val="893"/>
    <w:rPr>
      <w:rFonts w:ascii="宋体" w:hAnsi="Courier New" w:eastAsia="Times New Roman" w:cs="Courier New"/>
      <w:szCs w:val="21"/>
    </w:rPr>
  </w:style>
  <w:style w:type="paragraph" w:styleId="995">
    <w:name w:val="contentarticle"/>
    <w:basedOn w:val="893"/>
    <w:next w:val="995"/>
    <w:link w:val="893"/>
    <w:pPr>
      <w:spacing w:before="100" w:beforeAutospacing="1" w:after="100" w:afterAutospacing="1"/>
      <w:widowControl/>
    </w:pPr>
    <w:rPr>
      <w:rFonts w:ascii="宋体" w:hAnsi="宋体" w:eastAsia="宋体" w:cs="宋体"/>
      <w:sz w:val="24"/>
      <w:lang w:eastAsia="zh-CN"/>
    </w:rPr>
  </w:style>
  <w:style w:type="paragraph" w:styleId="996">
    <w:name w:val="无间隔"/>
    <w:next w:val="996"/>
    <w:link w:val="893"/>
    <w:uiPriority w:val="1"/>
    <w:qFormat/>
    <w:pPr>
      <w:jc w:val="center"/>
      <w:widowControl w:val="off"/>
    </w:pPr>
    <w:rPr>
      <w:rFonts w:ascii="Calibri" w:hAnsi="Calibri" w:eastAsia="黑体" w:cs="Calibri"/>
      <w:sz w:val="30"/>
      <w:szCs w:val="24"/>
      <w:lang w:val="en-US" w:eastAsia="zh-CN" w:bidi="ar-SA"/>
    </w:rPr>
  </w:style>
  <w:style w:type="paragraph" w:styleId="997">
    <w:name w:val="修订"/>
    <w:next w:val="997"/>
    <w:link w:val="893"/>
    <w:uiPriority w:val="99"/>
    <w:unhideWhenUsed/>
    <w:rPr>
      <w:rFonts w:ascii="Calibri" w:hAnsi="Calibri" w:eastAsia="Calibri" w:cs="Calibri"/>
      <w:sz w:val="22"/>
      <w:szCs w:val="22"/>
      <w:lang w:val="en-US" w:eastAsia="en-US" w:bidi="ar-SA"/>
    </w:rPr>
  </w:style>
  <w:style w:type="paragraph" w:styleId="998">
    <w:name w:val="图标题"/>
    <w:basedOn w:val="893"/>
    <w:next w:val="998"/>
    <w:link w:val="893"/>
    <w:qFormat/>
    <w:pPr>
      <w:jc w:val="center"/>
      <w:spacing w:line="360" w:lineRule="auto"/>
    </w:pPr>
    <w:rPr>
      <w:rFonts w:ascii="Calibri" w:hAnsi="Calibri" w:eastAsia="宋体" w:cs="Calibri"/>
      <w:b/>
      <w:sz w:val="24"/>
      <w:szCs w:val="20"/>
      <w:lang w:eastAsia="zh-CN"/>
    </w:rPr>
  </w:style>
  <w:style w:type="paragraph" w:styleId="999">
    <w:name w:val="_Style 29"/>
    <w:basedOn w:val="893"/>
    <w:next w:val="893"/>
    <w:link w:val="893"/>
    <w:uiPriority w:val="39"/>
    <w:pPr>
      <w:ind w:left="840"/>
      <w:jc w:val="both"/>
    </w:pPr>
    <w:rPr>
      <w:rFonts w:ascii="Calibri" w:hAnsi="Calibri" w:eastAsia="宋体" w:cs="Calibri"/>
      <w:sz w:val="21"/>
      <w:lang w:eastAsia="zh-CN"/>
    </w:rPr>
  </w:style>
  <w:style w:type="paragraph" w:styleId="1000">
    <w:name w:val="正文2"/>
    <w:next w:val="1000"/>
    <w:link w:val="893"/>
    <w:qFormat/>
    <w:pPr>
      <w:jc w:val="both"/>
      <w:widowControl w:val="off"/>
    </w:pPr>
    <w:rPr>
      <w:rFonts w:ascii="Calibri" w:hAnsi="Calibri" w:cs="Calibri"/>
      <w:lang w:val="en-US" w:eastAsia="zh-CN" w:bidi="ar-SA"/>
    </w:rPr>
  </w:style>
  <w:style w:type="paragraph" w:styleId="1001">
    <w:name w:val="正文1"/>
    <w:next w:val="1001"/>
    <w:link w:val="893"/>
    <w:uiPriority w:val="99"/>
    <w:qFormat/>
    <w:pPr>
      <w:jc w:val="both"/>
      <w:widowControl w:val="off"/>
    </w:pPr>
    <w:rPr>
      <w:rFonts w:ascii="Calibri" w:hAnsi="Calibri" w:cs="Calibri"/>
      <w:lang w:val="en-US" w:eastAsia="zh-CN" w:bidi="ar-SA"/>
    </w:rPr>
  </w:style>
  <w:style w:type="paragraph" w:styleId="1002">
    <w:name w:val="Normal_0"/>
    <w:next w:val="1002"/>
    <w:link w:val="893"/>
    <w:qFormat/>
    <w:pPr>
      <w:jc w:val="both"/>
      <w:widowControl w:val="off"/>
    </w:pPr>
    <w:rPr>
      <w:rFonts w:ascii="Calibri" w:hAnsi="Calibri" w:cs="Calibri"/>
      <w:lang w:val="en-US" w:eastAsia="zh-CN" w:bidi="ar-SA"/>
    </w:rPr>
  </w:style>
  <w:style w:type="paragraph" w:styleId="1003">
    <w:name w:val="pa-15"/>
    <w:basedOn w:val="973"/>
    <w:next w:val="1003"/>
    <w:link w:val="893"/>
    <w:pPr>
      <w:jc w:val="left"/>
      <w:spacing w:before="100" w:beforeAutospacing="1" w:after="100" w:afterAutospacing="1"/>
      <w:widowControl/>
    </w:pPr>
    <w:rPr>
      <w:rFonts w:ascii="宋体" w:hAnsi="宋体" w:eastAsia="Times New Roman" w:cs="宋体"/>
      <w:sz w:val="24"/>
      <w:szCs w:val="24"/>
    </w:rPr>
  </w:style>
  <w:style w:type="paragraph" w:styleId="1004">
    <w:name w:val="正文_0_0_0_0"/>
    <w:next w:val="1004"/>
    <w:link w:val="893"/>
    <w:qFormat/>
    <w:pPr>
      <w:jc w:val="both"/>
      <w:widowControl w:val="off"/>
    </w:pPr>
    <w:rPr>
      <w:rFonts w:ascii="Calibri" w:hAnsi="Calibri" w:cs="Calibri"/>
      <w:lang w:val="en-US" w:eastAsia="zh-CN" w:bidi="ar-SA"/>
    </w:rPr>
  </w:style>
  <w:style w:type="paragraph" w:styleId="1005">
    <w:name w:val="正文_2"/>
    <w:next w:val="1005"/>
    <w:link w:val="893"/>
    <w:qFormat/>
    <w:pPr>
      <w:spacing w:after="200" w:line="276" w:lineRule="auto"/>
      <w:widowControl w:val="off"/>
    </w:pPr>
    <w:rPr>
      <w:rFonts w:ascii="Calibri" w:hAnsi="Calibri" w:cs="Calibri"/>
      <w:lang w:val="en-US" w:eastAsia="zh-CN" w:bidi="ar-SA"/>
    </w:rPr>
  </w:style>
  <w:style w:type="paragraph" w:styleId="1006">
    <w:name w:val="pa-13"/>
    <w:basedOn w:val="973"/>
    <w:next w:val="1006"/>
    <w:link w:val="893"/>
    <w:pPr>
      <w:jc w:val="left"/>
      <w:spacing w:before="100" w:beforeAutospacing="1" w:after="100" w:afterAutospacing="1"/>
      <w:widowControl/>
    </w:pPr>
    <w:rPr>
      <w:rFonts w:ascii="宋体" w:hAnsi="宋体" w:eastAsia="Times New Roman" w:cs="宋体"/>
      <w:sz w:val="24"/>
      <w:szCs w:val="24"/>
    </w:rPr>
  </w:style>
  <w:style w:type="paragraph" w:styleId="1007">
    <w:name w:val="TOC 标题"/>
    <w:basedOn w:val="894"/>
    <w:next w:val="893"/>
    <w:link w:val="893"/>
    <w:uiPriority w:val="39"/>
    <w:qFormat/>
    <w:pPr>
      <w:keepLines/>
      <w:keepNext/>
      <w:spacing w:before="480" w:line="276" w:lineRule="auto"/>
      <w:widowControl/>
      <w:outlineLvl w:val="9"/>
    </w:pPr>
    <w:rPr>
      <w:rFonts w:ascii="Cambria" w:hAnsi="Cambria" w:eastAsia="宋体" w:cs="Calibri"/>
      <w:b w:val="0"/>
      <w:bCs/>
      <w:color w:val="365f91"/>
      <w:sz w:val="28"/>
      <w:szCs w:val="28"/>
    </w:rPr>
  </w:style>
  <w:style w:type="paragraph" w:styleId="1008">
    <w:name w:val="Normal1"/>
    <w:next w:val="1008"/>
    <w:link w:val="893"/>
    <w:qFormat/>
    <w:pPr>
      <w:jc w:val="both"/>
      <w:widowControl w:val="off"/>
    </w:pPr>
    <w:rPr>
      <w:rFonts w:ascii="Calibri" w:hAnsi="Calibri" w:cs="Calibri"/>
      <w:lang w:val="en-US" w:eastAsia="zh-CN" w:bidi="ar-SA"/>
    </w:rPr>
  </w:style>
  <w:style w:type="paragraph" w:styleId="1009">
    <w:name w:val="样式 标题 3 + (中文) 黑体 小四 非加粗 段前: 7.8 磅 段后: 0 磅 行距: 固定值 20 磅"/>
    <w:basedOn w:val="896"/>
    <w:next w:val="1009"/>
    <w:link w:val="893"/>
    <w:pPr>
      <w:jc w:val="both"/>
      <w:keepLines/>
      <w:keepNext/>
      <w:spacing w:line="400" w:lineRule="exact"/>
    </w:pPr>
    <w:rPr>
      <w:rFonts w:ascii="Times New Roman" w:hAnsi="Times New Roman" w:cs="宋体"/>
      <w:sz w:val="24"/>
      <w:szCs w:val="20"/>
    </w:rPr>
  </w:style>
  <w:style w:type="paragraph" w:styleId="1010">
    <w:name w:val="pa-16"/>
    <w:basedOn w:val="973"/>
    <w:next w:val="1010"/>
    <w:link w:val="893"/>
    <w:pPr>
      <w:jc w:val="left"/>
      <w:spacing w:before="100" w:beforeAutospacing="1" w:after="100" w:afterAutospacing="1"/>
      <w:widowControl/>
    </w:pPr>
    <w:rPr>
      <w:rFonts w:ascii="宋体" w:hAnsi="宋体" w:eastAsia="Times New Roman" w:cs="宋体"/>
      <w:sz w:val="24"/>
      <w:szCs w:val="24"/>
    </w:rPr>
  </w:style>
  <w:style w:type="paragraph" w:styleId="1011">
    <w:name w:val="正文文本缩进 22"/>
    <w:basedOn w:val="973"/>
    <w:next w:val="1011"/>
    <w:link w:val="893"/>
    <w:pPr>
      <w:ind w:left="420"/>
      <w:spacing w:after="120" w:line="480" w:lineRule="auto"/>
    </w:pPr>
    <w:rPr>
      <w:rFonts w:eastAsia="Times New Roman"/>
      <w:szCs w:val="24"/>
    </w:rPr>
  </w:style>
  <w:style w:type="paragraph" w:styleId="1012">
    <w:name w:val="正文1_2"/>
    <w:next w:val="1012"/>
    <w:link w:val="893"/>
    <w:qFormat/>
    <w:pPr>
      <w:jc w:val="both"/>
      <w:widowControl w:val="off"/>
    </w:pPr>
    <w:rPr>
      <w:rFonts w:ascii="Calibri" w:hAnsi="Calibri" w:cs="Calibri"/>
      <w:lang w:val="en-US" w:eastAsia="zh-CN" w:bidi="ar-SA"/>
    </w:rPr>
  </w:style>
  <w:style w:type="paragraph" w:styleId="1013">
    <w:name w:val="t_black_12_b"/>
    <w:basedOn w:val="893"/>
    <w:next w:val="1013"/>
    <w:link w:val="893"/>
    <w:pPr>
      <w:widowControl/>
    </w:pPr>
    <w:rPr>
      <w:rFonts w:ascii="宋体" w:hAnsi="宋体" w:eastAsia="宋体" w:cs="宋体"/>
      <w:b/>
      <w:bCs/>
      <w:color w:val="212121"/>
      <w:sz w:val="9"/>
      <w:szCs w:val="9"/>
      <w:lang w:eastAsia="zh-CN"/>
    </w:rPr>
  </w:style>
  <w:style w:type="paragraph" w:styleId="1014">
    <w:name w:val="正文_0_2"/>
    <w:next w:val="1014"/>
    <w:link w:val="893"/>
    <w:qFormat/>
    <w:pPr>
      <w:jc w:val="both"/>
      <w:widowControl w:val="off"/>
    </w:pPr>
    <w:rPr>
      <w:rFonts w:ascii="Calibri" w:hAnsi="Calibri" w:cs="Calibri"/>
      <w:szCs w:val="24"/>
      <w:lang w:val="en-US" w:eastAsia="zh-CN" w:bidi="ar-SA"/>
    </w:rPr>
  </w:style>
  <w:style w:type="paragraph" w:styleId="1015">
    <w:name w:val="pa-14"/>
    <w:basedOn w:val="973"/>
    <w:next w:val="1015"/>
    <w:link w:val="893"/>
    <w:pPr>
      <w:jc w:val="left"/>
      <w:spacing w:before="100" w:beforeAutospacing="1" w:after="100" w:afterAutospacing="1"/>
      <w:widowControl/>
    </w:pPr>
    <w:rPr>
      <w:rFonts w:ascii="宋体" w:hAnsi="宋体" w:eastAsia="Times New Roman" w:cs="宋体"/>
      <w:sz w:val="24"/>
      <w:szCs w:val="24"/>
    </w:rPr>
  </w:style>
  <w:style w:type="paragraph" w:styleId="1016">
    <w:name w:val="0"/>
    <w:basedOn w:val="911"/>
    <w:next w:val="1016"/>
    <w:link w:val="893"/>
    <w:qFormat/>
    <w:pPr>
      <w:ind w:left="0" w:firstLine="560"/>
      <w:spacing w:before="0" w:line="360" w:lineRule="auto"/>
    </w:pPr>
    <w:rPr>
      <w:rFonts w:ascii="Times New Roman" w:hAnsi="Times New Roman" w:cs="Calibri"/>
      <w:sz w:val="28"/>
      <w:szCs w:val="28"/>
      <w:lang w:val="zh-CN" w:eastAsia="zh-CN"/>
    </w:rPr>
  </w:style>
  <w:style w:type="paragraph" w:styleId="1017">
    <w:name w:val="正文_0"/>
    <w:next w:val="1017"/>
    <w:link w:val="893"/>
    <w:qFormat/>
    <w:pPr>
      <w:jc w:val="both"/>
      <w:widowControl w:val="off"/>
    </w:pPr>
    <w:rPr>
      <w:rFonts w:ascii="Calibri" w:hAnsi="Calibri" w:cs="Calibri"/>
      <w:sz w:val="21"/>
      <w:szCs w:val="24"/>
      <w:lang w:val="en-US" w:eastAsia="zh-CN" w:bidi="ar-SA"/>
    </w:rPr>
  </w:style>
  <w:style w:type="table" w:styleId="1018">
    <w:name w:val="网格型1"/>
    <w:basedOn w:val="899"/>
    <w:next w:val="1018"/>
    <w:link w:val="893"/>
    <w:rPr>
      <w:rFonts w:ascii="Calibri" w:hAnsi="Calibri" w:cs="Calibri"/>
    </w:rPr>
    <w:tblPr/>
  </w:style>
  <w:style w:type="table" w:styleId="1019">
    <w:name w:val="网格型2"/>
    <w:basedOn w:val="899"/>
    <w:next w:val="1019"/>
    <w:link w:val="893"/>
    <w:tblPr/>
  </w:style>
  <w:style w:type="paragraph" w:styleId="1020">
    <w:name w:val="Normal_1"/>
    <w:next w:val="1020"/>
    <w:link w:val="893"/>
    <w:qFormat/>
    <w:pPr>
      <w:jc w:val="both"/>
      <w:widowControl w:val="off"/>
    </w:pPr>
    <w:rPr>
      <w:rFonts w:ascii="Calibri" w:hAnsi="Calibri"/>
      <w:lang w:val="en-US" w:eastAsia="zh-CN" w:bidi="ar-SA"/>
    </w:rPr>
  </w:style>
  <w:style w:type="paragraph" w:styleId="1021">
    <w:name w:val="_Style 21"/>
    <w:basedOn w:val="893"/>
    <w:next w:val="961"/>
    <w:link w:val="893"/>
    <w:uiPriority w:val="1"/>
    <w:qFormat/>
    <w:pPr>
      <w:ind w:left="323" w:firstLine="420"/>
      <w:jc w:val="left"/>
    </w:pPr>
    <w:rPr>
      <w:rFonts w:ascii="宋体" w:hAnsi="宋体" w:cs="宋体"/>
      <w:sz w:val="22"/>
      <w:szCs w:val="22"/>
      <w:lang w:val="zh-CN" w:bidi="zh-CN"/>
    </w:rPr>
  </w:style>
  <w:style w:type="paragraph" w:styleId="1022">
    <w:name w:val="样式 标题 2 + Times New Roman 四号 非加粗 段前: 5 磅 段后: 0 磅 行距: 固定值 20..."/>
    <w:basedOn w:val="895"/>
    <w:next w:val="1022"/>
    <w:link w:val="893"/>
    <w:qFormat/>
    <w:pPr>
      <w:spacing w:before="100" w:after="0" w:line="400" w:lineRule="exact"/>
    </w:pPr>
    <w:rPr>
      <w:rFonts w:ascii="Times New Roman" w:hAnsi="Times New Roman" w:eastAsia="黑体"/>
      <w:b w:val="0"/>
      <w:bCs w:val="0"/>
      <w:sz w:val="28"/>
      <w:szCs w:val="20"/>
      <w:lang w:val="en-US" w:eastAsia="zh-CN"/>
    </w:rPr>
  </w:style>
  <w:style w:type="paragraph" w:styleId="1023">
    <w:name w:val="Blockquote"/>
    <w:basedOn w:val="893"/>
    <w:next w:val="1023"/>
    <w:link w:val="893"/>
    <w:qFormat/>
    <w:pPr>
      <w:ind w:left="360" w:right="360"/>
      <w:jc w:val="left"/>
      <w:spacing w:before="100" w:after="100"/>
    </w:pPr>
    <w:rPr>
      <w:rFonts w:ascii="Times New Roman" w:hAnsi="Times New Roman" w:eastAsia="宋体" w:cs="Times New Roman"/>
      <w:sz w:val="24"/>
      <w:szCs w:val="20"/>
    </w:rPr>
  </w:style>
  <w:style w:type="paragraph" w:styleId="1024">
    <w:name w:val="_Style 35"/>
    <w:basedOn w:val="893"/>
    <w:next w:val="893"/>
    <w:link w:val="893"/>
    <w:uiPriority w:val="39"/>
    <w:qFormat/>
    <w:pPr>
      <w:jc w:val="center"/>
      <w:spacing w:line="440" w:lineRule="exact"/>
    </w:pPr>
    <w:rPr>
      <w:rFonts w:ascii="Times New Roman" w:hAnsi="Times New Roman" w:eastAsia="宋体" w:cs="Times New Roman"/>
      <w:szCs w:val="20"/>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0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209"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61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3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27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4</cp:revision>
  <dcterms:created xsi:type="dcterms:W3CDTF">2024-10-28T02:19:00Z</dcterms:created>
  <dcterms:modified xsi:type="dcterms:W3CDTF">2026-07-30T07:13:34Z</dcterms:modified>
</cp:coreProperties>
</file>