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01"/>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901"/>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901"/>
        <w:rPr>
          <w:rFonts w:hint="eastAsia" w:ascii="宋体" w:hAnsi="宋体"/>
          <w:color w:val="000000"/>
          <w:highlight w:val="none"/>
        </w:rPr>
      </w:pPr>
      <w:r>
        <w:rPr>
          <w:rFonts w:hint="eastAsia" w:ascii="宋体" w:hAnsi="宋体"/>
          <w:color w:val="000000"/>
          <w:highlight w:val="none"/>
        </w:rPr>
      </w:r>
      <w:r/>
    </w:p>
    <w:p>
      <w:pPr>
        <w:pStyle w:val="901"/>
        <w:rPr>
          <w:rFonts w:hint="eastAsia" w:ascii="宋体" w:hAnsi="宋体"/>
          <w:color w:val="000000"/>
          <w:highlight w:val="none"/>
        </w:rPr>
      </w:pPr>
      <w:r>
        <w:rPr>
          <w:rFonts w:hint="eastAsia" w:ascii="宋体" w:hAnsi="宋体"/>
          <w:color w:val="000000"/>
          <w:highlight w:val="none"/>
        </w:rPr>
      </w:r>
      <w:r/>
    </w:p>
    <w:p>
      <w:pPr>
        <w:pStyle w:val="901"/>
        <w:rPr>
          <w:rFonts w:hint="eastAsia" w:ascii="宋体" w:hAnsi="宋体"/>
          <w:color w:val="000000"/>
          <w:highlight w:val="none"/>
        </w:rPr>
      </w:pPr>
      <w:r>
        <w:rPr>
          <w:rFonts w:hint="eastAsia" w:ascii="宋体" w:hAnsi="宋体"/>
          <w:color w:val="000000"/>
          <w:highlight w:val="none"/>
        </w:rPr>
      </w:r>
      <w:r/>
    </w:p>
    <w:p>
      <w:pPr>
        <w:pStyle w:val="950"/>
        <w:rPr>
          <w:rFonts w:hint="eastAsia"/>
          <w:color w:val="000000"/>
          <w:highlight w:val="none"/>
        </w:rPr>
      </w:pPr>
      <w:r>
        <w:rPr>
          <w:rFonts w:hint="eastAsia"/>
          <w:color w:val="000000"/>
          <w:highlight w:val="none"/>
        </w:rPr>
      </w:r>
      <w:r/>
    </w:p>
    <w:p>
      <w:pPr>
        <w:pStyle w:val="901"/>
        <w:rPr>
          <w:rFonts w:hint="eastAsia" w:ascii="宋体" w:hAnsi="宋体"/>
          <w:bCs/>
          <w:color w:val="000000"/>
          <w:highlight w:val="none"/>
        </w:rPr>
      </w:pPr>
      <w:r>
        <w:rPr>
          <w:rFonts w:hint="eastAsia" w:ascii="宋体" w:hAnsi="宋体"/>
          <w:bCs/>
          <w:color w:val="000000"/>
          <w:highlight w:val="none"/>
        </w:rPr>
      </w:r>
      <w:r/>
    </w:p>
    <w:p>
      <w:pPr>
        <w:pStyle w:val="901"/>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JSZC-320509-ZZHL-C2026-0023</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901"/>
        <w:ind w:right="0" w:firstLine="1205"/>
        <w:keepLines w:val="0"/>
        <w:keepNext w:val="0"/>
        <w:pageBreakBefore w:val="0"/>
        <w:spacing w:line="480" w:lineRule="auto"/>
        <w:widowControl w:val="off"/>
        <w:rPr>
          <w:rFonts w:hint="eastAsia" w:ascii="宋体" w:hAnsi="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2026年江陵街道市政雨水管网疏通养护服务项目</w:t>
      </w:r>
      <w:r>
        <w:rPr>
          <w:rFonts w:hint="eastAsia" w:ascii="宋体" w:hAnsi="宋体"/>
          <w:bCs/>
          <w:color w:val="000000"/>
          <w:sz w:val="30"/>
          <w:highlight w:val="none"/>
          <w:lang w:eastAsia="zh-CN"/>
        </w:rPr>
      </w:r>
      <w:r/>
    </w:p>
    <w:p>
      <w:pPr>
        <w:pStyle w:val="901"/>
        <w:ind w:right="0" w:firstLine="120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苏州市吴江区人民政府江陵街道办事处</w:t>
      </w:r>
      <w:r>
        <w:rPr>
          <w:rFonts w:hint="eastAsia" w:ascii="宋体" w:hAnsi="宋体" w:eastAsia="宋体"/>
          <w:bCs/>
          <w:color w:val="000000"/>
          <w:sz w:val="30"/>
          <w:highlight w:val="none"/>
          <w:lang w:eastAsia="zh-CN"/>
        </w:rPr>
      </w:r>
      <w:r/>
    </w:p>
    <w:p>
      <w:pPr>
        <w:pStyle w:val="901"/>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901"/>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12"/>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rPr>
          <w:rFonts w:ascii="Arial" w:hAnsi="Arial" w:cs="Arial"/>
          <w:color w:val="000000"/>
          <w:sz w:val="72"/>
          <w:szCs w:val="72"/>
          <w:highlight w:val="none"/>
          <w:lang w:val="zh-CN"/>
        </w:rPr>
      </w:r>
    </w:p>
    <w:p>
      <w:pPr>
        <w:pStyle w:val="912"/>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12"/>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901"/>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901"/>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highlight w:val="none"/>
        </w:rPr>
      </w:r>
      <w:r/>
    </w:p>
    <w:p>
      <w:pPr>
        <w:pStyle w:val="901"/>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901"/>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901"/>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01"/>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901"/>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901"/>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901"/>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901"/>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901"/>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901"/>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901"/>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800"/>
      <w:r/>
      <w:bookmarkStart w:id="2" w:name="_Toc35393631"/>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2026年江陵街道市政雨水管网疏通养护服务项目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2026年7月21日9</w:t>
      </w:r>
      <w:r>
        <w:rPr>
          <w:rFonts w:hint="eastAsia" w:ascii="宋体" w:hAnsi="宋体" w:cs="宋体"/>
          <w:color w:val="000000"/>
          <w:sz w:val="24"/>
          <w:highlight w:val="none"/>
          <w:u w:val="single"/>
          <w:lang w:val="en-US" w:eastAsia="zh-CN"/>
        </w:rPr>
        <w:t xml:space="preserve">点</w:t>
      </w:r>
      <w:r>
        <w:rPr>
          <w:rFonts w:hint="eastAsia" w:ascii="宋体" w:hAnsi="宋体" w:cs="宋体"/>
          <w:color w:val="000000"/>
          <w:sz w:val="24"/>
          <w:highlight w:val="none"/>
          <w:u w:val="single"/>
          <w:lang w:eastAsia="zh-CN"/>
        </w:rPr>
        <w:t xml:space="preserve">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2"/>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6"/>
      <w:r/>
      <w:bookmarkStart w:id="5" w:name="OLE_LINK4"/>
      <w:r/>
      <w:bookmarkStart w:id="6" w:name="OLE_LINK1"/>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JSZC-320509-ZZHL-C2026-0023</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2026年江陵街道市政雨水管网疏通养护服务项目</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额：人民币叁佰捌拾万圆整（￥：3800000.00）</w:t>
      </w:r>
      <w:r>
        <w:rPr>
          <w:rFonts w:hint="eastAsia" w:ascii="宋体" w:hAnsi="宋体" w:eastAsia="宋体" w:cs="宋体"/>
          <w:color w:val="000000"/>
          <w:sz w:val="24"/>
          <w:highlight w:val="none"/>
          <w:lang w:eastAsia="zh-CN"/>
        </w:rPr>
      </w:r>
      <w:r/>
    </w:p>
    <w:tbl>
      <w:tblPr>
        <w:tblStyle w:val="926"/>
        <w:tblW w:w="9352" w:type="dxa"/>
        <w:jc w:val="center"/>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名称</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采购预算</w:t>
            </w:r>
            <w:r>
              <w:rPr>
                <w:rFonts w:hint="eastAsia"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2026年江陵街道市政雨水管网疏通养护服务项目（运东南及城南）</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壹佰伍拾万圆整（￥：1500000.00）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2026年江陵街道市政雨水管网疏通养护服务项目（运东北）</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壹佰肆拾万圆整（￥：1400000.00）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901"/>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三</w:t>
            </w:r>
            <w:r>
              <w:rPr>
                <w:rFonts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2026年江陵街道市政雨水管网疏通养护服务项目（运西）</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玖拾万圆整（</w:t>
            </w:r>
            <w:r>
              <w:rPr>
                <w:rFonts w:hint="eastAsia" w:ascii="宋体" w:hAnsi="宋体" w:eastAsia="宋体" w:cs="宋体"/>
                <w:color w:val="000000"/>
                <w:sz w:val="24"/>
                <w:szCs w:val="24"/>
                <w:highlight w:val="none"/>
                <w:vertAlign w:val="baseline"/>
                <w:lang w:val="en-US" w:eastAsia="zh-CN"/>
              </w:rPr>
              <w:t xml:space="preserve">￥：900000.00</w:t>
            </w:r>
            <w:r>
              <w:rPr>
                <w:rFonts w:hint="eastAsia" w:ascii="宋体" w:hAnsi="宋体" w:eastAsia="宋体" w:cs="宋体"/>
                <w:color w:val="000000"/>
                <w:sz w:val="24"/>
                <w:szCs w:val="24"/>
                <w:highlight w:val="none"/>
                <w:vertAlign w:val="baseline"/>
                <w:lang w:val="en-US" w:eastAsia="zh-CN"/>
              </w:rPr>
              <w:t xml:space="preserve">）</w:t>
            </w:r>
            <w:r>
              <w:rPr>
                <w:rFonts w:ascii="宋体" w:hAnsi="宋体" w:eastAsia="宋体" w:cs="宋体"/>
                <w:color w:val="000000"/>
                <w:sz w:val="24"/>
                <w:szCs w:val="24"/>
                <w:highlight w:val="none"/>
                <w:vertAlign w:val="baseline"/>
                <w:lang w:val="en-US" w:eastAsia="zh-CN"/>
              </w:rPr>
            </w:r>
            <w:r/>
          </w:p>
        </w:tc>
      </w:tr>
    </w:tbl>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w:t>
      </w:r>
      <w:r>
        <w:rPr>
          <w:rFonts w:hint="eastAsia" w:ascii="宋体" w:hAnsi="宋体" w:eastAsia="宋体" w:cs="宋体"/>
          <w:color w:val="000000"/>
          <w:sz w:val="24"/>
          <w:highlight w:val="none"/>
          <w:lang w:eastAsia="zh-CN"/>
        </w:rPr>
        <w:t xml:space="preserve">人民币叁佰捌拾万圆整（￥：3800000.00）</w:t>
      </w:r>
      <w:r>
        <w:rPr>
          <w:rFonts w:hint="eastAsia" w:ascii="宋体" w:hAnsi="宋体" w:eastAsia="宋体" w:cs="宋体"/>
          <w:color w:val="000000"/>
          <w:sz w:val="24"/>
          <w:highlight w:val="none"/>
          <w:lang w:eastAsia="zh-CN"/>
        </w:rPr>
      </w:r>
      <w:r/>
    </w:p>
    <w:tbl>
      <w:tblPr>
        <w:tblStyle w:val="926"/>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名称</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最高限价</w:t>
            </w:r>
            <w:r>
              <w:rPr>
                <w:rFonts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bidi="ar-SA"/>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2026年江陵街道市政雨水管网疏通养护服务项目（运东南及城南）</w:t>
            </w:r>
            <w:r>
              <w:rPr>
                <w:rFonts w:hint="eastAsia" w:ascii="宋体" w:hAnsi="宋体" w:eastAsia="宋体" w:cs="宋体"/>
                <w:color w:val="000000"/>
                <w:sz w:val="24"/>
                <w:szCs w:val="24"/>
                <w:highlight w:val="none"/>
                <w:vertAlign w:val="baseline"/>
                <w:lang w:val="en-US" w:eastAsia="zh-CN" w:bidi="ar-SA"/>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壹佰伍拾万圆整（￥：1500000.00）</w:t>
            </w:r>
            <w:r>
              <w:rPr>
                <w:rFonts w:hint="eastAsia" w:ascii="宋体" w:hAnsi="宋体" w:eastAsia="宋体" w:cs="宋体"/>
                <w:color w:val="000000"/>
                <w:sz w:val="24"/>
                <w:szCs w:val="24"/>
                <w:highlight w:val="none"/>
                <w:vertAlign w:val="baseline"/>
                <w:lang w:val="en-US" w:eastAsia="zh-CN" w:bidi="ar-SA"/>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bidi="ar-SA"/>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2026年江陵街道市政雨水管网疏通养护服务项目（运东北）</w:t>
            </w:r>
            <w:r>
              <w:rPr>
                <w:rFonts w:hint="eastAsia" w:ascii="宋体" w:hAnsi="宋体" w:eastAsia="宋体" w:cs="宋体"/>
                <w:color w:val="000000"/>
                <w:sz w:val="24"/>
                <w:szCs w:val="24"/>
                <w:highlight w:val="none"/>
                <w:vertAlign w:val="baseline"/>
                <w:lang w:val="en-US" w:eastAsia="zh-CN" w:bidi="ar-SA"/>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壹佰肆拾万圆整（￥：1400000.00）</w:t>
            </w:r>
            <w:r>
              <w:rPr>
                <w:rFonts w:hint="eastAsia" w:ascii="宋体" w:hAnsi="宋体" w:eastAsia="宋体" w:cs="宋体"/>
                <w:color w:val="000000"/>
                <w:sz w:val="24"/>
                <w:szCs w:val="24"/>
                <w:highlight w:val="none"/>
                <w:vertAlign w:val="baseline"/>
                <w:lang w:val="en-US" w:eastAsia="zh-CN" w:bidi="ar-SA"/>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三</w:t>
            </w:r>
            <w:r>
              <w:rPr>
                <w:rFonts w:hint="eastAsia" w:ascii="宋体" w:hAnsi="宋体" w:eastAsia="宋体" w:cs="宋体"/>
                <w:color w:val="000000"/>
                <w:sz w:val="24"/>
                <w:szCs w:val="24"/>
                <w:highlight w:val="none"/>
                <w:vertAlign w:val="baseline"/>
                <w:lang w:val="en-US" w:eastAsia="zh-CN" w:bidi="ar-SA"/>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2026年江陵街道市政雨水管网疏通养护服务项目（运西）</w:t>
            </w:r>
            <w:r>
              <w:rPr>
                <w:rFonts w:hint="eastAsia" w:ascii="宋体" w:hAnsi="宋体" w:eastAsia="宋体" w:cs="宋体"/>
                <w:color w:val="000000"/>
                <w:sz w:val="24"/>
                <w:szCs w:val="24"/>
                <w:highlight w:val="none"/>
                <w:vertAlign w:val="baseline"/>
                <w:lang w:val="en-US" w:eastAsia="zh-CN" w:bidi="ar-SA"/>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玖拾万圆整（￥：900000.00）</w:t>
            </w:r>
            <w:r>
              <w:rPr>
                <w:rFonts w:hint="eastAsia" w:ascii="宋体" w:hAnsi="宋体" w:eastAsia="宋体" w:cs="宋体"/>
                <w:color w:val="000000"/>
                <w:sz w:val="24"/>
                <w:szCs w:val="24"/>
                <w:highlight w:val="none"/>
                <w:vertAlign w:val="baseline"/>
                <w:lang w:val="en-US" w:eastAsia="zh-CN" w:bidi="ar-SA"/>
              </w:rPr>
            </w:r>
            <w:r/>
          </w:p>
        </w:tc>
      </w:tr>
    </w:tbl>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w:t>
      </w:r>
      <w:r>
        <w:rPr>
          <w:rFonts w:hint="eastAsia" w:ascii="宋体" w:hAnsi="宋体" w:eastAsia="宋体" w:cs="宋体"/>
          <w:color w:val="000000"/>
          <w:sz w:val="24"/>
          <w:highlight w:val="none"/>
          <w:lang w:eastAsia="zh-CN"/>
        </w:rPr>
        <w:t xml:space="preserve">需求：2026年江陵街道市政雨水管网疏通养护服务项目，主要包括对江陵街道范围内重点区域、重要点位的市政雨水管道进行疏通养护，</w:t>
      </w:r>
      <w:r>
        <w:rPr>
          <w:rFonts w:hint="eastAsia" w:ascii="宋体" w:hAnsi="宋体" w:eastAsia="宋体" w:cs="宋体"/>
          <w:color w:val="000000"/>
          <w:sz w:val="24"/>
          <w:highlight w:val="none"/>
          <w:lang w:val="en-US" w:eastAsia="zh-CN"/>
        </w:rPr>
        <w:t xml:space="preserve">分为三个标段</w:t>
      </w:r>
      <w:r>
        <w:rPr>
          <w:rFonts w:hint="eastAsia" w:ascii="宋体" w:hAnsi="宋体" w:eastAsia="宋体" w:cs="宋体"/>
          <w:color w:val="000000"/>
          <w:sz w:val="24"/>
          <w:highlight w:val="none"/>
          <w:lang w:eastAsia="zh-CN"/>
        </w:rPr>
        <w:t xml:space="preserve">，具体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.合同履行期限：1年或结算金额达到各标段预算金额，先到为止。</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成交单位数量：</w:t>
      </w:r>
      <w:r>
        <w:rPr>
          <w:rFonts w:hint="eastAsia" w:ascii="宋体" w:hAnsi="宋体" w:eastAsia="宋体" w:cs="宋体"/>
          <w:color w:val="000000"/>
          <w:sz w:val="24"/>
          <w:highlight w:val="none"/>
          <w:lang w:val="en-US" w:eastAsia="zh-CN"/>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本项目分</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个标段采购，允许一个供应商报名多个标段，但只能就其中</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个标段</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，每个标段成交单位为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名。评审时将按一、二、</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标段自然顺序进行评审。按先开先中的原则，确定各标段的成交单位。在合同签订之前，若某标段因质疑、投诉等事项导致成交结果改变的，不影响其它任何标段的成交结果。本项目分标段采购，进入每个标段评审的实质性响应且具有得标权的响应单位不得少于三家，如不足三家，应认定该标段采购失败。已递交某标段磋商响应文件且实质性响应采购需求，但已在前期各标段评审中获得了招标（采购）文件规定的得标上限数的响应单位，不再具有该标段的得标权，不应计入该标段的实质性响应单位数量内。</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52"/>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52"/>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5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52"/>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52"/>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5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w:t>
      </w:r>
      <w:r>
        <w:rPr>
          <w:rFonts w:hint="eastAsia" w:ascii="宋体" w:hAnsi="宋体" w:cs="宋体"/>
          <w:color w:val="000000"/>
          <w:sz w:val="24"/>
          <w:highlight w:val="none"/>
          <w:lang w:val="en-US" w:eastAsia="zh-CN" w:bidi="ar"/>
        </w:rPr>
        <w:t xml:space="preserve">及</w:t>
      </w:r>
      <w:r>
        <w:rPr>
          <w:rFonts w:hint="eastAsia" w:ascii="宋体" w:hAnsi="宋体" w:cs="宋体"/>
          <w:color w:val="000000"/>
          <w:sz w:val="24"/>
          <w:highlight w:val="none"/>
          <w:lang w:bidi="ar"/>
        </w:rPr>
        <w:t xml:space="preserve">“中国政府采购网”网站（www.ccgp.gov.cn）列入失信被执行人、重大税收违法案件当事人名单、政府采购严重失信行为记录名单；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90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90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901"/>
        <w:ind w:firstLine="480"/>
        <w:jc w:val="left"/>
        <w:spacing w:line="360" w:lineRule="auto"/>
        <w:widowControl/>
        <w:rPr>
          <w:rFonts w:hint="eastAsia" w:ascii="宋体" w:hAnsi="宋体" w:cs="宋体"/>
          <w:color w:val="000000"/>
          <w:sz w:val="24"/>
          <w:highlight w:val="none"/>
          <w:u w:val="single"/>
        </w:rPr>
      </w:pPr>
      <w:r/>
      <w:bookmarkStart w:id="7" w:name="_Toc28359095"/>
      <w:r/>
      <w:bookmarkStart w:id="8" w:name="_Toc35393636"/>
      <w:r/>
      <w:bookmarkStart w:id="9" w:name="_Toc28359018"/>
      <w:r/>
      <w:bookmarkStart w:id="10" w:name="_Toc3539380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2026年7月</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23:59（北京时间）。</w:t>
      </w:r>
      <w:r>
        <w:rPr>
          <w:rFonts w:hint="eastAsia" w:ascii="宋体" w:hAnsi="宋体" w:cs="宋体"/>
          <w:color w:val="000000"/>
          <w:sz w:val="24"/>
          <w:highlight w:val="none"/>
          <w:u w:val="single"/>
        </w:rPr>
      </w:r>
      <w:r/>
    </w:p>
    <w:p>
      <w:pPr>
        <w:pStyle w:val="901"/>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901"/>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901"/>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901"/>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2026年7月21日9</w:t>
      </w:r>
      <w:r>
        <w:rPr>
          <w:rFonts w:hint="eastAsia" w:ascii="宋体" w:hAnsi="宋体" w:eastAsia="宋体" w:cs="宋体"/>
          <w:color w:val="000000"/>
          <w:szCs w:val="24"/>
          <w:highlight w:val="none"/>
          <w:lang w:val="en-US" w:eastAsia="zh-CN"/>
        </w:rPr>
        <w:t xml:space="preserve">点</w:t>
      </w:r>
      <w:r>
        <w:rPr>
          <w:rFonts w:hint="eastAsia" w:ascii="宋体" w:hAnsi="宋体" w:eastAsia="宋体" w:cs="宋体"/>
          <w:color w:val="000000"/>
          <w:szCs w:val="24"/>
          <w:highlight w:val="none"/>
          <w:lang w:eastAsia="zh-CN"/>
        </w:rPr>
        <w:t xml:space="preserve">30分</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2026年7月21日9</w:t>
      </w:r>
      <w:r>
        <w:rPr>
          <w:rFonts w:hint="eastAsia" w:ascii="宋体" w:hAnsi="宋体" w:cs="宋体"/>
          <w:color w:val="000000"/>
          <w:sz w:val="24"/>
          <w:highlight w:val="none"/>
          <w:lang w:val="en-US" w:eastAsia="zh-CN"/>
        </w:rPr>
        <w:t xml:space="preserve">点</w:t>
      </w:r>
      <w:r>
        <w:rPr>
          <w:rFonts w:hint="eastAsia" w:ascii="宋体" w:hAnsi="宋体" w:cs="宋体"/>
          <w:color w:val="000000"/>
          <w:sz w:val="24"/>
          <w:highlight w:val="none"/>
          <w:lang w:eastAsia="zh-CN"/>
        </w:rPr>
        <w:t xml:space="preserve">30分</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3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90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901"/>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2"/>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901"/>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w:t>
      </w:r>
      <w:r>
        <w:rPr>
          <w:rFonts w:hint="eastAsia" w:ascii="宋体" w:hAnsi="宋体" w:cs="宋体"/>
          <w:color w:val="000000"/>
          <w:sz w:val="24"/>
          <w:highlight w:val="none"/>
          <w:shd w:val="clear" w:color="auto" w:fill="ffffff"/>
          <w:lang w:eastAsia="zh-CN"/>
        </w:rPr>
        <w:t xml:space="preserve">江苏省政府采购网、苏州市政府采购网</w:t>
      </w:r>
      <w:r>
        <w:rPr>
          <w:rFonts w:hint="eastAsia" w:ascii="宋体" w:hAnsi="宋体" w:cs="宋体"/>
          <w:color w:val="000000"/>
          <w:sz w:val="24"/>
          <w:highlight w:val="none"/>
          <w:shd w:val="clear" w:color="auto" w:fill="ffffff"/>
        </w:rPr>
        <w:t xml:space="preserve">上发布，敬请留意。</w:t>
      </w:r>
      <w:r>
        <w:rPr>
          <w:rFonts w:hint="eastAsia" w:ascii="宋体" w:hAnsi="宋体" w:cs="宋体"/>
          <w:color w:val="000000"/>
          <w:sz w:val="24"/>
          <w:highlight w:val="none"/>
          <w:shd w:val="clear" w:color="auto" w:fill="ffffff"/>
        </w:rPr>
      </w:r>
      <w:r/>
    </w:p>
    <w:p>
      <w:pPr>
        <w:pStyle w:val="922"/>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90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96"/>
      <w:r/>
      <w:bookmarkStart w:id="14" w:name="_Toc28359019"/>
      <w:r/>
      <w:bookmarkStart w:id="15" w:name="_Toc35393637"/>
      <w:r/>
      <w:bookmarkStart w:id="16" w:name="_Toc35393806"/>
      <w:r>
        <w:rPr>
          <w:rFonts w:hint="eastAsia" w:ascii="宋体" w:hAnsi="宋体" w:cs="宋体"/>
          <w:b/>
          <w:color w:val="000000"/>
          <w:sz w:val="24"/>
          <w:highlight w:val="none"/>
        </w:rPr>
      </w:r>
      <w:r/>
    </w:p>
    <w:p>
      <w:pPr>
        <w:pStyle w:val="901"/>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901"/>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称：苏州市吴江区人民政府江陵街道办事处　　　　　　　　　　　　</w:t>
      </w:r>
      <w:r>
        <w:rPr>
          <w:rFonts w:hint="eastAsia" w:ascii="宋体" w:hAnsi="宋体" w:eastAsia="宋体" w:cs="宋体"/>
          <w:color w:val="000000"/>
          <w:sz w:val="24"/>
          <w:highlight w:val="none"/>
          <w:shd w:val="clear" w:color="auto" w:fill="ffffff"/>
          <w:lang w:val="zh-CN"/>
        </w:rPr>
      </w:r>
      <w:r/>
    </w:p>
    <w:p>
      <w:pPr>
        <w:pStyle w:val="901"/>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址：江苏省苏州市吴江区云梨路1688号</w:t>
      </w:r>
      <w:r>
        <w:rPr>
          <w:rFonts w:hint="eastAsia" w:ascii="宋体" w:hAnsi="宋体" w:eastAsia="宋体" w:cs="宋体"/>
          <w:color w:val="000000"/>
          <w:sz w:val="24"/>
          <w:highlight w:val="none"/>
          <w:shd w:val="clear" w:color="auto" w:fill="ffffff"/>
          <w:lang w:val="zh-CN"/>
        </w:rPr>
      </w:r>
      <w:r/>
    </w:p>
    <w:p>
      <w:pPr>
        <w:pStyle w:val="901"/>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凌云</w:t>
      </w:r>
      <w:r>
        <w:rPr>
          <w:rFonts w:hint="eastAsia" w:ascii="宋体" w:hAnsi="宋体" w:eastAsia="宋体" w:cs="宋体"/>
          <w:color w:val="000000"/>
          <w:sz w:val="24"/>
          <w:highlight w:val="none"/>
          <w:shd w:val="clear" w:color="auto" w:fill="ffffff"/>
          <w:lang w:val="zh-CN" w:eastAsia="zh-CN"/>
        </w:rPr>
      </w:r>
      <w:r/>
    </w:p>
    <w:p>
      <w:pPr>
        <w:pStyle w:val="901"/>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0512-63913052</w:t>
      </w:r>
      <w:r>
        <w:rPr>
          <w:rFonts w:hint="eastAsia" w:ascii="宋体" w:hAnsi="宋体" w:eastAsia="宋体" w:cs="宋体"/>
          <w:color w:val="000000"/>
          <w:sz w:val="24"/>
          <w:highlight w:val="none"/>
          <w:shd w:val="clear" w:color="auto" w:fill="ffffff"/>
          <w:lang w:val="zh-CN" w:eastAsia="zh-CN"/>
        </w:rPr>
      </w:r>
      <w:r/>
    </w:p>
    <w:p>
      <w:pPr>
        <w:pStyle w:val="901"/>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901"/>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901"/>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901"/>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王琤、钱芳、</w:t>
      </w:r>
      <w:r>
        <w:rPr>
          <w:rFonts w:hint="eastAsia" w:ascii="宋体" w:hAnsi="宋体" w:cs="宋体"/>
          <w:color w:val="000000"/>
          <w:sz w:val="24"/>
          <w:highlight w:val="none"/>
          <w:shd w:val="clear" w:color="auto" w:fill="ffffff"/>
          <w:lang w:val="en-US" w:eastAsia="zh-CN"/>
        </w:rPr>
        <w:t xml:space="preserve">王雪娇、张浩一阳</w:t>
      </w:r>
      <w:r>
        <w:rPr>
          <w:rFonts w:ascii="宋体" w:hAnsi="宋体" w:eastAsia="宋体" w:cs="宋体"/>
          <w:color w:val="000000"/>
          <w:sz w:val="24"/>
          <w:highlight w:val="none"/>
          <w:shd w:val="clear" w:color="auto" w:fill="ffffff"/>
          <w:lang w:val="en-US" w:eastAsia="zh-CN"/>
        </w:rPr>
      </w:r>
      <w:r/>
    </w:p>
    <w:p>
      <w:pPr>
        <w:pStyle w:val="901"/>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901"/>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901"/>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901"/>
        <w:ind w:firstLine="482"/>
        <w:keepLines/>
        <w:keepNext/>
        <w:spacing w:line="360" w:lineRule="auto"/>
        <w:rPr>
          <w:rFonts w:hint="eastAsia" w:ascii="宋体" w:hAnsi="宋体" w:cs="宋体"/>
          <w:b/>
          <w:bCs/>
          <w:color w:val="000000"/>
          <w:sz w:val="24"/>
          <w:highlight w:val="none"/>
        </w:rPr>
        <w:outlineLvl w:val="2"/>
      </w:pPr>
      <w:r/>
      <w:bookmarkStart w:id="17" w:name="_Toc513029203"/>
      <w:r/>
      <w:bookmarkStart w:id="18" w:name="_Toc120614214"/>
      <w:r/>
      <w:bookmarkStart w:id="19" w:name="_Toc16938519"/>
      <w:r/>
      <w:bookmarkStart w:id="20" w:name="_Toc20823275"/>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513029204"/>
      <w:r/>
      <w:bookmarkStart w:id="23" w:name="_Toc16938520"/>
      <w:r/>
      <w:bookmarkStart w:id="24" w:name="_Toc20823276"/>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25" w:name="_Toc20823277"/>
      <w:r/>
      <w:bookmarkStart w:id="26" w:name="_Toc16938521"/>
      <w:r/>
      <w:bookmarkStart w:id="27" w:name="_Toc513029205"/>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28" w:name="_Toc20823278"/>
      <w:r/>
      <w:bookmarkStart w:id="29" w:name="_Toc16938522"/>
      <w:r/>
      <w:bookmarkStart w:id="30" w:name="_Toc513029206"/>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90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901"/>
        <w:ind w:firstLine="480"/>
        <w:keepLines/>
        <w:keepNext/>
        <w:spacing w:line="360" w:lineRule="auto"/>
        <w:rPr>
          <w:rFonts w:hint="eastAsia" w:ascii="宋体" w:hAnsi="宋体" w:cs="宋体"/>
          <w:color w:val="000000"/>
          <w:sz w:val="24"/>
          <w:highlight w:val="none"/>
        </w:rPr>
        <w:outlineLvl w:val="3"/>
      </w:pPr>
      <w:r/>
      <w:bookmarkStart w:id="31" w:name="_Toc513029207"/>
      <w:r/>
      <w:bookmarkStart w:id="32" w:name="_Toc462564067"/>
      <w:r/>
      <w:bookmarkStart w:id="33" w:name="_Toc20823279"/>
      <w:r/>
      <w:bookmarkStart w:id="34" w:name="_Toc16938523"/>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bCs/>
          <w:color w:val="000000"/>
          <w:sz w:val="24"/>
          <w:highlight w:val="none"/>
          <w:lang w:eastAsia="zh-CN"/>
        </w:rPr>
        <w:t xml:space="preserve">代理服务费</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为便于预算管理，本项目代理服务费列入采购预算内，由各标段成交供应商在领取成交通知书时</w:t>
      </w:r>
      <w:r>
        <w:rPr>
          <w:rStyle w:val="953"/>
          <w:rFonts w:hint="eastAsia" w:ascii="宋体" w:hAnsi="宋体" w:cs="宋体"/>
          <w:color w:val="000000"/>
          <w:sz w:val="24"/>
          <w:highlight w:val="none"/>
          <w:lang w:val="en-US" w:eastAsia="zh-CN"/>
        </w:rPr>
        <w:t xml:space="preserve">按预算比例各自支付</w:t>
      </w:r>
      <w:r>
        <w:rPr>
          <w:rFonts w:hint="eastAsia" w:ascii="宋体" w:hAnsi="宋体" w:cs="宋体"/>
          <w:bCs/>
          <w:color w:val="000000"/>
          <w:sz w:val="24"/>
          <w:highlight w:val="none"/>
          <w:lang w:val="en-US" w:eastAsia="zh-CN"/>
        </w:rPr>
        <w:t xml:space="preserve">，采购人通过吴江区和中介超市确定本项目代理服务费金额为40000元。</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901"/>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w:t>
      </w:r>
      <w:r>
        <w:rPr>
          <w:rFonts w:hint="eastAsia" w:ascii="宋体" w:hAnsi="宋体" w:cs="宋体"/>
          <w:color w:val="000000"/>
          <w:sz w:val="24"/>
          <w:highlight w:val="none"/>
          <w:lang w:val="en-US" w:eastAsia="zh-CN"/>
        </w:rPr>
        <w:t xml:space="preserve">采购人在磋商结束后30个工作日内向专业评委支付。</w:t>
      </w:r>
      <w:r>
        <w:rPr>
          <w:color w:val="000000"/>
          <w:highlight w:val="none"/>
          <w:lang w:val="en-US" w:eastAsia="zh-CN"/>
        </w:rPr>
      </w:r>
      <w:r/>
    </w:p>
    <w:p>
      <w:pPr>
        <w:pStyle w:val="901"/>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901"/>
        <w:ind w:firstLine="482"/>
        <w:keepLines/>
        <w:keepNext/>
        <w:spacing w:line="360" w:lineRule="auto"/>
        <w:rPr>
          <w:rFonts w:hint="eastAsia" w:ascii="宋体" w:hAnsi="宋体" w:cs="宋体"/>
          <w:b/>
          <w:bCs/>
          <w:color w:val="000000"/>
          <w:sz w:val="24"/>
          <w:highlight w:val="none"/>
        </w:rPr>
        <w:outlineLvl w:val="2"/>
      </w:pPr>
      <w:r/>
      <w:bookmarkStart w:id="35" w:name="_Toc16938525"/>
      <w:r/>
      <w:bookmarkStart w:id="36" w:name="_Toc20823281"/>
      <w:r/>
      <w:bookmarkStart w:id="37" w:name="_Toc513029209"/>
      <w:r/>
      <w:bookmarkStart w:id="38" w:name="_Toc120614215"/>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39" w:name="_Toc20823282"/>
      <w:r/>
      <w:bookmarkStart w:id="40" w:name="_Toc513029210"/>
      <w:r/>
      <w:bookmarkStart w:id="41" w:name="_Toc16938526"/>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90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90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42" w:name="_Toc462564070"/>
      <w:r/>
      <w:bookmarkStart w:id="43" w:name="_Toc513029211"/>
      <w:r/>
      <w:bookmarkStart w:id="44" w:name="_Toc16938527"/>
      <w:r/>
      <w:bookmarkStart w:id="45" w:name="_Toc20823283"/>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46" w:name="_Toc513029212"/>
      <w:r/>
      <w:bookmarkStart w:id="47" w:name="_Toc20823284"/>
      <w:r/>
      <w:bookmarkStart w:id="48" w:name="_Toc16938528"/>
      <w:r/>
      <w:bookmarkStart w:id="49" w:name="_Toc462564071"/>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20614216"/>
      <w:r/>
      <w:bookmarkStart w:id="51" w:name="_Toc513029213"/>
      <w:r/>
      <w:bookmarkStart w:id="52" w:name="_Toc20823285"/>
      <w:r/>
      <w:bookmarkStart w:id="53" w:name="_Toc462564072"/>
      <w:r/>
      <w:bookmarkStart w:id="54" w:name="_Toc16938529"/>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901"/>
        <w:ind w:firstLine="480"/>
        <w:keepLines/>
        <w:keepNext/>
        <w:spacing w:line="360" w:lineRule="auto"/>
        <w:rPr>
          <w:rFonts w:hint="eastAsia" w:ascii="宋体" w:hAnsi="宋体" w:cs="宋体"/>
          <w:b/>
          <w:color w:val="000000"/>
          <w:sz w:val="24"/>
          <w:highlight w:val="none"/>
        </w:rPr>
        <w:outlineLvl w:val="3"/>
      </w:pPr>
      <w:r/>
      <w:bookmarkStart w:id="55" w:name="_Toc462564073"/>
      <w:r/>
      <w:bookmarkStart w:id="56" w:name="_Toc20823286"/>
      <w:r/>
      <w:bookmarkStart w:id="57" w:name="_Toc16938530"/>
      <w:r/>
      <w:bookmarkStart w:id="58" w:name="_Toc513029214"/>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90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901"/>
        <w:ind w:firstLine="480"/>
        <w:keepLines/>
        <w:keepNext/>
        <w:spacing w:line="360" w:lineRule="auto"/>
        <w:rPr>
          <w:rFonts w:hint="eastAsia" w:ascii="宋体" w:hAnsi="宋体" w:cs="宋体"/>
          <w:color w:val="000000"/>
          <w:sz w:val="24"/>
          <w:highlight w:val="none"/>
        </w:rPr>
        <w:outlineLvl w:val="3"/>
      </w:pPr>
      <w:r/>
      <w:bookmarkStart w:id="59" w:name="_Toc16938531"/>
      <w:r/>
      <w:bookmarkStart w:id="60" w:name="_Toc20823287"/>
      <w:r/>
      <w:bookmarkStart w:id="61" w:name="_Toc462564074"/>
      <w:r/>
      <w:bookmarkStart w:id="62" w:name="_Toc513029215"/>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0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cs="宋体"/>
          <w:b/>
          <w:color w:val="000000"/>
          <w:sz w:val="24"/>
          <w:szCs w:val="24"/>
          <w:highlight w:val="none"/>
          <w:lang w:val="en-US" w:eastAsia="zh-CN"/>
        </w:rPr>
        <w:t xml:space="preserve">填报优惠率项目无需提供</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08"/>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9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8"/>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如有，详见采购文件第一章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08"/>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8"/>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901"/>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90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901"/>
        <w:ind w:firstLine="480"/>
        <w:keepLines/>
        <w:keepNext/>
        <w:spacing w:line="360" w:lineRule="auto"/>
        <w:rPr>
          <w:rFonts w:hint="eastAsia" w:ascii="宋体" w:hAnsi="宋体" w:cs="宋体"/>
          <w:color w:val="000000"/>
          <w:sz w:val="24"/>
          <w:highlight w:val="none"/>
        </w:rPr>
        <w:outlineLvl w:val="3"/>
      </w:pPr>
      <w:r/>
      <w:bookmarkStart w:id="63" w:name="_Hlt26668975"/>
      <w:r/>
      <w:bookmarkEnd w:id="63"/>
      <w:r/>
      <w:bookmarkStart w:id="64" w:name="_Hlt26954838"/>
      <w:r/>
      <w:bookmarkEnd w:id="64"/>
      <w:r/>
      <w:bookmarkStart w:id="65" w:name="_Hlt26670360"/>
      <w:r/>
      <w:bookmarkEnd w:id="65"/>
      <w:r/>
      <w:bookmarkStart w:id="66" w:name="_Toc49090509"/>
      <w:r/>
      <w:bookmarkStart w:id="67" w:name="_Toc14577357"/>
      <w:r/>
      <w:bookmarkStart w:id="68" w:name="_Toc513029219"/>
      <w:r/>
      <w:bookmarkStart w:id="69" w:name="_Toc49090507"/>
      <w:r/>
      <w:bookmarkStart w:id="70" w:name="_Toc14577354"/>
      <w:r/>
      <w:bookmarkStart w:id="71" w:name="_Toc513029216"/>
      <w:r/>
      <w:bookmarkStart w:id="72" w:name="_Toc49090508"/>
      <w:r/>
      <w:bookmarkStart w:id="73" w:name="_Toc14577355"/>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74" w:name="_Hlt26670482"/>
      <w:r/>
      <w:bookmarkEnd w:id="74"/>
      <w:r/>
      <w:bookmarkStart w:id="75" w:name="_Hlt26954731"/>
      <w:r/>
      <w:bookmarkEnd w:id="75"/>
      <w:r/>
      <w:bookmarkStart w:id="76" w:name="_Hlt26670486"/>
      <w:r/>
      <w:bookmarkEnd w:id="76"/>
      <w:r/>
      <w:bookmarkStart w:id="77" w:name="_Hlt26954846"/>
      <w:r/>
      <w:bookmarkEnd w:id="77"/>
      <w:r/>
      <w:bookmarkStart w:id="78" w:name="_Hlt26954848"/>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90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901"/>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79" w:name="_Toc49090510"/>
      <w:r/>
      <w:bookmarkStart w:id="80" w:name="_Toc14577359"/>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01"/>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16938540"/>
      <w:r/>
      <w:bookmarkStart w:id="86" w:name="_Toc513029224"/>
      <w:r/>
      <w:bookmarkStart w:id="87" w:name="_Toc20823296"/>
      <w:r/>
      <w:bookmarkStart w:id="88" w:name="_Toc120614217"/>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89" w:name="_Toc462564084"/>
      <w:r/>
      <w:bookmarkStart w:id="90" w:name="_Toc513029225"/>
      <w:r/>
      <w:bookmarkStart w:id="91" w:name="_Toc20823297"/>
      <w:r/>
      <w:bookmarkStart w:id="92" w:name="_Toc16938541"/>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16938542"/>
      <w:r/>
      <w:bookmarkStart w:id="94" w:name="_Toc20823298"/>
      <w:r/>
      <w:bookmarkStart w:id="95" w:name="_Toc513029226"/>
      <w:r>
        <w:rPr>
          <w:rFonts w:hint="eastAsia" w:ascii="宋体" w:hAnsi="宋体" w:cs="宋体"/>
          <w:bCs/>
          <w:color w:val="000000"/>
          <w:sz w:val="24"/>
          <w:highlight w:val="none"/>
        </w:rPr>
      </w:r>
      <w:r/>
    </w:p>
    <w:p>
      <w:pPr>
        <w:pStyle w:val="901"/>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901"/>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96" w:name="_Toc16938543"/>
      <w:r/>
      <w:bookmarkStart w:id="97" w:name="_Toc20823299"/>
      <w:r/>
      <w:bookmarkStart w:id="98" w:name="_Toc513029227"/>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99" w:name="_Toc16938544"/>
      <w:r/>
      <w:bookmarkStart w:id="100" w:name="_Toc513029228"/>
      <w:r/>
      <w:bookmarkStart w:id="101" w:name="_Toc20823300"/>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901"/>
        <w:ind w:firstLine="482"/>
        <w:keepLines/>
        <w:keepNext/>
        <w:spacing w:line="360" w:lineRule="auto"/>
        <w:rPr>
          <w:rFonts w:hint="eastAsia" w:ascii="宋体" w:hAnsi="宋体" w:cs="宋体"/>
          <w:b/>
          <w:bCs/>
          <w:color w:val="000000"/>
          <w:sz w:val="24"/>
          <w:highlight w:val="none"/>
        </w:rPr>
        <w:outlineLvl w:val="2"/>
      </w:pPr>
      <w:r/>
      <w:bookmarkStart w:id="102" w:name="_Toc513029229"/>
      <w:r/>
      <w:bookmarkStart w:id="103" w:name="_Toc20823301"/>
      <w:r/>
      <w:bookmarkStart w:id="104" w:name="_Toc120614218"/>
      <w:r/>
      <w:bookmarkStart w:id="105" w:name="_Toc16938545"/>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106" w:name="_Toc20823302"/>
      <w:r/>
      <w:bookmarkStart w:id="107" w:name="_Toc513029230"/>
      <w:r/>
      <w:bookmarkStart w:id="108" w:name="_Toc16938546"/>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16938547"/>
      <w:r/>
      <w:bookmarkStart w:id="111" w:name="_Toc20823303"/>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901"/>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112" w:name="_Toc16938548"/>
      <w:r/>
      <w:bookmarkStart w:id="113" w:name="_Toc20823304"/>
      <w:r/>
      <w:bookmarkStart w:id="114" w:name="_Toc513029232"/>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Start w:id="115" w:name="_Toc513029233"/>
      <w:r/>
      <w:bookmarkStart w:id="116" w:name="_Toc16938549"/>
      <w:r/>
      <w:bookmarkStart w:id="117" w:name="_Toc20823305"/>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w:t>
      </w:r>
      <w:r>
        <w:rPr>
          <w:rFonts w:hint="eastAsia" w:ascii="宋体" w:hAnsi="宋体" w:cs="宋体"/>
          <w:color w:val="000000"/>
          <w:sz w:val="24"/>
          <w:highlight w:val="none"/>
          <w:lang w:bidi="ar"/>
        </w:rPr>
        <w:t xml:space="preserve">“信用中国”网站（www.creditchina.gov.cn）</w:t>
      </w:r>
      <w:r>
        <w:rPr>
          <w:rFonts w:hint="eastAsia" w:ascii="宋体" w:hAnsi="宋体" w:cs="宋体"/>
          <w:color w:val="000000"/>
          <w:sz w:val="24"/>
          <w:highlight w:val="none"/>
          <w:lang w:val="en-US" w:eastAsia="zh-CN" w:bidi="ar"/>
        </w:rPr>
        <w:t xml:space="preserve">及</w:t>
      </w:r>
      <w:r>
        <w:rPr>
          <w:rFonts w:hint="eastAsia" w:ascii="宋体" w:hAnsi="宋体" w:cs="宋体"/>
          <w:color w:val="000000"/>
          <w:sz w:val="24"/>
          <w:highlight w:val="none"/>
          <w:lang w:bidi="ar"/>
        </w:rPr>
        <w:t xml:space="preserve">“中国政府采购网”网站（www.ccgp.gov.cn）</w:t>
      </w:r>
      <w:r>
        <w:rPr>
          <w:rFonts w:hint="eastAsia" w:ascii="宋体" w:hAnsi="宋体" w:cs="宋体"/>
          <w:bCs/>
          <w:color w:val="000000"/>
          <w:sz w:val="24"/>
          <w:highlight w:val="none"/>
        </w:rPr>
        <w:t xml:space="preserve">查询供应商的信用记录，以确定供应商是否具备磋商资格,查询结果留存并归档。</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w:t>
      </w:r>
      <w:r>
        <w:rPr>
          <w:rFonts w:hint="eastAsia" w:ascii="宋体" w:hAnsi="宋体" w:cs="宋体"/>
          <w:bCs/>
          <w:color w:val="000000"/>
          <w:sz w:val="24"/>
          <w:highlight w:val="none"/>
          <w:lang w:val="en-US" w:eastAsia="zh-CN"/>
        </w:rPr>
        <w:t xml:space="preserve">且</w:t>
      </w:r>
      <w:r>
        <w:rPr>
          <w:rFonts w:hint="eastAsia" w:ascii="宋体" w:hAnsi="宋体" w:cs="宋体"/>
          <w:bCs/>
          <w:color w:val="000000"/>
          <w:sz w:val="24"/>
          <w:highlight w:val="none"/>
          <w:lang w:val="en-US" w:eastAsia="zh-CN"/>
        </w:rPr>
        <w:t xml:space="preserve">，或被列入</w:t>
      </w:r>
      <w:r>
        <w:rPr>
          <w:rFonts w:hint="eastAsia" w:ascii="宋体" w:hAnsi="宋体" w:cs="宋体"/>
          <w:color w:val="000000"/>
          <w:sz w:val="24"/>
          <w:highlight w:val="none"/>
          <w:lang w:bidi="ar"/>
        </w:rPr>
        <w:t xml:space="preserve">“中国政府采购网”网站（www.ccgp.gov.cn）</w:t>
      </w:r>
      <w:r>
        <w:rPr>
          <w:rFonts w:hint="eastAsia" w:ascii="宋体" w:hAnsi="宋体" w:cs="宋体"/>
          <w:bCs/>
          <w:color w:val="000000"/>
          <w:sz w:val="24"/>
          <w:highlight w:val="none"/>
        </w:rPr>
        <w:t xml:space="preserve">政府采购严重失信行为记录名单。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1"/>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w:t>
      </w:r>
      <w:r>
        <w:rPr>
          <w:rFonts w:hint="eastAsia" w:ascii="宋体" w:hAnsi="宋体" w:cs="宋体"/>
          <w:color w:val="000000"/>
          <w:sz w:val="24"/>
          <w:highlight w:val="none"/>
          <w:lang w:val="en-US" w:eastAsia="zh-CN"/>
        </w:rPr>
        <w:t xml:space="preserve">及</w:t>
      </w:r>
      <w:r>
        <w:rPr>
          <w:rFonts w:hint="eastAsia" w:ascii="宋体" w:hAnsi="宋体" w:cs="宋体"/>
          <w:color w:val="000000"/>
          <w:sz w:val="24"/>
          <w:highlight w:val="none"/>
          <w:lang w:bidi="ar"/>
        </w:rPr>
        <w:t xml:space="preserve">“中国政府采购网”网站（www.ccgp.gov.cn）</w:t>
      </w:r>
      <w:r>
        <w:rPr>
          <w:rFonts w:hint="eastAsia" w:ascii="宋体" w:hAnsi="宋体" w:cs="宋体"/>
          <w:color w:val="000000"/>
          <w:sz w:val="24"/>
          <w:highlight w:val="none"/>
        </w:rPr>
        <w:t xml:space="preserve">查询供应商的信用记录</w:t>
      </w:r>
      <w:r>
        <w:rPr>
          <w:rFonts w:hint="eastAsia" w:ascii="宋体" w:hAnsi="宋体" w:cs="宋体"/>
          <w:color w:val="000000"/>
          <w:sz w:val="24"/>
          <w:highlight w:val="none"/>
          <w:lang w:val="en-US" w:eastAsia="zh-CN"/>
        </w:rPr>
        <w:t xml:space="preserve">及</w:t>
      </w:r>
      <w:r>
        <w:rPr>
          <w:rFonts w:hint="eastAsia" w:ascii="宋体" w:hAnsi="宋体" w:cs="宋体"/>
          <w:bCs/>
          <w:color w:val="000000"/>
          <w:sz w:val="24"/>
          <w:highlight w:val="none"/>
        </w:rPr>
        <w:t xml:space="preserve">政府采购严重失信行为记录名单</w:t>
      </w:r>
      <w:r>
        <w:rPr>
          <w:rFonts w:hint="eastAsia" w:ascii="宋体" w:hAnsi="宋体" w:cs="宋体"/>
          <w:color w:val="000000"/>
          <w:sz w:val="24"/>
          <w:highlight w:val="none"/>
        </w:rPr>
        <w:t xml:space="preserve">，并将查询结果递交评审小组。</w:t>
      </w:r>
      <w:r>
        <w:rPr>
          <w:rFonts w:hint="eastAsia" w:ascii="宋体" w:hAnsi="宋体" w:cs="宋体"/>
          <w:color w:val="000000"/>
          <w:sz w:val="24"/>
          <w:highlight w:val="none"/>
        </w:rPr>
      </w:r>
      <w:r/>
    </w:p>
    <w:p>
      <w:pPr>
        <w:pStyle w:val="901"/>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901"/>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901"/>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901"/>
        <w:ind w:firstLine="480"/>
        <w:spacing w:line="360" w:lineRule="auto"/>
        <w:rPr>
          <w:rFonts w:hint="eastAsia" w:ascii="宋体" w:hAnsi="宋体" w:cs="宋体"/>
          <w:color w:val="000000"/>
          <w:sz w:val="24"/>
          <w:highlight w:val="none"/>
        </w:rPr>
      </w:pPr>
      <w:r/>
      <w:bookmarkStart w:id="118" w:name="_Toc16938550"/>
      <w:r/>
      <w:bookmarkStart w:id="119" w:name="_Toc20823306"/>
      <w:r/>
      <w:bookmarkStart w:id="120" w:name="_Toc513029234"/>
      <w:r>
        <w:rPr>
          <w:rFonts w:hint="eastAsia" w:ascii="宋体" w:hAnsi="宋体" w:cs="宋体"/>
          <w:color w:val="000000"/>
          <w:sz w:val="24"/>
          <w:highlight w:val="none"/>
        </w:rPr>
        <w:t xml:space="preserve">26.6供应商在项目评审全过程中应保持通讯畅通，并安排专人与采购代理机构及磋商小组联系。</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29"/>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901"/>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901"/>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901"/>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901"/>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901"/>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901"/>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901"/>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启动异常低价投标审查后，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901"/>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w:t>
      </w:r>
      <w:r>
        <w:rPr>
          <w:rFonts w:hint="eastAsia" w:ascii="宋体" w:hAnsi="宋体" w:eastAsia="宋体" w:cs="宋体"/>
          <w:color w:val="000000"/>
          <w:sz w:val="24"/>
          <w:highlight w:val="none"/>
          <w:lang w:eastAsia="zh-CN"/>
        </w:rPr>
        <w:t xml:space="preserve">无效响应处理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1"/>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w:t>
      </w:r>
      <w:r>
        <w:rPr>
          <w:rFonts w:hint="eastAsia" w:ascii="宋体" w:hAnsi="宋体" w:eastAsia="宋体" w:cs="宋体"/>
          <w:color w:val="000000"/>
          <w:sz w:val="24"/>
          <w:highlight w:val="none"/>
          <w:lang w:eastAsia="zh-CN"/>
        </w:rPr>
        <w:t xml:space="preserve">成交价格</w:t>
      </w:r>
      <w:r>
        <w:rPr>
          <w:rFonts w:hint="eastAsia" w:ascii="宋体" w:hAnsi="宋体" w:eastAsia="宋体" w:cs="宋体"/>
          <w:color w:val="000000"/>
          <w:sz w:val="24"/>
          <w:highlight w:val="none"/>
        </w:rPr>
        <w:t xml:space="preserve">、类似产品市场价格水平、行业人工费用标准、国家有关部门指导行业协会发布的行业平均成本等相关信息资料提供便利。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901"/>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采购活动终止的情况</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.4在苏采云系统规定时间内成功解密电子响应文件的供应商不足3家的。</w:t>
      </w:r>
      <w:r>
        <w:rPr>
          <w:rFonts w:hint="eastAsia" w:ascii="宋体" w:hAnsi="宋体" w:cs="宋体"/>
          <w:color w:val="000000"/>
          <w:sz w:val="24"/>
          <w:highlight w:val="none"/>
        </w:rPr>
      </w:r>
      <w:r/>
    </w:p>
    <w:p>
      <w:pPr>
        <w:pStyle w:val="901"/>
        <w:ind w:firstLine="482"/>
        <w:keepLines/>
        <w:keepNext/>
        <w:spacing w:line="360" w:lineRule="auto"/>
        <w:rPr>
          <w:rFonts w:hint="eastAsia" w:ascii="宋体" w:hAnsi="宋体" w:cs="宋体"/>
          <w:b/>
          <w:bCs/>
          <w:color w:val="000000"/>
          <w:sz w:val="24"/>
          <w:highlight w:val="none"/>
        </w:rPr>
        <w:outlineLvl w:val="2"/>
      </w:pPr>
      <w:r/>
      <w:bookmarkStart w:id="123" w:name="_Toc20823307"/>
      <w:r/>
      <w:bookmarkStart w:id="124" w:name="_Toc120614219"/>
      <w:r/>
      <w:bookmarkStart w:id="125" w:name="_Toc16938551"/>
      <w:r/>
      <w:bookmarkStart w:id="126" w:name="_Toc513029235"/>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901"/>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16938554"/>
      <w:r/>
      <w:bookmarkStart w:id="129" w:name="_Toc20823310"/>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901"/>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90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901"/>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8"/>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8"/>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08"/>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08"/>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0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901"/>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20823308"/>
      <w:r/>
      <w:bookmarkStart w:id="133" w:name="_Toc16938552"/>
      <w:r/>
      <w:bookmarkStart w:id="134" w:name="_Toc513029236"/>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901"/>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513029237"/>
      <w:r/>
      <w:bookmarkStart w:id="136" w:name="_Toc16938553"/>
      <w:r/>
      <w:bookmarkStart w:id="137" w:name="_Toc20823309"/>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90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901"/>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901"/>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3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2"/>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90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苏州市吴江区人民政府江陵街道办事处</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2026年江陵街道市政雨水管网疏通养护服务项目</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901"/>
        <w:ind w:firstLine="482"/>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JSZC-320509-ZZHL-C2026-0023</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01"/>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color w:val="000000"/>
          <w:sz w:val="24"/>
          <w:szCs w:val="24"/>
          <w:highlight w:val="none"/>
          <w:lang w:eastAsia="zh-CN"/>
        </w:rPr>
        <w:t xml:space="preserve">2026年江陵街道市政雨水管网疏通养护服务项目</w:t>
      </w:r>
      <w:r>
        <w:rPr>
          <w:rFonts w:hint="eastAsia" w:ascii="宋体" w:hAnsi="宋体" w:eastAsia="宋体" w:cs="宋体"/>
          <w:b/>
          <w:color w:val="000000"/>
          <w:sz w:val="24"/>
          <w:szCs w:val="24"/>
          <w:highlight w:val="none"/>
          <w:lang w:eastAsia="zh-CN"/>
        </w:rPr>
      </w:r>
      <w:r/>
    </w:p>
    <w:p>
      <w:pPr>
        <w:pStyle w:val="901"/>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算：人民币叁佰捌拾万圆整（￥：3800000.00）</w:t>
      </w:r>
      <w:r>
        <w:rPr>
          <w:rFonts w:hint="eastAsia" w:ascii="宋体" w:hAnsi="宋体" w:eastAsia="宋体" w:cs="宋体"/>
          <w:b/>
          <w:color w:val="000000"/>
          <w:sz w:val="24"/>
          <w:szCs w:val="24"/>
          <w:highlight w:val="none"/>
          <w:lang w:eastAsia="zh-CN"/>
        </w:rPr>
      </w:r>
      <w:r/>
    </w:p>
    <w:tbl>
      <w:tblPr>
        <w:tblStyle w:val="926"/>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名称</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采购预算</w:t>
            </w:r>
            <w:r>
              <w:rPr>
                <w:rFonts w:hint="eastAsia"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2026年江陵街道市政雨水管网疏通养护服务项目（运东南及城南）</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壹佰伍拾万圆整（￥：1500000.00）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2026年江陵街道市政雨水管网疏通养护服务项目（运东北）</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壹佰肆拾万圆整（￥：1400000.00）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901"/>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三</w:t>
            </w:r>
            <w:r>
              <w:rPr>
                <w:rFonts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2026年江陵街道市政雨水管网疏通养护服务项目（运西）</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玖拾万圆整（￥：900000.00）</w:t>
            </w:r>
            <w:r>
              <w:rPr>
                <w:rFonts w:ascii="宋体" w:hAnsi="宋体" w:eastAsia="宋体" w:cs="宋体"/>
                <w:color w:val="000000"/>
                <w:sz w:val="24"/>
                <w:szCs w:val="24"/>
                <w:highlight w:val="none"/>
                <w:vertAlign w:val="baseline"/>
                <w:lang w:val="en-US" w:eastAsia="zh-CN"/>
              </w:rPr>
            </w:r>
            <w:r/>
          </w:p>
        </w:tc>
      </w:tr>
    </w:tbl>
    <w:p>
      <w:pPr>
        <w:pStyle w:val="901"/>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最高限价：人民币叁佰捌拾万圆整（￥：3800000.00）</w:t>
      </w:r>
      <w:r>
        <w:rPr>
          <w:rFonts w:hint="eastAsia" w:ascii="宋体" w:hAnsi="宋体" w:eastAsia="宋体" w:cs="宋体"/>
          <w:b/>
          <w:color w:val="000000"/>
          <w:sz w:val="24"/>
          <w:szCs w:val="24"/>
          <w:highlight w:val="none"/>
          <w:lang w:eastAsia="zh-CN"/>
        </w:rPr>
      </w:r>
      <w:r/>
    </w:p>
    <w:tbl>
      <w:tblPr>
        <w:tblStyle w:val="926"/>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名称</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901"/>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最高限价</w:t>
            </w:r>
            <w:r>
              <w:rPr>
                <w:rFonts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bidi="ar-SA"/>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2026年江陵街道市政雨水管网疏通养护服务项目（运东南及城南）</w:t>
            </w:r>
            <w:r>
              <w:rPr>
                <w:rFonts w:hint="eastAsia" w:ascii="宋体" w:hAnsi="宋体" w:eastAsia="宋体" w:cs="宋体"/>
                <w:color w:val="000000"/>
                <w:sz w:val="24"/>
                <w:szCs w:val="24"/>
                <w:highlight w:val="none"/>
                <w:vertAlign w:val="baseline"/>
                <w:lang w:val="en-US" w:eastAsia="zh-CN" w:bidi="ar-SA"/>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壹佰伍拾万圆整（￥：1500000.00）</w:t>
            </w:r>
            <w:r>
              <w:rPr>
                <w:rFonts w:hint="eastAsia" w:ascii="宋体" w:hAnsi="宋体" w:eastAsia="宋体" w:cs="宋体"/>
                <w:color w:val="000000"/>
                <w:sz w:val="24"/>
                <w:szCs w:val="24"/>
                <w:highlight w:val="none"/>
                <w:vertAlign w:val="baseline"/>
                <w:lang w:val="en-US" w:eastAsia="zh-CN" w:bidi="ar-SA"/>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bidi="ar-SA"/>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2026年江陵街道市政雨水管网疏通养护服务项目（运东北）</w:t>
            </w:r>
            <w:r>
              <w:rPr>
                <w:rFonts w:hint="eastAsia" w:ascii="宋体" w:hAnsi="宋体" w:eastAsia="宋体" w:cs="宋体"/>
                <w:color w:val="000000"/>
                <w:sz w:val="24"/>
                <w:szCs w:val="24"/>
                <w:highlight w:val="none"/>
                <w:vertAlign w:val="baseline"/>
                <w:lang w:val="en-US" w:eastAsia="zh-CN" w:bidi="ar-SA"/>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壹佰肆拾万圆整（￥：1400000.00）</w:t>
            </w:r>
            <w:r>
              <w:rPr>
                <w:rFonts w:hint="eastAsia" w:ascii="宋体" w:hAnsi="宋体" w:eastAsia="宋体" w:cs="宋体"/>
                <w:color w:val="000000"/>
                <w:sz w:val="24"/>
                <w:szCs w:val="24"/>
                <w:highlight w:val="none"/>
                <w:vertAlign w:val="baseline"/>
                <w:lang w:val="en-US" w:eastAsia="zh-CN" w:bidi="ar-SA"/>
              </w:rPr>
            </w:r>
            <w:r/>
          </w:p>
        </w:tc>
      </w:tr>
      <w:tr>
        <w:trPr>
          <w:trHeight w:val="533"/>
        </w:trPr>
        <w:tc>
          <w:tcPr>
            <w:tcW w:w="847"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三</w:t>
            </w:r>
            <w:r>
              <w:rPr>
                <w:rFonts w:hint="eastAsia" w:ascii="宋体" w:hAnsi="宋体" w:eastAsia="宋体" w:cs="宋体"/>
                <w:color w:val="000000"/>
                <w:sz w:val="24"/>
                <w:szCs w:val="24"/>
                <w:highlight w:val="none"/>
                <w:vertAlign w:val="baseline"/>
                <w:lang w:val="en-US" w:eastAsia="zh-CN" w:bidi="ar-SA"/>
              </w:rPr>
            </w:r>
            <w:r/>
          </w:p>
        </w:tc>
        <w:tc>
          <w:tcPr>
            <w:tcW w:w="478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2026年江陵街道市政雨水管网疏通养护服务项目（运西）</w:t>
            </w:r>
            <w:r>
              <w:rPr>
                <w:rFonts w:hint="eastAsia" w:ascii="宋体" w:hAnsi="宋体" w:eastAsia="宋体" w:cs="宋体"/>
                <w:color w:val="000000"/>
                <w:sz w:val="24"/>
                <w:szCs w:val="24"/>
                <w:highlight w:val="none"/>
                <w:vertAlign w:val="baseline"/>
                <w:lang w:val="en-US" w:eastAsia="zh-CN" w:bidi="ar-SA"/>
              </w:rPr>
            </w:r>
            <w:r/>
          </w:p>
        </w:tc>
        <w:tc>
          <w:tcPr>
            <w:tcW w:w="3720"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玖拾万圆整（￥：900000.00）</w:t>
            </w:r>
            <w:r>
              <w:rPr>
                <w:rFonts w:hint="eastAsia" w:ascii="宋体" w:hAnsi="宋体" w:eastAsia="宋体" w:cs="宋体"/>
                <w:color w:val="000000"/>
                <w:sz w:val="24"/>
                <w:szCs w:val="24"/>
                <w:highlight w:val="none"/>
                <w:vertAlign w:val="baseline"/>
                <w:lang w:val="en-US" w:eastAsia="zh-CN" w:bidi="ar-SA"/>
              </w:rPr>
            </w:r>
            <w:r/>
          </w:p>
        </w:tc>
      </w:tr>
    </w:tbl>
    <w:p>
      <w:pPr>
        <w:pStyle w:val="901"/>
        <w:ind w:firstLine="482"/>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bCs w:val="0"/>
          <w:color w:val="000000"/>
          <w:sz w:val="24"/>
          <w:highlight w:val="none"/>
          <w:lang w:eastAsia="zh-CN"/>
        </w:rPr>
        <w:t xml:space="preserve">1年或结算金额达到各标段预算金额，先到为止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r>
      <w:r/>
    </w:p>
    <w:p>
      <w:pPr>
        <w:pStyle w:val="901"/>
        <w:ind w:firstLine="482"/>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901"/>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1.项目概况</w:t>
      </w:r>
      <w:r>
        <w:rPr>
          <w:rFonts w:hint="eastAsia" w:ascii="宋体" w:hAnsi="宋体" w:eastAsia="宋体" w:cs="宋体"/>
          <w:b/>
          <w:bCs/>
          <w:color w:val="000000"/>
          <w:sz w:val="24"/>
          <w:szCs w:val="24"/>
          <w:highlight w:val="none"/>
          <w:lang w:val="en-US" w:eastAsia="zh-CN"/>
        </w:rPr>
      </w:r>
      <w:r/>
    </w:p>
    <w:p>
      <w:pPr>
        <w:pStyle w:val="901"/>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主要内容为：主要完成江陵街道2026年度市政雨水管网疏通养护工作，主要包含相关路段市政雨水管道巡查及雨水网管疏通等采购方要求的内容。共分为三个标段：</w:t>
      </w:r>
      <w:r>
        <w:rPr>
          <w:rFonts w:ascii="宋体" w:hAnsi="宋体" w:eastAsia="宋体" w:cs="宋体"/>
          <w:color w:val="000000"/>
          <w:sz w:val="24"/>
          <w:szCs w:val="24"/>
          <w:highlight w:val="none"/>
          <w:lang w:val="en-US" w:eastAsia="zh-CN"/>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第一标段：2026年江陵街道市政雨水管网疏通养护服务项目（运东南及城南），标段范围：北至东太湖大道、东、西、南各至辖区规划边界。</w:t>
      </w:r>
      <w:r>
        <w:rPr>
          <w:rFonts w:hint="eastAsia" w:ascii="宋体" w:hAnsi="宋体" w:eastAsia="宋体" w:cs="宋体"/>
          <w:color w:val="000000"/>
          <w:sz w:val="24"/>
          <w:szCs w:val="24"/>
          <w:highlight w:val="none"/>
          <w:lang w:val="en-US" w:eastAsia="zh-CN"/>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第二标段：2026年江陵街道市政雨水管网疏通养护服务项目（运东北），标段范围：西至运河、南至东太湖大道、东、北各至辖区规划边界。</w:t>
      </w:r>
      <w:r>
        <w:rPr>
          <w:rFonts w:hint="eastAsia" w:ascii="宋体" w:hAnsi="宋体" w:eastAsia="宋体" w:cs="宋体"/>
          <w:color w:val="000000"/>
          <w:sz w:val="24"/>
          <w:szCs w:val="24"/>
          <w:highlight w:val="none"/>
          <w:lang w:val="en-US" w:eastAsia="zh-CN"/>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第三标段：2026年江陵街道市政雨水管网疏通养护服务项目（运西），标段范围：东至运河，西、北、南各至辖区规划边界。</w:t>
      </w:r>
      <w:r>
        <w:rPr>
          <w:rFonts w:hint="eastAsia" w:ascii="宋体" w:hAnsi="宋体" w:eastAsia="宋体" w:cs="宋体"/>
          <w:color w:val="000000"/>
          <w:sz w:val="24"/>
          <w:szCs w:val="24"/>
          <w:highlight w:val="none"/>
          <w:lang w:val="en-US" w:eastAsia="zh-CN"/>
        </w:rPr>
      </w:r>
      <w:r/>
    </w:p>
    <w:p>
      <w:pPr>
        <w:pStyle w:val="901"/>
        <w:ind w:firstLine="482"/>
        <w:jc w:val="center"/>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标段划分图</w:t>
      </w:r>
      <w:r>
        <w:rPr>
          <w:rFonts w:ascii="宋体" w:hAnsi="宋体" w:eastAsia="宋体" w:cs="宋体"/>
          <w:b/>
          <w:bCs/>
          <w:color w:val="000000"/>
          <w:sz w:val="24"/>
          <w:szCs w:val="24"/>
          <w:highlight w:val="none"/>
          <w:lang w:val="en-US" w:eastAsia="zh-CN"/>
        </w:rPr>
      </w:r>
      <w:r/>
    </w:p>
    <w:p>
      <w:pPr>
        <w:pStyle w:val="901"/>
        <w:ind w:firstLine="48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mc:AlternateContent>
          <mc:Choice Requires="wpg">
            <w:drawing>
              <wp:inline xmlns:wp="http://schemas.openxmlformats.org/drawingml/2006/wordprocessingDrawing" distT="0" distB="0" distL="0" distR="0">
                <wp:extent cx="4443476" cy="457214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443476" cy="4572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9.9pt;height:360.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24"/>
          <w:szCs w:val="24"/>
          <w:highlight w:val="none"/>
          <w:lang w:val="en-US" w:eastAsia="zh-CN"/>
        </w:rPr>
      </w:r>
      <w:r/>
    </w:p>
    <w:p>
      <w:pPr>
        <w:pStyle w:val="901"/>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2.采购内容及对应单价限价</w:t>
      </w:r>
      <w:r>
        <w:rPr>
          <w:rFonts w:hint="eastAsia" w:ascii="宋体" w:hAnsi="宋体" w:eastAsia="宋体" w:cs="宋体"/>
          <w:b/>
          <w:bCs/>
          <w:color w:val="000000"/>
          <w:sz w:val="24"/>
          <w:szCs w:val="24"/>
          <w:highlight w:val="none"/>
          <w:lang w:val="en-US" w:eastAsia="zh-CN"/>
        </w:rPr>
      </w:r>
      <w:r/>
    </w:p>
    <w:tbl>
      <w:tblPr>
        <w:tblW w:w="5040" w:type="pct"/>
        <w:jc w:val="center"/>
        <w:tblInd w:w="150" w:type="dxa"/>
        <w:tblLayout w:type="fixed"/>
        <w:tblCellMar>
          <w:left w:w="108" w:type="dxa"/>
          <w:top w:w="0" w:type="dxa"/>
          <w:right w:w="108" w:type="dxa"/>
          <w:bottom w:w="0" w:type="dxa"/>
        </w:tblCellMar>
        <w:tblLook w:val="04A0" w:firstRow="1" w:lastRow="0" w:firstColumn="1" w:lastColumn="0" w:noHBand="0" w:noVBand="1"/>
      </w:tblPr>
      <w:tblGrid>
        <w:gridCol w:w="642"/>
        <w:gridCol w:w="1687"/>
        <w:gridCol w:w="3765"/>
        <w:gridCol w:w="1719"/>
        <w:gridCol w:w="891"/>
        <w:gridCol w:w="659"/>
      </w:tblGrid>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项目名称</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项目特征描述</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全费用综合单价最高限价</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ascii="宋体" w:hAnsi="宋体" w:cs="宋体"/>
                <w:b/>
                <w:bCs/>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清疏检查井</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1、人工清疏检查井，井深2m以内；</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31.84</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清疏检查井</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1、人工清疏检查井，井深2m-3m以内；</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46.31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清疏检查井</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1、人工清疏检查井，井深3m以外；</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65.12</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清疏雨水边井</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1、人工清疏雨水边井，500*350mm以上；</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10.50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气囊封堵</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1.DN300气囊封堵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2.下井安全防护措施；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3.2、气囊考虑一次性摊销</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856.63</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元/处</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气囊封堵</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1.水下气囊封堵，DN400-DN600（200米为一工作段）；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2.下井安全防护措施；</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1028.45</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元/处</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气囊封堵</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1.水下气囊封堵，DN600-DN1000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2.下井安全防护措施；</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2072.78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元/处</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防坠网</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补缺防坠网，含8个挂钩；</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雨水管养护疏通</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1.疏通车疏通雨水管道，包含气囊封堵、人工清理雨水检查井、淤泥清运，一年一次。（垃圾外运地点由投标单位自行处理）；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2.单价为疏通一次的全费用单价；适用管径(mm)φ400以下（含400mm），具体实施内容以采购单位派发的工单为准。\必要的封堵、井下安全防护\清疏后清洗管道\垃圾清理弃置\机械进退场及安拆使用费用</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6.84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元/米</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雨水管养护疏通</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1.疏通车疏通雨水管道，包含气囊封堵、人工清理雨水检查井、淤泥清运，一年一次。（垃圾外运地点由投标单位自行处理）；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2.单价为疏通一次的全费用单价；适用管径(mm)φ400～φ600（含600mm），具体实施内容以采购单位派发的工单为准。\必要的封堵、井下安全防护\清疏后清洗管道\垃圾清理弃置\机械进退场及安拆使用费用</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7.89</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元/米</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雨水管养护疏通</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1.疏通车疏通雨水管道，包含气囊封堵、人工清理雨水检查井、淤泥清运，一年一次。（垃圾外运地点由投标单位自行处理）；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2.单价为疏通一次的全费用单价；适用管径(mm)φ600～φ800（含800mm），具体实施内容以采购单位派发的工单为准。\必要的封堵、井下安全防护\清疏后清洗管道\垃圾清理弃置\机械进退场及安拆使用费用</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9.65</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元/米</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雨水管养护疏通</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1.疏通车疏通雨水管道，包含气囊封堵、人工清理雨水检查井、淤泥清运，一年一次。（垃圾外运地点由投标单位自行处理）；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2.单价为疏通一次的全费用单价；适用管径(mm)＞φ800，具体实施内容以采购单位派发的工单为准。\必要的封堵、井下安全防护\清疏后清洗管道\垃圾清理弃置\机械进退场及安拆使用费用</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11.86</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元/米</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管道CCTV检测</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CCTV 视频检测管道及形成检测成果文件等；具体实施内容以采购单位派发的工单为准。\综合考虑雨水及管径(针对有问题的管段)</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11.32</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元/米</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明沟疏通</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1、管道内积泥量：现场踏勘或根据以往经验确定；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2、工作内容：明沟，清理管内中的污泥、杂物，直接装车外弃（不得直接堆置在地面），运距及弃置场地由投标人自行考虑；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3、工作量计算规则：明沟尺寸综合考虑，按养护内期内明沟长度以延长米乘以次数计算，不扣除检查井所占尺寸</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元/米</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潜水员</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潜水员下井作业</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2500.00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元/工日</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巡查车（处突皮卡车或发电厢型货车）</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巡查车（处突皮卡车或发电厢型货车）</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603.01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元/次</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高压联合疏通车</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高压联合疏通车2.5T</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594.53</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元/台班</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吸污车</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吸污车5T</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605.18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元/台班</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污水泵</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污水泵抽水，出口直径100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241.38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元/台班</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柴油发电机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柴油发电机组功率30kw</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845.91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元/台班</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更换检查井盖座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1、井盖材质规格：钢纤维砼检查井盖座，700*700mm，B125级；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2、人工拆除旧检查井盖；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3、人工更换砼检查井盖；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4、清理现场。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420.08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元/台班</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更换检查井盖</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1、井盖材质规格：钢纤维砼检查井盖，700*700mm，B125级；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2、人工拆除旧检查井盖；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3、人工更换砼检查井盖；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4、清理现场。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251.66</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更换检查井盖座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1、井盖材质规格：钢纤维砼检查井盖座，600*600mm，B125级；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2、人工拆除旧检查井盖；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3、人工更换砼检查井盖；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4、清理现场。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399.47</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更换检查井盖</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1、井盖材质规格：钢纤维砼检查井盖，600*600mm，B125级；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2、人工拆除旧检查井盖；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3、人工更换砼检查井盖；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4、清理现场。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241.56</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更换边井盖座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1、井盖材质规格：钢纤维砼检查井盖座，700*400mm，B125级；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2、人工拆除旧检查井盖；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3、人工更换砼检查井盖；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4、清理现场。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358.27</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更换边井盖座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1、井盖材质规格: 铸铁井座复合树脂井盖700*320mm，D400级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2、人工拆除旧检查井盖；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3、人工更换砼检查井盖；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4、清理现场。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337.66</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27</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更换边井盖座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1、井盖材质规格：钢纤维砼检查井盖座，500*400mm，B125级；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2、人工拆除旧检查井盖；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3、人工更换砼检查井盖；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4、清理现场。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234.64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90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0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施工护栏</w:t>
            </w:r>
            <w:r>
              <w:rPr>
                <w:rFonts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pStyle w:val="90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1、水马围挡（符合政府部门及建设单位要求），考虑夜间照明警示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2、最终按实际建设单位签证数量结算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3、1.5m*0.8m</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0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50</w:t>
            </w:r>
            <w:r>
              <w:rPr>
                <w:rFonts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0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元/座</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901"/>
              <w:jc w:val="right"/>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01"/>
        <w:ind w:firstLine="482"/>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须根据“采购内容清单”中的“全费用综合单价上限价格”基础上报统一</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优惠率为10</w:t>
      </w:r>
      <w:r>
        <w:rPr>
          <w:rFonts w:hint="eastAsia" w:ascii="宋体" w:hAnsi="宋体" w:eastAsia="宋体" w:cs="宋体"/>
          <w:color w:val="000000"/>
          <w:sz w:val="24"/>
          <w:szCs w:val="24"/>
          <w:highlight w:val="none"/>
        </w:rPr>
        <w:t xml:space="preserve">％，则表示结算单价在“全费用综合单价上限价格”的基础上</w:t>
      </w:r>
      <w:r>
        <w:rPr>
          <w:rFonts w:hint="eastAsia" w:ascii="宋体" w:hAnsi="宋体" w:eastAsia="宋体" w:cs="宋体"/>
          <w:color w:val="000000"/>
          <w:sz w:val="24"/>
          <w:szCs w:val="24"/>
          <w:highlight w:val="none"/>
          <w:lang w:val="en-US" w:eastAsia="zh-CN"/>
        </w:rPr>
        <w:t xml:space="preserve">×(1-15%)（即85折）】</w:t>
      </w:r>
      <w:r>
        <w:rPr>
          <w:rFonts w:hint="eastAsia" w:ascii="宋体" w:hAnsi="宋体" w:eastAsia="宋体" w:cs="宋体"/>
          <w:color w:val="000000"/>
          <w:sz w:val="24"/>
          <w:szCs w:val="24"/>
          <w:highlight w:val="none"/>
        </w:rPr>
        <w:t xml:space="preserve">，供应商应自行考虑项目实施期间的风险，具体费用根据成交单价及实际工作量结算。</w:t>
      </w:r>
      <w:r>
        <w:rPr>
          <w:rFonts w:hint="eastAsia" w:ascii="宋体" w:hAnsi="宋体" w:eastAsia="宋体" w:cs="宋体"/>
          <w:b/>
          <w:bCs/>
          <w:color w:val="000000"/>
          <w:sz w:val="24"/>
          <w:szCs w:val="24"/>
          <w:highlight w:val="none"/>
          <w:lang w:eastAsia="zh-CN"/>
        </w:rPr>
        <w:t xml:space="preserve">响应优惠率</w:t>
      </w:r>
      <w:r>
        <w:rPr>
          <w:rFonts w:hint="eastAsia" w:ascii="宋体" w:hAnsi="宋体" w:eastAsia="宋体" w:cs="宋体"/>
          <w:b/>
          <w:bCs/>
          <w:color w:val="000000"/>
          <w:sz w:val="24"/>
          <w:szCs w:val="24"/>
          <w:highlight w:val="none"/>
          <w:lang w:val="en-US" w:eastAsia="zh-CN"/>
        </w:rPr>
        <w:t xml:space="preserve">须≥10%，</w:t>
      </w:r>
      <w:r>
        <w:rPr>
          <w:rFonts w:hint="eastAsia" w:ascii="宋体" w:hAnsi="宋体" w:eastAsia="宋体" w:cs="宋体"/>
          <w:b/>
          <w:bCs/>
          <w:color w:val="000000"/>
          <w:sz w:val="24"/>
          <w:szCs w:val="24"/>
          <w:highlight w:val="none"/>
        </w:rPr>
        <w:t xml:space="preserve">取整数，不得出现小数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否则为无效响应</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最终以实际发生工作量为准，通过采购人及采购人验收方可确认为实际工作量，过程需要留存相关的影像资料。上述单价最高限价表中的单价为综合单价，包含为完成对应工作内容所产生的一切费用，包括但不限于人工、设备、机械、差旅、管理、利润、规费、税金、风险等等。</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★人员及设备最低配置要求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人员最低配置要求：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1.1管理人员：项目负责人1名，具有专业知识及丰富的现场管理经验。项目负责人必须在</w:t>
      </w:r>
      <w:r>
        <w:rPr>
          <w:rFonts w:hint="eastAsia" w:ascii="宋体" w:hAnsi="宋体" w:eastAsia="宋体" w:cs="宋体"/>
          <w:color w:val="000000"/>
          <w:sz w:val="24"/>
          <w:szCs w:val="24"/>
          <w:highlight w:val="none"/>
          <w:lang w:val="en-US" w:eastAsia="zh-CN"/>
        </w:rPr>
        <w:t xml:space="preserve">具有1年（含）以上工作经验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提供在本单位或其他单位担任项目负责人或管理人员的连续1年社保证明或劳动合同或能体现其姓名的过往项目合同</w:t>
      </w:r>
      <w:r>
        <w:rPr>
          <w:rFonts w:hint="eastAsia" w:ascii="宋体" w:hAnsi="宋体" w:eastAsia="宋体" w:cs="宋体"/>
          <w:color w:val="000000"/>
          <w:sz w:val="24"/>
          <w:szCs w:val="24"/>
          <w:highlight w:val="none"/>
        </w:rPr>
        <w:t xml:space="preserve">），必须熟练使用电脑、手机上网等功能，能够取得采购人组织的培训并考核合格；具有良好的沟通协调能力、处理问题能力；项目负责人作为与采购人的联络人，必须具体参与日常养护管理、现场投诉处理及回复，实时了解养护进展情况。接到投诉在规定时间内赶赴现场，并安排人员处理问题。并将投诉处理情况第一时间反馈给投诉人和采购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项目经理不得私自更换，如中途确需更换的提前十天报采购人同意，否则终止养护合同，所有损失由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highlight w:val="none"/>
        </w:rPr>
        <w:t xml:space="preserve">实施班组人员配置</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：资料员1名</w:t>
      </w:r>
      <w:r>
        <w:rPr>
          <w:rFonts w:hint="eastAsia" w:ascii="宋体" w:hAnsi="宋体" w:eastAsia="宋体" w:cs="宋体"/>
          <w:color w:val="000000"/>
          <w:sz w:val="24"/>
          <w:szCs w:val="24"/>
          <w:highlight w:val="none"/>
          <w:lang w:val="en-US" w:eastAsia="zh-CN"/>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w:t>
      </w:r>
      <w:r>
        <w:rPr>
          <w:rFonts w:hint="eastAsia" w:ascii="宋体" w:hAnsi="宋体" w:eastAsia="宋体" w:cs="宋体"/>
          <w:color w:val="000000"/>
          <w:sz w:val="24"/>
          <w:highlight w:val="none"/>
        </w:rPr>
        <w:t xml:space="preserve">实施班组人员配置</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t xml:space="preserve">抢险人员</w:t>
      </w:r>
      <w:r>
        <w:rPr>
          <w:rFonts w:hint="eastAsia" w:ascii="宋体" w:hAnsi="宋体" w:eastAsia="宋体" w:cs="宋体"/>
          <w:color w:val="000000"/>
          <w:sz w:val="24"/>
          <w:szCs w:val="24"/>
          <w:highlight w:val="none"/>
          <w:lang w:val="en-US" w:eastAsia="zh-CN"/>
        </w:rPr>
        <w:t xml:space="preserve">10名，</w:t>
      </w:r>
      <w:r>
        <w:rPr>
          <w:rFonts w:hint="eastAsia" w:ascii="宋体" w:hAnsi="宋体" w:eastAsia="宋体" w:cs="宋体"/>
          <w:color w:val="000000"/>
          <w:sz w:val="24"/>
          <w:szCs w:val="24"/>
          <w:highlight w:val="none"/>
        </w:rPr>
        <w:t xml:space="preserve">要求不少于2个班组进行排涝抢险工作，每个班组不得少于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人，抢险工具需配备齐全。</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1.4管理人员及现场服务人员须为未退休人员，身体健康，适合从事管道养护工作，年龄在55周岁（含55）以下，定员定岗。养护单位必须同养护人员签订劳动合同，非特殊情况不得更换养护人员，且养护人员不得兼职其他工作；</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必须给上述人员按照国家及苏州市有关规定支付工资和交纳正常的社会保险，并购买人身意外险等商业保险。</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1.5爱岗敬业，主人翁意识强，遵纪守法，文明礼貌。</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1.6团结协作意识、安全作业意识强，工作高质、高效。</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1.7注重个人形象，作业时穿戴反光背心、安全帽等安全防护设施。</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1.8供应商必须遵守劳动法及劳动合同法，依法规范用工，全员购买意外险。</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车辆机械、设备最低配置要求：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2.1具有相应的车辆机械、机械设备及检测设备，以保障项目顺利进行。配备车辆机械设备包括但不限于：巡查车辆（标有醒目的“专用道路养护车辆”标识）、疏通车、吸污车、厢式货车、运输车辆等；配备相应的机械设备，包括但不限于：CCTV机器人、水泵、气囊、污水泵、发电机等管网设施维护设备及QV检测设备、气体检测仪、GPS等仪器设备。</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2.2配备设施设备最低数量标准如下：管道疏通车不得少于2辆、垃圾运输车不得少于1辆、潜水泵不得少于4台（4寸及以上至少一台）、汽柴油发电机或汽柴油机水泵不得少于2台（排水量不低于6寸）、气囊等封堵工具不等若干、配备QV、CCTV等管道检查设备不得少于1套,保证工况良好。</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注：以上2.</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2.2响应文件中须提供相关证明材料或提供“中标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后签订合同前具备</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要求的车辆机械、设备等”的承诺书，承诺书加盖</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公章上传至符合性条款中，否则为无效响应文件。</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未在规定时间内按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要求配齐所有机械设备的，采购单位有权取消其</w:t>
      </w:r>
      <w:r>
        <w:rPr>
          <w:rFonts w:hint="eastAsia" w:ascii="宋体" w:hAnsi="宋体" w:eastAsia="宋体" w:cs="宋体"/>
          <w:color w:val="000000"/>
          <w:sz w:val="24"/>
          <w:szCs w:val="24"/>
          <w:highlight w:val="none"/>
          <w:lang w:eastAsia="zh-CN"/>
        </w:rPr>
        <w:t xml:space="preserve">中标（成交）资格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在养护区域内，必须有固定的养护休息场所，便于存放疏通工具设备、提供养护人员休息、值班等。</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具体服务内容及要求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1雨水管道疏通养护</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1.1工作目标：对街巷雨水管道加强水力疏通养护，清除雨水管道内的淤泥和各种垃圾，保证雨水管道畅通。</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1.2具体要求：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4.1.2.1</w:t>
      </w:r>
      <w:r>
        <w:rPr>
          <w:rFonts w:hint="eastAsia" w:ascii="宋体" w:hAnsi="宋体" w:eastAsia="宋体" w:cs="宋体"/>
          <w:color w:val="000000"/>
          <w:sz w:val="24"/>
          <w:szCs w:val="24"/>
          <w:highlight w:val="none"/>
        </w:rPr>
        <w:t xml:space="preserve">干管：①管内残留淤泥厚度应不超过该段管道管径的1/5；②管内不得残留各种垃圾（无法清除的需及时上报）；③井盖打开后应安装平稳且与井框完全贴合。</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4.1.2.2</w:t>
      </w:r>
      <w:r>
        <w:rPr>
          <w:rFonts w:hint="eastAsia" w:ascii="宋体" w:hAnsi="宋体" w:eastAsia="宋体" w:cs="宋体"/>
          <w:color w:val="000000"/>
          <w:sz w:val="24"/>
          <w:szCs w:val="24"/>
          <w:highlight w:val="none"/>
        </w:rPr>
        <w:t xml:space="preserve">支管：①管内不得残留淤泥及各种垃圾（无法清除的需及时上报）；②井盖打开后应安装平稳且与井框完全贴合。</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4.1.2.3</w:t>
      </w:r>
      <w:r>
        <w:rPr>
          <w:rFonts w:hint="eastAsia" w:ascii="宋体" w:hAnsi="宋体" w:eastAsia="宋体" w:cs="宋体"/>
          <w:color w:val="000000"/>
          <w:sz w:val="24"/>
          <w:szCs w:val="24"/>
          <w:highlight w:val="none"/>
        </w:rPr>
        <w:t xml:space="preserve">安全作业及其它要求：①不得损坏雨水管道及其附属设施；②作业过程中，所有施工人员必须穿戴统一要求的反光马甲，作业范围边界应设置安全锥及安全警示灯，有专人进行交通疏导，上岗前需进行安全教育；③疏通车辆停放及工具摆放、移动应保证道路交通及行人安全；④400mm以上管道疏通作业必须使用大号喷头（直径大于15cm）；⑤不得跳井疏通，必须保证每段管道都疏通；⑥若存在清淤施工，应使用管底清洗机配合清淤期间的管道冲洗。</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1.3管网养护综合要求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1.3.1按计划养护：养护单位须根据</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要求按时保质保量完成养护工作，养护单位应先行制定养护计划并提交采购方审核，按照采购方审定的养护计划进行养护作业；采购方有权根据实际情况对标书中的工作总量进行合理增减。</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1.3.2安全文明作业，完工后不遗留作业工具，路面不得残留污泥等垃圾，做到工完场清。</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1.3.3合同执行过程中，成交单位有义务配合采购方执行各项与本合同相关的电子化办公要求。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雨水设施的巡查监护</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4.2.1</w:t>
      </w:r>
      <w:r>
        <w:rPr>
          <w:rFonts w:hint="eastAsia" w:ascii="宋体" w:hAnsi="宋体" w:eastAsia="宋体" w:cs="宋体"/>
          <w:color w:val="000000"/>
          <w:sz w:val="24"/>
          <w:szCs w:val="24"/>
          <w:highlight w:val="none"/>
        </w:rPr>
        <w:t xml:space="preserve">服务单位应对负责片区进行不定期的巡查，及时记录巡查中发现的问题要立即解决或上报至采购方，如因未及时解决或汇报造成相关后果，则按处罚条款执行处罚，由此发生的所有损失由成交单位承担。</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污泥外运</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3.1工作目标：养护过程中所产生的污泥必须按要求运送至指定的污泥处理地。特殊情况供应商可自行寻找其他合规的污泥排放点，费用包含在</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中。该行为须经甲方审批同意方可执行。（供应商应提前自备紧急情况下合适的污泥排放点，不能影响正常服务进度。）</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3.2具体要求：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4.3.2.1</w:t>
      </w:r>
      <w:r>
        <w:rPr>
          <w:rFonts w:hint="eastAsia" w:ascii="宋体" w:hAnsi="宋体" w:eastAsia="宋体" w:cs="宋体"/>
          <w:color w:val="000000"/>
          <w:sz w:val="24"/>
          <w:szCs w:val="24"/>
          <w:highlight w:val="none"/>
        </w:rPr>
        <w:t xml:space="preserve">污泥运输应符合下列规定：①污泥必须采用污泥运输车运输。②在运输过程中，应做到污泥不落地、沿途无洒落。③污泥运输车辆应加盖，并应定期清洗保持整洁。</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4.3.2.2</w:t>
      </w:r>
      <w:r>
        <w:rPr>
          <w:rFonts w:hint="eastAsia" w:ascii="宋体" w:hAnsi="宋体" w:eastAsia="宋体" w:cs="宋体"/>
          <w:color w:val="000000"/>
          <w:sz w:val="24"/>
          <w:szCs w:val="24"/>
          <w:highlight w:val="none"/>
        </w:rPr>
        <w:t xml:space="preserve">污泥盛器和车辆在街道上停放时，应设置安全标志，夜间应悬挂警示灯。疏通作业完毕后，应及时撤离现场。</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4.3.2.3</w:t>
      </w:r>
      <w:r>
        <w:rPr>
          <w:rFonts w:hint="eastAsia" w:ascii="宋体" w:hAnsi="宋体" w:eastAsia="宋体" w:cs="宋体"/>
          <w:color w:val="000000"/>
          <w:sz w:val="24"/>
          <w:szCs w:val="24"/>
          <w:highlight w:val="none"/>
        </w:rPr>
        <w:t xml:space="preserve">污泥处置不得对环境造成污染。</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雨水管道抽检</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4.1工作目标：配合采购方使用CCTV或QV进行临时、机动的雨水管道检查。</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具体要求：查明是否有雨水管道、窨边井存在混接错位、损坏渗漏等问题，和新接收雨水管网的功能性、结构性的检查，并按照采购方要求整理资料报甲方。</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其他：其他采购方指定的与本项目服务相关的任务。</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台帐要求</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自收到</w:t>
      </w:r>
      <w:r>
        <w:rPr>
          <w:rFonts w:hint="eastAsia" w:ascii="宋体" w:hAnsi="宋体" w:eastAsia="宋体" w:cs="宋体"/>
          <w:color w:val="000000"/>
          <w:sz w:val="24"/>
          <w:szCs w:val="24"/>
          <w:highlight w:val="none"/>
          <w:lang w:eastAsia="zh-CN"/>
        </w:rPr>
        <w:t xml:space="preserve">成交通知书</w:t>
      </w:r>
      <w:r>
        <w:rPr>
          <w:rFonts w:hint="eastAsia" w:ascii="宋体" w:hAnsi="宋体" w:eastAsia="宋体" w:cs="宋体"/>
          <w:color w:val="000000"/>
          <w:sz w:val="24"/>
          <w:szCs w:val="24"/>
          <w:highlight w:val="none"/>
        </w:rPr>
        <w:t xml:space="preserve">后，应立即按照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内容完善月度、年度疏挖计划，并将疏挖计划电子档和纸质档确认盖章后报送采购人。</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按采购人要求，根据巡视情况、管网养护情况形成日报表、养护月报表报采购人。</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每月定期自查一次，每月初将上一月养护情况（投诉与处理、维修、养护区域、养护公里数等）报送采购人（以电子文档或传真形式）。</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每月定期（每月10号前）报送上一月度淤泥清理量（吨）、去向、送运人、送运日期等，并对应附上淤泥清运现场照片（照片上应附上清运时间数据）。</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安全与卫生</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严格遵守《排水管道维护安全技术规程》（CJJ6-2009）的规定，保障雨水管道养护人员的作业安全和身体健康。</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应有相关安全措施，按采购单位要求统一配备养护人员安全防护装置（安全标示、反光装置、护栏等），负责养护人员人身安全。</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在服务辖区内因现场巡查、养护等工作不到位引起的第三方人员伤亡、财产损失等均由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清挖出的垃圾必须及时运离现场，并清洁周边环境卫生。垃圾必须规范妥善处理（同垃圾中转站或填埋厂签定合同，需报采购方一份），并做好垃圾处置台账。</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服务地点：江陵街道，采购方指定地点。 </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验收标准</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2026年雨水管网疏通养护服务管理考核办法</w:t>
      </w:r>
      <w:r>
        <w:rPr>
          <w:rFonts w:hint="eastAsia" w:ascii="宋体" w:hAnsi="宋体" w:eastAsia="宋体" w:cs="宋体"/>
          <w:color w:val="000000"/>
          <w:sz w:val="24"/>
          <w:szCs w:val="24"/>
          <w:highlight w:val="none"/>
        </w:rPr>
        <w:t xml:space="preserve">》，采购方组织对服务情况进行日常检查，每季度由采购方牵头对服务片区考核一次。</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维修涉及的货物（材料）符合产品本身的规格、技术条件、国家相关标准、行业通行标准、厂方出厂标准、</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要求和</w:t>
      </w:r>
      <w:r>
        <w:rPr>
          <w:rFonts w:hint="eastAsia" w:ascii="宋体" w:hAnsi="宋体" w:eastAsia="宋体" w:cs="宋体"/>
          <w:color w:val="000000"/>
          <w:sz w:val="24"/>
          <w:szCs w:val="24"/>
          <w:highlight w:val="none"/>
          <w:lang w:eastAsia="zh-CN"/>
        </w:rPr>
        <w:t xml:space="preserve">磋商响应文件</w:t>
      </w:r>
      <w:r>
        <w:rPr>
          <w:rFonts w:hint="eastAsia" w:ascii="宋体" w:hAnsi="宋体" w:eastAsia="宋体" w:cs="宋体"/>
          <w:color w:val="000000"/>
          <w:sz w:val="24"/>
          <w:szCs w:val="24"/>
          <w:highlight w:val="none"/>
        </w:rPr>
        <w:t xml:space="preserve">的承诺及采购人的要求等。</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rPr>
        <w:t xml:space="preserve">如验收不合格或在质量保证期内发现产品是不合格的，包括产品有明显的或潜在的缺陷、使用不符合要求的材料等，采购人有权提出书面异议，采购人向</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提出书面异议后，</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应在采购人书面异议中限定的时间内根据采购人的要求进行调换或采取其他采购人同意的补救措施。由此产生的一切费用包括但不限于拆卸/搬运/运输/保管费用及责任等均由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rPr>
        <w:t xml:space="preserve">服务响应时间：</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以优良的服务态度，提供10分钟时以内响应，30分钟（半小时）到达现场，2小时以内完成采购人提出的维修要求。如需更换货物或送修，必须在48小时内负责解决，且更换维修期间须提供备用货物以保证系统的正常运行。</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本项目实质性条款包括但不限于服务内容、数量、人员及机械设备要求、免费质保期、售后服务响应时间等要求、付款方式、</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资格条件等，具体</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要求，保证项目顺利实施及采购人使用。</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必须满足</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中提出的全部服务要求和必须达到的标准，如果其中某些条款不响应时，应在偏离表中逐条列出，未列出的视同响应。</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磋商响应总报价</w:t>
      </w:r>
      <w:r>
        <w:rPr>
          <w:rFonts w:hint="eastAsia" w:ascii="宋体" w:hAnsi="宋体" w:eastAsia="宋体" w:cs="宋体"/>
          <w:color w:val="000000"/>
          <w:sz w:val="24"/>
          <w:szCs w:val="24"/>
          <w:highlight w:val="none"/>
        </w:rPr>
        <w:t xml:space="preserve">应包括服务所需的人员费用、设备耗材费用、管理费用、交通食宿费用、劳保、报告编制及印制、保险、利润、</w:t>
      </w:r>
      <w:r>
        <w:rPr>
          <w:rFonts w:hint="eastAsia" w:ascii="宋体" w:hAnsi="宋体" w:eastAsia="宋体" w:cs="宋体"/>
          <w:color w:val="000000"/>
          <w:sz w:val="24"/>
          <w:szCs w:val="24"/>
          <w:highlight w:val="none"/>
          <w:lang w:eastAsia="zh-CN"/>
        </w:rPr>
        <w:t xml:space="preserve">税金、代理服务费及政策和合同包含的所有风险</w:t>
      </w:r>
      <w:r>
        <w:rPr>
          <w:rFonts w:hint="eastAsia" w:ascii="宋体" w:hAnsi="宋体" w:eastAsia="宋体" w:cs="宋体"/>
          <w:color w:val="000000"/>
          <w:sz w:val="24"/>
          <w:szCs w:val="24"/>
          <w:highlight w:val="none"/>
        </w:rPr>
        <w:t xml:space="preserve">、责任等各项应有费用。除非因特殊原因并经双方协商同意，</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不得再要求追加任何费用。同时，除非合同条款中另有规定，否则，</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所报价格在合同实施期间不因市场变化因素而变动。</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必须与服务人员签订劳动合同，并按照国家及苏州市吴江区的有关规定支付工资和交纳正常的社会保险等。</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相关人员造成安全事故、交通事故、相关处罚，全部由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自行承担，采购单位不承担任何责任和赔偿，并且有权对</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进行经济处罚，并从支付费用中给予扣除。</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★付款方式：先服务后付款，每季度结算一次，在一个季度后的次月由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申报前一季度服务项目工作量，经采购方考核确认后，采购方支付前一季度服务项目工作量50%的服务费；项目竣工验收后，采购方付至项目总金额的50%；项目送审计部门审计后，采购方付至项目总金额的60%；经审计部门审计后，根据审计部门审计结果付至审计金额的80%；自审计报告之日起一年后付至审计金额的90%；剩余10%款项在自审计报告之日起二年后结清。每次申报的服务费需乘以当季度考核结算系数。具体付款日期根据采购方所在地财政部门规定执行，采购方可根据实际情况调整付款比例及支付时间节点。</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必须保证全部响应资料的真实性，如有虚假或对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所要求说明的情况故意隐瞒或虚报，取消其中标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的资格，并将按照《中华人民共和国政府采购法》相关条款给予处罚。</w:t>
      </w:r>
      <w:r>
        <w:rPr>
          <w:rFonts w:hint="eastAsia" w:ascii="宋体" w:hAnsi="宋体" w:eastAsia="宋体" w:cs="宋体"/>
          <w:color w:val="000000"/>
          <w:sz w:val="24"/>
          <w:szCs w:val="24"/>
          <w:highlight w:val="none"/>
        </w:rPr>
      </w:r>
      <w:r/>
    </w:p>
    <w:p>
      <w:pPr>
        <w:pStyle w:val="901"/>
        <w:ind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磋商保证金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rPr>
        <w:t xml:space="preserve">采购文件中有关磋商保证金的规定均不适用。投标（响应）人应在投标（响应）文件中提交《投标（响应）保证承诺书》（详见附件），否则为无效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01"/>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lang w:val="en-US" w:eastAsia="zh-CN"/>
        </w:rPr>
      </w:r>
      <w:r/>
    </w:p>
    <w:p>
      <w:pPr>
        <w:pStyle w:val="901"/>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1"/>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901"/>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color w:val="000000"/>
          <w:sz w:val="24"/>
          <w:szCs w:val="24"/>
          <w:highlight w:val="none"/>
          <w:shd w:val="clear" w:color="auto" w:fill="ffffff"/>
          <w:lang w:eastAsia="zh-CN"/>
        </w:rPr>
        <w:t xml:space="preserve">（</w:t>
      </w:r>
      <w:r>
        <w:rPr>
          <w:rFonts w:hint="eastAsia" w:ascii="宋体" w:hAnsi="宋体" w:eastAsia="宋体" w:cs="宋体"/>
          <w:b/>
          <w:color w:val="000000"/>
          <w:sz w:val="24"/>
          <w:szCs w:val="24"/>
          <w:highlight w:val="none"/>
          <w:shd w:val="clear" w:color="auto" w:fill="ffffff"/>
          <w:lang w:val="en-US" w:eastAsia="zh-CN"/>
        </w:rPr>
        <w:t xml:space="preserve">适用于第一、第二标段、第三标段</w:t>
      </w:r>
      <w:r>
        <w:rPr>
          <w:rFonts w:hint="eastAsia" w:ascii="宋体" w:hAnsi="宋体" w:eastAsia="宋体" w:cs="宋体"/>
          <w:b/>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w:t>
      </w:r>
      <w:r>
        <w:rPr>
          <w:rFonts w:hint="eastAsia" w:ascii="宋体" w:hAnsi="宋体" w:eastAsia="宋体" w:cs="宋体"/>
          <w:color w:val="000000"/>
          <w:sz w:val="24"/>
          <w:szCs w:val="24"/>
          <w:highlight w:val="none"/>
        </w:rPr>
        <w:t xml:space="preserve">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w:t>
      </w:r>
      <w:r>
        <w:rPr>
          <w:rFonts w:hint="eastAsia" w:ascii="宋体" w:hAnsi="宋体" w:eastAsia="宋体" w:cs="宋体"/>
          <w:color w:val="000000"/>
          <w:sz w:val="24"/>
          <w:szCs w:val="24"/>
          <w:highlight w:val="none"/>
        </w:rPr>
        <w:t xml:space="preserve">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901"/>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ascii="宋体" w:hAnsi="宋体" w:eastAsia="宋体" w:cs="宋体"/>
          <w:color w:val="000000"/>
          <w:sz w:val="24"/>
          <w:szCs w:val="24"/>
          <w:highlight w:val="none"/>
          <w:lang w:val="en-US" w:eastAsia="zh-CN"/>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（一）价格</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0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第一步：磋商报价低于或等于财政预算价格（及最高限价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最低优惠率</w:t>
      </w:r>
      <w:r>
        <w:rPr>
          <w:rFonts w:hint="eastAsia" w:ascii="宋体" w:hAnsi="宋体" w:eastAsia="宋体" w:cs="宋体"/>
          <w:color w:val="000000"/>
          <w:sz w:val="24"/>
          <w:szCs w:val="24"/>
          <w:highlight w:val="none"/>
        </w:rPr>
        <w:t xml:space="preserve">）的，为有效磋商报价。超采购预算（或最高限价</w:t>
      </w:r>
      <w:r>
        <w:rPr>
          <w:rFonts w:hint="eastAsia" w:ascii="宋体" w:hAnsi="宋体" w:eastAsia="宋体" w:cs="宋体"/>
          <w:color w:val="000000"/>
          <w:sz w:val="24"/>
          <w:szCs w:val="24"/>
          <w:highlight w:val="none"/>
          <w:lang w:val="en-US" w:eastAsia="zh-CN"/>
        </w:rPr>
        <w:t xml:space="preserve">或最低优惠率</w:t>
      </w:r>
      <w:r>
        <w:rPr>
          <w:rFonts w:hint="eastAsia" w:ascii="宋体" w:hAnsi="宋体" w:eastAsia="宋体" w:cs="宋体"/>
          <w:color w:val="000000"/>
          <w:sz w:val="24"/>
          <w:szCs w:val="24"/>
          <w:highlight w:val="none"/>
        </w:rPr>
        <w:t xml:space="preserve">）的磋商报价为无效磋商报价。无效磋商报价的磋商响应文件不进行评审，也不得成交。</w:t>
      </w:r>
      <w:r>
        <w:rPr>
          <w:rFonts w:hint="eastAsia" w:ascii="宋体" w:hAnsi="宋体" w:eastAsia="宋体" w:cs="宋体"/>
          <w:color w:val="000000"/>
          <w:sz w:val="24"/>
          <w:szCs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第二步：在所有有效磋商报价中满足采购文件要求，且磋商价格最低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优惠率最高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的磋商报价为评标基准价，其价格分为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0分，其他磋商供应商的价格分按照下列公式计算（计算结果</w:t>
      </w:r>
      <w:r>
        <w:rPr>
          <w:rFonts w:hint="eastAsia" w:ascii="宋体" w:hAnsi="宋体" w:eastAsia="宋体" w:cs="宋体"/>
          <w:color w:val="000000"/>
          <w:sz w:val="24"/>
          <w:highlight w:val="none"/>
        </w:rPr>
        <w:t xml:space="preserve">四舍五入保留两位小数）</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磋商报价得分＝（评标基准价/磋商报价）×</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0%×100</w:t>
      </w:r>
      <w:r>
        <w:rPr>
          <w:rFonts w:hint="eastAsia" w:ascii="宋体" w:hAnsi="宋体" w:eastAsia="宋体" w:cs="宋体"/>
          <w:color w:val="000000"/>
          <w:sz w:val="24"/>
          <w:highlight w:val="none"/>
        </w:rPr>
      </w:r>
      <w:r/>
    </w:p>
    <w:p>
      <w:pPr>
        <w:pStyle w:val="901"/>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（二）技术服务方案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55分</w:t>
      </w:r>
      <w:r>
        <w:rPr>
          <w:rFonts w:hint="eastAsia" w:ascii="宋体" w:hAnsi="宋体" w:eastAsia="宋体" w:cs="宋体"/>
          <w:b/>
          <w:bCs/>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lang w:eastAsia="zh-CN"/>
        </w:rPr>
        <w:t xml:space="preserve">响应供应商</w:t>
      </w:r>
      <w:r>
        <w:rPr>
          <w:rFonts w:hint="eastAsia" w:ascii="宋体" w:hAnsi="宋体" w:eastAsia="宋体" w:cs="宋体"/>
          <w:color w:val="000000"/>
          <w:sz w:val="24"/>
          <w:highlight w:val="none"/>
        </w:rPr>
        <w:t xml:space="preserve">针对本项目整体情况了解深度（服务范围、位置、现状分析等）及项目目标理解深度比较 （8分）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状分析及项目理解，现状分析及项目目标理解精准、详细、符合现状的得8分；现状分析及项目目标理解较准确、简略、较符合现状的得5分；现状分析及项目目标理解准确性较差、粗略、现状符合性一般的得3分；现状分析及项目目标不准确、粗略、不符合现状的得1分；未提供相关内容不得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市政雨水管网疏通实施方案（10分）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本项目雨水管网的实际情况，制定详细的服务实施方案，包括管理组织结构、管道巡查检测方案、清掏疏通方案等，最高分为10分：阐述详细，切实可行且高效率，方案考虑周全等得8分；阐述较为详细，较为切实，能满足项目实施需要的得6分；方案简单但基本能满足项目实施需要的得4分；综合评定较差，方案较差的得2分；未提供对应方案的不得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针对本项目的重点、难点分析及处理措施（8分）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阐述详细，切实可行且高效率，方案考虑周全等得8分；阐述较为详细，较为切实，能满足项目实施需要的得5分；方案简单但基本能满足项目实施需要的得3分；方案较差的得1分；未提供对应方案的不得分。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突发（紧急）、重大事项等应急预案（8分）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阐述详细，切实可行且高效率，方案考虑周全等得8分；阐述较为详细，较为切实，能满足项目实施需要的得5分；方案简单但基本能满足项目实施需要的得3分；方案较差的得1分；未提供对应方案的不得分。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5.响应供应商</w:t>
      </w:r>
      <w:r>
        <w:rPr>
          <w:rFonts w:hint="eastAsia" w:ascii="宋体" w:hAnsi="宋体" w:eastAsia="宋体" w:cs="宋体"/>
          <w:color w:val="000000"/>
          <w:sz w:val="24"/>
          <w:highlight w:val="none"/>
        </w:rPr>
        <w:t xml:space="preserve">针对本项目的管理制度（人员管理制度、机械设备管理制度、内部考核办法及奖惩制度、作业服务管理制度）（8分）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本项目的内部各项管理制度（内部管理制度、考核监督制度、日常养护、更换、检测的整理归档方案等），阐述详细，切实可行且高效率，方案考虑周全等得8分；阐述较为详细，较为切实，能满足项目实施需要的得5分；方案简单但基本能满足项目实施需要的得3分；方案较差的得1分；未提供对应方案的不得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6.</w:t>
      </w:r>
      <w:r>
        <w:rPr>
          <w:rFonts w:hint="eastAsia" w:ascii="宋体" w:hAnsi="宋体" w:eastAsia="宋体" w:cs="宋体"/>
          <w:color w:val="000000"/>
          <w:sz w:val="24"/>
          <w:highlight w:val="none"/>
        </w:rPr>
        <w:t xml:space="preserve">安全生产、文明施工方案（人员、设备实施安全管理、围挡和封闭施工管理、扬尘管理、运输防滴漏管理、噪音污染管理等管理方案）（8分）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本项目的安全生产制度、安全生产培训、文明施工等方面制定完善的、可操作性的实施方案，综措施科学合理，各项安全保障措施考虑全面，操作性强的得8分；保障措施比较合理、操作性较强、考虑较周全、能满足项目实施需要的的得5分；措施简单，操作性不强的得3分；综合评定较差，方案较差的得1分；未提供对应方案的不得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bookmarkStart w:id="138" w:name="OLE_LINK5"/>
      <w:r>
        <w:rPr>
          <w:rFonts w:hint="eastAsia" w:ascii="宋体" w:hAnsi="宋体" w:eastAsia="宋体" w:cs="宋体"/>
          <w:color w:val="000000"/>
          <w:sz w:val="24"/>
          <w:highlight w:val="none"/>
          <w:lang w:eastAsia="zh-CN"/>
        </w:rPr>
        <w:t xml:space="preserve">7.</w:t>
      </w:r>
      <w:r>
        <w:rPr>
          <w:rFonts w:hint="eastAsia" w:ascii="宋体" w:hAnsi="宋体" w:eastAsia="宋体" w:cs="宋体"/>
          <w:color w:val="000000"/>
          <w:sz w:val="24"/>
          <w:highlight w:val="none"/>
        </w:rPr>
        <w:t xml:space="preserve">服务期间与其他单位（水务局、水务集团等）、部门（交通部门、综合执法部门）的综合协调方案（5分）</w:t>
      </w:r>
      <w:bookmarkEnd w:id="138"/>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含日常沟通、标准沟通、日常实施报批（如需）等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阐述详细，切实可行且高效率，方案考虑周全等得5分；阐述较为详细，较为切实可行，效率较高，能满足项目实施需要的得3分；方案简单但基本能满足项目实施需要的得1分；未提供对应方案的不得分。</w:t>
      </w:r>
      <w:r>
        <w:rPr>
          <w:rFonts w:hint="eastAsia" w:ascii="宋体" w:hAnsi="宋体" w:eastAsia="宋体" w:cs="宋体"/>
          <w:color w:val="000000"/>
          <w:sz w:val="24"/>
          <w:highlight w:val="none"/>
        </w:rPr>
      </w:r>
      <w:r/>
    </w:p>
    <w:p>
      <w:pPr>
        <w:pStyle w:val="901"/>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（三）针对本项目人员配置情况</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16分</w:t>
      </w:r>
      <w:r>
        <w:rPr>
          <w:rFonts w:hint="eastAsia" w:ascii="宋体" w:hAnsi="宋体" w:eastAsia="宋体" w:cs="宋体"/>
          <w:b/>
          <w:bCs/>
          <w:color w:val="000000"/>
          <w:sz w:val="24"/>
          <w:highlight w:val="none"/>
        </w:rPr>
      </w:r>
      <w:r/>
    </w:p>
    <w:p>
      <w:pPr>
        <w:pStyle w:val="90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项目负责人情况</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项目负责人具有市政或给排水专业中级及以上职称的得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分，同时具有项目经理工程安全考核B类证书的得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项目实施班组人员配置要求（12分）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项目实施班组人员中具有工程安全考核C类证书的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有1人</w:t>
      </w:r>
      <w:r>
        <w:rPr>
          <w:rFonts w:hint="eastAsia" w:ascii="宋体" w:hAnsi="宋体" w:eastAsia="宋体" w:cs="宋体"/>
          <w:color w:val="000000"/>
          <w:sz w:val="24"/>
          <w:highlight w:val="none"/>
        </w:rPr>
        <w:t xml:space="preserve">得2分，最高得2分。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具有市政排水管道（有毒有害）有限空间作业相关证书的，有1人得2分，最高得2分。 </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具有市政排水管道检测与评估证书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或城镇排水管道检测评估与非开挖修复证书的，有1人得2分，最6分。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具有下水道养护工证书的，有1人得1分，最高得2分。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注：上述1-3项，</w:t>
      </w:r>
      <w:r>
        <w:rPr>
          <w:rFonts w:hint="eastAsia" w:ascii="宋体" w:hAnsi="宋体" w:eastAsia="宋体" w:cs="宋体"/>
          <w:color w:val="000000"/>
          <w:sz w:val="24"/>
          <w:highlight w:val="none"/>
          <w:lang w:eastAsia="zh-CN"/>
        </w:rPr>
        <w:t xml:space="preserve">磋商响应文件</w:t>
      </w:r>
      <w:r>
        <w:rPr>
          <w:rFonts w:hint="eastAsia" w:ascii="宋体" w:hAnsi="宋体" w:eastAsia="宋体" w:cs="宋体"/>
          <w:color w:val="000000"/>
          <w:sz w:val="24"/>
          <w:highlight w:val="none"/>
        </w:rPr>
        <w:t xml:space="preserve">中提供人员相关证书及</w:t>
      </w:r>
      <w:r>
        <w:rPr>
          <w:rFonts w:hint="eastAsia" w:ascii="宋体" w:hAnsi="宋体" w:eastAsia="宋体" w:cs="宋体"/>
          <w:color w:val="000000"/>
          <w:sz w:val="24"/>
          <w:highlight w:val="none"/>
          <w:lang w:eastAsia="zh-CN"/>
        </w:rPr>
        <w:t xml:space="preserve">响应供应商</w:t>
      </w:r>
      <w:r>
        <w:rPr>
          <w:rFonts w:hint="eastAsia" w:ascii="宋体" w:hAnsi="宋体" w:eastAsia="宋体" w:cs="宋体"/>
          <w:color w:val="000000"/>
          <w:sz w:val="24"/>
          <w:highlight w:val="none"/>
          <w:lang w:val="en-US" w:eastAsia="zh-CN"/>
        </w:rPr>
        <w:t xml:space="preserve">为其缴纳的磋商截止时间前三个月内</w:t>
      </w:r>
      <w:r>
        <w:rPr>
          <w:rFonts w:hint="eastAsia" w:ascii="宋体" w:hAnsi="宋体" w:eastAsia="宋体" w:cs="宋体"/>
          <w:color w:val="000000"/>
          <w:sz w:val="24"/>
          <w:highlight w:val="none"/>
        </w:rPr>
        <w:t xml:space="preserve">任意一期的社保证明资料，否则不得分。</w:t>
      </w:r>
      <w:r>
        <w:rPr>
          <w:rFonts w:hint="eastAsia" w:ascii="宋体" w:hAnsi="宋体" w:eastAsia="宋体" w:cs="宋体"/>
          <w:color w:val="000000"/>
          <w:sz w:val="24"/>
          <w:highlight w:val="none"/>
        </w:rPr>
      </w:r>
      <w:r/>
    </w:p>
    <w:p>
      <w:pPr>
        <w:pStyle w:val="901"/>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（四）综合履约能力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9分</w:t>
      </w:r>
      <w:r>
        <w:rPr>
          <w:rFonts w:hint="eastAsia" w:ascii="宋体" w:hAnsi="宋体" w:eastAsia="宋体" w:cs="宋体"/>
          <w:b/>
          <w:bCs/>
          <w:color w:val="000000"/>
          <w:sz w:val="24"/>
          <w:highlight w:val="none"/>
        </w:rPr>
      </w:r>
      <w:r/>
    </w:p>
    <w:p>
      <w:pPr>
        <w:pStyle w:val="90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体系证书情况</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响应供应商</w:t>
      </w:r>
      <w:r>
        <w:rPr>
          <w:rFonts w:hint="eastAsia" w:ascii="宋体" w:hAnsi="宋体" w:eastAsia="宋体" w:cs="宋体"/>
          <w:color w:val="000000"/>
          <w:sz w:val="24"/>
          <w:highlight w:val="none"/>
        </w:rPr>
        <w:t xml:space="preserve">具有有效期内的质量管理体系认证证书、环境管理体系认证证书、职业健康管理体系认证证书，每提供一份得1分，最高得3分（</w:t>
      </w:r>
      <w:r>
        <w:rPr>
          <w:rFonts w:hint="eastAsia" w:ascii="宋体" w:hAnsi="宋体" w:eastAsia="宋体" w:cs="宋体"/>
          <w:color w:val="000000"/>
          <w:sz w:val="24"/>
          <w:highlight w:val="none"/>
          <w:lang w:eastAsia="zh-CN"/>
        </w:rPr>
        <w:t xml:space="preserve">磋商响应文件</w:t>
      </w:r>
      <w:r>
        <w:rPr>
          <w:rFonts w:hint="eastAsia" w:ascii="宋体" w:hAnsi="宋体" w:eastAsia="宋体" w:cs="宋体"/>
          <w:color w:val="000000"/>
          <w:sz w:val="24"/>
          <w:highlight w:val="none"/>
        </w:rPr>
        <w:t xml:space="preserve">中提供证书扫描件或复印件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及中国认证监督管理委员会网站查询截图，</w:t>
      </w:r>
      <w:r>
        <w:rPr>
          <w:rFonts w:hint="eastAsia" w:ascii="宋体" w:hAnsi="宋体" w:eastAsia="宋体" w:cs="宋体"/>
          <w:color w:val="000000"/>
          <w:sz w:val="24"/>
          <w:highlight w:val="none"/>
          <w:lang w:val="en-US" w:eastAsia="zh-CN"/>
        </w:rPr>
        <w:t xml:space="preserve">未提供或提供不全</w:t>
      </w:r>
      <w:r>
        <w:rPr>
          <w:rFonts w:hint="eastAsia" w:ascii="宋体" w:hAnsi="宋体" w:eastAsia="宋体" w:cs="宋体"/>
          <w:color w:val="000000"/>
          <w:sz w:val="24"/>
          <w:highlight w:val="none"/>
        </w:rPr>
        <w:t xml:space="preserve">对应项不得分）。</w:t>
      </w:r>
      <w:r>
        <w:rPr>
          <w:rFonts w:hint="eastAsia" w:ascii="宋体" w:hAnsi="宋体" w:eastAsia="宋体" w:cs="宋体"/>
          <w:color w:val="000000"/>
          <w:sz w:val="24"/>
          <w:highlight w:val="none"/>
        </w:rPr>
      </w:r>
      <w:r/>
    </w:p>
    <w:p>
      <w:pPr>
        <w:pStyle w:val="90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类似业绩情况</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6分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响应供应商</w:t>
      </w:r>
      <w:r>
        <w:rPr>
          <w:rFonts w:hint="eastAsia" w:ascii="宋体" w:hAnsi="宋体" w:eastAsia="宋体" w:cs="宋体"/>
          <w:color w:val="000000"/>
          <w:sz w:val="24"/>
          <w:highlight w:val="none"/>
        </w:rPr>
        <w:t xml:space="preserve">自2022年6月以来（以合同签订时间为准）承接过类似项目业绩，有1个得2分，最高得6分（</w:t>
      </w:r>
      <w:r>
        <w:rPr>
          <w:rFonts w:hint="eastAsia" w:ascii="宋体" w:hAnsi="宋体" w:eastAsia="宋体" w:cs="宋体"/>
          <w:color w:val="000000"/>
          <w:sz w:val="24"/>
          <w:highlight w:val="none"/>
          <w:lang w:eastAsia="zh-CN"/>
        </w:rPr>
        <w:t xml:space="preserve">磋商响应文件</w:t>
      </w:r>
      <w:r>
        <w:rPr>
          <w:rFonts w:hint="eastAsia" w:ascii="宋体" w:hAnsi="宋体" w:eastAsia="宋体" w:cs="宋体"/>
          <w:color w:val="000000"/>
          <w:sz w:val="24"/>
          <w:highlight w:val="none"/>
        </w:rPr>
        <w:t xml:space="preserve">中提供合同扫描件或复印件，未提供或提供不全、不清晰的该项不得分）。</w:t>
      </w:r>
      <w:r>
        <w:rPr>
          <w:rFonts w:hint="eastAsia" w:ascii="宋体" w:hAnsi="宋体" w:eastAsia="宋体" w:cs="宋体"/>
          <w:color w:val="000000"/>
          <w:sz w:val="24"/>
          <w:highlight w:val="none"/>
        </w:rPr>
      </w:r>
      <w:r/>
    </w:p>
    <w:p>
      <w:pPr>
        <w:pStyle w:val="955"/>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955"/>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w:t>
      </w:r>
      <w:r>
        <w:rPr>
          <w:rFonts w:hint="eastAsia" w:ascii="宋体" w:hAnsi="宋体" w:cs="宋体"/>
          <w:color w:val="000000"/>
          <w:sz w:val="24"/>
          <w:highlight w:val="none"/>
          <w:lang w:val="en-US" w:eastAsia="zh-CN"/>
        </w:rPr>
        <w:t xml:space="preserve">报价低于最低优惠率或</w:t>
      </w:r>
      <w:r>
        <w:rPr>
          <w:rFonts w:hint="eastAsia" w:ascii="宋体" w:hAnsi="宋体" w:cs="宋体"/>
          <w:color w:val="000000"/>
          <w:sz w:val="24"/>
          <w:highlight w:val="none"/>
        </w:rPr>
        <w:t xml:space="preserve">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90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901"/>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01"/>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901"/>
        <w:ind w:firstLine="422"/>
        <w:jc w:val="right"/>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pStyle w:val="901"/>
        <w:ind w:firstLine="422"/>
        <w:jc w:val="right"/>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bCs w:val="0"/>
          <w:color w:val="000000"/>
          <w:sz w:val="21"/>
          <w:szCs w:val="21"/>
          <w:highlight w:val="none"/>
        </w:rPr>
        <w:t xml:space="preserve">采购编号：</w:t>
      </w:r>
      <w:r>
        <w:rPr>
          <w:rFonts w:hint="eastAsia" w:ascii="宋体" w:hAnsi="宋体" w:eastAsia="宋体" w:cs="宋体"/>
          <w:b/>
          <w:bCs w:val="0"/>
          <w:color w:val="000000"/>
          <w:sz w:val="21"/>
          <w:szCs w:val="21"/>
          <w:highlight w:val="none"/>
          <w:lang w:eastAsia="zh-CN"/>
        </w:rPr>
        <w:t xml:space="preserve">JSZC-320509-ZZHL-C2026-0023</w:t>
      </w:r>
      <w:r>
        <w:rPr>
          <w:rFonts w:hint="eastAsia" w:ascii="宋体" w:hAnsi="宋体" w:eastAsia="宋体" w:cs="宋体"/>
          <w:b/>
          <w:bCs w:val="0"/>
          <w:color w:val="000000"/>
          <w:sz w:val="21"/>
          <w:szCs w:val="21"/>
          <w:highlight w:val="none"/>
        </w:rPr>
        <w:t xml:space="preserve">号</w:t>
      </w:r>
      <w:r>
        <w:rPr>
          <w:rFonts w:hint="eastAsia" w:ascii="宋体" w:hAnsi="宋体" w:eastAsia="宋体" w:cs="宋体"/>
          <w:b w:val="0"/>
          <w:bCs/>
          <w:color w:val="000000"/>
          <w:sz w:val="21"/>
          <w:szCs w:val="21"/>
          <w:highlight w:val="none"/>
          <w:lang w:val="en-US" w:eastAsia="zh-CN"/>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90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根据苏州市吴江区政府采购编号</w:t>
      </w:r>
      <w:r>
        <w:rPr>
          <w:rFonts w:hint="eastAsia" w:ascii="宋体" w:hAnsi="宋体" w:eastAsia="宋体" w:cs="宋体"/>
          <w:color w:val="000000"/>
          <w:sz w:val="24"/>
          <w:szCs w:val="24"/>
          <w:highlight w:val="none"/>
          <w:lang w:eastAsia="zh-CN"/>
        </w:rPr>
        <w:t xml:space="preserve">JSZC-320509-ZZHL-C2026-0023</w:t>
      </w:r>
      <w:r>
        <w:rPr>
          <w:rFonts w:hint="eastAsia" w:ascii="宋体" w:hAnsi="宋体" w:eastAsia="宋体" w:cs="宋体"/>
          <w:color w:val="000000"/>
          <w:sz w:val="24"/>
          <w:szCs w:val="24"/>
          <w:highlight w:val="none"/>
        </w:rPr>
        <w:t xml:space="preserve">采购文件及乙方的响应文件和成交通知书，甲乙各方就此次乙方成交的项目事宜，签订本合同书。</w:t>
      </w:r>
      <w:r>
        <w:rPr>
          <w:rFonts w:hint="eastAsia" w:ascii="宋体" w:hAnsi="宋体" w:eastAsia="宋体" w:cs="宋体"/>
          <w:b/>
          <w:bCs/>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一、下列文件为本合同不可分割部分，与本合同具有同等效力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中标（成交）通知书；</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乙方中标（成交）的投标（响应）文件；</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乙方在采购过程中所作的其他承诺、声明、书面澄清等。</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二、合同内容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服务内容：乙方负责完成甲方的。</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合同履行期限：自合同签订生效之日起一年或结算金额达到各标段的预算金额，先到为止。具体根据实际工作量进行结算。</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项目地点：详见</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服务要求：详见</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三、价格与支付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合同价格按此次</w:t>
      </w:r>
      <w:r>
        <w:rPr>
          <w:rFonts w:hint="eastAsia" w:ascii="宋体" w:hAnsi="宋体" w:eastAsia="宋体" w:cs="宋体"/>
          <w:color w:val="000000"/>
          <w:sz w:val="24"/>
          <w:szCs w:val="24"/>
          <w:highlight w:val="none"/>
          <w:lang w:eastAsia="zh-CN"/>
        </w:rPr>
        <w:t xml:space="preserve">成交价格</w:t>
      </w:r>
      <w:r>
        <w:rPr>
          <w:rFonts w:hint="eastAsia" w:ascii="宋体" w:hAnsi="宋体" w:eastAsia="宋体" w:cs="宋体"/>
          <w:color w:val="000000"/>
          <w:sz w:val="24"/>
          <w:szCs w:val="24"/>
          <w:highlight w:val="none"/>
        </w:rPr>
        <w:t xml:space="preserve">执行。第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标段合同结算单价</w:t>
      </w:r>
      <w:r>
        <w:rPr>
          <w:rFonts w:hint="eastAsia" w:ascii="宋体" w:hAnsi="宋体" w:eastAsia="宋体" w:cs="宋体"/>
          <w:color w:val="000000"/>
          <w:sz w:val="24"/>
          <w:szCs w:val="24"/>
          <w:highlight w:val="none"/>
          <w:lang w:val="en-US" w:eastAsia="zh-CN"/>
        </w:rPr>
        <w:t xml:space="preserve">优惠率为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％；结算总金额（预算金额）为人民币（大写）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t xml:space="preserve">包括服务所需的人员费用、设备耗材费用、管理费用、交通食宿费用、劳保、报告编制及印制、保险、利润、</w:t>
      </w:r>
      <w:r>
        <w:rPr>
          <w:rFonts w:hint="eastAsia" w:ascii="宋体" w:hAnsi="宋体" w:eastAsia="宋体" w:cs="宋体"/>
          <w:color w:val="000000"/>
          <w:sz w:val="24"/>
          <w:szCs w:val="24"/>
          <w:highlight w:val="none"/>
          <w:lang w:eastAsia="zh-CN"/>
        </w:rPr>
        <w:t xml:space="preserve">税金、代理服务费及政策和合同包含的所有风险</w:t>
      </w:r>
      <w:r>
        <w:rPr>
          <w:rFonts w:hint="eastAsia" w:ascii="宋体" w:hAnsi="宋体" w:eastAsia="宋体" w:cs="宋体"/>
          <w:color w:val="000000"/>
          <w:sz w:val="24"/>
          <w:szCs w:val="24"/>
          <w:highlight w:val="none"/>
        </w:rPr>
        <w:t xml:space="preserve">、责任等各项应有费用。除非因特殊原因并经双方协商同意，</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不得再要求追加任何费用。同时，除非合同条款中另有规定，否则，</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所报价格在合同实施期间不因市场变化因素而变动。</w:t>
      </w:r>
      <w:r>
        <w:rPr>
          <w:rFonts w:hint="eastAsia" w:ascii="宋体" w:hAnsi="宋体" w:eastAsia="宋体" w:cs="宋体"/>
          <w:bCs/>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合同价款的支付及付款方式：</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付款步骤：</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rPr>
        <w:t xml:space="preserve">先服务后付款，每季度结算一次，在一个季度后的次月由乙方申报前一季度服务项目工作量，经甲方考核确认后，甲方支付前一季度服务项目工作量50%的服务费；项目竣工验收后，甲方付至项目总金额的50%；项目送审计部门审计后，甲方付至项目总金额的60%；经审计部门审计后，根据审计部门审计结果付至审计金额的80%；自审计报告之日起一年后付至审计金额的90%；剩余10%款项在自审计报告之日起二年后结清。每次申报的服务费需乘以当季度考核结算系数。</w:t>
      </w:r>
      <w:r>
        <w:rPr>
          <w:rFonts w:hint="eastAsia" w:ascii="宋体" w:hAnsi="宋体" w:eastAsia="宋体" w:cs="宋体"/>
          <w:b/>
          <w:bCs/>
          <w:color w:val="000000"/>
          <w:sz w:val="24"/>
          <w:szCs w:val="24"/>
          <w:highlight w:val="none"/>
        </w:rPr>
        <w:t xml:space="preserve">具体付款日期根据甲方所在地财政部门规定执行，甲方可根据实际情况调整付款比例及支付时间节点。</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2.1.2</w:t>
      </w:r>
      <w:r>
        <w:rPr>
          <w:rFonts w:hint="eastAsia" w:ascii="宋体" w:hAnsi="宋体" w:eastAsia="宋体" w:cs="宋体"/>
          <w:color w:val="000000"/>
          <w:sz w:val="24"/>
          <w:szCs w:val="24"/>
          <w:highlight w:val="none"/>
        </w:rPr>
        <w:t xml:space="preserve">每次付款前，乙方需向甲方开具相应金额的合法有效发票，否则甲方有权拒绝付款，且不就此承担逾期付款的违约责任。</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rPr>
        <w:t xml:space="preserve">具体付款日期根据甲方所在地财政部门规定执行；</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甲方支付此项费用外不再承担其他任何费用（包括个人）。</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付款方式：银行转帐。</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乙方银行账户信息如下：</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账户名称：</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 户 行：</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甲方支付费用前，乙方应开具符合甲方所在地税务部门要求的发票。如由于乙方提供账户信息有误、未开具发票、违约等乙方原因致使甲方未按时付款的，甲方不承担任何逾期付款的责任。</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根据国家现行税法对甲方征收的与本合同有关的税费均由甲方承担；根据国家现行税法对乙方征收的与本合同有关的一切税费均由乙方承担。</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四、考核：见附件《</w:t>
      </w:r>
      <w:r>
        <w:rPr>
          <w:rFonts w:hint="eastAsia" w:ascii="宋体" w:hAnsi="宋体" w:eastAsia="宋体" w:cs="宋体"/>
          <w:b/>
          <w:bCs/>
          <w:color w:val="000000"/>
          <w:sz w:val="24"/>
          <w:szCs w:val="24"/>
          <w:highlight w:val="none"/>
          <w:lang w:eastAsia="zh-CN"/>
        </w:rPr>
        <w:t xml:space="preserve">2026年雨水管网疏通养护服务管理考核办法</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甲方有权对乙方服务进行定期或不定期考核，并根据考核结果酌情扣减相应合同价款，乙方经考核一次60分以下或者累计两次80分以下的，甲方有权解除合同。</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五、甲方权利和义务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根据甲方服务管理要求及乙方的相关承诺，对乙方提供的服务及履行本合同情况实行验收考核。</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甲方有义务在适当的范围内公开考核结果。</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因突发情况，甲方需调动乙方人员和器材设备时，乙方应服从安排予以配合。</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五、乙方权利和义务：</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乙方根据国家标准、行业标准和规范要求及标书规定的服务质量标准和有关要求，积极主动保质保量地完成服务工作。</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接受并主动配合甲方及行业主管部门的检查。</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服务范围之外的突击性、突发性工作，乙方须服从甲方的安排，不得无故拖延。</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因乙方管理不善而损坏的硬件、设施应负责及时修复，或照价赔偿。</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乙方应做好详细的管理台账，建立管理档案，并按双方约定将管理情况汇总报送甲方。</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乙方应按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的要求配备服务人员，并依法为其发放工资、缴纳社保，如在服务过程中，发生人身损害、安全事故的，由乙方承担全部经济赔偿和法律责任。</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乙方应按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要求完成各项管网维修工作，并按要求配备相应设施，满足</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中约定的作业标准。</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响应完成时间：接到通知后30分钟内响应，2小时内到达甲方指定位置，根据甲方要求对管网进行养护，</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有特殊要求的，按照特殊要求响应。</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 六、服务管理内容的调整：</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合同签订定时因实际服务管理要求与</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中所述要求有差异，以实际要求为准，且不再因此调整合同金额；</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七、服务管理基本要求：</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为确保服务质量，乙方安排管理人员进行监督管理。    </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服务过程中，乙方必须采取周密的安全措施，以避免对人身和财产的损害。如造成人身伤害或财产损失的，由乙方承担全部经济赔偿和法律责任。</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对于乙方服务期间由于服务工作不能及时完成，且造成较大影响的，甲方有权通过扣除服务费用进行处罚。</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八、验收要求:</w:t>
      </w:r>
      <w:r>
        <w:rPr>
          <w:rFonts w:hint="eastAsia" w:ascii="宋体" w:hAnsi="宋体" w:eastAsia="宋体" w:cs="宋体"/>
          <w:b/>
          <w:bCs/>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履约验收标准：根据国家相关法律法规、行业相关标准、政府采购合同要求、</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要求、响应文件规定。</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履约验收主体：由甲方进行验收。</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履约验收方式：服务考核。</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验收时间：</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4.1政府采购合同约定的履约验收条件达到时，甲方应当在 5 个工作日内启动履约验收工作，并向乙方发出《政府采购履约验收通知单》。</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4.2在政府采购合同约定的履行验收条件达到时，乙方可以主动联系甲方启动履约验收工作。</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其他验收要求按照《江苏省政府采购履约验收管理办法》规定执行。</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九、不可抗力：</w:t>
      </w:r>
      <w:r>
        <w:rPr>
          <w:rFonts w:hint="eastAsia" w:ascii="宋体" w:hAnsi="宋体" w:eastAsia="宋体" w:cs="宋体"/>
          <w:b/>
          <w:bCs/>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因不可抗力不能履行合同的，根据不可抗力的影响，部分或者全部免除责任。但合同一方迟延履行后发生严重后果的，不能免除责任。</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一方因不可抗力不能履行合同的，应当及时通知对方，以减轻可能给对方造成的损失，并应当在合理期限内提供证明。发生不可抗力的一方未及时通知，导致另一方损失扩大的，发生不可抗力方应赔偿另一方扩大部分损失。</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十、合同的解除和转让：</w:t>
      </w:r>
      <w:r>
        <w:rPr>
          <w:rFonts w:hint="eastAsia" w:ascii="宋体" w:hAnsi="宋体" w:eastAsia="宋体" w:cs="宋体"/>
          <w:b/>
          <w:bCs/>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合同的解除</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有下列情形之一，合同一方可以解除合同：</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1.1.1</w:t>
      </w:r>
      <w:r>
        <w:rPr>
          <w:rFonts w:hint="eastAsia" w:ascii="宋体" w:hAnsi="宋体" w:eastAsia="宋体" w:cs="宋体"/>
          <w:color w:val="000000"/>
          <w:sz w:val="24"/>
          <w:szCs w:val="24"/>
          <w:highlight w:val="none"/>
        </w:rPr>
        <w:t xml:space="preserve">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rPr>
        <w:t xml:space="preserve">因合同一方违约导致合同不能履行，另一方有权解除合同。</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1.1.3</w:t>
      </w:r>
      <w:r>
        <w:rPr>
          <w:rFonts w:hint="eastAsia" w:ascii="宋体" w:hAnsi="宋体" w:eastAsia="宋体" w:cs="宋体"/>
          <w:color w:val="000000"/>
          <w:sz w:val="24"/>
          <w:szCs w:val="24"/>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合同的转让</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合同的部分和全部都不得转让。</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十一、合同的生效：</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本合同在甲方双方签字盖章后生效，生效合同需上传</w:t>
      </w:r>
      <w:r>
        <w:rPr>
          <w:rFonts w:hint="eastAsia" w:ascii="宋体" w:hAnsi="宋体" w:eastAsia="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系统公示。</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十二、争议解决：</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甲乙双方因合同发生争议，签约双方应友好协商解决。协商不成，任何一方应向甲方所在地人民法院起诉。</w:t>
      </w:r>
      <w:r>
        <w:rPr>
          <w:rFonts w:hint="eastAsia" w:ascii="宋体" w:hAnsi="宋体" w:eastAsia="宋体" w:cs="宋体"/>
          <w:color w:val="000000"/>
          <w:sz w:val="24"/>
          <w:szCs w:val="24"/>
          <w:highlight w:val="none"/>
        </w:rPr>
      </w:r>
      <w:r/>
    </w:p>
    <w:p>
      <w:pPr>
        <w:pStyle w:val="901"/>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十三、其他附则：</w:t>
      </w:r>
      <w:r>
        <w:rPr>
          <w:rFonts w:hint="eastAsia" w:ascii="宋体" w:hAnsi="宋体" w:eastAsia="宋体" w:cs="宋体"/>
          <w:b/>
          <w:bCs/>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合同份数：本合同一式伍份，甲乙双方各执贰份，采购代理机构壹份。</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本合同未尽事宜应按《中华人民共和国民法典》、《中华人民共和国政府采购法》以及其同相关法律、法规之规定解释，</w:t>
      </w:r>
      <w:r>
        <w:rPr>
          <w:rFonts w:hint="eastAsia" w:ascii="宋体" w:hAnsi="宋体" w:eastAsia="宋体" w:cs="宋体"/>
          <w:bCs/>
          <w:color w:val="000000"/>
          <w:sz w:val="24"/>
          <w:szCs w:val="24"/>
          <w:highlight w:val="none"/>
        </w:rPr>
        <w:t xml:space="preserve">在执行过程中双方在不违背本合同和</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的原则下协商解决，协商结果以书面形式盖章记录在案，作为本合同的附件，与本合同具有同等效力，但须提交采购代理机构一份备存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采购单位（甲方）：（盖章）             服务单位（乙方）：（盖章）</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或其授权的代理人（签字或盖章）：       或其授权的代理人（签字或盖章）：</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38"/>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pStyle w:val="938"/>
        <w:ind w:firstLine="0"/>
        <w:spacing w:line="360" w:lineRule="auto"/>
        <w:tabs>
          <w:tab w:val="center" w:pos="4201" w:leader="none"/>
          <w:tab w:val="right" w:pos="9298" w:leader="dot"/>
        </w:tabs>
        <w:rPr>
          <w:rFonts w:hAnsi="宋体" w:eastAsia="宋体" w:cs="宋体"/>
          <w:b/>
          <w:color w:val="000000"/>
          <w:szCs w:val="21"/>
          <w:highlight w:val="none"/>
        </w:rPr>
      </w:pPr>
      <w:r>
        <w:rPr>
          <w:rFonts w:hAnsi="宋体" w:eastAsia="宋体" w:cs="宋体"/>
          <w:b/>
          <w:color w:val="000000"/>
          <w:szCs w:val="21"/>
          <w:highlight w:val="none"/>
        </w:rPr>
      </w:r>
      <w:r/>
    </w:p>
    <w:p>
      <w:pPr>
        <w:spacing w:after="12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01"/>
        <w:spacing w:after="12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附件一：廉政协议书</w:t>
      </w:r>
      <w:r>
        <w:rPr>
          <w:rFonts w:hint="eastAsia" w:ascii="宋体" w:hAnsi="宋体" w:eastAsia="宋体" w:cs="宋体"/>
          <w:b/>
          <w:bCs/>
          <w:color w:val="000000"/>
          <w:sz w:val="24"/>
          <w:szCs w:val="24"/>
          <w:highlight w:val="none"/>
        </w:rPr>
      </w:r>
      <w:r/>
    </w:p>
    <w:p>
      <w:pPr>
        <w:pStyle w:val="901"/>
        <w:jc w:val="center"/>
        <w:spacing w:after="120"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廉政协议书</w:t>
      </w:r>
      <w:r>
        <w:rPr>
          <w:rFonts w:hint="eastAsia" w:ascii="宋体" w:hAnsi="宋体" w:eastAsia="宋体" w:cs="宋体"/>
          <w:b/>
          <w:bCs/>
          <w:color w:val="000000"/>
          <w:sz w:val="24"/>
          <w:szCs w:val="24"/>
          <w:highlight w:val="none"/>
        </w:rPr>
      </w:r>
      <w:r/>
    </w:p>
    <w:p>
      <w:pPr>
        <w:pStyle w:val="901"/>
        <w:ind w:left="0" w:firstLine="482"/>
        <w:jc w:val="both"/>
        <w:keepLines w:val="0"/>
        <w:keepNext w:val="0"/>
        <w:pageBreakBefore w:val="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rPr>
      </w:r>
      <w:r/>
    </w:p>
    <w:p>
      <w:pPr>
        <w:pStyle w:val="901"/>
        <w:ind w:left="0" w:firstLine="482"/>
        <w:jc w:val="both"/>
        <w:keepLines w:val="0"/>
        <w:keepNext w:val="0"/>
        <w:pageBreakBefore w:val="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服务人（全称）：</w:t>
      </w:r>
      <w:r>
        <w:rPr>
          <w:rFonts w:hint="eastAsia" w:ascii="宋体" w:hAnsi="宋体" w:eastAsia="宋体" w:cs="宋体"/>
          <w:b/>
          <w:color w:val="000000"/>
          <w:sz w:val="24"/>
          <w:szCs w:val="24"/>
          <w:highlight w:val="none"/>
          <w:u w:val="single"/>
        </w:rPr>
      </w:r>
      <w:r/>
    </w:p>
    <w:p>
      <w:pPr>
        <w:pStyle w:val="94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招标投标法》和国家及省市区关于加强党风廉政建设的各项规定和要求，为规范双方的购销行为，杜绝采购项目执行中腐败现象的产生，确保正常的业务交往，甲乙双方共同就所有往来的业务及服务达成以下廉政协议:</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一、甲方承诺严格遵守上级部门规定的有关廉政规定:</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1.不得向乙方暗示、索取或接受礼品、礼金、有价证券、信用卡等。</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2.不得接受乙方各种名义的宴请及安排的娱乐活动。</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3.严格按照要求的采购货物和服务项目合同进行采购和实施，不得从合同渠道之外购进产品、服务。</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4.不得要求乙方为甲方相关工作人员个人及配偶、子女提供通讯工具、交通工具、住房装修、婚丧嫁娶、工作安排。</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5.不得指定购进合同渠道之外的物品。</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6.不得在乙方报销应由甲方相关工作人员个人承担的费用。</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二、乙方承诺严格按照项目合同提供商品和服务，严格遵守国家反贿赂/商业贿赂的有关规定和要求:</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1.不得以任何理由向甲方工作人员赠送礼品、礼金、有价证券、信用卡等。</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2.不得以各种名义宴请甲方相关工作人员及提供娱乐活动。</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3.不得以任何理由为甲方相关工作人员个人及配偶、子女提供通讯工具、交通工具、住房装修、婚丧嫁娶、工作安排、外出旅游等便利。</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4.不得以任何理由为甲方相关工作人员个人或近亲属提供交易合同范围以外的商品、服务或报销应由个人承担的费用的便利。</w:t>
      </w:r>
      <w:r>
        <w:rPr>
          <w:rFonts w:hint="eastAsia" w:ascii="宋体" w:hAnsi="宋体" w:eastAsia="宋体" w:cs="宋体"/>
          <w:color w:val="000000"/>
          <w:sz w:val="24"/>
          <w:szCs w:val="24"/>
          <w:highlight w:val="none"/>
        </w:rPr>
      </w:r>
      <w:r/>
    </w:p>
    <w:p>
      <w:pPr>
        <w:pStyle w:val="94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如果有确切证据能够证明甲方员工或甲方委托的第三方公司员工存在上述非法行为，则乙方将采取适当措施保护双方的利益。仅为此目的且无论主合同是否另设定有其他通知方式，乙方均可以电邮方式通知甲方。</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违反上述有关规定的，甲方有权按国家有关法律法规进行处理。所有由此产生的经济损失，乙方承担赔偿责任。同时，乙方承诺：在乙方违反上述规定行为被发现之日起2年内，乙方不参与甲方为招标人或采购人的招投标或采购活动；如乙方违反承诺参与甲方为招标人或采购人的招投标或采购活动并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的，甲方有权要求按废标处理，取消乙方中标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资格，重新进行招投标或采购，且乙方应赔偿甲方由此产生的招标/采购费用和其他损失。</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五、本协议具有与合同同等的法律效力。当合同与本协议有冲突时，以本协议为准。</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六、争议的解决:甲乙双方就执行本协议发生的争议，可向上级主管部门申请仲裁。</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七、本协议最终解释权、修订权归所有。</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八、本协议自双方签字盖章之日起生效，至下次签订之日前有效。</w:t>
      </w:r>
      <w:r>
        <w:rPr>
          <w:rFonts w:hint="eastAsia" w:ascii="宋体" w:hAnsi="宋体" w:eastAsia="宋体" w:cs="宋体"/>
          <w:color w:val="000000"/>
          <w:sz w:val="24"/>
          <w:szCs w:val="24"/>
          <w:highlight w:val="none"/>
        </w:rPr>
      </w:r>
      <w:r/>
    </w:p>
    <w:p>
      <w:pPr>
        <w:pStyle w:val="901"/>
        <w:numPr>
          <w:ilvl w:val="0"/>
          <w:numId w:val="2"/>
        </w:numPr>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本协议一式两份，甲方执一份，乙方执一份。</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(或授权代表):                        (或授权代表):</w:t>
      </w:r>
      <w:r>
        <w:rPr>
          <w:rFonts w:hint="eastAsia" w:ascii="宋体" w:hAnsi="宋体" w:eastAsia="宋体" w:cs="宋体"/>
          <w:color w:val="000000"/>
          <w:sz w:val="24"/>
          <w:szCs w:val="24"/>
          <w:highlight w:val="none"/>
        </w:rPr>
      </w:r>
      <w:r/>
    </w:p>
    <w:p>
      <w:pPr>
        <w:pStyle w:val="90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01"/>
        <w:ind w:left="0" w:firstLine="420"/>
        <w:jc w:val="both"/>
        <w:keepLines w:val="0"/>
        <w:keepNext w:val="0"/>
        <w:pageBreakBefore w:val="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12"/>
        <w:ind w:left="0" w:firstLine="420"/>
        <w:jc w:val="both"/>
        <w:keepLines w:val="0"/>
        <w:keepNext w:val="0"/>
        <w:pageBreakBefore w:val="0"/>
        <w:spacing w:after="0" w:line="360" w:lineRule="auto"/>
        <w:widowControl/>
        <w:rPr>
          <w:rFonts w:ascii="宋体" w:hAnsi="宋体" w:cs="宋体"/>
          <w:color w:val="000000"/>
          <w:szCs w:val="28"/>
          <w:highlight w:val="none"/>
        </w:rPr>
      </w:pPr>
      <w:r>
        <w:rPr>
          <w:rFonts w:ascii="宋体" w:hAnsi="宋体" w:cs="宋体"/>
          <w:color w:val="000000"/>
          <w:szCs w:val="28"/>
          <w:highlight w:val="none"/>
        </w:rPr>
      </w:r>
      <w:r/>
    </w:p>
    <w:p>
      <w:pPr>
        <w:pStyle w:val="912"/>
        <w:jc w:val="center"/>
        <w:widowControl/>
        <w:rPr>
          <w:rFonts w:ascii="宋体" w:hAnsi="宋体" w:cs="宋体"/>
          <w:color w:val="000000"/>
          <w:szCs w:val="28"/>
          <w:highlight w:val="none"/>
        </w:rPr>
      </w:pPr>
      <w:r>
        <w:rPr>
          <w:rFonts w:ascii="宋体" w:hAnsi="宋体" w:cs="宋体"/>
          <w:color w:val="000000"/>
          <w:szCs w:val="28"/>
          <w:highlight w:val="none"/>
        </w:rPr>
      </w:r>
      <w:r/>
    </w:p>
    <w:p>
      <w:pPr>
        <w:pStyle w:val="912"/>
        <w:jc w:val="center"/>
        <w:widowControl/>
        <w:rPr>
          <w:rFonts w:ascii="宋体" w:hAnsi="宋体" w:cs="宋体"/>
          <w:color w:val="000000"/>
          <w:szCs w:val="28"/>
          <w:highlight w:val="none"/>
        </w:rPr>
      </w:pPr>
      <w:r>
        <w:rPr>
          <w:rFonts w:ascii="宋体" w:hAnsi="宋体" w:cs="宋体"/>
          <w:color w:val="000000"/>
          <w:szCs w:val="28"/>
          <w:highlight w:val="none"/>
        </w:rPr>
      </w:r>
      <w:r/>
    </w:p>
    <w:p>
      <w:pPr>
        <w:pStyle w:val="912"/>
        <w:jc w:val="center"/>
        <w:widowControl/>
        <w:rPr>
          <w:rFonts w:ascii="宋体" w:hAnsi="宋体" w:cs="宋体"/>
          <w:color w:val="000000"/>
          <w:szCs w:val="28"/>
          <w:highlight w:val="none"/>
        </w:rPr>
      </w:pPr>
      <w:r>
        <w:rPr>
          <w:rFonts w:ascii="宋体" w:hAnsi="宋体" w:cs="宋体"/>
          <w:color w:val="000000"/>
          <w:szCs w:val="28"/>
          <w:highlight w:val="none"/>
        </w:rPr>
      </w:r>
      <w:r/>
    </w:p>
    <w:p>
      <w:pPr>
        <w:pStyle w:val="912"/>
        <w:jc w:val="center"/>
        <w:widowControl/>
        <w:rPr>
          <w:rFonts w:ascii="宋体" w:hAnsi="宋体" w:cs="宋体"/>
          <w:color w:val="000000"/>
          <w:szCs w:val="28"/>
          <w:highlight w:val="none"/>
        </w:rPr>
      </w:pPr>
      <w:r>
        <w:rPr>
          <w:rFonts w:ascii="宋体" w:hAnsi="宋体" w:cs="宋体"/>
          <w:color w:val="000000"/>
          <w:szCs w:val="28"/>
          <w:highlight w:val="none"/>
        </w:rPr>
      </w:r>
      <w:r/>
    </w:p>
    <w:p>
      <w:pPr>
        <w:pStyle w:val="912"/>
        <w:jc w:val="center"/>
        <w:widowControl/>
        <w:rPr>
          <w:rFonts w:ascii="宋体" w:hAnsi="宋体" w:cs="宋体"/>
          <w:color w:val="000000"/>
          <w:szCs w:val="28"/>
          <w:highlight w:val="none"/>
        </w:rPr>
      </w:pPr>
      <w:r>
        <w:rPr>
          <w:rFonts w:ascii="宋体" w:hAnsi="宋体" w:cs="宋体"/>
          <w:color w:val="000000"/>
          <w:szCs w:val="28"/>
          <w:highlight w:val="none"/>
        </w:rPr>
      </w:r>
      <w:r/>
    </w:p>
    <w:p>
      <w:pPr>
        <w:pStyle w:val="912"/>
        <w:jc w:val="center"/>
        <w:widowControl/>
        <w:rPr>
          <w:rFonts w:ascii="宋体" w:hAnsi="宋体" w:cs="宋体"/>
          <w:color w:val="000000"/>
          <w:szCs w:val="28"/>
          <w:highlight w:val="none"/>
        </w:rPr>
      </w:pPr>
      <w:r>
        <w:rPr>
          <w:rFonts w:ascii="宋体" w:hAnsi="宋体" w:cs="宋体"/>
          <w:color w:val="000000"/>
          <w:szCs w:val="28"/>
          <w:highlight w:val="none"/>
        </w:rPr>
      </w:r>
      <w:r/>
    </w:p>
    <w:p>
      <w:pPr>
        <w:pStyle w:val="912"/>
        <w:jc w:val="center"/>
        <w:widowControl/>
        <w:rPr>
          <w:rFonts w:ascii="宋体" w:hAnsi="宋体" w:cs="宋体"/>
          <w:color w:val="000000"/>
          <w:szCs w:val="28"/>
          <w:highlight w:val="none"/>
        </w:rPr>
      </w:pPr>
      <w:r>
        <w:rPr>
          <w:rFonts w:ascii="宋体" w:hAnsi="宋体" w:cs="宋体"/>
          <w:color w:val="000000"/>
          <w:szCs w:val="28"/>
          <w:highlight w:val="none"/>
        </w:rPr>
      </w:r>
      <w:r/>
    </w:p>
    <w:p>
      <w:pPr>
        <w:pStyle w:val="913"/>
        <w:rPr>
          <w:rFonts w:ascii="宋体" w:hAnsi="宋体" w:eastAsia="宋体" w:cs="宋体"/>
          <w:color w:val="000000"/>
          <w:szCs w:val="28"/>
          <w:highlight w:val="none"/>
        </w:rPr>
      </w:pPr>
      <w:r>
        <w:rPr>
          <w:rFonts w:ascii="宋体" w:hAnsi="宋体" w:eastAsia="宋体" w:cs="宋体"/>
          <w:color w:val="000000"/>
          <w:szCs w:val="28"/>
          <w:highlight w:val="none"/>
        </w:rPr>
      </w:r>
      <w:r/>
    </w:p>
    <w:p>
      <w:pPr>
        <w:pStyle w:val="913"/>
        <w:rPr>
          <w:rFonts w:ascii="宋体" w:hAnsi="宋体" w:eastAsia="宋体" w:cs="宋体"/>
          <w:color w:val="000000"/>
          <w:szCs w:val="28"/>
          <w:highlight w:val="none"/>
        </w:rPr>
      </w:pPr>
      <w:r>
        <w:rPr>
          <w:rFonts w:ascii="宋体" w:hAnsi="宋体" w:eastAsia="宋体" w:cs="宋体"/>
          <w:color w:val="000000"/>
          <w:szCs w:val="28"/>
          <w:highlight w:val="none"/>
        </w:rPr>
      </w:r>
      <w:r/>
    </w:p>
    <w:p>
      <w:pPr>
        <w:pStyle w:val="913"/>
        <w:rPr>
          <w:rFonts w:ascii="宋体" w:hAnsi="宋体" w:eastAsia="宋体" w:cs="宋体"/>
          <w:color w:val="000000"/>
          <w:szCs w:val="28"/>
          <w:highlight w:val="none"/>
        </w:rPr>
      </w:pPr>
      <w:r>
        <w:rPr>
          <w:rFonts w:ascii="宋体" w:hAnsi="宋体" w:eastAsia="宋体" w:cs="宋体"/>
          <w:color w:val="000000"/>
          <w:szCs w:val="28"/>
          <w:highlight w:val="none"/>
        </w:rPr>
      </w:r>
      <w:r/>
    </w:p>
    <w:p>
      <w:pPr>
        <w:pStyle w:val="913"/>
        <w:rPr>
          <w:rFonts w:ascii="宋体" w:hAnsi="宋体" w:eastAsia="宋体" w:cs="宋体"/>
          <w:color w:val="000000"/>
          <w:szCs w:val="28"/>
          <w:highlight w:val="none"/>
        </w:rPr>
      </w:pPr>
      <w:r>
        <w:rPr>
          <w:rFonts w:ascii="宋体" w:hAnsi="宋体" w:eastAsia="宋体" w:cs="宋体"/>
          <w:color w:val="000000"/>
          <w:szCs w:val="28"/>
          <w:highlight w:val="none"/>
        </w:rPr>
      </w:r>
      <w:r/>
    </w:p>
    <w:p>
      <w:pPr>
        <w:pStyle w:val="913"/>
        <w:rPr>
          <w:rFonts w:ascii="宋体" w:hAnsi="宋体" w:eastAsia="宋体" w:cs="宋体"/>
          <w:color w:val="000000"/>
          <w:szCs w:val="28"/>
          <w:highlight w:val="none"/>
        </w:rPr>
      </w:pPr>
      <w:r>
        <w:rPr>
          <w:rFonts w:ascii="宋体" w:hAnsi="宋体" w:eastAsia="宋体" w:cs="宋体"/>
          <w:color w:val="000000"/>
          <w:szCs w:val="28"/>
          <w:highlight w:val="none"/>
        </w:rPr>
      </w:r>
      <w:r/>
    </w:p>
    <w:p>
      <w:pPr>
        <w:pStyle w:val="913"/>
        <w:rPr>
          <w:rFonts w:ascii="宋体" w:hAnsi="宋体" w:eastAsia="宋体" w:cs="宋体"/>
          <w:color w:val="000000"/>
          <w:szCs w:val="28"/>
          <w:highlight w:val="none"/>
        </w:rPr>
      </w:pPr>
      <w:r>
        <w:rPr>
          <w:rFonts w:ascii="宋体" w:hAnsi="宋体" w:eastAsia="宋体" w:cs="宋体"/>
          <w:color w:val="000000"/>
          <w:szCs w:val="28"/>
          <w:highlight w:val="none"/>
        </w:rPr>
      </w:r>
      <w:r/>
    </w:p>
    <w:p>
      <w:pPr>
        <w:pStyle w:val="913"/>
        <w:rPr>
          <w:rFonts w:ascii="宋体" w:hAnsi="宋体" w:eastAsia="宋体" w:cs="宋体"/>
          <w:color w:val="000000"/>
          <w:szCs w:val="28"/>
          <w:highlight w:val="none"/>
        </w:rPr>
      </w:pPr>
      <w:r>
        <w:rPr>
          <w:rFonts w:ascii="宋体" w:hAnsi="宋体" w:eastAsia="宋体" w:cs="宋体"/>
          <w:color w:val="000000"/>
          <w:szCs w:val="28"/>
          <w:highlight w:val="none"/>
        </w:rPr>
      </w:r>
      <w:r/>
    </w:p>
    <w:p>
      <w:pPr>
        <w:pStyle w:val="901"/>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附件二：安全服务协议</w:t>
      </w:r>
      <w:r>
        <w:rPr>
          <w:rFonts w:ascii="宋体" w:hAnsi="宋体" w:cs="宋体"/>
          <w:b/>
          <w:color w:val="000000"/>
          <w:sz w:val="24"/>
          <w:szCs w:val="24"/>
          <w:highlight w:val="none"/>
        </w:rPr>
      </w:r>
      <w:r/>
    </w:p>
    <w:p>
      <w:pPr>
        <w:pStyle w:val="901"/>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《安全服务协议书》</w:t>
      </w:r>
      <w:r>
        <w:rPr>
          <w:rFonts w:ascii="宋体" w:hAnsi="宋体" w:cs="宋体"/>
          <w:b/>
          <w:color w:val="000000"/>
          <w:sz w:val="24"/>
          <w:szCs w:val="24"/>
          <w:highlight w:val="none"/>
        </w:rPr>
      </w:r>
      <w:r/>
    </w:p>
    <w:p>
      <w:pPr>
        <w:pStyle w:val="901"/>
        <w:ind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rPr>
      </w:r>
      <w:r/>
    </w:p>
    <w:p>
      <w:pPr>
        <w:pStyle w:val="901"/>
        <w:ind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服务人（全称）：</w:t>
      </w:r>
      <w:r>
        <w:rPr>
          <w:rFonts w:hint="eastAsia" w:ascii="宋体" w:hAnsi="宋体" w:eastAsia="宋体" w:cs="宋体"/>
          <w:b/>
          <w:color w:val="000000"/>
          <w:sz w:val="24"/>
          <w:szCs w:val="24"/>
          <w:highlight w:val="none"/>
          <w:u w:val="singl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为贯彻“安全第一，预防为主，综合治理”的方针，加强安全管理，明确双方的安全责任，确保乙方在甲方项目服务中的人身、生产和设备安全，根据国家有关法律法规，经双方协商一致签订本协议。</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一、甲方安全责任 </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甲方有权要求乙方制定安全措施，并在开始进场或作业前报甲方安全部门备案。</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甲方有权检查、督促乙方执行有关安全生产方面的工作规定，对乙方不符合安全文明施工的行为进行制止、纠正并发出安全整改通知书，直至清退出场。 </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甲方指派专人负责与乙方联系安全生产方面的工作。</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甲方有权对乙方参与作业的人员进行安全监督、教育和管理。</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发生以下情况停工整顿，因停工造成的责任由乙方承担：</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（1）发生人身伤亡事故；</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（2）发生厂内火灾事故；</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（3）乙方发生违章作业、冒险作业不听劝告的；</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（4）乙方作业现场脏、乱、差，不能满足安全和文明施工要求的。</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乙方安全责任</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乙方作为设备养护、工程施工或相关服务等的承包单位，对作业过程中发生的人身伤害承担安全责任。乙方应切实履行以下安全责任：</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乙方在甲方区域内施工过程中禁止从事超越本单位资质等级许可的业务或者以其他施工单位的名义承揽甲方项目。</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乙方在甲方区域内作业现场的安全，包括人身安全和财产安全。</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现场施工/服务应遵守国家和地方关于劳动安全劳务/劳动用工方面的法律法规及规章制度，保证其用工的合法性。乙方必须按国家有关规定，为施工/服务人员办理人身保险，配备合格的劳动防护用品、安全用具。</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施工/服务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乙方用于养护及工程项目的施工机械、工器具及安全防护用具的数量和质量必须满足作业需要，乙方对因使用工器具不当所造成的人员伤害及设备损坏负责。</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乙方负责施工/服务前和施工/服务中对作业人员的教育和管理。对未经安全生产教育培训的人员，严禁上岗作业。</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进入施工现场的乙方人员除遵守本单位的安全制度外，还必须遵守甲方安全管理制度，正确做好安全防护措施。</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开工前，乙方应组织人员对施工区域、作业环境及使用甲方提供的设施设备、工器具等进行检查，确认符合安全要求。</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乙方施工人员只能在甲方规定的施工区域内进行施工/服务作业，并装设临时围栏或警告标志（如需），禁止无关人员进入检维修及施工/服务现场。未经甲方同意，严禁进入甲方其它区域从事与施工/服务作业无关的作业及其他任何活动。</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乙方不得擅自使用与施工/服务无关的甲方设施、设备；不得擅自拆除、变更甲方防护设施及标识。</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乙方施工/服务过程中需使用电、水源，应事先与甲方相关部门取得联系，不得私拉乱接。凡是要开洞、拆墙的，必须事先通知甲方并征得甲方同意。</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乙方施工过程中应做到工完、料尽、场地清，确保安全文明施工。</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乙方对因工作需要临时引进的第三方的各项安全事项负责。</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乙方进入甲方厂区必须满足苏州市防疫要求。</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三、违约责任</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由于甲方或乙方责任造成对方或第三方的人身伤害、设备损坏等财产损失，由责任方承担相应责任，并赔偿对方或第三方因此造成的全部损失。</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合同履行中，发现乙方提供的有关资质材料不真实或为无效资料的，甲方有权解除与乙方的主合同，并由乙方承担由此造成的一切损失。</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未能正确、全面执行安全技术措施、施工/服务组织设计；或者作业人员未掌握本工程项目特点及施工/服务安全措施；或者用于作业的施工机械、工器具及安全防护用品不满足施工需要，甲方有权要求乙方立即停工整改，由此引起的后果及损失由乙方承担。</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乙方在施工/服务时，各种作业必须按本厂《安全操作规程》执行，特种作业人员必须持证上岗。对因违章造成甲方或第三方的财产损失和人身伤害，由乙方承担全部责任。</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甲方有权对乙方的施工场所进行安全监督、检查，对违章、违纪行为有权制止、纠正或处罚。对拒绝、阻挠甲方检查，或存在对甲方检查人员打击报负，甲方有权停止乙方施工，因此造成甲方的损失由乙方负责赔偿，乙方的损失由乙方自负。</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在施工/服务中如发生安全事故，乙方要迅速采取有效措施，组织抢救，防止事故扩大，减少人员伤亡和财产损失。</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乙方使用甲方提供的设施设备、工器具等造成损坏的，应照价赔偿。</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乙方人员无故到未经允许的生产区域施工或擅自动用甲方的设施设备等，乙方按100元至500元/人次向甲方缴纳罚款。 </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在本项目内违章吸烟，造成事故的，视情节轻重，处以2000元以上罚款直至追究刑事责任。</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乙方施工/服务人员在甲方从事检维修及施工/服务过程中，累计发生二次及以上一般性违章行为的，该员工禁止在甲方从事检维修及施工/服务活动。乙方施工/服务人员在甲方作业中，发累计发生两次及以上威胁自身生命及对甲方财产及人身安全构成重大威胁的违章行为，该单位将列入甲方采购服务黑名单。</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对于施工/服务现场的安全隐患，甲方安全员出具《安全整改通知单》，情节严重的直接罚交风险补偿金。    </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四、未尽事宜，甲乙双方另行协商后形成补充协议，补充协议与本协议有同等效力。</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 甲乙双方必须严格执行本协议，协议执行过程中，如发生争议，由双方协商、调解解决；若经协商、调解不成的，任何一方可以向甲方所在地人民法院提起诉讼。 　　    </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 本协议经双方签字盖章后生效，履行期限至双方重新签订协议。</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七、本协议一式两份，甲乙双方各执壹份。</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　　　　             　乙方（签章）： </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　　　  　               联系电话 ：　</w:t>
      </w:r>
      <w:r>
        <w:rPr>
          <w:rFonts w:hint="eastAsia" w:ascii="宋体" w:hAnsi="宋体" w:eastAsia="宋体" w:cs="宋体"/>
          <w:color w:val="000000"/>
          <w:sz w:val="24"/>
          <w:szCs w:val="24"/>
          <w:highlight w:val="none"/>
        </w:rPr>
      </w:r>
      <w:r/>
    </w:p>
    <w:p>
      <w:pPr>
        <w:pStyle w:val="94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 ：     年   月    日</w:t>
      </w:r>
      <w:r>
        <w:rPr>
          <w:rFonts w:hint="eastAsia" w:ascii="宋体" w:hAnsi="宋体" w:eastAsia="宋体" w:cs="宋体"/>
          <w:color w:val="000000"/>
          <w:sz w:val="24"/>
          <w:szCs w:val="24"/>
          <w:highlight w:val="none"/>
        </w:rPr>
      </w:r>
      <w:r/>
    </w:p>
    <w:p>
      <w:pPr>
        <w:pStyle w:val="913"/>
        <w:ind w:firstLine="42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附件三：《</w:t>
      </w:r>
      <w:r>
        <w:rPr>
          <w:rFonts w:hint="eastAsia" w:ascii="宋体" w:hAnsi="宋体" w:eastAsia="宋体" w:cs="宋体"/>
          <w:b/>
          <w:bCs/>
          <w:color w:val="000000"/>
          <w:sz w:val="24"/>
          <w:szCs w:val="24"/>
          <w:highlight w:val="none"/>
          <w:lang w:eastAsia="zh-CN"/>
        </w:rPr>
        <w:t xml:space="preserve">2026年雨水管网疏通养护服务管理考核办法</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0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2026年雨水管网疏通养护服务管理考核办法</w:t>
      </w:r>
      <w:r>
        <w:rPr>
          <w:rFonts w:hint="eastAsia" w:ascii="宋体" w:hAnsi="宋体" w:eastAsia="宋体" w:cs="宋体"/>
          <w:b/>
          <w:bCs/>
          <w:color w:val="000000"/>
          <w:sz w:val="24"/>
          <w:szCs w:val="24"/>
          <w:highlight w:val="none"/>
        </w:rPr>
        <w:t xml:space="preserve">明细</w:t>
      </w:r>
      <w:r>
        <w:rPr>
          <w:rFonts w:hint="eastAsia" w:ascii="宋体" w:hAnsi="宋体" w:eastAsia="宋体" w:cs="宋体"/>
          <w:b/>
          <w:bCs/>
          <w:color w:val="000000"/>
          <w:sz w:val="24"/>
          <w:szCs w:val="24"/>
          <w:highlight w:val="none"/>
        </w:rPr>
      </w:r>
      <w:r/>
    </w:p>
    <w:p>
      <w:pPr>
        <w:pStyle w:val="901"/>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考核日期：                                考核区域：</w:t>
      </w:r>
      <w:r>
        <w:rPr>
          <w:rFonts w:hint="eastAsia" w:ascii="宋体" w:hAnsi="宋体" w:eastAsia="宋体" w:cs="宋体"/>
          <w:bCs/>
          <w:color w:val="000000"/>
          <w:sz w:val="24"/>
          <w:szCs w:val="24"/>
          <w:highlight w:val="none"/>
        </w:rPr>
      </w:r>
      <w:r/>
    </w:p>
    <w:tbl>
      <w:tblPr>
        <w:tblW w:w="5274" w:type="pct"/>
        <w:jc w:val="center"/>
        <w:tblInd w:w="-1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490"/>
        <w:gridCol w:w="804"/>
        <w:gridCol w:w="5442"/>
        <w:gridCol w:w="711"/>
        <w:gridCol w:w="1227"/>
      </w:tblGrid>
      <w:tr>
        <w:trPr>
          <w:trHeight w:val="476"/>
        </w:trPr>
        <w:tc>
          <w:tcPr>
            <w:tcW w:w="57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考核项目</w:t>
            </w: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w:t>
            </w:r>
            <w:r>
              <w:rPr>
                <w:rFonts w:hint="eastAsia" w:ascii="宋体" w:hAnsi="宋体" w:eastAsia="宋体" w:cs="宋体"/>
                <w:color w:val="000000"/>
                <w:sz w:val="24"/>
                <w:szCs w:val="24"/>
                <w:highlight w:val="none"/>
              </w:rPr>
            </w:r>
            <w:r/>
          </w:p>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问题记录及得分</w:t>
            </w:r>
            <w:r>
              <w:rPr>
                <w:rFonts w:hint="eastAsia" w:ascii="宋体" w:hAnsi="宋体" w:eastAsia="宋体" w:cs="宋体"/>
                <w:color w:val="000000"/>
                <w:sz w:val="24"/>
                <w:szCs w:val="24"/>
                <w:highlight w:val="none"/>
                <w:lang w:eastAsia="zh-CN"/>
              </w:rPr>
            </w:r>
            <w:r/>
          </w:p>
        </w:tc>
      </w:tr>
      <w:tr>
        <w:trPr>
          <w:trHeight w:val="476"/>
        </w:trPr>
        <w:tc>
          <w:tcPr>
            <w:tcW w:w="573" w:type="dxa"/>
            <w:vAlign w:val="center"/>
            <w:vMerge w:val="restart"/>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一、组织管理</w:t>
            </w:r>
            <w:r>
              <w:rPr>
                <w:rFonts w:hint="eastAsia" w:ascii="宋体" w:hAnsi="宋体" w:eastAsia="宋体" w:cs="宋体"/>
                <w:color w:val="000000"/>
                <w:sz w:val="24"/>
                <w:szCs w:val="24"/>
                <w:highlight w:val="none"/>
              </w:rPr>
            </w:r>
            <w:r/>
          </w:p>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运维单位落实</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维护单位明确，有专职的管理和技术人员，有运维的管理制度，满足设施运维所需，得3分；缺专职管理和技术人员的，扣2分；缺制度的扣1分；运行维护单位不明确的不得分。合理安排养护资金，满足常态化、机械化的养护要求及养护频次，得2分。</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573" w:type="dxa"/>
            <w:vAlign w:val="center"/>
            <w:vMerge w:val="continue"/>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落实养护计划</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养护责任单位</w:t>
            </w:r>
            <w:r>
              <w:rPr>
                <w:rFonts w:hint="eastAsia" w:ascii="宋体" w:hAnsi="宋体" w:eastAsia="宋体" w:cs="宋体"/>
                <w:color w:val="000000"/>
                <w:sz w:val="24"/>
                <w:szCs w:val="24"/>
                <w:highlight w:val="none"/>
                <w:lang w:val="en-US" w:eastAsia="zh-CN"/>
              </w:rPr>
              <w:t xml:space="preserve">成交后1个月内</w:t>
            </w:r>
            <w:r>
              <w:rPr>
                <w:rFonts w:hint="eastAsia" w:ascii="宋体" w:hAnsi="宋体" w:eastAsia="宋体" w:cs="宋体"/>
                <w:color w:val="000000"/>
                <w:sz w:val="24"/>
                <w:szCs w:val="24"/>
                <w:highlight w:val="none"/>
              </w:rPr>
              <w:t xml:space="preserve">上报年度养护计划；每月上报本月养护计划及上月养护计划执行情况。年度养护频次不符合要求的，不得分。当月未按时上报或养护计划执行率低于80%的，出现1次扣1分，扣完为止。</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573" w:type="dxa"/>
            <w:vAlign w:val="center"/>
            <w:vMerge w:val="restart"/>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二、台账管理</w:t>
            </w:r>
            <w:r>
              <w:rPr>
                <w:rFonts w:hint="eastAsia" w:ascii="宋体" w:hAnsi="宋体" w:eastAsia="宋体" w:cs="宋体"/>
                <w:color w:val="000000"/>
                <w:sz w:val="24"/>
                <w:szCs w:val="24"/>
                <w:highlight w:val="none"/>
              </w:rPr>
            </w:r>
            <w:r/>
          </w:p>
          <w:p>
            <w:pPr>
              <w:pStyle w:val="901"/>
              <w:ind w:firstLine="24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（35分）</w:t>
            </w: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规范档案管理</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责任单位应建立健全排水管网及设施的档案资料管理制度，配备档案资料管理人员，得5分。各项管网、设施维护台帐健全，记录详细，装订规范，台账应包括管网图纸、排水设施巡查情况、清疏计划的制定及完成情况、管网维修情况、投诉处理情况等，得25分，缺一项扣5分，台账记录不齐全、不规范的，每有一项扣2.5分。</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573" w:type="dxa"/>
            <w:vAlign w:val="center"/>
            <w:vMerge w:val="continue"/>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应急预案管理</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责任单位应制定排水管网运行维护管理的应急预案，发现重大故障应及时抢修，运行维护管理单位不具备应急抢修能力的，应事先与具备抢修能力的单位签订抢修协议。缺应急预案的扣3分，不具备应急抢修能力未签订抢修协议的扣2分。</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573" w:type="dxa"/>
            <w:vAlign w:val="center"/>
            <w:vMerge w:val="restart"/>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三、质量管理</w:t>
            </w:r>
            <w:r>
              <w:rPr>
                <w:rFonts w:hint="eastAsia" w:ascii="宋体" w:hAnsi="宋体" w:eastAsia="宋体" w:cs="宋体"/>
                <w:color w:val="000000"/>
                <w:sz w:val="24"/>
                <w:szCs w:val="24"/>
                <w:highlight w:val="none"/>
              </w:rPr>
            </w:r>
            <w:r/>
          </w:p>
          <w:p>
            <w:pPr>
              <w:pStyle w:val="901"/>
              <w:ind w:firstLine="24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（45分）</w:t>
            </w: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养护质量管理</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养护责任单位应按照《排水管道维护安全技术规程》（CJJ6）相关要求进行排水管道养护。养护责任单位应及时反馈</w:t>
            </w:r>
            <w:r>
              <w:rPr>
                <w:rFonts w:hint="eastAsia" w:ascii="宋体" w:hAnsi="宋体" w:eastAsia="宋体" w:cs="宋体"/>
                <w:color w:val="000000"/>
                <w:sz w:val="24"/>
                <w:szCs w:val="24"/>
                <w:highlight w:val="none"/>
                <w:lang w:val="en-US" w:eastAsia="zh-CN"/>
              </w:rPr>
              <w:t xml:space="preserve">养护</w:t>
            </w:r>
            <w:r>
              <w:rPr>
                <w:rFonts w:hint="eastAsia" w:ascii="宋体" w:hAnsi="宋体" w:eastAsia="宋体" w:cs="宋体"/>
                <w:color w:val="000000"/>
                <w:sz w:val="24"/>
                <w:szCs w:val="24"/>
                <w:highlight w:val="none"/>
              </w:rPr>
              <w:t xml:space="preserve">问题</w:t>
            </w:r>
            <w:r>
              <w:rPr>
                <w:rFonts w:hint="eastAsia" w:ascii="宋体" w:hAnsi="宋体" w:eastAsia="宋体" w:cs="宋体"/>
                <w:color w:val="000000"/>
                <w:sz w:val="24"/>
                <w:szCs w:val="24"/>
                <w:highlight w:val="none"/>
                <w:lang w:val="en-US" w:eastAsia="zh-CN"/>
              </w:rPr>
              <w:t xml:space="preserve">及解决方案，并</w:t>
            </w:r>
            <w:r>
              <w:rPr>
                <w:rFonts w:hint="eastAsia" w:ascii="宋体" w:hAnsi="宋体" w:eastAsia="宋体" w:cs="宋体"/>
                <w:color w:val="000000"/>
                <w:sz w:val="24"/>
                <w:szCs w:val="24"/>
                <w:highlight w:val="none"/>
              </w:rPr>
              <w:t xml:space="preserve">整改</w:t>
            </w:r>
            <w:r>
              <w:rPr>
                <w:rFonts w:hint="eastAsia" w:ascii="宋体" w:hAnsi="宋体" w:eastAsia="宋体" w:cs="宋体"/>
                <w:color w:val="000000"/>
                <w:sz w:val="24"/>
                <w:szCs w:val="24"/>
                <w:highlight w:val="none"/>
                <w:lang w:val="en-US" w:eastAsia="zh-CN"/>
              </w:rPr>
              <w:t xml:space="preserve">到位</w:t>
            </w:r>
            <w:r>
              <w:rPr>
                <w:rFonts w:hint="eastAsia" w:ascii="宋体" w:hAnsi="宋体" w:eastAsia="宋体" w:cs="宋体"/>
                <w:color w:val="000000"/>
                <w:sz w:val="24"/>
                <w:szCs w:val="24"/>
                <w:highlight w:val="none"/>
              </w:rPr>
              <w:t xml:space="preserve">，未按时反馈</w:t>
            </w:r>
            <w:r>
              <w:rPr>
                <w:rFonts w:hint="eastAsia" w:ascii="宋体" w:hAnsi="宋体" w:eastAsia="宋体" w:cs="宋体"/>
                <w:color w:val="000000"/>
                <w:sz w:val="24"/>
                <w:szCs w:val="24"/>
                <w:highlight w:val="none"/>
                <w:lang w:val="en-US" w:eastAsia="zh-CN"/>
              </w:rPr>
              <w:t xml:space="preserve">问题或未及时提出解决方案</w:t>
            </w:r>
            <w:r>
              <w:rPr>
                <w:rFonts w:hint="eastAsia" w:ascii="宋体" w:hAnsi="宋体" w:eastAsia="宋体" w:cs="宋体"/>
                <w:color w:val="000000"/>
                <w:sz w:val="24"/>
                <w:szCs w:val="24"/>
                <w:highlight w:val="none"/>
              </w:rPr>
              <w:t xml:space="preserve">或整改不到位的，出现1次扣2分，扣完为止。</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573" w:type="dxa"/>
            <w:vAlign w:val="center"/>
            <w:vMerge w:val="continue"/>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污泥收集运输</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污泥运输记录齐全；作业区域及时清理，污泥运输车辆应加盖，并定期清洗，保持整洁；在运输过程中污泥不落地，沿途无洒落滴漏，共5分，每有一项不符合要求扣2分，扣完为止。</w:t>
            </w:r>
            <w:r>
              <w:rPr>
                <w:rFonts w:hint="eastAsia" w:ascii="宋体" w:hAnsi="宋体" w:eastAsia="宋体" w:cs="宋体"/>
                <w:bCs/>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573" w:type="dxa"/>
            <w:vAlign w:val="center"/>
            <w:vMerge w:val="restart"/>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四、安全文明作业（10分）</w:t>
            </w: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持证上岗情况</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雨污水管网养护责任单位落实安全责任，特种作业人员须持相应特种作业证上岗，得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分，特种作业人员未持证上岗的，不得分。</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573" w:type="dxa"/>
            <w:vAlign w:val="center"/>
            <w:vMerge w:val="continue"/>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安全生产情况</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下井作业前按照规范采取必要安全措施，落实安全作业票制度，得2分，全年无安全生产事故，得3分。出现1起以上（含1起）安全事故，当年不予评优。</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tcW w:w="573" w:type="dxa"/>
            <w:vAlign w:val="center"/>
            <w:vMerge w:val="continue"/>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410"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养护效果</w:t>
            </w:r>
            <w:r>
              <w:rPr>
                <w:rFonts w:hint="eastAsia" w:ascii="宋体" w:hAnsi="宋体" w:eastAsia="宋体" w:cs="宋体"/>
                <w:color w:val="000000"/>
                <w:sz w:val="24"/>
                <w:szCs w:val="24"/>
                <w:highlight w:val="none"/>
              </w:rPr>
            </w:r>
            <w:r/>
          </w:p>
        </w:tc>
        <w:tc>
          <w:tcPr>
            <w:tcW w:w="277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因设施维护不力造成道路积水或污水冒溢等事故，处置不主动、不及时，并被媒体曝光的或造成较大社会影响的或在当年度上级检查考核中被通报的，发生一次扣3分。</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gridSpan w:val="4"/>
            <w:tcW w:w="7859"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  计</w:t>
            </w:r>
            <w:r>
              <w:rPr>
                <w:rFonts w:hint="eastAsia" w:ascii="宋体" w:hAnsi="宋体" w:eastAsia="宋体" w:cs="宋体"/>
                <w:color w:val="000000"/>
                <w:sz w:val="24"/>
                <w:szCs w:val="24"/>
                <w:highlight w:val="none"/>
              </w:rPr>
            </w:r>
            <w:r/>
          </w:p>
        </w:tc>
        <w:tc>
          <w:tcPr>
            <w:tcW w:w="363"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626" w:type="dxa"/>
            <w:vAlign w:val="center"/>
            <w:textDirection w:val="lrTb"/>
            <w:noWrap w:val="false"/>
          </w:tcPr>
          <w:p>
            <w:pPr>
              <w:pStyle w:val="90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《考核评分表》作为支付季度管网养护的重要依据，满分为100分。</w:t>
      </w:r>
      <w:r>
        <w:rPr>
          <w:rFonts w:hint="eastAsia" w:ascii="宋体" w:hAnsi="宋体" w:eastAsia="宋体" w:cs="宋体"/>
          <w:color w:val="000000"/>
          <w:sz w:val="24"/>
          <w:highlight w:val="none"/>
        </w:rPr>
      </w:r>
      <w:r/>
    </w:p>
    <w:p>
      <w:pPr>
        <w:pStyle w:val="90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本考核表作为甲方支付季度服务费的重要依据，满分为100分，90分以上（含 90分）不扣款，90分以下每扣减1分扣款1000元整。</w:t>
      </w:r>
      <w:r>
        <w:rPr>
          <w:rFonts w:hint="eastAsia" w:ascii="宋体" w:hAnsi="宋体" w:eastAsia="宋体" w:cs="宋体"/>
          <w:color w:val="000000"/>
          <w:sz w:val="24"/>
          <w:highlight w:val="none"/>
        </w:rPr>
      </w:r>
      <w:r/>
    </w:p>
    <w:p>
      <w:pPr>
        <w:pStyle w:val="90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乙方经考核一次60分以下或者累计两次80分以下的，甲方有权终止合同。</w:t>
      </w:r>
      <w:r>
        <w:rPr>
          <w:rFonts w:hint="eastAsia" w:ascii="宋体" w:hAnsi="宋体" w:eastAsia="宋体" w:cs="宋体"/>
          <w:color w:val="000000"/>
          <w:sz w:val="24"/>
          <w:highlight w:val="none"/>
        </w:rPr>
      </w:r>
      <w:r/>
    </w:p>
    <w:p>
      <w:pPr>
        <w:pStyle w:val="90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考核标准采购方可根据实际情况作出调整，</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须无条件服从及配合。</w:t>
      </w:r>
      <w:r>
        <w:rPr>
          <w:rFonts w:hint="eastAsia" w:ascii="宋体" w:hAnsi="宋体" w:eastAsia="宋体" w:cs="宋体"/>
          <w:color w:val="000000"/>
          <w:sz w:val="24"/>
          <w:highlight w:val="none"/>
        </w:rPr>
      </w:r>
      <w:r/>
    </w:p>
    <w:p>
      <w:pPr>
        <w:pStyle w:val="90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填表说明： </w:t>
      </w:r>
      <w:r>
        <w:rPr>
          <w:rFonts w:hint="eastAsia" w:ascii="宋体" w:hAnsi="宋体" w:eastAsia="宋体" w:cs="宋体"/>
          <w:color w:val="000000"/>
          <w:sz w:val="24"/>
          <w:highlight w:val="none"/>
        </w:rPr>
      </w:r>
      <w:r/>
    </w:p>
    <w:p>
      <w:pPr>
        <w:pStyle w:val="90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1.“备注”一栏简要说明得失分原因。</w:t>
      </w:r>
      <w:r>
        <w:rPr>
          <w:rFonts w:hint="eastAsia" w:ascii="宋体" w:hAnsi="宋体" w:eastAsia="宋体" w:cs="宋体"/>
          <w:color w:val="000000"/>
          <w:sz w:val="24"/>
          <w:highlight w:val="none"/>
        </w:rPr>
      </w:r>
      <w:r/>
    </w:p>
    <w:p>
      <w:pPr>
        <w:pStyle w:val="901"/>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2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01"/>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901"/>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90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901"/>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JSZC-320509-ZZHL-C2026-0023</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901"/>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901"/>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1"/>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8"/>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8"/>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8"/>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8"/>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01"/>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2"/>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90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901"/>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90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磋商编号：JSZC-320509-ZZHL-C2026-0023号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32"/>
        <w:gridCol w:w="2355"/>
        <w:gridCol w:w="2524"/>
        <w:gridCol w:w="2769"/>
      </w:tblGrid>
      <w:tr>
        <w:trPr>
          <w:trHeight w:val="602"/>
        </w:trPr>
        <w:tc>
          <w:tcPr>
            <w:tcW w:w="1232" w:type="dxa"/>
            <w:vAlign w:val="center"/>
            <w:textDirection w:val="lrTb"/>
            <w:noWrap w:val="false"/>
          </w:tcPr>
          <w:p>
            <w:pPr>
              <w:pStyle w:val="901"/>
              <w:jc w:val="center"/>
              <w:spacing w:line="360" w:lineRule="auto"/>
              <w:rPr>
                <w:rFonts w:hint="eastAsia" w:ascii="宋体" w:hAnsi="宋体" w:eastAsia="宋体" w:cs="宋体"/>
                <w:color w:val="000000"/>
                <w:spacing w:val="20"/>
                <w:sz w:val="24"/>
                <w:highlight w:val="none"/>
                <w:lang w:eastAsia="zh-CN"/>
              </w:rPr>
            </w:pPr>
            <w:r>
              <w:rPr>
                <w:rFonts w:hint="eastAsia" w:ascii="宋体" w:hAnsi="宋体" w:cs="宋体"/>
                <w:color w:val="000000"/>
                <w:spacing w:val="20"/>
                <w:sz w:val="24"/>
                <w:highlight w:val="none"/>
                <w:lang w:val="en-US" w:eastAsia="zh-CN"/>
              </w:rPr>
              <w:t xml:space="preserve">标段号</w:t>
            </w:r>
            <w:r>
              <w:rPr>
                <w:rFonts w:hint="eastAsia" w:ascii="宋体" w:hAnsi="宋体" w:eastAsia="宋体" w:cs="宋体"/>
                <w:color w:val="000000"/>
                <w:spacing w:val="20"/>
                <w:sz w:val="24"/>
                <w:highlight w:val="none"/>
                <w:lang w:eastAsia="zh-CN"/>
              </w:rPr>
            </w:r>
            <w:r/>
          </w:p>
        </w:tc>
        <w:tc>
          <w:tcPr>
            <w:tcW w:w="2355" w:type="dxa"/>
            <w:vAlign w:val="center"/>
            <w:textDirection w:val="lrTb"/>
            <w:noWrap w:val="false"/>
          </w:tcPr>
          <w:p>
            <w:pPr>
              <w:pStyle w:val="901"/>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2524" w:type="dxa"/>
            <w:vAlign w:val="center"/>
            <w:textDirection w:val="lrTb"/>
            <w:noWrap w:val="false"/>
          </w:tcPr>
          <w:p>
            <w:pPr>
              <w:pStyle w:val="901"/>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响应优惠率</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901"/>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1232" w:type="dxa"/>
            <w:vAlign w:val="center"/>
            <w:textDirection w:val="lrTb"/>
            <w:noWrap w:val="false"/>
          </w:tcPr>
          <w:p>
            <w:pPr>
              <w:pStyle w:val="901"/>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c>
          <w:tcPr>
            <w:tcW w:w="2355" w:type="dxa"/>
            <w:vAlign w:val="center"/>
            <w:textDirection w:val="lrTb"/>
            <w:noWrap w:val="false"/>
          </w:tcPr>
          <w:p>
            <w:pPr>
              <w:pStyle w:val="901"/>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524" w:type="dxa"/>
            <w:vAlign w:val="center"/>
            <w:textDirection w:val="lrTb"/>
            <w:noWrap w:val="false"/>
          </w:tcPr>
          <w:p>
            <w:pPr>
              <w:pStyle w:val="901"/>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901"/>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本次响应报价须根据“采购内容清单”中的“全费用综合单价上限价格”基础上报统一优惠率【如优惠率为10％，则表示结算单价在“全费用综合单价上限价格”的基础上×(1-15%)（即85折）】，供应商应自行考虑项目实施期间的风险，具体费用根据成交单价及实际工作量结算。</w:t>
      </w:r>
      <w:r>
        <w:rPr>
          <w:rFonts w:hint="eastAsia" w:ascii="宋体" w:hAnsi="宋体" w:eastAsia="宋体" w:cs="宋体"/>
          <w:b/>
          <w:bCs/>
          <w:color w:val="000000"/>
          <w:sz w:val="24"/>
          <w:szCs w:val="24"/>
          <w:highlight w:val="none"/>
          <w:lang w:eastAsia="zh-CN"/>
        </w:rPr>
        <w:t xml:space="preserve">响应优惠率</w:t>
      </w:r>
      <w:r>
        <w:rPr>
          <w:rFonts w:hint="eastAsia" w:ascii="宋体" w:hAnsi="宋体" w:eastAsia="宋体" w:cs="宋体"/>
          <w:b/>
          <w:bCs/>
          <w:color w:val="000000"/>
          <w:sz w:val="24"/>
          <w:szCs w:val="24"/>
          <w:highlight w:val="none"/>
          <w:lang w:val="en-US" w:eastAsia="zh-CN"/>
        </w:rPr>
        <w:t xml:space="preserve">须≥10%，</w:t>
      </w:r>
      <w:r>
        <w:rPr>
          <w:rFonts w:hint="eastAsia" w:ascii="宋体" w:hAnsi="宋体" w:eastAsia="宋体" w:cs="宋体"/>
          <w:b/>
          <w:bCs/>
          <w:color w:val="000000"/>
          <w:sz w:val="24"/>
          <w:szCs w:val="24"/>
          <w:highlight w:val="none"/>
        </w:rPr>
        <w:t xml:space="preserve">取整数，不得出现小数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否则为无效响应</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2.所报优惠率越高，则表示对应的响应报价越低，价格得分则越高。</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3.供应商须对所要采购的全部内容进行报价，未按本表规定格式提供则视为无效。</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如本格式与“苏采云”格式冲突的，以苏采云格式为准。</w:t>
      </w:r>
      <w:r>
        <w:rPr>
          <w:rFonts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 </w:t>
      </w:r>
      <w:r>
        <w:rPr>
          <w:rFonts w:hint="eastAsia" w:ascii="宋体" w:hAnsi="宋体" w:eastAsia="宋体" w:cs="宋体"/>
          <w:color w:val="000000"/>
          <w:sz w:val="24"/>
          <w:highlight w:val="none"/>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01"/>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附件4：技术偏离表</w:t>
      </w:r>
      <w:r>
        <w:rPr>
          <w:rFonts w:hint="eastAsia" w:ascii="宋体" w:hAnsi="宋体" w:eastAsia="宋体" w:cs="宋体"/>
          <w:b/>
          <w:bCs/>
          <w:color w:val="000000"/>
          <w:sz w:val="24"/>
          <w:szCs w:val="24"/>
          <w:highlight w:val="none"/>
          <w:lang w:val="en-US" w:eastAsia="zh-CN" w:bidi="ar-SA"/>
        </w:rPr>
      </w:r>
      <w:r/>
    </w:p>
    <w:p>
      <w:pPr>
        <w:pStyle w:val="901"/>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901"/>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注：1.磋商响应单位应对照采购文件服务要求等要求，所响应标的物（服务）与采购文件的规定有偏离的，应在此表中申明与服务要求条文的偏差和例外。</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未在上表中说明的，如在响应文件其他内容中已有文字说明的，则以已有文字说明为准，否则，将被认为完全响应采购文件的规定。但该表不作为磋商响应单位对所响应的物（服务）关于技术要求等详细描述和说明的替代。</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eastAsia="宋体" w:cs="宋体"/>
          <w:color w:val="000000"/>
          <w:sz w:val="24"/>
          <w:highlight w:val="none"/>
          <w:lang w:val="en-US" w:eastAsia="zh-CN"/>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908"/>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1"/>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901"/>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响应服务关于商务条款等详细描述和说明的替代。</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年         月       日</w:t>
      </w:r>
      <w:r>
        <w:rPr>
          <w:rFonts w:hint="eastAsia" w:ascii="宋体" w:hAnsi="宋体" w:eastAsia="宋体" w:cs="宋体"/>
          <w:color w:val="000000"/>
          <w:sz w:val="24"/>
          <w:highlight w:val="none"/>
          <w:lang w:val="en-US" w:eastAsia="zh-CN"/>
        </w:rPr>
      </w:r>
      <w:r/>
    </w:p>
    <w:p>
      <w:pPr>
        <w:pStyle w:val="90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5"/>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w:t>
      </w:r>
      <w:r>
        <w:rPr>
          <w:rFonts w:hint="eastAsia" w:hAnsi="宋体" w:eastAsia="宋体" w:cs="宋体"/>
          <w:b/>
          <w:bCs/>
          <w:color w:val="000000"/>
          <w:sz w:val="24"/>
          <w:highlight w:val="none"/>
          <w:lang w:val="en-US" w:eastAsia="zh-CN"/>
        </w:rPr>
        <w:t xml:space="preserve">6</w:t>
      </w:r>
      <w:r>
        <w:rPr>
          <w:rFonts w:hint="eastAsia" w:hAnsi="宋体" w:eastAsia="宋体" w:cs="宋体"/>
          <w:b/>
          <w:bCs/>
          <w:color w:val="000000"/>
          <w:sz w:val="24"/>
          <w:highlight w:val="none"/>
        </w:rPr>
        <w:t xml:space="preserve">.针对本项目的人员配置表</w:t>
      </w:r>
      <w:r>
        <w:rPr>
          <w:rFonts w:hint="eastAsia" w:hAnsi="宋体" w:eastAsia="宋体" w:cs="宋体"/>
          <w:b/>
          <w:bCs/>
          <w:color w:val="000000"/>
          <w:sz w:val="24"/>
          <w:highlight w:val="none"/>
        </w:rPr>
      </w:r>
      <w:r/>
    </w:p>
    <w:p>
      <w:pPr>
        <w:pStyle w:val="901"/>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90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JSZC-320509-ZZHL-C2026-0023</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912"/>
        <w:gridCol w:w="818"/>
        <w:gridCol w:w="840"/>
        <w:gridCol w:w="967"/>
        <w:gridCol w:w="705"/>
        <w:gridCol w:w="900"/>
        <w:gridCol w:w="1613"/>
        <w:gridCol w:w="1067"/>
      </w:tblGrid>
      <w:tr>
        <w:trPr>
          <w:trHeight w:val="405"/>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912" w:type="dxa"/>
            <w:vAlign w:val="center"/>
            <w:textDirection w:val="lrTb"/>
            <w:noWrap/>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18" w:type="dxa"/>
            <w:vAlign w:val="center"/>
            <w:textDirection w:val="lrTb"/>
            <w:noWrap/>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840" w:type="dxa"/>
            <w:vAlign w:val="center"/>
            <w:textDirection w:val="lrTb"/>
            <w:noWrap/>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705" w:type="dxa"/>
            <w:vAlign w:val="center"/>
            <w:textDirection w:val="lrTb"/>
            <w:noWrap/>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900" w:type="dxa"/>
            <w:vAlign w:val="center"/>
            <w:textDirection w:val="lrTb"/>
            <w:noWrap/>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13" w:type="dxa"/>
            <w:vAlign w:val="center"/>
            <w:textDirection w:val="lrTb"/>
            <w:noWrap/>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12"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12"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12"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12"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12"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1"/>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1"/>
        <w:ind w:firstLine="482"/>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注：此表所有人员须与响应文件中所承诺本项目配备人员（人数、证书等）情况一致。</w:t>
      </w:r>
      <w:r>
        <w:rPr>
          <w:rFonts w:ascii="宋体" w:hAnsi="宋体" w:eastAsia="宋体" w:cs="宋体"/>
          <w:b/>
          <w:bCs/>
          <w:color w:val="000000"/>
          <w:sz w:val="24"/>
          <w:highlight w:val="none"/>
          <w:lang w:val="en-US" w:eastAsia="zh-CN"/>
        </w:rPr>
      </w:r>
      <w:r/>
    </w:p>
    <w:p>
      <w:pPr>
        <w:pStyle w:val="901"/>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919"/>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9"/>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9"/>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9"/>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9"/>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9"/>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9"/>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01"/>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1"/>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1"/>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1"/>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901"/>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901"/>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JSZC-320509-ZZHL-C2026-0023</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1"/>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法定代表人或委托代理人：（签字或盖章）</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1"/>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1"/>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901"/>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901"/>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90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90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1"/>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供应商：（单位盖章）</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法定代表人或代理人：（签字或盖章）</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年  月  日</w:t>
      </w:r>
      <w:r>
        <w:rPr>
          <w:rFonts w:hint="eastAsia" w:ascii="宋体" w:hAnsi="宋体" w:eastAsia="宋体" w:cs="宋体"/>
          <w:color w:val="000000"/>
          <w:sz w:val="24"/>
          <w:highlight w:val="none"/>
          <w:lang w:val="en-US" w:eastAsia="zh-CN"/>
        </w:rPr>
      </w:r>
      <w:r/>
    </w:p>
    <w:p>
      <w:pPr>
        <w:pStyle w:val="901"/>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8"/>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8"/>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1"/>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901"/>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1"/>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w:t>
      </w:r>
      <w:r>
        <w:rPr>
          <w:rFonts w:hint="eastAsia" w:ascii="宋体" w:hAnsi="宋体" w:eastAsia="宋体" w:cs="宋体"/>
          <w:color w:val="000000"/>
          <w:sz w:val="24"/>
          <w:highlight w:val="none"/>
          <w:lang w:val="en-US" w:eastAsia="zh-CN"/>
        </w:rPr>
        <w:t xml:space="preserve">、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供应商：（单位盖章）</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法定代表人或代理人：（签字或盖章）</w:t>
      </w:r>
      <w:r>
        <w:rPr>
          <w:rFonts w:hint="eastAsia" w:ascii="宋体" w:hAnsi="宋体" w:eastAsia="宋体" w:cs="宋体"/>
          <w:color w:val="000000"/>
          <w:sz w:val="24"/>
          <w:highlight w:val="none"/>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年  月  日</w:t>
      </w:r>
      <w:r>
        <w:rPr>
          <w:rFonts w:hint="eastAsia" w:ascii="宋体" w:hAnsi="宋体" w:eastAsia="宋体" w:cs="宋体"/>
          <w:color w:val="000000"/>
          <w:sz w:val="24"/>
          <w:highlight w:val="none"/>
          <w:lang w:val="en-US" w:eastAsia="zh-CN"/>
        </w:rPr>
      </w:r>
      <w:r/>
    </w:p>
    <w:p>
      <w:pPr>
        <w:pStyle w:val="908"/>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01"/>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01"/>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534"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9"/>
        <w:gridCol w:w="1695"/>
        <w:gridCol w:w="1403"/>
        <w:gridCol w:w="2077"/>
        <w:gridCol w:w="1320"/>
      </w:tblGrid>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320"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397"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8"/>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01"/>
        <w:pageBreakBefore/>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90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90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6"/>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56"/>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0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90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29"/>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90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1"/>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1"/>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1"/>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1"/>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1"/>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1"/>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1"/>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1"/>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bookmarkStart w:id="139" w:name="OLE_LINK13"/>
      <w:r/>
      <w:bookmarkStart w:id="140"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901"/>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39"/>
      <w:r/>
      <w:bookmarkEnd w:id="140"/>
      <w:r>
        <w:rPr>
          <w:rFonts w:hint="eastAsia" w:ascii="宋体" w:hAnsi="宋体" w:cs="宋体"/>
          <w:b/>
          <w:color w:val="000000"/>
          <w:spacing w:val="6"/>
          <w:sz w:val="24"/>
          <w:highlight w:val="none"/>
        </w:rPr>
      </w:r>
      <w:r/>
    </w:p>
    <w:p>
      <w:pPr>
        <w:pStyle w:val="901"/>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901"/>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901"/>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901"/>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1"/>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1"/>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901"/>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901"/>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901"/>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1"/>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1"/>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1"/>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2"/>
        <w:rPr>
          <w:rFonts w:hint="eastAsia"/>
          <w:color w:val="000000"/>
          <w:highlight w:val="none"/>
          <w:lang w:val="zh-CN"/>
        </w:rPr>
      </w:pPr>
      <w:r>
        <w:rPr>
          <w:rFonts w:hint="eastAsia"/>
          <w:color w:val="000000"/>
          <w:highlight w:val="none"/>
          <w:lang w:val="zh-CN"/>
        </w:rPr>
      </w:r>
      <w:r/>
    </w:p>
    <w:p>
      <w:pPr>
        <w:pStyle w:val="901"/>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11"/>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90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0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90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90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90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90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90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901"/>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90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0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90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90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90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90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90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901"/>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90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fldSimple w:instr="PAGE \* MERGEFORMAT">
      <w:r>
        <w:t xml:space="preserve">1</w:t>
      </w:r>
    </w:fldSimple>
    <w:r/>
    <w:r/>
  </w:p>
  <w:p>
    <w:pPr>
      <w:pStyle w:val="7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JSZC-320509-ZZHL-C2026-0023</w:t>
    </w:r>
    <w:r>
      <w:rPr>
        <w:rFonts w:hint="eastAsia" w:eastAsia="宋体"/>
        <w:lang w:eastAsia="zh-CN"/>
      </w:rPr>
    </w:r>
    <w:r/>
  </w:p>
  <w:p>
    <w:pPr>
      <w:pStyle w:val="918"/>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901"/>
        <w:ind w:left="432" w:hanging="432"/>
        <w:tabs>
          <w:tab w:val="num" w:pos="432" w:leader="none"/>
        </w:tabs>
      </w:pPr>
      <w:rPr>
        <w:rFonts w:hint="eastAsia" w:ascii="宋体" w:hAnsi="宋体" w:eastAsia="宋体"/>
        <w:b/>
        <w:i w:val="0"/>
        <w:sz w:val="28"/>
        <w:szCs w:val="28"/>
      </w:rPr>
    </w:lvl>
    <w:lvl w:ilvl="1">
      <w:start w:val="1"/>
      <w:numFmt w:val="decimal"/>
      <w:pStyle w:val="903"/>
      <w:isLgl w:val="false"/>
      <w:suff w:val="tab"/>
      <w:lvlText w:val="%1.%2"/>
      <w:lvlJc w:val="left"/>
      <w:pPr>
        <w:pStyle w:val="901"/>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901"/>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901"/>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901"/>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901"/>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901"/>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901"/>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901"/>
        <w:ind w:left="3744" w:hanging="1584"/>
        <w:tabs>
          <w:tab w:val="num" w:pos="3744" w:leader="none"/>
        </w:tabs>
      </w:pPr>
      <w:rPr>
        <w:rFonts w:hint="eastAsia" w:ascii="宋体" w:hAnsi="宋体" w:eastAsia="宋体"/>
        <w:b/>
        <w:sz w:val="28"/>
        <w:szCs w:val="28"/>
      </w:rPr>
    </w:lvl>
  </w:abstractNum>
  <w:abstractNum w:abstractNumId="1">
    <w:multiLevelType w:val="hybridMultilevel"/>
    <w:lvl w:ilvl="0">
      <w:start w:val="9"/>
      <w:numFmt w:val="chineseCounting"/>
      <w:isLgl w:val="false"/>
      <w:suff w:val="nothing"/>
      <w:lvlText w:val="%1、"/>
      <w:lvlJc w:val="left"/>
      <w:pPr>
        <w:pStyle w:val="901"/>
      </w:pPr>
      <w:rPr>
        <w:rFonts w:hint="eastAsia"/>
      </w:rPr>
    </w:lvl>
    <w:lvl w:ilvl="1">
      <w:start w:val="1"/>
      <w:numFmt w:val="bullet"/>
      <w:isLgl w:val="false"/>
      <w:suff w:val="tab"/>
      <w:lvlText w:val="o"/>
      <w:lvlJc w:val="left"/>
      <w:pPr>
        <w:pStyle w:val="901"/>
        <w:ind w:left="1440" w:hanging="360"/>
      </w:pPr>
      <w:rPr>
        <w:rFonts w:ascii="Courier New" w:hAnsi="Courier New" w:eastAsia="Courier New" w:cs="Courier New"/>
      </w:rPr>
    </w:lvl>
    <w:lvl w:ilvl="2">
      <w:start w:val="1"/>
      <w:numFmt w:val="bullet"/>
      <w:isLgl w:val="false"/>
      <w:suff w:val="tab"/>
      <w:lvlText w:val="§"/>
      <w:lvlJc w:val="left"/>
      <w:pPr>
        <w:pStyle w:val="901"/>
        <w:ind w:left="2160" w:hanging="360"/>
      </w:pPr>
      <w:rPr>
        <w:rFonts w:ascii="Wingdings" w:hAnsi="Wingdings" w:eastAsia="Wingdings" w:cs="Wingdings"/>
      </w:rPr>
    </w:lvl>
    <w:lvl w:ilvl="3">
      <w:start w:val="1"/>
      <w:numFmt w:val="bullet"/>
      <w:isLgl w:val="false"/>
      <w:suff w:val="tab"/>
      <w:lvlText w:val="·"/>
      <w:lvlJc w:val="left"/>
      <w:pPr>
        <w:pStyle w:val="901"/>
        <w:ind w:left="2880" w:hanging="360"/>
      </w:pPr>
      <w:rPr>
        <w:rFonts w:ascii="Symbol" w:hAnsi="Symbol" w:eastAsia="Symbol" w:cs="Symbol"/>
      </w:rPr>
    </w:lvl>
    <w:lvl w:ilvl="4">
      <w:start w:val="1"/>
      <w:numFmt w:val="bullet"/>
      <w:isLgl w:val="false"/>
      <w:suff w:val="tab"/>
      <w:lvlText w:val="o"/>
      <w:lvlJc w:val="left"/>
      <w:pPr>
        <w:pStyle w:val="901"/>
        <w:ind w:left="3600" w:hanging="360"/>
      </w:pPr>
      <w:rPr>
        <w:rFonts w:ascii="Courier New" w:hAnsi="Courier New" w:eastAsia="Courier New" w:cs="Courier New"/>
      </w:rPr>
    </w:lvl>
    <w:lvl w:ilvl="5">
      <w:start w:val="1"/>
      <w:numFmt w:val="bullet"/>
      <w:isLgl w:val="false"/>
      <w:suff w:val="tab"/>
      <w:lvlText w:val="§"/>
      <w:lvlJc w:val="left"/>
      <w:pPr>
        <w:pStyle w:val="901"/>
        <w:ind w:left="4320" w:hanging="360"/>
      </w:pPr>
      <w:rPr>
        <w:rFonts w:ascii="Wingdings" w:hAnsi="Wingdings" w:eastAsia="Wingdings" w:cs="Wingdings"/>
      </w:rPr>
    </w:lvl>
    <w:lvl w:ilvl="6">
      <w:start w:val="1"/>
      <w:numFmt w:val="bullet"/>
      <w:isLgl w:val="false"/>
      <w:suff w:val="tab"/>
      <w:lvlText w:val="·"/>
      <w:lvlJc w:val="left"/>
      <w:pPr>
        <w:pStyle w:val="901"/>
        <w:ind w:left="5040" w:hanging="360"/>
      </w:pPr>
      <w:rPr>
        <w:rFonts w:ascii="Symbol" w:hAnsi="Symbol" w:eastAsia="Symbol" w:cs="Symbol"/>
      </w:rPr>
    </w:lvl>
    <w:lvl w:ilvl="7">
      <w:start w:val="1"/>
      <w:numFmt w:val="bullet"/>
      <w:isLgl w:val="false"/>
      <w:suff w:val="tab"/>
      <w:lvlText w:val="o"/>
      <w:lvlJc w:val="left"/>
      <w:pPr>
        <w:pStyle w:val="901"/>
        <w:ind w:left="5760" w:hanging="360"/>
      </w:pPr>
      <w:rPr>
        <w:rFonts w:ascii="Courier New" w:hAnsi="Courier New" w:eastAsia="Courier New" w:cs="Courier New"/>
      </w:rPr>
    </w:lvl>
    <w:lvl w:ilvl="8">
      <w:start w:val="1"/>
      <w:numFmt w:val="bullet"/>
      <w:isLgl w:val="false"/>
      <w:suff w:val="tab"/>
      <w:lvlText w:val="§"/>
      <w:lvlJc w:val="left"/>
      <w:pPr>
        <w:pStyle w:val="901"/>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Calibri" w:hAnsi="Calibri" w:cs="Calibri"/>
      <w:sz w:val="21"/>
      <w:szCs w:val="24"/>
      <w:lang w:val="en-US" w:eastAsia="zh-CN" w:bidi="ar-SA"/>
    </w:rPr>
  </w:style>
  <w:style w:type="paragraph" w:styleId="902">
    <w:name w:val="标题 1"/>
    <w:basedOn w:val="901"/>
    <w:next w:val="901"/>
    <w:link w:val="901"/>
    <w:qFormat/>
    <w:pPr>
      <w:ind w:left="405" w:hanging="405"/>
      <w:jc w:val="left"/>
      <w:keepNext/>
      <w:spacing w:line="300" w:lineRule="auto"/>
      <w:tabs>
        <w:tab w:val="left" w:pos="405" w:leader="none"/>
      </w:tabs>
      <w:outlineLvl w:val="0"/>
    </w:pPr>
    <w:rPr>
      <w:sz w:val="28"/>
    </w:rPr>
  </w:style>
  <w:style w:type="paragraph" w:styleId="903">
    <w:name w:val="标题 2"/>
    <w:basedOn w:val="901"/>
    <w:next w:val="901"/>
    <w:link w:val="901"/>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4">
    <w:name w:val="标题 3"/>
    <w:basedOn w:val="901"/>
    <w:next w:val="901"/>
    <w:link w:val="901"/>
    <w:qFormat/>
    <w:pPr>
      <w:keepLines/>
      <w:keepNext/>
      <w:spacing w:before="260" w:after="260" w:line="413" w:lineRule="auto"/>
      <w:outlineLvl w:val="2"/>
    </w:pPr>
    <w:rPr>
      <w:b/>
      <w:sz w:val="32"/>
    </w:rPr>
  </w:style>
  <w:style w:type="character" w:styleId="905">
    <w:name w:val="默认段落字体"/>
    <w:next w:val="905"/>
    <w:link w:val="901"/>
    <w:semiHidden/>
    <w:qFormat/>
  </w:style>
  <w:style w:type="table" w:styleId="906">
    <w:name w:val="普通表格"/>
    <w:next w:val="906"/>
    <w:link w:val="901"/>
    <w:semiHidden/>
    <w:tblPr/>
  </w:style>
  <w:style w:type="paragraph" w:styleId="907">
    <w:name w:val="目录 7"/>
    <w:basedOn w:val="901"/>
    <w:next w:val="901"/>
    <w:link w:val="901"/>
    <w:uiPriority w:val="39"/>
    <w:unhideWhenUsed/>
    <w:qFormat/>
    <w:pPr>
      <w:ind w:left="1260"/>
      <w:jc w:val="left"/>
    </w:pPr>
    <w:rPr>
      <w:sz w:val="18"/>
      <w:szCs w:val="18"/>
    </w:rPr>
  </w:style>
  <w:style w:type="paragraph" w:styleId="908">
    <w:name w:val="正文缩进"/>
    <w:basedOn w:val="901"/>
    <w:next w:val="901"/>
    <w:link w:val="901"/>
    <w:qFormat/>
    <w:pPr>
      <w:ind w:firstLine="420"/>
    </w:pPr>
    <w:rPr>
      <w:szCs w:val="20"/>
    </w:rPr>
  </w:style>
  <w:style w:type="paragraph" w:styleId="909">
    <w:name w:val="批注文字"/>
    <w:basedOn w:val="901"/>
    <w:next w:val="909"/>
    <w:link w:val="910"/>
    <w:qFormat/>
    <w:pPr>
      <w:jc w:val="left"/>
    </w:pPr>
  </w:style>
  <w:style w:type="character" w:styleId="910">
    <w:name w:val="批注文字 字符"/>
    <w:next w:val="910"/>
    <w:link w:val="909"/>
    <w:rPr>
      <w:rFonts w:ascii="Calibri" w:hAnsi="Calibri" w:cs="Calibri"/>
      <w:sz w:val="21"/>
      <w:szCs w:val="24"/>
    </w:rPr>
  </w:style>
  <w:style w:type="paragraph" w:styleId="911">
    <w:name w:val="正文文本"/>
    <w:basedOn w:val="901"/>
    <w:next w:val="911"/>
    <w:link w:val="901"/>
    <w:qFormat/>
    <w:pPr>
      <w:tabs>
        <w:tab w:val="left" w:pos="5250" w:leader="none"/>
      </w:tabs>
    </w:pPr>
    <w:rPr>
      <w:sz w:val="28"/>
    </w:rPr>
  </w:style>
  <w:style w:type="paragraph" w:styleId="912">
    <w:name w:val="正文文本缩进"/>
    <w:basedOn w:val="901"/>
    <w:next w:val="913"/>
    <w:link w:val="901"/>
    <w:qFormat/>
    <w:pPr>
      <w:ind w:left="420"/>
      <w:spacing w:after="120"/>
    </w:pPr>
  </w:style>
  <w:style w:type="paragraph" w:styleId="913">
    <w:name w:val="寄信人地址"/>
    <w:basedOn w:val="901"/>
    <w:next w:val="913"/>
    <w:link w:val="901"/>
    <w:qFormat/>
    <w:rPr>
      <w:rFonts w:ascii="Arial" w:hAnsi="Arial" w:eastAsia="楷体_GB2312"/>
      <w:sz w:val="26"/>
      <w:szCs w:val="20"/>
    </w:rPr>
  </w:style>
  <w:style w:type="paragraph" w:styleId="914">
    <w:name w:val="文本块"/>
    <w:basedOn w:val="902"/>
    <w:next w:val="901"/>
    <w:link w:val="901"/>
    <w:qFormat/>
    <w:pPr>
      <w:ind w:left="420" w:right="-294"/>
      <w:spacing w:line="320" w:lineRule="exact"/>
      <w:tabs>
        <w:tab w:val="left" w:pos="405" w:leader="none"/>
      </w:tabs>
    </w:pPr>
    <w:rPr>
      <w:rFonts w:ascii="宋体"/>
      <w:sz w:val="24"/>
    </w:rPr>
  </w:style>
  <w:style w:type="paragraph" w:styleId="915">
    <w:name w:val="纯文本"/>
    <w:basedOn w:val="901"/>
    <w:next w:val="915"/>
    <w:link w:val="901"/>
    <w:qFormat/>
    <w:rPr>
      <w:rFonts w:ascii="宋体" w:hAnsi="Courier New" w:eastAsia="楷体_GB2312"/>
      <w:sz w:val="28"/>
    </w:rPr>
  </w:style>
  <w:style w:type="paragraph" w:styleId="916">
    <w:name w:val="批注框文本"/>
    <w:basedOn w:val="901"/>
    <w:next w:val="916"/>
    <w:link w:val="901"/>
    <w:qFormat/>
    <w:rPr>
      <w:sz w:val="18"/>
      <w:szCs w:val="18"/>
    </w:rPr>
  </w:style>
  <w:style w:type="paragraph" w:styleId="917">
    <w:name w:val="页脚"/>
    <w:basedOn w:val="901"/>
    <w:next w:val="917"/>
    <w:link w:val="901"/>
    <w:uiPriority w:val="99"/>
    <w:qFormat/>
    <w:pPr>
      <w:jc w:val="left"/>
      <w:tabs>
        <w:tab w:val="center" w:pos="4153" w:leader="none"/>
        <w:tab w:val="right" w:pos="8306" w:leader="none"/>
      </w:tabs>
    </w:pPr>
    <w:rPr>
      <w:sz w:val="18"/>
      <w:szCs w:val="18"/>
    </w:rPr>
  </w:style>
  <w:style w:type="paragraph" w:styleId="918">
    <w:name w:val="页眉"/>
    <w:basedOn w:val="901"/>
    <w:next w:val="918"/>
    <w:link w:val="901"/>
    <w:uiPriority w:val="99"/>
    <w:qFormat/>
    <w:pPr>
      <w:jc w:val="center"/>
      <w:tabs>
        <w:tab w:val="center" w:pos="4153" w:leader="none"/>
        <w:tab w:val="right" w:pos="8306" w:leader="none"/>
      </w:tabs>
      <w:pBdr>
        <w:bottom w:val="none" w:color="000000" w:sz="0" w:space="1"/>
      </w:pBdr>
    </w:pPr>
    <w:rPr>
      <w:sz w:val="18"/>
      <w:szCs w:val="18"/>
    </w:rPr>
  </w:style>
  <w:style w:type="paragraph" w:styleId="919">
    <w:name w:val="副标题"/>
    <w:basedOn w:val="901"/>
    <w:next w:val="901"/>
    <w:link w:val="901"/>
    <w:qFormat/>
    <w:pPr>
      <w:jc w:val="center"/>
      <w:spacing w:before="240" w:after="60" w:line="312" w:lineRule="auto"/>
      <w:outlineLvl w:val="1"/>
    </w:pPr>
    <w:rPr>
      <w:rFonts w:ascii="宋体" w:hAnsi="Courier New" w:eastAsia="楷体_GB2312"/>
      <w:sz w:val="26"/>
    </w:rPr>
  </w:style>
  <w:style w:type="paragraph" w:styleId="920">
    <w:name w:val="脚注文本"/>
    <w:basedOn w:val="902"/>
    <w:next w:val="914"/>
    <w:link w:val="901"/>
    <w:qFormat/>
    <w:pPr>
      <w:ind w:firstLine="3584"/>
      <w:spacing w:line="360" w:lineRule="auto"/>
      <w:tabs>
        <w:tab w:val="left" w:pos="405" w:leader="none"/>
      </w:tabs>
    </w:pPr>
  </w:style>
  <w:style w:type="paragraph" w:styleId="921">
    <w:name w:val="正文文本 2"/>
    <w:basedOn w:val="901"/>
    <w:next w:val="921"/>
    <w:link w:val="901"/>
    <w:qFormat/>
    <w:pPr>
      <w:spacing w:line="360" w:lineRule="auto"/>
    </w:pPr>
    <w:rPr>
      <w:color w:val="ff0000"/>
    </w:rPr>
  </w:style>
  <w:style w:type="paragraph" w:styleId="922">
    <w:name w:val="普通(网站)"/>
    <w:basedOn w:val="901"/>
    <w:next w:val="922"/>
    <w:link w:val="901"/>
    <w:uiPriority w:val="99"/>
    <w:qFormat/>
    <w:pPr>
      <w:jc w:val="left"/>
      <w:spacing w:beforeAutospacing="1" w:afterAutospacing="1"/>
    </w:pPr>
    <w:rPr>
      <w:rFonts w:cs="Times New Roman"/>
      <w:sz w:val="24"/>
    </w:rPr>
  </w:style>
  <w:style w:type="paragraph" w:styleId="923">
    <w:name w:val="批注主题"/>
    <w:basedOn w:val="909"/>
    <w:next w:val="909"/>
    <w:link w:val="924"/>
    <w:rPr>
      <w:b/>
      <w:bCs/>
    </w:rPr>
  </w:style>
  <w:style w:type="character" w:styleId="924">
    <w:name w:val="批注主题 字符"/>
    <w:next w:val="924"/>
    <w:link w:val="923"/>
    <w:rPr>
      <w:rFonts w:ascii="Calibri" w:hAnsi="Calibri" w:cs="Calibri"/>
      <w:b/>
      <w:bCs/>
      <w:sz w:val="21"/>
      <w:szCs w:val="24"/>
    </w:rPr>
  </w:style>
  <w:style w:type="paragraph" w:styleId="925">
    <w:name w:val="正文首行缩进 2"/>
    <w:basedOn w:val="912"/>
    <w:next w:val="925"/>
    <w:link w:val="901"/>
    <w:uiPriority w:val="99"/>
    <w:unhideWhenUsed/>
    <w:qFormat/>
    <w:pPr>
      <w:ind w:firstLine="420"/>
    </w:pPr>
  </w:style>
  <w:style w:type="table" w:styleId="926">
    <w:name w:val="网格型"/>
    <w:basedOn w:val="906"/>
    <w:next w:val="926"/>
    <w:link w:val="901"/>
    <w:qFormat/>
    <w:tblPr/>
  </w:style>
  <w:style w:type="character" w:styleId="927">
    <w:name w:val="页码"/>
    <w:next w:val="927"/>
    <w:link w:val="901"/>
    <w:qFormat/>
  </w:style>
  <w:style w:type="character" w:styleId="928">
    <w:name w:val="批注引用"/>
    <w:next w:val="928"/>
    <w:link w:val="901"/>
    <w:rPr>
      <w:sz w:val="21"/>
      <w:szCs w:val="21"/>
    </w:rPr>
  </w:style>
  <w:style w:type="paragraph" w:styleId="929">
    <w:name w:val="首行缩进"/>
    <w:basedOn w:val="901"/>
    <w:next w:val="929"/>
    <w:link w:val="901"/>
    <w:qFormat/>
    <w:pPr>
      <w:ind w:firstLine="480"/>
      <w:jc w:val="left"/>
      <w:spacing w:line="360" w:lineRule="auto"/>
    </w:pPr>
    <w:rPr>
      <w:rFonts w:ascii="宋体" w:hAnsi="宋体"/>
      <w:sz w:val="24"/>
    </w:rPr>
  </w:style>
  <w:style w:type="paragraph" w:styleId="930">
    <w:name w:val="正文首行缩进 211"/>
    <w:basedOn w:val="931"/>
    <w:next w:val="932"/>
    <w:link w:val="901"/>
    <w:qFormat/>
    <w:pPr>
      <w:ind w:left="420" w:firstLine="420"/>
      <w:spacing w:after="120" w:line="240" w:lineRule="auto"/>
    </w:pPr>
    <w:rPr>
      <w:b w:val="0"/>
      <w:szCs w:val="24"/>
    </w:rPr>
  </w:style>
  <w:style w:type="paragraph" w:styleId="931">
    <w:name w:val="正文文本缩进11"/>
    <w:basedOn w:val="901"/>
    <w:next w:val="901"/>
    <w:link w:val="901"/>
    <w:qFormat/>
    <w:pPr>
      <w:ind w:left="315" w:firstLine="632"/>
      <w:spacing w:line="360" w:lineRule="auto"/>
    </w:pPr>
    <w:rPr>
      <w:b/>
    </w:rPr>
  </w:style>
  <w:style w:type="paragraph" w:styleId="932">
    <w:name w:val="正文首行缩进11"/>
    <w:basedOn w:val="933"/>
    <w:next w:val="901"/>
    <w:link w:val="901"/>
    <w:qFormat/>
    <w:pPr>
      <w:ind w:firstLine="420"/>
      <w:spacing w:after="120" w:line="240" w:lineRule="auto"/>
    </w:pPr>
    <w:rPr>
      <w:rFonts w:ascii="Times New Roman"/>
      <w:sz w:val="26"/>
    </w:rPr>
  </w:style>
  <w:style w:type="paragraph" w:styleId="933">
    <w:name w:val="正文文本11"/>
    <w:basedOn w:val="901"/>
    <w:next w:val="934"/>
    <w:link w:val="901"/>
    <w:uiPriority w:val="99"/>
    <w:qFormat/>
    <w:pPr>
      <w:spacing w:after="120"/>
    </w:pPr>
    <w:rPr>
      <w:rFonts w:ascii="Times New Roman" w:hAnsi="Times New Roman"/>
      <w:sz w:val="20"/>
      <w:szCs w:val="20"/>
    </w:rPr>
  </w:style>
  <w:style w:type="paragraph" w:styleId="934">
    <w:name w:val="正文缩进1"/>
    <w:basedOn w:val="901"/>
    <w:next w:val="901"/>
    <w:link w:val="901"/>
    <w:qFormat/>
    <w:pPr>
      <w:ind w:firstLine="420"/>
      <w:jc w:val="left"/>
    </w:pPr>
    <w:rPr>
      <w:rFonts w:eastAsia="楷体_GB2312"/>
      <w:sz w:val="24"/>
      <w:szCs w:val="20"/>
    </w:rPr>
  </w:style>
  <w:style w:type="paragraph" w:styleId="935">
    <w:name w:val="寄信人地址111"/>
    <w:basedOn w:val="901"/>
    <w:next w:val="935"/>
    <w:link w:val="901"/>
    <w:qFormat/>
    <w:rPr>
      <w:rFonts w:ascii="Arial" w:hAnsi="Arial" w:eastAsia="楷体_GB2312"/>
      <w:sz w:val="26"/>
    </w:rPr>
  </w:style>
  <w:style w:type="paragraph" w:styleId="936">
    <w:name w:val="正文文本缩进 21"/>
    <w:basedOn w:val="901"/>
    <w:next w:val="937"/>
    <w:link w:val="901"/>
    <w:qFormat/>
    <w:pPr>
      <w:ind w:firstLine="420"/>
      <w:spacing w:line="360" w:lineRule="auto"/>
    </w:pPr>
    <w:rPr>
      <w:rFonts w:ascii="宋体" w:hAnsi="宋体"/>
    </w:rPr>
  </w:style>
  <w:style w:type="paragraph" w:styleId="937">
    <w:name w:val="索引 91"/>
    <w:basedOn w:val="901"/>
    <w:next w:val="901"/>
    <w:link w:val="901"/>
    <w:qFormat/>
    <w:pPr>
      <w:ind w:left="1600"/>
    </w:pPr>
    <w:rPr>
      <w:szCs w:val="24"/>
    </w:rPr>
  </w:style>
  <w:style w:type="paragraph" w:styleId="938">
    <w:name w:val="段"/>
    <w:basedOn w:val="939"/>
    <w:next w:val="901"/>
    <w:link w:val="901"/>
    <w:qFormat/>
    <w:pPr>
      <w:ind w:firstLine="200"/>
      <w:jc w:val="both"/>
    </w:pPr>
    <w:rPr>
      <w:rFonts w:ascii="宋体" w:hAnsi="Calibri"/>
      <w:sz w:val="21"/>
      <w:lang w:val="en-US" w:eastAsia="zh-CN" w:bidi="ar-SA"/>
    </w:rPr>
  </w:style>
  <w:style w:type="paragraph" w:styleId="939">
    <w:name w:val="正文1"/>
    <w:basedOn w:val="940"/>
    <w:next w:val="942"/>
    <w:link w:val="901"/>
    <w:qFormat/>
    <w:pPr>
      <w:ind w:left="420" w:firstLine="527"/>
      <w:spacing w:before="120" w:line="360" w:lineRule="auto"/>
    </w:pPr>
    <w:rPr>
      <w:rFonts w:ascii="宋体" w:hAnsi="宋体"/>
    </w:rPr>
  </w:style>
  <w:style w:type="paragraph" w:styleId="940">
    <w:name w:val="正文12"/>
    <w:next w:val="941"/>
    <w:link w:val="901"/>
    <w:qFormat/>
    <w:pPr>
      <w:jc w:val="both"/>
      <w:widowControl w:val="off"/>
    </w:pPr>
    <w:rPr>
      <w:rFonts w:ascii="Times New Roman" w:hAnsi="Times New Roman" w:eastAsia="宋体" w:cs="Times New Roman"/>
      <w:sz w:val="21"/>
      <w:szCs w:val="24"/>
      <w:lang w:val="en-US" w:eastAsia="zh-CN" w:bidi="ar-SA"/>
    </w:rPr>
  </w:style>
  <w:style w:type="paragraph" w:styleId="941">
    <w:name w:val="Default"/>
    <w:next w:val="941"/>
    <w:link w:val="901"/>
    <w:qFormat/>
    <w:pPr>
      <w:widowControl w:val="off"/>
    </w:pPr>
    <w:rPr>
      <w:rFonts w:ascii="宋体" w:hAnsi="Times New Roman" w:eastAsia="宋体" w:cs="宋体"/>
      <w:color w:val="000000"/>
      <w:sz w:val="24"/>
      <w:szCs w:val="24"/>
      <w:lang w:val="en-US" w:eastAsia="zh-CN" w:bidi="ar-SA"/>
    </w:rPr>
  </w:style>
  <w:style w:type="paragraph" w:styleId="942">
    <w:name w:val="正文首行缩进1"/>
    <w:basedOn w:val="943"/>
    <w:next w:val="945"/>
    <w:link w:val="901"/>
    <w:qFormat/>
    <w:pPr>
      <w:ind w:firstLine="420"/>
    </w:pPr>
    <w:rPr>
      <w:szCs w:val="22"/>
    </w:rPr>
  </w:style>
  <w:style w:type="paragraph" w:styleId="943">
    <w:name w:val="正文文本1"/>
    <w:basedOn w:val="944"/>
    <w:next w:val="901"/>
    <w:link w:val="901"/>
    <w:qFormat/>
    <w:pPr>
      <w:spacing w:after="120"/>
    </w:pPr>
  </w:style>
  <w:style w:type="paragraph" w:styleId="944">
    <w:name w:val="正文11"/>
    <w:next w:val="901"/>
    <w:link w:val="901"/>
    <w:qFormat/>
    <w:pPr>
      <w:jc w:val="both"/>
      <w:widowControl w:val="off"/>
    </w:pPr>
    <w:rPr>
      <w:rFonts w:ascii="Times New Roman" w:hAnsi="Times New Roman" w:eastAsia="宋体" w:cs="Times New Roman"/>
      <w:sz w:val="21"/>
      <w:szCs w:val="24"/>
      <w:lang w:val="en-US" w:eastAsia="zh-CN" w:bidi="ar-SA"/>
    </w:rPr>
  </w:style>
  <w:style w:type="paragraph" w:styleId="945">
    <w:name w:val="正文首行缩进 21"/>
    <w:basedOn w:val="946"/>
    <w:next w:val="939"/>
    <w:link w:val="901"/>
    <w:qFormat/>
    <w:pPr>
      <w:ind w:firstLine="420"/>
      <w:widowControl/>
    </w:pPr>
    <w:rPr>
      <w:rFonts w:ascii="仿宋_GB2312"/>
      <w:color w:val="ff6600"/>
      <w:sz w:val="21"/>
    </w:rPr>
  </w:style>
  <w:style w:type="paragraph" w:styleId="946">
    <w:name w:val="正文文本缩进1"/>
    <w:basedOn w:val="901"/>
    <w:next w:val="947"/>
    <w:link w:val="901"/>
    <w:qFormat/>
    <w:pPr>
      <w:ind w:firstLine="560"/>
      <w:spacing w:line="300" w:lineRule="auto"/>
    </w:pPr>
    <w:rPr>
      <w:sz w:val="28"/>
    </w:rPr>
  </w:style>
  <w:style w:type="paragraph" w:styleId="947">
    <w:name w:val="寄信人地址1"/>
    <w:basedOn w:val="901"/>
    <w:next w:val="947"/>
    <w:link w:val="901"/>
    <w:qFormat/>
    <w:rPr>
      <w:rFonts w:ascii="Arial" w:hAnsi="Arial"/>
    </w:rPr>
  </w:style>
  <w:style w:type="paragraph" w:styleId="948">
    <w:name w:val="一级条标题"/>
    <w:basedOn w:val="949"/>
    <w:next w:val="938"/>
    <w:link w:val="90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name w:val="章标题"/>
    <w:next w:val="901"/>
    <w:link w:val="901"/>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0">
    <w:name w:val="PlainText1"/>
    <w:basedOn w:val="901"/>
    <w:next w:val="950"/>
    <w:link w:val="901"/>
    <w:uiPriority w:val="99"/>
    <w:qFormat/>
    <w:rPr>
      <w:rFonts w:ascii="宋体" w:hAnsi="Courier New" w:eastAsia="楷体_GB2312"/>
      <w:sz w:val="28"/>
      <w:szCs w:val="20"/>
    </w:rPr>
  </w:style>
  <w:style w:type="paragraph" w:styleId="951">
    <w:name w:val="目录 51"/>
    <w:next w:val="901"/>
    <w:link w:val="901"/>
    <w:qFormat/>
    <w:pPr>
      <w:ind w:left="1275"/>
      <w:jc w:val="both"/>
    </w:pPr>
    <w:rPr>
      <w:rFonts w:ascii="Calibri" w:hAnsi="Calibri" w:eastAsia="宋体" w:cs="Times New Roman"/>
      <w:sz w:val="21"/>
      <w:lang w:val="en-US" w:eastAsia="zh-CN" w:bidi="ar-SA"/>
    </w:rPr>
  </w:style>
  <w:style w:type="paragraph" w:styleId="952">
    <w:name w:val="列表段落"/>
    <w:basedOn w:val="901"/>
    <w:next w:val="952"/>
    <w:link w:val="901"/>
    <w:uiPriority w:val="34"/>
    <w:qFormat/>
    <w:pPr>
      <w:ind w:firstLine="420"/>
    </w:pPr>
  </w:style>
  <w:style w:type="character" w:styleId="953">
    <w:name w:val="NormalCharacter1"/>
    <w:next w:val="953"/>
    <w:link w:val="901"/>
    <w:qFormat/>
  </w:style>
  <w:style w:type="paragraph" w:styleId="954">
    <w:name w:val="+标题1"/>
    <w:basedOn w:val="902"/>
    <w:next w:val="954"/>
    <w:link w:val="901"/>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5">
    <w:name w:val="纯文本13"/>
    <w:basedOn w:val="901"/>
    <w:next w:val="955"/>
    <w:link w:val="901"/>
    <w:qFormat/>
    <w:pPr>
      <w:jc w:val="left"/>
      <w:widowControl/>
    </w:pPr>
    <w:rPr>
      <w:rFonts w:ascii="宋体" w:hAnsi="Courier New" w:eastAsia="楷体_GB2312"/>
      <w:sz w:val="26"/>
      <w:lang w:eastAsia="en-US"/>
    </w:rPr>
  </w:style>
  <w:style w:type="paragraph" w:styleId="956">
    <w:name w:val="纯文本1"/>
    <w:basedOn w:val="901"/>
    <w:next w:val="956"/>
    <w:link w:val="901"/>
    <w:qFormat/>
    <w:rPr>
      <w:rFonts w:ascii="宋体" w:hAnsi="Courier New" w:eastAsia="楷体_GB2312"/>
      <w:sz w:val="26"/>
    </w:rPr>
  </w:style>
  <w:style w:type="character" w:styleId="957">
    <w:name w:val="font11"/>
    <w:basedOn w:val="905"/>
    <w:next w:val="957"/>
    <w:link w:val="901"/>
    <w:rPr>
      <w:rFonts w:hint="eastAsia" w:ascii="宋体" w:hAnsi="宋体" w:eastAsia="宋体" w:cs="宋体"/>
      <w:i w:val="0"/>
      <w:iCs w:val="0"/>
      <w:color w:val="000000"/>
      <w:sz w:val="22"/>
      <w:szCs w:val="22"/>
      <w:u w:val="none"/>
    </w:rPr>
  </w:style>
  <w:style w:type="character" w:styleId="958">
    <w:name w:val="font61"/>
    <w:basedOn w:val="905"/>
    <w:next w:val="958"/>
    <w:link w:val="901"/>
    <w:rPr>
      <w:rFonts w:ascii="Arial" w:hAnsi="Arial" w:cs="Arial"/>
      <w:i w:val="0"/>
      <w:iCs w:val="0"/>
      <w:color w:val="000000"/>
      <w:sz w:val="22"/>
      <w:szCs w:val="22"/>
      <w:u w:val="none"/>
    </w:rPr>
  </w:style>
  <w:style w:type="character" w:styleId="959">
    <w:name w:val="font71"/>
    <w:basedOn w:val="905"/>
    <w:next w:val="959"/>
    <w:link w:val="901"/>
    <w:rPr>
      <w:rFonts w:hint="eastAsia" w:ascii="宋体" w:hAnsi="宋体" w:eastAsia="宋体" w:cs="宋体"/>
      <w:i w:val="0"/>
      <w:iCs w:val="0"/>
      <w:color w:val="ff0000"/>
      <w:sz w:val="22"/>
      <w:szCs w:val="22"/>
      <w:u w:val="none"/>
    </w:rPr>
  </w:style>
  <w:style w:type="character" w:styleId="960">
    <w:name w:val="font81"/>
    <w:basedOn w:val="905"/>
    <w:next w:val="960"/>
    <w:link w:val="901"/>
    <w:rPr>
      <w:rFonts w:ascii="Calibri" w:hAnsi="Calibri" w:cs="Calibri"/>
      <w:i w:val="0"/>
      <w:iCs w:val="0"/>
      <w:color w:val="000000"/>
      <w:sz w:val="22"/>
      <w:szCs w:val="22"/>
      <w:u w:val="none"/>
    </w:rPr>
  </w:style>
  <w:style w:type="paragraph" w:styleId="961">
    <w:name w:val="p0"/>
    <w:basedOn w:val="901"/>
    <w:next w:val="961"/>
    <w:link w:val="901"/>
    <w:qFormat/>
    <w:rPr>
      <w:rFonts w:ascii="Times New Roman" w:hAnsi="Times New Roman"/>
      <w:szCs w:val="24"/>
    </w:rPr>
  </w:style>
  <w:style w:type="paragraph" w:styleId="962">
    <w:name w:val="纯文本3"/>
    <w:basedOn w:val="901"/>
    <w:next w:val="962"/>
    <w:link w:val="901"/>
    <w:qFormat/>
    <w:rPr>
      <w:rFonts w:ascii="宋体" w:hAnsi="Courier New" w:eastAsia="KaiTi_GB2312"/>
      <w:sz w:val="28"/>
      <w:szCs w:val="20"/>
    </w:rPr>
  </w:style>
  <w:style w:type="paragraph" w:styleId="963">
    <w:name w:val="纯文本11"/>
    <w:basedOn w:val="901"/>
    <w:next w:val="963"/>
    <w:link w:val="901"/>
    <w:qFormat/>
    <w:rPr>
      <w:rFonts w:ascii="宋体" w:hAnsi="Courier New" w:eastAsia="楷体_GB2312"/>
      <w:sz w:val="28"/>
      <w:szCs w:val="20"/>
    </w:rPr>
  </w:style>
  <w:style w:type="paragraph" w:styleId="964">
    <w:name w:val="正文文本缩进 311"/>
    <w:basedOn w:val="901"/>
    <w:next w:val="964"/>
    <w:link w:val="901"/>
    <w:uiPriority w:val="99"/>
    <w:qFormat/>
    <w:pPr>
      <w:ind w:firstLine="480"/>
      <w:spacing w:line="360" w:lineRule="auto"/>
      <w:widowControl/>
    </w:pPr>
    <w:rPr>
      <w:sz w:val="24"/>
    </w:rPr>
  </w:style>
  <w:style w:type="paragraph" w:styleId="965">
    <w:name w:val="标题 21"/>
    <w:basedOn w:val="901"/>
    <w:next w:val="901"/>
    <w:link w:val="901"/>
    <w:qFormat/>
    <w:pPr>
      <w:keepLines/>
      <w:keepNext/>
      <w:spacing w:before="260" w:after="260" w:line="413" w:lineRule="auto"/>
      <w:outlineLvl w:val="1"/>
    </w:pPr>
    <w:rPr>
      <w:rFonts w:ascii="Arial" w:hAnsi="Arial" w:eastAsia="黑体"/>
      <w:b/>
      <w:bCs/>
      <w:sz w:val="32"/>
      <w:szCs w:val="32"/>
    </w:rPr>
  </w:style>
  <w:style w:type="table" w:styleId="966">
    <w:name w:val="网格型2"/>
    <w:basedOn w:val="906"/>
    <w:next w:val="966"/>
    <w:link w:val="901"/>
    <w:uiPriority w:val="99"/>
    <w:qFormat/>
    <w:pPr>
      <w:jc w:val="both"/>
      <w:widowControl w:val="off"/>
    </w:pPr>
    <w:tblPr/>
  </w:style>
  <w:style w:type="paragraph" w:styleId="967">
    <w:name w:val="正文-标"/>
    <w:basedOn w:val="901"/>
    <w:next w:val="967"/>
    <w:link w:val="901"/>
    <w:qFormat/>
    <w:pPr>
      <w:ind w:firstLine="200"/>
      <w:spacing w:line="360" w:lineRule="auto"/>
    </w:pPr>
  </w:style>
  <w:style w:type="paragraph" w:styleId="968">
    <w:name w:val="Table Text"/>
    <w:basedOn w:val="901"/>
    <w:next w:val="968"/>
    <w:link w:val="901"/>
    <w:semiHidden/>
    <w:qFormat/>
    <w:rPr>
      <w:rFonts w:ascii="宋体" w:hAnsi="宋体" w:eastAsia="宋体" w:cs="宋体"/>
      <w:sz w:val="15"/>
      <w:szCs w:val="15"/>
      <w:lang w:val="en-US" w:eastAsia="en-US" w:bidi="ar-SA"/>
    </w:rPr>
  </w:style>
  <w:style w:type="table" w:styleId="969">
    <w:name w:val="Table Normal"/>
    <w:next w:val="969"/>
    <w:link w:val="901"/>
    <w:unhideWhenUsed/>
    <w:qFormat/>
    <w:tblPr/>
  </w:style>
  <w:style w:type="paragraph" w:styleId="970">
    <w:name w:val="正文文本 21"/>
    <w:basedOn w:val="901"/>
    <w:next w:val="970"/>
    <w:link w:val="901"/>
    <w:qFormat/>
    <w:pPr>
      <w:spacing w:after="120" w:line="480" w:lineRule="auto"/>
    </w:pPr>
  </w:style>
  <w:style w:type="paragraph" w:styleId="971">
    <w:name w:val="页脚1"/>
    <w:basedOn w:val="901"/>
    <w:next w:val="971"/>
    <w:link w:val="901"/>
    <w:qFormat/>
    <w:pPr>
      <w:jc w:val="left"/>
      <w:tabs>
        <w:tab w:val="center" w:pos="4153" w:leader="none"/>
        <w:tab w:val="right" w:pos="8306" w:leader="none"/>
      </w:tabs>
    </w:pPr>
    <w:rPr>
      <w:sz w:val="18"/>
      <w:szCs w:val="18"/>
    </w:rPr>
  </w:style>
  <w:style w:type="character" w:styleId="972">
    <w:name w:val="font31"/>
    <w:basedOn w:val="905"/>
    <w:next w:val="972"/>
    <w:link w:val="901"/>
    <w:qFormat/>
    <w:rPr>
      <w:rFonts w:ascii="等线" w:hAnsi="等线" w:eastAsia="等线" w:cs="等线"/>
      <w:color w:val="000000"/>
      <w:sz w:val="21"/>
      <w:szCs w:val="21"/>
      <w:u w:val="none"/>
    </w:rPr>
  </w:style>
  <w:style w:type="paragraph" w:styleId="973">
    <w:name w:val="正文缩进111"/>
    <w:basedOn w:val="901"/>
    <w:next w:val="901"/>
    <w:link w:val="901"/>
    <w:qFormat/>
    <w:pPr>
      <w:ind w:firstLine="420"/>
      <w:jc w:val="left"/>
    </w:pPr>
    <w:rPr>
      <w:rFonts w:ascii="Times New Roman" w:hAnsi="Times New Roman" w:eastAsia="楷体_GB2312"/>
      <w:sz w:val="24"/>
      <w:szCs w:val="20"/>
    </w:rPr>
  </w:style>
  <w:style w:type="character" w:styleId="974">
    <w:name w:val="font41"/>
    <w:basedOn w:val="905"/>
    <w:next w:val="974"/>
    <w:link w:val="901"/>
    <w:rPr>
      <w:rFonts w:hint="eastAsia" w:ascii="宋体" w:hAnsi="宋体" w:eastAsia="宋体" w:cs="宋体"/>
      <w:b/>
      <w:bCs/>
      <w:i w:val="0"/>
      <w:iCs w:val="0"/>
      <w:color w:val="ff0000"/>
      <w:sz w:val="32"/>
      <w:szCs w:val="32"/>
      <w:u w:val="none"/>
    </w:rPr>
  </w:style>
  <w:style w:type="character" w:styleId="975">
    <w:name w:val="font51"/>
    <w:basedOn w:val="905"/>
    <w:next w:val="975"/>
    <w:link w:val="901"/>
    <w:qFormat/>
    <w:rPr>
      <w:rFonts w:ascii="Times New Roman" w:hAnsi="Times New Roman" w:cs="Times New Roman"/>
      <w:color w:val="000000"/>
      <w:sz w:val="21"/>
      <w:szCs w:val="21"/>
      <w:u w:val="none"/>
    </w:rPr>
  </w:style>
  <w:style w:type="character" w:styleId="976" w:default="1">
    <w:name w:val="Default Paragraph Font"/>
    <w:uiPriority w:val="1"/>
    <w:semiHidden/>
    <w:unhideWhenUsed/>
  </w:style>
  <w:style w:type="numbering" w:styleId="977" w:default="1">
    <w:name w:val="No List"/>
    <w:uiPriority w:val="99"/>
    <w:semiHidden/>
    <w:unhideWhenUsed/>
  </w:style>
  <w:style w:type="table" w:styleId="9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 Id="rId1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2025-05-18T16:19:00Z</dcterms:created>
  <dcterms:modified xsi:type="dcterms:W3CDTF">2026-07-08T16:17:12Z</dcterms:modified>
</cp:coreProperties>
</file>