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630"/>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rPr>
        <w:t xml:space="preserve">JSZC-320500-HWZX-G2026-0295</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：苏州大学独墅湖校区炳麟图书馆3-5楼空调更换</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left="630"/>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left="630"/>
        <w:jc w:val="both"/>
        <w:spacing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left="630"/>
        <w:jc w:val="both"/>
        <w:spacing w:line="360" w:lineRule="auto"/>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76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8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7"/>
        <w:gridCol w:w="6843"/>
      </w:tblGrid>
      <w:tr>
        <w:trPr>
          <w:trHeight w:val="47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6"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苏州大学独墅湖校区炳麟图书馆3-5楼空调更换</w:t>
            </w:r>
            <w:r/>
          </w:p>
        </w:tc>
      </w:tr>
      <w:tr>
        <w:trPr>
          <w:trHeight w:val="62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6"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合同签订后，接采购人通知后30个工作日内交货完毕并完成安装调试</w:t>
            </w:r>
            <w:r/>
          </w:p>
        </w:tc>
      </w:tr>
      <w:tr>
        <w:trPr>
          <w:trHeight w:val="405"/>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6"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246万元人民币</w:t>
            </w:r>
            <w:r/>
          </w:p>
        </w:tc>
      </w:tr>
      <w:tr>
        <w:trPr>
          <w:trHeight w:val="90"/>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p>
        </w:tc>
        <w:tc>
          <w:tcPr>
            <w:tcMar>
              <w:left w:w="108" w:type="dxa"/>
              <w:top w:w="0" w:type="dxa"/>
              <w:right w:w="108" w:type="dxa"/>
              <w:bottom w:w="0" w:type="dxa"/>
            </w:tcMar>
            <w:tcW w:w="3686"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246万元人民币</w:t>
            </w:r>
            <w:r/>
          </w:p>
        </w:tc>
      </w:tr>
      <w:tr>
        <w:trPr>
          <w:trHeight w:val="90"/>
        </w:trPr>
        <w:tc>
          <w:tcPr>
            <w:tcMar>
              <w:left w:w="108" w:type="dxa"/>
              <w:top w:w="0" w:type="dxa"/>
              <w:right w:w="108" w:type="dxa"/>
              <w:bottom w:w="0" w:type="dxa"/>
            </w:tcMar>
            <w:tcW w:w="410"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申请人的资格要求</w:t>
            </w:r>
            <w:r/>
          </w:p>
        </w:tc>
        <w:tc>
          <w:tcPr>
            <w:tcMar>
              <w:left w:w="108" w:type="dxa"/>
              <w:top w:w="0" w:type="dxa"/>
              <w:right w:w="108" w:type="dxa"/>
              <w:bottom w:w="0" w:type="dxa"/>
            </w:tcMar>
            <w:tcW w:w="3686"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不接受进口产品投标</w:t>
            </w:r>
            <w:r/>
          </w:p>
        </w:tc>
      </w:tr>
      <w:tr>
        <w:trPr>
          <w:trHeight w:val="539"/>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6"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联系人：武老师</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联系方式：15895401797</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如需踏勘，应提前一天联系踏勘联系人，以便办理入校手续。由于未踏勘现场导致的报价失误或对</w:t>
            </w:r>
            <w:r>
              <w:rPr>
                <w:rFonts w:hint="eastAsia" w:ascii="宋体" w:hAnsi="宋体" w:eastAsia="宋体" w:cs="宋体"/>
                <w:sz w:val="24"/>
                <w:highlight w:val="none"/>
                <w:lang w:val="en-US" w:eastAsia="zh-CN"/>
              </w:rPr>
              <w:t xml:space="preserve">需求</w:t>
            </w:r>
            <w:r>
              <w:rPr>
                <w:rFonts w:hint="eastAsia" w:ascii="宋体" w:hAnsi="宋体" w:eastAsia="宋体" w:cs="宋体"/>
                <w:sz w:val="24"/>
                <w:highlight w:val="none"/>
              </w:rPr>
              <w:t xml:space="preserve">清单理解产生的歧义，其后果自行承担。</w:t>
            </w:r>
            <w:r/>
          </w:p>
        </w:tc>
      </w:tr>
      <w:tr>
        <w:trPr>
          <w:trHeight w:val="1484"/>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w:t>
            </w:r>
            <w:r>
              <w:rPr>
                <w:rFonts w:hint="eastAsia" w:ascii="宋体" w:hAnsi="宋体" w:eastAsia="宋体" w:cs="宋体"/>
                <w:sz w:val="24"/>
                <w:highlight w:val="none"/>
                <w:lang w:val="en-US" w:eastAsia="zh-CN"/>
              </w:rPr>
              <w:t xml:space="preserve">采购</w:t>
            </w:r>
            <w:r>
              <w:rPr>
                <w:rFonts w:ascii="宋体" w:hAnsi="宋体" w:eastAsia="宋体" w:cs="宋体"/>
                <w:sz w:val="24"/>
                <w:highlight w:val="none"/>
              </w:rPr>
              <w:t xml:space="preserve">公告中的联系方式及时提出，采购人或采购代理机构将予以解答，但答复内容不得涉及商业秘密。</w:t>
            </w:r>
            <w:r/>
          </w:p>
        </w:tc>
      </w:tr>
      <w:tr>
        <w:trPr>
          <w:trHeight w:val="568"/>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6"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本项目代理服务费由中标（成交）人支付，投标人报价内须包含代理服务费，支付金额</w:t>
            </w:r>
            <w:r>
              <w:rPr>
                <w:rFonts w:hint="eastAsia" w:ascii="宋体" w:hAnsi="宋体" w:eastAsia="宋体" w:cs="宋体"/>
                <w:sz w:val="24"/>
                <w:highlight w:val="none"/>
              </w:rPr>
              <w:t xml:space="preserve">按照</w:t>
            </w:r>
            <w:r>
              <w:rPr>
                <w:rFonts w:ascii="宋体" w:hAnsi="宋体" w:eastAsia="宋体" w:cs="宋体"/>
                <w:sz w:val="24"/>
                <w:highlight w:val="none"/>
              </w:rPr>
              <w:t xml:space="preserve">预算金额100万以下费率为预算金额的1.5%；预算金额100万-500万费率为预算金额的1.1%</w:t>
            </w:r>
            <w:r>
              <w:rPr>
                <w:rFonts w:hint="eastAsia" w:ascii="宋体" w:hAnsi="宋体" w:eastAsia="宋体" w:cs="宋体"/>
                <w:sz w:val="24"/>
                <w:highlight w:val="none"/>
              </w:rPr>
              <w:t xml:space="preserve">，用差额累计法计算后四折收取。</w:t>
            </w:r>
            <w:r>
              <w:rPr>
                <w:rFonts w:ascii="宋体" w:hAnsi="宋体" w:eastAsia="宋体" w:cs="宋体"/>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highlight w:val="none"/>
              </w:rPr>
              <w:t xml:space="preserve">1.2424</w:t>
            </w:r>
            <w:r>
              <w:rPr>
                <w:rFonts w:ascii="宋体" w:hAnsi="宋体" w:eastAsia="宋体" w:cs="宋体"/>
                <w:sz w:val="24"/>
                <w:highlight w:val="none"/>
              </w:rPr>
              <w:t xml:space="preserve">万元。</w:t>
            </w:r>
            <w:r/>
          </w:p>
        </w:tc>
      </w:tr>
      <w:tr>
        <w:trPr>
          <w:trHeight w:val="71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投标文件有效期</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tcMar>
              <w:left w:w="108" w:type="dxa"/>
              <w:top w:w="0" w:type="dxa"/>
              <w:right w:w="108" w:type="dxa"/>
              <w:bottom w:w="0" w:type="dxa"/>
            </w:tcMar>
            <w:tcW w:w="410"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w:t>
            </w:r>
            <w:r>
              <w:rPr>
                <w:rFonts w:ascii="SimSun" w:hAnsi="SimSun" w:eastAsia="SimSun" w:cs="SimSun"/>
                <w:color w:val="000000"/>
                <w:sz w:val="24"/>
                <w:u w:val="single"/>
              </w:rPr>
              <w:t xml:space="preserve">07月10日</w:t>
            </w:r>
            <w:r>
              <w:rPr>
                <w:rFonts w:hint="eastAsia" w:ascii="宋体" w:hAnsi="宋体" w:eastAsia="宋体" w:cs="宋体"/>
                <w:sz w:val="24"/>
                <w:highlight w:val="none"/>
                <w:u w:val="single"/>
              </w:rPr>
              <w:t xml:space="preserve">13时30分（北京时间）</w:t>
            </w:r>
            <w:r/>
          </w:p>
        </w:tc>
      </w:tr>
      <w:tr>
        <w:trPr>
          <w:trHeight w:val="399"/>
        </w:trPr>
        <w:tc>
          <w:tcPr>
            <w:tcW w:w="410" w:type="pct"/>
            <w:vAlign w:val="center"/>
            <w:vMerge w:val="continue"/>
            <w:textDirection w:val="lrTb"/>
            <w:noWrap w:val="false"/>
          </w:tcPr>
          <w:p>
            <w:pPr>
              <w:jc w:val="center"/>
              <w:spacing w:line="360" w:lineRule="auto"/>
              <w:rPr>
                <w:highlight w:val="none"/>
              </w:rP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开标时间和地点</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rPr>
              <w:t xml:space="preserve">2026年</w:t>
            </w:r>
            <w:r>
              <w:rPr>
                <w:rFonts w:ascii="SimSun" w:hAnsi="SimSun" w:eastAsia="SimSun" w:cs="SimSun"/>
                <w:color w:val="000000"/>
                <w:sz w:val="24"/>
                <w:u w:val="single"/>
              </w:rPr>
              <w:t xml:space="preserve">07月10日</w:t>
            </w:r>
            <w:r>
              <w:rPr>
                <w:rFonts w:hint="eastAsia" w:ascii="宋体" w:hAnsi="宋体" w:eastAsia="宋体" w:cs="宋体"/>
                <w:sz w:val="24"/>
                <w:highlight w:val="none"/>
                <w:u w:val="single"/>
              </w:rPr>
              <w:t xml:space="preserve">13时30分（北京时间）</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39"/>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要求确定中标供应商。</w:t>
            </w:r>
            <w:r/>
          </w:p>
        </w:tc>
      </w:tr>
      <w:tr>
        <w:trPr>
          <w:trHeight w:val="622"/>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6"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提交</w:t>
            </w:r>
            <w:r/>
          </w:p>
          <w:p>
            <w:pPr>
              <w:pStyle w:val="743"/>
              <w:spacing w:before="0" w:after="0"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金</w:t>
            </w:r>
            <w:r>
              <w:rPr>
                <w:rFonts w:hint="eastAsia" w:ascii="宋体" w:hAnsi="宋体" w:eastAsia="宋体" w:cs="宋体"/>
                <w:sz w:val="24"/>
                <w:szCs w:val="24"/>
                <w:highlight w:val="none"/>
              </w:rPr>
              <w:t xml:space="preserve">额：合同金额的10%，合同签订前，供应商需将履约保证金缴纳至指定账户。最后一笔款项支付完成，且中标单位提交申请后15个工作日内无息退还。</w:t>
            </w:r>
            <w:r/>
          </w:p>
          <w:p>
            <w:pPr>
              <w:rPr>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不提交</w:t>
            </w:r>
            <w:r/>
          </w:p>
        </w:tc>
      </w:tr>
      <w:tr>
        <w:trPr>
          <w:trHeight w:val="622"/>
        </w:trPr>
        <w:tc>
          <w:tcPr>
            <w:tcMar>
              <w:left w:w="108" w:type="dxa"/>
              <w:top w:w="0" w:type="dxa"/>
              <w:right w:w="108" w:type="dxa"/>
              <w:bottom w:w="0" w:type="dxa"/>
            </w:tcMar>
            <w:tcW w:w="410"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6"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15</w:t>
            </w:r>
            <w:r>
              <w:rPr>
                <w:rFonts w:ascii="宋体" w:hAnsi="宋体" w:eastAsia="宋体" w:cs="宋体"/>
                <w:sz w:val="24"/>
                <w:highlight w:val="none"/>
              </w:rPr>
              <w:t xml:space="preserve">日内</w:t>
            </w:r>
            <w:r/>
          </w:p>
        </w:tc>
      </w:tr>
      <w:tr>
        <w:trPr>
          <w:trHeight w:val="571"/>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6"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tcMar>
              <w:left w:w="108" w:type="dxa"/>
              <w:top w:w="0" w:type="dxa"/>
              <w:right w:w="108" w:type="dxa"/>
              <w:bottom w:w="0" w:type="dxa"/>
            </w:tcMar>
            <w:tcW w:w="41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6"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68"/>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8"/>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苏州大学独墅湖校区炳麟图书馆3-5楼空调更换</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sz w:val="24"/>
          <w:highlight w:val="none"/>
        </w:rPr>
        <w:t xml:space="preserve">2026年</w:t>
      </w:r>
      <w:r>
        <w:rPr>
          <w:rFonts w:hint="eastAsia" w:ascii="宋体" w:hAnsi="宋体" w:eastAsia="宋体" w:cs="宋体"/>
          <w:sz w:val="24"/>
          <w:highlight w:val="none"/>
        </w:rPr>
        <w:t xml:space="preserve">07月10日</w:t>
      </w:r>
      <w:r>
        <w:rPr>
          <w:rFonts w:hint="eastAsia" w:ascii="宋体" w:hAnsi="宋体" w:eastAsia="宋体" w:cs="宋体"/>
          <w:sz w:val="24"/>
          <w:highlight w:val="none"/>
        </w:rPr>
        <w:t xml:space="preserve">13时30分</w:t>
      </w:r>
      <w:r>
        <w:rPr>
          <w:rFonts w:ascii="宋体" w:hAnsi="宋体" w:eastAsia="宋体" w:cs="宋体"/>
          <w:sz w:val="24"/>
          <w:highlight w:val="none"/>
        </w:rPr>
        <w:t xml:space="preserve">（北京时间）前递交投标文件。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rPr>
        <w:t xml:space="preserve">JSZC-320500-HWZX-G2026-0295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苏州大学独墅湖校区炳麟图书馆3-5楼空调更换</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246万元人民币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246万元人民币</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采购需求：苏州大学独墅湖校区炳麟图书馆3-5楼空调更换。</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交货地点：送至采购人指定地点。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验收标准：按照货物验收相关规定，结合</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文件、投标文件、合同等项目文件约定内容对项目进行验收。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合同签订后，接采购人通知后30个工作日内交货完毕并完成安装调试。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sz w:val="24"/>
          <w:highlight w:val="none"/>
          <w:lang w:eastAsia="zh-CN"/>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本项目的特定资格要求：无</w:t>
      </w:r>
      <w:r/>
    </w:p>
    <w:p>
      <w:pPr>
        <w:pStyle w:val="759"/>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rPr>
        <w:t xml:space="preserve">2026年</w:t>
      </w:r>
      <w:r>
        <w:rPr>
          <w:rFonts w:hint="eastAsia" w:ascii="宋体" w:hAnsi="宋体" w:eastAsia="宋体" w:cs="宋体"/>
          <w:sz w:val="24"/>
          <w:highlight w:val="none"/>
        </w:rPr>
        <w:t xml:space="preserve">07月10日</w:t>
      </w:r>
      <w:r>
        <w:rPr>
          <w:rFonts w:hint="eastAsia" w:ascii="宋体" w:hAnsi="宋体" w:eastAsia="宋体" w:cs="宋体"/>
          <w:sz w:val="24"/>
          <w:highlight w:val="none"/>
        </w:rPr>
        <w:t xml:space="preserve">13时30分</w:t>
      </w:r>
      <w:r>
        <w:rPr>
          <w:rFonts w:ascii="宋体" w:hAnsi="宋体" w:eastAsia="宋体" w:cs="宋体"/>
          <w:sz w:val="24"/>
          <w:highlight w:val="none"/>
        </w:rPr>
        <w:t xml:space="preserve">（北京时间）</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p>
    <w:p>
      <w:pPr>
        <w:ind w:firstLine="482"/>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七、对本次招标提出的询问，请按以下方式联系。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采购人信息</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rPr>
          <w:rFonts w:hint="eastAsia" w:ascii="宋体" w:hAnsi="宋体" w:eastAsia="宋体" w:cs="宋体"/>
          <w:sz w:val="24"/>
          <w:highlight w:val="none"/>
        </w:rPr>
        <w:t xml:space="preserve">苏州大学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地址：</w:t>
      </w:r>
      <w:r>
        <w:rPr>
          <w:rFonts w:hint="eastAsia" w:ascii="宋体" w:hAnsi="宋体" w:eastAsia="宋体" w:cs="宋体"/>
          <w:sz w:val="24"/>
          <w:highlight w:val="none"/>
        </w:rPr>
        <w:t xml:space="preserve">苏州市姑苏区东环路50号</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联系人：陈老师</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联系方式：</w:t>
      </w:r>
      <w:r>
        <w:rPr>
          <w:rFonts w:hint="eastAsia" w:ascii="宋体" w:hAnsi="宋体" w:eastAsia="宋体" w:cs="宋体"/>
          <w:sz w:val="24"/>
          <w:highlight w:val="none"/>
        </w:rPr>
        <w:t xml:space="preserve">0512-67167481</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联系方式：0512-65160659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9.2招标文件及其更正文件不是直接从采购代理机构处获得的，招标采购单位对招标文件及其补遗的真实性、完整性不承担任何责任。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rPr>
          <w:rFonts w:hint="eastAsia" w:ascii="宋体" w:hAnsi="宋体" w:eastAsia="宋体" w:cs="宋体"/>
          <w:spacing w:val="-3"/>
          <w:sz w:val="24"/>
          <w:szCs w:val="24"/>
          <w:highlight w:val="none"/>
          <w:lang w:eastAsia="zh-CN"/>
        </w:rPr>
        <w:t xml:space="preserve">；</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0</w:t>
      </w:r>
      <w:r>
        <w:rPr>
          <w:rFonts w:hint="eastAsia" w:ascii="宋体" w:hAnsi="宋体" w:eastAsia="宋体" w:cs="宋体"/>
          <w:spacing w:val="-3"/>
          <w:sz w:val="24"/>
          <w:szCs w:val="24"/>
          <w:highlight w:val="none"/>
        </w:rPr>
        <w:t xml:space="preserve">招标文件技术部分规定提交的其他相关材料。</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1</w:t>
      </w:r>
      <w:r>
        <w:rPr>
          <w:rFonts w:hint="eastAsia" w:ascii="宋体" w:hAnsi="宋体" w:eastAsia="宋体" w:cs="宋体"/>
          <w:spacing w:val="-3"/>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2</w:t>
      </w:r>
      <w:r>
        <w:rPr>
          <w:rFonts w:hint="eastAsia" w:ascii="宋体" w:hAnsi="宋体" w:eastAsia="宋体" w:cs="宋体"/>
          <w:spacing w:val="-3"/>
          <w:sz w:val="24"/>
          <w:szCs w:val="24"/>
          <w:highlight w:val="none"/>
        </w:rPr>
        <w:t xml:space="preserve">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3</w:t>
      </w:r>
      <w:r>
        <w:rPr>
          <w:rFonts w:hint="eastAsia" w:ascii="宋体" w:hAnsi="宋体" w:eastAsia="宋体" w:cs="宋体"/>
          <w:spacing w:val="-3"/>
          <w:sz w:val="24"/>
          <w:szCs w:val="24"/>
          <w:highlight w:val="none"/>
        </w:rPr>
        <w:t xml:space="preserve">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4</w:t>
      </w:r>
      <w:r>
        <w:rPr>
          <w:rFonts w:hint="eastAsia" w:ascii="宋体" w:hAnsi="宋体" w:eastAsia="宋体" w:cs="宋体"/>
          <w:spacing w:val="-3"/>
          <w:sz w:val="24"/>
          <w:szCs w:val="24"/>
          <w:highlight w:val="none"/>
        </w:rPr>
        <w:t xml:space="preserve">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6</w:t>
      </w:r>
      <w:r>
        <w:rPr>
          <w:rFonts w:hint="eastAsia" w:ascii="宋体" w:hAnsi="宋体" w:eastAsia="宋体" w:cs="宋体"/>
          <w:spacing w:val="-3"/>
          <w:sz w:val="24"/>
          <w:szCs w:val="24"/>
          <w:highlight w:val="none"/>
        </w:rPr>
        <w:t xml:space="preserve">供应商参加政府采购活动前三年内在经营活动中没有重大违法记录的书面声明函（格式自拟）；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7</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w:t>
      </w:r>
      <w:r>
        <w:rPr>
          <w:rFonts w:hint="eastAsia" w:ascii="宋体" w:hAnsi="宋体" w:eastAsia="宋体" w:cs="宋体"/>
          <w:spacing w:val="-3"/>
          <w:sz w:val="24"/>
          <w:szCs w:val="24"/>
          <w:highlight w:val="none"/>
          <w:lang w:val="en-US" w:eastAsia="zh-CN"/>
        </w:rPr>
        <w:t xml:space="preserve">8</w:t>
      </w:r>
      <w:r>
        <w:rPr>
          <w:rFonts w:hint="eastAsia" w:ascii="宋体" w:hAnsi="宋体" w:eastAsia="宋体" w:cs="宋体"/>
          <w:spacing w:val="-3"/>
          <w:sz w:val="24"/>
          <w:szCs w:val="24"/>
          <w:highlight w:val="none"/>
        </w:rPr>
        <w:t xml:space="preserve">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19</w:t>
      </w:r>
      <w:r>
        <w:rPr>
          <w:rFonts w:hint="eastAsia" w:ascii="宋体" w:hAnsi="宋体" w:eastAsia="宋体" w:cs="宋体"/>
          <w:spacing w:val="-3"/>
          <w:sz w:val="24"/>
          <w:szCs w:val="24"/>
          <w:highlight w:val="none"/>
        </w:rPr>
        <w:t xml:space="preserve">《开标一览表》(统一格式，用于唱标)；</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20</w:t>
      </w:r>
      <w:r>
        <w:rPr>
          <w:rFonts w:hint="eastAsia" w:ascii="宋体" w:hAnsi="宋体" w:eastAsia="宋体" w:cs="宋体"/>
          <w:spacing w:val="-3"/>
          <w:sz w:val="24"/>
          <w:szCs w:val="24"/>
          <w:highlight w:val="none"/>
        </w:rPr>
        <w:t xml:space="preserve">货物清单表（含投标货物名称、数量、材质、规格、品牌型号、性能、技术指标说明与描述、质量要求等）；</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w:t>
      </w:r>
      <w:r>
        <w:rPr>
          <w:rFonts w:hint="eastAsia" w:ascii="宋体" w:hAnsi="宋体" w:eastAsia="宋体" w:cs="宋体"/>
          <w:spacing w:val="-3"/>
          <w:sz w:val="24"/>
          <w:szCs w:val="24"/>
          <w:highlight w:val="none"/>
          <w:lang w:val="en-US" w:eastAsia="zh-CN"/>
        </w:rPr>
        <w:t xml:space="preserve">21</w:t>
      </w:r>
      <w:r>
        <w:rPr>
          <w:rFonts w:hint="eastAsia" w:ascii="宋体" w:hAnsi="宋体" w:eastAsia="宋体" w:cs="宋体"/>
          <w:spacing w:val="-3"/>
          <w:sz w:val="24"/>
          <w:szCs w:val="24"/>
          <w:highlight w:val="none"/>
        </w:rPr>
        <w:t xml:space="preserve">技术规格偏离表和商务条款偏离表（详见投标文件格式）；</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lang w:val="en-US" w:eastAsia="zh-CN"/>
        </w:rPr>
        <w:t xml:space="preserve">15.22</w:t>
      </w:r>
      <w:r>
        <w:rPr>
          <w:rFonts w:hint="eastAsia" w:ascii="宋体" w:hAnsi="宋体" w:eastAsia="宋体" w:cs="宋体"/>
          <w:spacing w:val="-3"/>
          <w:sz w:val="24"/>
          <w:szCs w:val="24"/>
          <w:highlight w:val="none"/>
        </w:rPr>
        <w:t xml:space="preserve">满足“节能产品和环境标志产品”政策规定的证明材料（如属于）；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15.23供应商对招标文件其他符合性条款的响应情况。</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15.24招标文件评分标准中规定提交的其他相关材料。</w:t>
      </w:r>
      <w:bookmarkStart w:id="6" w:name="_GoBack"/>
      <w:r/>
      <w:bookmarkEnd w:id="6"/>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所有货物的供货、辅助材料、人工及五险一金、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3）投标文件载明的招标项目完成期限不满足招标文件规定；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w:t>
      </w:r>
      <w:r>
        <w:rPr>
          <w:rFonts w:ascii="宋体" w:hAnsi="宋体" w:eastAsia="宋体" w:cs="宋体"/>
          <w:sz w:val="24"/>
          <w:szCs w:val="24"/>
          <w:highlight w:val="none"/>
        </w:rPr>
        <w:t xml:space="preserve">30</w:t>
      </w:r>
      <w:r>
        <w:rPr>
          <w:rFonts w:hint="eastAsia" w:ascii="宋体" w:hAnsi="宋体" w:eastAsia="宋体" w:cs="宋体"/>
          <w:sz w:val="24"/>
          <w:szCs w:val="24"/>
          <w:highlight w:val="none"/>
        </w:rPr>
        <w:t xml:space="preserve">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或声明函未签公章的不享受相关政策。</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40.2.1促进残疾人就业和支持监狱企业发展有关政策：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并对声明的真实性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若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w:t>
      </w:r>
      <w:r>
        <w:rPr>
          <w:rFonts w:hint="eastAsia" w:ascii="宋体" w:hAnsi="宋体" w:eastAsia="宋体" w:cs="宋体"/>
          <w:b/>
          <w:bCs/>
          <w:sz w:val="24"/>
          <w:szCs w:val="24"/>
          <w:highlight w:val="none"/>
        </w:rPr>
        <w:t xml:space="preserve">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76"/>
        <w:ind w:firstLine="482"/>
        <w:spacing w:before="0" w:beforeAutospacing="0" w:after="0" w:afterAutospacing="0" w:line="360" w:lineRule="auto"/>
        <w:rPr>
          <w:rFonts w:ascii="宋体" w:hAnsi="宋体" w:eastAsia="宋体" w:cs="宋体"/>
          <w:szCs w:val="24"/>
          <w:highlight w:val="none"/>
        </w:rPr>
      </w:pPr>
      <w:r>
        <w:rPr>
          <w:rStyle w:val="782"/>
          <w:rFonts w:hint="eastAsia" w:ascii="宋体" w:hAnsi="宋体" w:eastAsia="宋体" w:cs="宋体"/>
          <w:szCs w:val="24"/>
          <w:highlight w:val="none"/>
          <w:shd w:val="clear" w:color="auto" w:fill="ffffff"/>
        </w:rPr>
        <w:t xml:space="preserve">一、本国产品标准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（一）在中国境内生产</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1.为确保产品在运输或者储存期间保持某种状态而进行的操作；</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2.为产品运输或者销售进行的包装或者展示；</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3.在产品或者其包装上粘贴或者印刷品牌、标志、标识以及其他用于区别的标记；</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4.简单的上漆、磨光和分装；</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5.其他不属于属性改变的情形。</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（二）在中国境内生产的组件成本占比达到规定比例</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76"/>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76"/>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76"/>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（三）特定产品的关键组件、关键工序符合相关要求</w:t>
      </w:r>
      <w:r/>
    </w:p>
    <w:p>
      <w:pPr>
        <w:pStyle w:val="776"/>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76"/>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76"/>
        <w:jc w:val="center"/>
        <w:spacing w:before="20" w:beforeAutospacing="0" w:after="20" w:afterAutospacing="0" w:line="320" w:lineRule="atLeast"/>
        <w:rPr>
          <w:rFonts w:ascii="宋体" w:hAnsi="宋体" w:eastAsia="宋体" w:cs="宋体"/>
          <w:sz w:val="16"/>
          <w:szCs w:val="16"/>
          <w:highlight w:val="none"/>
        </w:rPr>
      </w:pPr>
      <w:r>
        <w:rPr>
          <w:rStyle w:val="782"/>
          <w:rFonts w:hint="eastAsia" w:ascii="宋体" w:hAnsi="宋体" w:eastAsia="宋体" w:cs="宋体"/>
          <w:szCs w:val="24"/>
          <w:highlight w:val="none"/>
          <w:shd w:val="clear" w:color="auto" w:fill="ffffff"/>
        </w:rPr>
        <w:t xml:space="preserve">中国境内生产的组件成本核算基本规则</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1.产品的一级组件是指直接组成产品的组件。产品的二级组件是指直接组成产品一级组件的组件。一级组件不可分解的，视同二级组件。</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2.二级组件在中国境内生产的，其全部成本计入中国境内生产的组件成本；二级组件不在中国境内生产的，其成本不计入中国境内生产的组件成本。</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3.产品总成本和组件成本以相关会计核算数据、采购合同、进货记录等为基础进行计算。</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4.需要对成本核算规则予以进一步明确的其他有关事项，由财政部会同有关部门另行规定。</w:t>
      </w:r>
      <w:r/>
    </w:p>
    <w:p>
      <w:pPr>
        <w:pStyle w:val="776"/>
        <w:ind w:firstLine="482"/>
        <w:spacing w:before="0" w:beforeAutospacing="0" w:after="0" w:afterAutospacing="0" w:line="360" w:lineRule="auto"/>
        <w:rPr>
          <w:rFonts w:ascii="宋体" w:hAnsi="宋体" w:eastAsia="宋体" w:cs="宋体"/>
          <w:szCs w:val="24"/>
          <w:highlight w:val="none"/>
        </w:rPr>
      </w:pPr>
      <w:r>
        <w:rPr>
          <w:rStyle w:val="782"/>
          <w:rFonts w:hint="eastAsia" w:ascii="宋体" w:hAnsi="宋体" w:eastAsia="宋体" w:cs="宋体"/>
          <w:szCs w:val="24"/>
          <w:highlight w:val="none"/>
          <w:shd w:val="clear" w:color="auto" w:fill="ffffff"/>
        </w:rPr>
        <w:t xml:space="preserve">二、本国产品标准的适用范围</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6"/>
        <w:ind w:firstLine="482"/>
        <w:spacing w:before="0" w:beforeAutospacing="0" w:after="0" w:afterAutospacing="0" w:line="360" w:lineRule="auto"/>
        <w:rPr>
          <w:rFonts w:ascii="宋体" w:hAnsi="宋体" w:eastAsia="宋体" w:cs="宋体"/>
          <w:szCs w:val="24"/>
          <w:highlight w:val="none"/>
        </w:rPr>
      </w:pPr>
      <w:r>
        <w:rPr>
          <w:rStyle w:val="782"/>
          <w:rFonts w:hint="eastAsia" w:ascii="宋体" w:hAnsi="宋体" w:eastAsia="宋体" w:cs="宋体"/>
          <w:szCs w:val="24"/>
          <w:highlight w:val="none"/>
          <w:shd w:val="clear" w:color="auto" w:fill="ffffff"/>
        </w:rPr>
        <w:t xml:space="preserve">三、对本国产品的支持政策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58"/>
        <w:ind w:left="0"/>
        <w:rPr>
          <w:rFonts w:hint="eastAsia"/>
          <w:highlight w:val="none"/>
        </w:rPr>
      </w:pPr>
      <w:r>
        <w:rPr>
          <w:rFonts w:hint="eastAsia"/>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w:t>
      </w:r>
      <w:r>
        <w:rPr>
          <w:rFonts w:hint="eastAsia" w:ascii="宋体" w:hAnsi="宋体" w:eastAsia="宋体" w:cs="宋体"/>
          <w:sz w:val="24"/>
          <w:szCs w:val="24"/>
          <w:highlight w:val="none"/>
        </w:rPr>
        <w:t xml:space="preserve">报价已包含完成该项工作所需全部设备、辅材费（包括安装材料、附件、配管等）、运杂费、质量保证费、旧机拆除费、旧机抵扣费（多联机室内机折价费用不低于180元/台，多联机室外机不低于2400元/台，抵扣新机报价）、备品、备件和专用工具费用、税费（如包括关税、货物及其所用原材料、零部件的各种国内外税费）及包装、运至最终目的地的运输、保险、现场吊装、检测验收、安装、调试、技术支持与培训、售后服务与维保及相关劳务支出等工作所发生的全部费用以及供应商企业利润、税金和政策性文件规定及合同包含的所有风险、责任等各项应有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Arial" w:hAnsi="Arial" w:eastAsia="宋体" w:cs="Arial"/>
                <w:sz w:val="24"/>
                <w:highlight w:val="none"/>
                <w:u w:val="single"/>
              </w:rPr>
              <w:t xml:space="preserve">¥</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spacing w:before="240" w:after="240"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8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716"/>
        <w:gridCol w:w="822"/>
        <w:gridCol w:w="1678"/>
        <w:gridCol w:w="752"/>
        <w:gridCol w:w="752"/>
        <w:gridCol w:w="876"/>
        <w:gridCol w:w="692"/>
        <w:gridCol w:w="809"/>
        <w:gridCol w:w="754"/>
        <w:gridCol w:w="829"/>
      </w:tblGrid>
      <w:tr>
        <w:trPr>
          <w:trHeight w:val="454"/>
        </w:trPr>
        <w:tc>
          <w:tcPr>
            <w:tcMar>
              <w:left w:w="108" w:type="dxa"/>
              <w:top w:w="0" w:type="dxa"/>
              <w:right w:w="108" w:type="dxa"/>
              <w:bottom w:w="0" w:type="dxa"/>
            </w:tcMar>
            <w:tcW w:w="32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3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43"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04"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、材质、参数、尺寸等</w:t>
            </w:r>
            <w:r/>
          </w:p>
        </w:tc>
        <w:tc>
          <w:tcPr>
            <w:tcMar>
              <w:left w:w="108" w:type="dxa"/>
              <w:top w:w="0" w:type="dxa"/>
              <w:right w:w="108" w:type="dxa"/>
              <w:bottom w:w="0" w:type="dxa"/>
            </w:tcMar>
            <w:tcW w:w="40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重量</w:t>
            </w:r>
            <w:r/>
          </w:p>
        </w:tc>
        <w:tc>
          <w:tcPr>
            <w:tcMar>
              <w:left w:w="108" w:type="dxa"/>
              <w:top w:w="0" w:type="dxa"/>
              <w:right w:w="108" w:type="dxa"/>
              <w:bottom w:w="0" w:type="dxa"/>
            </w:tcMar>
            <w:tcW w:w="405"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47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3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3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0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2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8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4"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2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8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4"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2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8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4"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2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8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4"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2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8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4"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24"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8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4"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5"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7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2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4"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5"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5"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7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0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1"/>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w:t>
            </w:r>
            <w:r>
              <w:rPr>
                <w:rFonts w:ascii="Arial" w:hAnsi="Arial" w:eastAsia="宋体" w:cs="Arial"/>
                <w:sz w:val="24"/>
                <w:highlight w:val="none"/>
                <w:u w:val="single"/>
              </w:rPr>
              <w:t xml:space="preserve">¥</w:t>
            </w:r>
            <w:r>
              <w:rPr>
                <w:rFonts w:hint="eastAsia" w:ascii="宋体" w:hAnsi="宋体" w:eastAsia="宋体" w:cs="宋体"/>
                <w:sz w:val="24"/>
                <w:highlight w:val="none"/>
                <w:u w:val="single"/>
              </w:rPr>
              <w:t xml:space="preserve">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228"/>
        <w:gridCol w:w="1135"/>
        <w:gridCol w:w="1135"/>
        <w:gridCol w:w="1369"/>
        <w:gridCol w:w="1369"/>
        <w:gridCol w:w="2294"/>
      </w:tblGrid>
      <w:tr>
        <w:trPr>
          <w:trHeight w:val="525"/>
        </w:trPr>
        <w:tc>
          <w:tcPr>
            <w:tcMar>
              <w:left w:w="108" w:type="dxa"/>
              <w:top w:w="0" w:type="dxa"/>
              <w:right w:w="108" w:type="dxa"/>
              <w:bottom w:w="0" w:type="dxa"/>
            </w:tcMar>
            <w:tcW w:w="406"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66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姓名</w:t>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性别</w:t>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年龄</w:t>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学历</w:t>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工作年限</w:t>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曾</w:t>
            </w:r>
            <w:r>
              <w:rPr>
                <w:rFonts w:hint="eastAsia" w:ascii="宋体" w:hAnsi="宋体" w:eastAsia="宋体" w:cs="宋体"/>
                <w:sz w:val="24"/>
                <w:highlight w:val="none"/>
              </w:rPr>
              <w:t xml:space="preserve">参与过</w:t>
            </w:r>
            <w:r>
              <w:rPr>
                <w:rFonts w:ascii="宋体" w:hAnsi="宋体" w:eastAsia="宋体" w:cs="宋体"/>
                <w:sz w:val="24"/>
                <w:highlight w:val="none"/>
              </w:rPr>
              <w:t xml:space="preserve">的</w:t>
            </w:r>
            <w:r>
              <w:rPr>
                <w:rFonts w:hint="eastAsia" w:ascii="宋体" w:hAnsi="宋体" w:eastAsia="宋体" w:cs="宋体"/>
                <w:sz w:val="24"/>
                <w:highlight w:val="none"/>
              </w:rPr>
              <w:t xml:space="preserve">项目</w:t>
            </w:r>
            <w:r/>
          </w:p>
        </w:tc>
      </w:tr>
      <w:tr>
        <w:trPr>
          <w:trHeight w:val="915"/>
        </w:trPr>
        <w:tc>
          <w:tcPr>
            <w:tcMar>
              <w:left w:w="108" w:type="dxa"/>
              <w:top w:w="0" w:type="dxa"/>
              <w:right w:w="108" w:type="dxa"/>
              <w:bottom w:w="0" w:type="dxa"/>
            </w:tcMar>
            <w:tcW w:w="406"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6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06"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6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06"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6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06"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6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06"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6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06"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6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06"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61"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611"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7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5"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54"/>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54"/>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54"/>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54"/>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754"/>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54"/>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rPr>
          <w:rFonts w:hint="eastAsia" w:ascii="宋体" w:hAnsi="宋体" w:eastAsia="宋体" w:cs="宋体"/>
          <w:sz w:val="24"/>
          <w:highlight w:val="none"/>
        </w:rPr>
        <w:t xml:space="preserve">但上述表格不作为供应商对所投标的物关于技术及商务要求等详细描述和说明的替代。</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54"/>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7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2813"/>
        <w:gridCol w:w="1764"/>
        <w:gridCol w:w="1705"/>
        <w:gridCol w:w="1929"/>
      </w:tblGrid>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5"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918"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业主单位名称</w:t>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 </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 </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 </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 （采购单位） </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76"/>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76"/>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6"/>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84"/>
          <w:rFonts w:hint="eastAsia" w:ascii="宋体" w:hAnsi="宋体" w:eastAsia="宋体" w:cs="宋体"/>
          <w:i w:val="0"/>
          <w:szCs w:val="24"/>
          <w:highlight w:val="none"/>
          <w:u w:val="single"/>
          <w:shd w:val="clear" w:color="auto" w:fill="ffffff"/>
        </w:rPr>
        <w:t xml:space="preserve">（产品名称1）</w:t>
      </w:r>
      <w:r>
        <w:rPr>
          <w:rStyle w:val="784"/>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84"/>
          <w:rFonts w:hint="eastAsia" w:ascii="宋体" w:hAnsi="宋体" w:eastAsia="宋体" w:cs="宋体"/>
          <w:i w:val="0"/>
          <w:szCs w:val="24"/>
          <w:highlight w:val="none"/>
          <w:u w:val="single"/>
          <w:shd w:val="clear" w:color="auto" w:fill="ffffff"/>
        </w:rPr>
        <w:t xml:space="preserve">（厂名）</w:t>
      </w:r>
      <w:r>
        <w:rPr>
          <w:rStyle w:val="784"/>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8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84"/>
          <w:rFonts w:hint="eastAsia" w:ascii="宋体" w:hAnsi="宋体" w:eastAsia="宋体" w:cs="宋体"/>
          <w:i w:val="0"/>
          <w:szCs w:val="24"/>
          <w:highlight w:val="none"/>
          <w:u w:val="single"/>
          <w:shd w:val="clear" w:color="auto" w:fill="ffffff"/>
        </w:rPr>
        <w:t xml:space="preserve">（规定比例）</w:t>
      </w:r>
      <w:r>
        <w:rPr>
          <w:rStyle w:val="784"/>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（关键组件）</w:t>
      </w:r>
      <w:r>
        <w:rPr>
          <w:rStyle w:val="784"/>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8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（关键工序）</w:t>
      </w:r>
      <w:r>
        <w:rPr>
          <w:rStyle w:val="784"/>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76"/>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84"/>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8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84"/>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8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4"/>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76"/>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76"/>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76"/>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776"/>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　</w:t>
      </w:r>
      <w:r/>
    </w:p>
    <w:p>
      <w:pPr>
        <w:pStyle w:val="776"/>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76"/>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76"/>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76"/>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76"/>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76"/>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76"/>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受</w:t>
      </w:r>
      <w:r>
        <w:rPr>
          <w:rFonts w:hint="eastAsia" w:ascii="宋体" w:hAnsi="宋体" w:eastAsia="宋体" w:cs="宋体"/>
          <w:sz w:val="24"/>
          <w:szCs w:val="24"/>
          <w:highlight w:val="none"/>
        </w:rPr>
        <w:t xml:space="preserve">苏州大学</w:t>
      </w:r>
      <w:r>
        <w:rPr>
          <w:rFonts w:ascii="宋体" w:hAnsi="宋体" w:eastAsia="宋体" w:cs="宋体"/>
          <w:sz w:val="24"/>
          <w:szCs w:val="24"/>
          <w:highlight w:val="none"/>
        </w:rPr>
        <w:t xml:space="preserve">的委托，</w:t>
      </w:r>
      <w:r>
        <w:rPr>
          <w:rFonts w:hint="eastAsia" w:ascii="宋体" w:hAnsi="宋体" w:eastAsia="宋体" w:cs="宋体"/>
          <w:sz w:val="24"/>
          <w:szCs w:val="24"/>
          <w:highlight w:val="none"/>
        </w:rPr>
        <w:t xml:space="preserve">江苏海外集团国际工程咨询有限公司</w:t>
      </w:r>
      <w:r>
        <w:rPr>
          <w:rFonts w:ascii="宋体" w:hAnsi="宋体" w:eastAsia="宋体" w:cs="宋体"/>
          <w:sz w:val="24"/>
          <w:szCs w:val="24"/>
          <w:highlight w:val="none"/>
        </w:rPr>
        <w:t xml:space="preserve">作为</w:t>
      </w:r>
      <w:r>
        <w:rPr>
          <w:rFonts w:hint="eastAsia" w:ascii="宋体" w:hAnsi="宋体" w:eastAsia="宋体" w:cs="宋体"/>
          <w:sz w:val="24"/>
          <w:szCs w:val="24"/>
          <w:highlight w:val="none"/>
        </w:rPr>
        <w:t xml:space="preserve">采购代理机构，就其苏州大学独墅湖校区炳麟图书馆3-5楼空调更换进行国内公开招标。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一、采购内容</w:t>
      </w:r>
      <w:r/>
    </w:p>
    <w:p>
      <w:pPr>
        <w:pStyle w:val="757"/>
        <w:ind w:firstLine="482"/>
        <w:spacing w:after="0" w:line="360" w:lineRule="auto"/>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（一）技术说明</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多联机空调需和招标清单一致，不允许自行组合或拆分。</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所有投标空调设备冷媒须采用环保冷媒R410A。</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多联机空调机组节能性指标全年能源消耗效率APF数值满足一级能效要求。</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多联机机组具有积灰学习除霜等智能除霜技术，以保证机组冬季的制热效果。</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多联机空调具有停电再启动功能、故障代码显示等功能。</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多联机具备长时间稳定运行能力，具备在长配管情况下制热、制冷低衰减的能力。</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7.</w:t>
      </w:r>
      <w:r>
        <w:rPr>
          <w:rFonts w:hint="eastAsia" w:ascii="宋体" w:hAnsi="宋体" w:eastAsia="宋体" w:cs="宋体"/>
          <w:sz w:val="24"/>
          <w:szCs w:val="24"/>
          <w:highlight w:val="none"/>
        </w:rPr>
        <w:t xml:space="preserve">多联机空调设备室外机采用高效的换热器，换热器内部冷媒管路需采用铜管内螺纹材质优化换热效率。</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多联机空调需要进行统一远程的集中控制和管理，协议端口免费向采购人开放，使用集中控制过程中产生的数据传输流量费等相关费用均由中标单位承担（终身免费）。</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多联机空调具有高效的试运转功能。</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10.</w:t>
      </w:r>
      <w:r>
        <w:rPr>
          <w:rFonts w:hint="eastAsia" w:ascii="宋体" w:hAnsi="宋体" w:eastAsia="宋体" w:cs="宋体"/>
          <w:sz w:val="24"/>
          <w:szCs w:val="24"/>
          <w:highlight w:val="none"/>
        </w:rPr>
        <w:t xml:space="preserve">室外机外机采用顶出风型式。</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11.</w:t>
      </w:r>
      <w:r>
        <w:rPr>
          <w:rFonts w:hint="eastAsia" w:ascii="宋体" w:hAnsi="宋体" w:eastAsia="宋体" w:cs="宋体"/>
          <w:sz w:val="24"/>
          <w:szCs w:val="24"/>
          <w:highlight w:val="none"/>
        </w:rPr>
        <w:t xml:space="preserve">室内机均为冷暖型；具有冷凝水提升泵。</w:t>
      </w:r>
      <w:r/>
    </w:p>
    <w:p>
      <w:pPr>
        <w:pStyle w:val="757"/>
        <w:ind w:firstLine="480"/>
        <w:spacing w:after="0"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12.</w:t>
      </w:r>
      <w:r>
        <w:rPr>
          <w:rFonts w:hint="eastAsia" w:ascii="宋体" w:hAnsi="宋体" w:eastAsia="宋体" w:cs="宋体"/>
          <w:sz w:val="24"/>
          <w:szCs w:val="24"/>
          <w:highlight w:val="none"/>
        </w:rPr>
        <w:t xml:space="preserve">其他技术要求</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12.1电源：室外机 380V/50Hz，室内机 220V/50Hz；</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12.2保温要求：保温材料防火等级要求不低于难燃B1级；</w:t>
      </w:r>
      <w:r/>
    </w:p>
    <w:p>
      <w:pPr>
        <w:pStyle w:val="757"/>
        <w:ind w:firstLine="482"/>
        <w:spacing w:after="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注：上述所有“技术说明”需供应商提供《满足技术要求的承诺书》并加盖公章；不提供</w:t>
      </w:r>
      <w:r>
        <w:rPr>
          <w:rFonts w:hint="eastAsia" w:ascii="宋体" w:hAnsi="宋体" w:eastAsia="宋体" w:cs="宋体"/>
          <w:b/>
          <w:bCs/>
          <w:sz w:val="24"/>
          <w:szCs w:val="24"/>
          <w:highlight w:val="none"/>
          <w:lang w:val="en-US" w:eastAsia="zh-CN"/>
        </w:rPr>
        <w:t xml:space="preserve">或提供不全</w:t>
      </w:r>
      <w:r>
        <w:rPr>
          <w:rFonts w:hint="eastAsia" w:ascii="宋体" w:hAnsi="宋体" w:eastAsia="宋体" w:cs="宋体"/>
          <w:b/>
          <w:bCs/>
          <w:sz w:val="24"/>
          <w:szCs w:val="24"/>
          <w:highlight w:val="none"/>
        </w:rPr>
        <w:t xml:space="preserve">视为非实质性响应</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承诺书上传至苏采云系统内“供应商对招标文件其他符合性条款的响应情况”端口</w:t>
      </w:r>
      <w:r>
        <w:rPr>
          <w:rFonts w:hint="eastAsia" w:ascii="宋体" w:hAnsi="宋体" w:eastAsia="宋体" w:cs="宋体"/>
          <w:b/>
          <w:bCs/>
          <w:sz w:val="24"/>
          <w:szCs w:val="24"/>
          <w:highlight w:val="none"/>
        </w:rPr>
        <w:t xml:space="preserve">。</w:t>
      </w:r>
      <w:r/>
    </w:p>
    <w:p>
      <w:pPr>
        <w:pStyle w:val="757"/>
        <w:ind w:firstLine="482"/>
        <w:spacing w:after="0" w:line="360" w:lineRule="auto"/>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采购清单及技术参数</w:t>
      </w:r>
      <w:r/>
    </w:p>
    <w:p>
      <w:pPr>
        <w:pStyle w:val="757"/>
        <w:ind w:firstLine="480"/>
        <w:spacing w:after="0" w:line="360" w:lineRule="auto"/>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1.设备清单及技术参数</w:t>
      </w:r>
      <w:r/>
    </w:p>
    <w:tbl>
      <w:tblPr>
        <w:tblStyle w:val="7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2608"/>
        <w:gridCol w:w="2748"/>
        <w:gridCol w:w="727"/>
        <w:gridCol w:w="759"/>
        <w:gridCol w:w="1783"/>
      </w:tblGrid>
      <w:tr>
        <w:trPr>
          <w:trHeight w:val="283"/>
          <w:tblHeader/>
        </w:trPr>
        <w:tc>
          <w:tcPr>
            <w:tcW w:w="357"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序号</w:t>
            </w:r>
            <w:r/>
          </w:p>
        </w:tc>
        <w:tc>
          <w:tcPr>
            <w:tcW w:w="1403"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设备名称</w:t>
            </w:r>
            <w:r/>
          </w:p>
        </w:tc>
        <w:tc>
          <w:tcPr>
            <w:tcW w:w="1478"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技术规格</w:t>
            </w:r>
            <w:r/>
          </w:p>
        </w:tc>
        <w:tc>
          <w:tcPr>
            <w:tcW w:w="391"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单位</w:t>
            </w:r>
            <w:r/>
          </w:p>
        </w:tc>
        <w:tc>
          <w:tcPr>
            <w:tcW w:w="409"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数量</w:t>
            </w:r>
            <w:r/>
          </w:p>
        </w:tc>
        <w:tc>
          <w:tcPr>
            <w:tcW w:w="959"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备注</w:t>
            </w:r>
            <w:r/>
          </w:p>
        </w:tc>
      </w:tr>
      <w:tr>
        <w:trPr>
          <w:trHeight w:val="283"/>
        </w:trPr>
        <w:tc>
          <w:tcPr>
            <w:tcW w:w="357"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w:t>
            </w:r>
            <w:r/>
          </w:p>
        </w:tc>
        <w:tc>
          <w:tcPr>
            <w:tcW w:w="1403"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空调室外机（44匹）</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制冷量≥123.0kw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4</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VRV-3-1</w:t>
            </w:r>
            <w:r/>
          </w:p>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VRV-3-2</w:t>
            </w:r>
            <w:r/>
          </w:p>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VRV-5-1</w:t>
            </w:r>
            <w:r/>
          </w:p>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VRV-5-2</w:t>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制冷功率≤35.0kw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制热量≥138.0kw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制热功率≤34.0kw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380"/>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最大运行噪音≤65dB（A）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w:t>
            </w:r>
            <w:r/>
          </w:p>
        </w:tc>
        <w:tc>
          <w:tcPr>
            <w:tcW w:w="1403"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空调室外机（50匹）</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制冷量≥140.0kw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VRV-3-3</w:t>
            </w:r>
            <w:r/>
          </w:p>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VRV-3-4</w:t>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制冷功率≤38.0kw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制热量≥156.0kw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415"/>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制热功率≤38.0kw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最大运行噪音≤66dB（A）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w:t>
            </w:r>
            <w:r/>
          </w:p>
        </w:tc>
        <w:tc>
          <w:tcPr>
            <w:tcW w:w="1403"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空调室外机（52匹）</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制冷量≥146.0kw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VRV-5-3</w:t>
            </w:r>
            <w:r/>
          </w:p>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VRV-5-4</w:t>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制冷功率≤39.5kw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制热量≥162.0kw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358"/>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制热功率≤39.5kw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最大运行噪音≤66dB（A）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4</w:t>
            </w:r>
            <w:r/>
          </w:p>
        </w:tc>
        <w:tc>
          <w:tcPr>
            <w:tcW w:w="1403"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空调室外机（54匹）</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制冷量≥155.0kw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VRV-4-3</w:t>
            </w:r>
            <w:r/>
          </w:p>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VRV-4-4</w:t>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制冷功率≤39.5kw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制热量≥172.0kw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32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制热功率≤40.5kw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最大运行噪音≤66dB（A）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5</w:t>
            </w:r>
            <w:r/>
          </w:p>
        </w:tc>
        <w:tc>
          <w:tcPr>
            <w:tcW w:w="1403"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空调室外机（60匹）</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w:t>
            </w:r>
            <w:r>
              <w:rPr>
                <w:rFonts w:ascii="宋体" w:hAnsi="宋体" w:eastAsia="宋体" w:cs="宋体"/>
                <w:szCs w:val="21"/>
                <w:highlight w:val="none"/>
                <w:lang w:bidi="ar"/>
              </w:rPr>
              <w:t xml:space="preserve">170</w:t>
            </w:r>
            <w:r>
              <w:rPr>
                <w:rFonts w:hint="eastAsia" w:ascii="宋体" w:hAnsi="宋体" w:eastAsia="宋体" w:cs="宋体"/>
                <w:szCs w:val="21"/>
                <w:highlight w:val="none"/>
                <w:lang w:bidi="ar"/>
              </w:rPr>
              <w:t xml:space="preserve">.0kw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VRV-4-1</w:t>
            </w:r>
            <w:r/>
          </w:p>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rPr>
              <w:t xml:space="preserve">VRV-4-2</w:t>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制冷功率≤45.0kw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制热量≥19</w:t>
            </w:r>
            <w:r>
              <w:rPr>
                <w:rFonts w:ascii="宋体" w:hAnsi="宋体" w:eastAsia="宋体" w:cs="宋体"/>
                <w:szCs w:val="21"/>
                <w:highlight w:val="none"/>
                <w:lang w:bidi="ar"/>
              </w:rPr>
              <w:t xml:space="preserve">0</w:t>
            </w:r>
            <w:r>
              <w:rPr>
                <w:rFonts w:hint="eastAsia" w:ascii="宋体" w:hAnsi="宋体" w:eastAsia="宋体" w:cs="宋体"/>
                <w:szCs w:val="21"/>
                <w:highlight w:val="none"/>
                <w:lang w:bidi="ar"/>
              </w:rPr>
              <w:t xml:space="preserve">.0kw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77"/>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制热功率≤46.0kw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最大运行噪音≤66dB（A）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6</w:t>
            </w:r>
            <w:r/>
          </w:p>
        </w:tc>
        <w:tc>
          <w:tcPr>
            <w:tcW w:w="1403"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四面出风嵌入式内机</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制冷量≥7.1kw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4</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制热量≥8.0kw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389"/>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额定功率≤0.06kw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最大运行噪音≤39dB（A）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最小运行风量≥11m³/min</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7</w:t>
            </w:r>
            <w:r/>
          </w:p>
        </w:tc>
        <w:tc>
          <w:tcPr>
            <w:tcW w:w="1403"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四面出风嵌入式内机</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制冷量≥9.0kw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4</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制热量≥10.0kw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306"/>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额定功率≤0.12kw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最大运行噪音≤41dB（A）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最小运行风量≥14.5m³/min</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8</w:t>
            </w:r>
            <w:r/>
          </w:p>
        </w:tc>
        <w:tc>
          <w:tcPr>
            <w:tcW w:w="1403"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四面出风嵌入式内机</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制冷量≥11.2kw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4</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制热量≥12.5kw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341"/>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额定功率≤0.12kw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最大运行噪音≤44dB（A）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最小运行风量≥16m³/min</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9</w:t>
            </w:r>
            <w:r/>
          </w:p>
        </w:tc>
        <w:tc>
          <w:tcPr>
            <w:tcW w:w="1403" w:type="pct"/>
            <w:vAlign w:val="center"/>
            <w:vMerge w:val="restart"/>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四面出风嵌入式内机</w:t>
            </w:r>
            <w:r/>
          </w:p>
        </w:tc>
        <w:tc>
          <w:tcPr>
            <w:tcW w:w="1478" w:type="pct"/>
            <w:vAlign w:val="center"/>
            <w:textDirection w:val="lrTb"/>
            <w:noWrap w:val="false"/>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制冷量≥16.0kw</w:t>
            </w:r>
            <w:r/>
          </w:p>
        </w:tc>
        <w:tc>
          <w:tcPr>
            <w:tcW w:w="391"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台</w:t>
            </w:r>
            <w:r/>
          </w:p>
        </w:tc>
        <w:tc>
          <w:tcPr>
            <w:tcW w:w="409" w:type="pct"/>
            <w:vAlign w:val="center"/>
            <w:vMerge w:val="restart"/>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104</w:t>
            </w:r>
            <w:r/>
          </w:p>
        </w:tc>
        <w:tc>
          <w:tcPr>
            <w:tcW w:w="959" w:type="pct"/>
            <w:vAlign w:val="center"/>
            <w:vMerge w:val="restart"/>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制热量≥18.0kw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额定功率≤0.12kw</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310"/>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最大运行噪音≤49dB（A）</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03" w:type="pct"/>
            <w:vAlign w:val="center"/>
            <w:vMerge w:val="continue"/>
            <w:textDirection w:val="lrTb"/>
            <w:noWrap w:val="false"/>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1478" w:type="pct"/>
            <w:vAlign w:val="center"/>
            <w:textDirection w:val="lrTb"/>
            <w:noWrap/>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最小运行风量≥20m³/min</w:t>
            </w:r>
            <w:r/>
          </w:p>
        </w:tc>
        <w:tc>
          <w:tcPr>
            <w:tcW w:w="391"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40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c>
          <w:tcPr>
            <w:tcW w:w="959" w:type="pct"/>
            <w:vAlign w:val="center"/>
            <w:vMerge w:val="continue"/>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r>
        <w:trPr>
          <w:trHeight w:val="283"/>
        </w:trPr>
        <w:tc>
          <w:tcPr>
            <w:tcW w:w="357"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10</w:t>
            </w:r>
            <w:r/>
          </w:p>
        </w:tc>
        <w:tc>
          <w:tcPr>
            <w:tcW w:w="1403"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线控器</w:t>
            </w:r>
            <w:r/>
          </w:p>
        </w:tc>
        <w:tc>
          <w:tcPr>
            <w:tcW w:w="1478" w:type="pct"/>
            <w:vAlign w:val="center"/>
            <w:textDirection w:val="lrTb"/>
            <w:noWrap/>
          </w:tcPr>
          <w:p>
            <w:pP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有线控制器</w:t>
            </w:r>
            <w:r/>
          </w:p>
        </w:tc>
        <w:tc>
          <w:tcPr>
            <w:tcW w:w="391"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个</w:t>
            </w:r>
            <w:r/>
          </w:p>
        </w:tc>
        <w:tc>
          <w:tcPr>
            <w:tcW w:w="40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70</w:t>
            </w:r>
            <w:r/>
          </w:p>
        </w:tc>
        <w:tc>
          <w:tcPr>
            <w:tcW w:w="959"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trHeight w:val="283"/>
        </w:trPr>
        <w:tc>
          <w:tcPr>
            <w:tcW w:w="357"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W w:w="1403"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集控系统</w:t>
            </w:r>
            <w:r/>
          </w:p>
        </w:tc>
        <w:tc>
          <w:tcPr>
            <w:tcW w:w="1478" w:type="pct"/>
            <w:vAlign w:val="center"/>
            <w:textDirection w:val="lrTb"/>
            <w:noWrap/>
          </w:tcPr>
          <w:p>
            <w:pP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5G物联网</w:t>
            </w:r>
            <w:r/>
          </w:p>
          <w:p>
            <w:pPr>
              <w:spacing w:line="288" w:lineRule="auto"/>
              <w:rPr>
                <w:rFonts w:ascii="宋体" w:hAnsi="宋体" w:eastAsia="宋体" w:cs="宋体"/>
                <w:szCs w:val="21"/>
                <w:highlight w:val="none"/>
                <w:lang w:bidi="ar"/>
              </w:rPr>
            </w:pPr>
            <w:r>
              <w:rPr>
                <w:rFonts w:hint="eastAsia" w:ascii="宋体" w:hAnsi="宋体" w:eastAsia="宋体" w:cs="宋体"/>
                <w:szCs w:val="21"/>
                <w:highlight w:val="none"/>
              </w:rPr>
              <w:t xml:space="preserve">多联机空调需要进行统一远程的集中控制和管理，协议端口向采购人开放。</w:t>
            </w:r>
            <w:r/>
          </w:p>
        </w:tc>
        <w:tc>
          <w:tcPr>
            <w:tcW w:w="391"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W w:w="40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w:t>
            </w:r>
            <w:r/>
          </w:p>
        </w:tc>
        <w:tc>
          <w:tcPr>
            <w:tcW w:w="959" w:type="pct"/>
            <w:vAlign w:val="center"/>
            <w:textDirection w:val="lrTb"/>
            <w:noWrap/>
          </w:tcPr>
          <w:p>
            <w:pPr>
              <w:jc w:val="center"/>
              <w:spacing w:line="288" w:lineRule="auto"/>
              <w:rPr>
                <w:rFonts w:ascii="宋体" w:hAnsi="宋体" w:eastAsia="宋体" w:cs="宋体"/>
                <w:szCs w:val="21"/>
                <w:highlight w:val="none"/>
              </w:rPr>
            </w:pPr>
            <w:r>
              <w:rPr>
                <w:rFonts w:ascii="宋体" w:hAnsi="宋体" w:eastAsia="宋体" w:cs="宋体"/>
                <w:szCs w:val="21"/>
                <w:highlight w:val="none"/>
              </w:rPr>
            </w:r>
            <w:r/>
          </w:p>
        </w:tc>
      </w:tr>
    </w:tbl>
    <w:p>
      <w:pPr>
        <w:pStyle w:val="757"/>
        <w:ind w:firstLine="482"/>
        <w:spacing w:before="120" w:after="0" w:line="360" w:lineRule="auto"/>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供应商所投产品的</w:t>
      </w:r>
      <w:r>
        <w:rPr>
          <w:rFonts w:hint="eastAsia" w:ascii="宋体" w:hAnsi="宋体"/>
          <w:b/>
          <w:bCs/>
          <w:spacing w:val="-6"/>
          <w:sz w:val="24"/>
          <w:szCs w:val="24"/>
          <w:highlight w:val="none"/>
        </w:rPr>
        <w:t xml:space="preserve">技术参数负偏离不能超过5</w:t>
      </w:r>
      <w:r>
        <w:rPr>
          <w:rFonts w:ascii="宋体" w:hAnsi="宋体"/>
          <w:b/>
          <w:bCs/>
          <w:spacing w:val="-6"/>
          <w:sz w:val="24"/>
          <w:szCs w:val="24"/>
          <w:highlight w:val="none"/>
        </w:rPr>
        <w:t xml:space="preserve">%</w:t>
      </w:r>
      <w:r>
        <w:rPr>
          <w:rFonts w:hint="eastAsia" w:ascii="宋体" w:hAnsi="宋体"/>
          <w:b/>
          <w:bCs/>
          <w:spacing w:val="-6"/>
          <w:sz w:val="24"/>
          <w:szCs w:val="24"/>
          <w:highlight w:val="none"/>
        </w:rPr>
        <w:t xml:space="preserve">，</w:t>
      </w:r>
      <w:r>
        <w:rPr>
          <w:rFonts w:hint="eastAsia" w:ascii="宋体" w:hAnsi="宋体"/>
          <w:b/>
          <w:bCs/>
          <w:spacing w:val="-6"/>
          <w:sz w:val="24"/>
          <w:szCs w:val="24"/>
          <w:highlight w:val="none"/>
          <w:lang w:val="en-US" w:eastAsia="zh-CN"/>
        </w:rPr>
        <w:t xml:space="preserve">否则</w:t>
      </w:r>
      <w:r>
        <w:rPr>
          <w:rFonts w:hint="eastAsia" w:ascii="宋体" w:hAnsi="宋体"/>
          <w:b/>
          <w:bCs/>
          <w:spacing w:val="-6"/>
          <w:sz w:val="24"/>
          <w:szCs w:val="24"/>
          <w:highlight w:val="none"/>
        </w:rPr>
        <w:t xml:space="preserve">为</w:t>
      </w:r>
      <w:r>
        <w:rPr>
          <w:rFonts w:hint="eastAsia" w:ascii="宋体" w:hAnsi="宋体"/>
          <w:b/>
          <w:bCs/>
          <w:spacing w:val="-6"/>
          <w:sz w:val="24"/>
          <w:szCs w:val="24"/>
          <w:highlight w:val="none"/>
          <w:lang w:val="en-US" w:eastAsia="zh-CN"/>
        </w:rPr>
        <w:t xml:space="preserve">非实质性响应</w:t>
      </w:r>
      <w:r>
        <w:rPr>
          <w:rFonts w:hint="eastAsia" w:ascii="宋体" w:hAnsi="宋体"/>
          <w:b/>
          <w:bCs/>
          <w:spacing w:val="-6"/>
          <w:sz w:val="24"/>
          <w:szCs w:val="24"/>
          <w:highlight w:val="none"/>
        </w:rPr>
        <w:t xml:space="preserve">。</w:t>
      </w:r>
      <w:r/>
    </w:p>
    <w:p>
      <w:pPr>
        <w:pStyle w:val="757"/>
        <w:ind w:firstLine="480"/>
        <w:spacing w:before="120" w:after="0" w:line="360" w:lineRule="auto"/>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2.配套辅材及安装、拆除及装饰修复清单</w:t>
      </w:r>
      <w:r/>
    </w:p>
    <w:p>
      <w:pPr>
        <w:pStyle w:val="757"/>
        <w:ind w:firstLine="480"/>
        <w:spacing w:after="0" w:line="360" w:lineRule="auto"/>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（1）配套辅材及安装、装饰拆除修复等</w:t>
      </w:r>
      <w:r/>
    </w:p>
    <w:tbl>
      <w:tblPr>
        <w:tblStyle w:val="752"/>
        <w:tblW w:w="499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324"/>
        <w:gridCol w:w="3788"/>
        <w:gridCol w:w="760"/>
        <w:gridCol w:w="834"/>
        <w:gridCol w:w="799"/>
      </w:tblGrid>
      <w:tr>
        <w:trPr>
          <w:jc w:val="center"/>
          <w:trHeight w:val="420"/>
          <w:tblHeader/>
        </w:trPr>
        <w:tc>
          <w:tcPr>
            <w:tcW w:w="419" w:type="pct"/>
            <w:vAlign w:val="center"/>
            <w:textDirection w:val="lrTb"/>
            <w:noWrap/>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序号</w:t>
            </w:r>
            <w:r/>
          </w:p>
        </w:tc>
        <w:tc>
          <w:tcPr>
            <w:tcW w:w="1251"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名称</w:t>
            </w:r>
            <w:r/>
          </w:p>
        </w:tc>
        <w:tc>
          <w:tcPr>
            <w:tcW w:w="2039"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规格参数</w:t>
            </w:r>
            <w:r/>
          </w:p>
        </w:tc>
        <w:tc>
          <w:tcPr>
            <w:tcW w:w="409"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单位</w:t>
            </w:r>
            <w:r/>
          </w:p>
        </w:tc>
        <w:tc>
          <w:tcPr>
            <w:tcW w:w="449"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数量</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hint="eastAsia" w:ascii="宋体" w:hAnsi="宋体" w:eastAsia="宋体" w:cs="宋体"/>
                <w:b/>
                <w:bCs/>
                <w:szCs w:val="21"/>
                <w:highlight w:val="none"/>
                <w:lang w:bidi="ar"/>
              </w:rPr>
              <w:t xml:space="preserve">备注</w:t>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Φ9.52</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*0.6</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646</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Φ12.7</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*0.7</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127</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Φ15.88</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*0.8</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632</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4</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Φ19.05</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*0.9</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726</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5</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Φ22.2</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95</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6</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Φ25.4</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37</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7</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Φ28.6</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224</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8</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Φ31.8</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*1.1</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75</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9</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Φ38.1</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*1.3</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507</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10</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Φ41.3</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*1.3</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170</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11</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Φ44.5</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*1.3</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94</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12</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Φ9.5</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*15</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803</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13</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Φ12.7</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*15</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178</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14</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Φ15.9</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*15</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762</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15</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Φ19</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*15</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235</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16</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Φ22</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*20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366</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17</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Φ25</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*20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85</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18</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Φ28</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*20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316</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19</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Φ32</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*20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88</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20</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Φ38</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*20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38</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21</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Φ41</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*20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170</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22</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冷媒管保温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Φ45</w:t>
            </w:r>
            <w:r>
              <w:rPr>
                <w:rFonts w:hint="eastAsia" w:ascii="宋体" w:hAnsi="宋体" w:eastAsia="宋体" w:cs="宋体"/>
                <w:szCs w:val="21"/>
                <w:highlight w:val="none"/>
                <w:lang w:val="en-US" w:eastAsia="zh-CN" w:bidi="ar"/>
              </w:rPr>
              <w:t xml:space="preserve">mm</w:t>
            </w:r>
            <w:r>
              <w:rPr>
                <w:rFonts w:hint="eastAsia" w:ascii="宋体" w:hAnsi="宋体" w:eastAsia="宋体" w:cs="宋体"/>
                <w:szCs w:val="21"/>
                <w:highlight w:val="none"/>
                <w:lang w:bidi="ar"/>
              </w:rPr>
              <w:t xml:space="preserve">*20</w:t>
            </w:r>
            <w:r>
              <w:rPr>
                <w:rFonts w:hint="eastAsia" w:ascii="宋体" w:hAnsi="宋体" w:eastAsia="宋体" w:cs="宋体"/>
                <w:szCs w:val="21"/>
                <w:highlight w:val="none"/>
                <w:lang w:val="en-US" w:eastAsia="zh-CN" w:bidi="ar"/>
              </w:rPr>
              <w:t xml:space="preserve">mm</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185</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23</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UPVC冷凝排水管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DN25</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312</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24</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UPVC冷凝排水管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DN32</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499</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25</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UPVC冷凝排水管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DN40</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99</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26</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UPVC冷凝排水管保温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DN25</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900</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27</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UPVC冷凝排水管保温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DN32</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600</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28</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UPVC冷凝排水管保温</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DN40</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95</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29</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分歧管</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套</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104</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30</w:t>
            </w:r>
            <w:r/>
          </w:p>
        </w:tc>
        <w:tc>
          <w:tcPr>
            <w:tcW w:w="1251"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控制线</w:t>
            </w:r>
            <w:r/>
          </w:p>
        </w:tc>
        <w:tc>
          <w:tcPr>
            <w:tcW w:w="203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RVV-2*0.75</w:t>
            </w:r>
            <w:r/>
          </w:p>
        </w:tc>
        <w:tc>
          <w:tcPr>
            <w:tcW w:w="40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rPr>
            </w:pPr>
            <w:r>
              <w:rPr>
                <w:rFonts w:hint="eastAsia" w:ascii="宋体" w:hAnsi="宋体" w:eastAsia="宋体" w:cs="宋体"/>
                <w:szCs w:val="21"/>
                <w:highlight w:val="none"/>
                <w:lang w:bidi="ar"/>
              </w:rPr>
              <w:t xml:space="preserve">2088</w:t>
            </w:r>
            <w:r/>
          </w:p>
        </w:tc>
        <w:tc>
          <w:tcPr>
            <w:tcW w:w="430" w:type="pct"/>
            <w:vAlign w:val="center"/>
            <w:textDirection w:val="lrTb"/>
            <w:noWrap w:val="false"/>
          </w:tcPr>
          <w:p>
            <w:pPr>
              <w:jc w:val="center"/>
              <w:spacing w:line="288" w:lineRule="auto"/>
              <w:rPr>
                <w:rFonts w:ascii="宋体" w:hAnsi="宋体" w:eastAsia="宋体" w:cs="宋体"/>
                <w:b/>
                <w:bCs/>
                <w:szCs w:val="21"/>
                <w:highlight w:val="none"/>
              </w:rPr>
            </w:pPr>
            <w:r>
              <w:rPr>
                <w:rFonts w:ascii="宋体" w:hAnsi="宋体" w:eastAsia="宋体" w:cs="宋体"/>
                <w:b/>
                <w:bCs/>
                <w:szCs w:val="21"/>
                <w:highlight w:val="none"/>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31</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屏蔽信号线</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RVVP-2*0.75</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2076</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32</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PVC线管</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Φ20</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2088</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33</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填充冷媒剂</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R410A</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Kg</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360</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51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34</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空调内机电源</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YJV3*2.5mm²</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1178</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35</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空调外机电源</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YJV3*25+2*16mm²</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548</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36</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空调外机电源</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YJV3*35+2*16mm²</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米</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552</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37</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外机电源开关</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100A</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只</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8</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38</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外机电源开关</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80A</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只</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39</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管路桥架利旧</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整体检修，含除锈、刷漆</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40</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其它零散辅材</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含氧气、乙炔、氮气，开孔及修补，胶带,组合膨胀,减震垫,扎带,银焊条等</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41</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多联式内机</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安装、就位费</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116</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42</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室外机</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安装、就位费</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12</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43</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吊车</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44</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系统调试费</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45</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屋顶二次防水</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楼顶空调外机基础区域进行二次防水处理</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W w:w="419"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46</w:t>
            </w:r>
            <w:r/>
          </w:p>
        </w:tc>
        <w:tc>
          <w:tcPr>
            <w:tcW w:w="125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装饰拆除及修复</w:t>
            </w:r>
            <w:r/>
          </w:p>
        </w:tc>
        <w:tc>
          <w:tcPr>
            <w:tcW w:w="203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含室内、过道吊顶、楼层管道井等装饰破拆及恢复原貌</w:t>
            </w:r>
            <w:r/>
          </w:p>
        </w:tc>
        <w:tc>
          <w:tcPr>
            <w:tcW w:w="40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W w:w="44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W w:w="430"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bl>
    <w:p>
      <w:pPr>
        <w:pStyle w:val="757"/>
        <w:ind w:firstLine="420"/>
        <w:spacing w:before="120" w:after="0" w:line="360" w:lineRule="auto"/>
        <w:rPr>
          <w:rFonts w:ascii="宋体" w:hAnsi="宋体" w:eastAsia="宋体" w:cs="宋体"/>
          <w:szCs w:val="21"/>
          <w:highlight w:val="none"/>
        </w:rPr>
        <w:outlineLvl w:val="3"/>
      </w:pPr>
      <w:r>
        <w:rPr>
          <w:rFonts w:hint="eastAsia" w:ascii="宋体" w:hAnsi="宋体" w:eastAsia="宋体" w:cs="宋体"/>
          <w:szCs w:val="21"/>
          <w:highlight w:val="none"/>
        </w:rPr>
        <w:t xml:space="preserve">（2）旧空调系统拆除及折旧处理</w:t>
      </w:r>
      <w:r/>
    </w:p>
    <w:tbl>
      <w:tblPr>
        <w:tblStyle w:val="752"/>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56"/>
        <w:gridCol w:w="2213"/>
        <w:gridCol w:w="3859"/>
        <w:gridCol w:w="749"/>
        <w:gridCol w:w="884"/>
        <w:gridCol w:w="723"/>
      </w:tblGrid>
      <w:tr>
        <w:trPr>
          <w:jc w:val="center"/>
          <w:trHeight w:val="42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备注</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旧空调设备拆除</w:t>
            </w:r>
            <w:r/>
          </w:p>
        </w:tc>
        <w:tc>
          <w:tcPr>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含设备及原有管线、拆除、搬运及施工垃圾清运处理</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多联机内机折旧</w:t>
            </w:r>
            <w:r/>
          </w:p>
        </w:tc>
        <w:tc>
          <w:tcPr>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91"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多联机外机折旧</w:t>
            </w:r>
            <w:r/>
          </w:p>
        </w:tc>
        <w:tc>
          <w:tcPr>
            <w:tcBorders>
              <w:top w:val="single" w:color="000000" w:sz="4" w:space="0"/>
              <w:left w:val="single" w:color="000000" w:sz="4" w:space="0"/>
              <w:bottom w:val="single" w:color="000000" w:sz="4" w:space="0"/>
              <w:right w:val="single" w:color="000000" w:sz="4" w:space="0"/>
            </w:tcBorders>
            <w:tcW w:w="2077"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spacing w:line="288" w:lineRule="auto"/>
              <w:rPr>
                <w:rFonts w:ascii="宋体" w:hAnsi="宋体" w:eastAsia="宋体" w:cs="宋体"/>
                <w:szCs w:val="21"/>
                <w:highlight w:val="none"/>
                <w:lang w:bidi="ar"/>
              </w:rPr>
            </w:pPr>
            <w:r>
              <w:rPr>
                <w:rFonts w:hint="eastAsia" w:ascii="宋体" w:hAnsi="宋体" w:eastAsia="宋体" w:cs="宋体"/>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spacing w:line="288" w:lineRule="auto"/>
              <w:rPr>
                <w:rFonts w:ascii="宋体" w:hAnsi="宋体" w:eastAsia="宋体" w:cs="宋体"/>
                <w:szCs w:val="21"/>
                <w:highlight w:val="none"/>
                <w:lang w:bidi="ar"/>
              </w:rPr>
            </w:pPr>
            <w:r>
              <w:rPr>
                <w:rFonts w:ascii="宋体" w:hAnsi="宋体" w:eastAsia="宋体" w:cs="宋体"/>
                <w:szCs w:val="21"/>
                <w:highlight w:val="none"/>
                <w:lang w:bidi="ar"/>
              </w:rPr>
            </w:r>
            <w:r/>
          </w:p>
        </w:tc>
      </w:tr>
    </w:tbl>
    <w:p>
      <w:pPr>
        <w:ind w:firstLine="482"/>
        <w:spacing w:before="120" w:line="360" w:lineRule="auto"/>
        <w:rPr>
          <w:rFonts w:hint="default" w:ascii="宋体" w:hAnsi="宋体" w:eastAsia="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1.本项目核心产品为本项目采购的多联机空调产品；</w:t>
      </w:r>
      <w:r/>
    </w:p>
    <w:p>
      <w:pPr>
        <w:ind w:firstLine="482"/>
        <w:spacing w:before="120"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以上清单供参考，详细情况以现场勘查为准。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三、综合说明：</w:t>
      </w:r>
      <w:r/>
    </w:p>
    <w:p>
      <w:pPr>
        <w:pStyle w:val="757"/>
        <w:ind w:firstLine="482"/>
        <w:spacing w:after="0"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1.为保证产品质量、稳定性及兼容性，所投产品的室内机和室外机须为同一品牌，否则为非实质性响应</w:t>
      </w:r>
      <w:r>
        <w:rPr>
          <w:rFonts w:hint="eastAsia" w:ascii="宋体" w:hAnsi="宋体" w:eastAsia="宋体" w:cs="宋体"/>
          <w:sz w:val="24"/>
          <w:szCs w:val="24"/>
          <w:highlight w:val="none"/>
        </w:rPr>
        <w:t xml:space="preserve">。</w:t>
      </w:r>
      <w:r/>
    </w:p>
    <w:p>
      <w:pPr>
        <w:pStyle w:val="757"/>
        <w:ind w:firstLine="482"/>
        <w:spacing w:after="0"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2.本项目拟采购的</w:t>
      </w:r>
      <w:r>
        <w:rPr>
          <w:rFonts w:hint="eastAsia" w:ascii="宋体" w:hAnsi="宋体" w:eastAsia="宋体" w:cs="宋体"/>
          <w:b/>
          <w:bCs/>
          <w:sz w:val="24"/>
          <w:szCs w:val="24"/>
          <w:highlight w:val="none"/>
          <w:lang w:val="en-US" w:eastAsia="zh-CN"/>
        </w:rPr>
        <w:t xml:space="preserve">空调</w:t>
      </w:r>
      <w:r>
        <w:rPr>
          <w:rFonts w:hint="eastAsia" w:ascii="宋体" w:hAnsi="宋体" w:eastAsia="宋体" w:cs="宋体"/>
          <w:b/>
          <w:bCs/>
          <w:sz w:val="24"/>
          <w:szCs w:val="24"/>
          <w:highlight w:val="none"/>
        </w:rPr>
        <w:t xml:space="preserve">产品属于《节能产品政府采购品目清单》中强制采购范围内的产品，</w:t>
      </w:r>
      <w:r>
        <w:rPr>
          <w:rFonts w:hint="eastAsia" w:ascii="宋体" w:hAnsi="宋体" w:eastAsia="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应当提供获得国家认可的认证机构出具的、有效期之内的节能产品认证证书的产品</w:t>
      </w:r>
      <w:r>
        <w:rPr>
          <w:rFonts w:hint="eastAsia" w:ascii="宋体" w:hAnsi="宋体" w:eastAsia="宋体" w:cs="宋体"/>
          <w:sz w:val="24"/>
          <w:szCs w:val="24"/>
          <w:highlight w:val="none"/>
        </w:rPr>
        <w:t xml:space="preserve">。</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3.供应商必须响应招标文件中提出的全部技术规格与要求，如果其中某些条款不响应时，应在文件中逐条列出，未列出的视同响应。</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供应商应保证所提供的标的物是全新的、未使用过的，符合合同规定的质量标准、规格和性能要求。质量保证期限内，乙方对由于设计、工艺或材料的缺陷及伴随服务而造成的任何缺陷、不足等负责。标的物出现质量问题时，乙方无条件包退、包换、包修，由此产生的费用和其他责任概由乙方承担。</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5.供应商必须对所投项目内的所有设备全部响应，只投其中部分的为无效投标。</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6.本项目为交钥匙工程，中标单位的投标报价包含在采购人现有场地条件下，进行中标设备的安装调试达到可使用状态，并验收合格前的所有费用。</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任何因忽视或误解交货地点情况而导致的索赔或工期延长申请将不被批准。同时供应商自行承担勘察现场的责任和风险，供应商中标后，不得以不完全了解现场情况或其它任何理由向采购人提出任何索赔或追加的要求，对此采购人不承担任何责任并将不作任何答复与考虑。</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8.中标单位须对原有旧设备</w:t>
      </w:r>
      <w:r>
        <w:rPr>
          <w:rFonts w:hint="eastAsia" w:ascii="宋体" w:hAnsi="宋体" w:eastAsia="宋体" w:cs="宋体"/>
          <w:b/>
          <w:bCs/>
          <w:sz w:val="24"/>
          <w:szCs w:val="24"/>
          <w:highlight w:val="none"/>
          <w:u w:val="single"/>
        </w:rPr>
        <w:t xml:space="preserve">（含内外机设备、连接管道等）进行拆除，拆除的</w:t>
      </w:r>
      <w:r>
        <w:rPr>
          <w:rFonts w:hint="eastAsia" w:ascii="宋体" w:hAnsi="宋体" w:eastAsia="宋体" w:cs="宋体"/>
          <w:b/>
          <w:bCs/>
          <w:sz w:val="24"/>
          <w:szCs w:val="24"/>
          <w:highlight w:val="none"/>
          <w:u w:val="single"/>
          <w:lang w:val="en-US" w:eastAsia="zh-CN"/>
        </w:rPr>
        <w:t xml:space="preserve">旧</w:t>
      </w:r>
      <w:r>
        <w:rPr>
          <w:rFonts w:hint="eastAsia" w:ascii="宋体" w:hAnsi="宋体" w:eastAsia="宋体" w:cs="宋体"/>
          <w:b/>
          <w:bCs/>
          <w:sz w:val="24"/>
          <w:szCs w:val="24"/>
          <w:highlight w:val="none"/>
          <w:u w:val="single"/>
        </w:rPr>
        <w:t xml:space="preserve">设备按以旧换新形式，折价给中标单位。其中多联机外机折价不低于2400元/台，多联机内机折价不低于180元/台，</w:t>
      </w:r>
      <w:r>
        <w:rPr>
          <w:rFonts w:hint="eastAsia" w:ascii="宋体" w:hAnsi="宋体" w:eastAsia="宋体" w:cs="宋体"/>
          <w:sz w:val="24"/>
          <w:szCs w:val="24"/>
          <w:highlight w:val="none"/>
        </w:rPr>
        <w:t xml:space="preserve">费用在报价中体现。</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9.中标单位为本项目配备的所有人员在服务期间内出现的工伤及其他意外事故，均由中标单位自行负责，采购人不承担任何责任。</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10.炳麟图书馆3层空调的室外机设备置于屋面，外机组使用槽钢支架，须在原有屋面防水层上加做一层卷材防水，加做的卷材防水要满足相关规范要求。</w:t>
      </w:r>
      <w:r/>
    </w:p>
    <w:p>
      <w:pPr>
        <w:pStyle w:val="757"/>
        <w:ind w:firstLine="482"/>
        <w:spacing w:after="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11.安装、调试</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（1）安装服务：在采购人提出安装要求后，中标单位应在一周内安排有经验的工程技术人员到达现场提供设备安装等服务，所需工具器材，交通食宿自理，并协助采购人组织验收。</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（2）检验调试：双方现场开箱检货，供货须同合同定货一致。中标单位技术人员现场安装，且必需安装调试至用户认可无偏离技术性能为止。</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（3）培训服务：安装调试合格后，中标单位技术人员需进行使用及维护培训，包教包会。后期针对使用方法，质保期内提供免费的应用培训。培训费和交通食宿费用由中标单位自行承担。</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（4）提供使用、安装、调试及维修手册。</w:t>
      </w:r>
      <w:r/>
    </w:p>
    <w:p>
      <w:pPr>
        <w:pStyle w:val="757"/>
        <w:ind w:firstLine="482"/>
        <w:spacing w:after="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12.施工现场要求</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（1）中标单位应遵守现场的一切规章制度，按照采购人要求文明施工，施工人员的安全由乙方负责，采购人免责。</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（2）施工现场的协调工作由中标单位负责，采购人配合。</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（3）中标单位负责设备、安装设备（工具）等提供适当的保护、包装或覆盖等处理，负责保管、看护进场的设备及附配件直至验收合格，以免受损。</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（4）在安装、调试期间或保修过程中，中标单位负责及时清理现场垃圾。</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（5）在安装、调试期间或保修过程中，对现场原有装修、成品造成的损坏，由中标单位负责修复（含装饰、照明灯具等）。</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（6）根据采购人规定，进场施工必须提前办理相关手续，包括但不限于：人员及车辆进出校园登记备案、现场明火动火证等。</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（7）施工人员需遵守采购人相关规定，施工现场不得有人员住宿、用餐行为。</w:t>
      </w:r>
      <w:r/>
    </w:p>
    <w:p>
      <w:pPr>
        <w:pStyle w:val="757"/>
        <w:ind w:firstLine="482"/>
        <w:spacing w:after="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13.验收要求</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中标单位应向采购人提供详细的验收标准、验收手册，在采购人确认后作为验收的依据，但此标准不得对抗质监部门的验收和招标文件中有关验收的条款要求。设备到达采购人指定地点，应提前通知采购人，由采购人会同专业人员及相关部门根据有关清单进行验收；当双方对验收标准有争议时，可委托双方一致认可的国家相关权威检测中心进行检测，费用由中标单位承担，只有在设备完全正常运转和采购人确认后，设备的安装工作才能认为已全部完成。</w:t>
      </w:r>
      <w:r/>
    </w:p>
    <w:p>
      <w:pPr>
        <w:pStyle w:val="757"/>
        <w:ind w:firstLine="482"/>
        <w:spacing w:after="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14.设备质保期、售后服务及伴随服务</w:t>
      </w:r>
      <w:r/>
    </w:p>
    <w:p>
      <w:pPr>
        <w:pStyle w:val="757"/>
        <w:ind w:firstLine="482"/>
        <w:spacing w:after="0"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（1）原厂免费质保期不低于4年，</w:t>
      </w:r>
      <w:r>
        <w:rPr>
          <w:rFonts w:hint="eastAsia" w:ascii="宋体" w:hAnsi="宋体" w:eastAsia="宋体" w:cs="宋体"/>
          <w:sz w:val="24"/>
          <w:szCs w:val="24"/>
          <w:highlight w:val="none"/>
        </w:rPr>
        <w:t xml:space="preserve">自全部设备验收合格之日起计算</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质保期内，中标单位提供免费保修等三包服务，质保期内维修、更换零配件、维修人工费均免费。货物在质量保证期内发生的任何故障（非人为损坏），乙方均应负责免费修复，无法修复的产品或零部件应免费更换。质保期后，对于损坏的零部件，中标单位应保证以不高于在设备生产地购买的一般价格提供给采购人。供货方提供终身维保服务，包括维护、保养、大修理。须提供厂家相关部门的联系方式。</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（2）在安装调试、试运行、质保期间，对出现的设备故障应做到4小时内响应，24小时内排除故障并解决出现的问题。若不能及时修理好，乙方将负责免费更换全新设备，并赔偿采购人因此而造成的经济损失。</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（3）若在质保期内，中标单位没有按承诺达到服务水平及响应速度到现场进行处理的，采购人有权委托第三方进行维修，且维修所产生的所有费用由中标单位承担。</w:t>
      </w:r>
      <w:r/>
    </w:p>
    <w:p>
      <w:pPr>
        <w:pStyle w:val="757"/>
        <w:ind w:firstLine="482"/>
        <w:spacing w:after="0"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15.报价要求</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投标总报价一次</w:t>
      </w:r>
      <w:r>
        <w:rPr>
          <w:rFonts w:hint="eastAsia" w:ascii="宋体" w:hAnsi="宋体" w:eastAsia="宋体" w:cs="宋体"/>
          <w:sz w:val="24"/>
          <w:szCs w:val="24"/>
          <w:highlight w:val="none"/>
        </w:rPr>
        <w:t xml:space="preserve">报定,包含完成该项工作所需全部设备、辅材费（包括安装材料、附件、配管等）、运杂费、质量保证费、旧机拆除费、旧机抵扣费（多联机室内机折价费用不低于180元/台，多联机室外机不低于2400元/台，抵扣新机报价）、备品、备件和专用工具费用、税费（如包括关税、货物及其所用原材料、零部件的各种国内外税费）及包装、运至最终目的地的运输、保险、现场吊装、检测验收、安装、调试、技术支持与培训、售后服务与维保及相关劳务支出等工作所发生的全部费用以及供应商企业利润、税金和政策性文件规定及合同包含的所有风险、责任等各项应有费用。</w:t>
      </w:r>
      <w:r/>
    </w:p>
    <w:p>
      <w:pPr>
        <w:pStyle w:val="757"/>
        <w:ind w:firstLine="480"/>
        <w:spacing w:after="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16.凡涉及招标文件的补充说明和修改，均以苏州政府采购网发布通知为准。</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 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jc w:val="center"/>
        <w:spacing w:after="12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5" w:name="_Toc9204"/>
      <w:r>
        <w:rPr>
          <w:rFonts w:hint="eastAsia" w:ascii="宋体" w:hAnsi="宋体" w:eastAsia="宋体" w:cs="宋体"/>
          <w:b/>
          <w:sz w:val="44"/>
          <w:highlight w:val="none"/>
        </w:rPr>
        <w:t xml:space="preserve">政府采购合同书</w:t>
      </w:r>
      <w:r/>
    </w:p>
    <w:p>
      <w:pPr>
        <w:ind w:firstLine="480"/>
        <w:jc w:val="center"/>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甲方：苏州大学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地址：苏州市姑苏区十梓街1号</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联系人：武老师</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联系电话：0512-67169258</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乙方：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地址：</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根据《中华人民共和国民法典》等相关法律法规的规定，甲乙双方就此次成交的“苏州大学独墅湖校区炳麟图书馆3-5楼空调更换”项目（以下简称“本项目”）事宜，签订本合同书，以兹共同遵守。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一、下列文件为本合同不可分割</w:t>
      </w:r>
      <w:r>
        <w:rPr>
          <w:rFonts w:ascii="宋体" w:hAnsi="宋体" w:eastAsia="宋体" w:cs="宋体"/>
          <w:sz w:val="24"/>
          <w:highlight w:val="none"/>
        </w:rPr>
        <w:t xml:space="preserve">部分，并构成一个整体，需综合解释、相互补充。如果下列文件内容出现不一致的情形，在保证按照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确定的事项的前提下，组成本合同的多个文件的优先适用顺序如下：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（1）本合同书及本合同书签署后双方以书面形式确认的补充协议等；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（2）中标通知书；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（4）投标文件；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（5）乙方在招标过程中所作的其它承诺、声明、书面澄清等。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二、合同内容</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（一）项目内容：乙方负责完成甲方的</w:t>
      </w:r>
      <w:r>
        <w:rPr>
          <w:rFonts w:ascii="宋体" w:hAnsi="宋体" w:eastAsia="宋体" w:cs="宋体"/>
          <w:sz w:val="24"/>
          <w:highlight w:val="none"/>
          <w:u w:val="singl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项目”</w:t>
      </w:r>
      <w:r>
        <w:rPr>
          <w:rFonts w:ascii="宋体" w:hAnsi="宋体" w:eastAsia="宋体" w:cs="宋体"/>
          <w:sz w:val="24"/>
          <w:highlight w:val="none"/>
        </w:rPr>
        <w:t xml:space="preserve">，具体内容</w:t>
      </w:r>
      <w:r>
        <w:rPr>
          <w:rFonts w:hint="eastAsia" w:ascii="宋体" w:hAnsi="宋体" w:eastAsia="宋体" w:cs="宋体"/>
          <w:sz w:val="24"/>
          <w:highlight w:val="none"/>
        </w:rPr>
        <w:t xml:space="preserve">详见招标文件；</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（二）交付期限：</w:t>
      </w:r>
      <w:r>
        <w:rPr>
          <w:rFonts w:hint="eastAsia" w:ascii="宋体" w:hAnsi="宋体" w:eastAsia="宋体" w:cs="宋体"/>
          <w:sz w:val="24"/>
          <w:highlight w:val="none"/>
        </w:rPr>
        <w:t xml:space="preserve">合同签订后，接甲方通知后30个工作日内交货完毕并完成安装调试。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（三）交付地点：甲方指定地点。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w:t>
      </w:r>
      <w:r>
        <w:rPr>
          <w:rFonts w:hint="eastAsia" w:ascii="宋体" w:hAnsi="宋体" w:eastAsia="宋体" w:cs="宋体"/>
          <w:sz w:val="24"/>
          <w:highlight w:val="none"/>
        </w:rPr>
        <w:t xml:space="preserve">免费</w:t>
      </w:r>
      <w:r>
        <w:rPr>
          <w:rFonts w:ascii="宋体" w:hAnsi="宋体" w:eastAsia="宋体" w:cs="宋体"/>
          <w:sz w:val="24"/>
          <w:highlight w:val="none"/>
        </w:rPr>
        <w:t xml:space="preserve">质保期：【</w:t>
      </w:r>
      <w:r>
        <w:rPr>
          <w:rFonts w:hint="eastAsia" w:ascii="宋体" w:hAnsi="宋体" w:eastAsia="宋体" w:cs="宋体"/>
          <w:sz w:val="24"/>
          <w:highlight w:val="none"/>
        </w:rPr>
        <w:t xml:space="preserve">   </w:t>
      </w:r>
      <w:r>
        <w:rPr>
          <w:rFonts w:ascii="宋体" w:hAnsi="宋体" w:eastAsia="宋体" w:cs="宋体"/>
          <w:sz w:val="24"/>
          <w:highlight w:val="none"/>
        </w:rPr>
        <w:t xml:space="preserve">】年，自货物经甲方验收通过之日起开始计算</w:t>
      </w:r>
      <w:r>
        <w:rPr>
          <w:rFonts w:hint="eastAsia" w:ascii="宋体" w:hAnsi="宋体" w:eastAsia="宋体" w:cs="宋体"/>
          <w:sz w:val="24"/>
          <w:highlight w:val="none"/>
        </w:rPr>
        <w:t xml:space="preserve">，分批送货及安装的，以最后一批货物验收之日起起算质保期期限</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三、价格与支付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（一）本合同金额按此次中标（成交）价格执行，本合同总金额（含税）为人民币（大写）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w:t>
      </w:r>
      <w:r>
        <w:rPr>
          <w:rFonts w:ascii="宋体" w:hAnsi="宋体" w:eastAsia="宋体" w:cs="宋体"/>
          <w:sz w:val="24"/>
          <w:highlight w:val="none"/>
        </w:rPr>
        <w:t xml:space="preserve">。上述合同总金额已</w:t>
      </w:r>
      <w:r>
        <w:rPr>
          <w:rFonts w:hint="eastAsia" w:ascii="宋体" w:hAnsi="宋体" w:eastAsia="宋体" w:cs="宋体"/>
          <w:sz w:val="24"/>
          <w:highlight w:val="none"/>
        </w:rPr>
        <w:t xml:space="preserve">包含完成该项工作所需全部设备、辅材费（包括安装材料、附件、配管等）、运杂费、质量保证费、旧机拆除费、旧机抵扣费（多联机室内机折价费用不低于180元/台，多联机室外机不低于2400元/台，抵扣新机报价）、备品、备件和专用工具费用、税费（如包括关税、货物及其所用原材料、零部件的各种国内外税费）及包装、运至最终目的地的运输、保险、现场吊装、检测验收、安装、调试、技术支持与培训、售后服务与维保及相关劳务支出等工作所发生的全部费用以及供应商企业利润、税金和政策性文件规定及合同包含的所有风险、责任等各项应有费用。</w:t>
      </w:r>
      <w:r>
        <w:rPr>
          <w:rFonts w:ascii="宋体" w:hAnsi="宋体" w:eastAsia="宋体" w:cs="宋体"/>
          <w:sz w:val="24"/>
          <w:highlight w:val="none"/>
        </w:rPr>
        <w:t xml:space="preserve">同时，除本合同另有约定外，本合同价格在实施期间不因市场变化因素而变动。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（二）合同价款的支付及付款方式：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合同签订后，货物全部经正确安装、调试、</w:t>
      </w:r>
      <w:r>
        <w:rPr>
          <w:rFonts w:hint="eastAsia" w:ascii="宋体" w:hAnsi="宋体" w:eastAsia="宋体" w:cs="宋体"/>
          <w:sz w:val="24"/>
          <w:highlight w:val="none"/>
        </w:rPr>
        <w:t xml:space="preserve">交付</w:t>
      </w:r>
      <w:r>
        <w:rPr>
          <w:rFonts w:hint="eastAsia" w:ascii="宋体" w:hAnsi="宋体" w:eastAsia="宋体" w:cs="宋体"/>
          <w:sz w:val="24"/>
          <w:szCs w:val="24"/>
          <w:highlight w:val="none"/>
        </w:rPr>
        <w:t xml:space="preserve">并经过甲方验收合格后，付至合同金额的60%，次年支付合同金额的40%。</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付款方式：银行转账。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乙方银行账户信息如下：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开户银行：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银行账号：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根据现行税法对甲方征收的与本合同有关的一切税费均由甲方承担；根据现行税法对乙方征收的与本合同有关的一切税费均由乙方承担。</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（三）履约保证金</w:t>
      </w:r>
      <w:r/>
    </w:p>
    <w:p>
      <w:pPr>
        <w:ind w:firstLine="480"/>
        <w:spacing w:line="360" w:lineRule="auto"/>
        <w:rPr>
          <w:rFonts w:ascii="宋体" w:hAnsi="宋体" w:eastAsia="宋体" w:cs="宋体"/>
          <w:sz w:val="24"/>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val="zh-CN"/>
        </w:rPr>
        <w:t xml:space="preserve">履约保证金为</w:t>
      </w:r>
      <w:r>
        <w:rPr>
          <w:rFonts w:ascii="宋体" w:hAnsi="宋体" w:eastAsia="宋体" w:cs="宋体"/>
          <w:sz w:val="24"/>
          <w:highlight w:val="none"/>
        </w:rPr>
        <w:t xml:space="preserve">中标</w:t>
      </w:r>
      <w:r>
        <w:rPr>
          <w:rFonts w:ascii="宋体" w:hAnsi="宋体" w:eastAsia="宋体" w:cs="宋体"/>
          <w:sz w:val="24"/>
          <w:highlight w:val="none"/>
          <w:lang w:val="zh-CN"/>
        </w:rPr>
        <w:t xml:space="preserve">金额的10%，缴纳方式为合同签订前乙方采用基本账户银行转账形式缴纳；</w:t>
      </w:r>
      <w:r>
        <w:rPr>
          <w:rFonts w:hint="eastAsia" w:ascii="宋体" w:hAnsi="宋体" w:eastAsia="宋体" w:cs="宋体"/>
          <w:sz w:val="24"/>
          <w:highlight w:val="none"/>
        </w:rPr>
        <w:t xml:space="preserve">履约</w:t>
      </w:r>
      <w:r>
        <w:rPr>
          <w:rFonts w:ascii="宋体" w:hAnsi="宋体" w:eastAsia="宋体" w:cs="宋体"/>
          <w:sz w:val="24"/>
          <w:highlight w:val="none"/>
          <w:lang w:val="zh-CN"/>
        </w:rPr>
        <w:t xml:space="preserve">期间</w:t>
      </w:r>
      <w:r>
        <w:rPr>
          <w:rFonts w:hint="eastAsia" w:ascii="宋体" w:hAnsi="宋体" w:eastAsia="宋体" w:cs="宋体"/>
          <w:sz w:val="24"/>
          <w:highlight w:val="none"/>
          <w:lang w:val="zh-CN"/>
        </w:rPr>
        <w:t xml:space="preserve">，</w:t>
      </w:r>
      <w:r>
        <w:rPr>
          <w:rFonts w:ascii="宋体" w:hAnsi="宋体" w:eastAsia="宋体" w:cs="宋体"/>
          <w:sz w:val="24"/>
          <w:highlight w:val="none"/>
          <w:lang w:val="zh-CN"/>
        </w:rPr>
        <w:t xml:space="preserve">未出现因乙方的</w:t>
      </w:r>
      <w:r>
        <w:rPr>
          <w:rFonts w:hint="eastAsia" w:ascii="宋体" w:hAnsi="宋体" w:eastAsia="宋体" w:cs="宋体"/>
          <w:sz w:val="24"/>
          <w:highlight w:val="none"/>
          <w:lang w:val="zh-CN"/>
        </w:rPr>
        <w:t xml:space="preserve">施工不当、管理不当</w:t>
      </w:r>
      <w:r>
        <w:rPr>
          <w:rFonts w:ascii="宋体" w:hAnsi="宋体" w:eastAsia="宋体" w:cs="宋体"/>
          <w:sz w:val="24"/>
          <w:highlight w:val="none"/>
          <w:lang w:val="zh-CN"/>
        </w:rPr>
        <w:t xml:space="preserve">等，而引起的甲方以及第三方财产损失、人员伤亡、火灾等事故的，履约保证金</w:t>
      </w:r>
      <w:r>
        <w:rPr>
          <w:rFonts w:hint="eastAsia" w:ascii="宋体" w:hAnsi="宋体" w:eastAsia="宋体" w:cs="宋体"/>
          <w:sz w:val="24"/>
          <w:highlight w:val="none"/>
        </w:rPr>
        <w:t xml:space="preserve">将</w:t>
      </w:r>
      <w:r>
        <w:rPr>
          <w:rFonts w:ascii="宋体" w:hAnsi="宋体" w:eastAsia="宋体" w:cs="宋体"/>
          <w:sz w:val="24"/>
          <w:highlight w:val="none"/>
          <w:lang w:val="zh-CN"/>
        </w:rPr>
        <w:t xml:space="preserve">无息退还。若出现上述现象，甲方有权按事故损失处违约金金额（违约金从乙方缴纳的履约保证金中扣除），并终止合同。</w:t>
      </w:r>
      <w:r/>
    </w:p>
    <w:p>
      <w:pPr>
        <w:ind w:left="560"/>
        <w:spacing w:line="360" w:lineRule="auto"/>
        <w:tabs>
          <w:tab w:val="left" w:pos="3060" w:leader="none"/>
        </w:tabs>
        <w:rPr>
          <w:rFonts w:hint="eastAsia"/>
          <w:sz w:val="24"/>
          <w:highlight w:val="none"/>
        </w:rPr>
      </w:pPr>
      <w:r>
        <w:rPr>
          <w:rFonts w:hint="eastAsia"/>
          <w:sz w:val="24"/>
          <w:highlight w:val="none"/>
        </w:rPr>
        <w:t xml:space="preserve">甲方增值税专用发票开票信息</w:t>
      </w:r>
      <w:r/>
    </w:p>
    <w:tbl>
      <w:tblPr>
        <w:tblStyle w:val="75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270"/>
        </w:trPr>
        <w:tc>
          <w:tcPr>
            <w:tcBorders>
              <w:top w:val="single" w:color="auto" w:sz="4" w:space="0"/>
              <w:left w:val="single" w:color="auto" w:sz="4" w:space="0"/>
              <w:bottom w:val="single" w:color="auto" w:sz="4" w:space="0"/>
              <w:right w:val="single" w:color="auto" w:sz="4" w:space="0"/>
            </w:tcBorders>
            <w:tcW w:w="3481" w:type="pct"/>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户名：苏州大学</w:t>
            </w:r>
            <w:r/>
          </w:p>
        </w:tc>
        <w:tc>
          <w:tcPr>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127125" cy="1095375"/>
                      <wp:effectExtent l="0" t="0" r="0"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1127125"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2pt;mso-wrap-distance-left:0.0pt;mso-wrap-distance-top:0.0pt;mso-wrap-distance-right:0.0pt;mso-wrap-distance-bottom:0.0pt;" stroked="f">
                      <v:path textboxrect="0,0,0,0"/>
                      <v:imagedata r:id="rId12" o:title=""/>
                    </v:shape>
                  </w:pict>
                </mc:Fallback>
              </mc:AlternateContent>
            </w:r>
            <w:r/>
          </w:p>
        </w:tc>
      </w:tr>
      <w:tr>
        <w:trPr>
          <w:jc w:val="center"/>
          <w:trHeight w:val="270"/>
        </w:trPr>
        <w:tc>
          <w:tcPr>
            <w:tcBorders>
              <w:top w:val="none" w:color="000000" w:sz="4" w:space="0"/>
              <w:left w:val="single" w:color="auto" w:sz="4" w:space="0"/>
              <w:bottom w:val="single" w:color="auto" w:sz="4" w:space="0"/>
              <w:right w:val="single" w:color="auto" w:sz="4" w:space="0"/>
            </w:tcBorders>
            <w:tcW w:w="3481" w:type="pct"/>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70"/>
        </w:trPr>
        <w:tc>
          <w:tcPr>
            <w:tcBorders>
              <w:top w:val="none" w:color="000000" w:sz="4" w:space="0"/>
              <w:left w:val="single" w:color="auto" w:sz="4" w:space="0"/>
              <w:bottom w:val="single" w:color="auto" w:sz="4" w:space="0"/>
              <w:right w:val="single" w:color="auto" w:sz="4" w:space="0"/>
            </w:tcBorders>
            <w:tcW w:w="3481" w:type="pct"/>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70"/>
        </w:trPr>
        <w:tc>
          <w:tcPr>
            <w:tcBorders>
              <w:top w:val="none" w:color="000000" w:sz="4" w:space="0"/>
              <w:left w:val="single" w:color="auto" w:sz="4" w:space="0"/>
              <w:bottom w:val="single" w:color="auto" w:sz="4" w:space="0"/>
              <w:right w:val="single" w:color="auto" w:sz="4" w:space="0"/>
            </w:tcBorders>
            <w:tcW w:w="3481" w:type="pct"/>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70"/>
        </w:trPr>
        <w:tc>
          <w:tcPr>
            <w:tcBorders>
              <w:top w:val="none" w:color="000000" w:sz="4" w:space="0"/>
              <w:left w:val="single" w:color="auto" w:sz="4" w:space="0"/>
              <w:bottom w:val="single" w:color="auto" w:sz="4" w:space="0"/>
              <w:right w:val="single" w:color="auto" w:sz="4" w:space="0"/>
            </w:tcBorders>
            <w:tcW w:w="3481" w:type="pct"/>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70"/>
        </w:trPr>
        <w:tc>
          <w:tcPr>
            <w:tcBorders>
              <w:top w:val="none" w:color="000000" w:sz="4" w:space="0"/>
              <w:left w:val="single" w:color="auto" w:sz="4" w:space="0"/>
              <w:bottom w:val="single" w:color="auto" w:sz="4" w:space="0"/>
              <w:right w:val="single" w:color="auto" w:sz="4" w:space="0"/>
            </w:tcBorders>
            <w:tcW w:w="3481" w:type="pct"/>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70"/>
        </w:trPr>
        <w:tc>
          <w:tcPr>
            <w:tcBorders>
              <w:top w:val="none" w:color="000000" w:sz="4" w:space="0"/>
              <w:left w:val="single" w:color="auto" w:sz="4" w:space="0"/>
              <w:bottom w:val="single" w:color="auto" w:sz="4" w:space="0"/>
              <w:right w:val="single" w:color="auto" w:sz="4" w:space="0"/>
            </w:tcBorders>
            <w:tcW w:w="3481" w:type="pct"/>
            <w:vAlign w:val="center"/>
            <w:textDirection w:val="lrTb"/>
            <w:noWrap/>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四、质量保证</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（一）乙方应保证其向甲方提供的货物是全新的、未使用过的，并且不是长期积压的库存商品，完全符合合同规定的质量、规格</w:t>
      </w:r>
      <w:r>
        <w:rPr>
          <w:rFonts w:hint="eastAsia" w:ascii="宋体" w:hAnsi="宋体" w:eastAsia="宋体" w:cs="宋体"/>
          <w:sz w:val="24"/>
          <w:highlight w:val="none"/>
        </w:rPr>
        <w:t xml:space="preserve">、品牌</w:t>
      </w:r>
      <w:r>
        <w:rPr>
          <w:rFonts w:ascii="宋体" w:hAnsi="宋体" w:eastAsia="宋体" w:cs="宋体"/>
          <w:sz w:val="24"/>
          <w:highlight w:val="none"/>
        </w:rPr>
        <w:t xml:space="preserve">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（二）乙方应按照本合同约定的质量标准提供合格的货物，如未约定质量标准的，应按照强制性国家标准履行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没有强制性国家标准的,按照推荐性国家标准履行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没有推荐性国家标准的,按照行业标准履行</w:t>
      </w:r>
      <w:r>
        <w:rPr>
          <w:rFonts w:hint="eastAsia" w:ascii="宋体" w:hAnsi="宋体" w:eastAsia="宋体" w:cs="宋体"/>
          <w:sz w:val="24"/>
          <w:highlight w:val="none"/>
        </w:rPr>
        <w:t xml:space="preserve">；</w:t>
      </w:r>
      <w:r>
        <w:rPr>
          <w:rFonts w:ascii="宋体" w:hAnsi="宋体" w:eastAsia="宋体" w:cs="宋体"/>
          <w:sz w:val="24"/>
          <w:highlight w:val="none"/>
        </w:rPr>
        <w:t xml:space="preserve">没有国家标准、行业标准的,按照通常标准或者符合合同</w:t>
      </w:r>
      <w:r>
        <w:rPr>
          <w:rFonts w:hint="eastAsia" w:ascii="宋体" w:hAnsi="宋体" w:eastAsia="宋体" w:cs="宋体"/>
          <w:sz w:val="24"/>
          <w:highlight w:val="none"/>
        </w:rPr>
        <w:t xml:space="preserve">及甲方</w:t>
      </w:r>
      <w:r>
        <w:rPr>
          <w:rFonts w:ascii="宋体" w:hAnsi="宋体" w:eastAsia="宋体" w:cs="宋体"/>
          <w:sz w:val="24"/>
          <w:highlight w:val="none"/>
        </w:rPr>
        <w:t xml:space="preserve">目的的特定标准履行。同时存在不同标准的，以最高标准为准。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（三）根据甲方按本合同约定的检验标准检验的结果或具有法定检验资质的第三方检验机构出具的检验结果，如果设备的数量、质量</w:t>
      </w:r>
      <w:r>
        <w:rPr>
          <w:rFonts w:hint="eastAsia" w:ascii="宋体" w:hAnsi="宋体" w:eastAsia="宋体" w:cs="宋体"/>
          <w:sz w:val="24"/>
          <w:highlight w:val="none"/>
        </w:rPr>
        <w:t xml:space="preserve">、品牌</w:t>
      </w:r>
      <w:r>
        <w:rPr>
          <w:rFonts w:ascii="宋体" w:hAnsi="宋体" w:eastAsia="宋体" w:cs="宋体"/>
          <w:sz w:val="24"/>
          <w:highlight w:val="none"/>
        </w:rPr>
        <w:t xml:space="preserve">或规格与本合同约定不符或证实设备是有缺陷的，包括潜在缺陷或使用不符合要求的材料等，甲方有权以书面形式通知乙方并提出</w:t>
      </w:r>
      <w:r>
        <w:rPr>
          <w:rFonts w:hint="eastAsia" w:ascii="宋体" w:hAnsi="宋体" w:eastAsia="宋体" w:cs="宋体"/>
          <w:sz w:val="24"/>
          <w:highlight w:val="none"/>
        </w:rPr>
        <w:t xml:space="preserve">更换、重修、返修、赔款等</w:t>
      </w:r>
      <w:r>
        <w:rPr>
          <w:rFonts w:ascii="宋体" w:hAnsi="宋体" w:eastAsia="宋体" w:cs="宋体"/>
          <w:sz w:val="24"/>
          <w:highlight w:val="none"/>
        </w:rPr>
        <w:t xml:space="preserve">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五、包装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（二）乙方应保证其提供的货物是原包装未拆封的商品，在交付甲方验收前不得拆箱。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六、标的物的交付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（一）本项目货物的所有权自货物由乙方交付甲方时转移。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（二）乙方应当按照本合同约定的期限和约定的地点交付货物。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（三）乙方应当按照本合同约定或者交易习惯向甲方交付提取货物单证以外的有关单证和资料。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（四）本合同中所称“交付”，除根据上下文明显指到货时的交货外，均指完成安装调试后的交付。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七、伴随服务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（一）乙方除应按照本合同约定及甲方的要求履行按期按量交付合格货物的义务外，还应当提供下列服务：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货物的现场安装、启动、调试、监督（如果必须安装、调试的话）；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提供货物组装和一般维修所必需的工具；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在本合同规定的期限内对所提供的货物实行运行监督、维修服务的前提条件是该服务并不能免除乙方在质量保证期内应承担的义务；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对甲方技术人员进行技术指导或培训服务。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（二）除本合同另有规定外，伴随服务的费用均已包含在本合同总价款中，甲方不再另行向乙方支付任何其他费用。</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八、标的物的检验和验收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（一）交付本合同货物前，乙方应对货物的质量、规格、性能、数量、外观、随机备件备品、装箱单、随机资料、包装等进行详细而全面的检验，并出具一份检验合格证明，检验合格证明仅作为甲方</w:t>
      </w:r>
      <w:r>
        <w:rPr>
          <w:rFonts w:hint="eastAsia" w:ascii="宋体" w:hAnsi="宋体" w:eastAsia="宋体" w:cs="宋体"/>
          <w:sz w:val="24"/>
          <w:highlight w:val="none"/>
        </w:rPr>
        <w:t xml:space="preserve">初步</w:t>
      </w:r>
      <w:r>
        <w:rPr>
          <w:rFonts w:ascii="宋体" w:hAnsi="宋体" w:eastAsia="宋体" w:cs="宋体"/>
          <w:sz w:val="24"/>
          <w:highlight w:val="none"/>
        </w:rPr>
        <w:t xml:space="preserve">验收的依据，但不能作为本合同项下货物质量、规格、数量或性能的最终检验结果。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（三）验收标准：按照货物验收相关规定，结合</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、投标文件、本合同等项目文件约定内容对项目进行验收。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（四）甲方应自</w:t>
      </w:r>
      <w:r>
        <w:rPr>
          <w:rFonts w:hint="eastAsia" w:ascii="宋体" w:hAnsi="宋体" w:eastAsia="宋体" w:cs="宋体"/>
          <w:sz w:val="24"/>
          <w:highlight w:val="none"/>
        </w:rPr>
        <w:t xml:space="preserve">满足验收条件</w:t>
      </w:r>
      <w:r>
        <w:rPr>
          <w:rFonts w:ascii="宋体" w:hAnsi="宋体" w:eastAsia="宋体" w:cs="宋体"/>
          <w:sz w:val="24"/>
          <w:highlight w:val="none"/>
        </w:rPr>
        <w:t xml:space="preserve">后1个月内或项目实施完成后进行验收。特殊情况需延长的，由甲乙双方另行协商确定。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w:t>
      </w:r>
      <w:r>
        <w:rPr>
          <w:rFonts w:hint="eastAsia" w:ascii="宋体" w:hAnsi="宋体" w:eastAsia="宋体" w:cs="宋体"/>
          <w:sz w:val="24"/>
          <w:highlight w:val="none"/>
        </w:rPr>
        <w:t xml:space="preserve">乙方应向甲方提供详细的验收标准、验收手册，在甲方确认后作为甲方验收的依据，但此标准不得对抗质监部门的验收和招标文件中有关验收的条款要求。设备到达甲方指定地点，应提前通知甲方，由甲方会同专业人员及相关部门根据有关清单进行验收；当双方对验收标准有争议时，可委托双方一致认可的国家相关权威检测中心进行检测，费用由乙方承担，只有在设备完全正常运转和甲方确认后，设备的安装工作才能认为已全部完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rFonts w:hint="eastAsia" w:ascii="宋体" w:hAnsi="宋体" w:eastAsia="宋体" w:cs="宋体"/>
          <w:sz w:val="24"/>
          <w:highlight w:val="none"/>
        </w:rPr>
        <w:t xml:space="preserve">，更换后的货物质保期自验收通过后重新计算</w:t>
      </w:r>
      <w:r>
        <w:rPr>
          <w:rFonts w:ascii="宋体" w:hAnsi="宋体" w:eastAsia="宋体" w:cs="宋体"/>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九、标的物提出异议的时间和办法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二</w:t>
      </w:r>
      <w:r>
        <w:rPr>
          <w:rFonts w:ascii="宋体" w:hAnsi="宋体" w:eastAsia="宋体" w:cs="宋体"/>
          <w:sz w:val="24"/>
          <w:highlight w:val="none"/>
        </w:rPr>
        <w:t xml:space="preserve">）甲方在验收过程中向乙方发出书面异议通知的，乙方应自收到甲方书面异议通知后24小时内将处理意见与办法书面答复甲方，并于3日内负责解决问题，否则将视为乙方默认甲方提出的异议和处理意见。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十、售后服务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1.自项目全面验收合格之日起，整个项目免费质保期为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年，在免费质保期内出现</w:t>
      </w:r>
      <w:r>
        <w:rPr>
          <w:rFonts w:hint="eastAsia" w:ascii="宋体" w:hAnsi="宋体" w:eastAsia="宋体" w:cs="宋体"/>
          <w:sz w:val="24"/>
          <w:szCs w:val="24"/>
          <w:highlight w:val="none"/>
        </w:rPr>
        <w:t xml:space="preserve">质量问题（人为除外），乙方负责无条件维修或更换。甲方报修后，乙方在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小时内响应，响应后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小时内到达现场，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小时内完成甲方提出的维修要求，如需更换或送修，必须在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个工作日内解决。</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十一、安全生产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在项目实施及质保期间，乙方应当配备必要的安全生产管理人员，负责强化项目实施人员安全教育和安全管理</w:t>
      </w:r>
      <w:r>
        <w:rPr>
          <w:rFonts w:hint="eastAsia" w:ascii="宋体" w:hAnsi="宋体" w:eastAsia="宋体" w:cs="宋体"/>
          <w:sz w:val="24"/>
          <w:szCs w:val="24"/>
          <w:highlight w:val="none"/>
        </w:rPr>
        <w:t xml:space="preserve">、安全培训</w:t>
      </w:r>
      <w:r>
        <w:rPr>
          <w:rFonts w:ascii="宋体" w:hAnsi="宋体" w:eastAsia="宋体" w:cs="宋体"/>
          <w:sz w:val="24"/>
          <w:szCs w:val="24"/>
          <w:highlight w:val="none"/>
        </w:rPr>
        <w:t xml:space="preserve">，如实施过程中存在人身安全风险的，乙方应当为实施人员购买必要的人身安全保险</w:t>
      </w:r>
      <w:r>
        <w:rPr>
          <w:rFonts w:hint="eastAsia" w:ascii="宋体" w:hAnsi="宋体" w:eastAsia="宋体" w:cs="宋体"/>
          <w:sz w:val="24"/>
          <w:szCs w:val="24"/>
          <w:highlight w:val="none"/>
        </w:rPr>
        <w:t xml:space="preserve">等保险</w:t>
      </w:r>
      <w:r>
        <w:rPr>
          <w:rFonts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所有作业人员均需按照国家法律法规之规定，取得对应上岗资格证书、作业许可证书、特种作业证书等相关资格证书，方可上岗作业。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乙方应按照法律法规制定安全作业规范，在项目实施过程中，乙方一方发生的一切安全事故或给第三方造成的损害，由乙方自行承担责任，甲方不对乙方项目实施人员负任何安全责任；若给甲</w:t>
      </w:r>
      <w:r>
        <w:rPr>
          <w:rFonts w:ascii="宋体" w:hAnsi="宋体" w:eastAsia="宋体" w:cs="宋体"/>
          <w:sz w:val="24"/>
          <w:highlight w:val="none"/>
        </w:rPr>
        <w:t xml:space="preserve">方采购方造成损失和伤害的，乙方应承担相应责任，赔偿一切直接、间接损失。</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十二、违约责任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合同一方不履行合同义务或者履行合同义务不符合约定的，应当承担继续履行、采取补救措施或赔偿损失等违约责任。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（一）甲方违约责任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本合同生效后，甲方无正当理由要求退货的，应向乙方支付本合同总金额</w:t>
      </w:r>
      <w:r>
        <w:rPr>
          <w:rFonts w:hint="eastAsia" w:ascii="宋体" w:hAnsi="宋体" w:eastAsia="宋体" w:cs="宋体"/>
          <w:sz w:val="24"/>
          <w:highlight w:val="none"/>
        </w:rPr>
        <w:t xml:space="preserve">5</w:t>
      </w:r>
      <w:r>
        <w:rPr>
          <w:rFonts w:ascii="宋体" w:hAnsi="宋体" w:eastAsia="宋体" w:cs="宋体"/>
          <w:sz w:val="24"/>
          <w:highlight w:val="none"/>
        </w:rPr>
        <w:t xml:space="preserve">%的违约金，违约金不足以弥补损失的，乙方有权要求甲方补足。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（二）乙方违约责任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乙方未能按本合同约定的期限交付质量符合本合同约定货物的，甲方有权选择采取以下一种或多种措施：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（1）每逾期一日，要求乙方按照本合同总金额的万分之四向甲方支付违约金，并在甲方指定期限内交付符合本合同约定的货物。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逾期超过15日的，</w:t>
      </w:r>
      <w:r>
        <w:rPr>
          <w:rFonts w:ascii="宋体" w:hAnsi="宋体" w:eastAsia="宋体" w:cs="宋体"/>
          <w:sz w:val="24"/>
          <w:highlight w:val="none"/>
        </w:rPr>
        <w:t xml:space="preserve">甲方有权直接解除本合同，同时乙方应当立即退回已收取的全部款项并向甲方支付本合同总金额【20】%的违约金。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highlight w:val="none"/>
        </w:rPr>
        <w:t xml:space="preserve">：</w:t>
      </w:r>
      <w:r>
        <w:rPr>
          <w:rFonts w:ascii="宋体" w:hAnsi="宋体" w:eastAsia="宋体" w:cs="宋体"/>
          <w:sz w:val="24"/>
          <w:highlight w:val="none"/>
        </w:rPr>
        <w:t xml:space="preserve">采购费用以及因退货所产生的运输、存储费用，因乙方违约导致逾期交付的损失（损失参照合同约定的逾期交付违约金计算方式进行认定）等一切费用和损失。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除本合同另有约定以外，若乙方违反本合同约定的，且经甲方催告后【10】日内仍未改正的或该违约情形无法改正</w:t>
      </w:r>
      <w:r>
        <w:rPr>
          <w:rFonts w:hint="eastAsia" w:ascii="宋体" w:hAnsi="宋体" w:eastAsia="宋体" w:cs="宋体"/>
          <w:sz w:val="24"/>
          <w:highlight w:val="none"/>
        </w:rPr>
        <w:t xml:space="preserve">或无法达到甲方要求</w:t>
      </w:r>
      <w:r>
        <w:rPr>
          <w:rFonts w:ascii="宋体" w:hAnsi="宋体" w:eastAsia="宋体" w:cs="宋体"/>
          <w:sz w:val="24"/>
          <w:highlight w:val="none"/>
        </w:rPr>
        <w:t xml:space="preserve">的，甲方有权要求乙方立即向甲方支付本合同总金额【20】%的违约金，且甲方有权解除本合同，要求乙方立即退回本合同项下已收取的全部款项</w:t>
      </w:r>
      <w:r>
        <w:rPr>
          <w:rFonts w:hint="eastAsia" w:ascii="宋体" w:hAnsi="宋体" w:eastAsia="宋体" w:cs="宋体"/>
          <w:sz w:val="24"/>
          <w:highlight w:val="none"/>
        </w:rPr>
        <w:t xml:space="preserve">，乙方还应赔偿甲方的全部损失</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乙方逾期支付本合同约定的任何款项（包括但不限于违约赔偿、退款等）的，每逾期一日，乙方应当甲方支付逾期金额万分之四的违约金。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本合同约定的乙方应付违约金不足以弥补甲方一切直接或间接损失的，乙方应当足额赔偿。</w:t>
      </w:r>
      <w:r>
        <w:rPr>
          <w:rFonts w:hint="eastAsia" w:ascii="宋体" w:hAnsi="宋体" w:eastAsia="宋体" w:cs="宋体"/>
          <w:sz w:val="24"/>
          <w:highlight w:val="none"/>
        </w:rPr>
        <w:t xml:space="preserve">本合同所述甲方损失包括直接损失、间接损失、维权产生的律师费、保全费、保函费、调查取证费、交通费等。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乙方对招投标文件中承诺函所承诺的内容未按约定提供，甲方有权终止合同，并支付本合同总金额【20】%的违约金。</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十三、不可抗力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（一）合同一方因不可抗力不能履行合同的，根据不可抗力的影响，部分或者全部免除责任。但合同一方迟延履行后发生不可抗力的，不能免除责任。</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（三）不可抗力事由消除后，合同继续履行或解除等相关事宜，由合同双方协商解决。</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十四、索赔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根据货物的低劣程度、损坏程度以及甲方遭受损失的数额，经甲乙双方协商确定降低货物的价格。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十五、合同的解除和转让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（一）除《政府采购法》第49条、第50条第二款规定的情形及本合同约定的情形外，本合同签订后，甲乙双方不得擅自变更、解除或终止本合同。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（二）有下列情形之一的，合同一方可以解除合同：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因不可抗力致使不能实现合同目的的，未受不可抗力影响的一方有权解除合同；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因合同一方违约导致合同不能履行的，另一方有权解除合同；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有权解除合同的一方，应当在违约事实或不可抗力发生后30日内书面通知对方解除本合同，本合同在书面通知到达对方时解除。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（三）乙方不得将本合同的部分或全部义务转让给任何第三方。</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十六、合同的生效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本合同自甲乙双方法定（授权）代表人签字并盖章后生效。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十七、争议解决</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十八、其他附则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（一）合同份数：本合同一式</w:t>
      </w:r>
      <w:r>
        <w:rPr>
          <w:rFonts w:hint="eastAsia" w:ascii="宋体" w:hAnsi="宋体" w:eastAsia="宋体" w:cs="宋体"/>
          <w:sz w:val="24"/>
          <w:highlight w:val="none"/>
        </w:rPr>
        <w:t xml:space="preserve">柒</w:t>
      </w:r>
      <w:r>
        <w:rPr>
          <w:rFonts w:ascii="宋体" w:hAnsi="宋体" w:eastAsia="宋体" w:cs="宋体"/>
          <w:sz w:val="24"/>
          <w:highlight w:val="none"/>
        </w:rPr>
        <w:t xml:space="preserve">份，甲方</w:t>
      </w:r>
      <w:r>
        <w:rPr>
          <w:rFonts w:hint="eastAsia" w:ascii="宋体" w:hAnsi="宋体" w:eastAsia="宋体" w:cs="宋体"/>
          <w:sz w:val="24"/>
          <w:highlight w:val="none"/>
        </w:rPr>
        <w:t xml:space="preserve">肆</w:t>
      </w:r>
      <w:r>
        <w:rPr>
          <w:rFonts w:ascii="宋体" w:hAnsi="宋体" w:eastAsia="宋体" w:cs="宋体"/>
          <w:sz w:val="24"/>
          <w:highlight w:val="none"/>
        </w:rPr>
        <w:t xml:space="preserve">份，乙方贰份，采购代理机构执壹份，各份合同具有同等法律效力。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（二）本合同未尽事宜应按《中华人民共和国民法典》《中华人民共和国政府采购法》以及其它法律、法规之规定解释，在执行过程中甲乙双方应在不违背本合同和</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的原则下协商解决，协商结果以书面形式盖章记录，作为本合同的附件，与本合同具有同等法律效力，但须提交采购代理机构壹份备存。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（以下无正文）</w:t>
      </w:r>
      <w:r/>
    </w:p>
    <w:p>
      <w:pPr>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甲方（盖章）：</w:t>
      </w:r>
      <w:r>
        <w:rPr>
          <w:rFonts w:hint="eastAsia" w:ascii="宋体" w:hAnsi="宋体" w:eastAsia="宋体" w:cs="宋体"/>
          <w:sz w:val="24"/>
          <w:highlight w:val="none"/>
        </w:rPr>
        <w:t xml:space="preserve">苏州大学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乙方（盖章）：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法定（授权）代表人（签字）：</w:t>
      </w:r>
      <w:r/>
    </w:p>
    <w:p>
      <w:pPr>
        <w:ind w:firstLine="480"/>
        <w:spacing w:line="360" w:lineRule="auto"/>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rPr>
          <w:rFonts w:ascii="宋体" w:hAnsi="宋体" w:eastAsia="宋体" w:cs="宋体"/>
          <w:b/>
          <w:sz w:val="44"/>
          <w:highlight w:val="none"/>
        </w:rPr>
        <w:br w:type="page" w:clear="all"/>
      </w:r>
      <w:r/>
    </w:p>
    <w:p>
      <w:pPr>
        <w:pStyle w:val="74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4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二、评分标准：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(一)投标报价：(30分)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第一步：投标总报价低于或等于采购预算（最高限价）的，为有效投标报价。超采购预算（最高限价）的投标报价为无效投标报价。无效投标报价的投标文件不进行评审，也不得标。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第二步：价格分采用低价优先法计算，即满足招标文件要求且投标价格最低的投标报价为评标基准价，其价格分为满分30分。其他供应商的价格分统一按照下列公式计算：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投标报价得分=（评标基准价/投标报价）*价格权值*100，小数点后保留两位（价格权值为30%）。</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ascii="宋体" w:hAnsi="宋体" w:eastAsia="宋体" w:cs="宋体"/>
          <w:b/>
          <w:bCs/>
          <w:sz w:val="24"/>
          <w:szCs w:val="24"/>
          <w:highlight w:val="none"/>
        </w:rPr>
        <w:t xml:space="preserve">对于符合上述文件规定情形的小微企业、残疾人福利性单位及监狱企业报价给予10%的扣除，用扣除后的价格参与评审，如扣除后的价格为最低价的，则作为评标基准价，中标金额则以实际投标报价为准。残疾人福利性单位属于小型、微型企业的，不重复享受政策。投标人提供的货物既有中小企业制造货物，也有大型企业制造货物的，不享受中小企业扶持政策。</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szCs w:val="24"/>
          <w:highlight w:val="none"/>
        </w:rPr>
        <w:t xml:space="preserve">注：</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szCs w:val="24"/>
          <w:highlight w:val="none"/>
        </w:rPr>
        <w:t xml:space="preserve">①填报“中小企业声明函”需严格按“工信部联企业〔2011〕300号通知中的《中小企业划型标准规定》进行。</w:t>
      </w:r>
      <w:r/>
    </w:p>
    <w:p>
      <w:pPr>
        <w:pStyle w:val="759"/>
        <w:ind w:left="0" w:right="0" w:firstLine="480"/>
        <w:rPr>
          <w:rFonts w:hint="default" w:ascii="宋体" w:hAnsi="宋体" w:eastAsia="宋体" w:cs="宋体"/>
          <w:b/>
          <w:bCs/>
          <w:color w:val="000000"/>
          <w:sz w:val="24"/>
          <w:szCs w:val="24"/>
          <w:highlight w:val="none"/>
        </w:rPr>
      </w:pPr>
      <w:r>
        <w:rPr>
          <w:rFonts w:ascii="宋体" w:hAnsi="宋体" w:eastAsia="宋体" w:cs="宋体"/>
          <w:sz w:val="24"/>
          <w:szCs w:val="24"/>
          <w:highlight w:val="none"/>
        </w:rPr>
        <w:t xml:space="preserve">②若供应商提供的声明函或认定证明为虚假材料，按“政府采购法”相关规定处理并报请政府监管部门给予行政处罚。</w:t>
      </w:r>
      <w:r/>
    </w:p>
    <w:p>
      <w:pPr>
        <w:pStyle w:val="759"/>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82"/>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59"/>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pStyle w:val="776"/>
        <w:ind w:firstLine="482"/>
        <w:spacing w:before="0" w:beforeAutospacing="0" w:after="0" w:afterAutospacing="0" w:line="360" w:lineRule="auto"/>
        <w:rPr>
          <w:rFonts w:ascii="宋体" w:hAnsi="宋体" w:eastAsia="宋体" w:cs="宋体"/>
          <w:b/>
          <w:bCs/>
          <w:szCs w:val="24"/>
          <w:highlight w:val="none"/>
        </w:rPr>
        <w:outlineLvl w:val="1"/>
      </w:pPr>
      <w:r>
        <w:rPr>
          <w:rFonts w:hint="eastAsia" w:ascii="宋体" w:hAnsi="宋体" w:eastAsia="宋体" w:cs="宋体"/>
          <w:b/>
          <w:bCs/>
          <w:szCs w:val="24"/>
          <w:highlight w:val="none"/>
          <w:shd w:val="clear" w:color="auto" w:fill="ffffff"/>
        </w:rPr>
        <w:t xml:space="preserve">（二）技术与质量（24分）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1.技术参数（</w:t>
      </w:r>
      <w:r>
        <w:rPr>
          <w:rFonts w:ascii="宋体" w:hAnsi="宋体" w:eastAsia="宋体" w:cs="宋体"/>
          <w:sz w:val="24"/>
          <w:szCs w:val="24"/>
          <w:highlight w:val="none"/>
        </w:rPr>
        <w:t xml:space="preserve">4.5</w:t>
      </w:r>
      <w:r>
        <w:rPr>
          <w:rFonts w:hint="eastAsia" w:ascii="宋体" w:hAnsi="宋体" w:eastAsia="宋体" w:cs="宋体"/>
          <w:sz w:val="24"/>
          <w:szCs w:val="24"/>
          <w:highlight w:val="none"/>
        </w:rPr>
        <w:t xml:space="preserve">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多联机空调设备技术指标偏离情况：供应商在投标文件中须提供《技术规格偏离表》（详见）投标文件格式，其内容须按照招标文件要求和所投本项目产品进行逐一对照比较并注明正负偏离数值及百分比（四舍五入保留两位小数），否则本项不得分。（以投标产品生产厂家样本为准，不提供不得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（1）多联机空调制冷量、制热量、噪音、功率、运行风量，参照《设备清单及技术参数》中的参数要求，负偏离3.00%（含）以内的不扣分；</w:t>
      </w:r>
      <w:r/>
    </w:p>
    <w:p>
      <w:pPr>
        <w:ind w:firstLine="480"/>
        <w:spacing w:line="360" w:lineRule="auto"/>
        <w:rPr>
          <w:rFonts w:hint="eastAsia"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rPr>
        <w:t xml:space="preserve">（2）负偏离在3.00%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5.00%（含）的每出现一</w:t>
      </w:r>
      <w:r>
        <w:rPr>
          <w:rFonts w:hint="eastAsia" w:ascii="宋体" w:hAnsi="宋体" w:eastAsia="宋体" w:cs="宋体"/>
          <w:sz w:val="24"/>
          <w:szCs w:val="24"/>
          <w:highlight w:val="none"/>
          <w:lang w:val="en-US" w:eastAsia="zh-CN"/>
        </w:rPr>
        <w:t xml:space="preserve">项</w:t>
      </w:r>
      <w:r>
        <w:rPr>
          <w:rFonts w:hint="eastAsia" w:ascii="宋体" w:hAnsi="宋体" w:eastAsia="宋体" w:cs="宋体"/>
          <w:sz w:val="24"/>
          <w:szCs w:val="24"/>
          <w:highlight w:val="none"/>
        </w:rPr>
        <w:t xml:space="preserve">扣0.1分。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2.压缩机技术（</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（1）多联机空调室内外机、压缩机、变频模块三项均为同一品牌的得</w:t>
      </w: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分，有两项为同一品牌的得1分，三项均不同品牌不得分（压缩机OEM或代工的不得分，须提供投标产品生产厂家样本或生产厂家的盖章证明文件或国家认可的第三方认证机构出具的报告证明文件并加盖公章，否则不得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2）多联机空调设备采用具有直流变频的喷气增焓技术的涡旋式压缩机的得2分，其他类型得1分（须提供投标产品生产厂家样本或生产厂家的盖章证明文件或国家认可的第三方认证机构出具的报告证明文件并加盖公章，否则不得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3.回油技术（2分）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多联机空调具有智能回油技术的得2分，否则不得分（须提供国家认可的第三方认证机构认证的产品长期可靠运行证书网站查询截图、证书的彩色扫描件并加盖公章，否则不得分）。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4.设备可靠性（8分）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（1）具备长时间稳定运行能力，产品平均无故障或长期可靠运行运转时间可达16年（不含）以上，得4分；12年（不含）</w:t>
      </w:r>
      <w:r>
        <w:rPr>
          <w:rFonts w:ascii="Times New Roman" w:hAnsi="Times New Roman" w:eastAsia="宋体" w:cs="Times New Roman"/>
          <w:sz w:val="24"/>
          <w:szCs w:val="24"/>
          <w:highlight w:val="none"/>
        </w:rPr>
        <w:t xml:space="preserve">~</w:t>
      </w:r>
      <w:r>
        <w:rPr>
          <w:rFonts w:hint="eastAsia" w:ascii="宋体" w:hAnsi="宋体" w:eastAsia="宋体" w:cs="宋体"/>
          <w:sz w:val="24"/>
          <w:szCs w:val="24"/>
          <w:highlight w:val="none"/>
        </w:rPr>
        <w:t xml:space="preserve">16年（含），得2分，其余不得分。（须提供国家认可的第三方认证机构认证的产品长期可靠运行证书网站查询截图、证书的彩色扫描件并加盖公章，否则不得分）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（2）具有制冷剂泄露监测功能或制冷剂泄露预警功能，任有一项得2分。（须提供国家认可的第三方认证机构认证的产品功能评价证书网站查询截图、证书及检测报告的彩色扫描件并加盖公章，否则不得分）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（3）室外机具有在高温极端环境下稳定运行能力，可在56℃ DB（含）环境温度下进行连续稳定运行的得2分，在50℃（含）</w:t>
      </w:r>
      <w:r>
        <w:rPr>
          <w:rFonts w:ascii="Times New Roman" w:hAnsi="Times New Roman" w:eastAsia="宋体" w:cs="Times New Roman"/>
          <w:sz w:val="24"/>
          <w:szCs w:val="24"/>
          <w:highlight w:val="none"/>
        </w:rPr>
        <w:t xml:space="preserve">~</w:t>
      </w:r>
      <w:r>
        <w:rPr>
          <w:rFonts w:hint="eastAsia" w:ascii="宋体" w:hAnsi="宋体" w:eastAsia="宋体" w:cs="宋体"/>
          <w:sz w:val="24"/>
          <w:szCs w:val="24"/>
          <w:highlight w:val="none"/>
        </w:rPr>
        <w:t xml:space="preserve">56℃ DB（不含）环境温度下能稳定运行的得1分，其余不得分。（须提供国家认可的第三方认证机构认证的产品功能评价证书网站查询截图、证书及检测报告的彩色扫描件并加盖公章，否则不得分）。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5.节能性（</w:t>
      </w:r>
      <w:r>
        <w:rPr>
          <w:rFonts w:ascii="宋体" w:hAnsi="宋体" w:eastAsia="宋体" w:cs="宋体"/>
          <w:sz w:val="24"/>
          <w:szCs w:val="24"/>
          <w:highlight w:val="none"/>
        </w:rPr>
        <w:t xml:space="preserve">5.5</w:t>
      </w:r>
      <w:r>
        <w:rPr>
          <w:rFonts w:hint="eastAsia" w:ascii="宋体" w:hAnsi="宋体" w:eastAsia="宋体" w:cs="宋体"/>
          <w:sz w:val="24"/>
          <w:szCs w:val="24"/>
          <w:highlight w:val="none"/>
        </w:rPr>
        <w:t xml:space="preserve">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多联机基本模块全年系数APF值平均值比较（</w:t>
      </w:r>
      <w:r>
        <w:rPr>
          <w:rFonts w:ascii="宋体" w:hAnsi="宋体" w:eastAsia="宋体" w:cs="宋体"/>
          <w:sz w:val="24"/>
          <w:szCs w:val="24"/>
          <w:highlight w:val="none"/>
        </w:rPr>
        <w:t xml:space="preserve">5.5</w:t>
      </w:r>
      <w:r>
        <w:rPr>
          <w:rFonts w:hint="eastAsia" w:ascii="宋体" w:hAnsi="宋体" w:eastAsia="宋体" w:cs="宋体"/>
          <w:sz w:val="24"/>
          <w:szCs w:val="24"/>
          <w:highlight w:val="none"/>
        </w:rPr>
        <w:t xml:space="preserve">分）</w:t>
      </w:r>
      <w:r/>
    </w:p>
    <w:p>
      <w:pPr>
        <w:ind w:firstLine="480"/>
        <w:spacing w:line="360" w:lineRule="auto"/>
        <w:rPr>
          <w:rFonts w:ascii="宋体" w:hAnsi="宋体" w:eastAsia="宋体" w:cs="宋体"/>
          <w:sz w:val="24"/>
          <w:szCs w:val="24"/>
          <w:highlight w:val="none"/>
        </w:rPr>
        <w:outlineLvl w:val="2"/>
      </w:pPr>
      <w:r>
        <w:rPr>
          <w:rFonts w:hint="eastAsia" w:ascii="宋体" w:hAnsi="宋体" w:eastAsia="宋体" w:cs="宋体"/>
          <w:sz w:val="24"/>
          <w:szCs w:val="24"/>
          <w:highlight w:val="none"/>
        </w:rPr>
        <w:t xml:space="preserve">多联机空调产品基本模块（8HP、10HP、12HP、14HP、16HP、18HP、20HP、22HP）的全年性能系数APF平均值≥5.4的得</w:t>
      </w:r>
      <w:r>
        <w:rPr>
          <w:rFonts w:ascii="宋体" w:hAnsi="宋体" w:eastAsia="宋体" w:cs="宋体"/>
          <w:sz w:val="24"/>
          <w:szCs w:val="24"/>
          <w:highlight w:val="none"/>
        </w:rPr>
        <w:t xml:space="preserve">5.5</w:t>
      </w:r>
      <w:r>
        <w:rPr>
          <w:rFonts w:hint="eastAsia" w:ascii="宋体" w:hAnsi="宋体" w:eastAsia="宋体" w:cs="宋体"/>
          <w:sz w:val="24"/>
          <w:szCs w:val="24"/>
          <w:highlight w:val="none"/>
        </w:rPr>
        <w:t xml:space="preserve">分，4.6≤APF平均值＜5.4得</w:t>
      </w:r>
      <w:r>
        <w:rPr>
          <w:rFonts w:ascii="宋体" w:hAnsi="宋体" w:eastAsia="宋体" w:cs="宋体"/>
          <w:sz w:val="24"/>
          <w:szCs w:val="24"/>
          <w:highlight w:val="none"/>
        </w:rPr>
        <w:t xml:space="preserve">2.5</w:t>
      </w:r>
      <w:r>
        <w:rPr>
          <w:rFonts w:hint="eastAsia" w:ascii="宋体" w:hAnsi="宋体" w:eastAsia="宋体" w:cs="宋体"/>
          <w:sz w:val="24"/>
          <w:szCs w:val="24"/>
          <w:highlight w:val="none"/>
        </w:rPr>
        <w:t xml:space="preserve">分，其余得1分。（须提供“中国能效标识网”公示的APF值截图，并加盖公章，否则不得分）。</w:t>
      </w:r>
      <w:r/>
    </w:p>
    <w:p>
      <w:pPr>
        <w:pStyle w:val="776"/>
        <w:ind w:firstLine="482"/>
        <w:spacing w:before="0" w:beforeAutospacing="0" w:after="0" w:afterAutospacing="0" w:line="360" w:lineRule="auto"/>
        <w:rPr>
          <w:rFonts w:ascii="宋体" w:hAnsi="宋体" w:eastAsia="宋体" w:cs="宋体"/>
          <w:b/>
          <w:bCs/>
          <w:szCs w:val="24"/>
          <w:highlight w:val="none"/>
          <w:shd w:val="clear" w:color="auto" w:fill="ffffff"/>
        </w:rPr>
        <w:outlineLvl w:val="1"/>
      </w:pPr>
      <w:r>
        <w:rPr>
          <w:rFonts w:hint="eastAsia" w:ascii="宋体" w:hAnsi="宋体" w:eastAsia="宋体" w:cs="宋体"/>
          <w:b/>
          <w:bCs/>
          <w:szCs w:val="24"/>
          <w:highlight w:val="none"/>
          <w:shd w:val="clear" w:color="auto" w:fill="ffffff"/>
        </w:rPr>
        <w:t xml:space="preserve">（三）施工方案（32分）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1.总体部署及实施方案（</w:t>
      </w:r>
      <w:r>
        <w:rPr>
          <w:rFonts w:ascii="宋体" w:hAnsi="宋体" w:eastAsia="宋体" w:cs="宋体"/>
          <w:szCs w:val="24"/>
          <w:highlight w:val="none"/>
          <w:shd w:val="clear" w:color="auto" w:fill="ffffff"/>
        </w:rPr>
        <w:t xml:space="preserve">10</w:t>
      </w:r>
      <w:r>
        <w:rPr>
          <w:rFonts w:hint="eastAsia" w:ascii="宋体" w:hAnsi="宋体" w:eastAsia="宋体" w:cs="宋体"/>
          <w:szCs w:val="24"/>
          <w:highlight w:val="none"/>
          <w:shd w:val="clear" w:color="auto" w:fill="ffffff"/>
        </w:rPr>
        <w:t xml:space="preserve">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根据各供应商针对本项目的实际现场情况编制的总体部署和实施技术方案综合评定。总体部署安排科学，实施技术方案详细合理可行的，得</w:t>
      </w:r>
      <w:r>
        <w:rPr>
          <w:rFonts w:ascii="宋体" w:hAnsi="宋体" w:eastAsia="宋体" w:cs="宋体"/>
          <w:szCs w:val="24"/>
          <w:highlight w:val="none"/>
          <w:shd w:val="clear" w:color="auto" w:fill="ffffff"/>
        </w:rPr>
        <w:t xml:space="preserve">10</w:t>
      </w:r>
      <w:r>
        <w:rPr>
          <w:rFonts w:hint="eastAsia" w:ascii="宋体" w:hAnsi="宋体" w:eastAsia="宋体" w:cs="宋体"/>
          <w:szCs w:val="24"/>
          <w:highlight w:val="none"/>
          <w:shd w:val="clear" w:color="auto" w:fill="ffffff"/>
        </w:rPr>
        <w:t xml:space="preserve">分；总体部署安排较科学，实施技术方案较详细、较合理可行的，得</w:t>
      </w:r>
      <w:r>
        <w:rPr>
          <w:rFonts w:ascii="宋体" w:hAnsi="宋体" w:eastAsia="宋体" w:cs="宋体"/>
          <w:szCs w:val="24"/>
          <w:highlight w:val="none"/>
          <w:shd w:val="clear" w:color="auto" w:fill="ffffff"/>
        </w:rPr>
        <w:t xml:space="preserve">6</w:t>
      </w:r>
      <w:r>
        <w:rPr>
          <w:rFonts w:hint="eastAsia" w:ascii="宋体" w:hAnsi="宋体" w:eastAsia="宋体" w:cs="宋体"/>
          <w:szCs w:val="24"/>
          <w:highlight w:val="none"/>
          <w:shd w:val="clear" w:color="auto" w:fill="ffffff"/>
        </w:rPr>
        <w:t xml:space="preserve">分；总体部署安排及实施技术方案基本合理的，得2分，不提供不得分。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2.质量保障措施（</w:t>
      </w:r>
      <w:r>
        <w:rPr>
          <w:rFonts w:ascii="宋体" w:hAnsi="宋体" w:eastAsia="宋体" w:cs="宋体"/>
          <w:szCs w:val="24"/>
          <w:highlight w:val="none"/>
          <w:shd w:val="clear" w:color="auto" w:fill="ffffff"/>
        </w:rPr>
        <w:t xml:space="preserve">7</w:t>
      </w:r>
      <w:r>
        <w:rPr>
          <w:rFonts w:hint="eastAsia" w:ascii="宋体" w:hAnsi="宋体" w:eastAsia="宋体" w:cs="宋体"/>
          <w:szCs w:val="24"/>
          <w:highlight w:val="none"/>
          <w:shd w:val="clear" w:color="auto" w:fill="ffffff"/>
        </w:rPr>
        <w:t xml:space="preserve">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针对本项目提供实施过程的监督措施、质量保证措施。监督措施严格合理、质量保证措施完整详细的得</w:t>
      </w:r>
      <w:r>
        <w:rPr>
          <w:rFonts w:ascii="宋体" w:hAnsi="宋体" w:eastAsia="宋体" w:cs="宋体"/>
          <w:szCs w:val="24"/>
          <w:highlight w:val="none"/>
          <w:shd w:val="clear" w:color="auto" w:fill="ffffff"/>
        </w:rPr>
        <w:t xml:space="preserve">7</w:t>
      </w:r>
      <w:r>
        <w:rPr>
          <w:rFonts w:hint="eastAsia" w:ascii="宋体" w:hAnsi="宋体" w:eastAsia="宋体" w:cs="宋体"/>
          <w:szCs w:val="24"/>
          <w:highlight w:val="none"/>
          <w:shd w:val="clear" w:color="auto" w:fill="ffffff"/>
        </w:rPr>
        <w:t xml:space="preserve">分；监督措施较合理可行、质量保证措施较详细的得</w:t>
      </w:r>
      <w:r>
        <w:rPr>
          <w:rFonts w:ascii="宋体" w:hAnsi="宋体" w:eastAsia="宋体" w:cs="宋体"/>
          <w:szCs w:val="24"/>
          <w:highlight w:val="none"/>
          <w:shd w:val="clear" w:color="auto" w:fill="ffffff"/>
        </w:rPr>
        <w:t xml:space="preserve">4</w:t>
      </w:r>
      <w:r>
        <w:rPr>
          <w:rFonts w:hint="eastAsia" w:ascii="宋体" w:hAnsi="宋体" w:eastAsia="宋体" w:cs="宋体"/>
          <w:szCs w:val="24"/>
          <w:highlight w:val="none"/>
          <w:shd w:val="clear" w:color="auto" w:fill="ffffff"/>
        </w:rPr>
        <w:t xml:space="preserve">分；监督措施、质量保证措施基本合理可行的得</w:t>
      </w:r>
      <w:r>
        <w:rPr>
          <w:rFonts w:ascii="宋体" w:hAnsi="宋体" w:eastAsia="宋体" w:cs="宋体"/>
          <w:szCs w:val="24"/>
          <w:highlight w:val="none"/>
          <w:shd w:val="clear" w:color="auto" w:fill="ffffff"/>
        </w:rPr>
        <w:t xml:space="preserve">1</w:t>
      </w:r>
      <w:r>
        <w:rPr>
          <w:rFonts w:hint="eastAsia" w:ascii="宋体" w:hAnsi="宋体" w:eastAsia="宋体" w:cs="宋体"/>
          <w:szCs w:val="24"/>
          <w:highlight w:val="none"/>
          <w:shd w:val="clear" w:color="auto" w:fill="ffffff"/>
        </w:rPr>
        <w:t xml:space="preserve">分；未提供或与项目严重不符，不得分。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3.人员组织方案（</w:t>
      </w:r>
      <w:r>
        <w:rPr>
          <w:rFonts w:ascii="宋体" w:hAnsi="宋体" w:eastAsia="宋体" w:cs="宋体"/>
          <w:szCs w:val="24"/>
          <w:highlight w:val="none"/>
          <w:shd w:val="clear" w:color="auto" w:fill="ffffff"/>
        </w:rPr>
        <w:t xml:space="preserve">7</w:t>
      </w:r>
      <w:r>
        <w:rPr>
          <w:rFonts w:hint="eastAsia" w:ascii="宋体" w:hAnsi="宋体" w:eastAsia="宋体" w:cs="宋体"/>
          <w:szCs w:val="24"/>
          <w:highlight w:val="none"/>
          <w:shd w:val="clear" w:color="auto" w:fill="ffffff"/>
        </w:rPr>
        <w:t xml:space="preserve">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根据各供应商针对本项目提供的施工人员安排综合评定，主要考察人员的组织安排、安全管理、质量管理和保障措施等。人员组织合理，施工安全管理、质量管理、保障措施完整可行，可操作性强的得</w:t>
      </w:r>
      <w:r>
        <w:rPr>
          <w:rFonts w:ascii="宋体" w:hAnsi="宋体" w:eastAsia="宋体" w:cs="宋体"/>
          <w:szCs w:val="24"/>
          <w:highlight w:val="none"/>
          <w:shd w:val="clear" w:color="auto" w:fill="ffffff"/>
        </w:rPr>
        <w:t xml:space="preserve">7</w:t>
      </w:r>
      <w:r>
        <w:rPr>
          <w:rFonts w:hint="eastAsia" w:ascii="宋体" w:hAnsi="宋体" w:eastAsia="宋体" w:cs="宋体"/>
          <w:szCs w:val="24"/>
          <w:highlight w:val="none"/>
          <w:shd w:val="clear" w:color="auto" w:fill="ffffff"/>
        </w:rPr>
        <w:t xml:space="preserve">分；人员组织较合理，施工安全管理、质量管理、保障措施较完整可行，可操作性较强的得</w:t>
      </w:r>
      <w:r>
        <w:rPr>
          <w:rFonts w:ascii="宋体" w:hAnsi="宋体" w:eastAsia="宋体" w:cs="宋体"/>
          <w:szCs w:val="24"/>
          <w:highlight w:val="none"/>
          <w:shd w:val="clear" w:color="auto" w:fill="ffffff"/>
        </w:rPr>
        <w:t xml:space="preserve">4</w:t>
      </w:r>
      <w:r>
        <w:rPr>
          <w:rFonts w:hint="eastAsia" w:ascii="宋体" w:hAnsi="宋体" w:eastAsia="宋体" w:cs="宋体"/>
          <w:szCs w:val="24"/>
          <w:highlight w:val="none"/>
          <w:shd w:val="clear" w:color="auto" w:fill="ffffff"/>
        </w:rPr>
        <w:t xml:space="preserve">分；人员组织基本合理，施工安全管理、质量管理、保障措施基本可行，有一定操作性的得</w:t>
      </w:r>
      <w:r>
        <w:rPr>
          <w:rFonts w:ascii="宋体" w:hAnsi="宋体" w:eastAsia="宋体" w:cs="宋体"/>
          <w:szCs w:val="24"/>
          <w:highlight w:val="none"/>
          <w:shd w:val="clear" w:color="auto" w:fill="ffffff"/>
        </w:rPr>
        <w:t xml:space="preserve">1</w:t>
      </w:r>
      <w:r>
        <w:rPr>
          <w:rFonts w:hint="eastAsia" w:ascii="宋体" w:hAnsi="宋体" w:eastAsia="宋体" w:cs="宋体"/>
          <w:szCs w:val="24"/>
          <w:highlight w:val="none"/>
          <w:shd w:val="clear" w:color="auto" w:fill="ffffff"/>
        </w:rPr>
        <w:t xml:space="preserve">分；未提供或与项目严重不符，不得分。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4.项目实施重难点和解决方案（8分）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针对本项目阐述关键施工技术对应解决方案。内容清晰完整，解决方案周全，目标明确，贴合学校实际的，得8分；内容较完整，较能明确阐述方案，较贴合学校实际的，得5分；内容基本完整，阐述方案有一定针对性，贴合学校实际</w:t>
      </w:r>
      <w:r>
        <w:rPr>
          <w:rFonts w:hint="eastAsia" w:ascii="宋体" w:hAnsi="宋体" w:eastAsia="宋体" w:cs="宋体"/>
          <w:szCs w:val="24"/>
          <w:highlight w:val="none"/>
          <w:shd w:val="clear" w:color="auto" w:fill="ffffff"/>
          <w:lang w:val="en-US" w:eastAsia="zh-CN"/>
        </w:rPr>
        <w:t xml:space="preserve">性</w:t>
      </w:r>
      <w:r>
        <w:rPr>
          <w:rFonts w:hint="eastAsia" w:ascii="宋体" w:hAnsi="宋体" w:eastAsia="宋体" w:cs="宋体"/>
          <w:szCs w:val="24"/>
          <w:highlight w:val="none"/>
          <w:shd w:val="clear" w:color="auto" w:fill="ffffff"/>
        </w:rPr>
        <w:t xml:space="preserve">不强的，得2分；未提供或与项目严重不符，不得分。</w:t>
      </w:r>
      <w:r/>
    </w:p>
    <w:p>
      <w:pPr>
        <w:pStyle w:val="776"/>
        <w:ind w:firstLine="482"/>
        <w:spacing w:before="0" w:beforeAutospacing="0" w:after="0" w:afterAutospacing="0" w:line="360" w:lineRule="auto"/>
        <w:rPr>
          <w:rFonts w:ascii="宋体" w:hAnsi="宋体" w:eastAsia="宋体" w:cs="宋体"/>
          <w:b/>
          <w:bCs/>
          <w:szCs w:val="24"/>
          <w:highlight w:val="none"/>
          <w:shd w:val="clear" w:color="auto" w:fill="ffffff"/>
        </w:rPr>
        <w:outlineLvl w:val="1"/>
      </w:pPr>
      <w:r>
        <w:rPr>
          <w:rFonts w:hint="eastAsia" w:ascii="宋体" w:hAnsi="宋体" w:eastAsia="宋体" w:cs="宋体"/>
          <w:b/>
          <w:bCs/>
          <w:szCs w:val="24"/>
          <w:highlight w:val="none"/>
          <w:shd w:val="clear" w:color="auto" w:fill="ffffff"/>
        </w:rPr>
        <w:t xml:space="preserve">（四）售后服务（7分）</w:t>
      </w:r>
      <w:r/>
    </w:p>
    <w:p>
      <w:pPr>
        <w:pStyle w:val="776"/>
        <w:ind w:firstLine="480"/>
        <w:spacing w:before="0" w:beforeAutospacing="0" w:after="0" w:afterAutospacing="0" w:line="360" w:lineRule="auto"/>
        <w:rPr>
          <w:rFonts w:ascii="宋体" w:hAnsi="宋体" w:eastAsia="宋体" w:cs="宋体"/>
          <w:szCs w:val="24"/>
          <w:highlight w:val="none"/>
        </w:rPr>
        <w:outlineLvl w:val="2"/>
      </w:pPr>
      <w:r>
        <w:rPr>
          <w:rFonts w:hint="eastAsia" w:ascii="宋体" w:hAnsi="宋体" w:eastAsia="宋体" w:cs="宋体"/>
          <w:szCs w:val="24"/>
          <w:highlight w:val="none"/>
          <w:shd w:val="clear" w:color="auto" w:fill="ffffff"/>
        </w:rPr>
        <w:t xml:space="preserve">1.免费质保期（4分）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整机原厂免费质保在满足采购文件要求的基础上(4年），每增加一年得2分，最高得4分。（须提供原厂关于免费质保期的承诺书和厂家相关部门的联系方式，不提供不得分）。</w:t>
      </w:r>
      <w:r/>
    </w:p>
    <w:p>
      <w:pPr>
        <w:pStyle w:val="776"/>
        <w:ind w:firstLine="480"/>
        <w:spacing w:before="0" w:beforeAutospacing="0" w:after="0" w:afterAutospacing="0" w:line="360" w:lineRule="auto"/>
        <w:rPr>
          <w:rFonts w:ascii="宋体" w:hAnsi="宋体" w:eastAsia="宋体" w:cs="宋体"/>
          <w:szCs w:val="24"/>
          <w:highlight w:val="none"/>
        </w:rPr>
        <w:outlineLvl w:val="2"/>
      </w:pPr>
      <w:r>
        <w:rPr>
          <w:rFonts w:hint="eastAsia" w:ascii="宋体" w:hAnsi="宋体" w:eastAsia="宋体" w:cs="宋体"/>
          <w:szCs w:val="24"/>
          <w:highlight w:val="none"/>
          <w:shd w:val="clear" w:color="auto" w:fill="ffffff"/>
        </w:rPr>
        <w:t xml:space="preserve">2.售后服务方案（3分）</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（1）针对本项目的售后服务体系、方式、具体内容等；</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（2）针对本项目的售后服务应急措施方案；</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（3）针对本项目的售后服务配套措施；</w:t>
      </w:r>
      <w:r/>
    </w:p>
    <w:p>
      <w:pPr>
        <w:pStyle w:val="776"/>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上述每项应逐条叙述。内容完整，条理清晰，每项得1分；内容有一定合理性、可行性的得0.5分；每项叙述内容与采购需求偏差较大或未作完整叙述的，不得分。最高得3分。</w:t>
      </w:r>
      <w:r/>
    </w:p>
    <w:p>
      <w:pPr>
        <w:pStyle w:val="776"/>
        <w:ind w:firstLine="482"/>
        <w:spacing w:before="0" w:beforeAutospacing="0" w:after="0" w:afterAutospacing="0" w:line="360" w:lineRule="auto"/>
        <w:rPr>
          <w:rFonts w:ascii="宋体" w:hAnsi="宋体" w:eastAsia="宋体" w:cs="宋体"/>
          <w:b/>
          <w:bCs/>
          <w:szCs w:val="24"/>
          <w:highlight w:val="none"/>
          <w:shd w:val="clear" w:color="auto" w:fill="ffffff"/>
        </w:rPr>
        <w:outlineLvl w:val="1"/>
      </w:pPr>
      <w:r>
        <w:rPr>
          <w:rFonts w:hint="eastAsia" w:ascii="宋体" w:hAnsi="宋体" w:eastAsia="宋体" w:cs="宋体"/>
          <w:b/>
          <w:bCs/>
          <w:szCs w:val="24"/>
          <w:highlight w:val="none"/>
          <w:shd w:val="clear" w:color="auto" w:fill="ffffff"/>
        </w:rPr>
        <w:t xml:space="preserve">（五）履约能力（4分）</w:t>
      </w:r>
      <w:r/>
    </w:p>
    <w:p>
      <w:pPr>
        <w:pStyle w:val="776"/>
        <w:ind w:firstLine="480"/>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1.</w:t>
      </w:r>
      <w:r>
        <w:rPr>
          <w:rFonts w:hint="eastAsia" w:ascii="宋体" w:hAnsi="宋体" w:eastAsia="宋体" w:cs="宋体"/>
          <w:szCs w:val="24"/>
          <w:highlight w:val="none"/>
          <w:shd w:val="clear" w:color="auto" w:fill="ffffff"/>
          <w:lang w:eastAsia="zh-CN"/>
        </w:rPr>
        <w:t xml:space="preserve">供应商</w:t>
      </w:r>
      <w:r>
        <w:rPr>
          <w:rFonts w:hint="eastAsia" w:ascii="宋体" w:hAnsi="宋体" w:eastAsia="宋体" w:cs="宋体"/>
          <w:szCs w:val="24"/>
          <w:highlight w:val="none"/>
          <w:shd w:val="clear" w:color="auto" w:fill="ffffff"/>
        </w:rPr>
        <w:t xml:space="preserve">具有（有效期内）国家标准《质量管理体系认证证书》、《环境管理体系认证证书》、《职业健康安全管理体系认证证书》的，每提供一个得1分，最高得3分。（须提供证书扫描件及中国认监委网站查询结果截图并加盖公章，不提供或提供不完整或无法辨认不得分）</w:t>
      </w:r>
      <w:r/>
    </w:p>
    <w:p>
      <w:pPr>
        <w:pStyle w:val="776"/>
        <w:ind w:firstLine="480"/>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2.供应商（或产品生产厂家）具有有效的国家标准（GB/T27922-2011）售后服务认证证书的，五星级及以上的得1分，其他不得分。（须提供证书扫描件并加盖公章，不提供或提供不完整或无法辨认不得分）</w:t>
      </w:r>
      <w:r/>
    </w:p>
    <w:p>
      <w:pPr>
        <w:pStyle w:val="776"/>
        <w:ind w:firstLine="482"/>
        <w:spacing w:before="0" w:beforeAutospacing="0" w:after="0" w:afterAutospacing="0" w:line="360" w:lineRule="auto"/>
        <w:rPr>
          <w:rFonts w:ascii="宋体" w:hAnsi="宋体" w:eastAsia="宋体" w:cs="宋体"/>
          <w:b/>
          <w:bCs/>
          <w:szCs w:val="24"/>
          <w:highlight w:val="none"/>
          <w:shd w:val="clear" w:color="auto" w:fill="ffffff"/>
        </w:rPr>
      </w:pPr>
      <w:r>
        <w:rPr>
          <w:rFonts w:hint="eastAsia" w:ascii="宋体" w:hAnsi="宋体" w:eastAsia="宋体" w:cs="宋体"/>
          <w:b/>
          <w:bCs/>
          <w:szCs w:val="24"/>
          <w:highlight w:val="none"/>
          <w:shd w:val="clear" w:color="auto" w:fill="ffffff"/>
        </w:rPr>
        <w:t xml:space="preserve">（六）类似业绩（3分）</w:t>
      </w:r>
      <w:r/>
    </w:p>
    <w:p>
      <w:pPr>
        <w:pStyle w:val="776"/>
        <w:ind w:firstLine="480"/>
        <w:spacing w:beforeAutospacing="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供应商自2023年6月以来（以验收日期为准）承接的多联机空调项目，每提供一份有效业绩得1分，最高得3分。（需同时提供合同扫描件及验收报告书扫描件并加盖供应商公章，不提供或提供不完整或无法辨认不得分）</w:t>
      </w:r>
      <w:r/>
    </w:p>
    <w:p>
      <w:pPr>
        <w:pStyle w:val="776"/>
        <w:ind w:firstLine="480"/>
        <w:spacing w:beforeAutospacing="0" w:afterAutospacing="0" w:line="360" w:lineRule="auto"/>
        <w:rPr>
          <w:rFonts w:ascii="宋体" w:hAnsi="宋体" w:eastAsia="宋体" w:cs="宋体"/>
          <w:szCs w:val="24"/>
          <w:highlight w:val="none"/>
        </w:rPr>
      </w:pPr>
      <w:r>
        <w:rPr>
          <w:rFonts w:ascii="宋体" w:hAnsi="宋体" w:eastAsia="宋体" w:cs="宋体"/>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1</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7"/>
    <w:uiPriority w:val="10"/>
    <w:rPr>
      <w:sz w:val="48"/>
      <w:szCs w:val="48"/>
    </w:rPr>
  </w:style>
  <w:style w:type="character" w:styleId="714">
    <w:name w:val="Subtitle Char"/>
    <w:basedOn w:val="751"/>
    <w:link w:val="770"/>
    <w:uiPriority w:val="11"/>
    <w:rPr>
      <w:sz w:val="24"/>
      <w:szCs w:val="24"/>
    </w:rPr>
  </w:style>
  <w:style w:type="character" w:styleId="715">
    <w:name w:val="Quote Char"/>
    <w:link w:val="802"/>
    <w:uiPriority w:val="29"/>
    <w:rPr>
      <w:i/>
    </w:rPr>
  </w:style>
  <w:style w:type="character" w:styleId="716">
    <w:name w:val="Intense Quote Char"/>
    <w:link w:val="804"/>
    <w:uiPriority w:val="30"/>
    <w:rPr>
      <w:i/>
    </w:rPr>
  </w:style>
  <w:style w:type="character" w:styleId="717">
    <w:name w:val="Header Char"/>
    <w:basedOn w:val="751"/>
    <w:link w:val="767"/>
    <w:uiPriority w:val="99"/>
  </w:style>
  <w:style w:type="character" w:styleId="718">
    <w:name w:val="Caption Char"/>
    <w:basedOn w:val="755"/>
    <w:link w:val="765"/>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1"/>
    <w:uiPriority w:val="99"/>
    <w:rPr>
      <w:sz w:val="18"/>
    </w:rPr>
  </w:style>
  <w:style w:type="character" w:styleId="739">
    <w:name w:val="Endnote Text Char"/>
    <w:link w:val="764"/>
    <w:uiPriority w:val="99"/>
    <w:rPr>
      <w:sz w:val="20"/>
    </w:rPr>
  </w:style>
  <w:style w:type="paragraph" w:styleId="740">
    <w:name w:val="TOC Heading"/>
    <w:uiPriority w:val="39"/>
    <w:unhideWhenUsed/>
  </w:style>
  <w:style w:type="paragraph" w:styleId="741" w:default="1">
    <w:name w:val="Normal"/>
    <w:uiPriority w:val="0"/>
    <w:qFormat/>
    <w:rPr>
      <w:rFonts w:asciiTheme="minorHAnsi" w:hAnsiTheme="minorHAnsi" w:eastAsiaTheme="minorEastAsia" w:cstheme="minorBidi"/>
      <w:sz w:val="21"/>
      <w:szCs w:val="22"/>
      <w:lang w:val="en-US" w:eastAsia="zh-CN" w:bidi="ar-SA"/>
    </w:rPr>
  </w:style>
  <w:style w:type="paragraph" w:styleId="742">
    <w:name w:val="Heading 1"/>
    <w:basedOn w:val="741"/>
    <w:next w:val="741"/>
    <w:link w:val="789"/>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90"/>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91"/>
    <w:uiPriority w:val="9"/>
    <w:unhideWhenUsed/>
    <w:qFormat/>
    <w:pPr>
      <w:keepLines/>
      <w:keepNext/>
      <w:spacing w:before="320" w:after="200"/>
      <w:outlineLvl w:val="2"/>
    </w:pPr>
    <w:rPr>
      <w:rFonts w:ascii="Arial" w:hAnsi="Arial" w:eastAsia="Arial" w:cs="Arial"/>
      <w:sz w:val="30"/>
      <w:szCs w:val="30"/>
    </w:rPr>
  </w:style>
  <w:style w:type="paragraph" w:styleId="745">
    <w:name w:val="Heading 4"/>
    <w:link w:val="79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46">
    <w:name w:val="Heading 5"/>
    <w:link w:val="79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7">
    <w:name w:val="Heading 6"/>
    <w:link w:val="79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8">
    <w:name w:val="Heading 7"/>
    <w:link w:val="79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9">
    <w:name w:val="Heading 8"/>
    <w:link w:val="79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0">
    <w:name w:val="Heading 9"/>
    <w:link w:val="79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54">
    <w:name w:val="Normal Indent"/>
    <w:basedOn w:val="741"/>
    <w:next w:val="741"/>
    <w:uiPriority w:val="0"/>
    <w:unhideWhenUsed/>
    <w:qFormat/>
    <w:pPr>
      <w:ind w:firstLine="420"/>
    </w:pPr>
    <w:rPr>
      <w:sz w:val="24"/>
    </w:rPr>
  </w:style>
  <w:style w:type="paragraph" w:styleId="75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56">
    <w:name w:val="annotation text"/>
    <w:basedOn w:val="741"/>
    <w:link w:val="788"/>
    <w:uiPriority w:val="99"/>
    <w:semiHidden/>
    <w:unhideWhenUsed/>
    <w:qFormat/>
    <w:rPr>
      <w:rFonts w:eastAsia="宋体"/>
      <w:b/>
      <w:sz w:val="24"/>
    </w:rPr>
  </w:style>
  <w:style w:type="paragraph" w:styleId="757">
    <w:name w:val="Body Text"/>
    <w:basedOn w:val="741"/>
    <w:uiPriority w:val="0"/>
    <w:unhideWhenUsed/>
    <w:qFormat/>
    <w:pPr>
      <w:spacing w:after="120"/>
    </w:pPr>
    <w:rPr>
      <w:rFonts w:ascii="Times New Roman" w:hAnsi="Times New Roman"/>
    </w:rPr>
  </w:style>
  <w:style w:type="paragraph" w:styleId="758">
    <w:name w:val="Body Text Indent"/>
    <w:basedOn w:val="741"/>
    <w:uiPriority w:val="0"/>
    <w:qFormat/>
    <w:pPr>
      <w:ind w:left="570"/>
      <w:spacing w:line="520" w:lineRule="exact"/>
    </w:pPr>
    <w:rPr>
      <w:rFonts w:ascii="方正仿宋简体" w:hAnsi="创艺简仿宋" w:eastAsia="方正仿宋简体"/>
      <w:sz w:val="24"/>
      <w:szCs w:val="20"/>
    </w:rPr>
  </w:style>
  <w:style w:type="paragraph" w:styleId="759">
    <w:name w:val="Block Text"/>
    <w:basedOn w:val="741"/>
    <w:uiPriority w:val="0"/>
    <w:qFormat/>
    <w:pPr>
      <w:ind w:left="630" w:right="-609" w:firstLine="420"/>
      <w:spacing w:line="360" w:lineRule="auto"/>
    </w:pPr>
    <w:rPr>
      <w:rFonts w:hint="eastAsia" w:ascii="仿宋_GB2312" w:eastAsia="仿宋_GB2312"/>
    </w:rPr>
  </w:style>
  <w:style w:type="paragraph" w:styleId="76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6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62">
    <w:name w:val="Plain Text"/>
    <w:basedOn w:val="741"/>
    <w:uiPriority w:val="0"/>
    <w:qFormat/>
    <w:rPr>
      <w:rFonts w:hint="eastAsia" w:ascii="宋体" w:hAnsi="Courier New"/>
    </w:rPr>
  </w:style>
  <w:style w:type="paragraph" w:styleId="76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64">
    <w:name w:val="endnote text"/>
    <w:link w:val="935"/>
    <w:uiPriority w:val="99"/>
    <w:semiHidden/>
    <w:unhideWhenUsed/>
    <w:qFormat/>
    <w:rPr>
      <w:rFonts w:asciiTheme="minorHAnsi" w:hAnsiTheme="minorHAnsi" w:eastAsiaTheme="minorEastAsia" w:cstheme="minorBidi"/>
      <w:szCs w:val="22"/>
      <w:lang w:val="en-US" w:eastAsia="zh-CN" w:bidi="ar-SA"/>
    </w:rPr>
  </w:style>
  <w:style w:type="paragraph" w:styleId="765">
    <w:name w:val="Footer"/>
    <w:link w:val="80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6">
    <w:name w:val="envelope return"/>
    <w:basedOn w:val="741"/>
    <w:uiPriority w:val="0"/>
    <w:qFormat/>
    <w:rPr>
      <w:rFonts w:ascii="Arial" w:hAnsi="Arial" w:eastAsia="宋体"/>
      <w:szCs w:val="24"/>
    </w:rPr>
  </w:style>
  <w:style w:type="paragraph" w:styleId="767">
    <w:name w:val="Header"/>
    <w:link w:val="80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8">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69">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70">
    <w:name w:val="Subtitle"/>
    <w:link w:val="801"/>
    <w:uiPriority w:val="11"/>
    <w:qFormat/>
    <w:pPr>
      <w:spacing w:before="200" w:after="200"/>
    </w:pPr>
    <w:rPr>
      <w:rFonts w:asciiTheme="minorHAnsi" w:hAnsiTheme="minorHAnsi" w:eastAsiaTheme="minorEastAsia" w:cstheme="minorBidi"/>
      <w:sz w:val="24"/>
      <w:szCs w:val="24"/>
      <w:lang w:val="en-US" w:eastAsia="zh-CN" w:bidi="ar-SA"/>
    </w:rPr>
  </w:style>
  <w:style w:type="paragraph" w:styleId="771">
    <w:name w:val="footnote text"/>
    <w:link w:val="93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72">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73">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74">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75">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76">
    <w:name w:val="Normal (Web)"/>
    <w:basedOn w:val="741"/>
    <w:uiPriority w:val="0"/>
    <w:qFormat/>
    <w:pPr>
      <w:spacing w:before="100" w:beforeAutospacing="1" w:after="100" w:afterAutospacing="1"/>
    </w:pPr>
    <w:rPr>
      <w:rFonts w:cs="Times New Roman"/>
      <w:sz w:val="24"/>
    </w:rPr>
  </w:style>
  <w:style w:type="paragraph" w:styleId="777">
    <w:name w:val="Title"/>
    <w:link w:val="800"/>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78">
    <w:name w:val="annotation subject"/>
    <w:basedOn w:val="756"/>
    <w:next w:val="756"/>
    <w:link w:val="950"/>
    <w:uiPriority w:val="99"/>
    <w:semiHidden/>
    <w:unhideWhenUsed/>
    <w:qFormat/>
    <w:rPr>
      <w:rFonts w:eastAsiaTheme="minorEastAsia"/>
      <w:bCs/>
      <w:sz w:val="21"/>
    </w:rPr>
  </w:style>
  <w:style w:type="paragraph" w:styleId="779">
    <w:name w:val="Body Text First Indent"/>
    <w:basedOn w:val="757"/>
    <w:uiPriority w:val="0"/>
    <w:qFormat/>
    <w:pPr>
      <w:ind w:firstLine="420"/>
    </w:pPr>
  </w:style>
  <w:style w:type="paragraph" w:styleId="780">
    <w:name w:val="Body Text First Indent 2"/>
    <w:basedOn w:val="758"/>
    <w:uiPriority w:val="0"/>
    <w:qFormat/>
    <w:pPr>
      <w:ind w:firstLine="420"/>
    </w:p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51"/>
    <w:uiPriority w:val="0"/>
    <w:qFormat/>
    <w:rPr>
      <w:b/>
    </w:rPr>
  </w:style>
  <w:style w:type="character" w:styleId="783">
    <w:name w:val="endnote reference"/>
    <w:uiPriority w:val="99"/>
    <w:semiHidden/>
    <w:unhideWhenUsed/>
    <w:qFormat/>
    <w:rPr>
      <w:vertAlign w:val="superscript"/>
    </w:rPr>
  </w:style>
  <w:style w:type="character" w:styleId="784">
    <w:name w:val="Emphasis"/>
    <w:basedOn w:val="751"/>
    <w:uiPriority w:val="0"/>
    <w:qFormat/>
    <w:rPr>
      <w:i/>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annotation reference"/>
    <w:basedOn w:val="751"/>
    <w:uiPriority w:val="0"/>
    <w:qFormat/>
    <w:rPr>
      <w:sz w:val="21"/>
      <w:szCs w:val="21"/>
    </w:rPr>
  </w:style>
  <w:style w:type="character" w:styleId="787">
    <w:name w:val="footnote reference"/>
    <w:uiPriority w:val="99"/>
    <w:unhideWhenUsed/>
    <w:qFormat/>
    <w:rPr>
      <w:vertAlign w:val="superscript"/>
    </w:rPr>
  </w:style>
  <w:style w:type="character" w:styleId="788" w:customStyle="1">
    <w:name w:val="批注文字 字符"/>
    <w:basedOn w:val="751"/>
    <w:link w:val="756"/>
    <w:uiPriority w:val="99"/>
    <w:semiHidden/>
    <w:qFormat/>
    <w:rPr>
      <w:rFonts w:asciiTheme="minorHAnsi" w:hAnsiTheme="minorHAnsi" w:cstheme="minorBidi"/>
      <w:b/>
      <w:sz w:val="24"/>
      <w:szCs w:val="22"/>
    </w:rPr>
  </w:style>
  <w:style w:type="character" w:styleId="789" w:customStyle="1">
    <w:name w:val="标题 1 字符"/>
    <w:link w:val="742"/>
    <w:uiPriority w:val="9"/>
    <w:qFormat/>
    <w:rPr>
      <w:rFonts w:ascii="Arial" w:hAnsi="Arial" w:eastAsia="Arial" w:cs="Arial"/>
      <w:sz w:val="40"/>
      <w:szCs w:val="40"/>
    </w:rPr>
  </w:style>
  <w:style w:type="character" w:styleId="790" w:customStyle="1">
    <w:name w:val="标题 2 字符"/>
    <w:link w:val="743"/>
    <w:uiPriority w:val="9"/>
    <w:qFormat/>
    <w:rPr>
      <w:rFonts w:ascii="Arial" w:hAnsi="Arial" w:eastAsia="Arial" w:cs="Arial"/>
      <w:sz w:val="34"/>
    </w:rPr>
  </w:style>
  <w:style w:type="character" w:styleId="791" w:customStyle="1">
    <w:name w:val="标题 3 字符"/>
    <w:link w:val="744"/>
    <w:uiPriority w:val="9"/>
    <w:qFormat/>
    <w:rPr>
      <w:rFonts w:ascii="Arial" w:hAnsi="Arial" w:eastAsia="Arial" w:cs="Arial"/>
      <w:sz w:val="30"/>
      <w:szCs w:val="30"/>
    </w:rPr>
  </w:style>
  <w:style w:type="character" w:styleId="792" w:customStyle="1">
    <w:name w:val="标题 4 字符"/>
    <w:link w:val="745"/>
    <w:uiPriority w:val="9"/>
    <w:qFormat/>
    <w:rPr>
      <w:rFonts w:ascii="Arial" w:hAnsi="Arial" w:eastAsia="Arial" w:cs="Arial"/>
      <w:b/>
      <w:bCs/>
      <w:sz w:val="26"/>
      <w:szCs w:val="26"/>
    </w:rPr>
  </w:style>
  <w:style w:type="character" w:styleId="793" w:customStyle="1">
    <w:name w:val="标题 5 字符"/>
    <w:link w:val="746"/>
    <w:uiPriority w:val="9"/>
    <w:qFormat/>
    <w:rPr>
      <w:rFonts w:ascii="Arial" w:hAnsi="Arial" w:eastAsia="Arial" w:cs="Arial"/>
      <w:b/>
      <w:bCs/>
      <w:sz w:val="24"/>
      <w:szCs w:val="24"/>
    </w:rPr>
  </w:style>
  <w:style w:type="character" w:styleId="794" w:customStyle="1">
    <w:name w:val="标题 6 字符"/>
    <w:link w:val="747"/>
    <w:uiPriority w:val="9"/>
    <w:qFormat/>
    <w:rPr>
      <w:rFonts w:ascii="Arial" w:hAnsi="Arial" w:eastAsia="Arial" w:cs="Arial"/>
      <w:b/>
      <w:bCs/>
      <w:sz w:val="22"/>
      <w:szCs w:val="22"/>
    </w:rPr>
  </w:style>
  <w:style w:type="character" w:styleId="795" w:customStyle="1">
    <w:name w:val="标题 7 字符"/>
    <w:link w:val="748"/>
    <w:uiPriority w:val="9"/>
    <w:qFormat/>
    <w:rPr>
      <w:rFonts w:ascii="Arial" w:hAnsi="Arial" w:eastAsia="Arial" w:cs="Arial"/>
      <w:b/>
      <w:bCs/>
      <w:i/>
      <w:iCs/>
      <w:sz w:val="22"/>
      <w:szCs w:val="22"/>
    </w:rPr>
  </w:style>
  <w:style w:type="character" w:styleId="796" w:customStyle="1">
    <w:name w:val="标题 8 字符"/>
    <w:link w:val="749"/>
    <w:uiPriority w:val="9"/>
    <w:qFormat/>
    <w:rPr>
      <w:rFonts w:ascii="Arial" w:hAnsi="Arial" w:eastAsia="Arial" w:cs="Arial"/>
      <w:i/>
      <w:iCs/>
      <w:sz w:val="22"/>
      <w:szCs w:val="22"/>
    </w:rPr>
  </w:style>
  <w:style w:type="character" w:styleId="797" w:customStyle="1">
    <w:name w:val="标题 9 字符"/>
    <w:link w:val="750"/>
    <w:uiPriority w:val="9"/>
    <w:qFormat/>
    <w:rPr>
      <w:rFonts w:ascii="Arial" w:hAnsi="Arial" w:eastAsia="Arial" w:cs="Arial"/>
      <w:i/>
      <w:iCs/>
      <w:sz w:val="21"/>
      <w:szCs w:val="21"/>
    </w:rPr>
  </w:style>
  <w:style w:type="paragraph" w:styleId="798">
    <w:name w:val="List Paragraph"/>
    <w:basedOn w:val="741"/>
    <w:uiPriority w:val="34"/>
    <w:qFormat/>
    <w:pPr>
      <w:contextualSpacing/>
      <w:ind w:left="720"/>
    </w:pPr>
  </w:style>
  <w:style w:type="paragraph" w:styleId="799">
    <w:name w:val="No Spacing"/>
    <w:uiPriority w:val="1"/>
    <w:qFormat/>
    <w:rPr>
      <w:rFonts w:asciiTheme="minorHAnsi" w:hAnsiTheme="minorHAnsi" w:eastAsiaTheme="minorEastAsia" w:cstheme="minorBidi"/>
      <w:sz w:val="21"/>
      <w:szCs w:val="22"/>
      <w:lang w:val="en-US" w:eastAsia="zh-CN" w:bidi="ar-SA"/>
    </w:rPr>
  </w:style>
  <w:style w:type="character" w:styleId="800" w:customStyle="1">
    <w:name w:val="标题 字符"/>
    <w:link w:val="777"/>
    <w:uiPriority w:val="10"/>
    <w:qFormat/>
    <w:rPr>
      <w:sz w:val="48"/>
      <w:szCs w:val="48"/>
    </w:rPr>
  </w:style>
  <w:style w:type="character" w:styleId="801" w:customStyle="1">
    <w:name w:val="副标题 字符"/>
    <w:link w:val="770"/>
    <w:uiPriority w:val="11"/>
    <w:qFormat/>
    <w:rPr>
      <w:sz w:val="24"/>
      <w:szCs w:val="24"/>
    </w:rPr>
  </w:style>
  <w:style w:type="paragraph" w:styleId="802">
    <w:name w:val="Quote"/>
    <w:link w:val="803"/>
    <w:uiPriority w:val="29"/>
    <w:qFormat/>
    <w:pPr>
      <w:ind w:left="720" w:right="720"/>
    </w:pPr>
    <w:rPr>
      <w:rFonts w:asciiTheme="minorHAnsi" w:hAnsiTheme="minorHAnsi" w:eastAsiaTheme="minorEastAsia" w:cstheme="minorBidi"/>
      <w:i/>
      <w:sz w:val="21"/>
      <w:szCs w:val="22"/>
      <w:lang w:val="en-US" w:eastAsia="zh-CN" w:bidi="ar-SA"/>
    </w:rPr>
  </w:style>
  <w:style w:type="character" w:styleId="803" w:customStyle="1">
    <w:name w:val="引用 字符"/>
    <w:link w:val="802"/>
    <w:uiPriority w:val="29"/>
    <w:qFormat/>
    <w:rPr>
      <w:i/>
    </w:rPr>
  </w:style>
  <w:style w:type="paragraph" w:styleId="804">
    <w:name w:val="Intense Quote"/>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05" w:customStyle="1">
    <w:name w:val="明显引用 字符"/>
    <w:link w:val="804"/>
    <w:uiPriority w:val="30"/>
    <w:qFormat/>
    <w:rPr>
      <w:i/>
    </w:rPr>
  </w:style>
  <w:style w:type="character" w:styleId="806" w:customStyle="1">
    <w:name w:val="页眉 字符"/>
    <w:link w:val="767"/>
    <w:uiPriority w:val="99"/>
    <w:qFormat/>
  </w:style>
  <w:style w:type="character" w:styleId="807" w:customStyle="1">
    <w:name w:val="Footer Char"/>
    <w:uiPriority w:val="99"/>
    <w:qFormat/>
  </w:style>
  <w:style w:type="character" w:styleId="808" w:customStyle="1">
    <w:name w:val="页脚 字符"/>
    <w:link w:val="765"/>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71"/>
    <w:uiPriority w:val="99"/>
    <w:qFormat/>
    <w:rPr>
      <w:sz w:val="18"/>
    </w:rPr>
  </w:style>
  <w:style w:type="character" w:styleId="935" w:customStyle="1">
    <w:name w:val="尾注文本 字符"/>
    <w:link w:val="764"/>
    <w:uiPriority w:val="99"/>
    <w:qFormat/>
    <w:rPr>
      <w:sz w:val="20"/>
    </w:rPr>
  </w:style>
  <w:style w:type="paragraph" w:styleId="93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37" w:customStyle="1">
    <w:name w:val="WPSOffice手动目录 1"/>
    <w:uiPriority w:val="0"/>
    <w:qFormat/>
    <w:rPr>
      <w:rFonts w:asciiTheme="minorHAnsi" w:hAnsiTheme="minorHAnsi" w:eastAsiaTheme="minorEastAsia" w:cstheme="minorBidi"/>
      <w:lang w:val="en-US" w:eastAsia="zh-CN" w:bidi="ar-SA"/>
    </w:rPr>
  </w:style>
  <w:style w:type="character" w:styleId="938" w:customStyle="1">
    <w:name w:val="font71"/>
    <w:basedOn w:val="751"/>
    <w:uiPriority w:val="0"/>
    <w:qFormat/>
    <w:rPr>
      <w:rFonts w:ascii="Arial" w:hAnsi="Arial" w:cs="Arial"/>
      <w:color w:val="000000"/>
      <w:sz w:val="20"/>
      <w:szCs w:val="20"/>
      <w:u w:val="none"/>
    </w:rPr>
  </w:style>
  <w:style w:type="character" w:styleId="939" w:customStyle="1">
    <w:name w:val="font11"/>
    <w:basedOn w:val="751"/>
    <w:uiPriority w:val="0"/>
    <w:qFormat/>
    <w:rPr>
      <w:rFonts w:hint="eastAsia" w:ascii="宋体" w:hAnsi="宋体" w:eastAsia="宋体" w:cs="宋体"/>
      <w:color w:val="000000"/>
      <w:sz w:val="20"/>
      <w:szCs w:val="20"/>
      <w:u w:val="none"/>
    </w:rPr>
  </w:style>
  <w:style w:type="character" w:styleId="940" w:customStyle="1">
    <w:name w:val="font81"/>
    <w:basedOn w:val="751"/>
    <w:uiPriority w:val="0"/>
    <w:qFormat/>
    <w:rPr>
      <w:rFonts w:hint="default" w:ascii="Times New Roman" w:hAnsi="Times New Roman" w:cs="Times New Roman"/>
      <w:color w:val="000000"/>
      <w:sz w:val="20"/>
      <w:szCs w:val="20"/>
      <w:u w:val="none"/>
    </w:rPr>
  </w:style>
  <w:style w:type="paragraph" w:styleId="941" w:customStyle="1">
    <w:name w:val="Normal_17"/>
    <w:uiPriority w:val="0"/>
    <w:qFormat/>
    <w:rPr>
      <w:rFonts w:ascii="Times New Roman" w:hAnsi="Times New Roman" w:eastAsia="Times New Roman" w:cs="Times New Roman"/>
      <w:sz w:val="24"/>
      <w:szCs w:val="24"/>
      <w:lang w:val="en-US" w:eastAsia="zh-CN" w:bidi="ar-SA"/>
    </w:rPr>
  </w:style>
  <w:style w:type="character" w:styleId="942" w:customStyle="1">
    <w:name w:val="font21"/>
    <w:basedOn w:val="751"/>
    <w:uiPriority w:val="0"/>
    <w:qFormat/>
    <w:rPr>
      <w:rFonts w:hint="eastAsia" w:ascii="宋体" w:hAnsi="宋体" w:eastAsia="宋体" w:cs="宋体"/>
      <w:color w:val="ff0000"/>
      <w:sz w:val="20"/>
      <w:szCs w:val="20"/>
      <w:u w:val="none"/>
    </w:rPr>
  </w:style>
  <w:style w:type="paragraph" w:styleId="943" w:customStyle="1">
    <w:name w:val="纯文本1"/>
    <w:basedOn w:val="741"/>
    <w:uiPriority w:val="0"/>
    <w:qFormat/>
    <w:rPr>
      <w:rFonts w:ascii="宋体" w:hAnsi="Courier New" w:eastAsia="楷体_GB2312"/>
      <w:sz w:val="26"/>
    </w:rPr>
  </w:style>
  <w:style w:type="character" w:styleId="944" w:customStyle="1">
    <w:name w:val="font51"/>
    <w:basedOn w:val="751"/>
    <w:uiPriority w:val="0"/>
    <w:qFormat/>
    <w:rPr>
      <w:rFonts w:hint="eastAsia" w:ascii="华文细黑" w:hAnsi="华文细黑" w:eastAsia="华文细黑" w:cs="华文细黑"/>
      <w:color w:val="000000"/>
      <w:sz w:val="20"/>
      <w:szCs w:val="20"/>
      <w:u w:val="none"/>
      <w:vertAlign w:val="superscript"/>
    </w:rPr>
  </w:style>
  <w:style w:type="paragraph" w:styleId="945" w:customStyle="1">
    <w:name w:val="标题 11"/>
    <w:basedOn w:val="741"/>
    <w:next w:val="741"/>
    <w:uiPriority w:val="0"/>
    <w:qFormat/>
    <w:pPr>
      <w:jc w:val="center"/>
      <w:keepNext/>
      <w:outlineLvl w:val="0"/>
    </w:pPr>
    <w:rPr>
      <w:rFonts w:ascii="楷体_GB2312" w:hAnsi="Times New Roman" w:eastAsia="楷体_GB2312" w:cs="Times New Roman"/>
      <w:sz w:val="28"/>
      <w:szCs w:val="28"/>
    </w:rPr>
  </w:style>
  <w:style w:type="paragraph" w:styleId="946" w:customStyle="1">
    <w:name w:val="Table Paragraph"/>
    <w:basedOn w:val="741"/>
    <w:uiPriority w:val="1"/>
    <w:qFormat/>
    <w:rPr>
      <w:sz w:val="24"/>
    </w:rPr>
  </w:style>
  <w:style w:type="paragraph" w:styleId="947" w:customStyle="1">
    <w:name w:val="首行缩进"/>
    <w:basedOn w:val="741"/>
    <w:uiPriority w:val="0"/>
    <w:qFormat/>
    <w:pPr>
      <w:ind w:firstLine="480"/>
    </w:pPr>
    <w:rPr>
      <w:lang w:val="zh-CN"/>
    </w:rPr>
  </w:style>
  <w:style w:type="paragraph" w:styleId="948" w:customStyle="1">
    <w:name w:val="Table Text"/>
    <w:basedOn w:val="741"/>
    <w:uiPriority w:val="0"/>
    <w:semiHidden/>
    <w:qFormat/>
    <w:rPr>
      <w:rFonts w:ascii="仿宋" w:hAnsi="仿宋" w:eastAsia="仿宋" w:cs="宋体"/>
      <w:color w:val="000000"/>
      <w:sz w:val="28"/>
      <w:szCs w:val="28"/>
    </w:rPr>
  </w:style>
  <w:style w:type="paragraph" w:styleId="949"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50" w:customStyle="1">
    <w:name w:val="批注主题 字符"/>
    <w:basedOn w:val="788"/>
    <w:link w:val="778"/>
    <w:uiPriority w:val="99"/>
    <w:semiHidden/>
    <w:qFormat/>
    <w:rPr>
      <w:rFonts w:asciiTheme="minorHAnsi" w:hAnsiTheme="minorHAnsi" w:eastAsiaTheme="minorEastAsia" w:cstheme="minorBidi"/>
      <w:bCs/>
      <w:sz w:val="21"/>
      <w:szCs w:val="22"/>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9</cp:revision>
  <dcterms:created xsi:type="dcterms:W3CDTF">2026-06-10T07:39:00Z</dcterms:created>
  <dcterms:modified xsi:type="dcterms:W3CDTF">2026-06-17T07:56:01Z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313907ACE387499EB05FF265711B4B03_13</vt:lpwstr>
  </property>
  <property fmtid="{D5CDD505-2E9C-101B-9397-08002B2CF9AE}" pid="4" name="KSOTemplateDocerSaveRecord">
    <vt:lpwstr>eyJoZGlkIjoiZDA5YWNjOWMwOTA2ZDA2N2ZhMzM0NzFhNGZhYWUxMGMiLCJ1c2VySWQiOiIxMTAwNzg1MTUyIn0=</vt:lpwstr>
  </property>
</Properties>
</file>