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lang w:val="en-US" w:eastAsia="zh-CN"/>
        </w:rPr>
      </w:pPr>
      <w:r/>
      <w:bookmarkStart w:id="0" w:name="_Toc120614210"/>
      <w:r/>
      <w:bookmarkStart w:id="1" w:name="_Toc523127445"/>
      <w:r/>
      <w:bookmarkStart w:id="2" w:name="_Toc513029200"/>
      <w:r/>
      <w:bookmarkStart w:id="3" w:name="_Toc16938516"/>
      <w:r/>
      <w:bookmarkStart w:id="4" w:name="_Toc479757206"/>
      <w:r/>
      <w:bookmarkStart w:id="5" w:name="_Toc20823272"/>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lang w:val="en-US" w:eastAsia="zh-CN"/>
        </w:rPr>
        <w:t xml:space="preserve">招  标</w:t>
      </w:r>
      <w:r>
        <w:rPr>
          <w:rFonts w:hint="eastAsia" w:ascii="宋体" w:hAnsi="宋体" w:eastAsia="宋体" w:cs="宋体"/>
          <w:b/>
          <w:bCs/>
          <w:color w:val="auto"/>
          <w:sz w:val="84"/>
          <w:szCs w:val="24"/>
          <w:highlight w:val="none"/>
        </w:rPr>
        <w:t xml:space="preserve">　文　件</w:t>
      </w:r>
      <w:r/>
    </w:p>
    <w:p>
      <w:pPr>
        <w:ind w:firstLine="643"/>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6526"/>
      </w:tblGrid>
      <w:tr>
        <w:trPr/>
        <w:tc>
          <w:tcPr>
            <w:tcBorders>
              <w:top w:val="none" w:color="000000" w:sz="4" w:space="0"/>
              <w:left w:val="none" w:color="000000" w:sz="4" w:space="0"/>
              <w:bottom w:val="none" w:color="000000" w:sz="4" w:space="0"/>
              <w:right w:val="none" w:color="000000" w:sz="4" w:space="0"/>
            </w:tcBorders>
            <w:tcW w:w="2002"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b/>
                <w:bCs/>
                <w:color w:val="auto"/>
                <w:sz w:val="32"/>
                <w:szCs w:val="24"/>
                <w:highlight w:val="none"/>
                <w:vertAlign w:val="baseline"/>
                <w:lang w:eastAsia="zh-CN"/>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6526" w:type="dxa"/>
            <w:vAlign w:val="center"/>
            <w:textDirection w:val="lrTb"/>
            <w:noWrap w:val="false"/>
          </w:tcPr>
          <w:p>
            <w:pPr>
              <w:jc w:val="both"/>
              <w:spacing w:before="120" w:after="120" w:line="360" w:lineRule="auto"/>
              <w:rPr>
                <w:rFonts w:hint="eastAsia" w:ascii="宋体" w:hAnsi="宋体" w:eastAsia="宋体" w:cs="宋体"/>
                <w:b/>
                <w:bCs/>
                <w:color w:val="auto"/>
                <w:sz w:val="32"/>
                <w:szCs w:val="24"/>
                <w:highlight w:val="none"/>
                <w:u w:val="single"/>
                <w:vertAlign w:val="baseline"/>
                <w:lang w:eastAsia="zh-CN"/>
              </w:rPr>
            </w:pPr>
            <w:r>
              <w:rPr>
                <w:rFonts w:hint="eastAsia" w:ascii="宋体" w:hAnsi="宋体" w:eastAsia="宋体" w:cs="宋体"/>
                <w:b/>
                <w:bCs/>
                <w:color w:val="auto"/>
                <w:sz w:val="32"/>
                <w:szCs w:val="24"/>
                <w:highlight w:val="none"/>
                <w:u w:val="single"/>
                <w:lang w:eastAsia="zh-CN"/>
              </w:rPr>
              <w:t xml:space="preserve">新坝镇农村自来水提质升级工程-东片区水表采购项目（专门面向中小企业）</w:t>
            </w:r>
            <w:r/>
          </w:p>
        </w:tc>
      </w:tr>
      <w:tr>
        <w:trPr/>
        <w:tc>
          <w:tcPr>
            <w:tcBorders>
              <w:top w:val="none" w:color="000000" w:sz="4" w:space="0"/>
              <w:left w:val="none" w:color="000000" w:sz="4" w:space="0"/>
              <w:bottom w:val="none" w:color="000000" w:sz="4" w:space="0"/>
              <w:right w:val="none" w:color="000000" w:sz="4" w:space="0"/>
            </w:tcBorders>
            <w:tcW w:w="2002"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b/>
                <w:bCs/>
                <w:color w:val="auto"/>
                <w:sz w:val="32"/>
                <w:szCs w:val="24"/>
                <w:highlight w:val="none"/>
                <w:vertAlign w:val="baseline"/>
                <w:lang w:eastAsia="zh-CN"/>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6526" w:type="dxa"/>
            <w:vAlign w:val="center"/>
            <w:textDirection w:val="lrTb"/>
            <w:noWrap w:val="false"/>
          </w:tcPr>
          <w:p>
            <w:pPr>
              <w:spacing w:before="120" w:after="120" w:line="360" w:lineRule="auto"/>
              <w:rPr>
                <w:rFonts w:hint="eastAsia" w:ascii="宋体" w:hAnsi="宋体" w:eastAsia="宋体" w:cs="宋体"/>
                <w:b/>
                <w:bCs/>
                <w:color w:val="auto"/>
                <w:sz w:val="32"/>
                <w:szCs w:val="24"/>
                <w:highlight w:val="none"/>
                <w:u w:val="single"/>
                <w:vertAlign w:val="baseline"/>
                <w:lang w:eastAsia="zh-CN"/>
              </w:rPr>
            </w:pPr>
            <w:r>
              <w:rPr>
                <w:rFonts w:hint="eastAsia" w:ascii="宋体" w:hAnsi="宋体" w:eastAsia="宋体" w:cs="宋体"/>
                <w:b/>
                <w:bCs/>
                <w:color w:val="auto"/>
                <w:sz w:val="32"/>
                <w:szCs w:val="24"/>
                <w:highlight w:val="none"/>
                <w:u w:val="single"/>
                <w:vertAlign w:val="baseline"/>
                <w:lang w:eastAsia="zh-CN"/>
              </w:rPr>
              <w:t xml:space="preserve">JSZC-320706-AJSL-G2026-0001</w:t>
            </w:r>
            <w:r/>
          </w:p>
        </w:tc>
      </w:tr>
    </w:tbl>
    <w:p>
      <w:pPr>
        <w:ind w:firstLine="643"/>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r>
      <w:r/>
    </w:p>
    <w:p>
      <w:pPr>
        <w:ind w:left="2800" w:hanging="2800"/>
        <w:rPr>
          <w:rFonts w:hint="eastAsia" w:ascii="宋体" w:hAnsi="宋体" w:eastAsia="宋体" w:cs="宋体"/>
          <w:b/>
          <w:color w:val="auto"/>
          <w:sz w:val="24"/>
          <w:szCs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765"/>
        <w:tblW w:w="8559"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88"/>
        <w:gridCol w:w="5971"/>
      </w:tblGrid>
      <w:tr>
        <w:trPr>
          <w:trHeight w:val="890"/>
        </w:trPr>
        <w:tc>
          <w:tcPr>
            <w:tcW w:w="2588"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购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人：</w:t>
            </w:r>
            <w:r/>
          </w:p>
        </w:tc>
        <w:tc>
          <w:tcPr>
            <w:tcW w:w="5971" w:type="dxa"/>
            <w:vAlign w:val="center"/>
            <w:textDirection w:val="lrTb"/>
            <w:noWrap w:val="false"/>
          </w:tcPr>
          <w:p>
            <w:pPr>
              <w:jc w:val="left"/>
              <w:spacing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连云港市海州区新坝镇人民政府</w:t>
            </w:r>
            <w:r/>
          </w:p>
        </w:tc>
      </w:tr>
      <w:tr>
        <w:trPr>
          <w:trHeight w:val="954"/>
        </w:trPr>
        <w:tc>
          <w:tcPr>
            <w:tcW w:w="2588"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 w:val="32"/>
                <w:szCs w:val="24"/>
                <w:highlight w:val="none"/>
              </w:rPr>
              <w:t xml:space="preserve">采购代</w:t>
            </w:r>
            <w:r>
              <w:rPr>
                <w:rFonts w:hint="eastAsia" w:ascii="宋体" w:hAnsi="宋体" w:eastAsia="宋体" w:cs="宋体"/>
                <w:b/>
                <w:bCs/>
                <w:color w:val="auto"/>
                <w:sz w:val="32"/>
                <w:szCs w:val="24"/>
                <w:highlight w:val="none"/>
                <w:lang w:eastAsia="zh-CN"/>
              </w:rPr>
              <w:t xml:space="preserve">理机</w:t>
            </w:r>
            <w:r>
              <w:rPr>
                <w:rFonts w:hint="eastAsia" w:ascii="宋体" w:hAnsi="宋体" w:eastAsia="宋体" w:cs="宋体"/>
                <w:b/>
                <w:bCs/>
                <w:color w:val="auto"/>
                <w:sz w:val="32"/>
                <w:szCs w:val="24"/>
                <w:highlight w:val="none"/>
              </w:rPr>
              <w:t xml:space="preserve">构：</w:t>
            </w:r>
            <w:r/>
          </w:p>
        </w:tc>
        <w:tc>
          <w:tcPr>
            <w:tcW w:w="5971" w:type="dxa"/>
            <w:vAlign w:val="center"/>
            <w:textDirection w:val="lrTb"/>
            <w:noWrap w:val="false"/>
          </w:tcPr>
          <w:p>
            <w:pPr>
              <w:jc w:val="left"/>
              <w:spacing w:line="360" w:lineRule="auto"/>
              <w:rPr>
                <w:rFonts w:hint="eastAsia" w:ascii="宋体" w:hAnsi="宋体" w:eastAsia="宋体" w:cs="宋体"/>
                <w:b/>
                <w:bCs/>
                <w:color w:val="auto"/>
                <w:spacing w:val="20"/>
                <w:sz w:val="32"/>
                <w:szCs w:val="20"/>
                <w:highlight w:val="none"/>
                <w:lang w:eastAsia="zh-CN"/>
              </w:rPr>
            </w:pPr>
            <w:r>
              <w:rPr>
                <w:rFonts w:hint="eastAsia" w:ascii="宋体" w:hAnsi="宋体" w:eastAsia="宋体" w:cs="宋体"/>
                <w:b/>
                <w:bCs/>
                <w:color w:val="auto"/>
                <w:spacing w:val="20"/>
                <w:sz w:val="32"/>
                <w:szCs w:val="20"/>
                <w:highlight w:val="none"/>
                <w:lang w:eastAsia="zh-CN"/>
              </w:rPr>
              <w:t xml:space="preserve">江苏建审工程项目管理有限公司</w:t>
            </w:r>
            <w:r/>
          </w:p>
        </w:tc>
      </w:tr>
    </w:tbl>
    <w:p>
      <w:pPr>
        <w:jc w:val="center"/>
        <w:spacing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2026年</w:t>
      </w:r>
      <w:r>
        <w:rPr>
          <w:rFonts w:hint="eastAsia" w:ascii="宋体" w:hAnsi="宋体" w:eastAsia="宋体" w:cs="宋体"/>
          <w:b/>
          <w:bCs/>
          <w:color w:val="auto"/>
          <w:sz w:val="32"/>
          <w:szCs w:val="24"/>
          <w:highlight w:val="none"/>
          <w:lang w:val="en-US" w:eastAsia="zh-CN"/>
        </w:rPr>
        <w:t xml:space="preserve">7</w:t>
      </w:r>
      <w:r>
        <w:rPr>
          <w:rFonts w:hint="eastAsia" w:ascii="宋体" w:hAnsi="宋体" w:eastAsia="宋体" w:cs="宋体"/>
          <w:b/>
          <w:bCs/>
          <w:color w:val="auto"/>
          <w:sz w:val="32"/>
          <w:szCs w:val="24"/>
          <w:highlight w:val="none"/>
        </w:rPr>
        <w:t xml:space="preserve">月</w:t>
      </w:r>
      <w:r/>
    </w:p>
    <w:p>
      <w:pPr>
        <w:jc w:val="center"/>
        <w:keepLines w:val="0"/>
        <w:keepNext w:val="0"/>
        <w:pageBreakBefore/>
        <w:spacing w:line="360" w:lineRule="auto"/>
        <w:widowControl w:val="off"/>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36"/>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"_Toc27555"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- 1 -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43"/>
        <w:ind w:left="0"/>
        <w:spacing w:line="360" w:lineRule="auto"/>
        <w:tabs>
          <w:tab w:val="right" w:pos="8820" w:leader="dot"/>
        </w:tabs>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"_Toc15404"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第二章  </w:t>
      </w:r>
      <w:r>
        <w:rPr>
          <w:rFonts w:hint="eastAsia" w:ascii="宋体" w:hAnsi="宋体" w:eastAsia="宋体" w:cs="宋体"/>
          <w:bCs/>
          <w:color w:val="auto"/>
          <w:sz w:val="24"/>
          <w:highlight w:val="none"/>
          <w:lang w:val="en-US" w:eastAsia="zh-CN"/>
        </w:rPr>
        <w:t xml:space="preserve"> </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须知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_Toc15404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- 5 -</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r/>
    </w:p>
    <w:p>
      <w:pPr>
        <w:pStyle w:val="1036"/>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"_Toc7865"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_Toc7865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- 22 -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36"/>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"_Toc15270"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第四章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- 27 -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36"/>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"_Toc10199"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- 35 -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36"/>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"_Toc3350"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_Toc3350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- 39 -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43"/>
        <w:tabs>
          <w:tab w:val="right" w:pos="8953" w:leader="dot"/>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999"/>
          <w:rFonts w:hint="eastAsia" w:ascii="宋体" w:hAnsi="宋体" w:eastAsia="宋体" w:cs="宋体"/>
          <w:color w:val="auto"/>
          <w:highlight w:val="none"/>
        </w:rPr>
        <w:sectPr>
          <w:headerReference w:type="default" r:id="rId9"/>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6" w:name="_Toc13393"/>
      <w:r/>
      <w:bookmarkStart w:id="7" w:name="_Toc27555"/>
      <w:r/>
      <w:bookmarkStart w:id="8" w:name="_Toc28155"/>
      <w:r/>
      <w:bookmarkStart w:id="9" w:name="_Toc8382"/>
      <w:r/>
      <w:r/>
    </w:p>
    <w:p>
      <w:pPr>
        <w:jc w:val="center"/>
        <w:keepNext/>
        <w:spacing w:line="360" w:lineRule="auto"/>
        <w:rPr>
          <w:rFonts w:hint="eastAsia" w:ascii="宋体" w:hAnsi="宋体" w:eastAsia="宋体" w:cs="宋体"/>
          <w:bCs/>
          <w:color w:val="auto"/>
          <w:sz w:val="44"/>
          <w:szCs w:val="44"/>
          <w:highlight w:val="none"/>
        </w:rPr>
        <w:outlineLvl w:val="0"/>
      </w:pPr>
      <w:r>
        <w:rPr>
          <w:rStyle w:val="999"/>
          <w:rFonts w:hint="eastAsia" w:ascii="宋体" w:hAnsi="宋体" w:eastAsia="宋体" w:cs="宋体"/>
          <w:color w:val="auto"/>
          <w:highlight w:val="none"/>
        </w:rPr>
        <w:t xml:space="preserve">第一章  </w:t>
      </w:r>
      <w:bookmarkEnd w:id="0"/>
      <w:r>
        <w:rPr>
          <w:rStyle w:val="999"/>
          <w:rFonts w:hint="eastAsia" w:ascii="宋体" w:hAnsi="宋体" w:eastAsia="宋体" w:cs="宋体"/>
          <w:color w:val="auto"/>
          <w:highlight w:val="none"/>
        </w:rPr>
        <w:t xml:space="preserve">投标邀请</w:t>
      </w:r>
      <w:bookmarkEnd w:id="6"/>
      <w:r/>
      <w:bookmarkEnd w:id="7"/>
      <w:r/>
      <w:bookmarkEnd w:id="8"/>
      <w:r/>
      <w:bookmarkEnd w:id="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连云港市海州区新坝镇人民政府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江苏建审工程项目管理有限公司就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新坝镇农村自来水提质升级工程-东片区水表采购项目（专门面向中小企业）</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新坝镇农村自来水提质升级工程-东片区水表采购项目（专门面向中小企业）</w:t>
      </w:r>
      <w:r>
        <w:rPr>
          <w:rFonts w:hint="eastAsia" w:ascii="宋体" w:hAnsi="宋体" w:eastAsia="宋体" w:cs="宋体"/>
          <w:color w:val="auto"/>
          <w:sz w:val="24"/>
          <w:szCs w:val="24"/>
          <w:highlight w:val="none"/>
        </w:rPr>
        <w:t xml:space="preserve">招标项目的潜在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日09点00分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10" w:name="_Toc20316"/>
      <w:r/>
      <w:bookmarkStart w:id="11" w:name="_Toc32717"/>
      <w:r/>
      <w:bookmarkStart w:id="12" w:name="_Toc26126"/>
      <w:r/>
      <w:bookmarkStart w:id="13" w:name="_Toc28359079"/>
      <w:r/>
      <w:bookmarkStart w:id="14" w:name="_Toc7199"/>
      <w:r/>
      <w:bookmarkStart w:id="15" w:name="_Toc35393621"/>
      <w:r/>
      <w:bookmarkStart w:id="16" w:name="_Toc28359002"/>
      <w:r/>
      <w:bookmarkStart w:id="17" w:name="_Toc38985263"/>
      <w:r/>
      <w:bookmarkStart w:id="18" w:name="_Toc35393790"/>
      <w:r/>
      <w:bookmarkStart w:id="19" w:name="_Hlk24379207"/>
      <w:r>
        <w:rPr>
          <w:rFonts w:hint="eastAsia" w:ascii="宋体" w:hAnsi="宋体" w:eastAsia="宋体" w:cs="宋体"/>
          <w:b/>
          <w:bCs/>
          <w:color w:val="auto"/>
          <w:sz w:val="32"/>
          <w:szCs w:val="32"/>
          <w:highlight w:val="none"/>
        </w:rPr>
        <w:t xml:space="preserve">一、项目基本情况</w:t>
      </w:r>
      <w:bookmarkEnd w:id="10"/>
      <w:r/>
      <w:bookmarkEnd w:id="11"/>
      <w:r/>
      <w:bookmarkEnd w:id="12"/>
      <w:r/>
      <w:bookmarkEnd w:id="13"/>
      <w:r/>
      <w:bookmarkEnd w:id="14"/>
      <w:r/>
      <w:bookmarkEnd w:id="15"/>
      <w:r/>
      <w:bookmarkEnd w:id="16"/>
      <w:r/>
      <w:bookmarkEnd w:id="17"/>
      <w:r/>
      <w:bookmarkEnd w:id="18"/>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JSZC-320706-AJSL-G2026-0001</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bookmarkEnd w:id="19"/>
      <w:r>
        <w:rPr>
          <w:rFonts w:hint="eastAsia" w:ascii="宋体" w:hAnsi="宋体" w:eastAsia="宋体" w:cs="宋体"/>
          <w:color w:val="auto"/>
          <w:sz w:val="24"/>
          <w:szCs w:val="24"/>
          <w:highlight w:val="none"/>
          <w:lang w:eastAsia="zh-CN"/>
        </w:rPr>
        <w:t xml:space="preserve">新坝镇农村自来水提质升级工程-东片区水表采购项目（专门面向中小企业）</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最高限价(如有)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人民币1</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万元，投标报价超出最高限价的按无效响应处理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highlight w:val="none"/>
          <w:lang w:eastAsia="zh-CN"/>
        </w:rPr>
        <w:t xml:space="preserve">物联网水表采购，预计采购DN15:4505个，DN32:8个，DN40:7个，DN50:8个，DN75:18个，DN100:18个，DN150:4个，DN200:4个，DN250:4个，DN300:2个，具体详见采购需求</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对项目需求、综合评分部分的询问、质疑请与采购人联系，由采购人负责答复</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合同签订之日起30天内完成供货</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lang w:val="en-US" w:eastAsia="zh-CN"/>
        </w:rPr>
        <w:t xml:space="preserve">接受联合体</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u w:val="none"/>
          <w:lang w:val="en-US" w:eastAsia="zh-CN"/>
        </w:rPr>
        <w:t xml:space="preserve">否</w:t>
      </w:r>
      <w:r>
        <w:rPr>
          <w:rFonts w:hint="eastAsia" w:ascii="宋体" w:hAnsi="宋体" w:eastAsia="宋体" w:cs="宋体"/>
          <w:color w:val="auto"/>
          <w:sz w:val="24"/>
          <w:szCs w:val="24"/>
          <w:highlight w:val="none"/>
        </w:rPr>
        <w:t xml:space="preserve">。</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20" w:name="_Toc22779"/>
      <w:r/>
      <w:bookmarkStart w:id="21" w:name="_Toc28359080"/>
      <w:r/>
      <w:bookmarkStart w:id="22" w:name="_Toc28359003"/>
      <w:r/>
      <w:bookmarkStart w:id="23" w:name="_Toc35393622"/>
      <w:r/>
      <w:bookmarkStart w:id="24" w:name="_Toc35393791"/>
      <w:r/>
      <w:bookmarkStart w:id="25" w:name="_Toc16976"/>
      <w:r/>
      <w:bookmarkStart w:id="26" w:name="_Toc38985264"/>
      <w:r/>
      <w:bookmarkStart w:id="27" w:name="_Toc16946"/>
      <w:r/>
      <w:bookmarkStart w:id="28" w:name="_Toc6997"/>
      <w:r>
        <w:rPr>
          <w:rFonts w:hint="eastAsia" w:ascii="宋体" w:hAnsi="宋体" w:eastAsia="宋体" w:cs="宋体"/>
          <w:b/>
          <w:bCs/>
          <w:color w:val="auto"/>
          <w:sz w:val="32"/>
          <w:szCs w:val="32"/>
          <w:highlight w:val="none"/>
        </w:rPr>
        <w:t xml:space="preserve">二、申请人的资格要求：</w:t>
      </w:r>
      <w:bookmarkEnd w:id="20"/>
      <w:r/>
      <w:bookmarkEnd w:id="21"/>
      <w:r/>
      <w:bookmarkEnd w:id="22"/>
      <w:r/>
      <w:bookmarkEnd w:id="23"/>
      <w:r/>
      <w:bookmarkEnd w:id="24"/>
      <w:r/>
      <w:bookmarkEnd w:id="25"/>
      <w:r/>
      <w:bookmarkEnd w:id="26"/>
      <w:r/>
      <w:bookmarkEnd w:id="27"/>
      <w:r/>
      <w:bookmarkEnd w:id="28"/>
      <w:r/>
      <w:r/>
    </w:p>
    <w:p>
      <w:pPr>
        <w:ind w:firstLine="480"/>
        <w:spacing w:line="360" w:lineRule="auto"/>
        <w:rPr>
          <w:rFonts w:hint="eastAsia" w:ascii="宋体" w:hAnsi="宋体" w:eastAsia="宋体" w:cs="宋体"/>
          <w:color w:val="auto"/>
          <w:sz w:val="24"/>
          <w:szCs w:val="24"/>
          <w:highlight w:val="none"/>
        </w:rPr>
      </w:pPr>
      <w:r/>
      <w:bookmarkStart w:id="29" w:name="_Toc35393623"/>
      <w:r/>
      <w:bookmarkStart w:id="30" w:name="_Toc35393792"/>
      <w:r/>
      <w:bookmarkStart w:id="31" w:name="_Toc28359081"/>
      <w:r/>
      <w:bookmarkStart w:id="32" w:name="_Toc28359004"/>
      <w:r/>
      <w:bookmarkStart w:id="33" w:name="_Toc38985265"/>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连财购〔2023〕4号文件要求，符合要求的</w:t>
      </w:r>
      <w:r>
        <w:rPr>
          <w:rFonts w:hint="eastAsia" w:ascii="宋体" w:hAnsi="宋体" w:eastAsia="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 xml:space="preserve">第六章格式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连财购〔2023〕4号文件要求，符合要求的</w:t>
      </w:r>
      <w:r>
        <w:rPr>
          <w:rFonts w:hint="eastAsia" w:ascii="宋体" w:hAnsi="宋体" w:eastAsia="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 xml:space="preserve">第六章格式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bookmarkStart w:id="34" w:name="_Hlk139531395"/>
      <w:r/>
      <w:bookmarkEnd w:id="34"/>
      <w:r/>
      <w:bookmarkStart w:id="35" w:name="_Hlk139531227"/>
      <w:r/>
      <w:bookmarkEnd w:id="3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法律、行政法规规定的其他条件；</w:t>
      </w:r>
      <w:r/>
    </w:p>
    <w:p>
      <w:pPr>
        <w:ind w:firstLine="480"/>
        <w:keepLines w:val="0"/>
        <w:keepNext/>
        <w:pageBreakBefore w:val="0"/>
        <w:spacing w:line="360" w:lineRule="auto"/>
        <w:widowControl w:val="off"/>
        <w:tabs>
          <w:tab w:val="left" w:pos="10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执行财政部、工业和信息化部关于印发《政府采购促进中小企业发展管理办法》的通知（财库〔2020〕46号）、苏财购〔2022〕45号，本项目专门面向中小企业采购，符合文件要求的供应商应提交《中小企业声明函》，并上传至电子响应文件中，详见采购文件。</w:t>
      </w:r>
      <w:r/>
    </w:p>
    <w:p>
      <w:pPr>
        <w:ind w:firstLine="480"/>
        <w:keepLines w:val="0"/>
        <w:keepNext/>
        <w:pageBreakBefore w:val="0"/>
        <w:spacing w:line="360" w:lineRule="auto"/>
        <w:widowControl w:val="off"/>
        <w:tabs>
          <w:tab w:val="left" w:pos="102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bidi="ar-SA"/>
        </w:rPr>
        <w:t xml:space="preserve">（三）本项</w:t>
      </w:r>
      <w:r>
        <w:rPr>
          <w:rFonts w:hint="eastAsia" w:ascii="宋体" w:hAnsi="宋体" w:eastAsia="宋体" w:cs="宋体"/>
          <w:color w:val="auto"/>
          <w:sz w:val="24"/>
          <w:szCs w:val="24"/>
          <w:highlight w:val="none"/>
          <w:lang w:val="en-US" w:eastAsia="zh-CN"/>
        </w:rPr>
        <w:t xml:space="preserve">目的特定资格要求：</w:t>
      </w:r>
      <w:r/>
    </w:p>
    <w:p>
      <w:pPr>
        <w:ind w:firstLine="480"/>
        <w:jc w:val="left"/>
        <w:keepLines w:val="0"/>
        <w:keepNext w:val="0"/>
        <w:pageBreakBefore w:val="0"/>
        <w:spacing w:line="360" w:lineRule="auto"/>
        <w:widowControl w:val="off"/>
        <w:tabs>
          <w:tab w:val="left" w:pos="102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递交截止时间前，被信用中国、中国政府采购网列入失信被执行人、税收违法黑名单、政府采购严重违法失信行为记录名单的供应商，以及具有其他不符合《中华人民共和国政府采购法》第二十二条规定情形的，拒绝其参与政府采购活动。     备注：采购人或采购代理机构通过信用中国网站(www.creditchina.gov.cn)、中国政府采购网(www.ccgp.gov.cn)，对供应商信用记录情况进行查询。</w:t>
      </w:r>
      <w:r/>
    </w:p>
    <w:p>
      <w:pPr>
        <w:ind w:firstLine="480"/>
        <w:jc w:val="left"/>
        <w:keepLines w:val="0"/>
        <w:keepNext w:val="0"/>
        <w:pageBreakBefore w:val="0"/>
        <w:spacing w:line="360" w:lineRule="auto"/>
        <w:widowControl w:val="off"/>
        <w:tabs>
          <w:tab w:val="left" w:pos="10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2.本项目不接受进口产品（进口产品是指通过中国海关报关验放进入中国境内且产自关境外的产品），中标后不允许分包或转包。</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36" w:name="_Toc16338"/>
      <w:r/>
      <w:bookmarkStart w:id="37" w:name="_Toc28833"/>
      <w:r/>
      <w:bookmarkStart w:id="38" w:name="_Toc29828"/>
      <w:r/>
      <w:bookmarkStart w:id="39" w:name="_Toc29835"/>
      <w:r>
        <w:rPr>
          <w:rFonts w:hint="eastAsia" w:ascii="宋体" w:hAnsi="宋体" w:eastAsia="宋体" w:cs="宋体"/>
          <w:b/>
          <w:bCs/>
          <w:color w:val="auto"/>
          <w:sz w:val="32"/>
          <w:szCs w:val="32"/>
          <w:highlight w:val="none"/>
        </w:rPr>
        <w:t xml:space="preserve">三、获取招标文件</w:t>
      </w:r>
      <w:bookmarkEnd w:id="29"/>
      <w:r/>
      <w:bookmarkEnd w:id="30"/>
      <w:r/>
      <w:bookmarkEnd w:id="31"/>
      <w:r/>
      <w:bookmarkEnd w:id="32"/>
      <w:r/>
      <w:bookmarkEnd w:id="33"/>
      <w:r/>
      <w:bookmarkEnd w:id="36"/>
      <w:r/>
      <w:bookmarkEnd w:id="37"/>
      <w:r/>
      <w:bookmarkEnd w:id="38"/>
      <w:r/>
      <w:bookmarkEnd w:id="39"/>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bookmarkStart w:id="40" w:name="_Toc28359005"/>
      <w:r/>
      <w:bookmarkStart w:id="41" w:name="_Toc28359082"/>
      <w:r/>
      <w:bookmarkStart w:id="42" w:name="_Toc21396"/>
      <w:r/>
      <w:bookmarkStart w:id="43" w:name="_Toc38985266"/>
      <w:r/>
      <w:bookmarkStart w:id="44" w:name="_Toc13422"/>
      <w:r/>
      <w:bookmarkStart w:id="45" w:name="_Toc35393624"/>
      <w:r/>
      <w:bookmarkStart w:id="46" w:name="_Toc3576"/>
      <w:r/>
      <w:bookmarkStart w:id="47" w:name="_Toc2952"/>
      <w:r/>
      <w:bookmarkStart w:id="48" w:name="_Toc35393793"/>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日起至2026年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szCs w:val="24"/>
          <w:highlight w:val="none"/>
        </w:rPr>
        <w:t xml:space="preserve">。</w:t>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获取方式：</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访问电子招标投标交易平台的网络地址和方法：</w:t>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（2）潜在供应商访问“苏采云”系统的网络地址和方法：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“苏采云”系统的网址：http://jszfcg.jsczt.cn/。</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（3）“CA数字证书”的获取：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3.地点：江苏政府采购网</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4.售价：0.00元</w:t>
      </w:r>
      <w:r>
        <w:rPr>
          <w:rFonts w:hint="eastAsia" w:ascii="宋体" w:hAnsi="宋体" w:cs="宋体"/>
          <w:color w:val="auto"/>
          <w:sz w:val="24"/>
          <w:szCs w:val="24"/>
          <w:highlight w:val="none"/>
          <w:lang w:eastAsia="zh-CN"/>
        </w:rPr>
        <w:t xml:space="preserve">。</w:t>
      </w:r>
      <w:r/>
    </w:p>
    <w:p>
      <w:pPr>
        <w:ind w:firstLine="498"/>
        <w:keepLines/>
        <w:keepNext/>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四、提交投标文件</w:t>
      </w:r>
      <w:bookmarkEnd w:id="40"/>
      <w:r/>
      <w:bookmarkEnd w:id="41"/>
      <w:r>
        <w:rPr>
          <w:rFonts w:hint="eastAsia" w:ascii="宋体" w:hAnsi="宋体" w:eastAsia="宋体" w:cs="宋体"/>
          <w:b/>
          <w:bCs/>
          <w:color w:val="auto"/>
          <w:sz w:val="32"/>
          <w:szCs w:val="32"/>
          <w:highlight w:val="none"/>
        </w:rPr>
        <w:t xml:space="preserve">截止时间、开标时间和地点</w:t>
      </w:r>
      <w:bookmarkEnd w:id="42"/>
      <w:r/>
      <w:bookmarkEnd w:id="43"/>
      <w:r/>
      <w:bookmarkEnd w:id="44"/>
      <w:r/>
      <w:bookmarkEnd w:id="45"/>
      <w:r/>
      <w:bookmarkEnd w:id="46"/>
      <w:r/>
      <w:bookmarkEnd w:id="47"/>
      <w:r/>
      <w:bookmarkEnd w:id="4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1.投标文件接收时间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投标文件接收截止时间：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:00:00（北京时间）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2.开标时间与地点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:00:00（北京时间）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开标地点：“苏采云”系统 “开标大厅”</w:t>
      </w:r>
      <w:r/>
    </w:p>
    <w:p>
      <w:pPr>
        <w:ind w:firstLine="480"/>
        <w:jc w:val="left"/>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开标大厅网址：http://jszfcg.jsczt.cn/</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49" w:name="_Toc35393625"/>
      <w:r/>
      <w:bookmarkStart w:id="50" w:name="_Toc12839"/>
      <w:r/>
      <w:bookmarkStart w:id="51" w:name="_Toc35393794"/>
      <w:r/>
      <w:bookmarkStart w:id="52" w:name="_Toc12984"/>
      <w:r/>
      <w:bookmarkStart w:id="53" w:name="_Toc28359084"/>
      <w:r/>
      <w:bookmarkStart w:id="54" w:name="_Toc30073"/>
      <w:r/>
      <w:bookmarkStart w:id="55" w:name="_Toc25214"/>
      <w:r/>
      <w:bookmarkStart w:id="56" w:name="_Toc28359007"/>
      <w:r/>
      <w:bookmarkStart w:id="57" w:name="_Toc38985267"/>
      <w:r>
        <w:rPr>
          <w:rFonts w:hint="eastAsia" w:ascii="宋体" w:hAnsi="宋体" w:eastAsia="宋体" w:cs="宋体"/>
          <w:b/>
          <w:bCs/>
          <w:color w:val="auto"/>
          <w:sz w:val="32"/>
          <w:szCs w:val="32"/>
          <w:highlight w:val="none"/>
        </w:rPr>
        <w:t xml:space="preserve">五、公告期限</w:t>
      </w:r>
      <w:bookmarkEnd w:id="49"/>
      <w:r/>
      <w:bookmarkEnd w:id="50"/>
      <w:r/>
      <w:bookmarkEnd w:id="51"/>
      <w:r/>
      <w:bookmarkEnd w:id="52"/>
      <w:r/>
      <w:bookmarkEnd w:id="53"/>
      <w:r/>
      <w:bookmarkEnd w:id="54"/>
      <w:r/>
      <w:bookmarkEnd w:id="55"/>
      <w:r/>
      <w:bookmarkEnd w:id="56"/>
      <w:r/>
      <w:bookmarkEnd w:id="57"/>
      <w:r/>
      <w:r/>
    </w:p>
    <w:p>
      <w:pPr>
        <w:ind w:firstLine="480"/>
        <w:spacing w:line="360" w:lineRule="auto"/>
        <w:rPr>
          <w:rFonts w:hint="eastAsia" w:ascii="宋体" w:hAnsi="宋体" w:eastAsia="宋体" w:cs="宋体"/>
          <w:color w:val="auto"/>
          <w:sz w:val="24"/>
          <w:szCs w:val="24"/>
          <w:highlight w:val="none"/>
        </w:rPr>
      </w:pPr>
      <w:r/>
      <w:bookmarkStart w:id="58" w:name="_Toc35393626"/>
      <w:r/>
      <w:bookmarkStart w:id="59" w:name="_Toc38985268"/>
      <w:r/>
      <w:bookmarkStart w:id="60" w:name="_Toc35393795"/>
      <w:r>
        <w:rPr>
          <w:rFonts w:hint="eastAsia" w:ascii="宋体" w:hAnsi="宋体" w:eastAsia="宋体" w:cs="宋体"/>
          <w:color w:val="auto"/>
          <w:sz w:val="24"/>
          <w:szCs w:val="24"/>
          <w:highlight w:val="none"/>
        </w:rPr>
        <w:t xml:space="preserve">自本公告发布之日起5个工作日。</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61" w:name="_Toc11327"/>
      <w:r/>
      <w:bookmarkStart w:id="62" w:name="_Toc24149"/>
      <w:r/>
      <w:bookmarkStart w:id="63" w:name="_Toc11944"/>
      <w:r/>
      <w:bookmarkStart w:id="64" w:name="_Toc17181"/>
      <w:r>
        <w:rPr>
          <w:rFonts w:hint="eastAsia" w:ascii="宋体" w:hAnsi="宋体" w:eastAsia="宋体" w:cs="宋体"/>
          <w:b/>
          <w:bCs/>
          <w:color w:val="auto"/>
          <w:sz w:val="32"/>
          <w:szCs w:val="32"/>
          <w:highlight w:val="none"/>
        </w:rPr>
        <w:t xml:space="preserve">六、其他补充事宜</w:t>
      </w:r>
      <w:bookmarkEnd w:id="58"/>
      <w:r/>
      <w:bookmarkEnd w:id="59"/>
      <w:r/>
      <w:bookmarkEnd w:id="60"/>
      <w:r/>
      <w:bookmarkEnd w:id="61"/>
      <w:r/>
      <w:bookmarkEnd w:id="62"/>
      <w:r/>
      <w:bookmarkEnd w:id="63"/>
      <w:r/>
      <w:bookmarkEnd w:id="64"/>
      <w:r/>
      <w:r/>
    </w:p>
    <w:p>
      <w:pPr>
        <w:ind w:firstLine="480"/>
        <w:jc w:val="left"/>
        <w:spacing w:line="360" w:lineRule="auto"/>
        <w:rPr>
          <w:rFonts w:hint="eastAsia" w:ascii="宋体" w:hAnsi="宋体" w:eastAsia="宋体" w:cs="宋体"/>
          <w:color w:val="auto"/>
          <w:sz w:val="24"/>
          <w:szCs w:val="24"/>
          <w:highlight w:val="none"/>
        </w:rPr>
      </w:pPr>
      <w:r/>
      <w:bookmarkStart w:id="65" w:name="_Toc35393627"/>
      <w:r/>
      <w:bookmarkStart w:id="66" w:name="_Toc12090"/>
      <w:r/>
      <w:bookmarkStart w:id="67" w:name="_Toc10855"/>
      <w:r/>
      <w:bookmarkStart w:id="68" w:name="_Toc11778"/>
      <w:r/>
      <w:bookmarkStart w:id="69" w:name="_Toc32552"/>
      <w:r/>
      <w:bookmarkStart w:id="70" w:name="_Toc35393796"/>
      <w:r/>
      <w:bookmarkStart w:id="71" w:name="_Toc28359008"/>
      <w:r/>
      <w:bookmarkStart w:id="72" w:name="_Toc38985269"/>
      <w:r/>
      <w:bookmarkStart w:id="73" w:name="_Toc28359085"/>
      <w:r>
        <w:rPr>
          <w:rFonts w:hint="eastAsia" w:ascii="宋体" w:hAnsi="宋体" w:eastAsia="宋体" w:cs="宋体"/>
          <w:color w:val="auto"/>
          <w:sz w:val="24"/>
          <w:szCs w:val="24"/>
          <w:highlight w:val="none"/>
        </w:rPr>
        <w:t xml:space="preserve">1.本次公开招标不收取投标保证金。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2.本招标文件中标注★的款项为实质性响应要求和条件，必须</w:t>
      </w:r>
      <w:r>
        <w:rPr>
          <w:rFonts w:hint="eastAsia" w:ascii="宋体" w:hAnsi="宋体" w:eastAsia="宋体" w:cs="宋体"/>
          <w:b/>
          <w:color w:val="auto"/>
          <w:sz w:val="24"/>
          <w:szCs w:val="24"/>
          <w:highlight w:val="none"/>
        </w:rPr>
        <w:t xml:space="preserve">逐条</w:t>
      </w:r>
      <w:r>
        <w:rPr>
          <w:rFonts w:hint="eastAsia" w:ascii="宋体" w:hAnsi="宋体" w:eastAsia="宋体" w:cs="宋体"/>
          <w:color w:val="auto"/>
          <w:sz w:val="24"/>
          <w:szCs w:val="24"/>
          <w:highlight w:val="none"/>
        </w:rPr>
        <w:t xml:space="preserve">做出满足要求和条件的响应，否则将按无效响应处理。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498"/>
        <w:keepLines/>
        <w:keepNext/>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七、本次招标联系方式</w:t>
      </w:r>
      <w:bookmarkEnd w:id="65"/>
      <w:r/>
      <w:bookmarkEnd w:id="66"/>
      <w:r/>
      <w:bookmarkEnd w:id="67"/>
      <w:r/>
      <w:bookmarkEnd w:id="68"/>
      <w:r/>
      <w:bookmarkEnd w:id="69"/>
      <w:r/>
      <w:bookmarkEnd w:id="70"/>
      <w:r/>
      <w:bookmarkEnd w:id="71"/>
      <w:r/>
      <w:bookmarkEnd w:id="72"/>
      <w:r/>
      <w:bookmarkEnd w:id="73"/>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连云港市海州区新坝镇人民政府</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海州区新坝镇</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顾军</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74" w:name="_Toc28359009"/>
      <w:r/>
      <w:bookmarkStart w:id="75" w:name="_Toc28359086"/>
      <w:r>
        <w:rPr>
          <w:rFonts w:hint="eastAsia" w:ascii="宋体" w:hAnsi="宋体" w:eastAsia="宋体" w:cs="宋体"/>
          <w:color w:val="auto"/>
          <w:sz w:val="24"/>
          <w:szCs w:val="24"/>
          <w:highlight w:val="none"/>
          <w:lang w:val="en-US" w:eastAsia="zh-CN"/>
        </w:rPr>
        <w:t xml:space="preserve">13961397846</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74"/>
      <w:r/>
      <w:bookmarkEnd w:id="75"/>
      <w:r>
        <w:rPr>
          <w:rFonts w:hint="eastAsia" w:ascii="宋体" w:hAnsi="宋体" w:eastAsia="宋体" w:cs="宋体"/>
          <w:color w:val="auto"/>
          <w:sz w:val="24"/>
          <w:szCs w:val="24"/>
          <w:highlight w:val="none"/>
          <w:lang w:eastAsia="zh-CN"/>
        </w:rPr>
        <w:t xml:space="preserve">江苏建审工程项目管理有限公司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连云港市海州区兴亿达大厦东侧20楼</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孙工</w:t>
      </w:r>
      <w:r/>
    </w:p>
    <w:p>
      <w:pPr>
        <w:ind w:firstLine="480"/>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联系方式：</w:t>
      </w:r>
      <w:bookmarkStart w:id="76" w:name="_Toc28359010"/>
      <w:r/>
      <w:bookmarkStart w:id="77" w:name="_Toc28359087"/>
      <w:r>
        <w:rPr>
          <w:rFonts w:hint="eastAsia" w:ascii="宋体" w:hAnsi="宋体" w:eastAsia="宋体" w:cs="宋体"/>
          <w:color w:val="auto"/>
          <w:sz w:val="24"/>
          <w:szCs w:val="24"/>
          <w:highlight w:val="none"/>
          <w:lang w:val="en-US" w:eastAsia="zh-CN"/>
        </w:rPr>
        <w:t xml:space="preserve">18652112802</w:t>
      </w:r>
      <w:r/>
    </w:p>
    <w:p>
      <w:pPr>
        <w:pStyle w:val="1020"/>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顾军</w:t>
      </w:r>
      <w:r/>
    </w:p>
    <w:p>
      <w:pPr>
        <w:ind w:firstLine="498"/>
        <w:keepLines/>
        <w:keepNext/>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rPr>
        <w:t xml:space="preserve">电      话：</w:t>
      </w:r>
      <w:bookmarkEnd w:id="76"/>
      <w:r/>
      <w:bookmarkEnd w:id="77"/>
      <w:r>
        <w:rPr>
          <w:rFonts w:hint="eastAsia" w:ascii="宋体" w:hAnsi="宋体" w:eastAsia="宋体" w:cs="宋体"/>
          <w:color w:val="auto"/>
          <w:sz w:val="24"/>
          <w:szCs w:val="24"/>
          <w:highlight w:val="none"/>
          <w:lang w:val="en-US" w:eastAsia="zh-CN"/>
        </w:rPr>
        <w:t xml:space="preserve">13961397846</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78" w:name="_Toc1060"/>
      <w:r/>
      <w:bookmarkStart w:id="79" w:name="_Toc17779"/>
      <w:r/>
      <w:bookmarkStart w:id="80" w:name="_Toc30732"/>
      <w:r/>
      <w:bookmarkStart w:id="81" w:name="_Toc21087"/>
      <w:r>
        <w:rPr>
          <w:rFonts w:hint="eastAsia" w:ascii="宋体" w:hAnsi="宋体" w:eastAsia="宋体" w:cs="宋体"/>
          <w:b/>
          <w:bCs/>
          <w:color w:val="auto"/>
          <w:sz w:val="32"/>
          <w:szCs w:val="32"/>
          <w:highlight w:val="none"/>
        </w:rPr>
        <w:t xml:space="preserve">八、其他</w:t>
      </w:r>
      <w:bookmarkEnd w:id="78"/>
      <w:r/>
      <w:bookmarkEnd w:id="79"/>
      <w:r/>
      <w:bookmarkEnd w:id="80"/>
      <w:r/>
      <w:bookmarkEnd w:id="81"/>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4"/>
          <w:highlight w:val="none"/>
        </w:rPr>
        <w:t xml:space="preserve">根据省财政厅《关于更换全省政府采购交易系统C 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 A和方正国际软件（北京）有限公司电子签章。如果</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2.有关本次招标的事项若存在变动或修改，敬请及时关注</w:t>
      </w:r>
      <w:r>
        <w:rPr>
          <w:rFonts w:hint="eastAsia" w:ascii="宋体" w:hAnsi="宋体" w:eastAsia="宋体" w:cs="宋体"/>
          <w:bCs/>
          <w:color w:val="auto"/>
          <w:sz w:val="24"/>
          <w:szCs w:val="24"/>
          <w:highlight w:val="none"/>
          <w:lang w:eastAsia="zh-CN"/>
        </w:rPr>
        <w:t xml:space="preserve">江苏建审工程项目管理有限公司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.本项目采用电子招标投标，请供应商严格按照招标文件的规定编制、提交投标文件，否则所造成的一切不利后果由供应商自行承担。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应当通过“苏采云”系统提交数据电文形式的投标文件（即电子投标）。</w:t>
      </w:r>
      <w:r/>
    </w:p>
    <w:p>
      <w:pPr>
        <w:ind w:firstLine="2429"/>
        <w:keepLines/>
        <w:keepNext/>
        <w:spacing w:line="360" w:lineRule="auto"/>
        <w:rPr>
          <w:rStyle w:val="999"/>
          <w:rFonts w:hint="eastAsia" w:ascii="宋体" w:hAnsi="宋体" w:eastAsia="宋体" w:cs="宋体"/>
          <w:color w:val="auto"/>
          <w:highlight w:val="none"/>
        </w:rPr>
        <w:outlineLvl w:val="1"/>
      </w:pPr>
      <w:r/>
      <w:bookmarkStart w:id="82" w:name="_Toc120614211"/>
      <w:r>
        <w:rPr>
          <w:rFonts w:hint="eastAsia" w:ascii="宋体" w:hAnsi="宋体" w:eastAsia="宋体" w:cs="宋体"/>
          <w:b/>
          <w:bCs/>
          <w:color w:val="auto"/>
          <w:sz w:val="44"/>
          <w:szCs w:val="44"/>
          <w:highlight w:val="none"/>
        </w:rPr>
        <w:br w:type="page" w:clear="all"/>
      </w:r>
      <w:bookmarkStart w:id="83" w:name="_Toc9737"/>
      <w:r/>
      <w:bookmarkStart w:id="84" w:name="_Toc15404"/>
      <w:r/>
      <w:bookmarkStart w:id="85" w:name="_Toc22758"/>
      <w:r/>
      <w:bookmarkStart w:id="86" w:name="_Toc5406"/>
      <w:r>
        <w:rPr>
          <w:rStyle w:val="999"/>
          <w:rFonts w:hint="eastAsia" w:ascii="宋体" w:hAnsi="宋体" w:eastAsia="宋体" w:cs="宋体"/>
          <w:color w:val="auto"/>
          <w:highlight w:val="none"/>
        </w:rPr>
        <w:t xml:space="preserve">第二章  </w:t>
      </w:r>
      <w:bookmarkEnd w:id="1"/>
      <w:r/>
      <w:bookmarkEnd w:id="2"/>
      <w:r/>
      <w:bookmarkEnd w:id="3"/>
      <w:r/>
      <w:bookmarkEnd w:id="4"/>
      <w:r/>
      <w:bookmarkEnd w:id="5"/>
      <w:r/>
      <w:bookmarkEnd w:id="82"/>
      <w:r/>
      <w:bookmarkStart w:id="87" w:name="_Toc120614213"/>
      <w:r/>
      <w:bookmarkStart w:id="88" w:name="_Toc20823274"/>
      <w:r/>
      <w:bookmarkStart w:id="89" w:name="_Toc513029202"/>
      <w:r/>
      <w:bookmarkStart w:id="90" w:name="_Toc16938518"/>
      <w:r>
        <w:rPr>
          <w:rStyle w:val="999"/>
          <w:rFonts w:hint="eastAsia" w:ascii="宋体" w:hAnsi="宋体" w:cs="宋体"/>
          <w:color w:val="auto"/>
          <w:highlight w:val="none"/>
          <w:lang w:eastAsia="zh-CN"/>
        </w:rPr>
        <w:t xml:space="preserve">供应商</w:t>
      </w:r>
      <w:r>
        <w:rPr>
          <w:rStyle w:val="999"/>
          <w:rFonts w:hint="eastAsia" w:ascii="宋体" w:hAnsi="宋体" w:eastAsia="宋体" w:cs="宋体"/>
          <w:color w:val="auto"/>
          <w:highlight w:val="none"/>
        </w:rPr>
        <w:t xml:space="preserve">须知</w:t>
      </w:r>
      <w:bookmarkEnd w:id="83"/>
      <w:r/>
      <w:bookmarkEnd w:id="84"/>
      <w:r/>
      <w:bookmarkEnd w:id="85"/>
      <w:r/>
      <w:bookmarkEnd w:id="86"/>
      <w:r/>
      <w:bookmarkEnd w:id="87"/>
      <w:r/>
      <w:bookmarkEnd w:id="88"/>
      <w:r/>
      <w:bookmarkEnd w:id="89"/>
      <w:r/>
      <w:bookmarkEnd w:id="90"/>
      <w:r/>
      <w:r/>
    </w:p>
    <w:p>
      <w:pPr>
        <w:pStyle w:val="756"/>
        <w:numPr>
          <w:ilvl w:val="0"/>
          <w:numId w:val="0"/>
        </w:numPr>
        <w:rPr>
          <w:rFonts w:hint="eastAsia" w:ascii="宋体" w:hAnsi="宋体" w:eastAsia="宋体" w:cs="宋体"/>
          <w:b w:val="0"/>
          <w:color w:val="auto"/>
          <w:highlight w:val="none"/>
        </w:rPr>
      </w:pPr>
      <w:r/>
      <w:bookmarkStart w:id="91" w:name="_Toc16938558"/>
      <w:r/>
      <w:bookmarkStart w:id="92" w:name="_Toc20823314"/>
      <w:r/>
      <w:bookmarkStart w:id="93" w:name="_Toc513029242"/>
      <w:r/>
      <w:bookmarkStart w:id="94" w:name="_Toc120614221"/>
      <w:r/>
      <w:bookmarkStart w:id="95" w:name="_Toc479757207"/>
      <w:r>
        <w:rPr>
          <w:rFonts w:hint="eastAsia" w:ascii="宋体" w:hAnsi="宋体" w:eastAsia="宋体" w:cs="宋体"/>
          <w:color w:val="auto"/>
          <w:highlight w:val="none"/>
        </w:rPr>
        <w:t xml:space="preserve">一、总则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采购人、项目（标段）名称及编号，详见第一章“投标邀请”。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采购预算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本项目的采购预算，详见第一章“投标邀请”。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资金来源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“投标邀请”中所述的采购人已获得一笔政府采购资金，用于采购第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章“项目需求”所列内容。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采购方式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本项目采用公开招标采购方式，招标、投标、开标、评标和中标结果发布全程电子化。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 合格的</w:t>
      </w:r>
      <w:r>
        <w:rPr>
          <w:rFonts w:hint="eastAsia" w:ascii="宋体" w:hAnsi="宋体" w:cs="宋体"/>
          <w:color w:val="auto"/>
          <w:sz w:val="24"/>
          <w:szCs w:val="24"/>
          <w:highlight w:val="none"/>
          <w:lang w:eastAsia="zh-CN"/>
        </w:rPr>
        <w:t xml:space="preserve">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应符合第一章“投标邀请”中规定的条件，</w:t>
      </w:r>
      <w:r>
        <w:rPr>
          <w:rFonts w:hint="eastAsia" w:ascii="宋体" w:hAnsi="宋体" w:eastAsia="宋体" w:cs="宋体"/>
          <w:b/>
          <w:bCs/>
          <w:color w:val="auto"/>
          <w:sz w:val="24"/>
          <w:szCs w:val="24"/>
          <w:highlight w:val="none"/>
        </w:rPr>
        <w:t xml:space="preserve">否则投标无效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不得直接或间接地与为本次采购的标的进行设计、编制规范和其他文件的咨询公司、采购（代理）机构或其附属机构有任何关联。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符合上述条件的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应承担投标及履约过程应承担的全部责任与义务。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不论投标结果如何，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均应自行承担所有与编写和提交投标文件有关的全部费用。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1"/>
          <w:highlight w:val="none"/>
        </w:rPr>
        <w:t xml:space="preserve">本次招标采购代理</w:t>
      </w:r>
      <w:r>
        <w:rPr>
          <w:rFonts w:hint="eastAsia" w:ascii="宋体" w:hAnsi="宋体" w:eastAsia="宋体" w:cs="宋体"/>
          <w:color w:val="auto"/>
          <w:sz w:val="24"/>
          <w:szCs w:val="24"/>
          <w:highlight w:val="none"/>
        </w:rPr>
        <w:t xml:space="preserve">服务费及其他：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（1）按照苏招协[2022]002号文规定的</w:t>
      </w: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%收取费用；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（2）涉及本采购项目的其他费用，按相关规定执行。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以上费用最终</w:t>
      </w:r>
      <w:r>
        <w:rPr>
          <w:rFonts w:hint="eastAsia" w:ascii="宋体" w:hAnsi="宋体" w:cs="宋体"/>
          <w:color w:val="auto"/>
          <w:sz w:val="24"/>
          <w:szCs w:val="24"/>
          <w:highlight w:val="none"/>
          <w:lang w:val="en-US" w:eastAsia="zh-CN"/>
        </w:rPr>
        <w:t xml:space="preserve">中标通知书发出后30日内</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人支付</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质疑的提出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提出质疑的供应商应当是参与所质疑项目采购活动的供应商。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auto"/>
          <w:sz w:val="24"/>
          <w:szCs w:val="24"/>
          <w:highlight w:val="none"/>
          <w:lang w:eastAsia="zh-CN"/>
        </w:rPr>
        <w:t xml:space="preserve">江苏建审工程项目管理有限公司</w:t>
      </w:r>
      <w:r>
        <w:rPr>
          <w:rFonts w:hint="eastAsia" w:ascii="宋体" w:hAnsi="宋体" w:eastAsia="宋体" w:cs="宋体"/>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宋体"/>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。联系部门、联系电话和通讯地址详见第一章“投标邀请”。质疑实行实名制，不得进行虚假、恶意质疑。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7.1.5 质疑函应当使用范本（详见</w:t>
      </w:r>
      <w:r>
        <w:rPr>
          <w:rFonts w:hint="eastAsia" w:ascii="宋体" w:hAnsi="宋体" w:eastAsia="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供应商提出质疑</w:t>
      </w:r>
      <w:r>
        <w:rPr>
          <w:rFonts w:hint="eastAsia" w:ascii="宋体" w:hAnsi="宋体" w:eastAsia="宋体" w:cs="宋体"/>
          <w:b/>
          <w:color w:val="auto"/>
          <w:sz w:val="24"/>
          <w:szCs w:val="24"/>
          <w:highlight w:val="none"/>
        </w:rPr>
        <w:t xml:space="preserve">应当提交质疑函和必要的证明材料</w:t>
      </w:r>
      <w:r>
        <w:rPr>
          <w:rFonts w:hint="eastAsia" w:ascii="宋体" w:hAnsi="宋体" w:eastAsia="宋体" w:cs="宋体"/>
          <w:color w:val="auto"/>
          <w:sz w:val="24"/>
          <w:szCs w:val="24"/>
          <w:highlight w:val="none"/>
        </w:rPr>
        <w:t xml:space="preserve">，应当包括下列内容：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（8）招标文件(交易文件)下载回执函；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（9）营业执照复印件及法定代表人授权委托书、法定代表人身份证复印件、委托代理人身份证复印件。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 对不符合质疑要求的，采购人、采购代理机构有权要求其补充必要的证明材料，质疑供应商未在法定的时间内提供补充必要的证明材料的，视同放弃质疑。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质疑处理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质疑供应商未按照法定程序进行质疑投诉的，视为一般失信行为。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质疑供应商不配合或者采用不正当手段干扰政府采购质疑、投诉处理工作的，视为一般失信行为。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7.3.3 质疑供应商投诉受理期间，就同一事项多头举报，干扰财政部门投诉处理的，视为一般失信行为。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7.3.4 质疑供应商在全国范围12个月内三次以上质疑查无实据的，视为一般失信行为。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7.3.6 质疑供应商在全国范围12个月内三次以上投诉查无实据的，视为严重失信行为。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未尽事宜，依照有关法律、法规执行。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投诉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8.1 投诉事项依照有关法律、法规执行。</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二、招标文件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要求提供的货物、招标过程及合同条款在招标文件中均有说明，招标文件分为</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章，各章的内容如下：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政府采购合同格式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项目需求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招标文件的澄清或修改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；不足15日的，采购人或者采购代理机构应当顺延提交投标文件的截止时间。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；不足3日的，采购人或者采购代理机构应当顺延提交资格预审申请文件的截止时间。</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三、投标文件的编制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投标文件编写注意事项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 xml:space="preserve">无效响应处理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对招标文件提出的实质性要求和条件作出响应是指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 xml:space="preserve">作出满足原要求和条件的响应</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 xml:space="preserve">招标文件中标注★号的部分为实质性要求和条件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投标的语言及计量单位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的投标文件以及</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与采购代理机构就有关投标的所有来往函电统一使用中文（特别规定除外），既有中文也有外文的，以中文意义为准。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投标报价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w:t>
      </w:r>
      <w:r>
        <w:rPr>
          <w:rFonts w:hint="eastAsia" w:ascii="宋体" w:hAnsi="宋体" w:eastAsia="宋体" w:cs="宋体"/>
          <w:color w:val="auto"/>
          <w:sz w:val="24"/>
          <w:szCs w:val="24"/>
          <w:highlight w:val="none"/>
          <w:lang w:val="en-US" w:eastAsia="zh-CN"/>
        </w:rPr>
        <w:t xml:space="preserve">配合指导</w:t>
      </w:r>
      <w:r>
        <w:rPr>
          <w:rFonts w:hint="eastAsia" w:ascii="宋体" w:hAnsi="宋体" w:eastAsia="宋体" w:cs="宋体"/>
          <w:color w:val="auto"/>
          <w:sz w:val="24"/>
          <w:szCs w:val="24"/>
          <w:highlight w:val="none"/>
        </w:rPr>
        <w:t xml:space="preserve">安装费用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主体安装由施工单位完成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可就第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章“项目需求”中的某个分标货物内容作完整唯一报价，也可就所有分标或某几个分标货物内容分别作完整唯一报价。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投标货币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投标应以人民币报价。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投标文件有效期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本项目投标文件有效期为：投标文件接收截止时间结束后60天内，投标文件有效期不符合招标文件要求的，该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在特殊情况下，采购代理机构可与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协商延长投标文件的有效期，这种要求与答复均应以书面形式提交。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投标文件制作工具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编制的投标文件应包括</w:t>
      </w:r>
      <w:r>
        <w:rPr>
          <w:rFonts w:hint="eastAsia" w:ascii="宋体" w:hAnsi="宋体" w:eastAsia="宋体" w:cs="宋体"/>
          <w:b/>
          <w:color w:val="auto"/>
          <w:sz w:val="24"/>
          <w:szCs w:val="24"/>
          <w:highlight w:val="none"/>
        </w:rPr>
        <w:t xml:space="preserve">商务文件、技术文件、评审因素所需材料和其他材料</w:t>
      </w:r>
      <w:r>
        <w:rPr>
          <w:rFonts w:hint="eastAsia" w:ascii="宋体" w:hAnsi="宋体" w:eastAsia="宋体" w:cs="宋体"/>
          <w:color w:val="auto"/>
          <w:sz w:val="24"/>
          <w:szCs w:val="24"/>
          <w:highlight w:val="none"/>
        </w:rPr>
        <w:t xml:space="preserve">等内容，相关文件的提交如未特别注明可提供扫描件。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b/>
          <w:color w:val="auto"/>
          <w:sz w:val="24"/>
          <w:szCs w:val="24"/>
          <w:highlight w:val="none"/>
        </w:rPr>
        <w:t xml:space="preserve">投标文件格式：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填写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地址、法定代表人、委托代理人、日期等内容。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（1）响应函：请按给定格式及要求填写。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（2）开标一览表：请按给定格式及要求填写。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（3）投标产品配置及分项报价表：请按第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章“投标文件格式”提供的“投标产品配置及分项报价表”格式及要求填写。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（5）资格审查材料：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（6）法定代表人授权委托书：请按给定格式及要求填写。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（7）商务条款偏离表：请按给定格式及要求，并根据</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投标承诺的商务条件与“合同条款”“合同专用条款表”“项目需求”等的差异填写。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w:t>
      </w:r>
      <w:r>
        <w:rPr>
          <w:rFonts w:hint="eastAsia" w:ascii="宋体" w:hAnsi="宋体" w:eastAsia="宋体" w:cs="宋体"/>
          <w:b/>
          <w:color w:val="auto"/>
          <w:sz w:val="24"/>
          <w:szCs w:val="24"/>
          <w:highlight w:val="none"/>
        </w:rPr>
        <w:t xml:space="preserve">技术文件：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（1）技术标：可以但不限于技术方案、产品技术资料、招标文件规定的其他文件等，格式自定。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（2）技术规格偏离表：按第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章“投标文件格式”提供的“技术规格偏离表”的格式及要求，根据</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投标的货物与“项目需求”相关技术规格要求的差异填写。</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18.4</w:t>
      </w:r>
      <w:r>
        <w:rPr>
          <w:rFonts w:hint="eastAsia" w:ascii="宋体" w:hAnsi="宋体" w:eastAsia="宋体" w:cs="宋体"/>
          <w:b/>
          <w:color w:val="auto"/>
          <w:sz w:val="24"/>
          <w:szCs w:val="24"/>
          <w:highlight w:val="none"/>
        </w:rPr>
        <w:t xml:space="preserve">评审因素所需材料：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如有，请按招标文件要求提供。</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18.5 </w:t>
      </w:r>
      <w:r>
        <w:rPr>
          <w:rFonts w:hint="eastAsia" w:ascii="宋体" w:hAnsi="宋体" w:eastAsia="宋体" w:cs="宋体"/>
          <w:b/>
          <w:color w:val="auto"/>
          <w:sz w:val="24"/>
          <w:szCs w:val="24"/>
          <w:highlight w:val="none"/>
        </w:rPr>
        <w:t xml:space="preserve">其他材料：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如有，请按招标文件要求提供。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生成投标文件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19.1 投标文件应由</w:t>
      </w:r>
      <w:r>
        <w:rPr>
          <w:rFonts w:hint="eastAsia" w:ascii="宋体" w:hAnsi="宋体" w:eastAsia="宋体" w:cs="宋体"/>
          <w:b/>
          <w:color w:val="auto"/>
          <w:sz w:val="24"/>
          <w:szCs w:val="24"/>
          <w:highlight w:val="none"/>
        </w:rPr>
        <w:t xml:space="preserve">法定代表人或其委托代理人</w:t>
      </w:r>
      <w:r>
        <w:rPr>
          <w:rFonts w:hint="eastAsia" w:ascii="宋体" w:hAnsi="宋体" w:eastAsia="宋体" w:cs="宋体"/>
          <w:b/>
          <w:color w:val="auto"/>
          <w:sz w:val="24"/>
          <w:szCs w:val="24"/>
          <w:highlight w:val="none"/>
          <w:lang w:eastAsia="zh-CN"/>
        </w:rPr>
        <w:t xml:space="preserve">在</w:t>
      </w:r>
      <w:r>
        <w:rPr>
          <w:rFonts w:hint="eastAsia" w:ascii="宋体" w:hAnsi="宋体" w:eastAsia="宋体" w:cs="宋体"/>
          <w:b/>
          <w:bCs/>
          <w:color w:val="auto"/>
          <w:sz w:val="24"/>
          <w:szCs w:val="24"/>
          <w:highlight w:val="none"/>
        </w:rPr>
        <w:t xml:space="preserve">规定签章处逐一签字或盖章并加盖</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公章（相关内容可以打印、签字、盖章后扫描电子件）或</w:t>
      </w:r>
      <w:r>
        <w:rPr>
          <w:rFonts w:hint="eastAsia" w:ascii="宋体" w:hAnsi="宋体" w:eastAsia="宋体" w:cs="宋体"/>
          <w:b/>
          <w:color w:val="auto"/>
          <w:sz w:val="24"/>
          <w:szCs w:val="24"/>
          <w:highlight w:val="none"/>
        </w:rPr>
        <w:t xml:space="preserve">使用电子签章</w:t>
      </w:r>
      <w:r>
        <w:rPr>
          <w:rFonts w:hint="eastAsia" w:ascii="宋体" w:hAnsi="宋体" w:eastAsia="宋体" w:cs="宋体"/>
          <w:color w:val="auto"/>
          <w:sz w:val="24"/>
          <w:szCs w:val="24"/>
          <w:highlight w:val="none"/>
        </w:rPr>
        <w:t xml:space="preserve">，本招标文件所表述的公章是指刻有</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法定名称的印章，不包括合同、财务、税务、发票等形式的业务专用章。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电子投标文件不得涂改、行间插字或删除，如出现上述情况应重新编制。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投标文件制作工具生成内容相同、加密与未加密两个版本电子投标文件，加密版本用于提交上传，未加密版本用于特殊情况处理。</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四、投标文件及样品的提交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投标文件的上传、修改和撤回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应当使用投标文件制作工具，生成加密电子投标文件一份，在规定的截止时间前上传，迟于截止时间的</w:t>
      </w:r>
      <w:r>
        <w:rPr>
          <w:rFonts w:hint="eastAsia" w:ascii="宋体" w:hAnsi="宋体" w:eastAsia="宋体" w:cs="宋体"/>
          <w:b/>
          <w:color w:val="auto"/>
          <w:sz w:val="24"/>
          <w:szCs w:val="24"/>
          <w:highlight w:val="none"/>
        </w:rPr>
        <w:t xml:space="preserve">不予接收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在上传投标文件后可以对其修改或撤回，但这种修改或撤回，必须在规定的投标截止时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对电子投标文件的修改，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可以在投标截止时间前登录电子交易平台撤回文件，并上传新的投标文件，投标文件以最终完成上传的为准。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20.4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不得在投标截止时间后修改投标文件，也不得在投标截止时间起至投标有效期满前撤回投标文件。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提交投标样品截止时间和地点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采购项目需要提交样品的，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应当于招标文件规定的样品接收截止</w:t>
      </w:r>
      <w:r>
        <w:rPr>
          <w:rFonts w:hint="eastAsia" w:ascii="宋体" w:hAnsi="宋体" w:eastAsia="宋体" w:cs="宋体"/>
          <w:bCs/>
          <w:color w:val="auto"/>
          <w:sz w:val="24"/>
          <w:szCs w:val="24"/>
          <w:highlight w:val="none"/>
        </w:rPr>
        <w:t xml:space="preserve">时间前将样品送达指定地点并登记完毕，</w:t>
      </w:r>
      <w:r>
        <w:rPr>
          <w:rFonts w:hint="eastAsia" w:ascii="宋体" w:hAnsi="宋体" w:eastAsia="宋体" w:cs="宋体"/>
          <w:b/>
          <w:bCs/>
          <w:color w:val="auto"/>
          <w:sz w:val="24"/>
          <w:szCs w:val="24"/>
          <w:highlight w:val="none"/>
        </w:rPr>
        <w:t xml:space="preserve">否则不予接收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中标人提供的样品由采购人封存、保管，作为履约验收的参考。未中标人提供的样品，</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应在中标结果公布后两个工作日内领回，否则按无主物品处理。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21.3本项目无需提交样品。</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五、开标与评标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开标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采购代理机构将在第一章“投标邀请”规定的时间和地点进行开标，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的法定代表人或其委托代理人应</w:t>
      </w:r>
      <w:r>
        <w:rPr>
          <w:rFonts w:hint="eastAsia" w:ascii="宋体" w:hAnsi="宋体" w:eastAsia="宋体" w:cs="宋体"/>
          <w:b/>
          <w:color w:val="auto"/>
          <w:sz w:val="24"/>
          <w:szCs w:val="24"/>
          <w:highlight w:val="none"/>
        </w:rPr>
        <w:t xml:space="preserve">准备身份证件和用于生成、加密和上传电子投标文件的CA数字证书参加开标会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线下开标的，供应商必须按规定时间递交CA数字证书，</w:t>
      </w:r>
      <w:r>
        <w:rPr>
          <w:rFonts w:hint="eastAsia" w:ascii="宋体" w:hAnsi="宋体" w:eastAsia="宋体" w:cs="宋体"/>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宋体"/>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供应商未参加开标会的，视同认可开标结果。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（1）开标会由采购代理机构主持，主持人宣布开标会议开始；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解密投标文件；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（3）唱标及勘误：唱标时将当众宣读每份电子投标文件中“开标一览表”的各项内容以及采购代理机构认为有必要宣读的其他内容，唱标顺序按开标系统</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先后顺序进行；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（4）宣布评标期间的有关事项；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（5）开标会议结束。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采购代理机构将做开标记录（包括</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名称、投标总报价、分标报价、交货期等）。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开标结束后，采购人依法对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评标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成立评标委员会。评标委员会由采购人代表和评审专家组成。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bCs/>
          <w:color w:val="auto"/>
          <w:sz w:val="24"/>
          <w:szCs w:val="24"/>
          <w:highlight w:val="none"/>
        </w:rPr>
        <w:t xml:space="preserve">评标工作程序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（1）评标委员会负责具体评标事务，并独立履行下列职责：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①审查、评价投标文件是否符合招标文件的商务、技术等实质性要求；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对投标文件有关事项作出澄清或者说明；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③对投标文件进行比较和评价；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④确定中标候选人名单，以及根据采购人授权直接确定中标人；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⑤向采购人、采购代理机构或者有关部门报告评标中发现的违法行为；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⑥编写评标报告。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（2）评标委员会对符合资格的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的投标文件进行符合性审查，以确定其是否满足招标文件的实质性要求。</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符合性检查</w:t>
      </w:r>
      <w:r>
        <w:rPr>
          <w:rFonts w:hint="eastAsia" w:ascii="宋体" w:hAnsi="宋体" w:eastAsia="宋体" w:cs="宋体"/>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所谓重大偏离或保留</w:t>
      </w:r>
      <w:r>
        <w:rPr>
          <w:rFonts w:hint="eastAsia" w:ascii="宋体" w:hAnsi="宋体" w:eastAsia="宋体" w:cs="宋体"/>
          <w:color w:val="auto"/>
          <w:sz w:val="24"/>
          <w:szCs w:val="24"/>
          <w:highlight w:val="none"/>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按照少数服从多数的原则作出结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评标委员会将拒绝被确定为非实质性响应的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不能通过修正或撤销不符之处而使其投标成为实质性响应的投标。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（3）澄清有关问题。对于投标文件中含义不明确、同类问题表述不一致或者有明显文字和计算错误的内容，评标委员会通过“苏采云”系统要求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作出必要的澄清、说明或者补正，并规定回复时间。</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的澄清、说明或者补正采用书面形式，通过“苏采云”系统（使用“CA数字证书”,加盖电子签章）</w:t>
      </w:r>
      <w:r>
        <w:rPr>
          <w:rFonts w:hint="eastAsia" w:ascii="宋体" w:hAnsi="宋体" w:eastAsia="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提交，并不得超出投标文件的范围或者改变投标文件的实质性内容。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的澄清文件是投标文件的组成部分。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没有在规定的回复时间内作出必要的澄清、说明或者补正，评标委员会将认为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拒绝作出必要的澄清、说明或者补正，并承担相应的后果和法律责任。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评标过程的保密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开标后，直到授予</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合同止，凡是属于审查、澄清、评审和比较的有关资料以及授标建议等均不得向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或其他无关的人员透露。</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在评标过程中，所进行的力图影响评标结果的不公正活动，可能导致其投标被拒绝。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投标文件报价出现前后不一致的，按照下列规定修正：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同时出现两种以上不一致的，按照前款规定的顺序修正。修正后的报价按照政府采购有关规定经</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不确认的，其投标无效。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有下列情况之一的，投标无效：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（1）未按照招标文件的规定提交投标保证金的；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（2）投标文件未按招标文件要求编制、签署、盖章的；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（3）不具备招标文件中规定的资格要求的；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（4）报价超过招标文件中规定的预算金额或者最高限价的；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（6）未按招标文件要求提供电子投标文件或者电子投标文件未能解密（指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自身原因）且按照招标文件明确的投标文件解密失败后补救方案（仅现场开标适用）补救不成功的；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提交的电子投标文件、投标文件备份U盘（仅现场开标适用）均因其自身原因出现问题导致无法电子评标的；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的报价明显低于其他通过符合性审查的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或者对招标文件做实质响应的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强化政府采购异常低价审查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（一）采购人应当在采购文件中明确，政府采购评审中出现下列情形之一的，评审委员会应当启动异常低价投标（响应）审查程序：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不能证明其报价合理性的，评标委员会应当将其作为无效投标处理。</w:t>
      </w:r>
      <w:r/>
    </w:p>
    <w:p>
      <w:pPr>
        <w:pStyle w:val="787"/>
        <w:ind w:firstLine="48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b/>
          <w:bCs/>
          <w:color w:val="auto"/>
          <w:highlight w:val="none"/>
        </w:rPr>
        <w:t xml:space="preserve">采用最低评标价法的采购项目，提供相同品牌产品的不同</w:t>
      </w:r>
      <w:r>
        <w:rPr>
          <w:rFonts w:hint="eastAsia" w:cs="宋体"/>
          <w:b/>
          <w:bCs/>
          <w:color w:val="auto"/>
          <w:highlight w:val="none"/>
          <w:lang w:eastAsia="zh-CN"/>
        </w:rPr>
        <w:t xml:space="preserve">供应商</w:t>
      </w:r>
      <w:r>
        <w:rPr>
          <w:rFonts w:hint="eastAsia" w:ascii="宋体" w:hAnsi="宋体" w:eastAsia="宋体" w:cs="宋体"/>
          <w:b/>
          <w:bCs/>
          <w:color w:val="auto"/>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cs="宋体"/>
          <w:b/>
          <w:bCs/>
          <w:color w:val="auto"/>
          <w:highlight w:val="none"/>
          <w:lang w:eastAsia="zh-CN"/>
        </w:rPr>
        <w:t xml:space="preserve">供应商</w:t>
      </w:r>
      <w:r>
        <w:rPr>
          <w:rFonts w:hint="eastAsia" w:ascii="宋体" w:hAnsi="宋体" w:eastAsia="宋体" w:cs="宋体"/>
          <w:b/>
          <w:bCs/>
          <w:color w:val="auto"/>
          <w:highlight w:val="none"/>
        </w:rPr>
        <w:t xml:space="preserve">，其他投标无效。</w:t>
      </w:r>
      <w:r/>
    </w:p>
    <w:p>
      <w:pPr>
        <w:ind w:firstLine="480"/>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使用综合评分法的采购项目，提供相同品牌产品且通过资格审查、符合性审查的不同</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参加同一合同项下投标的，按一家</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计算，评审后得分最高的同品牌</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获得中标供应商推荐资格；评审得分相同的，由评标委员会根据招标文件规定的方式（招标文件未规定的采取随机抽取的方式）确定一个中标候选人，其他同品牌</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不作为中标候选人。</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32"/>
          <w:highlight w:val="none"/>
        </w:rPr>
        <w:t xml:space="preserve">非单一产品采购项目</w:t>
      </w:r>
      <w:r>
        <w:rPr>
          <w:rFonts w:hint="eastAsia" w:ascii="宋体" w:hAnsi="宋体" w:eastAsia="宋体" w:cs="宋体"/>
          <w:b/>
          <w:bCs/>
          <w:color w:val="auto"/>
          <w:sz w:val="24"/>
          <w:szCs w:val="32"/>
          <w:highlight w:val="none"/>
          <w:lang w:eastAsia="zh-CN"/>
        </w:rPr>
        <w:t xml:space="preserve">，</w:t>
      </w:r>
      <w:r>
        <w:rPr>
          <w:rFonts w:hint="eastAsia" w:ascii="宋体" w:hAnsi="宋体" w:eastAsia="宋体" w:cs="宋体"/>
          <w:b/>
          <w:bCs/>
          <w:color w:val="auto"/>
          <w:sz w:val="24"/>
          <w:szCs w:val="32"/>
          <w:highlight w:val="none"/>
        </w:rPr>
        <w:t xml:space="preserve">招标文件中将载明核心产品。多家</w:t>
      </w:r>
      <w:r>
        <w:rPr>
          <w:rFonts w:hint="eastAsia" w:ascii="宋体" w:hAnsi="宋体" w:cs="宋体"/>
          <w:b/>
          <w:bCs/>
          <w:color w:val="auto"/>
          <w:sz w:val="24"/>
          <w:szCs w:val="32"/>
          <w:highlight w:val="none"/>
          <w:lang w:eastAsia="zh-CN"/>
        </w:rPr>
        <w:t xml:space="preserve">供应商</w:t>
      </w:r>
      <w:r>
        <w:rPr>
          <w:rFonts w:hint="eastAsia" w:ascii="宋体" w:hAnsi="宋体" w:eastAsia="宋体" w:cs="宋体"/>
          <w:b/>
          <w:bCs/>
          <w:color w:val="auto"/>
          <w:sz w:val="24"/>
          <w:szCs w:val="32"/>
          <w:highlight w:val="none"/>
        </w:rPr>
        <w:t xml:space="preserve">提供的核心产品品牌相同的</w:t>
      </w:r>
      <w:r>
        <w:rPr>
          <w:rFonts w:hint="eastAsia" w:ascii="宋体" w:hAnsi="宋体" w:eastAsia="宋体" w:cs="宋体"/>
          <w:b/>
          <w:bCs/>
          <w:color w:val="auto"/>
          <w:sz w:val="24"/>
          <w:szCs w:val="32"/>
          <w:highlight w:val="none"/>
          <w:lang w:eastAsia="zh-CN"/>
        </w:rPr>
        <w:t xml:space="preserve">，</w:t>
      </w:r>
      <w:r>
        <w:rPr>
          <w:rFonts w:hint="eastAsia" w:ascii="宋体" w:hAnsi="宋体" w:eastAsia="宋体" w:cs="宋体"/>
          <w:b/>
          <w:bCs/>
          <w:color w:val="auto"/>
          <w:sz w:val="24"/>
          <w:szCs w:val="32"/>
          <w:highlight w:val="none"/>
        </w:rPr>
        <w:t xml:space="preserve">按前两款规定处理。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eastAsia="zh-CN"/>
        </w:rPr>
        <w:t xml:space="preserve">第五章</w:t>
      </w:r>
      <w:r>
        <w:rPr>
          <w:rFonts w:hint="eastAsia" w:ascii="宋体" w:hAnsi="宋体" w:eastAsia="宋体" w:cs="宋体"/>
          <w:color w:val="auto"/>
          <w:sz w:val="24"/>
          <w:szCs w:val="24"/>
          <w:highlight w:val="none"/>
        </w:rPr>
        <w:t xml:space="preserve">“评标办法”。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原因造成所有</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六、中标结果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中标人的确定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评标委员会按照评审得分由高到低顺序推荐3名中标候选人。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 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 中标人确定后，中标结果由采购代理机构公告，中标公告期限为1个工作日。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 在公告中标结果的同时，由采购代理机构向中标人发出中标通知书，</w:t>
      </w:r>
      <w:r>
        <w:rPr>
          <w:rFonts w:hint="eastAsia" w:ascii="宋体" w:hAnsi="宋体" w:eastAsia="宋体" w:cs="宋体"/>
          <w:b/>
          <w:color w:val="auto"/>
          <w:sz w:val="24"/>
          <w:szCs w:val="24"/>
          <w:highlight w:val="none"/>
        </w:rPr>
        <w:t xml:space="preserve">中标供应商在领取中标通知书时，需提供</w:t>
      </w:r>
      <w:r>
        <w:rPr>
          <w:rFonts w:hint="eastAsia" w:ascii="宋体" w:hAnsi="宋体" w:eastAsia="宋体" w:cs="宋体"/>
          <w:b/>
          <w:color w:val="auto"/>
          <w:sz w:val="24"/>
          <w:szCs w:val="24"/>
          <w:highlight w:val="none"/>
          <w:lang w:val="en-US" w:eastAsia="zh-CN"/>
        </w:rPr>
        <w:t xml:space="preserve">陆</w:t>
      </w:r>
      <w:r>
        <w:rPr>
          <w:rFonts w:hint="eastAsia" w:ascii="宋体" w:hAnsi="宋体" w:eastAsia="宋体" w:cs="宋体"/>
          <w:b/>
          <w:color w:val="auto"/>
          <w:sz w:val="24"/>
          <w:szCs w:val="24"/>
          <w:highlight w:val="none"/>
        </w:rPr>
        <w:t xml:space="preserve">份与电子投标文件一致的纸质打印投标文件</w:t>
      </w:r>
      <w:r>
        <w:rPr>
          <w:rFonts w:hint="eastAsia" w:ascii="宋体" w:hAnsi="宋体" w:eastAsia="宋体" w:cs="宋体"/>
          <w:color w:val="auto"/>
          <w:sz w:val="24"/>
          <w:szCs w:val="24"/>
          <w:highlight w:val="none"/>
        </w:rPr>
        <w:t xml:space="preserve">；对未通过资格审查的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，应当告知其未通过的原因；采用综合评分法评审的，还应当告知未中标人本人的评审得分与排序。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.3 采购代理机构无义务向未中标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解释落标原因和退回投标文件。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签订合同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逾期退还履约保证金的采购人承担违约责任，按照中国人民银行同期贷款基准利率向中标人支付超期资金占用费。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本项目履约保证金要求详见招标文件第五章“合同专用条款表”。</w:t>
      </w:r>
      <w:r/>
    </w:p>
    <w:p>
      <w:pPr>
        <w:keepNex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八、政策功能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.2 参加本项目政府采购活动的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应当提供的材料：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为中型企业、小型企业、微型企业的，提供《中小企业声明函》（第六章 响应文件格式）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lang w:eastAsia="zh-CN"/>
        </w:rPr>
        <w:t xml:space="preserve">项目为货物采购，供应商提供的货物必须由中小企业制造。供应商提供的《中小企业声明函》须包含所投产品制造商为中小企业的相关内容，否则不享受中小企业扶持政策（或按无效投标处理）</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.3 享受扶持政策获得政府采购合同的，小微型企业不得将合同分包给大中型企业，中型企业不得将合同分包给大型企业。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numPr>
          <w:ilvl w:val="0"/>
          <w:numId w:val="0"/>
        </w:numPr>
        <w:ind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w:t>
      </w: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lang w:eastAsia="zh-CN"/>
        </w:rPr>
        <w:t xml:space="preserve">不</w:t>
      </w:r>
      <w:r>
        <w:rPr>
          <w:rFonts w:hint="eastAsia" w:ascii="宋体" w:hAnsi="宋体" w:eastAsia="宋体" w:cs="宋体"/>
          <w:b/>
          <w:color w:val="auto"/>
          <w:sz w:val="24"/>
          <w:szCs w:val="24"/>
          <w:highlight w:val="none"/>
        </w:rPr>
        <w:t xml:space="preserve">接受进口产品</w:t>
      </w:r>
      <w:r>
        <w:rPr>
          <w:rFonts w:hint="eastAsia" w:ascii="宋体" w:hAnsi="宋体" w:eastAsia="宋体" w:cs="宋体"/>
          <w:color w:val="auto"/>
          <w:sz w:val="24"/>
          <w:szCs w:val="24"/>
          <w:highlight w:val="none"/>
        </w:rPr>
        <w:t xml:space="preserve">（进口产品是指通过中国海关报关验放进入中国境内且产自关境外的产品），中标后不允许分包或转包。</w:t>
      </w:r>
      <w:r/>
    </w:p>
    <w:p>
      <w:pPr>
        <w:ind w:firstLine="48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r>
      <w:r/>
    </w:p>
    <w:p>
      <w:pPr>
        <w:pStyle w:val="1051"/>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999"/>
          <w:rFonts w:hint="eastAsia" w:ascii="宋体" w:hAnsi="宋体" w:eastAsia="宋体" w:cs="宋体"/>
          <w:color w:val="auto"/>
          <w:highlight w:val="none"/>
        </w:rPr>
      </w:pPr>
      <w:r/>
      <w:bookmarkStart w:id="96" w:name="_Toc22233"/>
      <w:r/>
      <w:bookmarkStart w:id="97" w:name="_Toc7865"/>
      <w:r/>
      <w:bookmarkStart w:id="98" w:name="_Toc28557"/>
      <w:r/>
      <w:bookmarkStart w:id="99" w:name="_Toc32326"/>
      <w:r>
        <w:rPr>
          <w:rStyle w:val="999"/>
          <w:rFonts w:hint="eastAsia" w:ascii="宋体" w:hAnsi="宋体" w:eastAsia="宋体" w:cs="宋体"/>
          <w:color w:val="auto"/>
          <w:highlight w:val="none"/>
        </w:rPr>
        <w:br w:type="page" w:clear="all"/>
      </w:r>
      <w:r/>
    </w:p>
    <w:p>
      <w:pPr>
        <w:jc w:val="center"/>
        <w:keepNext/>
        <w:spacing w:line="360" w:lineRule="auto"/>
        <w:rPr>
          <w:rStyle w:val="999"/>
          <w:rFonts w:hint="eastAsia" w:ascii="宋体" w:hAnsi="宋体" w:eastAsia="宋体" w:cs="宋体"/>
          <w:color w:val="auto"/>
          <w:highlight w:val="none"/>
        </w:rPr>
        <w:outlineLvl w:val="0"/>
      </w:pPr>
      <w:r>
        <w:rPr>
          <w:rStyle w:val="999"/>
          <w:rFonts w:hint="eastAsia" w:ascii="宋体" w:hAnsi="宋体" w:eastAsia="宋体" w:cs="宋体"/>
          <w:color w:val="auto"/>
          <w:highlight w:val="none"/>
        </w:rPr>
        <w:t xml:space="preserve">第三章  合同</w:t>
      </w:r>
      <w:bookmarkEnd w:id="91"/>
      <w:r/>
      <w:bookmarkEnd w:id="92"/>
      <w:r/>
      <w:bookmarkEnd w:id="93"/>
      <w:r/>
      <w:bookmarkEnd w:id="94"/>
      <w:r/>
      <w:bookmarkEnd w:id="95"/>
      <w:r>
        <w:rPr>
          <w:rStyle w:val="999"/>
          <w:rFonts w:hint="eastAsia" w:ascii="宋体" w:hAnsi="宋体" w:eastAsia="宋体" w:cs="宋体"/>
          <w:color w:val="auto"/>
          <w:highlight w:val="none"/>
        </w:rPr>
        <w:t xml:space="preserve">文本</w:t>
      </w:r>
      <w:bookmarkEnd w:id="96"/>
      <w:r/>
      <w:bookmarkEnd w:id="97"/>
      <w:r/>
      <w:bookmarkEnd w:id="98"/>
      <w:r/>
      <w:bookmarkEnd w:id="99"/>
      <w:r/>
      <w:r/>
    </w:p>
    <w:p>
      <w:pPr>
        <w:jc w:val="center"/>
        <w:tabs>
          <w:tab w:val="left" w:pos="6255" w:leader="none"/>
        </w:tabs>
        <w:rPr>
          <w:rFonts w:hint="eastAsia" w:ascii="宋体" w:hAnsi="宋体" w:eastAsia="宋体" w:cs="宋体"/>
          <w:b/>
          <w:bCs/>
          <w:color w:val="auto"/>
          <w:sz w:val="36"/>
          <w:szCs w:val="36"/>
          <w:highlight w:val="none"/>
        </w:rPr>
      </w:pPr>
      <w:r/>
      <w:bookmarkStart w:id="100" w:name="_Hlt16619350"/>
      <w:r/>
      <w:bookmarkStart w:id="101" w:name="_Toc120614244"/>
      <w:r/>
      <w:bookmarkStart w:id="102" w:name="_Toc16938590"/>
      <w:r/>
      <w:bookmarkStart w:id="103" w:name="_Toc20823346"/>
      <w:r/>
      <w:bookmarkStart w:id="104" w:name="_Toc479757211"/>
      <w:r/>
      <w:bookmarkStart w:id="105" w:name="_Toc462564139"/>
      <w:r>
        <w:rPr>
          <w:rFonts w:hint="eastAsia" w:ascii="宋体" w:hAnsi="宋体" w:eastAsia="宋体" w:cs="宋体"/>
          <w:b/>
          <w:bCs/>
          <w:color w:val="auto"/>
          <w:sz w:val="36"/>
          <w:szCs w:val="36"/>
          <w:highlight w:val="none"/>
        </w:rPr>
        <w:t xml:space="preserve">采购合同</w:t>
      </w:r>
      <w:r/>
    </w:p>
    <w:p>
      <w:pPr>
        <w:ind w:firstLine="482"/>
        <w:jc w:val="center"/>
        <w:tabs>
          <w:tab w:val="left" w:pos="62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eastAsia="zh-CN"/>
        </w:rPr>
        <w:t xml:space="preserve">连云港市海州区新坝镇人民政府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）的采购结果，签订本合同。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一、货物内容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技术参数：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 数量（单位）：</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本合同金额为（大写）：_______________元（¥_____________）人民币。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（详见投标报价表）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乙方应按招标文件规定的时间向甲方提供使用货物的有关技术资料。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4.1乙方应保证所提供的货物或其任何一部分均不会侵犯任何第三方的专利权、商标权或著作权</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五、无产权瑕疵条款</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六、履约保证函</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6.1本项目成交通知书发出后、合同签订前，乙方须提交履约担保，担保金额为人民币______元（合同总金额 10%）。</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乙方可自主选择以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自选其中之一</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（1）资金划转类：银行电汇、网上银行转账；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）担保凭证类：支票、汇票、本票，或银行、融资担保公司、保险公司出具的电子履约保函（保险）。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甲方不得无故拒收合规电子履约保函（保险），不得指定、限定乙方选择开立保函的第三方机构；办理渠道参照苏财购〔2023〕150 号执行。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6.2若乙方以资金划转类（银行电汇、网银转账）形式缴纳履约保证金：待乙方全部合同义务履行完毕、项目最终验收合格且交付完整归档资料后，乙方提交书面退款申请，甲方在5 个工作日内，将保证金本金及缴存期间产生的银行同期活期存款利息，原路一次性退还至乙方缴款账户。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甲方不得以未结算项目款项为由扣押、延迟退还履约保证金</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若乙方提交电子履约保函（保险）：保函 / 保险保证期限届满后自动失效，甲方无需办理保证金退还手续。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履行期间乙方出现违约情形的，甲方有权依据本合同违约责任相关条款，扣除全部或部分履约保证金用于弥补损失；若乙方违约给甲方造成的实际损失金额超出履约保证金总额的，甲方有权就超出部分向乙方另行追偿。</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6.4因甲方自身原因逾期退还履约保证金的，甲方应承担相应违约责任，自逾期之日起，以未退还保证金为基数，按照全国银行间同业拆借中心公布的一年期贷款市场报价利率（LPR）向乙方支付资金占用费。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七、质保期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年（自验收合格之日起开始计算）质保期间，中标人免费承担维修、保养、安检、调换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系统维护</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val="en-US" w:eastAsia="zh-CN"/>
        </w:rPr>
        <w:t xml:space="preserve">质保期内</w:t>
      </w:r>
      <w:r>
        <w:rPr>
          <w:rFonts w:hint="eastAsia" w:ascii="宋体" w:hAnsi="宋体" w:eastAsia="宋体" w:cs="宋体"/>
          <w:color w:val="auto"/>
          <w:sz w:val="24"/>
          <w:szCs w:val="24"/>
          <w:highlight w:val="none"/>
        </w:rPr>
        <w:t xml:space="preserve">对于采购方人为原因造成的故障，中标人只收取维保成本费用</w:t>
      </w:r>
      <w:r>
        <w:rPr>
          <w:rFonts w:hint="eastAsia" w:ascii="宋体" w:hAnsi="宋体" w:cs="宋体"/>
          <w:color w:val="auto"/>
          <w:sz w:val="24"/>
          <w:szCs w:val="24"/>
          <w:highlight w:val="none"/>
          <w:lang w:val="en-US" w:eastAsia="zh-CN"/>
        </w:rPr>
        <w:t xml:space="preserve">并在24小时内解决</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eastAsia="zh-CN"/>
        </w:rPr>
        <w:t xml:space="preserve">合同履行期限</w:t>
      </w:r>
      <w:r>
        <w:rPr>
          <w:rFonts w:hint="eastAsia" w:ascii="宋体" w:hAnsi="宋体" w:eastAsia="宋体" w:cs="宋体"/>
          <w:b/>
          <w:bCs/>
          <w:color w:val="auto"/>
          <w:sz w:val="24"/>
          <w:szCs w:val="24"/>
          <w:highlight w:val="none"/>
        </w:rPr>
        <w:t xml:space="preserve">、交货方式及交货地点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交货方式：</w:t>
      </w:r>
      <w:r>
        <w:rPr>
          <w:rFonts w:hint="eastAsia" w:ascii="宋体" w:hAnsi="宋体" w:eastAsia="宋体" w:cs="宋体"/>
          <w:color w:val="auto"/>
          <w:sz w:val="24"/>
          <w:szCs w:val="24"/>
          <w:highlight w:val="none"/>
          <w:u w:val="single"/>
        </w:rPr>
        <w:t xml:space="preserve">甲方指定方式</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8.3 交货地点：</w:t>
      </w:r>
      <w:r>
        <w:rPr>
          <w:rFonts w:hint="eastAsia" w:ascii="宋体" w:hAnsi="宋体" w:eastAsia="宋体" w:cs="宋体"/>
          <w:color w:val="auto"/>
          <w:sz w:val="24"/>
          <w:szCs w:val="24"/>
          <w:highlight w:val="none"/>
          <w:u w:val="single"/>
        </w:rPr>
        <w:t xml:space="preserve">甲方指定地点</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付款方式：</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供货完成且经采购人验收合格后</w:t>
      </w:r>
      <w:r>
        <w:rPr>
          <w:rFonts w:hint="eastAsia" w:ascii="宋体" w:hAnsi="宋体" w:cs="宋体"/>
          <w:b/>
          <w:color w:val="auto"/>
          <w:sz w:val="24"/>
          <w:szCs w:val="24"/>
          <w:highlight w:val="none"/>
          <w:u w:val="single"/>
          <w:lang w:val="en-US" w:eastAsia="zh-CN"/>
        </w:rPr>
        <w:t xml:space="preserve">15日内</w:t>
      </w:r>
      <w:r>
        <w:rPr>
          <w:rFonts w:hint="eastAsia" w:ascii="宋体" w:hAnsi="宋体" w:eastAsia="宋体" w:cs="宋体"/>
          <w:b/>
          <w:color w:val="auto"/>
          <w:sz w:val="24"/>
          <w:szCs w:val="24"/>
          <w:highlight w:val="none"/>
          <w:u w:val="single"/>
        </w:rPr>
        <w:t xml:space="preserve">付至供货价的</w:t>
      </w:r>
      <w:r>
        <w:rPr>
          <w:rFonts w:hint="eastAsia" w:ascii="宋体" w:hAnsi="宋体" w:cs="宋体"/>
          <w:b/>
          <w:color w:val="auto"/>
          <w:sz w:val="24"/>
          <w:szCs w:val="24"/>
          <w:highlight w:val="none"/>
          <w:u w:val="single"/>
          <w:lang w:val="en-US" w:eastAsia="zh-CN"/>
        </w:rPr>
        <w:t xml:space="preserve">100</w:t>
      </w:r>
      <w:r>
        <w:rPr>
          <w:rFonts w:hint="eastAsia" w:ascii="宋体" w:hAnsi="宋体" w:eastAsia="宋体" w:cs="宋体"/>
          <w:b/>
          <w:color w:val="auto"/>
          <w:sz w:val="24"/>
          <w:szCs w:val="24"/>
          <w:highlight w:val="none"/>
          <w:u w:val="singl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注：支付货款时，乙方必须提供合同约定的正规发票。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十、质量保证及售后服务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乙方提供的货物在质保期内因货物本身及货物配套的收费系统等的质量问题发生故障，乙方应负责免费更换。对达不到技术要求者，根据实际情况，经双方协商，可按以下办法处理：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（2）贬值处理：由甲乙双方合议定价。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（3）退货处理：乙方应退还甲方支付的合同款，同时应承担该货物的直接费用（运输、保险、检验、合同款利息及银行手续费等）。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测试要求：乙方安装后现场测试，提供测试报告，甲方验收签字确认。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十一、调试和验收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甲方对乙方提供的货物在使用前进行调试时，乙方需负责安装并培训甲方的使用操作人员，并协助甲方一起调试，直到符合技术要求</w:t>
      </w:r>
      <w:r>
        <w:rPr>
          <w:rFonts w:hint="eastAsia" w:ascii="宋体" w:hAnsi="宋体" w:cs="宋体"/>
          <w:color w:val="auto"/>
          <w:sz w:val="24"/>
          <w:szCs w:val="24"/>
          <w:highlight w:val="none"/>
          <w:lang w:val="en-US" w:eastAsia="zh-CN"/>
        </w:rPr>
        <w:t xml:space="preserve">及甲方操作人员能完全会使用操作方可</w:t>
      </w:r>
      <w:r>
        <w:rPr>
          <w:rFonts w:hint="eastAsia" w:ascii="宋体" w:hAnsi="宋体" w:eastAsia="宋体" w:cs="宋体"/>
          <w:color w:val="auto"/>
          <w:sz w:val="24"/>
          <w:szCs w:val="24"/>
          <w:highlight w:val="none"/>
        </w:rPr>
        <w:t xml:space="preserve">，甲方才做最终验收。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11.5 对技术复杂的项目，甲方可组织有关部门和专家进行验收，并出具验收报告，相关费用由甲乙双方协商解决。</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十二、货物包装、发运及运输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乙方逾期交付货物的，乙方应按逾期交货总额每日</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乙方标中、标后被发现存在借牌（挂靠）营业执照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违法分包</w:t>
      </w:r>
      <w:r>
        <w:rPr>
          <w:rFonts w:hint="eastAsia" w:ascii="宋体" w:hAnsi="宋体" w:eastAsia="宋体" w:cs="宋体"/>
          <w:color w:val="auto"/>
          <w:sz w:val="24"/>
          <w:szCs w:val="24"/>
          <w:highlight w:val="none"/>
        </w:rPr>
        <w:t xml:space="preserve">的行为，将被取消投标或中标（候选人）资格、履约保证金不予退还、合同解除及清除出场，一切损失自行承担。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十四、不可抗力事件处理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十五、争议解决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15.1双方在执行合同中所发生的一切争议，应通过协商解决。如协商不成，可向合同签订地人民法院起诉，合同签订地在此约定为</w:t>
      </w:r>
      <w:r>
        <w:rPr>
          <w:rFonts w:hint="eastAsia" w:ascii="宋体" w:hAnsi="宋体" w:eastAsia="宋体" w:cs="宋体"/>
          <w:color w:val="auto"/>
          <w:sz w:val="24"/>
          <w:szCs w:val="24"/>
          <w:highlight w:val="none"/>
          <w:lang w:eastAsia="zh-CN"/>
        </w:rPr>
        <w:t xml:space="preserve">连云港市海州区新坝镇人民政府</w:t>
      </w:r>
      <w:r>
        <w:rPr>
          <w:rFonts w:hint="eastAsia" w:ascii="宋体" w:hAnsi="宋体" w:eastAsia="宋体" w:cs="宋体"/>
          <w:color w:val="auto"/>
          <w:sz w:val="24"/>
          <w:szCs w:val="24"/>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合同经双方法定代表人或授权委托代理人签名并加盖单位公章后生效。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下述合同附件为本合同不可分割的部分并与本合同具有同等效力：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（1）供货清单和分项价格表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（3）乙方报价函的内容及其澄清内容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（4）其他与本合同相关的资料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（5）本合同适用的特殊条款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本合同未尽事宜，遵照《中华人民共和国民法典》有关条文执行。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本合同正本一式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，采购人报一份至政府采购监督管理部门。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999"/>
          <w:rFonts w:hint="eastAsia" w:ascii="宋体" w:hAnsi="宋体" w:eastAsia="宋体" w:cs="宋体"/>
          <w:color w:val="auto"/>
          <w:highlight w:val="none"/>
        </w:rPr>
        <w:outlineLvl w:val="0"/>
      </w:pPr>
      <w:r>
        <w:rPr>
          <w:rFonts w:hint="eastAsia" w:ascii="宋体" w:hAnsi="宋体" w:eastAsia="宋体" w:cs="宋体"/>
          <w:bCs/>
          <w:color w:val="auto"/>
          <w:sz w:val="44"/>
          <w:szCs w:val="21"/>
          <w:highlight w:val="none"/>
        </w:rPr>
        <w:br w:type="page" w:clear="all"/>
      </w:r>
      <w:bookmarkStart w:id="106" w:name="_Toc15270"/>
      <w:r>
        <w:rPr>
          <w:rStyle w:val="999"/>
          <w:rFonts w:hint="eastAsia" w:ascii="宋体" w:hAnsi="宋体" w:eastAsia="宋体" w:cs="宋体"/>
          <w:color w:val="auto"/>
          <w:highlight w:val="none"/>
        </w:rPr>
        <w:t xml:space="preserve">第</w:t>
      </w:r>
      <w:bookmarkEnd w:id="100"/>
      <w:r>
        <w:rPr>
          <w:rStyle w:val="999"/>
          <w:rFonts w:hint="eastAsia" w:ascii="宋体" w:hAnsi="宋体" w:eastAsia="宋体" w:cs="宋体"/>
          <w:color w:val="auto"/>
          <w:highlight w:val="none"/>
        </w:rPr>
        <w:t xml:space="preserve">四章 采购需求</w:t>
      </w:r>
      <w:bookmarkEnd w:id="101"/>
      <w:r/>
      <w:bookmarkEnd w:id="102"/>
      <w:r/>
      <w:bookmarkEnd w:id="103"/>
      <w:r/>
      <w:bookmarkEnd w:id="106"/>
      <w:r/>
      <w:r/>
    </w:p>
    <w:p>
      <w:pPr>
        <w:ind w:firstLine="480"/>
        <w:spacing w:line="360" w:lineRule="auto"/>
        <w:rPr>
          <w:rFonts w:hint="eastAsia" w:ascii="宋体" w:hAnsi="宋体" w:eastAsia="宋体" w:cs="宋体"/>
          <w:b/>
          <w:bCs w:val="0"/>
          <w:color w:val="auto"/>
          <w:sz w:val="24"/>
          <w:szCs w:val="24"/>
          <w:highlight w:val="none"/>
        </w:rPr>
      </w:pPr>
      <w:r/>
      <w:bookmarkStart w:id="107" w:name="_Toc49090575"/>
      <w:r/>
      <w:bookmarkStart w:id="108" w:name="_Toc26554093"/>
      <w:r>
        <w:rPr>
          <w:rFonts w:hint="eastAsia" w:ascii="宋体" w:hAnsi="宋体" w:eastAsia="宋体" w:cs="宋体"/>
          <w:b/>
          <w:bCs w:val="0"/>
          <w:color w:val="auto"/>
          <w:sz w:val="24"/>
          <w:szCs w:val="24"/>
          <w:highlight w:val="none"/>
        </w:rPr>
        <w:t xml:space="preserve">说明：本项目属性为货物，采购标的对应的中小企业划分标准所属行业为</w:t>
      </w:r>
      <w:r>
        <w:rPr>
          <w:rFonts w:hint="eastAsia" w:ascii="宋体" w:hAnsi="宋体" w:eastAsia="宋体" w:cs="宋体"/>
          <w:b/>
          <w:bCs w:val="0"/>
          <w:color w:val="auto"/>
          <w:sz w:val="24"/>
          <w:szCs w:val="24"/>
          <w:highlight w:val="none"/>
          <w:u w:val="single"/>
        </w:rPr>
        <w:t xml:space="preserve"> 工业 </w:t>
      </w:r>
      <w:r>
        <w:rPr>
          <w:rFonts w:hint="eastAsia" w:ascii="宋体" w:hAnsi="宋体" w:eastAsia="宋体" w:cs="宋体"/>
          <w:b/>
          <w:bCs w:val="0"/>
          <w:color w:val="auto"/>
          <w:sz w:val="24"/>
          <w:szCs w:val="24"/>
          <w:highlight w:val="none"/>
        </w:rPr>
        <w:t xml:space="preserve">。</w:t>
      </w:r>
      <w:r/>
    </w:p>
    <w:p>
      <w:pPr>
        <w:pStyle w:val="1061"/>
        <w:ind w:firstLine="482"/>
        <w:spacing w:before="0" w:line="360" w:lineRule="auto"/>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w:t>
      </w:r>
      <w:r>
        <w:rPr>
          <w:rFonts w:hint="eastAsia" w:ascii="宋体" w:hAnsi="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必须作出满足或者优于原要求和条件的响应，否则投标无效。</w:t>
      </w:r>
      <w:r/>
    </w:p>
    <w:p>
      <w:pPr>
        <w:ind w:firstLine="48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2、说明：根据政府采购货物和服务招标投标管理办法（财政部令第87号）第31条规定：供应商提供相同品牌产品且通过资格审查、符合性审查的不同</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参加同一合同项下投标的，按一家</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计算，评审后得分最高的同品牌</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获得中标人推荐资格；评审得分相同的，由采购人或者采购人委托评标委员会按照招标文件规定的方式确定一个</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获得中标人推荐资格，招标文件未规定的采取随机抽取方式确定，其他同品牌</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不作为中标候选人。非单一产品采购项目，多家</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提供的核心产品品牌相同的，按前款规定处理。</w:t>
      </w:r>
      <w:r/>
    </w:p>
    <w:p>
      <w:pPr>
        <w:ind w:firstLine="482"/>
        <w:jc w:val="left"/>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本项目核心产品为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电子远传阀控水表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新坝镇自来水提质升级工程</w:t>
      </w:r>
      <w:r>
        <w:rPr>
          <w:rFonts w:hint="eastAsia" w:ascii="宋体" w:hAnsi="宋体" w:eastAsia="宋体" w:cs="宋体"/>
          <w:color w:val="auto"/>
          <w:sz w:val="24"/>
          <w:szCs w:val="24"/>
          <w:highlight w:val="none"/>
          <w:lang w:val="en-US" w:eastAsia="zh-CN"/>
        </w:rPr>
        <w:t xml:space="preserve">施工已经招标人招标发包，现</w:t>
      </w:r>
      <w:r>
        <w:rPr>
          <w:rFonts w:hint="eastAsia" w:ascii="宋体" w:hAnsi="宋体" w:eastAsia="宋体" w:cs="宋体"/>
          <w:color w:val="auto"/>
          <w:sz w:val="24"/>
          <w:szCs w:val="24"/>
          <w:highlight w:val="none"/>
        </w:rPr>
        <w:t xml:space="preserve">拟采购一批水表</w:t>
      </w:r>
      <w:r>
        <w:rPr>
          <w:rFonts w:hint="eastAsia" w:ascii="宋体" w:hAnsi="宋体" w:eastAsia="宋体" w:cs="宋体"/>
          <w:color w:val="auto"/>
          <w:sz w:val="24"/>
          <w:szCs w:val="24"/>
          <w:highlight w:val="none"/>
          <w:lang w:val="en-US" w:eastAsia="zh-CN"/>
        </w:rPr>
        <w:t xml:space="preserve">配套工程施工使用</w:t>
      </w:r>
      <w:r>
        <w:rPr>
          <w:rFonts w:hint="eastAsia" w:ascii="宋体" w:hAnsi="宋体" w:eastAsia="宋体" w:cs="宋体"/>
          <w:color w:val="auto"/>
          <w:sz w:val="24"/>
          <w:szCs w:val="24"/>
          <w:highlight w:val="none"/>
        </w:rPr>
        <w:t xml:space="preserve">。</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二、货物（标的）采购清单</w:t>
      </w:r>
      <w:r/>
    </w:p>
    <w:tbl>
      <w:tblPr>
        <w:tblStyle w:val="765"/>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1967"/>
        <w:gridCol w:w="953"/>
        <w:gridCol w:w="670"/>
        <w:gridCol w:w="545"/>
        <w:gridCol w:w="1240"/>
        <w:gridCol w:w="876"/>
        <w:gridCol w:w="2373"/>
      </w:tblGrid>
      <w:tr>
        <w:trPr>
          <w:jc w:val="center"/>
          <w:trHeight w:val="631"/>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W w:w="1967"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货物名称</w:t>
            </w:r>
            <w:r/>
          </w:p>
        </w:tc>
        <w:tc>
          <w:tcPr>
            <w:shd w:val="clear" w:color="auto" w:fill="auto"/>
            <w:tcW w:w="953"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规格型号</w:t>
            </w:r>
            <w:r/>
          </w:p>
        </w:tc>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数量</w:t>
            </w:r>
            <w:r/>
          </w:p>
        </w:tc>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单位</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中小企业划分标准所属行业</w:t>
            </w:r>
            <w:r/>
          </w:p>
        </w:tc>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安装环境</w:t>
            </w:r>
            <w:r/>
          </w:p>
        </w:tc>
        <w:tc>
          <w:tcPr>
            <w:shd w:val="clear" w:color="auto" w:fill="auto"/>
            <w:tcW w:w="2373"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备注</w:t>
            </w:r>
            <w:r/>
          </w:p>
        </w:tc>
      </w:tr>
      <w:tr>
        <w:trPr>
          <w:jc w:val="center"/>
          <w:trHeight w:val="631"/>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电子远传阀控水表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4505</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2"/>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restart"/>
            <w:textDirection w:val="lrTb"/>
            <w:noWrap w:val="false"/>
          </w:tcPr>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电子</w:t>
            </w:r>
            <w:r>
              <w:rPr>
                <w:rFonts w:hint="eastAsia" w:ascii="宋体" w:hAnsi="宋体" w:cs="宋体"/>
                <w:color w:val="auto"/>
                <w:sz w:val="21"/>
                <w:szCs w:val="22"/>
                <w:highlight w:val="none"/>
                <w:lang w:val="en-US" w:eastAsia="zh-CN" w:bidi="ar-SA"/>
              </w:rPr>
              <w:t xml:space="preserve">/超声</w:t>
            </w:r>
            <w:r>
              <w:rPr>
                <w:rFonts w:hint="eastAsia" w:ascii="宋体" w:hAnsi="宋体" w:eastAsia="宋体" w:cs="宋体"/>
                <w:color w:val="auto"/>
                <w:sz w:val="21"/>
                <w:szCs w:val="22"/>
                <w:highlight w:val="none"/>
                <w:lang w:val="en-US" w:eastAsia="zh-CN" w:bidi="ar-SA"/>
              </w:rPr>
              <w:t xml:space="preserve">远传阀控水表含通讯模块、6 年通讯资费、</w:t>
            </w:r>
            <w:r>
              <w:rPr>
                <w:rFonts w:hint="eastAsia" w:ascii="宋体" w:hAnsi="宋体" w:cs="宋体"/>
                <w:color w:val="auto"/>
                <w:sz w:val="21"/>
                <w:szCs w:val="22"/>
                <w:highlight w:val="none"/>
                <w:lang w:val="en-US" w:eastAsia="zh-CN" w:bidi="ar-SA"/>
              </w:rPr>
              <w:t xml:space="preserve">软件</w:t>
            </w:r>
            <w:r>
              <w:rPr>
                <w:rFonts w:hint="eastAsia" w:ascii="宋体" w:hAnsi="宋体" w:eastAsia="宋体" w:cs="宋体"/>
                <w:color w:val="auto"/>
                <w:sz w:val="21"/>
                <w:szCs w:val="22"/>
                <w:highlight w:val="none"/>
                <w:lang w:val="en-US" w:eastAsia="zh-CN" w:bidi="ar-SA"/>
              </w:rPr>
              <w:t xml:space="preserve">平台服务等</w:t>
            </w:r>
            <w:r/>
          </w:p>
        </w:tc>
      </w:tr>
      <w:tr>
        <w:trPr>
          <w:jc w:val="center"/>
          <w:trHeight w:val="580"/>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DN32</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80"/>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DN40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80"/>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DN50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DN75</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DN100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DN200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DN250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8"/>
        </w:trPr>
        <w:tc>
          <w:tcPr>
            <w:shd w:val="clear" w:color="auto" w:fill="auto"/>
            <w:tcW w:w="54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DN300</w:t>
            </w:r>
            <w:r/>
          </w:p>
        </w:tc>
        <w:tc>
          <w:tcPr>
            <w:shd w:val="clear" w:color="auto" w:fill="auto"/>
            <w:tcW w:w="6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5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876"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三、货物（标的）技术参数及功能指标</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物联网</w:t>
      </w:r>
      <w:r>
        <w:rPr>
          <w:rFonts w:hint="eastAsia" w:ascii="宋体" w:hAnsi="宋体" w:eastAsia="宋体" w:cs="宋体"/>
          <w:b/>
          <w:color w:val="auto"/>
          <w:sz w:val="24"/>
          <w:szCs w:val="24"/>
          <w:highlight w:val="none"/>
        </w:rPr>
        <w:t xml:space="preserve">阀控水表</w:t>
      </w:r>
      <w:r>
        <w:rPr>
          <w:rFonts w:hint="eastAsia" w:ascii="宋体" w:hAnsi="宋体" w:eastAsia="宋体" w:cs="宋体"/>
          <w:b/>
          <w:color w:val="auto"/>
          <w:sz w:val="24"/>
          <w:szCs w:val="24"/>
          <w:highlight w:val="none"/>
          <w:lang w:val="en-US" w:eastAsia="zh-CN"/>
        </w:rPr>
        <w:t xml:space="preserve">、物联网远传超声水表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《饮用冷水水表和热水水表》(GB/T778-2018)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《饮用冷水水表检定规程》JJG 162-2019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《饮用水冷水水表安全规则》CJ266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《非螺纹密封的管螺纹》GB/T 7307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《外壳防护等级(IP代码)》(GB 4208-2008)中的IP68要求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《电子远传水表》CJ/T 224-2012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《住宅远传抄表系统数据专线传输》CJ/T 188-2018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《铸造铜及铜合金》GB/T 1176-2013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《小口径饮用水冷水表表壳技术规范》 CMA/WM778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《NB-IoT 水表自动抄表系统现场安装、验收与使用技术指南》TCMA SB 040-2019</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注：除上述标准外，本项目同时执行国家或行业最新标准或规范。</w:t>
      </w:r>
      <w:r/>
    </w:p>
    <w:p>
      <w:pPr>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技术参数、特性、基本要求</w:t>
      </w:r>
      <w:r/>
    </w:p>
    <w:p>
      <w:pPr>
        <w:jc w:val="both"/>
        <w:keepNext/>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b/>
          <w:color w:val="auto"/>
          <w:sz w:val="24"/>
          <w:szCs w:val="24"/>
          <w:highlight w:val="none"/>
          <w:lang w:val="en-US" w:eastAsia="zh-CN" w:bidi="ar-SA"/>
        </w:rPr>
        <w:t xml:space="preserve">（一）电子远传阀控水表：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基本要求：本次招标产品为电子远传阀控水表，各潜在供货商至少提供</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年通讯资费</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通过中华人民共和国工业和信息化部设备进网许可，</w:t>
      </w:r>
      <w:r>
        <w:rPr>
          <w:rFonts w:hint="eastAsia" w:ascii="宋体" w:hAnsi="宋体" w:eastAsia="宋体" w:cs="宋体"/>
          <w:b/>
          <w:color w:val="auto"/>
          <w:sz w:val="24"/>
          <w:szCs w:val="24"/>
          <w:highlight w:val="none"/>
        </w:rPr>
        <w:t xml:space="preserve">设备名称为NB-IoT无线数据终端</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strike w:val="0"/>
          <w:color w:val="auto"/>
          <w:sz w:val="24"/>
          <w:szCs w:val="24"/>
          <w:highlight w:val="none"/>
          <w:u w:val="none"/>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取得国家工业和信息化部无线电发射设备型号核准证书，设备型号应体现NB无线传输，调制方式为BPSK或QPSK</w:t>
      </w:r>
      <w:r>
        <w:rPr>
          <w:rFonts w:hint="eastAsia" w:ascii="宋体" w:hAnsi="宋体" w:eastAsia="宋体" w:cs="宋体"/>
          <w:strike w:val="0"/>
          <w:color w:val="auto"/>
          <w:sz w:val="24"/>
          <w:szCs w:val="24"/>
          <w:highlight w:val="none"/>
          <w:u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2、基表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湿式、旋翼多流束阀控基表；</w:t>
      </w:r>
      <w:r/>
    </w:p>
    <w:p>
      <w:pPr>
        <w:ind w:firstLine="480"/>
        <w:spacing w:line="360" w:lineRule="auto"/>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 xml:space="preserve">▲2.2 表壳采用国标铜壳（ZcuZn40Pb2），</w:t>
      </w:r>
      <w:r>
        <w:rPr>
          <w:rFonts w:hint="eastAsia" w:ascii="宋体" w:hAnsi="宋体" w:eastAsia="宋体" w:cs="宋体"/>
          <w:color w:val="auto"/>
          <w:sz w:val="24"/>
          <w:szCs w:val="24"/>
          <w:highlight w:val="none"/>
          <w:lang w:eastAsia="zh-CN"/>
        </w:rPr>
        <w:t xml:space="preserve">阀体采用黄铜材质（铜含量≥58%），需提供</w:t>
      </w:r>
      <w:r>
        <w:rPr>
          <w:rFonts w:hint="eastAsia" w:ascii="宋体" w:hAnsi="宋体" w:eastAsia="宋体" w:cs="宋体"/>
          <w:color w:val="auto"/>
          <w:sz w:val="24"/>
          <w:szCs w:val="24"/>
          <w:highlight w:val="none"/>
        </w:rPr>
        <w:t xml:space="preserve">CMA 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水表所选用零部件应能承受零下（-25℃）低温气候，在此条件下不影响其计量性能、功能（提供CMA 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表壳及接管螺母为铜材质。且符合 CMA/WM778《小口径饮用水冷水表表壳技术规范》相关要求。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阀轴需采取结构防护措施，确保密封不渗水且不影响电机工作；阀门采用定时动作设计，避免阀球生锈、抱死和杂质堵塞。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表内所有接触水的零部件应采用无毒、无污染、无生物活性的材料。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3、计量特性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水表的准确度等级为2级；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温度等级</w:t>
      </w:r>
      <w:r>
        <w:rPr>
          <w:rFonts w:hint="eastAsia" w:ascii="宋体" w:hAnsi="宋体" w:eastAsia="宋体" w:cs="宋体"/>
          <w:strike w:val="0"/>
          <w:color w:val="auto"/>
          <w:sz w:val="24"/>
          <w:szCs w:val="24"/>
          <w:highlight w:val="none"/>
        </w:rPr>
        <w:t xml:space="preserve">T</w:t>
      </w:r>
      <w:r>
        <w:rPr>
          <w:rFonts w:hint="eastAsia" w:ascii="宋体" w:hAnsi="宋体" w:eastAsia="宋体" w:cs="宋体"/>
          <w:strike w:val="0"/>
          <w:color w:val="auto"/>
          <w:sz w:val="24"/>
          <w:szCs w:val="24"/>
          <w:highlight w:val="none"/>
          <w:lang w:val="en-US" w:eastAsia="zh-CN"/>
        </w:rPr>
        <w:t xml:space="preserve">50（T30)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压力等级MAP16</w:t>
      </w:r>
      <w:r>
        <w:rPr>
          <w:rFonts w:hint="eastAsia" w:ascii="宋体" w:hAnsi="宋体" w:eastAsia="宋体" w:cs="宋体"/>
          <w:color w:val="auto"/>
          <w:sz w:val="24"/>
          <w:szCs w:val="24"/>
          <w:highlight w:val="none"/>
          <w:lang w:val="en-US" w:eastAsia="zh-CN"/>
        </w:rPr>
        <w:t xml:space="preserve">(MAP10)</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压力损失等级△P63；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上游流场敏感度等级</w:t>
      </w:r>
      <w:r>
        <w:rPr>
          <w:rFonts w:hint="eastAsia" w:ascii="宋体" w:hAnsi="宋体" w:eastAsia="宋体" w:cs="宋体"/>
          <w:strike w:val="0"/>
          <w:color w:val="auto"/>
          <w:sz w:val="24"/>
          <w:szCs w:val="24"/>
          <w:highlight w:val="none"/>
          <w:lang w:val="en-US" w:eastAsia="zh-CN"/>
        </w:rPr>
        <w:t xml:space="preserve"> U5</w:t>
      </w:r>
      <w:r>
        <w:rPr>
          <w:rFonts w:hint="eastAsia" w:ascii="宋体" w:hAnsi="宋体" w:eastAsia="宋体" w:cs="宋体"/>
          <w:color w:val="auto"/>
          <w:sz w:val="24"/>
          <w:szCs w:val="24"/>
          <w:highlight w:val="none"/>
        </w:rPr>
        <w:t xml:space="preserve">，下游流场敏感度等级</w:t>
      </w:r>
      <w:r>
        <w:rPr>
          <w:rFonts w:hint="eastAsia" w:ascii="宋体" w:hAnsi="宋体" w:eastAsia="宋体" w:cs="宋体"/>
          <w:strike w:val="0"/>
          <w:color w:val="auto"/>
          <w:sz w:val="24"/>
          <w:szCs w:val="24"/>
          <w:highlight w:val="none"/>
          <w:lang w:val="en-US" w:eastAsia="zh-CN"/>
        </w:rPr>
        <w:t xml:space="preserve">D3</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环境严酷度等级：</w:t>
      </w:r>
      <w:r>
        <w:rPr>
          <w:rFonts w:hint="eastAsia" w:ascii="宋体" w:hAnsi="宋体" w:eastAsia="宋体" w:cs="宋体"/>
          <w:strike w:val="0"/>
          <w:color w:val="auto"/>
          <w:sz w:val="24"/>
          <w:szCs w:val="24"/>
          <w:highlight w:val="none"/>
          <w:lang w:val="en-US" w:eastAsia="zh-CN"/>
        </w:rPr>
        <w:t xml:space="preserve">B级</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电磁环境等级：E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外壳防护等级：IP68（提供CMA 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始动流量≤0.004m³/h,且准确度满足国标要求（提供CMA 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动态功耗&lt;40mA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待机电流&lt;15μA（提供CMA 检测报告）</w:t>
      </w:r>
      <w:r>
        <w:rPr>
          <w:rFonts w:hint="eastAsia" w:ascii="宋体" w:hAnsi="宋体" w:eastAsia="宋体" w:cs="宋体"/>
          <w:color w:val="auto"/>
          <w:sz w:val="24"/>
          <w:szCs w:val="24"/>
          <w:highlight w:val="none"/>
          <w:lang w:eastAsia="zh-CN"/>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4、水表材料要求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叶轮盒材质为ABS、叶轮材质为POM、叶轮轴材质为钨钢；表玻璃材质为钢化玻璃（CTG），厚度不低于6mm；</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钟罩材质为不锈钢304（SUS304）；</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所有接触水的零部件均采用无毒、无污染、无生物活性的材料，符合建设行业标准《饮用水冷水水表安全规则（CJ266-2008）》。整体水表的制造材料应抗内、外部腐蚀；</w:t>
      </w:r>
      <w:r>
        <w:rPr>
          <w:rFonts w:hint="eastAsia" w:ascii="宋体" w:hAnsi="宋体" w:eastAsia="宋体" w:cs="宋体"/>
          <w:b/>
          <w:color w:val="auto"/>
          <w:sz w:val="24"/>
          <w:szCs w:val="24"/>
          <w:highlight w:val="none"/>
        </w:rPr>
        <w:t xml:space="preserve">提供近两年内具有CMA涉水安全检验报告。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标志：在水表表盘上按招标人要求印制相关字样和条形码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同时按照招标人要求制作不锈钢铭牌</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机械字轮位数：指示到 m</w:t>
      </w:r>
      <w:r>
        <w:rPr>
          <w:rFonts w:hint="eastAsia" w:ascii="宋体" w:hAnsi="宋体" w:eastAsia="宋体" w:cs="宋体"/>
          <w:color w:val="auto"/>
          <w:sz w:val="24"/>
          <w:szCs w:val="24"/>
          <w:highlight w:val="none"/>
          <w:vertAlign w:val="superscript"/>
        </w:rPr>
        <w:t xml:space="preserve">3 </w:t>
      </w:r>
      <w:r>
        <w:rPr>
          <w:rFonts w:hint="eastAsia" w:ascii="宋体" w:hAnsi="宋体" w:eastAsia="宋体" w:cs="宋体"/>
          <w:color w:val="auto"/>
          <w:sz w:val="24"/>
          <w:szCs w:val="24"/>
          <w:highlight w:val="none"/>
        </w:rPr>
        <w:t xml:space="preserve">的位数不小于 4 位，即满行度不小于9999m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5、电子部分要求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5.1电子部分和基表采用分体结构，实现基表与电子部分整体拆分、维修更换，更换电子部分不影响基表运行及最终读数，拆分快捷方便；</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5.2内置电池：电池可独立更换，在上报频次为1次/日时，保证使用6年，电子部分6年保修；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数据上报成功率：＞99.9% ，差错率：为0；数据采集精度：精确到10L 位。</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抗干扰：输入端加载频率为850MHz，功率为-16 dBm至10 dBm的连续波干扰信号，通讯模组仍能够正常工作；</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服务器连接采用透传机制；</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可通过云控平台实现信息查询、阀门控制、指令下发等功能；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采用电容触摸触发作为外部输入的监测及实现数据的实时上报按钮，无需物理按键；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投标产品应具有光电接口，可通过光电接口进行参数设置、读取表内数据、状态等；</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投标产品应具有触发上线指示灯，附着网络和数据传输能用不同的灯光提示；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6、数据上传功能要求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抄表成功率100%、准确率99.99%，且具有点数据冻结、日数据冻结、月数据冻结功能，远程可设；点数据冻结≥288个、日数据冻结≥96天、月数据冻结≥72个月（提供CMA 检测报告）；</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兼容现场通过容式触发按键触发主动上线、设置自动上线、平台系统读取抄表模式；</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自动上传数据时间可根据供水管理部门要求设定；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数据上传内容至少包含：仪表通讯地址、累积流量、通讯时间、阀门状态、磁干扰、故障代码、脉冲当量、电池电压、信号强度、设备参数、IMSI值、SNR值、PCI值等信息；</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7、阀控要求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单表阀门开关时间≤30s，阀门寿命≥100000次；</w:t>
      </w:r>
      <w:r>
        <w:rPr>
          <w:rFonts w:hint="eastAsia" w:ascii="宋体" w:hAnsi="宋体" w:eastAsia="宋体" w:cs="宋体"/>
          <w:b/>
          <w:color w:val="auto"/>
          <w:sz w:val="24"/>
          <w:szCs w:val="24"/>
          <w:highlight w:val="none"/>
        </w:rPr>
        <w:t xml:space="preserve">提供</w:t>
      </w:r>
      <w:r>
        <w:rPr>
          <w:rFonts w:hint="eastAsia" w:ascii="宋体" w:hAnsi="宋体" w:eastAsia="宋体" w:cs="宋体"/>
          <w:b/>
          <w:color w:val="auto"/>
          <w:sz w:val="24"/>
          <w:szCs w:val="24"/>
          <w:highlight w:val="none"/>
          <w:lang w:val="en-US" w:eastAsia="zh-CN"/>
        </w:rPr>
        <w:t xml:space="preserve">CMA</w:t>
      </w:r>
      <w:r>
        <w:rPr>
          <w:rFonts w:hint="eastAsia" w:ascii="宋体" w:hAnsi="宋体" w:eastAsia="宋体" w:cs="宋体"/>
          <w:b/>
          <w:color w:val="auto"/>
          <w:sz w:val="24"/>
          <w:szCs w:val="24"/>
          <w:highlight w:val="none"/>
        </w:rPr>
        <w:t xml:space="preserve">阀门</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10万次磨损检测报告。</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金属执行器齿轮，减速比不小于2400:1、扭力不小于3.2Nm；</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阀门控制采用五线制到位检测，且具有防水保护措施；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阀门在3.6V供电电压，1.0Mpa的水压下可以可靠开关；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阀体采用铸造铅黄铜材质，阀球必须为不锈钢材质；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阀体的阀轴应采用必要的结构防护措施，确保阀轴密封，不渗水，不影响电机正常工作；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 远程可控制阀门开关，多次触发触摸按键后主动上线，执行阀门控制操作。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8、接管、螺母要求，满足国标</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（二）、物联网远传超声水表：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超声波水表口径和总尺寸：DN50-DN300水表以法兰连接。每一种超声波水表口径均相应有一组固定的总尺寸（水表的尺寸应符合GB/T 778-2018《饮用冷水水表和热水水表》标准的规定）；</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超声水表材质为球铁或不锈钢缩颈结构；</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具有反向计量功能，反向准确度等级等同于正向（提供CMA 检测报告）；</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.外形尺寸，应符合GB/T 778-2018 《饮用冷水水表和热水水表》国家标准要求；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.超声波水表明示标识应采用激光刻录，保证永久不掉色、耐磨损；</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.超声波水表宜采用光敏传感器，完成显示菜单的切换，不接受磁棒或物理按键</w:t>
      </w:r>
      <w:r>
        <w:rPr>
          <w:rFonts w:hint="eastAsia" w:ascii="宋体" w:hAnsi="宋体" w:eastAsia="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指示装置：水表应采用LCD液晶显示，分格显示，应具有明显的分格线，且用不同字母加数字方式显示不同的菜单项。用户菜单可显示累积流量、瞬时流量、电池电量、电压符号不足提醒及水表的工作状态、并且能在液晶屏上显示如电池电量不足、水表倒流、水表停走、用水量异常、水表空管等相应异常代码。正向累积流量显示最大值为99999999.9m³，反向流累积流量显示最大值为9999999.9m³最小值为0.1m³；</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.数据存储：可自动存储最少24个月的相关记录数据。断电或电量耗尽保护，掉电（失电）时水表自动保存累计读数及设定参数保存不变，数据永久保存，方便现场及时维护或更换。</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、参数要求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防护等级：IP68（提供CMA 检测报告）；</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.2压力损失：额定工作条件下的最大压力损失优于或等于0.04MPa；</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.3准确度等级为2级以上：最大允许误差：在水温0.1℃至30℃范围内，水表的最大允许误差在高区(Q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≤Q≤Q</w:t>
      </w:r>
      <w:r>
        <w:rPr>
          <w:rFonts w:hint="eastAsia" w:ascii="宋体" w:hAnsi="宋体" w:eastAsia="宋体" w:cs="宋体"/>
          <w:color w:val="auto"/>
          <w:sz w:val="24"/>
          <w:szCs w:val="24"/>
          <w:highlight w:val="none"/>
          <w:vertAlign w:val="subscript"/>
        </w:rPr>
        <w:t xml:space="preserve">4</w:t>
      </w:r>
      <w:r>
        <w:rPr>
          <w:rFonts w:hint="eastAsia" w:ascii="宋体" w:hAnsi="宋体" w:eastAsia="宋体" w:cs="宋体"/>
          <w:color w:val="auto"/>
          <w:sz w:val="24"/>
          <w:szCs w:val="24"/>
          <w:highlight w:val="none"/>
        </w:rPr>
        <w:t xml:space="preserve">)为±2%，低区（Q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≤Q&lt;Q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）为±5%；</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.4测量范围</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水表常用流量Q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 (m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/h)的数值应满足</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要求，Q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的比值</w:t>
      </w:r>
      <w:r>
        <w:rPr>
          <w:rFonts w:hint="eastAsia" w:ascii="宋体" w:hAnsi="宋体" w:eastAsia="宋体" w:cs="宋体"/>
          <w:color w:val="auto"/>
          <w:sz w:val="24"/>
          <w:szCs w:val="24"/>
          <w:highlight w:val="none"/>
          <w:lang w:val="en-US" w:eastAsia="zh-CN"/>
        </w:rPr>
        <w:t xml:space="preserve">为25</w:t>
      </w:r>
      <w:r>
        <w:rPr>
          <w:rFonts w:hint="eastAsia" w:ascii="宋体" w:hAnsi="宋体" w:eastAsia="宋体" w:cs="宋体"/>
          <w:color w:val="auto"/>
          <w:sz w:val="24"/>
          <w:szCs w:val="24"/>
          <w:highlight w:val="none"/>
        </w:rPr>
        <w:t xml:space="preserve">0；提供型式批准证书</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.4.2 常用流量(Q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)与过载流量(Q</w:t>
      </w:r>
      <w:r>
        <w:rPr>
          <w:rFonts w:hint="eastAsia" w:ascii="宋体" w:hAnsi="宋体" w:eastAsia="宋体" w:cs="宋体"/>
          <w:color w:val="auto"/>
          <w:sz w:val="24"/>
          <w:szCs w:val="24"/>
          <w:highlight w:val="none"/>
          <w:vertAlign w:val="subscript"/>
        </w:rPr>
        <w:t xml:space="preserve">4</w:t>
      </w:r>
      <w:r>
        <w:rPr>
          <w:rFonts w:hint="eastAsia" w:ascii="宋体" w:hAnsi="宋体" w:eastAsia="宋体" w:cs="宋体"/>
          <w:color w:val="auto"/>
          <w:sz w:val="24"/>
          <w:szCs w:val="24"/>
          <w:highlight w:val="none"/>
        </w:rPr>
        <w:t xml:space="preserve">)的关系：Q</w:t>
      </w:r>
      <w:r>
        <w:rPr>
          <w:rFonts w:hint="eastAsia" w:ascii="宋体" w:hAnsi="宋体" w:eastAsia="宋体" w:cs="宋体"/>
          <w:color w:val="auto"/>
          <w:sz w:val="24"/>
          <w:szCs w:val="24"/>
          <w:highlight w:val="none"/>
          <w:vertAlign w:val="subscript"/>
        </w:rPr>
        <w:t xml:space="preserve">4</w:t>
      </w: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=1.25；提供型式批准证书</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.4.3 分解流量(Q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)与最小流量(Q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)的关系：Q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=1.6；提供型式批准证书</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.5水表具备双向分别独立计量，并且单向和双向可互调的测流功能，独立存储、分屏显示；</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 水表的温度等级优于或等于T30；</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 压力等级：MAP16；</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 气候环境等级：</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级；</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.9 流动剖面敏感度等级：水表上、下游流场敏感度等级应满足U10、D5或U5、D3；提供型式批准证书</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.10 超声波水表在电磁干扰条件下,不应丢失数据，符合国家GB/T 778-2018要求，电磁环境等级应达到E2级以上；</w:t>
      </w:r>
      <w:r/>
    </w:p>
    <w:p>
      <w:pPr>
        <w:ind w:firstLine="480"/>
        <w:jc w:val="both"/>
        <w:spacing w:line="360" w:lineRule="auto"/>
        <w:widowControl w:val="off"/>
        <w:tabs>
          <w:tab w:val="left" w:pos="2626"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每5分钟数据冻结一次，每小时主动上传1次，此工况条件下，电池寿命不低于8年；</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三、软件平台功能</w:t>
      </w: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1、平台至少包含以下功能：</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 报装管理：区域划分管理、业主信息管理等，包括支持用户档案（户名、地址、表号）的批量导入/导出（Excel），支持更名/过户/销户，且必须保留完整的操作日志（提供软件截图或相关材料证明）</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 数据监测：数据查询、离线仪表统计、数据监控、电子地图、磁干扰；（提供软件截图或相关材料证明）数据查询中应至少包含：地址全称、仪表地址、累积流量、仪表时间、通讯时间、电池电压、磁干扰、故障代码、脉冲当量、上传间隔、上传时间、净流量、仪表状态、信号强度、IMSI值和PCI值；</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 异常告警：至少包含流量异常、用水流量异常等；（提供软件截图或相关材料证明）</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★1.4 用水量统计功能，至少包含：流量统计、日用量统计、月用量统计、时段用量统计，并依据用水量生成曲线图、柱状图；（提供软件截图或相关材料证明）</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 系统应具有仪表日志、设备日志、指令查询功能；（提供软件截图或相关材料证明）</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▲1.6 系统应具有正向累积流量、反向累积流量，查询功能。（提供软件截图或相关材料证明）</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▲1.7产销差分析：能对比总表供水量与用户售水量，计算漏损率，并定位异常分区。</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★1.8阀控：支持欠费自动/手动关阀、远程阀门控制。</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 、缴费</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2.1搭建PC端、微信服务号（公众号）等多渠道预付费/缴费场景，支持窗口现金、微信/支付宝扫码。用户可通过微信服务号（公众号）注册登录手机终端，查看用户使用相关信息（包含但不限于缴费、用量、余额等）（提供软件截图或相关材料证明）</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2.2</w:t>
      </w:r>
      <w:r>
        <w:rPr>
          <w:rFonts w:hint="eastAsia" w:ascii="宋体" w:hAnsi="宋体" w:eastAsia="宋体" w:cs="宋体"/>
          <w:color w:val="000000" w:themeColor="text1"/>
          <w:sz w:val="24"/>
          <w:szCs w:val="24"/>
          <w:highlight w:val="none"/>
          <w:lang w:val="en-US" w:eastAsia="zh-CN"/>
        </w:rPr>
        <w:t xml:space="preserve">计费模式：需同时支持单一水价和阶梯水价。</w:t>
      </w:r>
      <w:r>
        <w:rPr>
          <w:color w:val="000000" w:themeColor="text1"/>
        </w:rPr>
      </w:r>
    </w:p>
    <w:p>
      <w:pPr>
        <w:ind w:firstLine="480"/>
        <w:jc w:val="both"/>
        <w:spacing w:line="360" w:lineRule="auto"/>
        <w:widowControl w:val="off"/>
        <w:tabs>
          <w:tab w:val="left" w:pos="2626"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欠费通知：欠费时，可以通过短信、微信等提醒。</w:t>
      </w:r>
      <w:r>
        <w:rPr>
          <w:color w:val="000000" w:themeColor="text1"/>
        </w:rP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四、供货要求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1、在质保期内，供应商应确保设备的正常使用。在接到用户服务要求后应立即做出回应，并在承诺的服务时间内实施服务。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、质保期：水表整机质保不少于 3 年，</w:t>
      </w:r>
      <w:r>
        <w:rPr>
          <w:rFonts w:hint="eastAsia" w:ascii="宋体" w:hAnsi="宋体" w:cs="宋体"/>
          <w:b/>
          <w:bCs/>
          <w:color w:val="auto"/>
          <w:sz w:val="24"/>
          <w:szCs w:val="24"/>
          <w:highlight w:val="none"/>
          <w:lang w:val="en-US" w:eastAsia="zh-CN"/>
        </w:rPr>
        <w:t xml:space="preserve">其中电池部分不少于6年</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质保期间，中标人承担维修、保养、安检、调换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系统维护</w:t>
      </w:r>
      <w:r>
        <w:rPr>
          <w:rFonts w:hint="eastAsia" w:ascii="宋体" w:hAnsi="宋体" w:eastAsia="宋体" w:cs="宋体"/>
          <w:color w:val="auto"/>
          <w:sz w:val="24"/>
          <w:szCs w:val="24"/>
          <w:highlight w:val="none"/>
        </w:rPr>
        <w:t xml:space="preserve">等，相关费用包含在预算内，采购方不再支付任何费用；对于采购方人为原因造成的故障，中标人只收取维保成本费用。</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rPr>
        <w:t xml:space="preserve">、商务要求</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1、国家及行业相关规范标准：</w:t>
      </w:r>
      <w:r>
        <w:rPr>
          <w:rFonts w:hint="eastAsia" w:ascii="宋体" w:hAnsi="宋体" w:eastAsia="宋体" w:cs="宋体"/>
          <w:color w:val="auto"/>
          <w:sz w:val="24"/>
          <w:szCs w:val="24"/>
          <w:highlight w:val="none"/>
        </w:rPr>
        <w:t xml:space="preserve">本项目执行现行国家相关标准，无国家标准的执行行业标准；无行业标准的执行地方标准；无地方标准的执行企业标准。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2、合同履行期限：</w:t>
      </w:r>
      <w:r>
        <w:rPr>
          <w:rFonts w:hint="eastAsia" w:ascii="宋体" w:hAnsi="宋体" w:cs="宋体"/>
          <w:color w:val="auto"/>
          <w:sz w:val="24"/>
          <w:szCs w:val="24"/>
          <w:highlight w:val="none"/>
          <w:lang w:eastAsia="zh-CN"/>
        </w:rPr>
        <w:t xml:space="preserve">合同签订之日起30天内完成供货。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3、交付方式：采购人指定方式。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4、交付地点：采购人指定地点。</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5、付款方式与履约保证金</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★5.1付款方式：</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供货完成且经采购人验收合格后15日内付至供货价的100％。</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注：支付货款时，乙方必须提供合同约定的正规发票。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5.2履约保证金：合同总金额 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详见第三章合同条款内容</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6、投标报价要求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投标报价须包含但不限于全部设备、材料备品备件、包装费、运杂费（运抵现场）、卸货费、现场保管费、运输保险费、售后服务、各项有关规费和政策性规定费用及</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确认为需要的其它费用等，直至交付至采购人使用时所需要的各种费用。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rPr>
          <w:rStyle w:val="999"/>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highlight w:val="none"/>
        </w:rPr>
        <w:outlineLvl w:val="0"/>
      </w:pPr>
      <w:r/>
      <w:bookmarkStart w:id="109" w:name="_Toc7113"/>
      <w:r/>
      <w:bookmarkStart w:id="110" w:name="_Toc26751"/>
      <w:r/>
      <w:bookmarkStart w:id="111" w:name="_Toc20969"/>
      <w:r/>
      <w:bookmarkStart w:id="112" w:name="_Toc10199"/>
      <w:r/>
      <w:bookmarkStart w:id="113" w:name="_Toc120614281"/>
      <w:r>
        <w:rPr>
          <w:rStyle w:val="999"/>
          <w:rFonts w:hint="eastAsia" w:ascii="宋体" w:hAnsi="宋体" w:eastAsia="宋体" w:cs="宋体"/>
          <w:color w:val="auto"/>
          <w:highlight w:val="none"/>
        </w:rPr>
        <w:t xml:space="preserve">第五章  评标方法与评标标准</w:t>
      </w:r>
      <w:bookmarkEnd w:id="109"/>
      <w:r/>
      <w:bookmarkEnd w:id="110"/>
      <w:r/>
      <w:bookmarkEnd w:id="111"/>
      <w:r/>
      <w:bookmarkEnd w:id="112"/>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的投标文件进行评价，并汇总每个</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r/>
    </w:p>
    <w:p>
      <w:pPr>
        <w:ind w:firstLine="48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综合评分法</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4"/>
        <w:gridCol w:w="7685"/>
      </w:tblGrid>
      <w:tr>
        <w:trPr>
          <w:jc w:val="center"/>
          <w:trHeight w:val="508"/>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419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508"/>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价格分（</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tc>
        <w:tc>
          <w:tcPr>
            <w:tcW w:w="4190" w:type="pct"/>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w:t>
            </w:r>
            <w:r>
              <w:rPr>
                <w:rFonts w:ascii="宋体" w:hAnsi="宋体" w:eastAsia="宋体" w:cs="宋体"/>
                <w:sz w:val="24"/>
                <w:szCs w:val="24"/>
              </w:rPr>
              <w:t xml:space="preserve">满足招标文件要求且投标总价最低的投标报价为评标基准价</w:t>
            </w:r>
            <w:r>
              <w:rPr>
                <w:rFonts w:hint="eastAsia" w:ascii="宋体" w:hAnsi="宋体" w:eastAsia="宋体" w:cs="宋体"/>
                <w:color w:val="auto"/>
                <w:sz w:val="24"/>
                <w:szCs w:val="24"/>
                <w:highlight w:val="none"/>
              </w:rPr>
              <w:t xml:space="preserve">，其价格分为满分。其他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因落实政府采购政策进行价格调整的，以调整后的价格计算评标基准价和投标报价，小数点后保留两位。评标过程中，不得去掉报价中的最高报价和最低报价。</w:t>
            </w:r>
            <w:r/>
          </w:p>
        </w:tc>
      </w:tr>
      <w:tr>
        <w:trPr>
          <w:jc w:val="center"/>
          <w:trHeight w:val="508"/>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技术参数</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eastAsia="zh-CN"/>
              </w:rPr>
              <w:t xml:space="preserve">分）</w:t>
            </w:r>
            <w:r/>
          </w:p>
        </w:tc>
        <w:tc>
          <w:tcPr>
            <w:tcW w:w="4190" w:type="pct"/>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技术参数响应评审基准分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分；标注▲项技术参数每有一项负偏离扣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注：1.标注“▲”项要求提供证明材料的未提供证明材料或所提供材料与招标文件要求不符的视为负偏离。2.功能相近，但名称、表述不完全一致的，由评委现场统一认定。</w:t>
            </w:r>
            <w:r/>
          </w:p>
        </w:tc>
      </w:tr>
      <w:tr>
        <w:trPr>
          <w:jc w:val="center"/>
          <w:trHeight w:val="90"/>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企业认证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tcW w:w="4190" w:type="pct"/>
            <w:vAlign w:val="center"/>
            <w:textDirection w:val="lrTb"/>
            <w:noWrap w:val="false"/>
          </w:tcPr>
          <w:p>
            <w:pPr>
              <w:ind w:firstLine="24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持有有效期内 GB/T19022（ISO10012）测量管理体系认证证书，得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1"/>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提供相关材料扫描件并加盖供应商公章，否则</w:t>
            </w:r>
            <w:r>
              <w:rPr>
                <w:rFonts w:hint="eastAsia" w:ascii="宋体" w:hAnsi="宋体" w:eastAsia="宋体" w:cs="宋体"/>
                <w:color w:val="auto"/>
                <w:sz w:val="24"/>
                <w:szCs w:val="24"/>
                <w:highlight w:val="none"/>
              </w:rPr>
              <w:t xml:space="preserve">不得分。</w:t>
            </w:r>
            <w:r/>
          </w:p>
        </w:tc>
      </w:tr>
      <w:tr>
        <w:trPr>
          <w:jc w:val="center"/>
          <w:trHeight w:val="90"/>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防磁计量性能（</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tc>
        <w:tc>
          <w:tcPr>
            <w:tcW w:w="4190" w:type="pct"/>
            <w:vAlign w:val="center"/>
            <w:textDirection w:val="lrTb"/>
            <w:noWrap w:val="false"/>
          </w:tcPr>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产品具备防外部磁场干扰功能，施加强磁环境下水表计量无漏计、误计，提供 CMA 检测报告佐证得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分，未提供不得分。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shd w:val="clear" w:color="auto" w:fill="auto"/>
            <w:tcW w:w="4190" w:type="pct"/>
            <w:vAlign w:val="top"/>
            <w:textDirection w:val="lrTb"/>
            <w:noWrap w:val="false"/>
          </w:tcPr>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具有类似项目业绩的，每提供一个得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1"/>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提供中标通知书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直接发包的提供相关证明材料并加盖该项目采购人公章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合同</w:t>
            </w:r>
            <w:r>
              <w:rPr>
                <w:rFonts w:hint="eastAsia" w:ascii="宋体" w:hAnsi="宋体" w:eastAsia="宋体" w:cs="宋体"/>
                <w:b/>
                <w:color w:val="auto"/>
                <w:sz w:val="24"/>
                <w:szCs w:val="24"/>
                <w:highlight w:val="none"/>
              </w:rPr>
              <w:t xml:space="preserve">扫描件并加盖</w:t>
            </w:r>
            <w:r>
              <w:rPr>
                <w:rFonts w:hint="eastAsia" w:ascii="宋体" w:hAnsi="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公章，否则不得分。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实施方案</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shd w:val="clear" w:color="auto" w:fill="auto"/>
            <w:tcW w:w="4190"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提供的实施方案，包括但不限于供货进度计划、质量管控措施、到货验收方案、</w:t>
            </w:r>
            <w:r>
              <w:rPr>
                <w:rFonts w:hint="eastAsia" w:ascii="宋体" w:hAnsi="宋体" w:eastAsia="宋体" w:cs="宋体"/>
                <w:color w:val="auto"/>
                <w:sz w:val="24"/>
                <w:szCs w:val="24"/>
                <w:highlight w:val="none"/>
                <w:lang w:val="en-US" w:eastAsia="zh-CN"/>
              </w:rPr>
              <w:t xml:space="preserve">指导</w:t>
            </w:r>
            <w:r>
              <w:rPr>
                <w:rFonts w:hint="eastAsia" w:ascii="宋体" w:hAnsi="宋体" w:eastAsia="宋体" w:cs="宋体"/>
                <w:color w:val="auto"/>
                <w:sz w:val="24"/>
                <w:szCs w:val="24"/>
                <w:highlight w:val="none"/>
              </w:rPr>
              <w:t xml:space="preserve">安装调试方案、项目交付保障等进行评分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rPr>
              <w:t xml:space="preserve">均完整、且</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总体方案</w:t>
            </w:r>
            <w:r>
              <w:rPr>
                <w:rFonts w:hint="eastAsia" w:ascii="宋体" w:hAnsi="宋体" w:eastAsia="宋体" w:cs="宋体"/>
                <w:color w:val="auto"/>
                <w:sz w:val="24"/>
                <w:szCs w:val="24"/>
                <w:highlight w:val="none"/>
              </w:rPr>
              <w:t xml:space="preserve">合理、保障措施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w:t>
            </w:r>
            <w:r>
              <w:rPr>
                <w:rFonts w:hint="eastAsia" w:ascii="宋体" w:hAnsi="宋体" w:eastAsia="宋体" w:cs="宋体"/>
                <w:color w:val="auto"/>
                <w:sz w:val="24"/>
                <w:szCs w:val="24"/>
                <w:highlight w:val="none"/>
              </w:rPr>
              <w:t xml:space="preserve">完整、且</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基本符合</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总体方案</w:t>
            </w:r>
            <w:r>
              <w:rPr>
                <w:rFonts w:hint="eastAsia" w:ascii="宋体" w:hAnsi="宋体" w:eastAsia="宋体" w:cs="宋体"/>
                <w:color w:val="auto"/>
                <w:sz w:val="24"/>
                <w:szCs w:val="24"/>
                <w:highlight w:val="none"/>
              </w:rPr>
              <w:t xml:space="preserve">较合理、</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较可行，得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方案内容不</w:t>
            </w:r>
            <w:r>
              <w:rPr>
                <w:rFonts w:hint="eastAsia" w:ascii="宋体" w:hAnsi="宋体" w:eastAsia="宋体" w:cs="宋体"/>
                <w:color w:val="auto"/>
                <w:sz w:val="24"/>
                <w:szCs w:val="24"/>
                <w:highlight w:val="none"/>
              </w:rPr>
              <w:t xml:space="preserve">完整、且</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基本不符合</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总体方案</w:t>
            </w:r>
            <w:r>
              <w:rPr>
                <w:rFonts w:hint="eastAsia" w:ascii="宋体" w:hAnsi="宋体" w:eastAsia="宋体" w:cs="宋体"/>
                <w:color w:val="auto"/>
                <w:sz w:val="24"/>
                <w:szCs w:val="24"/>
                <w:highlight w:val="none"/>
              </w:rPr>
              <w:t xml:space="preserve">一般、</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未提供的不得分。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培训方案</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shd w:val="clear" w:color="auto" w:fill="auto"/>
            <w:tcW w:w="4190"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针对本项目特点，结合采购人的需求，制定包括但不限于培训内容、培训计划、培训方法、培训对象、培训团队配备等技术培训方案</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培训对象</w:t>
            </w:r>
            <w:r>
              <w:rPr>
                <w:rFonts w:hint="eastAsia" w:ascii="宋体" w:hAnsi="宋体" w:eastAsia="宋体" w:cs="宋体"/>
                <w:color w:val="auto"/>
                <w:sz w:val="24"/>
                <w:szCs w:val="24"/>
                <w:highlight w:val="none"/>
                <w:lang w:val="en-US" w:eastAsia="zh-CN"/>
              </w:rPr>
              <w:t xml:space="preserve">科学合理执行性强并</w:t>
            </w:r>
            <w:r>
              <w:rPr>
                <w:rFonts w:hint="eastAsia" w:ascii="宋体" w:hAnsi="宋体" w:eastAsia="宋体" w:cs="宋体"/>
                <w:color w:val="auto"/>
                <w:sz w:val="24"/>
                <w:szCs w:val="24"/>
                <w:highlight w:val="none"/>
              </w:rPr>
              <w:t xml:space="preserve">区分运维人员、现场施工人员、管理人员制定课程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rPr>
              <w:t xml:space="preserve">培训讲师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w:t>
            </w:r>
            <w:r>
              <w:rPr>
                <w:rFonts w:hint="eastAsia" w:ascii="宋体" w:hAnsi="宋体" w:eastAsia="宋体" w:cs="宋体"/>
                <w:color w:val="auto"/>
                <w:sz w:val="24"/>
                <w:szCs w:val="24"/>
                <w:highlight w:val="none"/>
                <w:lang w:val="en-US" w:eastAsia="zh-CN"/>
              </w:rPr>
              <w:t xml:space="preserve">丰富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设置实操上机考核、培训结业测试机制</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合理、详尽，能贴合用户使用需求，得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培训对象区分</w:t>
            </w:r>
            <w:r>
              <w:rPr>
                <w:rFonts w:hint="eastAsia" w:ascii="宋体" w:hAnsi="宋体" w:eastAsia="宋体" w:cs="宋体"/>
                <w:color w:val="auto"/>
                <w:sz w:val="24"/>
                <w:szCs w:val="24"/>
                <w:highlight w:val="none"/>
                <w:lang w:val="en-US" w:eastAsia="zh-CN"/>
              </w:rPr>
              <w:t xml:space="preserve">简易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方案较完整、较为详尽，</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使用需求，得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方案详尽程度有缺漏，</w:t>
            </w:r>
            <w:r>
              <w:rPr>
                <w:rFonts w:hint="eastAsia" w:ascii="宋体" w:hAnsi="宋体" w:eastAsia="宋体" w:cs="宋体"/>
                <w:color w:val="auto"/>
                <w:sz w:val="24"/>
                <w:szCs w:val="24"/>
                <w:highlight w:val="none"/>
                <w:lang w:val="en-US" w:eastAsia="zh-CN"/>
              </w:rPr>
              <w:t xml:space="preserve">内容不详尽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备品备件（5分）</w:t>
            </w:r>
            <w:r/>
          </w:p>
        </w:tc>
        <w:tc>
          <w:tcPr>
            <w:shd w:val="clear" w:color="auto" w:fill="auto"/>
            <w:tcW w:w="4190"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完整提供本项目水表全部易损件（叶轮、阀球、执行器、通讯模块、电池等）清单及含税单价；</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承诺核心备件现货库存，48 小时内送达项目现场；</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明确质保期内备件免费更换、质保期满后备件采购优惠比例、长期供货保障年限；</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内容齐全，清单完整无缺项，得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提供备件清单报价，但缺失库存保障或长期供货承诺其中一项，得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仅简单罗列备件名称，无价格、无库存及更换时效承诺，得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未提供备品备件清单及价格；无任何备件保障相关阐述</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w:t>
            </w:r>
            <w:r/>
          </w:p>
        </w:tc>
      </w:tr>
      <w:tr>
        <w:trPr>
          <w:jc w:val="center"/>
          <w:trHeight w:val="90"/>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售后服务能力（</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tcW w:w="4190" w:type="pct"/>
            <w:vAlign w:val="top"/>
            <w:textDirection w:val="lrTb"/>
            <w:noWrap w:val="false"/>
          </w:tcPr>
          <w:p>
            <w:pPr>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提供的售后服务方案</w:t>
            </w:r>
            <w:r>
              <w:rPr>
                <w:rFonts w:hint="eastAsia" w:ascii="宋体" w:hAnsi="宋体" w:cs="宋体"/>
                <w:color w:val="auto"/>
                <w:sz w:val="24"/>
                <w:szCs w:val="24"/>
                <w:highlight w:val="none"/>
                <w:lang w:val="en-US" w:eastAsia="zh-CN" w:bidi="ar-SA"/>
              </w:rPr>
              <w:t xml:space="preserve">是否完整</w:t>
            </w:r>
            <w:r>
              <w:rPr>
                <w:rFonts w:hint="eastAsia" w:ascii="宋体" w:hAnsi="宋体" w:eastAsia="宋体" w:cs="宋体"/>
                <w:color w:val="auto"/>
                <w:sz w:val="24"/>
                <w:szCs w:val="24"/>
                <w:highlight w:val="none"/>
                <w:lang w:val="en-US" w:eastAsia="zh-CN" w:bidi="ar-SA"/>
              </w:rPr>
              <w:t xml:space="preserve">，内容包括但不限于故障响应时效、运维团队配置、驻场 / 巡检服务、备件抢修、违约赔付机制等情况。</w:t>
            </w:r>
            <w:bookmarkStart w:id="153" w:name="_GoBack"/>
            <w:r/>
            <w:bookmarkEnd w:id="153"/>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 故障响应：接到采购人报修通知2 小时内远程响应、4 小时内现场到达处置，书面承诺；</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 运维人员：配备专职水务物联网运维人员，附人员资质、本项目驻场服务计划；</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 定期巡检：承诺每年不少于 2 次全片区水表巡检、计量精度复测、通讯信号排查；</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 抢修保障：配备专用检测、维修工具，故障水表 24 小时内完成更换维修；</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 违约赔付：明确逾期响应、供货、维修对应的违约金计算标准（如每日按合同额千分之 0.5 赔付）；</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项内容全部书面承诺完整，得5分。</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 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项核心服务条款，缺失 1-3 项内容，得 3 分。</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仅满足 1-2 项服务条款，响应时效、巡检、赔付等关键内容缺失，得 1 分。</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未提供售后服务方案；无明确响应、质保、赔付书面承诺</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w:t>
            </w:r>
            <w:r/>
          </w:p>
        </w:tc>
      </w:tr>
    </w:tbl>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为中标候选人。本项目选取 1家中标候选人。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keepNext/>
        <w:rPr>
          <w:rStyle w:val="999"/>
          <w:rFonts w:hint="eastAsia" w:ascii="宋体" w:hAnsi="宋体" w:eastAsia="宋体" w:cs="宋体"/>
          <w:color w:val="auto"/>
          <w:highlight w:val="none"/>
        </w:rPr>
        <w:outlineLvl w:val="0"/>
      </w:pPr>
      <w:r/>
      <w:bookmarkStart w:id="114" w:name="_Toc18891"/>
      <w:r/>
      <w:bookmarkStart w:id="115" w:name="_Toc12204"/>
      <w:r/>
      <w:bookmarkStart w:id="116" w:name="_Toc3589"/>
      <w:r/>
      <w:bookmarkStart w:id="117" w:name="_Toc3350"/>
      <w:r>
        <w:rPr>
          <w:rStyle w:val="999"/>
          <w:rFonts w:hint="eastAsia" w:ascii="宋体" w:hAnsi="宋体" w:eastAsia="宋体" w:cs="宋体"/>
          <w:color w:val="auto"/>
          <w:highlight w:val="none"/>
        </w:rPr>
        <w:t xml:space="preserve">第六章  投标</w:t>
      </w:r>
      <w:bookmarkEnd w:id="107"/>
      <w:r/>
      <w:bookmarkEnd w:id="108"/>
      <w:r/>
      <w:bookmarkEnd w:id="113"/>
      <w:r>
        <w:rPr>
          <w:rStyle w:val="999"/>
          <w:rFonts w:hint="eastAsia" w:ascii="宋体" w:hAnsi="宋体" w:eastAsia="宋体" w:cs="宋体"/>
          <w:color w:val="auto"/>
          <w:highlight w:val="none"/>
        </w:rPr>
        <w:t xml:space="preserve">文件格式</w:t>
      </w:r>
      <w:bookmarkEnd w:id="114"/>
      <w:r/>
      <w:bookmarkEnd w:id="115"/>
      <w:r/>
      <w:bookmarkEnd w:id="116"/>
      <w:r/>
      <w:bookmarkEnd w:id="117"/>
      <w:r>
        <w:rPr>
          <w:rStyle w:val="999"/>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118" w:name="_Hlt26955039"/>
      <w:r/>
      <w:bookmarkEnd w:id="118"/>
      <w:r/>
      <w:bookmarkStart w:id="119" w:name="_Hlt26671244"/>
      <w:r/>
      <w:bookmarkEnd w:id="119"/>
      <w:r/>
      <w:bookmarkStart w:id="120" w:name="_Toc26554094"/>
      <w:r/>
      <w:bookmarkStart w:id="121" w:name="_Toc120614282"/>
      <w:r/>
      <w:bookmarkStart w:id="122"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w:t>
      </w:r>
      <w:r>
        <w:rPr>
          <w:rFonts w:hint="eastAsia" w:ascii="宋体" w:hAnsi="宋体" w:cs="宋体"/>
          <w:b/>
          <w:color w:val="auto"/>
          <w:sz w:val="36"/>
          <w:szCs w:val="21"/>
          <w:highlight w:val="none"/>
          <w:lang w:eastAsia="zh-CN"/>
        </w:rPr>
        <w:t xml:space="preserve">供应商</w:t>
      </w:r>
      <w:r>
        <w:rPr>
          <w:rFonts w:hint="eastAsia" w:ascii="宋体" w:hAnsi="宋体" w:eastAsia="宋体" w:cs="宋体"/>
          <w:b/>
          <w:color w:val="auto"/>
          <w:sz w:val="36"/>
          <w:szCs w:val="21"/>
          <w:highlight w:val="none"/>
        </w:rPr>
        <w:t xml:space="preserve">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六、法律、行政法规规定的其他条件的证明文件、落实政府采购政策需满足的资格要求的证明文件及特定资格要求的证明文件（如果本项目设置特定资格要求，则需要提供）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十二、</w:t>
      </w:r>
      <w:r>
        <w:rPr>
          <w:rFonts w:hint="eastAsia" w:ascii="宋体" w:hAnsi="宋体" w:cs="宋体"/>
          <w:iCs/>
          <w:color w:val="auto"/>
          <w:sz w:val="24"/>
          <w:szCs w:val="21"/>
          <w:highlight w:val="none"/>
          <w:lang w:val="en-US" w:eastAsia="zh-CN"/>
        </w:rPr>
        <w:t xml:space="preserve">本国产品申明函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三</w:t>
      </w:r>
      <w:r>
        <w:rPr>
          <w:rFonts w:hint="eastAsia" w:ascii="宋体" w:hAnsi="宋体" w:eastAsia="宋体" w:cs="宋体"/>
          <w:iCs/>
          <w:color w:val="auto"/>
          <w:sz w:val="24"/>
          <w:szCs w:val="21"/>
          <w:highlight w:val="none"/>
        </w:rPr>
        <w:t xml:space="preserve">、技术要求响应及偏离表及证明文件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cs="宋体"/>
          <w:iCs/>
          <w:color w:val="auto"/>
          <w:sz w:val="24"/>
          <w:szCs w:val="21"/>
          <w:highlight w:val="none"/>
          <w:lang w:val="en-US" w:eastAsia="zh-CN"/>
        </w:rPr>
        <w:t xml:space="preserve">四</w:t>
      </w:r>
      <w:r>
        <w:rPr>
          <w:rFonts w:hint="eastAsia" w:ascii="宋体" w:hAnsi="宋体" w:eastAsia="宋体" w:cs="宋体"/>
          <w:iCs/>
          <w:color w:val="auto"/>
          <w:sz w:val="24"/>
          <w:szCs w:val="21"/>
          <w:highlight w:val="none"/>
        </w:rPr>
        <w:t xml:space="preserve">、商务要求响应及偏离表</w:t>
      </w:r>
      <w:r/>
    </w:p>
    <w:p>
      <w:pPr>
        <w:ind w:left="630"/>
        <w:jc w:val="left"/>
        <w:spacing w:line="360" w:lineRule="auto"/>
        <w:rPr>
          <w:rFonts w:hint="default"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十五、</w:t>
      </w:r>
      <w:r>
        <w:rPr>
          <w:rFonts w:hint="eastAsia" w:ascii="宋体" w:hAnsi="宋体" w:eastAsia="宋体" w:cs="宋体"/>
          <w:iCs/>
          <w:color w:val="auto"/>
          <w:sz w:val="24"/>
          <w:szCs w:val="21"/>
          <w:highlight w:val="none"/>
          <w:lang w:val="en-US" w:eastAsia="zh-CN"/>
        </w:rPr>
        <w:t xml:space="preserve">类似业绩</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cs="宋体"/>
          <w:iCs/>
          <w:color w:val="auto"/>
          <w:sz w:val="24"/>
          <w:szCs w:val="21"/>
          <w:highlight w:val="none"/>
          <w:lang w:val="en-US" w:eastAsia="zh-CN"/>
        </w:rPr>
        <w:t xml:space="preserve">六</w:t>
      </w:r>
      <w:r>
        <w:rPr>
          <w:rFonts w:hint="eastAsia" w:ascii="宋体" w:hAnsi="宋体" w:eastAsia="宋体" w:cs="宋体"/>
          <w:iCs/>
          <w:color w:val="auto"/>
          <w:sz w:val="24"/>
          <w:szCs w:val="21"/>
          <w:highlight w:val="none"/>
        </w:rPr>
        <w:t xml:space="preserve">、开标一览表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、服务承诺、培训计划、人员安排及其他</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eastAsia="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财务状况报告及税收、社会保障资金缴纳情况承诺函（格式）</w:t>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eastAsia="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财务状况报告及税收、社会保障资金缴纳情况承诺函（格式）</w:t>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w:t>
      </w:r>
      <w:r>
        <w:rPr>
          <w:rFonts w:hint="eastAsia" w:ascii="宋体" w:hAnsi="宋体" w:cs="宋体"/>
          <w:bCs/>
          <w:color w:val="auto"/>
          <w:sz w:val="24"/>
          <w:szCs w:val="21"/>
          <w:highlight w:val="none"/>
          <w:u w:val="single"/>
          <w:lang w:eastAsia="zh-CN"/>
        </w:rPr>
        <w:t xml:space="preserve">供应商</w:t>
      </w:r>
      <w:r>
        <w:rPr>
          <w:rFonts w:hint="eastAsia" w:ascii="宋体" w:hAnsi="宋体" w:eastAsia="宋体" w:cs="宋体"/>
          <w:bCs/>
          <w:color w:val="auto"/>
          <w:sz w:val="24"/>
          <w:szCs w:val="21"/>
          <w:highlight w:val="none"/>
          <w:u w:val="single"/>
        </w:rPr>
        <w:t xml:space="preserve">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Lines w:val="0"/>
        <w:keepNext w:val="0"/>
        <w:pageBreakBefore/>
        <w:widowControl w:val="off"/>
        <w:rPr>
          <w:rFonts w:hint="eastAsia" w:ascii="宋体" w:hAnsi="宋体" w:eastAsia="宋体" w:cs="宋体"/>
          <w:color w:val="auto"/>
          <w:sz w:val="24"/>
          <w:szCs w:val="21"/>
          <w:highlight w:val="none"/>
        </w:rPr>
      </w:pPr>
      <w:r>
        <w:rPr>
          <w:rFonts w:hint="eastAsia" w:ascii="宋体" w:hAnsi="宋体" w:eastAsia="宋体" w:cs="宋体"/>
          <w:iCs/>
          <w:color w:val="auto"/>
          <w:sz w:val="32"/>
          <w:szCs w:val="32"/>
          <w:highlight w:val="none"/>
          <w:u w:val="single"/>
        </w:rPr>
        <w:t xml:space="preserve">六、法律、行政法规规定的其他条件的证明文件</w:t>
      </w:r>
      <w:r>
        <w:rPr>
          <w:rFonts w:hint="eastAsia" w:ascii="宋体" w:hAnsi="宋体" w:cs="宋体"/>
          <w:iCs/>
          <w:color w:val="auto"/>
          <w:sz w:val="32"/>
          <w:szCs w:val="32"/>
          <w:highlight w:val="none"/>
          <w:u w:val="single"/>
          <w:lang w:eastAsia="zh-CN"/>
        </w:rPr>
        <w:t xml:space="preserve">、落实政府采购政策需满足的资格要求的证明文件</w:t>
      </w:r>
      <w:r>
        <w:rPr>
          <w:rFonts w:hint="eastAsia" w:ascii="宋体" w:hAnsi="宋体" w:cs="宋体"/>
          <w:iCs/>
          <w:color w:val="auto"/>
          <w:sz w:val="32"/>
          <w:szCs w:val="32"/>
          <w:highlight w:val="none"/>
          <w:u w:val="single"/>
          <w:lang w:val="en-US" w:eastAsia="zh-CN"/>
        </w:rPr>
        <w:t xml:space="preserve">及</w:t>
      </w:r>
      <w:r>
        <w:rPr>
          <w:rFonts w:hint="eastAsia" w:ascii="宋体" w:hAnsi="宋体" w:eastAsia="宋体" w:cs="宋体"/>
          <w:iCs/>
          <w:color w:val="auto"/>
          <w:sz w:val="32"/>
          <w:szCs w:val="32"/>
          <w:highlight w:val="none"/>
          <w:u w:val="single"/>
        </w:rPr>
        <w:t xml:space="preserve">特定资格要求的证明文件</w:t>
      </w:r>
      <w:bookmarkEnd w:id="120"/>
      <w:r/>
      <w:bookmarkEnd w:id="121"/>
      <w:r/>
      <w:bookmarkEnd w:id="122"/>
      <w:r>
        <w:rPr>
          <w:rFonts w:hint="eastAsia" w:ascii="宋体" w:hAnsi="宋体" w:eastAsia="宋体" w:cs="宋体"/>
          <w:color w:val="auto"/>
          <w:sz w:val="24"/>
          <w:szCs w:val="21"/>
          <w:highlight w:val="none"/>
        </w:rPr>
        <w:t xml:space="preserve">（如有，请按要求提供）</w:t>
      </w:r>
      <w:r/>
    </w:p>
    <w:p>
      <w:pPr>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60" w:lineRule="exact"/>
        <w:rPr>
          <w:rFonts w:hint="eastAsia" w:ascii="宋体" w:hAnsi="宋体" w:eastAsia="宋体" w:cs="宋体"/>
          <w:bCs/>
          <w:color w:val="auto"/>
          <w:sz w:val="24"/>
          <w:szCs w:val="21"/>
          <w:highlight w:val="none"/>
        </w:rPr>
      </w:pPr>
      <w:r/>
      <w:bookmarkStart w:id="123"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06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06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765"/>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c>
          <w:tcPr>
            <w:tcW w:w="4536"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765"/>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c>
          <w:tcPr>
            <w:tcW w:w="4536"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为自然人的情形，可不提供本《授权委托书》。</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4、请供应商如实填写联系方式并在评审过程中保持联系方式畅通，评审过程中如联系不上，由供应商承担一切不利后果。</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765"/>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c>
          <w:tcPr>
            <w:tcW w:w="4536"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法定代表人（单位负责人）联系方式</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注：</w:t>
      </w:r>
      <w:r>
        <w:rPr>
          <w:rFonts w:hint="eastAsia" w:ascii="宋体" w:hAnsi="宋体" w:eastAsia="宋体" w:cs="宋体"/>
          <w:bCs/>
          <w:color w:val="auto"/>
          <w:sz w:val="24"/>
          <w:szCs w:val="21"/>
          <w:highlight w:val="none"/>
        </w:rPr>
        <w:t xml:space="preserve">请供应商如实填写联系方式并在评审过程中保持联系方式畅通，评审过程中如联系不上，由供应商承担一切不利后果。</w:t>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124" w:name="_Toc24282"/>
      <w:r/>
      <w:bookmarkStart w:id="125" w:name="_Toc23712"/>
      <w:r/>
      <w:bookmarkStart w:id="126" w:name="_Toc12885"/>
      <w:r/>
      <w:bookmarkStart w:id="127" w:name="_Toc30562"/>
      <w:r>
        <w:rPr>
          <w:rFonts w:hint="eastAsia" w:ascii="宋体" w:hAnsi="宋体" w:eastAsia="宋体" w:cs="宋体"/>
          <w:iCs/>
          <w:color w:val="auto"/>
          <w:sz w:val="32"/>
          <w:szCs w:val="32"/>
          <w:highlight w:val="none"/>
          <w:u w:val="single"/>
        </w:rPr>
        <w:t xml:space="preserve">八、投标函</w:t>
      </w:r>
      <w:bookmarkEnd w:id="124"/>
      <w:r/>
      <w:bookmarkEnd w:id="125"/>
      <w:r/>
      <w:bookmarkEnd w:id="126"/>
      <w:r/>
      <w:bookmarkEnd w:id="127"/>
      <w:r/>
      <w:r/>
    </w:p>
    <w:p>
      <w:pPr>
        <w:jc w:val="left"/>
        <w:spacing w:line="42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连云港市海州区新坝镇人民政府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九、中小企业声明函（货物）</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本公司（联合体）郑重声明，根据《政府采购促进中小企业发展管理办法》(财库[2020]46号)的规定，本公司（联合体）参加采购人组织的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1"/>
          <w:highlight w:val="none"/>
        </w:rPr>
        <w:t xml:space="preserve">________年____月____日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如实填写，所填内容须与报价明细表一致，如填写不完整或不一致或填写有误或未提供此声明函，将不享受扶持政策。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备注3：中标人的《中小企业声明函》随中标结果公开。</w:t>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87" w:firstLine="624"/>
        <w:jc w:val="center"/>
        <w:spacing w:line="588" w:lineRule="exact"/>
        <w:tabs>
          <w:tab w:val="left" w:pos="4860" w:leader="none"/>
          <w:tab w:val="left" w:pos="882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全称（加盖公章）：</w:t>
      </w:r>
      <w:r/>
    </w:p>
    <w:p>
      <w:pPr>
        <w:ind w:right="1560" w:firstLine="480"/>
        <w:jc w:val="center"/>
        <w:spacing w:line="588" w:lineRule="exact"/>
        <w:tabs>
          <w:tab w:val="left" w:pos="4860" w:leader="none"/>
        </w:tabs>
        <w:rPr>
          <w:rFonts w:hint="eastAsia" w:ascii="宋体" w:hAnsi="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日  期：</w:t>
      </w:r>
      <w:r>
        <w:rPr>
          <w:rFonts w:hint="eastAsia" w:ascii="宋体" w:hAnsi="宋体" w:eastAsia="宋体" w:cs="宋体"/>
          <w:color w:val="auto"/>
          <w:sz w:val="24"/>
          <w:szCs w:val="21"/>
          <w:highlight w:val="none"/>
          <w:lang w:val="en-US" w:eastAsia="zh-CN" w:bidi="ar-SA"/>
        </w:rPr>
        <w:t xml:space="preserve">________年____月____日</w:t>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val="0"/>
        <w:keepNext w:val="0"/>
        <w:pageBreakBefore/>
        <w:spacing w:line="360" w:lineRule="auto"/>
        <w:widowControl w:val="off"/>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十一、投标分项报价表</w:t>
      </w:r>
      <w:r/>
    </w:p>
    <w:p>
      <w:pPr>
        <w:jc w:val="center"/>
        <w:spacing w:line="360" w:lineRule="auto"/>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65"/>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915"/>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规格型号</w:t>
            </w:r>
            <w:r/>
          </w:p>
        </w:tc>
        <w:tc>
          <w:tcPr>
            <w:tcW w:w="91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5"/>
            <w:tcW w:w="4269"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总计（元）</w:t>
            </w:r>
            <w:r/>
          </w:p>
        </w:tc>
        <w:tc>
          <w:tcPr>
            <w:gridSpan w:val="6"/>
            <w:tcW w:w="5030"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11"/>
            <w:tcW w:w="9299"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该部分供应商填写）</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备注：1.投标报价</w:t>
      </w:r>
      <w:r>
        <w:rPr>
          <w:rFonts w:hint="eastAsia" w:ascii="宋体" w:hAnsi="宋体" w:eastAsia="宋体" w:cs="宋体"/>
          <w:color w:val="auto"/>
          <w:sz w:val="24"/>
          <w:szCs w:val="21"/>
          <w:highlight w:val="none"/>
        </w:rPr>
        <w:t xml:space="preserve">采用总包方式，“投标总报价”应涵盖采购人在招标文件中所要求的所有工作内容。包含了</w:t>
      </w:r>
      <w:r>
        <w:rPr>
          <w:rFonts w:hint="eastAsia" w:ascii="宋体" w:hAnsi="宋体" w:eastAsia="宋体" w:cs="宋体"/>
          <w:color w:val="auto"/>
          <w:sz w:val="24"/>
          <w:szCs w:val="24"/>
          <w:highlight w:val="none"/>
        </w:rPr>
        <w:t xml:space="preserve">全部设备、材料备品备件、包装费、运杂费（运抵现场）、卸货费、现场保管费、运输保险费、成品保护费、安装费、调试费、项目集成及数据迁移服务、售后服务、各项有关规费和政策性规定费用及</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确认为需要的其它费用等，直至交付至采购人使用时所需要的各种费用。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投标分项报价表</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中“投标总报价”数额应当与“开标一览表”中“投标总报价”数额一致。</w:t>
      </w:r>
      <w:r/>
    </w:p>
    <w:p>
      <w:pPr>
        <w:pStyle w:val="10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二</w:t>
      </w:r>
      <w:r>
        <w:rPr>
          <w:rFonts w:hint="eastAsia" w:ascii="宋体" w:hAnsi="宋体" w:eastAsia="宋体" w:cs="宋体"/>
          <w:iCs/>
          <w:color w:val="auto"/>
          <w:sz w:val="32"/>
          <w:szCs w:val="32"/>
          <w:highlight w:val="none"/>
          <w:u w:val="single"/>
        </w:rPr>
        <w:t xml:space="preserve">、关于符合本国产品标准的声明函</w:t>
      </w:r>
      <w:r/>
    </w:p>
    <w:p>
      <w:pPr>
        <w:ind w:firstLine="420"/>
        <w:jc w:val="left"/>
        <w:spacing w:before="0" w:beforeAutospacing="0" w:after="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5"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6"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7"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8"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9"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10"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11"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2"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13"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w:t>
      </w:r>
      <w:r>
        <w:rPr>
          <w:rFonts w:hint="eastAsia" w:ascii="宋体" w:hAnsi="宋体" w:eastAsia="宋体" w:cs="宋体"/>
          <w:color w:val="auto"/>
          <w:sz w:val="24"/>
          <w:szCs w:val="24"/>
          <w:highlight w:val="none"/>
          <w:shd w:val="clear" w:color="auto" w:fill="ffffff"/>
          <w:lang w:val="en-US" w:eastAsia="zh-CN" w:bidi="ar-SA"/>
        </w:rPr>
        <w:t xml:space="preserve">《声明函》或有关证明文件</w:t>
      </w:r>
      <w:r>
        <w:rPr>
          <w:rFonts w:hint="eastAsia" w:ascii="宋体" w:hAnsi="宋体" w:eastAsia="宋体" w:cs="宋体"/>
          <w:color w:val="auto"/>
          <w:sz w:val="24"/>
          <w:szCs w:val="24"/>
          <w:highlight w:val="none"/>
          <w:lang w:val="en-US" w:eastAsia="zh-CN" w:bidi="ar-SA"/>
        </w:rPr>
        <w:t xml:space="preserve">随中标结果公开，接受社会监督</w:t>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三</w:t>
      </w:r>
      <w:r>
        <w:rPr>
          <w:rFonts w:hint="eastAsia" w:ascii="宋体" w:hAnsi="宋体" w:eastAsia="宋体" w:cs="宋体"/>
          <w:iCs/>
          <w:color w:val="auto"/>
          <w:sz w:val="32"/>
          <w:szCs w:val="32"/>
          <w:highlight w:val="none"/>
          <w:u w:val="single"/>
        </w:rPr>
        <w:t xml:space="preserve">、技术要求响应及偏离表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按所响应产品的实际技术参数，逐条对应招标文件“项目需求”中要求的技术规范填写该表，该表不能作为所投标产品的技术文件，</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应在投标文件中单独提供技术文件。</w:t>
      </w:r>
      <w:r/>
    </w:p>
    <w:tbl>
      <w:tblPr>
        <w:tblStyle w:val="765"/>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123"/>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128" w:name="_Hlt26955054"/>
      <w:r/>
      <w:bookmarkEnd w:id="128"/>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w:t>
      </w:r>
      <w:r>
        <w:rPr>
          <w:rFonts w:hint="eastAsia" w:ascii="宋体" w:hAnsi="宋体" w:cs="宋体"/>
          <w:iCs/>
          <w:color w:val="auto"/>
          <w:sz w:val="32"/>
          <w:szCs w:val="32"/>
          <w:highlight w:val="none"/>
          <w:u w:val="single"/>
          <w:lang w:val="en-US" w:eastAsia="zh-CN"/>
        </w:rPr>
        <w:t xml:space="preserve">四</w:t>
      </w:r>
      <w:r>
        <w:rPr>
          <w:rFonts w:hint="eastAsia" w:ascii="宋体" w:hAnsi="宋体" w:eastAsia="宋体" w:cs="宋体"/>
          <w:iCs/>
          <w:color w:val="auto"/>
          <w:sz w:val="32"/>
          <w:szCs w:val="32"/>
          <w:highlight w:val="none"/>
          <w:u w:val="single"/>
        </w:rPr>
        <w:t xml:space="preserve">、商务要求响应及偏离表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765"/>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29" w:name="_Hlt26955064"/>
            <w:r/>
            <w:bookmarkEnd w:id="129"/>
            <w:r/>
            <w:bookmarkStart w:id="130" w:name="_Hlt24879081"/>
            <w:r/>
            <w:bookmarkEnd w:id="130"/>
            <w:r/>
            <w:bookmarkStart w:id="131" w:name="_Hlt26671372"/>
            <w:r/>
            <w:bookmarkEnd w:id="131"/>
            <w:r/>
            <w:bookmarkStart w:id="132" w:name="_Hlt26580838"/>
            <w:r/>
            <w:bookmarkEnd w:id="132"/>
            <w:r/>
            <w:bookmarkStart w:id="133" w:name="_Hlt26671343"/>
            <w:r/>
            <w:bookmarkEnd w:id="133"/>
            <w:r/>
            <w:bookmarkStart w:id="134" w:name="_Hlt26609391"/>
            <w:r/>
            <w:bookmarkEnd w:id="134"/>
            <w:r/>
            <w:bookmarkStart w:id="135" w:name="_Hlt26955056"/>
            <w:r/>
            <w:bookmarkEnd w:id="135"/>
            <w:r/>
            <w:bookmarkStart w:id="136" w:name="_Hlt26782999"/>
            <w:r/>
            <w:bookmarkEnd w:id="136"/>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104"/>
      <w:bookmarkEnd w:id="105"/>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137" w:name="_Hlt26955066"/>
      <w:r/>
      <w:bookmarkEnd w:id="137"/>
      <w:r/>
      <w:bookmarkStart w:id="138" w:name="_格式2__法定代表人授权书"/>
      <w:r/>
      <w:bookmarkEnd w:id="138"/>
      <w:r/>
      <w:bookmarkStart w:id="139" w:name="_Hlt26609389"/>
      <w:r/>
      <w:bookmarkEnd w:id="139"/>
      <w:r/>
      <w:bookmarkStart w:id="140" w:name="_Hlt26671374"/>
      <w:r/>
      <w:bookmarkEnd w:id="140"/>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十五、</w:t>
      </w:r>
      <w:r>
        <w:rPr>
          <w:rFonts w:hint="eastAsia" w:ascii="宋体" w:hAnsi="宋体" w:eastAsia="宋体" w:cs="宋体"/>
          <w:iCs/>
          <w:color w:val="auto"/>
          <w:sz w:val="32"/>
          <w:szCs w:val="32"/>
          <w:highlight w:val="none"/>
          <w:u w:val="single"/>
        </w:rPr>
        <w:t xml:space="preserve">类似项目业绩一览表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bookmarkStart w:id="141" w:name="_Toc3159"/>
      <w:r/>
      <w:bookmarkStart w:id="142" w:name="_Toc32402"/>
      <w:r/>
      <w:bookmarkStart w:id="143" w:name="_Toc5862"/>
      <w:r/>
      <w:bookmarkStart w:id="144" w:name="_Toc29325"/>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六</w:t>
      </w:r>
      <w:r>
        <w:rPr>
          <w:rFonts w:hint="eastAsia" w:ascii="宋体" w:hAnsi="宋体" w:eastAsia="宋体" w:cs="宋体"/>
          <w:iCs/>
          <w:color w:val="auto"/>
          <w:sz w:val="32"/>
          <w:szCs w:val="32"/>
          <w:highlight w:val="none"/>
          <w:u w:val="single"/>
        </w:rPr>
        <w:t xml:space="preserve">、开标一览表</w:t>
      </w:r>
      <w:bookmarkEnd w:id="141"/>
      <w:r/>
      <w:bookmarkEnd w:id="142"/>
      <w:r/>
      <w:bookmarkEnd w:id="143"/>
      <w:r/>
      <w:bookmarkEnd w:id="144"/>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全称（盖章）：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r/>
    </w:p>
    <w:tbl>
      <w:tblPr>
        <w:tblStyle w:val="765"/>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tcW w:w="24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640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lang w:eastAsia="zh-CN"/>
              </w:rPr>
              <w:t xml:space="preserve">）</w:t>
            </w:r>
            <w:r/>
          </w:p>
        </w:tc>
      </w:tr>
      <w:tr>
        <w:trPr>
          <w:cantSplit/>
          <w:trHeight w:val="612"/>
        </w:trPr>
        <w:tc>
          <w:tcPr>
            <w:tcW w:w="24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6405" w:type="dxa"/>
            <w:vAlign w:val="center"/>
            <w:textDirection w:val="lrTb"/>
            <w:noWrap w:val="false"/>
          </w:tcPr>
          <w:p>
            <w:pPr>
              <w:ind w:firstLine="96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trHeight w:val="612"/>
        </w:trPr>
        <w:tc>
          <w:tcPr>
            <w:tcW w:w="24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核心产品</w:t>
            </w:r>
            <w:r/>
          </w:p>
        </w:tc>
        <w:tc>
          <w:tcPr>
            <w:tcW w:w="640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145" w:name="_Toc2804"/>
      <w:r/>
      <w:bookmarkStart w:id="146" w:name="_Toc1791"/>
      <w:r/>
      <w:bookmarkStart w:id="147" w:name="_Toc9165"/>
      <w:r/>
      <w:bookmarkStart w:id="148" w:name="_Toc21690"/>
      <w:r/>
      <w:r/>
    </w:p>
    <w:p>
      <w:pPr>
        <w:pStyle w:val="1061"/>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bookmarkEnd w:id="145"/>
      <w:bookmarkEnd w:id="146"/>
      <w:bookmarkEnd w:id="147"/>
      <w:bookmarkEnd w:id="148"/>
      <w:r/>
    </w:p>
    <w:p>
      <w:pPr>
        <w:pStyle w:val="1060"/>
        <w:jc w:val="center"/>
        <w:keepLines w:val="0"/>
        <w:keepNext w:val="0"/>
        <w:pageBreakBefore/>
        <w:widowControl w:val="off"/>
        <w:rPr>
          <w:rFonts w:hint="eastAsia" w:ascii="宋体" w:hAnsi="宋体" w:eastAsia="宋体" w:cs="宋体"/>
          <w:iCs/>
          <w:color w:val="auto"/>
          <w:sz w:val="32"/>
          <w:szCs w:val="32"/>
          <w:highlight w:val="none"/>
          <w:u w:val="single"/>
        </w:rPr>
      </w:pPr>
      <w:r/>
      <w:bookmarkStart w:id="149" w:name="_Toc3639"/>
      <w:r/>
      <w:bookmarkStart w:id="150" w:name="_Toc15108"/>
      <w:r/>
      <w:bookmarkStart w:id="151" w:name="_Toc5271"/>
      <w:r/>
      <w:bookmarkStart w:id="152" w:name="_Toc2861"/>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149"/>
      <w:r/>
      <w:bookmarkEnd w:id="150"/>
      <w:r/>
      <w:bookmarkEnd w:id="151"/>
      <w:r/>
      <w:bookmarkEnd w:id="152"/>
      <w:r>
        <w:rPr>
          <w:rFonts w:hint="eastAsia" w:ascii="宋体" w:hAnsi="宋体" w:eastAsia="宋体" w:cs="宋体"/>
          <w:iCs/>
          <w:color w:val="auto"/>
          <w:sz w:val="32"/>
          <w:szCs w:val="32"/>
          <w:highlight w:val="none"/>
          <w:u w:val="single"/>
        </w:rPr>
        <w:t xml:space="preserve">其他材料</w:t>
      </w:r>
      <w:r/>
    </w:p>
    <w:p>
      <w:pPr>
        <w:pStyle w:val="106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10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6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0"/>
      </w:pPr>
      <w:r>
        <w:rPr>
          <w:rFonts w:hint="eastAsia" w:ascii="宋体" w:hAnsi="宋体" w:eastAsia="宋体" w:cs="宋体"/>
          <w:b/>
          <w:bCs/>
          <w:color w:val="auto"/>
          <w:spacing w:val="8"/>
          <w:sz w:val="24"/>
          <w:szCs w:val="24"/>
          <w:highlight w:val="none"/>
        </w:rPr>
        <w:t xml:space="preserve">注：</w:t>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晰的表明需要明示的内容，否则由此引起后果自行承担。</w:t>
      </w:r>
      <w:r/>
    </w:p>
    <w:p>
      <w:pPr>
        <w:pStyle w:val="1109"/>
        <w:rPr>
          <w:rFonts w:hint="eastAsia" w:ascii="宋体" w:hAnsi="宋体" w:eastAsia="宋体" w:cs="宋体"/>
          <w:b/>
          <w:bCs/>
          <w:color w:val="auto"/>
          <w:spacing w:val="8"/>
          <w:szCs w:val="24"/>
          <w:highlight w:val="none"/>
        </w:r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pStyle w:val="1109"/>
        <w:rPr>
          <w:rFonts w:hint="eastAsia" w:ascii="宋体" w:hAnsi="宋体" w:eastAsia="宋体" w:cs="宋体"/>
          <w:b/>
          <w:bCs/>
          <w:color w:val="auto"/>
          <w:spacing w:val="8"/>
          <w:szCs w:val="24"/>
          <w:highlight w:val="none"/>
        </w:rPr>
      </w:pPr>
      <w:r>
        <w:rPr>
          <w:rFonts w:hint="eastAsia" w:ascii="宋体" w:hAnsi="宋体" w:eastAsia="宋体" w:cs="宋体"/>
          <w:b/>
          <w:bCs/>
          <w:color w:val="auto"/>
          <w:spacing w:val="8"/>
          <w:szCs w:val="24"/>
          <w:highlight w:val="none"/>
        </w:rPr>
      </w:r>
      <w:r/>
    </w:p>
    <w:p>
      <w:pPr>
        <w:pStyle w:val="1109"/>
        <w:rPr>
          <w:rFonts w:hint="eastAsia" w:ascii="宋体" w:hAnsi="宋体" w:eastAsia="宋体" w:cs="宋体"/>
          <w:b/>
          <w:bCs/>
          <w:color w:val="auto"/>
          <w:spacing w:val="8"/>
          <w:szCs w:val="2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bCs/>
          <w:color w:val="auto"/>
          <w:spacing w:val="8"/>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898"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4689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6pt;height:12.1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467" cy="153339"/>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3746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8pt;height:12.1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1180" cy="153339"/>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0" flipV="0">
                        <a:off x="0" y="0"/>
                        <a:ext cx="13118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3pt;height:12.1pt;mso-wrap-distance-left:9.0pt;mso-wrap-distance-top:0.0pt;mso-wrap-distance-right:9.0pt;mso-wrap-distance-bottom:0.0pt;v-text-anchor:top;visibility:visible;" filled="f" stroked="f" strokeweight="0.50pt">
              <v:textbox inset="0,0,0,0">
                <w:txbxContent>
                  <w:p>
                    <w:pPr>
                      <w:pStyle w:val="777"/>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1</w:t>
    </w:r>
    <w:r>
      <w:fldChar w:fldCharType="end"/>
    </w:r>
    <w:r/>
  </w:p>
  <w:p>
    <w:pPr>
      <w:pStyle w:val="10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0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pStyle w:val="10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62"/>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2"/>
      <w:isLgl w:val="false"/>
      <w:suff w:val="nothing"/>
      <w:lvlText w:val=""/>
      <w:lvlJc w:val="left"/>
      <w:pPr>
        <w:ind w:left="0" w:firstLine="0"/>
      </w:pPr>
      <w:rPr>
        <w:rFonts w:hint="eastAsia"/>
      </w:rPr>
    </w:lvl>
    <w:lvl w:ilvl="6">
      <w:start w:val="1"/>
      <w:numFmt w:val="decimal"/>
      <w:pStyle w:val="993"/>
      <w:isLgl w:val="false"/>
      <w:suff w:val="nothing"/>
      <w:lvlText w:val=""/>
      <w:lvlJc w:val="left"/>
      <w:pPr>
        <w:ind w:left="0" w:firstLine="0"/>
      </w:pPr>
      <w:rPr>
        <w:rFonts w:hint="eastAsia"/>
      </w:rPr>
    </w:lvl>
    <w:lvl w:ilvl="7">
      <w:start w:val="1"/>
      <w:numFmt w:val="decimal"/>
      <w:pStyle w:val="994"/>
      <w:isLgl w:val="false"/>
      <w:suff w:val="nothing"/>
      <w:lvlText w:val=""/>
      <w:lvlJc w:val="left"/>
      <w:pPr>
        <w:ind w:left="0" w:firstLine="0"/>
      </w:pPr>
      <w:rPr>
        <w:rFonts w:hint="eastAsia"/>
      </w:rPr>
    </w:lvl>
    <w:lvl w:ilvl="8">
      <w:start w:val="1"/>
      <w:numFmt w:val="decimal"/>
      <w:pStyle w:val="995"/>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7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5">
    <w:name w:val="Heading 1"/>
    <w:basedOn w:val="754"/>
    <w:next w:val="754"/>
    <w:link w:val="839"/>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840"/>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41"/>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842"/>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843"/>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844"/>
    <w:uiPriority w:val="9"/>
    <w:unhideWhenUsed/>
    <w:qFormat/>
    <w:pPr>
      <w:keepLines/>
      <w:keepNext/>
      <w:spacing w:before="320" w:after="200"/>
      <w:outlineLvl w:val="5"/>
    </w:pPr>
    <w:rPr>
      <w:rFonts w:ascii="Arial" w:hAnsi="Arial" w:eastAsia="Arial" w:cs="Arial"/>
      <w:b/>
      <w:bCs/>
      <w:sz w:val="22"/>
    </w:rPr>
  </w:style>
  <w:style w:type="paragraph" w:styleId="761">
    <w:name w:val="Heading 7"/>
    <w:basedOn w:val="754"/>
    <w:next w:val="754"/>
    <w:link w:val="845"/>
    <w:uiPriority w:val="9"/>
    <w:unhideWhenUsed/>
    <w:qFormat/>
    <w:pPr>
      <w:keepLines/>
      <w:keepNext/>
      <w:spacing w:before="320" w:after="200"/>
      <w:outlineLvl w:val="6"/>
    </w:pPr>
    <w:rPr>
      <w:rFonts w:ascii="Arial" w:hAnsi="Arial" w:eastAsia="Arial" w:cs="Arial"/>
      <w:b/>
      <w:bCs/>
      <w:i/>
      <w:iCs/>
      <w:sz w:val="22"/>
    </w:rPr>
  </w:style>
  <w:style w:type="paragraph" w:styleId="762">
    <w:name w:val="Heading 8"/>
    <w:basedOn w:val="754"/>
    <w:next w:val="754"/>
    <w:link w:val="846"/>
    <w:uiPriority w:val="9"/>
    <w:unhideWhenUsed/>
    <w:qFormat/>
    <w:pPr>
      <w:keepLines/>
      <w:keepNext/>
      <w:spacing w:before="320" w:after="200"/>
      <w:outlineLvl w:val="7"/>
    </w:pPr>
    <w:rPr>
      <w:rFonts w:ascii="Arial" w:hAnsi="Arial" w:eastAsia="Arial" w:cs="Arial"/>
      <w:i/>
      <w:iCs/>
      <w:sz w:val="22"/>
    </w:rPr>
  </w:style>
  <w:style w:type="paragraph" w:styleId="763">
    <w:name w:val="Heading 9"/>
    <w:basedOn w:val="754"/>
    <w:next w:val="754"/>
    <w:link w:val="847"/>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54"/>
    <w:link w:val="1115"/>
    <w:uiPriority w:val="99"/>
    <w:semiHidden/>
    <w:unhideWhenUsed/>
    <w:qFormat/>
    <w:pPr>
      <w:jc w:val="left"/>
    </w:pPr>
  </w:style>
  <w:style w:type="paragraph" w:styleId="769">
    <w:name w:val="Body Text"/>
    <w:basedOn w:val="754"/>
    <w:next w:val="754"/>
    <w:uiPriority w:val="0"/>
    <w:semiHidden/>
    <w:qFormat/>
    <w:rPr>
      <w:rFonts w:ascii="黑体" w:hAnsi="黑体" w:eastAsia="黑体" w:cs="黑体"/>
      <w:sz w:val="21"/>
      <w:szCs w:val="21"/>
      <w:lang w:val="en-US" w:eastAsia="en-US" w:bidi="ar-SA"/>
    </w:rPr>
  </w:style>
  <w:style w:type="paragraph" w:styleId="770">
    <w:name w:val="Body Text Indent"/>
    <w:basedOn w:val="754"/>
    <w:next w:val="771"/>
    <w:uiPriority w:val="0"/>
    <w:qFormat/>
    <w:pPr>
      <w:ind w:firstLine="645"/>
    </w:pPr>
    <w:rPr>
      <w:rFonts w:ascii="楷体_GB2312" w:eastAsia="楷体_GB2312"/>
      <w:sz w:val="32"/>
      <w:szCs w:val="20"/>
    </w:rPr>
  </w:style>
  <w:style w:type="paragraph" w:styleId="771">
    <w:name w:val="envelope return"/>
    <w:basedOn w:val="754"/>
    <w:uiPriority w:val="0"/>
    <w:qFormat/>
    <w:pPr>
      <w:jc w:val="left"/>
      <w:spacing w:after="200"/>
      <w:widowControl/>
    </w:pPr>
    <w:rPr>
      <w:rFonts w:ascii="Arial" w:hAnsi="Arial" w:eastAsia="微软雅黑"/>
      <w:sz w:val="22"/>
    </w:rPr>
  </w:style>
  <w:style w:type="paragraph" w:styleId="772">
    <w:name w:val="toc 5"/>
    <w:basedOn w:val="754"/>
    <w:next w:val="754"/>
    <w:uiPriority w:val="39"/>
    <w:unhideWhenUsed/>
    <w:qFormat/>
    <w:pPr>
      <w:ind w:left="1134"/>
      <w:spacing w:after="57"/>
    </w:pPr>
  </w:style>
  <w:style w:type="paragraph" w:styleId="773">
    <w:name w:val="toc 3"/>
    <w:basedOn w:val="754"/>
    <w:next w:val="754"/>
    <w:uiPriority w:val="39"/>
    <w:unhideWhenUsed/>
    <w:qFormat/>
    <w:pPr>
      <w:ind w:left="567"/>
      <w:spacing w:after="57"/>
    </w:pPr>
  </w:style>
  <w:style w:type="paragraph" w:styleId="774">
    <w:name w:val="Plain Text"/>
    <w:basedOn w:val="754"/>
    <w:uiPriority w:val="99"/>
    <w:qFormat/>
    <w:pPr>
      <w:spacing w:before="156" w:after="156" w:line="400" w:lineRule="exact"/>
    </w:pPr>
    <w:rPr>
      <w:rFonts w:ascii="宋体" w:hAnsi="Courier New"/>
      <w:sz w:val="24"/>
      <w:szCs w:val="20"/>
    </w:rPr>
  </w:style>
  <w:style w:type="paragraph" w:styleId="775">
    <w:name w:val="toc 8"/>
    <w:basedOn w:val="754"/>
    <w:next w:val="754"/>
    <w:uiPriority w:val="39"/>
    <w:unhideWhenUsed/>
    <w:qFormat/>
    <w:pPr>
      <w:ind w:left="1984"/>
      <w:spacing w:after="57"/>
    </w:pPr>
  </w:style>
  <w:style w:type="paragraph" w:styleId="776">
    <w:name w:val="endnote text"/>
    <w:basedOn w:val="754"/>
    <w:link w:val="984"/>
    <w:uiPriority w:val="99"/>
    <w:semiHidden/>
    <w:unhideWhenUsed/>
    <w:qFormat/>
    <w:rPr>
      <w:sz w:val="20"/>
    </w:rPr>
  </w:style>
  <w:style w:type="paragraph" w:styleId="777">
    <w:name w:val="Footer"/>
    <w:basedOn w:val="754"/>
    <w:link w:val="857"/>
    <w:uiPriority w:val="99"/>
    <w:unhideWhenUsed/>
    <w:qFormat/>
    <w:pPr>
      <w:tabs>
        <w:tab w:val="center" w:pos="7143" w:leader="none"/>
        <w:tab w:val="right" w:pos="14287" w:leader="none"/>
      </w:tabs>
    </w:pPr>
  </w:style>
  <w:style w:type="paragraph" w:styleId="778">
    <w:name w:val="Header"/>
    <w:basedOn w:val="754"/>
    <w:link w:val="855"/>
    <w:uiPriority w:val="99"/>
    <w:unhideWhenUsed/>
    <w:qFormat/>
    <w:pPr>
      <w:tabs>
        <w:tab w:val="center" w:pos="7143" w:leader="none"/>
        <w:tab w:val="right" w:pos="14287" w:leader="none"/>
      </w:tabs>
    </w:pPr>
  </w:style>
  <w:style w:type="paragraph" w:styleId="779">
    <w:name w:val="toc 1"/>
    <w:basedOn w:val="754"/>
    <w:next w:val="754"/>
    <w:uiPriority w:val="39"/>
    <w:unhideWhenUsed/>
    <w:qFormat/>
    <w:pPr>
      <w:spacing w:after="57"/>
    </w:pPr>
  </w:style>
  <w:style w:type="paragraph" w:styleId="780">
    <w:name w:val="toc 4"/>
    <w:basedOn w:val="754"/>
    <w:next w:val="754"/>
    <w:uiPriority w:val="39"/>
    <w:unhideWhenUsed/>
    <w:qFormat/>
    <w:pPr>
      <w:ind w:left="850"/>
      <w:spacing w:after="57"/>
    </w:pPr>
  </w:style>
  <w:style w:type="paragraph" w:styleId="781">
    <w:name w:val="Subtitle"/>
    <w:basedOn w:val="754"/>
    <w:next w:val="754"/>
    <w:link w:val="850"/>
    <w:uiPriority w:val="11"/>
    <w:qFormat/>
    <w:pPr>
      <w:spacing w:before="200" w:after="200"/>
    </w:pPr>
    <w:rPr>
      <w:sz w:val="24"/>
      <w:szCs w:val="24"/>
    </w:rPr>
  </w:style>
  <w:style w:type="paragraph" w:styleId="782">
    <w:name w:val="footnote text"/>
    <w:basedOn w:val="754"/>
    <w:link w:val="983"/>
    <w:uiPriority w:val="99"/>
    <w:semiHidden/>
    <w:unhideWhenUsed/>
    <w:qFormat/>
    <w:pPr>
      <w:spacing w:after="40"/>
    </w:pPr>
    <w:rPr>
      <w:sz w:val="18"/>
    </w:rPr>
  </w:style>
  <w:style w:type="paragraph" w:styleId="783">
    <w:name w:val="toc 6"/>
    <w:basedOn w:val="754"/>
    <w:next w:val="754"/>
    <w:uiPriority w:val="39"/>
    <w:unhideWhenUsed/>
    <w:qFormat/>
    <w:pPr>
      <w:ind w:left="1417"/>
      <w:spacing w:after="57"/>
    </w:pPr>
  </w:style>
  <w:style w:type="paragraph" w:styleId="784">
    <w:name w:val="table of figures"/>
    <w:basedOn w:val="754"/>
    <w:next w:val="754"/>
    <w:uiPriority w:val="99"/>
    <w:unhideWhenUsed/>
    <w:qFormat/>
  </w:style>
  <w:style w:type="paragraph" w:styleId="785">
    <w:name w:val="toc 2"/>
    <w:basedOn w:val="754"/>
    <w:next w:val="754"/>
    <w:uiPriority w:val="39"/>
    <w:unhideWhenUsed/>
    <w:qFormat/>
    <w:pPr>
      <w:ind w:left="283"/>
      <w:spacing w:after="57"/>
    </w:pPr>
  </w:style>
  <w:style w:type="paragraph" w:styleId="786">
    <w:name w:val="toc 9"/>
    <w:basedOn w:val="754"/>
    <w:next w:val="754"/>
    <w:uiPriority w:val="39"/>
    <w:unhideWhenUsed/>
    <w:qFormat/>
    <w:pPr>
      <w:ind w:left="2268"/>
      <w:spacing w:after="57"/>
    </w:pPr>
  </w:style>
  <w:style w:type="paragraph" w:styleId="787">
    <w:name w:val="Normal (Web)"/>
    <w:basedOn w:val="754"/>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88">
    <w:name w:val="Title"/>
    <w:basedOn w:val="754"/>
    <w:next w:val="754"/>
    <w:link w:val="849"/>
    <w:uiPriority w:val="10"/>
    <w:qFormat/>
    <w:pPr>
      <w:contextualSpacing/>
      <w:spacing w:before="300" w:after="200"/>
    </w:pPr>
    <w:rPr>
      <w:sz w:val="48"/>
      <w:szCs w:val="48"/>
    </w:rPr>
  </w:style>
  <w:style w:type="paragraph" w:styleId="789">
    <w:name w:val="annotation subject"/>
    <w:basedOn w:val="768"/>
    <w:next w:val="768"/>
    <w:link w:val="1116"/>
    <w:uiPriority w:val="99"/>
    <w:semiHidden/>
    <w:unhideWhenUsed/>
    <w:qFormat/>
    <w:rPr>
      <w:b/>
      <w:bCs/>
    </w:rPr>
  </w:style>
  <w:style w:type="paragraph" w:styleId="790">
    <w:name w:val="Body Text First Indent 2"/>
    <w:basedOn w:val="770"/>
    <w:uiPriority w:val="99"/>
    <w:qFormat/>
    <w:pPr>
      <w:ind w:left="420" w:firstLine="420"/>
      <w:spacing w:after="120"/>
      <w:tabs>
        <w:tab w:val="left" w:pos="1080" w:leader="none"/>
      </w:tabs>
    </w:pPr>
    <w:rPr>
      <w:rFonts w:ascii="Times New Roman"/>
      <w:szCs w:val="24"/>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4"/>
    <w:uiPriority w:val="22"/>
    <w:qFormat/>
    <w:rPr>
      <w:b/>
    </w:rPr>
  </w:style>
  <w:style w:type="character" w:styleId="793">
    <w:name w:val="endnote reference"/>
    <w:uiPriority w:val="99"/>
    <w:semiHidden/>
    <w:unhideWhenUsed/>
    <w:qFormat/>
    <w:rPr>
      <w:vertAlign w:val="superscript"/>
    </w:rPr>
  </w:style>
  <w:style w:type="character" w:styleId="794">
    <w:name w:val="FollowedHyperlink"/>
    <w:basedOn w:val="764"/>
    <w:uiPriority w:val="99"/>
    <w:semiHidden/>
    <w:unhideWhenUsed/>
    <w:qFormat/>
    <w:rPr>
      <w:color w:val="800080"/>
      <w:u w:val="single"/>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4"/>
    <w:uiPriority w:val="99"/>
    <w:semiHidden/>
    <w:unhideWhenUsed/>
    <w:qFormat/>
    <w:rPr>
      <w:sz w:val="21"/>
      <w:szCs w:val="21"/>
    </w:rPr>
  </w:style>
  <w:style w:type="character" w:styleId="797">
    <w:name w:val="footnote reference"/>
    <w:uiPriority w:val="99"/>
    <w:unhideWhenUsed/>
    <w:qFormat/>
    <w:rPr>
      <w:vertAlign w:val="superscript"/>
    </w:rPr>
  </w:style>
  <w:style w:type="character" w:styleId="798" w:customStyle="1">
    <w:name w:val="Heading 1 Char"/>
    <w:basedOn w:val="764"/>
    <w:uiPriority w:val="9"/>
    <w:qFormat/>
    <w:rPr>
      <w:rFonts w:ascii="Arial" w:hAnsi="Arial" w:eastAsia="Arial" w:cs="Arial"/>
      <w:sz w:val="40"/>
      <w:szCs w:val="40"/>
    </w:rPr>
  </w:style>
  <w:style w:type="character" w:styleId="799" w:customStyle="1">
    <w:name w:val="Heading 2 Char"/>
    <w:basedOn w:val="764"/>
    <w:uiPriority w:val="9"/>
    <w:qFormat/>
    <w:rPr>
      <w:rFonts w:ascii="Arial" w:hAnsi="Arial" w:eastAsia="Arial" w:cs="Arial"/>
      <w:sz w:val="34"/>
    </w:rPr>
  </w:style>
  <w:style w:type="character" w:styleId="800" w:customStyle="1">
    <w:name w:val="Heading 3 Char"/>
    <w:basedOn w:val="764"/>
    <w:uiPriority w:val="9"/>
    <w:qFormat/>
    <w:rPr>
      <w:rFonts w:ascii="Arial" w:hAnsi="Arial" w:eastAsia="Arial" w:cs="Arial"/>
      <w:sz w:val="30"/>
      <w:szCs w:val="30"/>
    </w:rPr>
  </w:style>
  <w:style w:type="character" w:styleId="801" w:customStyle="1">
    <w:name w:val="Heading 4 Char"/>
    <w:basedOn w:val="764"/>
    <w:uiPriority w:val="9"/>
    <w:qFormat/>
    <w:rPr>
      <w:rFonts w:ascii="Arial" w:hAnsi="Arial" w:eastAsia="Arial" w:cs="Arial"/>
      <w:b/>
      <w:bCs/>
      <w:sz w:val="26"/>
      <w:szCs w:val="26"/>
    </w:rPr>
  </w:style>
  <w:style w:type="character" w:styleId="802" w:customStyle="1">
    <w:name w:val="Heading 5 Char"/>
    <w:basedOn w:val="764"/>
    <w:uiPriority w:val="9"/>
    <w:qFormat/>
    <w:rPr>
      <w:rFonts w:ascii="Arial" w:hAnsi="Arial" w:eastAsia="Arial" w:cs="Arial"/>
      <w:b/>
      <w:bCs/>
      <w:sz w:val="24"/>
      <w:szCs w:val="24"/>
    </w:rPr>
  </w:style>
  <w:style w:type="character" w:styleId="803" w:customStyle="1">
    <w:name w:val="Heading 6 Char"/>
    <w:basedOn w:val="764"/>
    <w:uiPriority w:val="9"/>
    <w:qFormat/>
    <w:rPr>
      <w:rFonts w:ascii="Arial" w:hAnsi="Arial" w:eastAsia="Arial" w:cs="Arial"/>
      <w:b/>
      <w:bCs/>
      <w:sz w:val="22"/>
      <w:szCs w:val="22"/>
    </w:rPr>
  </w:style>
  <w:style w:type="character" w:styleId="804" w:customStyle="1">
    <w:name w:val="Heading 7 Char"/>
    <w:basedOn w:val="764"/>
    <w:uiPriority w:val="9"/>
    <w:qFormat/>
    <w:rPr>
      <w:rFonts w:ascii="Arial" w:hAnsi="Arial" w:eastAsia="Arial" w:cs="Arial"/>
      <w:b/>
      <w:bCs/>
      <w:i/>
      <w:iCs/>
      <w:sz w:val="22"/>
      <w:szCs w:val="22"/>
    </w:rPr>
  </w:style>
  <w:style w:type="character" w:styleId="805" w:customStyle="1">
    <w:name w:val="Heading 8 Char"/>
    <w:basedOn w:val="764"/>
    <w:uiPriority w:val="9"/>
    <w:qFormat/>
    <w:rPr>
      <w:rFonts w:ascii="Arial" w:hAnsi="Arial" w:eastAsia="Arial" w:cs="Arial"/>
      <w:i/>
      <w:iCs/>
      <w:sz w:val="22"/>
      <w:szCs w:val="22"/>
    </w:rPr>
  </w:style>
  <w:style w:type="character" w:styleId="806" w:customStyle="1">
    <w:name w:val="Heading 9 Char"/>
    <w:basedOn w:val="764"/>
    <w:uiPriority w:val="9"/>
    <w:qFormat/>
    <w:rPr>
      <w:rFonts w:ascii="Arial" w:hAnsi="Arial" w:eastAsia="Arial" w:cs="Arial"/>
      <w:i/>
      <w:iCs/>
      <w:sz w:val="21"/>
      <w:szCs w:val="21"/>
    </w:rPr>
  </w:style>
  <w:style w:type="character" w:styleId="807" w:customStyle="1">
    <w:name w:val="Title Char"/>
    <w:basedOn w:val="764"/>
    <w:uiPriority w:val="10"/>
    <w:qFormat/>
    <w:rPr>
      <w:sz w:val="48"/>
      <w:szCs w:val="48"/>
    </w:rPr>
  </w:style>
  <w:style w:type="character" w:styleId="808" w:customStyle="1">
    <w:name w:val="Subtitle Char"/>
    <w:basedOn w:val="764"/>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64"/>
    <w:uiPriority w:val="99"/>
    <w:qFormat/>
  </w:style>
  <w:style w:type="character" w:styleId="812" w:customStyle="1">
    <w:name w:val="Caption Char"/>
    <w:uiPriority w:val="99"/>
    <w:qFormat/>
  </w:style>
  <w:style w:type="table" w:styleId="813"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2" w:customStyle="1">
    <w:name w:val="Footnote Text Char"/>
    <w:uiPriority w:val="99"/>
    <w:qFormat/>
    <w:rPr>
      <w:sz w:val="18"/>
    </w:rPr>
  </w:style>
  <w:style w:type="character" w:styleId="833" w:customStyle="1">
    <w:name w:val="Endnote Text Char"/>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Body Text First Indent 21"/>
    <w:basedOn w:val="770"/>
    <w:uiPriority w:val="0"/>
    <w:qFormat/>
    <w:pPr>
      <w:ind w:firstLine="420"/>
    </w:pPr>
  </w:style>
  <w:style w:type="paragraph" w:styleId="836" w:customStyle="1">
    <w:name w:val="正文首行缩进 21"/>
    <w:basedOn w:val="837"/>
    <w:link w:val="1053"/>
    <w:uiPriority w:val="0"/>
    <w:qFormat/>
    <w:pPr>
      <w:ind w:left="0" w:firstLine="420"/>
      <w:spacing w:after="0" w:line="360" w:lineRule="auto"/>
    </w:pPr>
    <w:rPr>
      <w:rFonts w:ascii="宋体" w:hAnsi="宋体"/>
      <w:szCs w:val="20"/>
    </w:rPr>
  </w:style>
  <w:style w:type="paragraph" w:styleId="837" w:customStyle="1">
    <w:name w:val="正文文本缩进1"/>
    <w:basedOn w:val="754"/>
    <w:next w:val="838"/>
    <w:link w:val="1018"/>
    <w:uiPriority w:val="0"/>
    <w:unhideWhenUsed/>
    <w:qFormat/>
    <w:pPr>
      <w:ind w:left="420"/>
      <w:spacing w:after="120"/>
    </w:pPr>
  </w:style>
  <w:style w:type="paragraph" w:styleId="838" w:customStyle="1">
    <w:name w:val="寄信人地址1"/>
    <w:basedOn w:val="754"/>
    <w:uiPriority w:val="0"/>
    <w:qFormat/>
    <w:pPr>
      <w:jc w:val="left"/>
      <w:spacing w:after="200"/>
      <w:widowControl/>
    </w:pPr>
    <w:rPr>
      <w:rFonts w:ascii="Arial" w:hAnsi="Arial" w:eastAsia="微软雅黑"/>
      <w:sz w:val="22"/>
    </w:rPr>
  </w:style>
  <w:style w:type="character" w:styleId="839" w:customStyle="1">
    <w:name w:val="标题 1 字符1"/>
    <w:link w:val="755"/>
    <w:uiPriority w:val="9"/>
    <w:qFormat/>
    <w:rPr>
      <w:rFonts w:ascii="Arial" w:hAnsi="Arial" w:eastAsia="Arial" w:cs="Arial"/>
      <w:sz w:val="40"/>
      <w:szCs w:val="40"/>
    </w:rPr>
  </w:style>
  <w:style w:type="character" w:styleId="840" w:customStyle="1">
    <w:name w:val="标题 2 字符1"/>
    <w:link w:val="756"/>
    <w:uiPriority w:val="9"/>
    <w:qFormat/>
    <w:rPr>
      <w:rFonts w:ascii="Arial" w:hAnsi="Arial" w:eastAsia="Arial" w:cs="Arial"/>
      <w:sz w:val="34"/>
    </w:rPr>
  </w:style>
  <w:style w:type="character" w:styleId="841" w:customStyle="1">
    <w:name w:val="标题 3 字符1"/>
    <w:link w:val="757"/>
    <w:uiPriority w:val="9"/>
    <w:qFormat/>
    <w:rPr>
      <w:rFonts w:ascii="Arial" w:hAnsi="Arial" w:eastAsia="Arial" w:cs="Arial"/>
      <w:sz w:val="30"/>
      <w:szCs w:val="30"/>
    </w:rPr>
  </w:style>
  <w:style w:type="character" w:styleId="842" w:customStyle="1">
    <w:name w:val="标题 4 字符1"/>
    <w:link w:val="758"/>
    <w:uiPriority w:val="9"/>
    <w:qFormat/>
    <w:rPr>
      <w:rFonts w:ascii="Arial" w:hAnsi="Arial" w:eastAsia="Arial" w:cs="Arial"/>
      <w:b/>
      <w:bCs/>
      <w:sz w:val="26"/>
      <w:szCs w:val="26"/>
    </w:rPr>
  </w:style>
  <w:style w:type="character" w:styleId="843" w:customStyle="1">
    <w:name w:val="标题 5 字符1"/>
    <w:link w:val="759"/>
    <w:uiPriority w:val="9"/>
    <w:qFormat/>
    <w:rPr>
      <w:rFonts w:ascii="Arial" w:hAnsi="Arial" w:eastAsia="Arial" w:cs="Arial"/>
      <w:b/>
      <w:bCs/>
      <w:sz w:val="24"/>
      <w:szCs w:val="24"/>
    </w:rPr>
  </w:style>
  <w:style w:type="character" w:styleId="844" w:customStyle="1">
    <w:name w:val="标题 6 字符1"/>
    <w:link w:val="760"/>
    <w:uiPriority w:val="9"/>
    <w:qFormat/>
    <w:rPr>
      <w:rFonts w:ascii="Arial" w:hAnsi="Arial" w:eastAsia="Arial" w:cs="Arial"/>
      <w:b/>
      <w:bCs/>
      <w:sz w:val="22"/>
      <w:szCs w:val="22"/>
    </w:rPr>
  </w:style>
  <w:style w:type="character" w:styleId="845" w:customStyle="1">
    <w:name w:val="标题 7 字符1"/>
    <w:link w:val="761"/>
    <w:uiPriority w:val="9"/>
    <w:qFormat/>
    <w:rPr>
      <w:rFonts w:ascii="Arial" w:hAnsi="Arial" w:eastAsia="Arial" w:cs="Arial"/>
      <w:b/>
      <w:bCs/>
      <w:i/>
      <w:iCs/>
      <w:sz w:val="22"/>
      <w:szCs w:val="22"/>
    </w:rPr>
  </w:style>
  <w:style w:type="character" w:styleId="846" w:customStyle="1">
    <w:name w:val="标题 8 字符1"/>
    <w:link w:val="762"/>
    <w:uiPriority w:val="9"/>
    <w:qFormat/>
    <w:rPr>
      <w:rFonts w:ascii="Arial" w:hAnsi="Arial" w:eastAsia="Arial" w:cs="Arial"/>
      <w:i/>
      <w:iCs/>
      <w:sz w:val="22"/>
      <w:szCs w:val="22"/>
    </w:rPr>
  </w:style>
  <w:style w:type="character" w:styleId="847" w:customStyle="1">
    <w:name w:val="标题 9 字符1"/>
    <w:link w:val="763"/>
    <w:uiPriority w:val="9"/>
    <w:qFormat/>
    <w:rPr>
      <w:rFonts w:ascii="Arial" w:hAnsi="Arial" w:eastAsia="Arial" w:cs="Arial"/>
      <w:i/>
      <w:iCs/>
      <w:sz w:val="21"/>
      <w:szCs w:val="21"/>
    </w:rPr>
  </w:style>
  <w:style w:type="paragraph" w:styleId="848">
    <w:name w:val="No Spacing"/>
    <w:uiPriority w:val="1"/>
    <w:qFormat/>
    <w:rPr>
      <w:rFonts w:hint="default" w:ascii="Times New Roman" w:hAnsi="Times New Roman" w:eastAsia="宋体" w:cs="Times New Roman"/>
      <w:lang w:val="en-US" w:eastAsia="zh-CN" w:bidi="ar-SA"/>
    </w:rPr>
  </w:style>
  <w:style w:type="character" w:styleId="849" w:customStyle="1">
    <w:name w:val="标题 字符"/>
    <w:link w:val="788"/>
    <w:uiPriority w:val="10"/>
    <w:qFormat/>
    <w:rPr>
      <w:sz w:val="48"/>
      <w:szCs w:val="48"/>
    </w:rPr>
  </w:style>
  <w:style w:type="character" w:styleId="850" w:customStyle="1">
    <w:name w:val="副标题 字符"/>
    <w:link w:val="781"/>
    <w:uiPriority w:val="11"/>
    <w:qFormat/>
    <w:rPr>
      <w:sz w:val="24"/>
      <w:szCs w:val="24"/>
    </w:rPr>
  </w:style>
  <w:style w:type="paragraph" w:styleId="851">
    <w:name w:val="Quote"/>
    <w:basedOn w:val="754"/>
    <w:next w:val="754"/>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54"/>
    <w:next w:val="754"/>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页眉 字符1"/>
    <w:link w:val="778"/>
    <w:uiPriority w:val="99"/>
    <w:qFormat/>
  </w:style>
  <w:style w:type="character" w:styleId="856" w:customStyle="1">
    <w:name w:val="Footer Char"/>
    <w:uiPriority w:val="99"/>
    <w:qFormat/>
  </w:style>
  <w:style w:type="character" w:styleId="857" w:customStyle="1">
    <w:name w:val="页脚 字符1"/>
    <w:link w:val="777"/>
    <w:uiPriority w:val="99"/>
    <w:qFormat/>
  </w:style>
  <w:style w:type="table" w:styleId="8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3" w:customStyle="1">
    <w:name w:val="脚注文本 字符"/>
    <w:link w:val="782"/>
    <w:uiPriority w:val="99"/>
    <w:qFormat/>
    <w:rPr>
      <w:sz w:val="18"/>
    </w:rPr>
  </w:style>
  <w:style w:type="character" w:styleId="984" w:customStyle="1">
    <w:name w:val="尾注文本 字符"/>
    <w:link w:val="776"/>
    <w:uiPriority w:val="99"/>
    <w:qFormat/>
    <w:rPr>
      <w:sz w:val="20"/>
    </w:rPr>
  </w:style>
  <w:style w:type="paragraph" w:styleId="985" w:customStyle="1">
    <w:name w:val="TOC 标题1"/>
    <w:uiPriority w:val="39"/>
    <w:unhideWhenUsed/>
    <w:qFormat/>
    <w:rPr>
      <w:rFonts w:hint="default" w:ascii="Times New Roman" w:hAnsi="Times New Roman" w:eastAsia="宋体" w:cs="Times New Roman"/>
      <w:lang w:val="en-US" w:eastAsia="zh-CN" w:bidi="ar-SA"/>
    </w:rPr>
  </w:style>
  <w:style w:type="paragraph" w:styleId="986" w:customStyle="1">
    <w:name w:val="标题 11"/>
    <w:basedOn w:val="754"/>
    <w:next w:val="754"/>
    <w:link w:val="998"/>
    <w:uiPriority w:val="0"/>
    <w:qFormat/>
    <w:pPr>
      <w:jc w:val="center"/>
      <w:keepNext/>
      <w:outlineLvl w:val="0"/>
    </w:pPr>
    <w:rPr>
      <w:rFonts w:ascii="楷体_GB2312" w:eastAsia="楷体_GB2312"/>
      <w:sz w:val="28"/>
      <w:szCs w:val="28"/>
    </w:rPr>
  </w:style>
  <w:style w:type="paragraph" w:styleId="987" w:customStyle="1">
    <w:name w:val="标题 211"/>
    <w:basedOn w:val="754"/>
    <w:next w:val="988"/>
    <w:link w:val="9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8" w:customStyle="1">
    <w:name w:val="正文缩进1"/>
    <w:basedOn w:val="754"/>
    <w:link w:val="1000"/>
    <w:uiPriority w:val="0"/>
    <w:qFormat/>
    <w:pPr>
      <w:ind w:firstLine="420"/>
    </w:pPr>
    <w:rPr>
      <w:szCs w:val="21"/>
    </w:rPr>
  </w:style>
  <w:style w:type="paragraph" w:styleId="989" w:customStyle="1">
    <w:name w:val="标题 31"/>
    <w:basedOn w:val="754"/>
    <w:next w:val="988"/>
    <w:link w:val="1001"/>
    <w:uiPriority w:val="0"/>
    <w:qFormat/>
    <w:pPr>
      <w:keepLines/>
      <w:keepNext/>
      <w:spacing w:before="260" w:after="260" w:line="416" w:lineRule="auto"/>
      <w:outlineLvl w:val="2"/>
    </w:pPr>
    <w:rPr>
      <w:b/>
      <w:bCs/>
      <w:sz w:val="32"/>
      <w:szCs w:val="32"/>
    </w:rPr>
  </w:style>
  <w:style w:type="paragraph" w:styleId="990" w:customStyle="1">
    <w:name w:val="标题 41"/>
    <w:basedOn w:val="754"/>
    <w:next w:val="754"/>
    <w:link w:val="1002"/>
    <w:uiPriority w:val="0"/>
    <w:qFormat/>
    <w:pPr>
      <w:keepLines/>
      <w:keepNext/>
      <w:spacing w:before="280" w:after="290" w:line="376" w:lineRule="auto"/>
      <w:outlineLvl w:val="3"/>
    </w:pPr>
    <w:rPr>
      <w:rFonts w:ascii="Arial" w:hAnsi="Arial" w:eastAsia="黑体" w:cs="Arial"/>
      <w:b/>
      <w:bCs/>
      <w:sz w:val="28"/>
      <w:szCs w:val="28"/>
    </w:rPr>
  </w:style>
  <w:style w:type="paragraph" w:styleId="991" w:customStyle="1">
    <w:name w:val="标题 51"/>
    <w:basedOn w:val="754"/>
    <w:next w:val="988"/>
    <w:link w:val="1003"/>
    <w:uiPriority w:val="0"/>
    <w:qFormat/>
    <w:pPr>
      <w:keepNext/>
      <w:outlineLvl w:val="4"/>
    </w:pPr>
    <w:rPr>
      <w:rFonts w:ascii="宋体"/>
      <w:color w:val="000000"/>
      <w:sz w:val="28"/>
      <w:szCs w:val="28"/>
    </w:rPr>
  </w:style>
  <w:style w:type="paragraph" w:styleId="992" w:customStyle="1">
    <w:name w:val="标题 61"/>
    <w:basedOn w:val="754"/>
    <w:next w:val="754"/>
    <w:link w:val="10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3" w:customStyle="1">
    <w:name w:val="标题 71"/>
    <w:basedOn w:val="754"/>
    <w:next w:val="754"/>
    <w:link w:val="1005"/>
    <w:uiPriority w:val="0"/>
    <w:qFormat/>
    <w:pPr>
      <w:numPr>
        <w:ilvl w:val="6"/>
        <w:numId w:val="1"/>
      </w:numPr>
      <w:keepLines/>
      <w:keepNext/>
      <w:spacing w:before="240" w:after="64" w:line="320" w:lineRule="auto"/>
      <w:outlineLvl w:val="6"/>
    </w:pPr>
    <w:rPr>
      <w:b/>
      <w:bCs/>
      <w:sz w:val="24"/>
      <w:szCs w:val="24"/>
    </w:rPr>
  </w:style>
  <w:style w:type="paragraph" w:styleId="994" w:customStyle="1">
    <w:name w:val="标题 81"/>
    <w:basedOn w:val="754"/>
    <w:next w:val="754"/>
    <w:link w:val="10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5" w:customStyle="1">
    <w:name w:val="标题 91"/>
    <w:basedOn w:val="754"/>
    <w:next w:val="754"/>
    <w:link w:val="1007"/>
    <w:uiPriority w:val="0"/>
    <w:qFormat/>
    <w:pPr>
      <w:numPr>
        <w:ilvl w:val="8"/>
        <w:numId w:val="1"/>
      </w:numPr>
      <w:keepLines/>
      <w:keepNext/>
      <w:spacing w:before="240" w:after="64" w:line="320" w:lineRule="auto"/>
      <w:outlineLvl w:val="8"/>
    </w:pPr>
    <w:rPr>
      <w:rFonts w:ascii="Arial" w:hAnsi="Arial" w:eastAsia="黑体"/>
      <w:szCs w:val="21"/>
    </w:rPr>
  </w:style>
  <w:style w:type="character" w:styleId="996" w:customStyle="1">
    <w:name w:val="默认段落字体1"/>
    <w:uiPriority w:val="1"/>
    <w:unhideWhenUsed/>
    <w:qFormat/>
  </w:style>
  <w:style w:type="table" w:styleId="997" w:customStyle="1">
    <w:name w:val="普通表格1"/>
    <w:uiPriority w:val="99"/>
    <w:unhideWhenUsed/>
    <w:qFormat/>
    <w:tblPr>
      <w:tblCellMar>
        <w:left w:w="0" w:type="dxa"/>
        <w:top w:w="0" w:type="dxa"/>
        <w:right w:w="0" w:type="dxa"/>
        <w:bottom w:w="0" w:type="dxa"/>
      </w:tblCellMar>
    </w:tblPr>
  </w:style>
  <w:style w:type="character" w:styleId="998" w:customStyle="1">
    <w:name w:val="标题 1 字符"/>
    <w:link w:val="986"/>
    <w:uiPriority w:val="0"/>
    <w:qFormat/>
    <w:rPr>
      <w:rFonts w:ascii="楷体_GB2312" w:hAnsi="Times New Roman" w:eastAsia="楷体_GB2312" w:cs="Times New Roman"/>
      <w:sz w:val="28"/>
      <w:szCs w:val="28"/>
    </w:rPr>
  </w:style>
  <w:style w:type="character" w:styleId="999" w:customStyle="1">
    <w:name w:val="标题 2 字符"/>
    <w:link w:val="987"/>
    <w:uiPriority w:val="0"/>
    <w:qFormat/>
    <w:rPr>
      <w:rFonts w:ascii="Arial" w:hAnsi="Arial" w:eastAsia="幼圆" w:cs="Arial"/>
      <w:b/>
      <w:bCs/>
      <w:sz w:val="44"/>
      <w:szCs w:val="44"/>
    </w:rPr>
  </w:style>
  <w:style w:type="character" w:styleId="1000" w:customStyle="1">
    <w:name w:val="正文缩进 字符"/>
    <w:link w:val="988"/>
    <w:uiPriority w:val="0"/>
    <w:qFormat/>
    <w:rPr>
      <w:szCs w:val="21"/>
    </w:rPr>
  </w:style>
  <w:style w:type="character" w:styleId="1001" w:customStyle="1">
    <w:name w:val="标题 3 字符"/>
    <w:link w:val="989"/>
    <w:uiPriority w:val="0"/>
    <w:qFormat/>
    <w:rPr>
      <w:rFonts w:ascii="Times New Roman" w:hAnsi="Times New Roman" w:eastAsia="宋体" w:cs="Times New Roman"/>
      <w:b/>
      <w:bCs/>
      <w:sz w:val="32"/>
      <w:szCs w:val="32"/>
    </w:rPr>
  </w:style>
  <w:style w:type="character" w:styleId="1002" w:customStyle="1">
    <w:name w:val="标题 4 字符"/>
    <w:link w:val="990"/>
    <w:uiPriority w:val="0"/>
    <w:qFormat/>
    <w:rPr>
      <w:rFonts w:ascii="Arial" w:hAnsi="Arial" w:eastAsia="黑体" w:cs="Arial"/>
      <w:b/>
      <w:bCs/>
      <w:sz w:val="28"/>
      <w:szCs w:val="28"/>
    </w:rPr>
  </w:style>
  <w:style w:type="character" w:styleId="1003" w:customStyle="1">
    <w:name w:val="标题 5 字符"/>
    <w:link w:val="991"/>
    <w:uiPriority w:val="0"/>
    <w:qFormat/>
    <w:rPr>
      <w:rFonts w:ascii="宋体" w:hAnsi="Times New Roman" w:eastAsia="宋体" w:cs="Times New Roman"/>
      <w:color w:val="000000"/>
      <w:sz w:val="28"/>
      <w:szCs w:val="28"/>
    </w:rPr>
  </w:style>
  <w:style w:type="character" w:styleId="1004" w:customStyle="1">
    <w:name w:val="标题 6 字符"/>
    <w:link w:val="992"/>
    <w:uiPriority w:val="0"/>
    <w:qFormat/>
    <w:rPr>
      <w:rFonts w:ascii="Arial" w:hAnsi="Arial" w:eastAsia="黑体" w:cs="Times New Roman"/>
      <w:b/>
      <w:bCs/>
      <w:sz w:val="24"/>
      <w:szCs w:val="24"/>
    </w:rPr>
  </w:style>
  <w:style w:type="character" w:styleId="1005" w:customStyle="1">
    <w:name w:val="标题 7 字符"/>
    <w:link w:val="993"/>
    <w:uiPriority w:val="0"/>
    <w:qFormat/>
    <w:rPr>
      <w:rFonts w:ascii="Times New Roman" w:hAnsi="Times New Roman" w:eastAsia="宋体" w:cs="Times New Roman"/>
      <w:b/>
      <w:bCs/>
      <w:sz w:val="24"/>
      <w:szCs w:val="24"/>
    </w:rPr>
  </w:style>
  <w:style w:type="character" w:styleId="1006" w:customStyle="1">
    <w:name w:val="标题 8 字符"/>
    <w:link w:val="994"/>
    <w:uiPriority w:val="0"/>
    <w:qFormat/>
    <w:rPr>
      <w:rFonts w:ascii="Arial" w:hAnsi="Arial" w:eastAsia="黑体" w:cs="Times New Roman"/>
      <w:sz w:val="24"/>
      <w:szCs w:val="24"/>
    </w:rPr>
  </w:style>
  <w:style w:type="character" w:styleId="1007" w:customStyle="1">
    <w:name w:val="标题 9 字符"/>
    <w:link w:val="995"/>
    <w:uiPriority w:val="0"/>
    <w:qFormat/>
    <w:rPr>
      <w:rFonts w:ascii="Arial" w:hAnsi="Arial" w:eastAsia="黑体" w:cs="Times New Roman"/>
      <w:szCs w:val="21"/>
    </w:rPr>
  </w:style>
  <w:style w:type="paragraph" w:styleId="1008" w:customStyle="1">
    <w:name w:val="列表 31"/>
    <w:basedOn w:val="754"/>
    <w:uiPriority w:val="0"/>
    <w:qFormat/>
    <w:pPr>
      <w:ind w:left="100" w:hanging="200"/>
    </w:pPr>
    <w:rPr>
      <w:szCs w:val="21"/>
    </w:rPr>
  </w:style>
  <w:style w:type="paragraph" w:styleId="1009" w:customStyle="1">
    <w:name w:val="目录 71"/>
    <w:basedOn w:val="754"/>
    <w:next w:val="754"/>
    <w:uiPriority w:val="0"/>
    <w:semiHidden/>
    <w:qFormat/>
    <w:pPr>
      <w:ind w:left="1260"/>
      <w:jc w:val="left"/>
    </w:pPr>
    <w:rPr>
      <w:szCs w:val="21"/>
    </w:rPr>
  </w:style>
  <w:style w:type="paragraph" w:styleId="1010" w:customStyle="1">
    <w:name w:val="文档结构图1"/>
    <w:basedOn w:val="754"/>
    <w:link w:val="1011"/>
    <w:uiPriority w:val="0"/>
    <w:semiHidden/>
    <w:qFormat/>
    <w:pPr>
      <w:shd w:val="clear" w:color="auto" w:fill="000080"/>
    </w:pPr>
    <w:rPr>
      <w:szCs w:val="21"/>
    </w:rPr>
  </w:style>
  <w:style w:type="character" w:styleId="1011" w:customStyle="1">
    <w:name w:val="文档结构图 字符"/>
    <w:link w:val="1010"/>
    <w:uiPriority w:val="0"/>
    <w:semiHidden/>
    <w:qFormat/>
    <w:rPr>
      <w:rFonts w:ascii="Times New Roman" w:hAnsi="Times New Roman" w:eastAsia="宋体" w:cs="Times New Roman"/>
      <w:szCs w:val="21"/>
      <w:shd w:val="clear" w:color="auto" w:fill="000080"/>
    </w:rPr>
  </w:style>
  <w:style w:type="paragraph" w:styleId="1012" w:customStyle="1">
    <w:name w:val="批注文字1"/>
    <w:basedOn w:val="754"/>
    <w:link w:val="1013"/>
    <w:uiPriority w:val="0"/>
    <w:unhideWhenUsed/>
    <w:qFormat/>
    <w:pPr>
      <w:jc w:val="left"/>
    </w:pPr>
  </w:style>
  <w:style w:type="character" w:styleId="1013" w:customStyle="1">
    <w:name w:val="批注文字 字符"/>
    <w:link w:val="1012"/>
    <w:uiPriority w:val="99"/>
    <w:semiHidden/>
    <w:qFormat/>
  </w:style>
  <w:style w:type="paragraph" w:styleId="1014" w:customStyle="1">
    <w:name w:val="正文文本 31"/>
    <w:basedOn w:val="754"/>
    <w:link w:val="1015"/>
    <w:uiPriority w:val="0"/>
    <w:qFormat/>
    <w:rPr>
      <w:rFonts w:ascii="仿宋_GB2312" w:hAnsi="Arial" w:eastAsia="仿宋_GB2312"/>
      <w:sz w:val="32"/>
      <w:szCs w:val="32"/>
    </w:rPr>
  </w:style>
  <w:style w:type="character" w:styleId="1015" w:customStyle="1">
    <w:name w:val="正文文本 3 字符"/>
    <w:link w:val="1014"/>
    <w:uiPriority w:val="0"/>
    <w:qFormat/>
    <w:rPr>
      <w:rFonts w:ascii="仿宋_GB2312" w:hAnsi="Arial" w:eastAsia="仿宋_GB2312" w:cs="Times New Roman"/>
      <w:sz w:val="32"/>
      <w:szCs w:val="32"/>
    </w:rPr>
  </w:style>
  <w:style w:type="paragraph" w:styleId="1016" w:customStyle="1">
    <w:name w:val="正文文本1"/>
    <w:basedOn w:val="754"/>
    <w:link w:val="1017"/>
    <w:uiPriority w:val="0"/>
    <w:qFormat/>
    <w:rPr>
      <w:rFonts w:ascii="楷体_GB2312" w:hAnsi="Arial" w:eastAsia="楷体_GB2312"/>
      <w:sz w:val="28"/>
      <w:szCs w:val="28"/>
    </w:rPr>
  </w:style>
  <w:style w:type="character" w:styleId="1017" w:customStyle="1">
    <w:name w:val="正文文本 字符"/>
    <w:link w:val="1016"/>
    <w:uiPriority w:val="0"/>
    <w:qFormat/>
    <w:rPr>
      <w:rFonts w:ascii="楷体_GB2312" w:hAnsi="Arial" w:eastAsia="楷体_GB2312" w:cs="Times New Roman"/>
      <w:sz w:val="28"/>
      <w:szCs w:val="28"/>
    </w:rPr>
  </w:style>
  <w:style w:type="character" w:styleId="1018" w:customStyle="1">
    <w:name w:val="正文文本缩进 字符"/>
    <w:link w:val="837"/>
    <w:uiPriority w:val="99"/>
    <w:semiHidden/>
    <w:qFormat/>
  </w:style>
  <w:style w:type="paragraph" w:styleId="1019" w:customStyle="1">
    <w:name w:val="列表 21"/>
    <w:basedOn w:val="754"/>
    <w:uiPriority w:val="0"/>
    <w:qFormat/>
    <w:pPr>
      <w:ind w:left="100" w:hanging="200"/>
    </w:pPr>
    <w:rPr>
      <w:szCs w:val="21"/>
    </w:rPr>
  </w:style>
  <w:style w:type="paragraph" w:styleId="1020" w:customStyle="1">
    <w:name w:val="索引 41"/>
    <w:basedOn w:val="754"/>
    <w:next w:val="754"/>
    <w:uiPriority w:val="99"/>
    <w:qFormat/>
    <w:pPr>
      <w:ind w:left="600"/>
    </w:pPr>
  </w:style>
  <w:style w:type="paragraph" w:styleId="1021" w:customStyle="1">
    <w:name w:val="目录 51"/>
    <w:basedOn w:val="754"/>
    <w:next w:val="754"/>
    <w:uiPriority w:val="0"/>
    <w:semiHidden/>
    <w:qFormat/>
    <w:pPr>
      <w:ind w:left="840"/>
      <w:jc w:val="left"/>
    </w:pPr>
    <w:rPr>
      <w:szCs w:val="21"/>
    </w:rPr>
  </w:style>
  <w:style w:type="paragraph" w:styleId="1022" w:customStyle="1">
    <w:name w:val="目录 31"/>
    <w:basedOn w:val="754"/>
    <w:next w:val="754"/>
    <w:uiPriority w:val="0"/>
    <w:semiHidden/>
    <w:qFormat/>
    <w:pPr>
      <w:ind w:left="420"/>
      <w:jc w:val="left"/>
    </w:pPr>
    <w:rPr>
      <w:i/>
      <w:iCs/>
      <w:szCs w:val="24"/>
    </w:rPr>
  </w:style>
  <w:style w:type="paragraph" w:styleId="1023" w:customStyle="1">
    <w:name w:val="纯文本1"/>
    <w:basedOn w:val="754"/>
    <w:link w:val="1024"/>
    <w:uiPriority w:val="0"/>
    <w:qFormat/>
    <w:rPr>
      <w:rFonts w:ascii="宋体" w:hAnsi="Courier New" w:cs="Courier New"/>
      <w:szCs w:val="21"/>
    </w:rPr>
  </w:style>
  <w:style w:type="character" w:styleId="1024" w:customStyle="1">
    <w:name w:val="纯文本 字符"/>
    <w:link w:val="1023"/>
    <w:uiPriority w:val="0"/>
    <w:qFormat/>
    <w:rPr>
      <w:rFonts w:ascii="宋体" w:hAnsi="Courier New" w:eastAsia="宋体" w:cs="Courier New"/>
      <w:szCs w:val="21"/>
    </w:rPr>
  </w:style>
  <w:style w:type="paragraph" w:styleId="1025" w:customStyle="1">
    <w:name w:val="目录 81"/>
    <w:basedOn w:val="754"/>
    <w:next w:val="754"/>
    <w:uiPriority w:val="0"/>
    <w:semiHidden/>
    <w:qFormat/>
    <w:pPr>
      <w:ind w:left="1470"/>
      <w:jc w:val="left"/>
    </w:pPr>
    <w:rPr>
      <w:szCs w:val="21"/>
    </w:rPr>
  </w:style>
  <w:style w:type="paragraph" w:styleId="1026" w:customStyle="1">
    <w:name w:val="日期1"/>
    <w:basedOn w:val="754"/>
    <w:next w:val="754"/>
    <w:link w:val="1027"/>
    <w:uiPriority w:val="0"/>
    <w:qFormat/>
    <w:rPr>
      <w:sz w:val="24"/>
      <w:szCs w:val="24"/>
    </w:rPr>
  </w:style>
  <w:style w:type="character" w:styleId="1027" w:customStyle="1">
    <w:name w:val="日期 字符"/>
    <w:link w:val="1026"/>
    <w:uiPriority w:val="0"/>
    <w:qFormat/>
    <w:rPr>
      <w:rFonts w:ascii="Times New Roman" w:hAnsi="Times New Roman" w:eastAsia="宋体" w:cs="Times New Roman"/>
      <w:sz w:val="24"/>
      <w:szCs w:val="24"/>
    </w:rPr>
  </w:style>
  <w:style w:type="paragraph" w:styleId="1028" w:customStyle="1">
    <w:name w:val="正文文本缩进 21"/>
    <w:basedOn w:val="754"/>
    <w:link w:val="1029"/>
    <w:uiPriority w:val="0"/>
    <w:qFormat/>
    <w:pPr>
      <w:ind w:left="630" w:firstLine="645"/>
    </w:pPr>
    <w:rPr>
      <w:rFonts w:ascii="Arial" w:hAnsi="Arial" w:eastAsia="仿宋_GB2312" w:cs="Arial"/>
      <w:sz w:val="32"/>
      <w:szCs w:val="32"/>
    </w:rPr>
  </w:style>
  <w:style w:type="character" w:styleId="1029" w:customStyle="1">
    <w:name w:val="正文文本缩进 2 字符"/>
    <w:link w:val="1028"/>
    <w:uiPriority w:val="0"/>
    <w:qFormat/>
    <w:rPr>
      <w:rFonts w:ascii="Arial" w:hAnsi="Arial" w:eastAsia="仿宋_GB2312" w:cs="Arial"/>
      <w:sz w:val="32"/>
      <w:szCs w:val="32"/>
    </w:rPr>
  </w:style>
  <w:style w:type="paragraph" w:styleId="1030" w:customStyle="1">
    <w:name w:val="批注框文本1"/>
    <w:basedOn w:val="754"/>
    <w:link w:val="1031"/>
    <w:uiPriority w:val="0"/>
    <w:semiHidden/>
    <w:qFormat/>
    <w:rPr>
      <w:sz w:val="18"/>
      <w:szCs w:val="18"/>
    </w:rPr>
  </w:style>
  <w:style w:type="character" w:styleId="1031" w:customStyle="1">
    <w:name w:val="批注框文本 字符"/>
    <w:link w:val="1030"/>
    <w:uiPriority w:val="0"/>
    <w:semiHidden/>
    <w:qFormat/>
    <w:rPr>
      <w:rFonts w:ascii="Times New Roman" w:hAnsi="Times New Roman" w:eastAsia="宋体" w:cs="Times New Roman"/>
      <w:sz w:val="18"/>
      <w:szCs w:val="18"/>
    </w:rPr>
  </w:style>
  <w:style w:type="paragraph" w:styleId="1032" w:customStyle="1">
    <w:name w:val="页脚111"/>
    <w:basedOn w:val="754"/>
    <w:link w:val="1033"/>
    <w:uiPriority w:val="0"/>
    <w:qFormat/>
    <w:pPr>
      <w:jc w:val="left"/>
      <w:tabs>
        <w:tab w:val="center" w:pos="4153" w:leader="none"/>
        <w:tab w:val="right" w:pos="8306" w:leader="none"/>
      </w:tabs>
    </w:pPr>
    <w:rPr>
      <w:sz w:val="18"/>
      <w:szCs w:val="18"/>
    </w:rPr>
  </w:style>
  <w:style w:type="character" w:styleId="1033" w:customStyle="1">
    <w:name w:val="页脚 字符"/>
    <w:link w:val="1032"/>
    <w:uiPriority w:val="0"/>
    <w:qFormat/>
    <w:rPr>
      <w:rFonts w:ascii="Times New Roman" w:hAnsi="Times New Roman" w:eastAsia="宋体" w:cs="Times New Roman"/>
      <w:sz w:val="18"/>
      <w:szCs w:val="18"/>
    </w:rPr>
  </w:style>
  <w:style w:type="paragraph" w:styleId="1034" w:customStyle="1">
    <w:name w:val="页眉1"/>
    <w:basedOn w:val="754"/>
    <w:link w:val="1035"/>
    <w:uiPriority w:val="0"/>
    <w:qFormat/>
    <w:pPr>
      <w:jc w:val="center"/>
      <w:tabs>
        <w:tab w:val="center" w:pos="4153" w:leader="none"/>
        <w:tab w:val="right" w:pos="8306" w:leader="none"/>
      </w:tabs>
      <w:pBdr>
        <w:bottom w:val="single" w:color="000000" w:sz="6" w:space="1"/>
      </w:pBdr>
    </w:pPr>
    <w:rPr>
      <w:sz w:val="18"/>
      <w:szCs w:val="18"/>
    </w:rPr>
  </w:style>
  <w:style w:type="character" w:styleId="1035" w:customStyle="1">
    <w:name w:val="页眉 字符"/>
    <w:link w:val="1034"/>
    <w:uiPriority w:val="0"/>
    <w:qFormat/>
    <w:rPr>
      <w:rFonts w:ascii="Times New Roman" w:hAnsi="Times New Roman" w:eastAsia="宋体" w:cs="Times New Roman"/>
      <w:sz w:val="18"/>
      <w:szCs w:val="18"/>
    </w:rPr>
  </w:style>
  <w:style w:type="paragraph" w:styleId="1036" w:customStyle="1">
    <w:name w:val="目录 11"/>
    <w:basedOn w:val="754"/>
    <w:next w:val="754"/>
    <w:uiPriority w:val="0"/>
    <w:semiHidden/>
    <w:qFormat/>
    <w:pPr>
      <w:jc w:val="left"/>
      <w:spacing w:before="120" w:after="120" w:line="400" w:lineRule="exact"/>
      <w:tabs>
        <w:tab w:val="right" w:pos="8720" w:leader="dot"/>
      </w:tabs>
    </w:pPr>
    <w:rPr>
      <w:rFonts w:ascii="宋体" w:hAnsi="宋体"/>
      <w:caps/>
      <w:sz w:val="24"/>
      <w:szCs w:val="24"/>
    </w:rPr>
  </w:style>
  <w:style w:type="paragraph" w:styleId="1037" w:customStyle="1">
    <w:name w:val="目录 41"/>
    <w:basedOn w:val="754"/>
    <w:next w:val="754"/>
    <w:uiPriority w:val="0"/>
    <w:semiHidden/>
    <w:qFormat/>
    <w:pPr>
      <w:ind w:left="630"/>
      <w:jc w:val="left"/>
    </w:pPr>
    <w:rPr>
      <w:szCs w:val="21"/>
    </w:rPr>
  </w:style>
  <w:style w:type="paragraph" w:styleId="1038" w:customStyle="1">
    <w:name w:val="列表1"/>
    <w:basedOn w:val="754"/>
    <w:uiPriority w:val="0"/>
    <w:qFormat/>
    <w:pPr>
      <w:ind w:left="200" w:hanging="200"/>
    </w:pPr>
    <w:rPr>
      <w:szCs w:val="21"/>
    </w:rPr>
  </w:style>
  <w:style w:type="paragraph" w:styleId="1039" w:customStyle="1">
    <w:name w:val="目录 61"/>
    <w:basedOn w:val="754"/>
    <w:next w:val="754"/>
    <w:uiPriority w:val="0"/>
    <w:semiHidden/>
    <w:qFormat/>
    <w:pPr>
      <w:ind w:left="1050"/>
      <w:jc w:val="left"/>
    </w:pPr>
    <w:rPr>
      <w:szCs w:val="21"/>
    </w:rPr>
  </w:style>
  <w:style w:type="paragraph" w:styleId="1040" w:customStyle="1">
    <w:name w:val="正文文本缩进 31"/>
    <w:basedOn w:val="754"/>
    <w:link w:val="1041"/>
    <w:uiPriority w:val="0"/>
    <w:qFormat/>
    <w:pPr>
      <w:ind w:left="645" w:firstLine="645"/>
    </w:pPr>
    <w:rPr>
      <w:rFonts w:ascii="Arial" w:hAnsi="Arial" w:eastAsia="仿宋_GB2312" w:cs="Arial"/>
      <w:color w:val="ffff00"/>
      <w:sz w:val="32"/>
      <w:szCs w:val="32"/>
    </w:rPr>
  </w:style>
  <w:style w:type="character" w:styleId="1041" w:customStyle="1">
    <w:name w:val="正文文本缩进 3 字符"/>
    <w:link w:val="1040"/>
    <w:uiPriority w:val="0"/>
    <w:qFormat/>
    <w:rPr>
      <w:rFonts w:ascii="Arial" w:hAnsi="Arial" w:eastAsia="仿宋_GB2312" w:cs="Arial"/>
      <w:color w:val="ffff00"/>
      <w:sz w:val="32"/>
      <w:szCs w:val="32"/>
    </w:rPr>
  </w:style>
  <w:style w:type="paragraph" w:styleId="1042" w:customStyle="1">
    <w:name w:val="图表目录1"/>
    <w:basedOn w:val="754"/>
    <w:next w:val="754"/>
    <w:uiPriority w:val="0"/>
    <w:semiHidden/>
    <w:qFormat/>
    <w:pPr>
      <w:ind w:left="840" w:hanging="420"/>
    </w:pPr>
    <w:rPr>
      <w:szCs w:val="21"/>
    </w:rPr>
  </w:style>
  <w:style w:type="paragraph" w:styleId="1043" w:customStyle="1">
    <w:name w:val="目录 21"/>
    <w:basedOn w:val="754"/>
    <w:next w:val="754"/>
    <w:uiPriority w:val="0"/>
    <w:semiHidden/>
    <w:qFormat/>
    <w:pPr>
      <w:ind w:left="210"/>
      <w:jc w:val="left"/>
    </w:pPr>
    <w:rPr>
      <w:smallCaps/>
      <w:szCs w:val="24"/>
    </w:rPr>
  </w:style>
  <w:style w:type="paragraph" w:styleId="1044" w:customStyle="1">
    <w:name w:val="目录 91"/>
    <w:basedOn w:val="754"/>
    <w:next w:val="754"/>
    <w:uiPriority w:val="0"/>
    <w:semiHidden/>
    <w:qFormat/>
    <w:pPr>
      <w:ind w:left="1680"/>
      <w:jc w:val="left"/>
    </w:pPr>
    <w:rPr>
      <w:szCs w:val="21"/>
    </w:rPr>
  </w:style>
  <w:style w:type="paragraph" w:styleId="1045" w:customStyle="1">
    <w:name w:val="正文文本 21"/>
    <w:basedOn w:val="754"/>
    <w:link w:val="1046"/>
    <w:uiPriority w:val="0"/>
    <w:qFormat/>
    <w:pPr>
      <w:jc w:val="center"/>
      <w:widowControl/>
    </w:pPr>
    <w:rPr>
      <w:rFonts w:ascii="楷体_GB2312" w:eastAsia="楷体_GB2312"/>
      <w:sz w:val="28"/>
      <w:szCs w:val="28"/>
    </w:rPr>
  </w:style>
  <w:style w:type="character" w:styleId="1046" w:customStyle="1">
    <w:name w:val="正文文本 2 字符"/>
    <w:link w:val="1045"/>
    <w:uiPriority w:val="0"/>
    <w:qFormat/>
    <w:rPr>
      <w:rFonts w:ascii="楷体_GB2312" w:hAnsi="Times New Roman" w:eastAsia="楷体_GB2312" w:cs="Times New Roman"/>
      <w:sz w:val="28"/>
      <w:szCs w:val="28"/>
    </w:rPr>
  </w:style>
  <w:style w:type="paragraph" w:styleId="1047" w:customStyle="1">
    <w:name w:val="普通(网站)1"/>
    <w:basedOn w:val="754"/>
    <w:uiPriority w:val="99"/>
    <w:qFormat/>
    <w:pPr>
      <w:jc w:val="left"/>
      <w:spacing w:before="100" w:beforeAutospacing="1" w:after="100" w:afterAutospacing="1"/>
      <w:widowControl/>
    </w:pPr>
    <w:rPr>
      <w:rFonts w:ascii="宋体" w:hAnsi="宋体" w:cs="宋体"/>
      <w:sz w:val="24"/>
      <w:szCs w:val="24"/>
    </w:rPr>
  </w:style>
  <w:style w:type="paragraph" w:styleId="1048" w:customStyle="1">
    <w:name w:val="索引 11"/>
    <w:basedOn w:val="754"/>
    <w:next w:val="754"/>
    <w:uiPriority w:val="0"/>
    <w:semiHidden/>
    <w:qFormat/>
    <w:pPr>
      <w:spacing w:line="240" w:lineRule="atLeast"/>
    </w:pPr>
    <w:rPr>
      <w:b/>
      <w:bCs/>
      <w:szCs w:val="21"/>
    </w:rPr>
  </w:style>
  <w:style w:type="paragraph" w:styleId="1049" w:customStyle="1">
    <w:name w:val="批注主题1"/>
    <w:basedOn w:val="1012"/>
    <w:next w:val="1012"/>
    <w:link w:val="1050"/>
    <w:uiPriority w:val="0"/>
    <w:semiHidden/>
    <w:qFormat/>
    <w:rPr>
      <w:b/>
      <w:bCs/>
      <w:szCs w:val="21"/>
    </w:rPr>
  </w:style>
  <w:style w:type="character" w:styleId="1050" w:customStyle="1">
    <w:name w:val="批注主题 字符"/>
    <w:link w:val="1049"/>
    <w:uiPriority w:val="0"/>
    <w:semiHidden/>
    <w:qFormat/>
    <w:rPr>
      <w:rFonts w:ascii="Times New Roman" w:hAnsi="Times New Roman" w:eastAsia="宋体" w:cs="Times New Roman"/>
      <w:b/>
      <w:bCs/>
      <w:szCs w:val="21"/>
    </w:rPr>
  </w:style>
  <w:style w:type="paragraph" w:styleId="1051" w:customStyle="1">
    <w:name w:val="正文首行缩进1"/>
    <w:basedOn w:val="1016"/>
    <w:link w:val="1052"/>
    <w:uiPriority w:val="0"/>
    <w:qFormat/>
    <w:pPr>
      <w:ind w:firstLine="200"/>
      <w:spacing w:line="360" w:lineRule="auto"/>
    </w:pPr>
    <w:rPr>
      <w:rFonts w:ascii="仿宋_GB2312" w:hAnsi="Times New Roman" w:eastAsia="仿宋_GB2312"/>
      <w:sz w:val="30"/>
      <w:szCs w:val="30"/>
    </w:rPr>
  </w:style>
  <w:style w:type="character" w:styleId="1052" w:customStyle="1">
    <w:name w:val="正文首行缩进 字符"/>
    <w:link w:val="1051"/>
    <w:uiPriority w:val="0"/>
    <w:qFormat/>
    <w:rPr>
      <w:rFonts w:ascii="仿宋_GB2312" w:hAnsi="Times New Roman" w:eastAsia="仿宋_GB2312" w:cs="Times New Roman"/>
      <w:sz w:val="30"/>
      <w:szCs w:val="30"/>
    </w:rPr>
  </w:style>
  <w:style w:type="character" w:styleId="1053" w:customStyle="1">
    <w:name w:val="正文首行缩进 2 字符"/>
    <w:link w:val="836"/>
    <w:uiPriority w:val="0"/>
    <w:qFormat/>
    <w:rPr>
      <w:rFonts w:ascii="宋体" w:hAnsi="宋体" w:eastAsia="宋体" w:cs="Times New Roman"/>
      <w:szCs w:val="20"/>
    </w:rPr>
  </w:style>
  <w:style w:type="table" w:styleId="1054" w:customStyle="1">
    <w:name w:val="网格型1"/>
    <w:basedOn w:val="997"/>
    <w:uiPriority w:val="0"/>
    <w:qFormat/>
    <w:pPr>
      <w:jc w:val="both"/>
      <w:widowControl w:val="off"/>
    </w:pPr>
    <w:tblPr/>
  </w:style>
  <w:style w:type="character" w:styleId="1055" w:customStyle="1">
    <w:name w:val="要点1"/>
    <w:uiPriority w:val="0"/>
    <w:qFormat/>
    <w:rPr>
      <w:b/>
      <w:bCs/>
    </w:rPr>
  </w:style>
  <w:style w:type="character" w:styleId="1056" w:customStyle="1">
    <w:name w:val="页码1"/>
    <w:uiPriority w:val="0"/>
    <w:qFormat/>
  </w:style>
  <w:style w:type="character" w:styleId="1057" w:customStyle="1">
    <w:name w:val="已访问的超链接1"/>
    <w:uiPriority w:val="0"/>
    <w:qFormat/>
    <w:rPr>
      <w:color w:val="800080"/>
      <w:u w:val="single"/>
    </w:rPr>
  </w:style>
  <w:style w:type="character" w:styleId="1058" w:customStyle="1">
    <w:name w:val="超链接1"/>
    <w:uiPriority w:val="0"/>
    <w:qFormat/>
    <w:rPr>
      <w:color w:val="0000ff"/>
      <w:u w:val="single"/>
    </w:rPr>
  </w:style>
  <w:style w:type="character" w:styleId="1059" w:customStyle="1">
    <w:name w:val="批注引用1"/>
    <w:uiPriority w:val="0"/>
    <w:semiHidden/>
    <w:qFormat/>
    <w:rPr>
      <w:sz w:val="21"/>
      <w:szCs w:val="21"/>
    </w:rPr>
  </w:style>
  <w:style w:type="paragraph" w:styleId="1060"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1061" w:customStyle="1">
    <w:name w:val="正文文本缩进 211"/>
    <w:basedOn w:val="754"/>
    <w:uiPriority w:val="0"/>
    <w:qFormat/>
    <w:pPr>
      <w:ind w:firstLine="630"/>
      <w:spacing w:before="120"/>
      <w:tabs>
        <w:tab w:val="left" w:pos="0" w:leader="none"/>
      </w:tabs>
    </w:pPr>
    <w:rPr>
      <w:bCs/>
    </w:rPr>
  </w:style>
  <w:style w:type="paragraph" w:styleId="1062" w:customStyle="1">
    <w:name w:val="标题 5（有编号）（绿盟科技）"/>
    <w:basedOn w:val="754"/>
    <w:next w:val="1063"/>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63"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64" w:customStyle="1">
    <w:name w:val="列出段落1"/>
    <w:basedOn w:val="754"/>
    <w:link w:val="1065"/>
    <w:uiPriority w:val="0"/>
    <w:qFormat/>
    <w:pPr>
      <w:contextualSpacing/>
      <w:ind w:left="720"/>
      <w:jc w:val="left"/>
      <w:widowControl/>
    </w:pPr>
    <w:rPr>
      <w:rFonts w:ascii="Calibri" w:hAnsi="Calibri"/>
      <w:sz w:val="24"/>
      <w:szCs w:val="24"/>
      <w:lang w:eastAsia="en-US" w:bidi="en-US"/>
    </w:rPr>
  </w:style>
  <w:style w:type="character" w:styleId="1065" w:customStyle="1">
    <w:name w:val="列出段落 Char"/>
    <w:link w:val="1064"/>
    <w:uiPriority w:val="0"/>
    <w:qFormat/>
    <w:rPr>
      <w:rFonts w:ascii="Calibri" w:hAnsi="Calibri"/>
      <w:sz w:val="24"/>
      <w:szCs w:val="24"/>
      <w:lang w:eastAsia="en-US" w:bidi="en-US"/>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b/>
      <w:sz w:val="30"/>
      <w:szCs w:val="28"/>
    </w:rPr>
  </w:style>
  <w:style w:type="paragraph" w:styleId="1068" w:customStyle="1">
    <w:name w:val="二级目录"/>
    <w:next w:val="754"/>
    <w:link w:val="106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69" w:customStyle="1">
    <w:name w:val="Body Text(ch)"/>
    <w:basedOn w:val="754"/>
    <w:next w:val="1016"/>
    <w:uiPriority w:val="0"/>
    <w:qFormat/>
    <w:pPr>
      <w:spacing w:after="120"/>
    </w:pPr>
    <w:rPr>
      <w:rFonts w:ascii="宋体" w:hAnsi="Arial"/>
      <w:bCs/>
      <w:iCs/>
      <w:szCs w:val="24"/>
    </w:rPr>
  </w:style>
  <w:style w:type="paragraph" w:styleId="1070" w:customStyle="1">
    <w:name w:val="xl27"/>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xl26"/>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customStyle="1">
    <w:name w:val="Char"/>
    <w:basedOn w:val="754"/>
    <w:uiPriority w:val="0"/>
    <w:qFormat/>
    <w:pPr>
      <w:ind w:firstLine="200"/>
      <w:tabs>
        <w:tab w:val="left" w:pos="360" w:leader="none"/>
      </w:tabs>
    </w:pPr>
    <w:rPr>
      <w:sz w:val="28"/>
      <w:szCs w:val="30"/>
    </w:rPr>
  </w:style>
  <w:style w:type="paragraph" w:styleId="1073" w:customStyle="1">
    <w:name w:val="Char1"/>
    <w:basedOn w:val="1010"/>
    <w:uiPriority w:val="0"/>
    <w:qFormat/>
    <w:rPr>
      <w:rFonts w:ascii="Tahoma" w:hAnsi="Tahoma"/>
      <w:sz w:val="24"/>
      <w:szCs w:val="24"/>
    </w:rPr>
  </w:style>
  <w:style w:type="paragraph" w:styleId="1074"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075" w:customStyle="1">
    <w:name w:val="table_lines"/>
    <w:basedOn w:val="754"/>
    <w:uiPriority w:val="0"/>
    <w:qFormat/>
    <w:pPr>
      <w:jc w:val="left"/>
      <w:widowControl/>
    </w:pPr>
    <w:rPr>
      <w:sz w:val="20"/>
      <w:szCs w:val="20"/>
      <w:lang w:val="de-DE" w:eastAsia="de-DE"/>
    </w:rPr>
  </w:style>
  <w:style w:type="paragraph" w:styleId="107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77" w:customStyle="1">
    <w:name w:val="font7"/>
    <w:basedOn w:val="754"/>
    <w:uiPriority w:val="0"/>
    <w:qFormat/>
    <w:pPr>
      <w:jc w:val="left"/>
      <w:spacing w:before="100" w:beforeAutospacing="1" w:after="100" w:afterAutospacing="1"/>
      <w:widowControl/>
    </w:pPr>
    <w:rPr>
      <w:rFonts w:hint="eastAsia" w:ascii="宋体" w:hAnsi="宋体"/>
      <w:sz w:val="18"/>
      <w:szCs w:val="18"/>
    </w:rPr>
  </w:style>
  <w:style w:type="paragraph" w:styleId="1078" w:customStyle="1">
    <w:name w:val="Char Char Char Char"/>
    <w:basedOn w:val="1010"/>
    <w:uiPriority w:val="0"/>
    <w:qFormat/>
    <w:pPr>
      <w:spacing w:line="360" w:lineRule="auto"/>
    </w:pPr>
    <w:rPr>
      <w:rFonts w:ascii="Tahoma" w:hAnsi="Tahoma"/>
      <w:sz w:val="24"/>
      <w:szCs w:val="24"/>
    </w:rPr>
  </w:style>
  <w:style w:type="paragraph" w:styleId="1079" w:customStyle="1">
    <w:name w:val="列出段落"/>
    <w:basedOn w:val="754"/>
    <w:uiPriority w:val="0"/>
    <w:qFormat/>
    <w:pPr>
      <w:contextualSpacing/>
      <w:ind w:left="720"/>
      <w:jc w:val="left"/>
      <w:widowControl/>
    </w:pPr>
    <w:rPr>
      <w:rFonts w:ascii="Calibri" w:hAnsi="Calibri"/>
      <w:sz w:val="24"/>
      <w:szCs w:val="24"/>
      <w:lang w:eastAsia="en-US" w:bidi="en-US"/>
    </w:rPr>
  </w:style>
  <w:style w:type="paragraph" w:styleId="1080" w:customStyle="1">
    <w:name w:val="4"/>
    <w:basedOn w:val="754"/>
    <w:next w:val="1040"/>
    <w:uiPriority w:val="0"/>
    <w:qFormat/>
    <w:pPr>
      <w:ind w:firstLine="420"/>
      <w:spacing w:line="360" w:lineRule="auto"/>
    </w:pPr>
    <w:rPr>
      <w:color w:val="ff0000"/>
      <w:sz w:val="24"/>
      <w:szCs w:val="24"/>
    </w:rPr>
  </w:style>
  <w:style w:type="paragraph" w:styleId="1081" w:customStyle="1">
    <w:name w:val="普通 (Web)"/>
    <w:basedOn w:val="754"/>
    <w:uiPriority w:val="0"/>
    <w:qFormat/>
    <w:pPr>
      <w:jc w:val="left"/>
      <w:spacing w:before="100" w:beforeAutospacing="1" w:after="100" w:afterAutospacing="1"/>
      <w:widowControl/>
    </w:pPr>
    <w:rPr>
      <w:rFonts w:ascii="宋体" w:hAnsi="宋体"/>
      <w:sz w:val="24"/>
      <w:szCs w:val="24"/>
    </w:rPr>
  </w:style>
  <w:style w:type="paragraph" w:styleId="1082" w:customStyle="1">
    <w:name w:val="Char Char Char Char Char Char Char Char Char Char"/>
    <w:basedOn w:val="754"/>
    <w:uiPriority w:val="0"/>
    <w:qFormat/>
    <w:pPr>
      <w:spacing w:line="360" w:lineRule="auto"/>
    </w:pPr>
    <w:rPr>
      <w:sz w:val="24"/>
      <w:szCs w:val="20"/>
    </w:rPr>
  </w:style>
  <w:style w:type="paragraph" w:styleId="1083" w:customStyle="1">
    <w:name w:val="样式1"/>
    <w:basedOn w:val="754"/>
    <w:uiPriority w:val="0"/>
    <w:qFormat/>
    <w:pPr>
      <w:numPr>
        <w:ilvl w:val="0"/>
        <w:numId w:val="4"/>
      </w:numPr>
    </w:pPr>
    <w:rPr>
      <w:rFonts w:ascii="宋体" w:hAnsi="宋体"/>
      <w:szCs w:val="21"/>
    </w:rPr>
  </w:style>
  <w:style w:type="paragraph" w:styleId="1084" w:customStyle="1">
    <w:name w:val="font6"/>
    <w:basedOn w:val="754"/>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xl25"/>
    <w:basedOn w:val="7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6" w:customStyle="1">
    <w:name w:val="图标"/>
    <w:basedOn w:val="754"/>
    <w:next w:val="7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customStyle="1">
    <w:name w:val="标题3"/>
    <w:basedOn w:val="754"/>
    <w:next w:val="754"/>
    <w:uiPriority w:val="0"/>
    <w:qFormat/>
    <w:pPr>
      <w:ind w:firstLine="624"/>
      <w:spacing w:line="590" w:lineRule="atLeast"/>
    </w:pPr>
    <w:rPr>
      <w:rFonts w:ascii="方正黑体_GBK" w:eastAsia="方正黑体_GBK"/>
      <w:sz w:val="32"/>
      <w:szCs w:val="32"/>
    </w:rPr>
  </w:style>
  <w:style w:type="paragraph" w:styleId="1088" w:customStyle="1">
    <w:name w:val="xl24"/>
    <w:basedOn w:val="7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customStyle="1">
    <w:name w:val="xl29"/>
    <w:basedOn w:val="75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customStyle="1">
    <w:name w:val="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91" w:customStyle="1">
    <w:name w:val="xl2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2" w:customStyle="1">
    <w:name w:val="Char Char Char Char Char Char Char Char1"/>
    <w:basedOn w:val="754"/>
    <w:uiPriority w:val="0"/>
    <w:qFormat/>
    <w:pPr>
      <w:jc w:val="left"/>
      <w:spacing w:after="160" w:line="240" w:lineRule="exact"/>
      <w:widowControl/>
    </w:pPr>
    <w:rPr>
      <w:rFonts w:ascii="Verdana" w:hAnsi="Verdana"/>
      <w:sz w:val="20"/>
      <w:szCs w:val="20"/>
      <w:lang w:eastAsia="en-US"/>
    </w:rPr>
  </w:style>
  <w:style w:type="paragraph" w:styleId="1093" w:customStyle="1">
    <w:name w:val="xl30"/>
    <w:basedOn w:val="754"/>
    <w:uiPriority w:val="0"/>
    <w:qFormat/>
    <w:pPr>
      <w:jc w:val="center"/>
      <w:spacing w:before="100" w:beforeAutospacing="1" w:after="100" w:afterAutospacing="1"/>
      <w:widowControl/>
    </w:pPr>
    <w:rPr>
      <w:rFonts w:ascii="宋体" w:hAnsi="宋体"/>
      <w:b/>
      <w:bCs/>
      <w:sz w:val="36"/>
      <w:szCs w:val="36"/>
    </w:rPr>
  </w:style>
  <w:style w:type="paragraph" w:styleId="1094" w:customStyle="1">
    <w:name w:val="Char Char Char Char1"/>
    <w:basedOn w:val="1010"/>
    <w:uiPriority w:val="0"/>
    <w:qFormat/>
    <w:pPr>
      <w:spacing w:line="360" w:lineRule="auto"/>
    </w:pPr>
    <w:rPr>
      <w:rFonts w:ascii="Tahoma" w:hAnsi="Tahoma"/>
      <w:sz w:val="24"/>
      <w:szCs w:val="24"/>
    </w:rPr>
  </w:style>
  <w:style w:type="paragraph" w:styleId="1095" w:customStyle="1">
    <w:name w:val="table_1stline"/>
    <w:basedOn w:val="754"/>
    <w:uiPriority w:val="0"/>
    <w:qFormat/>
    <w:pPr>
      <w:jc w:val="left"/>
      <w:spacing w:before="120"/>
      <w:widowControl/>
    </w:pPr>
    <w:rPr>
      <w:bCs/>
      <w:sz w:val="20"/>
      <w:szCs w:val="20"/>
      <w:lang w:val="de-DE" w:eastAsia="de-DE"/>
    </w:rPr>
  </w:style>
  <w:style w:type="paragraph" w:styleId="1096" w:customStyle="1">
    <w:name w:val="font5"/>
    <w:basedOn w:val="754"/>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标题1"/>
    <w:basedOn w:val="754"/>
    <w:next w:val="75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0" w:customStyle="1">
    <w:name w:val="标题 21"/>
    <w:basedOn w:val="754"/>
    <w:next w:val="754"/>
    <w:uiPriority w:val="0"/>
    <w:qFormat/>
    <w:pPr>
      <w:numPr>
        <w:ilvl w:val="1"/>
        <w:numId w:val="5"/>
      </w:numPr>
      <w:keepLines/>
      <w:keepNext/>
      <w:spacing w:line="360" w:lineRule="auto"/>
      <w:outlineLvl w:val="1"/>
    </w:pPr>
    <w:rPr>
      <w:rFonts w:ascii="Arial" w:hAnsi="Arial" w:eastAsia="黑体"/>
      <w:b/>
      <w:bCs/>
      <w:sz w:val="32"/>
      <w:szCs w:val="32"/>
    </w:rPr>
  </w:style>
  <w:style w:type="paragraph" w:styleId="1101">
    <w:name w:val="List Paragraph"/>
    <w:basedOn w:val="754"/>
    <w:uiPriority w:val="34"/>
    <w:qFormat/>
    <w:pPr>
      <w:ind w:firstLine="420"/>
    </w:pPr>
  </w:style>
  <w:style w:type="character" w:styleId="1102" w:customStyle="1">
    <w:name w:val="font41"/>
    <w:uiPriority w:val="0"/>
    <w:qFormat/>
    <w:rPr>
      <w:rFonts w:hint="eastAsia" w:ascii="宋体" w:hAnsi="宋体" w:eastAsia="宋体" w:cs="宋体"/>
      <w:color w:val="000000"/>
      <w:sz w:val="20"/>
      <w:szCs w:val="20"/>
      <w:u w:val="none"/>
    </w:rPr>
  </w:style>
  <w:style w:type="paragraph" w:styleId="1103" w:customStyle="1">
    <w:name w:val="样式 行距: 固定值 28.9 磅"/>
    <w:basedOn w:val="754"/>
    <w:uiPriority w:val="0"/>
    <w:qFormat/>
    <w:pPr>
      <w:spacing w:line="578" w:lineRule="exact"/>
    </w:pPr>
    <w:rPr>
      <w:rFonts w:cs="宋体"/>
      <w:szCs w:val="20"/>
    </w:rPr>
  </w:style>
  <w:style w:type="paragraph" w:styleId="1104" w:customStyle="1">
    <w:name w:val="段"/>
    <w:next w:val="754"/>
    <w:uiPriority w:val="0"/>
    <w:qFormat/>
    <w:pPr>
      <w:ind w:firstLine="200"/>
      <w:jc w:val="both"/>
    </w:pPr>
    <w:rPr>
      <w:rFonts w:hint="default" w:ascii="宋体" w:hAnsi="Calibri" w:eastAsia="宋体" w:cs="Times New Roman"/>
      <w:sz w:val="21"/>
      <w:szCs w:val="22"/>
      <w:lang w:val="en-US" w:eastAsia="zh-CN" w:bidi="ar-SA"/>
    </w:rPr>
  </w:style>
  <w:style w:type="paragraph" w:styleId="1105"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06" w:customStyle="1">
    <w:name w:val="Table Paragraph"/>
    <w:basedOn w:val="754"/>
    <w:uiPriority w:val="1"/>
    <w:qFormat/>
    <w:pPr>
      <w:jc w:val="left"/>
    </w:pPr>
    <w:rPr>
      <w:rFonts w:ascii="宋体" w:hAnsi="宋体" w:cs="宋体"/>
      <w:sz w:val="22"/>
      <w:lang w:eastAsia="en-US"/>
    </w:rPr>
  </w:style>
  <w:style w:type="paragraph" w:styleId="1107" w:customStyle="1">
    <w:name w:val="页脚1"/>
    <w:basedOn w:val="754"/>
    <w:uiPriority w:val="0"/>
    <w:qFormat/>
    <w:pPr>
      <w:jc w:val="left"/>
      <w:tabs>
        <w:tab w:val="center" w:pos="4153" w:leader="none"/>
        <w:tab w:val="right" w:pos="8306" w:leader="none"/>
      </w:tabs>
    </w:pPr>
    <w:rPr>
      <w:sz w:val="18"/>
      <w:szCs w:val="18"/>
    </w:rPr>
  </w:style>
  <w:style w:type="paragraph" w:styleId="1108" w:customStyle="1">
    <w:name w:val="页脚11"/>
    <w:basedOn w:val="754"/>
    <w:uiPriority w:val="99"/>
    <w:unhideWhenUsed/>
    <w:qFormat/>
    <w:pPr>
      <w:tabs>
        <w:tab w:val="center" w:pos="7143" w:leader="none"/>
        <w:tab w:val="right" w:pos="14287" w:leader="none"/>
      </w:tabs>
    </w:pPr>
  </w:style>
  <w:style w:type="paragraph" w:styleId="1109" w:customStyle="1">
    <w:name w:val="首行缩进"/>
    <w:basedOn w:val="754"/>
    <w:uiPriority w:val="99"/>
    <w:qFormat/>
    <w:pPr>
      <w:ind w:firstLine="480"/>
      <w:jc w:val="left"/>
      <w:spacing w:line="360" w:lineRule="auto"/>
    </w:pPr>
    <w:rPr>
      <w:rFonts w:ascii="宋体" w:hAnsi="宋体" w:eastAsia="楷体_GB2312"/>
      <w:sz w:val="24"/>
      <w:szCs w:val="20"/>
    </w:rPr>
  </w:style>
  <w:style w:type="character" w:styleId="1110" w:customStyle="1">
    <w:name w:val="NormalCharacter1"/>
    <w:uiPriority w:val="99"/>
    <w:qFormat/>
    <w:rPr>
      <w:rFonts w:ascii="Calibri" w:hAnsi="Calibri" w:eastAsia="宋体"/>
    </w:rPr>
  </w:style>
  <w:style w:type="character" w:styleId="1111" w:customStyle="1">
    <w:name w:val="NormalCharacter"/>
    <w:uiPriority w:val="0"/>
    <w:qFormat/>
  </w:style>
  <w:style w:type="paragraph" w:styleId="1112" w:customStyle="1">
    <w:name w:val="UserStyle_6"/>
    <w:uiPriority w:val="0"/>
    <w:qFormat/>
    <w:rPr>
      <w:rFonts w:hint="default" w:ascii="宋体" w:hAnsi="Calibri" w:eastAsia="宋体" w:cstheme="minorBidi"/>
      <w:color w:val="000000"/>
      <w:sz w:val="24"/>
      <w:szCs w:val="24"/>
      <w:lang w:val="en-US" w:eastAsia="zh-CN" w:bidi="ar-SA"/>
    </w:rPr>
  </w:style>
  <w:style w:type="paragraph" w:styleId="1113" w:customStyle="1">
    <w:name w:val=".o.a"/>
    <w:basedOn w:val="1060"/>
    <w:next w:val="1060"/>
    <w:uiPriority w:val="0"/>
    <w:qFormat/>
    <w:rPr>
      <w:rFonts w:ascii="宋体" w:eastAsia="宋体"/>
      <w:color w:val="auto"/>
    </w:rPr>
  </w:style>
  <w:style w:type="paragraph" w:styleId="1114" w:customStyle="1">
    <w:name w:val="修订2"/>
    <w:hidden/>
    <w:uiPriority w:val="99"/>
    <w:unhideWhenUsed/>
    <w:qFormat/>
    <w:rPr>
      <w:rFonts w:hint="default" w:ascii="Times New Roman" w:hAnsi="Times New Roman" w:eastAsia="宋体" w:cs="Times New Roman"/>
      <w:sz w:val="21"/>
      <w:szCs w:val="22"/>
      <w:lang w:val="en-US" w:eastAsia="zh-CN" w:bidi="ar-SA"/>
    </w:rPr>
  </w:style>
  <w:style w:type="character" w:styleId="1115" w:customStyle="1">
    <w:name w:val="批注文字 字符1"/>
    <w:basedOn w:val="764"/>
    <w:link w:val="768"/>
    <w:uiPriority w:val="99"/>
    <w:semiHidden/>
    <w:qFormat/>
    <w:rPr>
      <w:sz w:val="21"/>
      <w:szCs w:val="22"/>
    </w:rPr>
  </w:style>
  <w:style w:type="character" w:styleId="1116" w:customStyle="1">
    <w:name w:val="批注主题 字符1"/>
    <w:basedOn w:val="1115"/>
    <w:link w:val="789"/>
    <w:uiPriority w:val="99"/>
    <w:semiHidden/>
    <w:qFormat/>
    <w:rPr>
      <w:b/>
      <w:bCs/>
      <w:sz w:val="21"/>
      <w:szCs w:val="22"/>
    </w:rPr>
  </w:style>
  <w:style w:type="paragraph" w:styleId="1117" w:customStyle="1">
    <w:name w:val="表格文字"/>
    <w:basedOn w:val="754"/>
    <w:uiPriority w:val="0"/>
    <w:qFormat/>
    <w:pPr>
      <w:jc w:val="left"/>
    </w:pPr>
    <w:rPr>
      <w:rFonts w:hint="eastAsia"/>
    </w:rPr>
  </w:style>
  <w:style w:type="numbering" w:styleId="10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71b790da-0220-4e79-91c1-69d7fc70e326</errorID>
      <errorWord>理</errorWord>
      <group>L1_Word</group>
      <groupName>字词问题</groupName>
      <ability>L2_Typo</ability>
      <abilityName>字词错误</abilityName>
      <candidateList>
        <item>理机</item>
      </candidateList>
      <explain/>
      <paraID>389D586D</paraID>
      <start>3</start>
      <end>5</end>
      <status>modified</status>
      <modifiedWord>理机</modifiedWord>
      <trackRevisions>false</trackRevisions>
    </reviewItem>
    <reviewItem>
      <errorID>643e3ad9-ffea-4022-9ca4-cbfa909c50ab</errorID>
      <errorWord>：</errorWord>
      <group>L1_Format</group>
      <groupName>格式问题</groupName>
      <ability>L2_HalfPunc_CN</ability>
      <abilityName>全半角问题</abilityName>
      <candidateList>
        <item>:</item>
      </candidateList>
      <explain>文本全半角错误。</explain>
      <paraID>4BED9491</paraID>
      <start>25</start>
      <end>26</end>
      <status>modified</status>
      <modifiedWord>:</modifiedWord>
      <trackRevisions>false</trackRevisions>
    </reviewItem>
    <reviewItem>
      <errorID>a773bd1e-79b3-436c-babd-17171f08ed8f</errorID>
      <errorWord>：</errorWord>
      <group>L1_Format</group>
      <groupName>格式问题</groupName>
      <ability>L2_HalfPunc_CN</ability>
      <abilityName>全半角问题</abilityName>
      <candidateList>
        <item>:</item>
      </candidateList>
      <explain>文本全半角错误。</explain>
      <paraID>4BED9491</paraID>
      <start>36</start>
      <end>37</end>
      <status>modified</status>
      <modifiedWord>:</modifiedWord>
      <trackRevisions>false</trackRevisions>
    </reviewItem>
    <reviewItem>
      <errorID>4a50ee32-34dc-43a2-8872-8e15d28fa596</errorID>
      <errorWord>：</errorWord>
      <group>L1_Format</group>
      <groupName>格式问题</groupName>
      <ability>L2_HalfPunc_CN</ability>
      <abilityName>全半角问题</abilityName>
      <candidateList>
        <item>:</item>
      </candidateList>
      <explain>文本全半角错误。</explain>
      <paraID>4BED9491</paraID>
      <start>44</start>
      <end>45</end>
      <status>modified</status>
      <modifiedWord>:</modifiedWord>
      <trackRevisions>false</trackRevisions>
    </reviewItem>
    <reviewItem>
      <errorID>149e96e0-d072-40ce-a3ec-f98ef37fc7c9</errorID>
      <errorWord>：</errorWord>
      <group>L1_Format</group>
      <groupName>格式问题</groupName>
      <ability>L2_HalfPunc_CN</ability>
      <abilityName>全半角问题</abilityName>
      <candidateList>
        <item>:</item>
      </candidateList>
      <explain>文本全半角错误。</explain>
      <paraID>4BED9491</paraID>
      <start>52</start>
      <end>53</end>
      <status>modified</status>
      <modifiedWord>:</modifiedWord>
      <trackRevisions>false</trackRevisions>
    </reviewItem>
    <reviewItem>
      <errorID>033941af-8974-4312-b92a-3034a900e15f</errorID>
      <errorWord>：</errorWord>
      <group>L1_Format</group>
      <groupName>格式问题</groupName>
      <ability>L2_HalfPunc_CN</ability>
      <abilityName>全半角问题</abilityName>
      <candidateList>
        <item>:</item>
      </candidateList>
      <explain>文本全半角错误。</explain>
      <paraID>4BED9491</paraID>
      <start>60</start>
      <end>61</end>
      <status>modified</status>
      <modifiedWord>:</modifiedWord>
      <trackRevisions>false</trackRevisions>
    </reviewItem>
    <reviewItem>
      <errorID>9a3f28db-3f10-45ac-ba91-3290d5bf720f</errorID>
      <errorWord>：</errorWord>
      <group>L1_Format</group>
      <groupName>格式问题</groupName>
      <ability>L2_HalfPunc_CN</ability>
      <abilityName>全半角问题</abilityName>
      <candidateList>
        <item>:</item>
      </candidateList>
      <explain>文本全半角错误。</explain>
      <paraID>4BED9491</paraID>
      <start>70</start>
      <end>71</end>
      <status>modified</status>
      <modifiedWord>:</modifiedWord>
      <trackRevisions>false</trackRevisions>
    </reviewItem>
    <reviewItem>
      <errorID>ad4b15bd-c4ba-486b-b3e8-14509aa1383e</errorID>
      <errorWord>：</errorWord>
      <group>L1_Format</group>
      <groupName>格式问题</groupName>
      <ability>L2_HalfPunc_CN</ability>
      <abilityName>全半角问题</abilityName>
      <candidateList>
        <item>:</item>
      </candidateList>
      <explain>文本全半角错误。</explain>
      <paraID>4BED9491</paraID>
      <start>80</start>
      <end>81</end>
      <status>modified</status>
      <modifiedWord>:</modifiedWord>
      <trackRevisions>false</trackRevisions>
    </reviewItem>
    <reviewItem>
      <errorID>e7c9aa09-8ace-4187-b684-1bd94561ea0e</errorID>
      <errorWord>：</errorWord>
      <group>L1_Format</group>
      <groupName>格式问题</groupName>
      <ability>L2_HalfPunc_CN</ability>
      <abilityName>全半角问题</abilityName>
      <candidateList>
        <item>:</item>
      </candidateList>
      <explain>文本全半角错误。</explain>
      <paraID>4BED9491</paraID>
      <start>89</start>
      <end>90</end>
      <status>modified</status>
      <modifiedWord>:</modifiedWord>
      <trackRevisions>false</trackRevisions>
    </reviewItem>
    <reviewItem>
      <errorID>e26d61bd-f0c7-407b-9225-ce330b519441</errorID>
      <errorWord>：</errorWord>
      <group>L1_Format</group>
      <groupName>格式问题</groupName>
      <ability>L2_HalfPunc_CN</ability>
      <abilityName>全半角问题</abilityName>
      <candidateList>
        <item>:</item>
      </candidateList>
      <explain>文本全半角错误。</explain>
      <paraID>4BED9491</paraID>
      <start>98</start>
      <end>99</end>
      <status>modified</status>
      <modifiedWord>:</modifiedWord>
      <trackRevisions>false</trackRevisions>
    </reviewItem>
    <reviewItem>
      <errorID>b352fc77-6913-44cc-932d-407d38440127</errorID>
      <errorWord>：</errorWord>
      <group>L1_Format</group>
      <groupName>格式问题</groupName>
      <ability>L2_HalfPunc_CN</ability>
      <abilityName>全半角问题</abilityName>
      <candidateList>
        <item>:</item>
      </candidateList>
      <explain>文本全半角错误。</explain>
      <paraID>4BED9491</paraID>
      <start>107</start>
      <end>108</end>
      <status>modified</status>
      <modifiedWord>:</modifiedWord>
      <trackRevisions>false</trackRevisions>
    </reviewItem>
    <reviewItem>
      <errorID>3a0cd592-f2f3-424a-84d2-ed0843a73b1e</errorID>
      <errorWord>，</errorWord>
      <group>L1_Word</group>
      <groupName>字词问题</groupName>
      <ability>L2_Typo</ability>
      <abilityName>字词错误</abilityName>
      <candidateList>
        <item>，以</item>
      </candidateList>
      <explain/>
      <paraID>731CCBDE</paraID>
      <start>64</start>
      <end>66</end>
      <status>modified</status>
      <modifiedWord>，以</modifiedWord>
      <trackRevisions>false</trackRevisions>
    </reviewItem>
    <reviewItem>
      <errorID>fe37f87a-914d-4926-a181-5f3a73172af8</errorID>
      <errorWord>:</errorWord>
      <group>L1_Format</group>
      <groupName>格式问题</groupName>
      <ability>L2_HalfPunc_CN</ability>
      <abilityName>全半角问题</abilityName>
      <candidateList>
        <item>：</item>
      </candidateList>
      <explain>文本全半角错误。</explain>
      <paraID>731CCBDE</paraID>
      <start>118</start>
      <end>119</end>
      <status>modified</status>
      <modifiedWord>：</modifiedWord>
      <trackRevisions>false</trackRevisions>
    </reviewItem>
    <reviewItem>
      <errorID>07f165f2-ac5a-4dda-ba84-84f1620ea6bd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3919ECF1</paraID>
      <start>0</start>
      <end>2</end>
      <status>modified</status>
      <modifiedWord>1.</modifiedWord>
      <trackRevisions>false</trackRevisions>
    </reviewItem>
    <reviewItem>
      <errorID>8b010cc4-f475-43a3-b25e-36b729decb01</errorID>
      <errorWord>日至2026年</errorWord>
      <group>L1_Word</group>
      <groupName>字词问题</groupName>
      <ability>L2_Typo</ability>
      <abilityName>字词错误</abilityName>
      <candidateList>
        <item>日起至2026年</item>
      </candidateList>
      <explain/>
      <paraID>3919ECF1</paraID>
      <start>14</start>
      <end>22</end>
      <status>modified</status>
      <modifiedWord>日起至2026年</modifiedWord>
      <trackRevisions>false</trackRevisions>
    </reviewItem>
    <reviewItem>
      <errorID>d2b108c7-b298-420a-af0c-a0e5759de08c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E09A47E</paraID>
      <start>0</start>
      <end>2</end>
      <status>modified</status>
      <modifiedWord>2.</modifiedWord>
      <trackRevisions>false</trackRevisions>
    </reviewItem>
    <reviewItem>
      <errorID>0927af3e-6505-460b-b2f4-108756aa18f4</errorID>
      <errorWord>“.</errorWord>
      <group>L1_Punc</group>
      <groupName>标点问题</groupName>
      <ability>L2_Punc_CN</ability>
      <abilityName>标点符号问题</abilityName>
      <candidateList>
        <item>“</item>
      </candidateList>
      <explain/>
      <paraID> 3AAE394</paraID>
      <start>54</start>
      <end>56</end>
      <status>ignored</status>
      <modifiedWord/>
      <trackRevisions>false</trackRevisions>
    </reviewItem>
    <reviewItem>
      <errorID>569cf722-a905-4ba7-a237-f4ebc8e81b4b</errorID>
      <errorWord>“.</errorWord>
      <group>L1_Punc</group>
      <groupName>标点问题</groupName>
      <ability>L2_Punc_CN</ability>
      <abilityName>标点符号问题</abilityName>
      <candidateList>
        <item>“</item>
      </candidateList>
      <explain/>
      <paraID> 3AAE394</paraID>
      <start>69</start>
      <end>71</end>
      <status>ignored</status>
      <modifiedWord/>
      <trackRevisions>false</trackRevisions>
    </reviewItem>
    <reviewItem>
      <errorID>c051a74e-d88a-4c99-9f2c-f43e953c6fda</errorID>
      <errorWord>“.</errorWord>
      <group>L1_Punc</group>
      <groupName>标点问题</groupName>
      <ability>L2_Punc_CN</ability>
      <abilityName>标点符号问题</abilityName>
      <candidateList>
        <item>“</item>
      </candidateList>
      <explain/>
      <paraID> 21DBAB7</paraID>
      <start>12</start>
      <end>14</end>
      <status>ignored</status>
      <modifiedWord/>
      <trackRevisions>false</trackRevisions>
    </reviewItem>
    <reviewItem>
      <errorID>6641f4cb-08d6-4d05-b5cc-0021bc5be004</errorID>
      <errorWord>2026年07月</errorWord>
      <group>L1_Knowledge</group>
      <groupName>知识性问题</groupName>
      <ability>L2_Time</ability>
      <abilityName>日期时间</abilityName>
      <candidateList>
        <item>2026年7月</item>
      </candidateList>
      <explain>根据日常书写习惯，月份一般会省略前导零。</explain>
      <paraID>4E6E63E5</paraID>
      <start>11</start>
      <end>18</end>
      <status>modified</status>
      <modifiedWord>2026年7月</modifiedWord>
      <trackRevisions>false</trackRevisions>
    </reviewItem>
    <reviewItem>
      <errorID>048f68f1-6a04-43a6-95ad-aedba0d53cdb</errorID>
      <errorWord>2026年07月</errorWord>
      <group>L1_Knowledge</group>
      <groupName>知识性问题</groupName>
      <ability>L2_Time</ability>
      <abilityName>日期时间</abilityName>
      <candidateList>
        <item>2026年7月</item>
      </candidateList>
      <explain>根据日常书写习惯，月份一般会省略前导零。</explain>
      <paraID>6110AB84</paraID>
      <start>5</start>
      <end>12</end>
      <status>modified</status>
      <modifiedWord>2026年7月</modifiedWord>
      <trackRevisions>false</trackRevisions>
    </reviewItem>
    <reviewItem>
      <errorID>92fc8999-955e-47a4-b86a-604e434f9341</errorID>
      <errorWord>“.</errorWord>
      <group>L1_Punc</group>
      <groupName>标点问题</groupName>
      <ability>L2_Punc_CN</ability>
      <abilityName>标点符号问题</abilityName>
      <candidateList>
        <item>“</item>
      </candidateList>
      <explain/>
      <paraID>7E8817C6</paraID>
      <start>56</start>
      <end>58</end>
      <status>ignored</status>
      <modifiedWord/>
      <trackRevisions>false</trackRevisions>
    </reviewItem>
    <reviewItem>
      <errorID>1b3a84f3-263a-4356-9474-d1be26f25192</errorID>
      <errorWord>“.</errorWord>
      <group>L1_Punc</group>
      <groupName>标点问题</groupName>
      <ability>L2_Punc_CN</ability>
      <abilityName>标点符号问题</abilityName>
      <candidateList>
        <item>“</item>
      </candidateList>
      <explain/>
      <paraID>7E8817C6</paraID>
      <start>71</start>
      <end>73</end>
      <status>ignored</status>
      <modifiedWord/>
      <trackRevisions>false</trackRevisions>
    </reviewItem>
    <reviewItem>
      <errorID>6ff38520-a5b5-4483-bd55-6116a99f35b5</errorID>
      <errorWord>在凡</errorWord>
      <group>L1_Word</group>
      <groupName>字词问题</groupName>
      <ability>L2_Typo</ability>
      <abilityName>字词错误</abilityName>
      <candidateList>
        <item>在</item>
      </candidateList>
      <explain/>
      <paraID>74CC0F15</paraID>
      <start>23</start>
      <end>24</end>
      <status>modified</status>
      <modifiedWord>在</modifiedWord>
      <trackRevisions>false</trackRevisions>
    </reviewItem>
    <reviewItem>
      <errorID>f268607b-f450-4fd2-a157-862c4845c9e0</errorID>
      <errorWord>间</errorWord>
      <group>L1_Word</group>
      <groupName>字词问题</groupName>
      <ability>L2_Typo</ability>
      <abilityName>字词错误</abilityName>
      <candidateList>
        <item>间之</item>
      </candidateList>
      <explain/>
      <paraID>1FE7BB1F</paraID>
      <start>46</start>
      <end>48</end>
      <status>modified</status>
      <modifiedWord>间之</modifiedWord>
      <trackRevisions>false</trackRevisions>
    </reviewItem>
    <reviewItem>
      <errorID>2691b012-5a4d-4aa4-a11b-601e1901fa3c</errorID>
      <errorWord>无须</errorWord>
      <group>L1_Word</group>
      <groupName>字词问题</groupName>
      <ability>L2_Typo</ability>
      <abilityName>字词错误</abilityName>
      <candidateList>
        <item>无需</item>
      </candidateList>
      <explain>存在发音相同字词的误用。</explain>
      <paraID>37C013F7</paraID>
      <start>7</start>
      <end>9</end>
      <status>modified</status>
      <modifiedWord>无需</modifiedWord>
      <trackRevisions>false</trackRevisions>
    </reviewItem>
    <reviewItem>
      <errorID>1b8a35a4-f50b-45c3-b7aa-8dca635d0ebc</errorID>
      <errorWord>形式后</errorWord>
      <group>L1_Word</group>
      <groupName>字词问题</groupName>
      <ability>L2_Typo</ability>
      <abilityName>字词错误</abilityName>
      <candidateList>
        <item>形式</item>
      </candidateList>
      <explain/>
      <paraID>77DAB82C</paraID>
      <start>138</start>
      <end>140</end>
      <status>modified</status>
      <modifiedWord>形式</modifiedWord>
      <trackRevisions>false</trackRevisions>
    </reviewItem>
    <reviewItem>
      <errorID>a891fa51-4f57-4b17-9338-fe69d0c1129b</errorID>
      <errorWord>国家发改委</errorWord>
      <group>L1_Knowledge</group>
      <groupName>知识性问题</groupName>
      <ability>L2_Knowledge</ability>
      <abilityName>其他知识</abilityName>
      <candidateList>
        <item>国家发展改革委</item>
      </candidateList>
      <explain/>
      <paraID>728441ED</paraID>
      <start>19</start>
      <end>26</end>
      <status>modified</status>
      <modifiedWord>国家发展改革委</modifiedWord>
      <trackRevisions>false</trackRevisions>
    </reviewItem>
    <reviewItem>
      <errorID>2e57681a-3324-4cfe-856b-35bcd54468c4</errorID>
      <errorWord>&lt;</errorWord>
      <group>L1_Format</group>
      <groupName>格式问题</groupName>
      <ability>L2_HalfPunc_CN</ability>
      <abilityName>全半角问题</abilityName>
      <candidateList>
        <item>〈</item>
      </candidateList>
      <explain>文本全半角错误。</explain>
      <paraID>5F095E08</paraID>
      <start>49</start>
      <end>50</end>
      <status>ignored</status>
      <modifiedWord/>
      <trackRevisions>false</trackRevisions>
    </reviewItem>
    <reviewItem>
      <errorID>6f7ac60b-fb39-4da6-87d0-2c9052be5ad1</errorID>
      <errorWord>&lt;</errorWord>
      <group>L1_Format</group>
      <groupName>格式问题</groupName>
      <ability>L2_HalfPunc_CN</ability>
      <abilityName>全半角问题</abilityName>
      <candidateList>
        <item>〈</item>
      </candidateList>
      <explain>文本全半角错误。</explain>
      <paraID> FFF499E</paraID>
      <start>49</start>
      <end>50</end>
      <status>ignored</status>
      <modifiedWord/>
      <trackRevisions>false</trackRevisions>
    </reviewItem>
    <reviewItem>
      <errorID>6d507fa3-8139-452e-9f0a-879703fbd297</errorID>
      <errorWord>&lt;</errorWord>
      <group>L1_Format</group>
      <groupName>格式问题</groupName>
      <ability>L2_HalfPunc_CN</ability>
      <abilityName>全半角问题</abilityName>
      <candidateList>
        <item>〈</item>
      </candidateList>
      <explain>文本全半角错误。</explain>
      <paraID>7A01560B</paraID>
      <start>34</start>
      <end>35</end>
      <status>ignored</status>
      <modifiedWord/>
      <trackRevisions>false</trackRevisions>
    </reviewItem>
    <reviewItem>
      <errorID>d7cb3193-b45c-44c8-866c-f6dd9389c36f</errorID>
      <errorWord>，</errorWord>
      <group>L1_Word</group>
      <groupName>字词问题</groupName>
      <ability>L2_Typo</ability>
      <abilityName>字词错误</abilityName>
      <candidateList>
        <item>，并</item>
      </candidateList>
      <explain/>
      <paraID>469C93BA</paraID>
      <start>72</start>
      <end>73</end>
      <status>ignored</status>
      <modifiedWord/>
      <trackRevisions>false</trackRevisions>
    </reviewItem>
    <reviewItem>
      <errorID>58b44bef-feb9-477b-8687-6d7e2b836d28</errorID>
      <errorWord>&lt;</errorWord>
      <group>L1_Format</group>
      <groupName>格式问题</groupName>
      <ability>L2_HalfPunc_CN</ability>
      <abilityName>全半角问题</abilityName>
      <candidateList>
        <item>〈</item>
      </candidateList>
      <explain>文本全半角错误。</explain>
      <paraID> E3A1EAE</paraID>
      <start>15</start>
      <end>16</end>
      <status>ignored</status>
      <modifiedWord/>
      <trackRevisions>false</trackRevisions>
    </reviewItem>
    <reviewItem>
      <errorID>4cf12003-acd5-4c77-be6d-655deac4b990</errorID>
      <errorWord>国家工业和信息化部</errorWord>
      <group>L1_Political</group>
      <groupName>政治性问题</groupName>
      <ability>L2_Unpolitical</ability>
      <abilityName>政治敏感错误</abilityName>
      <candidateList>
        <item>工业和信息化部</item>
      </candidateList>
      <explain/>
      <paraID>3F350BC4</paraID>
      <start>7</start>
      <end>16</end>
      <status>ignored</status>
      <modifiedWord/>
      <trackRevisions>false</trackRevisions>
    </reviewItem>
    <reviewItem>
      <errorID>df09bb22-dc8d-4669-9ec0-d24d3b8c696c</errorID>
      <errorWord>;</errorWord>
      <group>L1_Format</group>
      <groupName>格式问题</groupName>
      <ability>L2_HalfPunc_CN</ability>
      <abilityName>全半角问题</abilityName>
      <candidateList>
        <item>；</item>
      </candidateList>
      <explain>文本全半角错误。</explain>
      <paraID>460206DE</paraID>
      <start>14</start>
      <end>15</end>
      <status>modified</status>
      <modifiedWord>；</modifiedWord>
      <trackRevisions>false</trackRevisions>
    </reviewItem>
    <reviewItem>
      <errorID>3fab1963-e791-43b0-9986-872b9c06a581</errorID>
      <errorWord>;</errorWord>
      <group>L1_Format</group>
      <groupName>格式问题</groupName>
      <ability>L2_HalfPunc_CN</ability>
      <abilityName>全半角问题</abilityName>
      <candidateList>
        <item>；</item>
      </candidateList>
      <explain>文本全半角错误。</explain>
      <paraID>77349758</paraID>
      <start>14</start>
      <end>15</end>
      <status>modified</status>
      <modifiedWord>；</modifiedWord>
      <trackRevisions>false</trackRevisions>
    </reviewItem>
    <reviewItem>
      <errorID>3f22a6d3-bab1-4796-aca5-a1c570023f5b</errorID>
      <errorWord>接受</errorWord>
      <group>L1_Word</group>
      <groupName>字词问题</groupName>
      <ability>L2_Typo</ability>
      <abilityName>字词错误</abilityName>
      <candidateList>
        <item>接收</item>
      </candidateList>
      <explain>存在发音相同字词的误用。</explain>
      <paraID>479C8231</paraID>
      <start>27</start>
      <end>29</end>
      <status>ignored</status>
      <modifiedWord/>
      <trackRevisions>false</trackRevisions>
    </reviewItem>
    <reviewItem>
      <errorID>bd7c9251-6f7c-4432-b884-d35d11a6f690</errorID>
      <errorWord>型式</errorWord>
      <group>L1_Word</group>
      <groupName>字词问题</groupName>
      <ability>L2_Typo</ability>
      <abilityName>字词错误</abilityName>
      <candidateList>
        <item>形式</item>
      </candidateList>
      <explain>存在发音相同字词的误用。</explain>
      <paraID>479C8231</paraID>
      <start>36</start>
      <end>38</end>
      <status>modified</status>
      <modifiedWord>形式</modifiedWord>
      <trackRevisions>false</trackRevisions>
    </reviewItem>
    <reviewItem>
      <errorID>6cf669b3-0465-4a41-a40d-ce1547a61090</errorID>
      <errorWord>认证认证</errorWord>
      <group>L1_Word</group>
      <groupName>字词问题</groupName>
      <ability>L2_Typo</ability>
      <abilityName>字词错误</abilityName>
      <candidateList>
        <item>认证</item>
      </candidateList>
      <explain/>
      <paraID>23792CC3</paraID>
      <start>25</start>
      <end>27</end>
      <status>modified</status>
      <modifiedWord>认证</modifiedWord>
      <trackRevisions>false</trackRevisions>
    </reviewItem>
    <reviewItem>
      <errorID>8755d173-4555-41ca-bd61-d69daf39c7a1</errorID>
      <errorWord>，</errorWord>
      <group>L1_Word</group>
      <groupName>字词问题</groupName>
      <ability>L2_Typo</ability>
      <abilityName>字词错误</abilityName>
      <candidateList>
        <item>，并</item>
      </candidateList>
      <explain/>
      <paraID>23792CC3</paraID>
      <start>27</start>
      <end>28</end>
      <status>ignored</status>
      <modifiedWord/>
      <trackRevisions>false</trackRevisions>
    </reviewItem>
    <reviewItem>
      <errorID>aeb4ef27-9e90-4ef7-9fac-cd1d9a00ae2d</errorID>
      <errorWord>:</errorWord>
      <group>L1_Format</group>
      <groupName>格式问题</groupName>
      <ability>L2_HalfPunc_CN</ability>
      <abilityName>全半角问题</abilityName>
      <candidateList>
        <item>：</item>
      </candidateList>
      <explain>文本全半角错误。</explain>
      <paraID>72B653CC</paraID>
      <start>58</start>
      <end>59</end>
      <status>modified</status>
      <modifiedWord>：</modifiedWord>
      <trackRevisions>false</trackRevisions>
    </reviewItem>
    <reviewItem>
      <errorID>162f5810-7dcd-4bb4-8971-09e6324836bf</errorID>
      <errorWord>内容针</errorWord>
      <group>L1_Word</group>
      <groupName>字词问题</groupName>
      <ability>L2_Typo</ability>
      <abilityName>字词错误</abilityName>
      <candidateList>
        <item>内容</item>
      </candidateList>
      <explain/>
      <paraID>4964D466</paraID>
      <start>9</start>
      <end>11</end>
      <status>modified</status>
      <modifiedWord>内容</modifiedWord>
      <trackRevisions>false</trackRevisions>
    </reviewItem>
    <reviewItem>
      <errorID>56797d0f-9d41-4a09-aa77-59decec764f7</errorID>
      <errorWord>内容针</errorWord>
      <group>L1_Word</group>
      <groupName>字词问题</groupName>
      <ability>L2_Typo</ability>
      <abilityName>字词错误</abilityName>
      <candidateList>
        <item>内容</item>
      </candidateList>
      <explain/>
      <paraID>2EB45ABD</paraID>
      <start>10</start>
      <end>12</end>
      <status>modified</status>
      <modifiedWord>内容</modifiedWord>
      <trackRevisions>false</trackRevisions>
    </reviewItem>
    <reviewItem>
      <errorID>f090e4e4-70bb-4560-876c-cc5a9cabdce1</errorID>
      <errorWord>内容针</errorWord>
      <group>L1_Word</group>
      <groupName>字词问题</groupName>
      <ability>L2_Typo</ability>
      <abilityName>字词错误</abilityName>
      <candidateList>
        <item>内容</item>
      </candidateList>
      <explain/>
      <paraID>54E28941</paraID>
      <start>9</start>
      <end>11</end>
      <status>modified</status>
      <modifiedWord>内容</modifiedWord>
      <trackRevisions>false</trackRevisions>
    </reviewItem>
    <reviewItem>
      <errorID>2008b2d0-1ce6-40c8-9a49-5e6599884e74</errorID>
      <errorWord>:</errorWord>
      <group>L1_Format</group>
      <groupName>格式问题</groupName>
      <ability>L2_HalfPunc_CN</ability>
      <abilityName>全半角问题</abilityName>
      <candidateList>
        <item>：</item>
      </candidateList>
      <explain>文本全半角错误。</explain>
      <paraID>73DD44FD</paraID>
      <start>58</start>
      <end>59</end>
      <status>modified</status>
      <modifiedWord>：</modifiedWord>
      <trackRevisions>false</trackRevisions>
    </reviewItem>
    <reviewItem>
      <errorID>ed91ce1d-e526-494b-82bd-b13b6616bec3</errorID>
      <errorWord>（2023）9号</errorWord>
      <group>L1_Knowledge</group>
      <groupName>知识性问题</groupName>
      <ability>L2_Knowledge</ability>
      <abilityName>其他知识</abilityName>
      <candidateList>
        <item>〔2023〕9号</item>
      </candidateList>
      <explain>发文字号格式错误。</explain>
      <paraID>52329E60</paraID>
      <start>39</start>
      <end>47</end>
      <status>modified</status>
      <modifiedWord>〔2023〕9号</modifiedWord>
      <trackRevisions>false</trackRevisions>
    </reviewItem>
    <reviewItem>
      <errorID>3ab1057a-fcb9-4cc1-bb89-7816df9d50a8</errorID>
      <errorWord>（2023）9号</errorWord>
      <group>L1_Knowledge</group>
      <groupName>知识性问题</groupName>
      <ability>L2_Knowledge</ability>
      <abilityName>其他知识</abilityName>
      <candidateList>
        <item>〔2023〕9号</item>
      </candidateList>
      <explain>发文字号格式错误。</explain>
      <paraID>5665B85C</paraID>
      <start>38</start>
      <end>46</end>
      <status>modified</status>
      <modifiedWord>〔2023〕9号</modifiedWord>
      <trackRevisions>false</trackRevisions>
    </reviewItem>
    <reviewItem>
      <errorID>0bd1dfff-c89d-4c92-be40-71cf29348a9b</errorID>
      <errorWord>（2023）9号</errorWord>
      <group>L1_Knowledge</group>
      <groupName>知识性问题</groupName>
      <ability>L2_Knowledge</ability>
      <abilityName>其他知识</abilityName>
      <candidateList>
        <item>〔2023〕9号</item>
      </candidateList>
      <explain>发文字号格式错误。</explain>
      <paraID>70817DC9</paraID>
      <start>17</start>
      <end>25</end>
      <status>modified</status>
      <modifiedWord>〔2023〕9号</modifiedWord>
      <trackRevisions>false</trackRevisions>
    </reviewItem>
    <reviewItem>
      <errorID>542b6370-af03-4d78-a68b-0aa7daf485e7</errorID>
      <errorWord>（2023）9号</errorWord>
      <group>L1_Knowledge</group>
      <groupName>知识性问题</groupName>
      <ability>L2_Knowledge</ability>
      <abilityName>其他知识</abilityName>
      <candidateList>
        <item>〔2023〕9号</item>
      </candidateList>
      <explain>发文字号格式错误。</explain>
      <paraID> C9C47E8</paraID>
      <start>17</start>
      <end>25</end>
      <status>modified</status>
      <modifiedWord>〔2023〕9号</modifiedWord>
      <trackRevisions>false</trackRevisions>
    </reviewItem>
    <reviewItem>
      <errorID>39018092-2a95-41dc-929b-11f54619ad23</errorID>
      <errorWord>间</errorWord>
      <group>L1_Word</group>
      <groupName>字词问题</groupName>
      <ability>L2_Typo</ability>
      <abilityName>字词错误</abilityName>
      <candidateList>
        <item>间内</item>
      </candidateList>
      <explain/>
      <paraID>10B837FD</paraID>
      <start>47</start>
      <end>49</end>
      <status>modified</status>
      <modifiedWord>间内</modifiedWord>
      <trackRevisions>false</trackRevisions>
    </reviewItem>
    <reviewItem>
      <errorID>de22989e-888f-4588-9554-0c89658c787d</errorID>
      <errorWord>〔2017〕 141号</errorWord>
      <group>L1_Knowledge</group>
      <groupName>知识性问题</groupName>
      <ability>L2_Knowledge</ability>
      <abilityName>其他知识</abilityName>
      <candidateList>
        <item>〔2017〕141号</item>
      </candidateList>
      <explain>发文字号格式错误。</explain>
      <paraID>7A78BB89</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22DE48D-6A98-454A-8ACA-F712F200D75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郭雨</cp:lastModifiedBy>
  <cp:revision>6</cp:revision>
  <dcterms:created xsi:type="dcterms:W3CDTF">2025-05-06T11:11:00Z</dcterms:created>
  <dcterms:modified xsi:type="dcterms:W3CDTF">2026-07-30T03:15:59Z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C496747B2F6C4522B734FCCC54707DA4_13</vt:lpwstr>
  </property>
  <property fmtid="{D5CDD505-2E9C-101B-9397-08002B2CF9AE}" pid="4" name="KSOTemplateDocerSaveRecord">
    <vt:lpwstr>eyJoZGlkIjoiM2FiMWM2YzZjYTZiOGMzMGM4MTU4N2E3NGJjNWM1MjEiLCJ1c2VySWQiOiIxNDU1NjkwMjE0In0=</vt:lpwstr>
  </property>
</Properties>
</file>