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jc w:val="center"/>
        <w:rPr>
          <w:rFonts w:eastAsia="黑体"/>
          <w:b/>
          <w:bCs/>
          <w:sz w:val="84"/>
        </w:rPr>
      </w:pPr>
      <w:r>
        <w:rPr>
          <w:rFonts w:eastAsia="黑体"/>
          <w:b/>
          <w:bCs/>
          <w:sz w:val="84"/>
        </w:rPr>
      </w:r>
      <w:r/>
    </w:p>
    <w:p>
      <w:pPr>
        <w:pStyle w:val="972"/>
        <w:ind w:firstLine="0"/>
        <w:jc w:val="center"/>
        <w:rPr>
          <w:rFonts w:eastAsia="黑体"/>
          <w:b/>
          <w:bCs/>
          <w:sz w:val="84"/>
        </w:rPr>
      </w:pPr>
      <w:r>
        <w:rPr>
          <w:rFonts w:hint="eastAsia" w:eastAsia="黑体"/>
          <w:b/>
          <w:bCs/>
          <w:sz w:val="84"/>
        </w:rPr>
        <w:t xml:space="preserve">招　标　文　件</w:t>
      </w:r>
      <w:r/>
    </w:p>
    <w:p>
      <w:pPr>
        <w:pStyle w:val="972"/>
        <w:ind w:firstLine="0"/>
        <w:jc w:val="center"/>
        <w:rPr>
          <w:b/>
          <w:bCs/>
          <w:sz w:val="72"/>
          <w:szCs w:val="22"/>
        </w:rPr>
      </w:pPr>
      <w:r>
        <w:rPr>
          <w:rFonts w:hint="eastAsia"/>
          <w:b/>
          <w:bCs/>
          <w:sz w:val="28"/>
          <w:szCs w:val="22"/>
        </w:rPr>
        <w:t xml:space="preserve">项目名称：江苏省公安厅</w:t>
      </w:r>
      <w:r>
        <w:rPr>
          <w:rFonts w:hint="eastAsia"/>
          <w:b/>
          <w:bCs/>
          <w:sz w:val="28"/>
          <w:szCs w:val="22"/>
        </w:rPr>
        <w:t xml:space="preserve">2026</w:t>
      </w:r>
      <w:r>
        <w:rPr>
          <w:rFonts w:hint="eastAsia"/>
          <w:b/>
          <w:bCs/>
          <w:sz w:val="28"/>
          <w:szCs w:val="22"/>
        </w:rPr>
        <w:t xml:space="preserve">年度被装物资采购（警帽、特警类）</w:t>
      </w:r>
      <w:r/>
    </w:p>
    <w:p>
      <w:pPr>
        <w:pStyle w:val="972"/>
        <w:ind w:firstLine="0"/>
        <w:jc w:val="center"/>
        <w:rPr>
          <w:b/>
          <w:bCs/>
          <w:sz w:val="28"/>
          <w:szCs w:val="22"/>
        </w:rPr>
      </w:pPr>
      <w:r>
        <w:rPr>
          <w:rFonts w:hint="eastAsia"/>
          <w:b/>
          <w:bCs/>
          <w:sz w:val="28"/>
          <w:szCs w:val="22"/>
        </w:rPr>
        <w:t xml:space="preserve">项目编号：</w:t>
      </w:r>
      <w:r>
        <w:rPr>
          <w:b/>
          <w:bCs/>
          <w:sz w:val="28"/>
          <w:szCs w:val="22"/>
        </w:rPr>
        <w:t xml:space="preserve">JSZC-320000-SCZX-G202</w:t>
      </w:r>
      <w:r>
        <w:rPr>
          <w:rFonts w:hint="eastAsia"/>
          <w:b/>
          <w:bCs/>
          <w:sz w:val="28"/>
          <w:szCs w:val="22"/>
        </w:rPr>
        <w:t xml:space="preserve">6</w:t>
      </w:r>
      <w:r>
        <w:rPr>
          <w:b/>
          <w:bCs/>
          <w:sz w:val="28"/>
          <w:szCs w:val="22"/>
        </w:rPr>
        <w:t xml:space="preserve">-</w:t>
      </w:r>
      <w:r>
        <w:rPr>
          <w:rFonts w:hint="eastAsia"/>
          <w:b/>
          <w:bCs/>
          <w:sz w:val="28"/>
          <w:szCs w:val="22"/>
        </w:rPr>
        <w:t xml:space="preserve">0198</w:t>
      </w:r>
      <w:r/>
    </w:p>
    <w:p>
      <w:pPr>
        <w:ind w:left="3012" w:hanging="3012"/>
        <w:rPr>
          <w:b/>
          <w:sz w:val="30"/>
          <w:szCs w:val="30"/>
        </w:rPr>
      </w:pPr>
      <w:r>
        <w:rPr>
          <w:b/>
          <w:sz w:val="30"/>
          <w:szCs w:val="30"/>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jc w:val="center"/>
        <w:rPr>
          <w:b/>
          <w:bCs/>
          <w:sz w:val="32"/>
        </w:rPr>
      </w:pPr>
      <w:r>
        <w:rPr>
          <w:rFonts w:hint="eastAsia"/>
          <w:b/>
          <w:bCs/>
          <w:sz w:val="32"/>
        </w:rPr>
        <w:t xml:space="preserve">江苏省政府采购中心</w:t>
      </w:r>
      <w:r/>
    </w:p>
    <w:p>
      <w:pPr>
        <w:pStyle w:val="972"/>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6</w:t>
      </w:r>
      <w:r>
        <w:rPr>
          <w:rFonts w:hint="eastAsia"/>
          <w:b/>
          <w:bCs/>
          <w:sz w:val="32"/>
        </w:rPr>
        <w:t xml:space="preserve">月</w:t>
      </w:r>
      <w:r>
        <w:rPr>
          <w:rFonts w:hint="eastAsia"/>
          <w:b/>
          <w:bCs/>
          <w:sz w:val="32"/>
        </w:rPr>
        <w:t xml:space="preserve"> </w:t>
      </w:r>
      <w:r/>
    </w:p>
    <w:p>
      <w:pPr>
        <w:pStyle w:val="972"/>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471"/>
      <w:r/>
      <w:bookmarkStart w:id="1" w:name="_Toc224197596"/>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06"/>
            <w:rPr>
              <w:color w:val="auto"/>
            </w:rPr>
          </w:pPr>
          <w:r>
            <w:rPr>
              <w:color w:val="auto"/>
            </w:rPr>
          </w:r>
          <w:r/>
        </w:p>
        <w:p>
          <w:pPr>
            <w:pStyle w:val="776"/>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hyperlink w:tooltip="#_Toc224197596" w:anchor="_Toc224197596" w:history="1">
            <w:r>
              <w:rPr>
                <w:rStyle w:val="791"/>
                <w:rFonts w:ascii="黑体" w:hAnsi="Arial" w:eastAsia="黑体"/>
                <w:color w:val="auto"/>
              </w:rPr>
              <w:t xml:space="preserve">总  目  录</w:t>
            </w:r>
            <w:r>
              <w:tab/>
            </w:r>
            <w:r>
              <w:fldChar w:fldCharType="begin"/>
            </w:r>
            <w:r>
              <w:instrText xml:space="preserve"> PAGEREF _Toc224197596 \h </w:instrText>
            </w:r>
            <w:r/>
            <w:r>
              <w:fldChar w:fldCharType="separate"/>
            </w:r>
            <w:r>
              <w:t xml:space="preserve">2</w:t>
            </w:r>
            <w:r>
              <w:fldChar w:fldCharType="end"/>
            </w:r>
          </w:hyperlink>
          <w:r/>
          <w:r/>
        </w:p>
        <w:p>
          <w:pPr>
            <w:pStyle w:val="776"/>
            <w:tabs>
              <w:tab w:val="right" w:pos="8835" w:leader="dot"/>
            </w:tabs>
            <w:rPr>
              <w:rFonts w:asciiTheme="minorHAnsi" w:hAnsiTheme="minorHAnsi" w:eastAsiaTheme="minorEastAsia" w:cstheme="minorBidi"/>
              <w:szCs w:val="22"/>
            </w:rPr>
          </w:pPr>
          <w:r/>
          <w:hyperlink w:tooltip="#_Toc224197597" w:anchor="_Toc224197597" w:history="1">
            <w:r>
              <w:rPr>
                <w:rStyle w:val="791"/>
                <w:rFonts w:ascii="黑体" w:eastAsia="黑体"/>
                <w:color w:val="auto"/>
              </w:rPr>
              <w:t xml:space="preserve">第一章  投标邀请</w:t>
            </w:r>
            <w:r>
              <w:tab/>
            </w:r>
            <w:r>
              <w:fldChar w:fldCharType="begin"/>
            </w:r>
            <w:r>
              <w:instrText xml:space="preserve"> PAGEREF _Toc224197597 \h </w:instrText>
            </w:r>
            <w:r/>
            <w:r>
              <w:fldChar w:fldCharType="separate"/>
            </w:r>
            <w:r>
              <w:t xml:space="preserve">3</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598" w:anchor="_Toc224197598" w:history="1">
            <w:r>
              <w:rPr>
                <w:rStyle w:val="791"/>
                <w:color w:val="auto"/>
              </w:rPr>
              <w:t xml:space="preserve">一、项目基本情况</w:t>
            </w:r>
            <w:r>
              <w:tab/>
            </w:r>
            <w:r>
              <w:fldChar w:fldCharType="begin"/>
            </w:r>
            <w:r>
              <w:instrText xml:space="preserve"> PAGEREF _Toc224197598 \h </w:instrText>
            </w:r>
            <w:r/>
            <w:r>
              <w:fldChar w:fldCharType="separate"/>
            </w:r>
            <w:r>
              <w:t xml:space="preserve">3</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0" w:anchor="_Toc224197600" w:history="1">
            <w:r>
              <w:rPr>
                <w:rStyle w:val="791"/>
                <w:color w:val="auto"/>
              </w:rPr>
              <w:t xml:space="preserve">二、申请人的资格要求</w:t>
            </w:r>
            <w:r>
              <w:tab/>
            </w:r>
            <w:r>
              <w:fldChar w:fldCharType="begin"/>
            </w:r>
            <w:r>
              <w:instrText xml:space="preserve"> PAGEREF _Toc224197600 \h </w:instrText>
            </w:r>
            <w:r/>
            <w:r>
              <w:fldChar w:fldCharType="separate"/>
            </w:r>
            <w:r>
              <w:t xml:space="preserve">4</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1" w:anchor="_Toc224197601" w:history="1">
            <w:r>
              <w:rPr>
                <w:rStyle w:val="791"/>
                <w:color w:val="auto"/>
              </w:rPr>
              <w:t xml:space="preserve">三、获取招标文件</w:t>
            </w:r>
            <w:r>
              <w:tab/>
            </w:r>
            <w:r>
              <w:fldChar w:fldCharType="begin"/>
            </w:r>
            <w:r>
              <w:instrText xml:space="preserve"> PAGEREF _Toc224197601 \h </w:instrText>
            </w:r>
            <w:r/>
            <w:r>
              <w:fldChar w:fldCharType="separate"/>
            </w:r>
            <w:r>
              <w:t xml:space="preserve">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2" w:anchor="_Toc224197602" w:history="1">
            <w:r>
              <w:rPr>
                <w:rStyle w:val="791"/>
                <w:color w:val="auto"/>
              </w:rPr>
              <w:t xml:space="preserve">四、提交投标文件截止时间、开标时间和地点</w:t>
            </w:r>
            <w:r>
              <w:tab/>
            </w:r>
            <w:r>
              <w:fldChar w:fldCharType="begin"/>
            </w:r>
            <w:r>
              <w:instrText xml:space="preserve"> PAGEREF _Toc224197602 \h </w:instrText>
            </w:r>
            <w:r/>
            <w:r>
              <w:fldChar w:fldCharType="separate"/>
            </w:r>
            <w:r>
              <w:t xml:space="preserve">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3" w:anchor="_Toc224197603" w:history="1">
            <w:r>
              <w:rPr>
                <w:rStyle w:val="791"/>
                <w:color w:val="auto"/>
              </w:rPr>
              <w:t xml:space="preserve">五、公告期限</w:t>
            </w:r>
            <w:r>
              <w:tab/>
            </w:r>
            <w:r>
              <w:fldChar w:fldCharType="begin"/>
            </w:r>
            <w:r>
              <w:instrText xml:space="preserve"> PAGEREF _Toc224197603 \h </w:instrText>
            </w:r>
            <w:r/>
            <w:r>
              <w:fldChar w:fldCharType="separate"/>
            </w:r>
            <w:r>
              <w:t xml:space="preserve">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4" w:anchor="_Toc224197604" w:history="1">
            <w:r>
              <w:rPr>
                <w:rStyle w:val="791"/>
                <w:color w:val="auto"/>
              </w:rPr>
              <w:t xml:space="preserve">六、其他补充事宜</w:t>
            </w:r>
            <w:r>
              <w:tab/>
            </w:r>
            <w:r>
              <w:fldChar w:fldCharType="begin"/>
            </w:r>
            <w:r>
              <w:instrText xml:space="preserve"> PAGEREF _Toc224197604 \h </w:instrText>
            </w:r>
            <w:r/>
            <w:r>
              <w:fldChar w:fldCharType="separate"/>
            </w:r>
            <w:r>
              <w:t xml:space="preserve">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5" w:anchor="_Toc224197605" w:history="1">
            <w:r>
              <w:rPr>
                <w:rStyle w:val="791"/>
                <w:color w:val="auto"/>
              </w:rPr>
              <w:t xml:space="preserve">七、本次招标联系方式</w:t>
            </w:r>
            <w:r>
              <w:tab/>
            </w:r>
            <w:r>
              <w:fldChar w:fldCharType="begin"/>
            </w:r>
            <w:r>
              <w:instrText xml:space="preserve"> PAGEREF _Toc224197605 \h </w:instrText>
            </w:r>
            <w:r/>
            <w:r>
              <w:fldChar w:fldCharType="separate"/>
            </w:r>
            <w:r>
              <w:t xml:space="preserve">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6" w:anchor="_Toc224197606" w:history="1">
            <w:r>
              <w:rPr>
                <w:rStyle w:val="791"/>
                <w:color w:val="auto"/>
              </w:rPr>
              <w:t xml:space="preserve">八、其他</w:t>
            </w:r>
            <w:r>
              <w:tab/>
            </w:r>
            <w:r>
              <w:fldChar w:fldCharType="begin"/>
            </w:r>
            <w:r>
              <w:instrText xml:space="preserve"> PAGEREF _Toc224197606 \h </w:instrText>
            </w:r>
            <w:r/>
            <w:r>
              <w:fldChar w:fldCharType="separate"/>
            </w:r>
            <w:r>
              <w:t xml:space="preserve">6</w:t>
            </w:r>
            <w:r>
              <w:fldChar w:fldCharType="end"/>
            </w:r>
          </w:hyperlink>
          <w:r/>
          <w:r/>
        </w:p>
        <w:p>
          <w:pPr>
            <w:pStyle w:val="782"/>
            <w:ind w:left="0"/>
            <w:tabs>
              <w:tab w:val="right" w:pos="8835" w:leader="dot"/>
            </w:tabs>
            <w:rPr>
              <w:rFonts w:asciiTheme="minorHAnsi" w:hAnsiTheme="minorHAnsi" w:eastAsiaTheme="minorEastAsia" w:cstheme="minorBidi"/>
              <w:szCs w:val="22"/>
            </w:rPr>
          </w:pPr>
          <w:r/>
          <w:hyperlink w:tooltip="#_Toc224197607" w:anchor="_Toc224197607" w:history="1">
            <w:r>
              <w:rPr>
                <w:rStyle w:val="791"/>
                <w:rFonts w:ascii="黑体" w:hAnsi="Arial" w:eastAsia="黑体" w:cs="Arial"/>
                <w:bCs/>
                <w:color w:val="auto"/>
              </w:rPr>
              <w:t xml:space="preserve">第二章  投标人须知</w:t>
            </w:r>
            <w:r>
              <w:tab/>
            </w:r>
            <w:r>
              <w:fldChar w:fldCharType="begin"/>
            </w:r>
            <w:r>
              <w:instrText xml:space="preserve"> PAGEREF _Toc224197607 \h </w:instrText>
            </w:r>
            <w:r/>
            <w:r>
              <w:fldChar w:fldCharType="separate"/>
            </w:r>
            <w:r>
              <w:t xml:space="preserve">7</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8" w:anchor="_Toc224197608" w:history="1">
            <w:r>
              <w:rPr>
                <w:rStyle w:val="791"/>
                <w:bCs/>
                <w:color w:val="auto"/>
              </w:rPr>
              <w:t xml:space="preserve">一、总则</w:t>
            </w:r>
            <w:r>
              <w:tab/>
            </w:r>
            <w:r>
              <w:fldChar w:fldCharType="begin"/>
            </w:r>
            <w:r>
              <w:instrText xml:space="preserve"> PAGEREF _Toc224197608 \h </w:instrText>
            </w:r>
            <w:r/>
            <w:r>
              <w:fldChar w:fldCharType="separate"/>
            </w:r>
            <w:r>
              <w:t xml:space="preserve">7</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09" w:anchor="_Toc224197609" w:history="1">
            <w:r>
              <w:rPr>
                <w:rStyle w:val="791"/>
                <w:bCs/>
                <w:color w:val="auto"/>
              </w:rPr>
              <w:t xml:space="preserve">二、招标文件</w:t>
            </w:r>
            <w:r>
              <w:tab/>
            </w:r>
            <w:r>
              <w:fldChar w:fldCharType="begin"/>
            </w:r>
            <w:r>
              <w:instrText xml:space="preserve"> PAGEREF _Toc224197609 \h </w:instrText>
            </w:r>
            <w:r/>
            <w:r>
              <w:fldChar w:fldCharType="separate"/>
            </w:r>
            <w:r>
              <w:t xml:space="preserve">7</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10" w:anchor="_Toc224197610" w:history="1">
            <w:r>
              <w:rPr>
                <w:rStyle w:val="791"/>
                <w:bCs/>
                <w:color w:val="auto"/>
              </w:rPr>
              <w:t xml:space="preserve">三、投标文件的编制</w:t>
            </w:r>
            <w:r>
              <w:tab/>
            </w:r>
            <w:r>
              <w:fldChar w:fldCharType="begin"/>
            </w:r>
            <w:r>
              <w:instrText xml:space="preserve"> PAGEREF _Toc224197610 \h </w:instrText>
            </w:r>
            <w:r/>
            <w:r>
              <w:fldChar w:fldCharType="separate"/>
            </w:r>
            <w:r>
              <w:t xml:space="preserve">8</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11" w:anchor="_Toc224197611" w:history="1">
            <w:r>
              <w:rPr>
                <w:rStyle w:val="791"/>
                <w:bCs/>
                <w:color w:val="auto"/>
              </w:rPr>
              <w:t xml:space="preserve">四、投标文件的递交</w:t>
            </w:r>
            <w:r>
              <w:tab/>
            </w:r>
            <w:r>
              <w:fldChar w:fldCharType="begin"/>
            </w:r>
            <w:r>
              <w:instrText xml:space="preserve"> PAGEREF _Toc224197611 \h </w:instrText>
            </w:r>
            <w:r/>
            <w:r>
              <w:fldChar w:fldCharType="separate"/>
            </w:r>
            <w:r>
              <w:t xml:space="preserve">9</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12" w:anchor="_Toc224197612" w:history="1">
            <w:r>
              <w:rPr>
                <w:rStyle w:val="791"/>
                <w:bCs/>
                <w:color w:val="auto"/>
              </w:rPr>
              <w:t xml:space="preserve">五、开标与评标</w:t>
            </w:r>
            <w:r>
              <w:tab/>
            </w:r>
            <w:r>
              <w:fldChar w:fldCharType="begin"/>
            </w:r>
            <w:r>
              <w:instrText xml:space="preserve"> PAGEREF _Toc224197612 \h </w:instrText>
            </w:r>
            <w:r/>
            <w:r>
              <w:fldChar w:fldCharType="separate"/>
            </w:r>
            <w:r>
              <w:t xml:space="preserve">10</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13" w:anchor="_Toc224197613" w:history="1">
            <w:r>
              <w:rPr>
                <w:rStyle w:val="791"/>
                <w:bCs/>
                <w:color w:val="auto"/>
              </w:rPr>
              <w:t xml:space="preserve">六、定标</w:t>
            </w:r>
            <w:r>
              <w:tab/>
            </w:r>
            <w:r>
              <w:fldChar w:fldCharType="begin"/>
            </w:r>
            <w:r>
              <w:instrText xml:space="preserve"> PAGEREF _Toc224197613 \h </w:instrText>
            </w:r>
            <w:r/>
            <w:r>
              <w:fldChar w:fldCharType="separate"/>
            </w:r>
            <w:r>
              <w:t xml:space="preserve">15</w:t>
            </w:r>
            <w:r>
              <w:fldChar w:fldCharType="end"/>
            </w:r>
          </w:hyperlink>
          <w:r/>
          <w:r/>
        </w:p>
        <w:p>
          <w:pPr>
            <w:pStyle w:val="769"/>
            <w:tabs>
              <w:tab w:val="right" w:pos="8835" w:leader="dot"/>
            </w:tabs>
            <w:rPr>
              <w:rFonts w:asciiTheme="minorHAnsi" w:hAnsiTheme="minorHAnsi" w:eastAsiaTheme="minorEastAsia" w:cstheme="minorBidi"/>
              <w:szCs w:val="22"/>
            </w:rPr>
          </w:pPr>
          <w:r/>
          <w:hyperlink w:tooltip="#_Toc224197614" w:anchor="_Toc224197614" w:history="1">
            <w:r>
              <w:rPr>
                <w:rStyle w:val="791"/>
                <w:bCs/>
                <w:color w:val="auto"/>
              </w:rPr>
              <w:t xml:space="preserve">七、授予合同</w:t>
            </w:r>
            <w:r>
              <w:tab/>
            </w:r>
            <w:r>
              <w:fldChar w:fldCharType="begin"/>
            </w:r>
            <w:r>
              <w:instrText xml:space="preserve"> PAGEREF _Toc224197614 \h </w:instrText>
            </w:r>
            <w:r/>
            <w:r>
              <w:fldChar w:fldCharType="separate"/>
            </w:r>
            <w:r>
              <w:t xml:space="preserve">17</w:t>
            </w:r>
            <w:r>
              <w:fldChar w:fldCharType="end"/>
            </w:r>
          </w:hyperlink>
          <w:r/>
          <w:r/>
        </w:p>
        <w:p>
          <w:pPr>
            <w:pStyle w:val="776"/>
            <w:tabs>
              <w:tab w:val="right" w:pos="8835" w:leader="dot"/>
            </w:tabs>
            <w:rPr>
              <w:rFonts w:asciiTheme="minorHAnsi" w:hAnsiTheme="minorHAnsi" w:eastAsiaTheme="minorEastAsia" w:cstheme="minorBidi"/>
              <w:szCs w:val="22"/>
            </w:rPr>
          </w:pPr>
          <w:r/>
          <w:hyperlink w:tooltip="#_Toc224197615" w:anchor="_Toc224197615" w:history="1">
            <w:r>
              <w:rPr>
                <w:rStyle w:val="791"/>
                <w:rFonts w:asciiTheme="majorEastAsia" w:hAnsiTheme="majorEastAsia" w:eastAsiaTheme="majorEastAsia"/>
                <w:color w:val="auto"/>
              </w:rPr>
              <w:t xml:space="preserve">第三章  合同文本</w:t>
            </w:r>
            <w:r>
              <w:tab/>
            </w:r>
            <w:r>
              <w:fldChar w:fldCharType="begin"/>
            </w:r>
            <w:r>
              <w:instrText xml:space="preserve"> PAGEREF _Toc224197615 \h </w:instrText>
            </w:r>
            <w:r/>
            <w:r>
              <w:fldChar w:fldCharType="separate"/>
            </w:r>
            <w:r>
              <w:t xml:space="preserve">18</w:t>
            </w:r>
            <w:r>
              <w:fldChar w:fldCharType="end"/>
            </w:r>
          </w:hyperlink>
          <w:r/>
          <w:r/>
        </w:p>
        <w:p>
          <w:pPr>
            <w:pStyle w:val="776"/>
            <w:tabs>
              <w:tab w:val="right" w:pos="8835" w:leader="dot"/>
            </w:tabs>
            <w:rPr>
              <w:rFonts w:asciiTheme="minorHAnsi" w:hAnsiTheme="minorHAnsi" w:eastAsiaTheme="minorEastAsia" w:cstheme="minorBidi"/>
              <w:szCs w:val="22"/>
            </w:rPr>
          </w:pPr>
          <w:r/>
          <w:hyperlink w:tooltip="#_Toc224197617" w:anchor="_Toc224197617" w:history="1">
            <w:r>
              <w:rPr>
                <w:rStyle w:val="791"/>
                <w:rFonts w:ascii="黑体" w:eastAsia="黑体"/>
                <w:color w:val="auto"/>
              </w:rPr>
              <w:t xml:space="preserve">第四章  采购需求</w:t>
            </w:r>
            <w:r>
              <w:tab/>
            </w:r>
            <w:r>
              <w:fldChar w:fldCharType="begin"/>
            </w:r>
            <w:r>
              <w:instrText xml:space="preserve"> PAGEREF _Toc224197617 \h </w:instrText>
            </w:r>
            <w:r/>
            <w:r>
              <w:fldChar w:fldCharType="separate"/>
            </w:r>
            <w:r>
              <w:t xml:space="preserve">30</w:t>
            </w:r>
            <w:r>
              <w:fldChar w:fldCharType="end"/>
            </w:r>
          </w:hyperlink>
          <w:r/>
          <w:r/>
        </w:p>
        <w:p>
          <w:pPr>
            <w:pStyle w:val="776"/>
            <w:tabs>
              <w:tab w:val="right" w:pos="8835" w:leader="dot"/>
            </w:tabs>
            <w:rPr>
              <w:rFonts w:asciiTheme="minorHAnsi" w:hAnsiTheme="minorHAnsi" w:eastAsiaTheme="minorEastAsia" w:cstheme="minorBidi"/>
              <w:szCs w:val="22"/>
            </w:rPr>
          </w:pPr>
          <w:r/>
          <w:hyperlink w:tooltip="#_Toc224197618" w:anchor="_Toc224197618" w:history="1">
            <w:r>
              <w:rPr>
                <w:rStyle w:val="791"/>
                <w:rFonts w:ascii="黑体" w:eastAsia="黑体"/>
                <w:bCs/>
                <w:color w:val="auto"/>
              </w:rPr>
              <w:t xml:space="preserve">第五章</w:t>
            </w:r>
            <w:r>
              <w:rPr>
                <w:rStyle w:val="791"/>
                <w:rFonts w:hint="eastAsia" w:ascii="黑体" w:eastAsia="黑体"/>
                <w:bCs/>
                <w:color w:val="auto"/>
              </w:rPr>
              <w:t xml:space="preserve">  </w:t>
            </w:r>
            <w:r>
              <w:rPr>
                <w:rStyle w:val="791"/>
                <w:rFonts w:ascii="黑体" w:eastAsia="黑体"/>
                <w:bCs/>
                <w:color w:val="auto"/>
              </w:rPr>
              <w:t xml:space="preserve">评标方法与评标标准</w:t>
            </w:r>
            <w:r>
              <w:tab/>
            </w:r>
            <w:r>
              <w:fldChar w:fldCharType="begin"/>
            </w:r>
            <w:r>
              <w:instrText xml:space="preserve"> PAGEREF _Toc224197618 \h </w:instrText>
            </w:r>
            <w:r/>
            <w:r>
              <w:fldChar w:fldCharType="separate"/>
            </w:r>
            <w:r>
              <w:t xml:space="preserve">39</w:t>
            </w:r>
            <w:r>
              <w:fldChar w:fldCharType="end"/>
            </w:r>
          </w:hyperlink>
          <w:r/>
          <w:r/>
        </w:p>
        <w:p>
          <w:pPr>
            <w:pStyle w:val="776"/>
            <w:tabs>
              <w:tab w:val="right" w:pos="8835" w:leader="dot"/>
            </w:tabs>
            <w:rPr>
              <w:rFonts w:asciiTheme="minorHAnsi" w:hAnsiTheme="minorHAnsi" w:eastAsiaTheme="minorEastAsia" w:cstheme="minorBidi"/>
              <w:szCs w:val="22"/>
            </w:rPr>
          </w:pPr>
          <w:r/>
          <w:hyperlink w:tooltip="#_Toc224197619" w:anchor="_Toc224197619" w:history="1">
            <w:r>
              <w:rPr>
                <w:rStyle w:val="791"/>
                <w:rFonts w:ascii="黑体" w:eastAsia="黑体"/>
                <w:bCs/>
                <w:color w:val="auto"/>
              </w:rPr>
              <w:t xml:space="preserve">第六章  投标文件格式</w:t>
            </w:r>
            <w:r>
              <w:tab/>
            </w:r>
            <w:r>
              <w:fldChar w:fldCharType="begin"/>
            </w:r>
            <w:r>
              <w:instrText xml:space="preserve"> PAGEREF _Toc224197619 \h </w:instrText>
            </w:r>
            <w:r/>
            <w:r>
              <w:fldChar w:fldCharType="separate"/>
            </w:r>
            <w:r>
              <w:t xml:space="preserve">47</w:t>
            </w:r>
            <w:r>
              <w:fldChar w:fldCharType="end"/>
            </w:r>
          </w:hyperlink>
          <w:r/>
          <w:r/>
        </w:p>
        <w:p>
          <w:r>
            <w:rPr>
              <w:b/>
              <w:bCs/>
              <w:lang w:val="zh-CN"/>
            </w:rPr>
            <w:fldChar w:fldCharType="end"/>
          </w:r>
          <w:r/>
        </w:p>
      </w:sdtContent>
    </w:sdt>
    <w:p>
      <w:pPr>
        <w:pStyle w:val="776"/>
        <w:tabs>
          <w:tab w:val="right" w:pos="8835" w:leader="dot"/>
        </w:tabs>
        <w:rPr>
          <w:rFonts w:asciiTheme="minorHAnsi" w:hAnsiTheme="minorHAnsi" w:cstheme="minorBidi"/>
          <w:sz w:val="22"/>
          <w:szCs w:val="24"/>
        </w:rPr>
      </w:pPr>
      <w:r>
        <w:rPr>
          <w:rFonts w:asciiTheme="minorHAnsi" w:hAnsiTheme="minorHAnsi" w:cstheme="minorBidi"/>
          <w:sz w:val="22"/>
          <w:szCs w:val="24"/>
        </w:rPr>
      </w:r>
      <w:r/>
    </w:p>
    <w:p>
      <w:r/>
      <w:r/>
    </w:p>
    <w:p>
      <w:pPr>
        <w:jc w:val="left"/>
        <w:widowControl/>
      </w:pPr>
      <w:r/>
      <w:bookmarkStart w:id="2" w:name="_第一章__投标邀请"/>
      <w:r/>
      <w:bookmarkStart w:id="3" w:name="_Toc165989565"/>
      <w:r>
        <w:br w:type="page" w:clear="all"/>
      </w:r>
      <w:r/>
    </w:p>
    <w:p>
      <w:pPr>
        <w:pStyle w:val="751"/>
        <w:spacing w:after="156"/>
        <w:rPr>
          <w:rFonts w:ascii="黑体" w:eastAsia="黑体"/>
          <w:bCs/>
          <w:sz w:val="44"/>
          <w:szCs w:val="44"/>
        </w:rPr>
      </w:pPr>
      <w:r/>
      <w:bookmarkStart w:id="4" w:name="_Toc224197597"/>
      <w:r/>
      <w:bookmarkStart w:id="5" w:name="_Toc224197472"/>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hint="eastAsia" w:ascii="宋体" w:hAnsi="宋体"/>
          <w:sz w:val="24"/>
          <w:szCs w:val="24"/>
        </w:rPr>
      </w:pPr>
      <w:r>
        <w:rPr>
          <w:rFonts w:hint="eastAsia" w:ascii="宋体" w:hAnsi="宋体"/>
          <w:sz w:val="24"/>
          <w:szCs w:val="24"/>
        </w:rPr>
        <w:t xml:space="preserve">受[江苏省公安厅]的委托，江苏省政府采购中心就[江苏省公安厅2026年度被装物资采购（警帽、特警类）](JSZC-320000-SCZX-G2026-0198)项目进行公开招标采购，欢迎符合条件的供应商投标。</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(江苏省公安厅2026年度被装物资采购（警帽、特警类）</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年7月15日9点30分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53"/>
        <w:ind w:firstLine="498"/>
        <w:spacing w:before="0" w:after="0" w:line="360" w:lineRule="auto"/>
      </w:pPr>
      <w:r/>
      <w:bookmarkStart w:id="6" w:name="_Toc224197473"/>
      <w:r/>
      <w:bookmarkStart w:id="7" w:name="_Toc224197598"/>
      <w:r/>
      <w:bookmarkStart w:id="8" w:name="_Toc165989566"/>
      <w:r>
        <w:rPr>
          <w:rFonts w:hint="eastAsia"/>
        </w:rPr>
        <w:t xml:space="preserve">一、项目基本情况</w:t>
      </w:r>
      <w:bookmarkEnd w:id="6"/>
      <w:r/>
      <w:bookmarkEnd w:id="7"/>
      <w:r/>
      <w:bookmarkEnd w:id="8"/>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1.项目编号：JSZC-320000-SCZX-G2026-0198</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江苏省公安厅2026年度被装物资采购（警帽、特警类）</w:t>
      </w:r>
      <w:r/>
    </w:p>
    <w:p>
      <w:pPr>
        <w:ind w:firstLine="480"/>
        <w:spacing w:line="360" w:lineRule="auto"/>
        <w:rPr>
          <w:rFonts w:hint="eastAsia" w:ascii="宋体" w:hAnsi="宋体"/>
          <w:sz w:val="24"/>
          <w:szCs w:val="24"/>
        </w:rPr>
      </w:pPr>
      <w:r>
        <w:rPr>
          <w:rFonts w:hint="eastAsia" w:ascii="宋体" w:hAnsi="宋体"/>
          <w:sz w:val="24"/>
          <w:szCs w:val="24"/>
        </w:rPr>
        <w:t xml:space="preserve">3.预算金额：21787050元。各分包预算详见下表：</w:t>
      </w:r>
      <w:r/>
    </w:p>
    <w:p>
      <w:pPr>
        <w:pStyle w:val="843"/>
      </w:pPr>
      <w:r/>
      <w:r/>
    </w:p>
    <w:tbl>
      <w:tblPr>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警帽类</w:t>
            </w:r>
            <w:r/>
          </w:p>
        </w:tc>
        <w:tc>
          <w:tcPr>
            <w:tcW w:w="4498" w:type="dxa"/>
            <w:vAlign w:val="center"/>
            <w:textDirection w:val="lrTb"/>
            <w:noWrap/>
          </w:tcPr>
          <w:p>
            <w:pPr>
              <w:jc w:val="center"/>
              <w:spacing w:line="400" w:lineRule="exact"/>
              <w:rPr>
                <w:rFonts w:hint="eastAsia" w:ascii="宋体" w:hAnsi="宋体"/>
              </w:rPr>
            </w:pPr>
            <w:r>
              <w:rPr>
                <w:rFonts w:hint="eastAsia"/>
              </w:rPr>
              <w:t xml:space="preserve">8434632</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sz w:val="18"/>
                <w:szCs w:val="18"/>
              </w:rPr>
              <w:t xml:space="preserve">特警战训服、背心、面罩、手套</w:t>
            </w:r>
            <w:r/>
          </w:p>
        </w:tc>
        <w:tc>
          <w:tcPr>
            <w:tcW w:w="4498" w:type="dxa"/>
            <w:vAlign w:val="center"/>
            <w:textDirection w:val="lrTb"/>
            <w:noWrap/>
          </w:tcPr>
          <w:p>
            <w:pPr>
              <w:jc w:val="center"/>
              <w:widowControl/>
            </w:pPr>
            <w:r>
              <w:rPr>
                <w:rFonts w:hint="eastAsia"/>
              </w:rPr>
              <w:t xml:space="preserve">13352418</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hint="eastAsia" w:ascii="宋体" w:hAnsi="宋体" w:cs="宋体"/>
                <w:sz w:val="22"/>
                <w:szCs w:val="22"/>
              </w:rPr>
            </w:pPr>
            <w:r>
              <w:rPr>
                <w:rFonts w:hint="eastAsia"/>
              </w:rPr>
              <w:t xml:space="preserve">21787050</w:t>
            </w:r>
            <w:r/>
          </w:p>
        </w:tc>
      </w:tr>
    </w:tbl>
    <w:p>
      <w:pPr>
        <w:pStyle w:val="773"/>
      </w:pPr>
      <w:r/>
      <w:r/>
    </w:p>
    <w:p>
      <w:pPr>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包1</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hint="eastAsia" w:ascii="宋体" w:hAnsi="宋体"/>
                <w:sz w:val="20"/>
                <w:szCs w:val="20"/>
              </w:rPr>
            </w:pPr>
            <w:r>
              <w:rPr>
                <w:rFonts w:hint="eastAsia"/>
              </w:rPr>
              <w:t xml:space="preserve">8434632</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包2</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rPr>
              <w:t xml:space="preserve">13352418</w:t>
            </w:r>
            <w:r/>
          </w:p>
        </w:tc>
      </w:tr>
    </w:tbl>
    <w:p>
      <w:pPr>
        <w:pStyle w:val="773"/>
      </w:pPr>
      <w:r/>
      <w:r/>
    </w:p>
    <w:p>
      <w:pPr>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p>
    <w:p>
      <w:pPr>
        <w:ind w:firstLine="480"/>
        <w:spacing w:line="360" w:lineRule="auto"/>
        <w:rPr>
          <w:rFonts w:hint="eastAsia" w:ascii="宋体" w:hAnsi="宋体"/>
          <w:sz w:val="24"/>
          <w:szCs w:val="24"/>
        </w:rPr>
      </w:pPr>
      <w:r/>
      <w:bookmarkStart w:id="9" w:name="_Toc224197599"/>
      <w:r/>
      <w:bookmarkStart w:id="10" w:name="_Toc224197474"/>
      <w:r/>
      <w:bookmarkStart w:id="11" w:name="_Toc165989567"/>
      <w:r>
        <w:rPr>
          <w:rFonts w:hint="eastAsia" w:ascii="宋体" w:hAnsi="宋体"/>
          <w:sz w:val="24"/>
          <w:szCs w:val="24"/>
        </w:rPr>
        <w:t xml:space="preserve">6.合同履行期限：合同履行期限为1年，下达生产计划60个日历日内（不含面料检测时间）交货，质保期自货物签收之日起2年。</w:t>
      </w:r>
      <w:bookmarkEnd w:id="9"/>
      <w:r/>
      <w:bookmarkEnd w:id="10"/>
      <w:r/>
      <w:bookmarkEnd w:id="11"/>
      <w:r/>
      <w:r/>
    </w:p>
    <w:p>
      <w:pPr>
        <w:pStyle w:val="753"/>
        <w:ind w:firstLine="498"/>
        <w:spacing w:before="0" w:after="0" w:line="360" w:lineRule="auto"/>
      </w:pPr>
      <w:r/>
      <w:bookmarkStart w:id="12" w:name="_Toc165989568"/>
      <w:r/>
      <w:bookmarkStart w:id="13" w:name="_Toc224197475"/>
      <w:r/>
      <w:bookmarkStart w:id="14" w:name="_Toc224197600"/>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968"/>
        <w:gridCol w:w="2967"/>
      </w:tblGrid>
      <w:tr>
        <w:trPr/>
        <w:tc>
          <w:tcPr>
            <w:tcW w:w="114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1-2</w:t>
            </w:r>
            <w:r/>
          </w:p>
        </w:tc>
        <w:tc>
          <w:tcPr>
            <w:tcW w:w="296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p>
    <w:tbl>
      <w:tblPr>
        <w:tblpPr w:horzAnchor="page" w:tblpX="1114" w:vertAnchor="text" w:tblpY="935" w:leftFromText="180" w:topFromText="0" w:rightFromText="180" w:bottomFromText="0"/>
        <w:tblW w:w="9430" w:type="dxa"/>
        <w:tblLayout w:type="fixed"/>
        <w:tblCellMar>
          <w:left w:w="15" w:type="dxa"/>
          <w:right w:w="15"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宋体" w:hAnsi="宋体"/>
                <w:bCs/>
              </w:rPr>
            </w:pPr>
            <w:r>
              <w:rPr>
                <w:rFonts w:ascii="宋体" w:hAnsi="宋体"/>
                <w:b/>
                <w:sz w:val="22"/>
                <w:szCs w:val="22"/>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宋体" w:hAnsi="宋体"/>
                <w:bCs/>
              </w:rPr>
            </w:pPr>
            <w:r>
              <w:rPr>
                <w:rFonts w:hint="eastAsia" w:ascii="宋体" w:hAnsi="宋体"/>
                <w:b/>
                <w:sz w:val="22"/>
                <w:szCs w:val="22"/>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hint="eastAsia" w:ascii="宋体" w:hAnsi="宋体"/>
                <w:bCs/>
              </w:rPr>
            </w:pPr>
            <w:r>
              <w:rPr>
                <w:rFonts w:ascii="宋体" w:hAnsi="宋体"/>
                <w:b/>
                <w:sz w:val="22"/>
                <w:szCs w:val="22"/>
              </w:rPr>
              <w:t xml:space="preserve">特定</w:t>
            </w:r>
            <w:r>
              <w:rPr>
                <w:rFonts w:hint="eastAsia" w:ascii="宋体" w:hAnsi="宋体"/>
                <w:b/>
                <w:sz w:val="22"/>
                <w:szCs w:val="22"/>
              </w:rPr>
              <w:t xml:space="preserve">资格</w:t>
            </w:r>
            <w:r>
              <w:rPr>
                <w:rFonts w:ascii="宋体" w:hAnsi="宋体"/>
                <w:b/>
                <w:sz w:val="22"/>
                <w:szCs w:val="22"/>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bCs/>
                <w:sz w:val="24"/>
                <w:szCs w:val="24"/>
              </w:rPr>
            </w:pPr>
            <w:r>
              <w:rPr>
                <w:rFonts w:eastAsia="方正仿宋_GBK"/>
                <w:sz w:val="24"/>
                <w:szCs w:val="24"/>
              </w:rPr>
              <w:t xml:space="preserve">包</w:t>
            </w:r>
            <w:r>
              <w:rPr>
                <w:rFonts w:eastAsia="方正仿宋_GBK"/>
                <w:sz w:val="24"/>
                <w:szCs w:val="24"/>
              </w:rPr>
              <w:t xml:space="preserve">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警帽类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55"/>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bCs/>
                <w:sz w:val="24"/>
                <w:szCs w:val="24"/>
              </w:rPr>
              <w:t xml:space="preserve">包</w:t>
            </w:r>
            <w:r>
              <w:rPr>
                <w:rFonts w:hint="eastAsia" w:eastAsia="方正仿宋_GBK"/>
                <w:bCs/>
                <w:sz w:val="24"/>
                <w:szCs w:val="24"/>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特警战训服、背心、面罩、手套</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特警战训服类”生产资格，提供证明材料扫描件加盖投标人公章，特警战训背心、面罩、手套需在《人民警察服装生产企业目录（2025版）》中具备生产资格的企业采购，并在投标文件中提供生产企业供货协议，中标企业须书面向甲方承诺对所有提供的产品质量负责。</w:t>
            </w:r>
            <w:r/>
          </w:p>
        </w:tc>
      </w:tr>
    </w:tbl>
    <w:p>
      <w:pPr>
        <w:ind w:firstLine="514"/>
        <w:spacing w:line="360" w:lineRule="auto"/>
        <w:shd w:val="clear" w:color="auto" w:fill="ffffff"/>
        <w:widowControl/>
        <w:rPr>
          <w:rFonts w:hint="eastAsia" w:ascii="宋体" w:hAnsi="宋体"/>
          <w:b/>
          <w:bCs/>
          <w:spacing w:val="8"/>
          <w:sz w:val="24"/>
          <w:szCs w:val="24"/>
        </w:rPr>
      </w:pPr>
      <w:r>
        <w:rPr>
          <w:rFonts w:hint="eastAsia" w:ascii="宋体" w:hAnsi="宋体"/>
          <w:b/>
          <w:bCs/>
          <w:spacing w:val="8"/>
          <w:sz w:val="24"/>
          <w:szCs w:val="24"/>
        </w:rPr>
      </w:r>
      <w:r/>
    </w:p>
    <w:p>
      <w:pPr>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753"/>
        <w:ind w:firstLine="498"/>
        <w:spacing w:before="0" w:after="0" w:line="360" w:lineRule="auto"/>
      </w:pPr>
      <w:r/>
      <w:bookmarkStart w:id="15" w:name="_Toc165989569"/>
      <w:r/>
      <w:bookmarkStart w:id="16" w:name="_Toc224197601"/>
      <w:r/>
      <w:bookmarkStart w:id="17" w:name="_Toc224197476"/>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53"/>
        <w:ind w:firstLine="498"/>
        <w:spacing w:before="0" w:after="0" w:line="360" w:lineRule="auto"/>
      </w:pPr>
      <w:r/>
      <w:bookmarkStart w:id="18" w:name="_Toc165989570"/>
      <w:r/>
      <w:bookmarkStart w:id="19" w:name="_Toc224197477"/>
      <w:r/>
      <w:bookmarkStart w:id="20" w:name="_Toc224197602"/>
      <w:r>
        <w:rPr>
          <w:rFonts w:hint="eastAsia"/>
        </w:rPr>
        <w:t xml:space="preserve">四、提交投标文件截止时间、开标时间和地点</w:t>
      </w:r>
      <w:bookmarkEnd w:id="18"/>
      <w:r/>
      <w:bookmarkEnd w:id="19"/>
      <w:r/>
      <w:bookmarkEnd w:id="20"/>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年7月15日9点30分</w:t>
      </w:r>
      <w:r>
        <w:rPr>
          <w:rFonts w:hint="eastAsia" w:ascii="宋体" w:hAnsi="宋体"/>
          <w:bCs/>
          <w:sz w:val="24"/>
          <w:szCs w:val="24"/>
        </w:rPr>
        <w:t xml:space="preserve">（北京时间）。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p>
    <w:p>
      <w:pPr>
        <w:pStyle w:val="753"/>
        <w:ind w:firstLine="498"/>
        <w:spacing w:before="0" w:after="0" w:line="360" w:lineRule="auto"/>
      </w:pPr>
      <w:r/>
      <w:bookmarkStart w:id="21" w:name="_Toc224197603"/>
      <w:r/>
      <w:bookmarkStart w:id="22" w:name="_Toc165989571"/>
      <w:r/>
      <w:bookmarkStart w:id="23" w:name="_Toc224197478"/>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753"/>
        <w:ind w:firstLine="498"/>
        <w:spacing w:before="0" w:after="0" w:line="360" w:lineRule="auto"/>
      </w:pPr>
      <w:r/>
      <w:bookmarkStart w:id="24" w:name="_Toc165989572"/>
      <w:r/>
      <w:bookmarkStart w:id="25" w:name="_Toc224197604"/>
      <w:r/>
      <w:bookmarkStart w:id="26" w:name="_Toc224197479"/>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753"/>
        <w:ind w:firstLine="643"/>
        <w:spacing w:before="0" w:after="0" w:line="360" w:lineRule="auto"/>
      </w:pPr>
      <w:r/>
      <w:bookmarkStart w:id="27" w:name="_Toc224197480"/>
      <w:r/>
      <w:bookmarkStart w:id="28" w:name="_Toc165989573"/>
      <w:r/>
      <w:bookmarkStart w:id="29" w:name="_Toc224197605"/>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江苏省公安厅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南京市鼓楼区扬州路</w:t>
      </w:r>
      <w:r>
        <w:rPr>
          <w:rFonts w:ascii="宋体" w:hAnsi="宋体"/>
          <w:sz w:val="24"/>
          <w:szCs w:val="24"/>
          <w:u w:val="single"/>
        </w:rPr>
        <w:t xml:space="preserve">10</w:t>
      </w:r>
      <w:r>
        <w:rPr>
          <w:rFonts w:hint="eastAsia" w:ascii="宋体" w:hAnsi="宋体"/>
          <w:sz w:val="24"/>
          <w:szCs w:val="24"/>
          <w:u w:val="single"/>
        </w:rPr>
        <w:t xml:space="preserve">号</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李昆</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025-8352</w:t>
      </w:r>
      <w:r>
        <w:rPr>
          <w:rFonts w:hint="eastAsia" w:ascii="宋体" w:hAnsi="宋体"/>
          <w:sz w:val="24"/>
          <w:szCs w:val="24"/>
          <w:u w:val="single"/>
        </w:rPr>
        <w:t xml:space="preserve">7035</w:t>
      </w:r>
      <w:r/>
    </w:p>
    <w:p>
      <w:pPr>
        <w:ind w:firstLine="480"/>
        <w:jc w:val="left"/>
        <w:spacing w:line="400" w:lineRule="exact"/>
        <w:rPr>
          <w:rFonts w:hint="eastAsia" w:ascii="宋体" w:hAnsi="宋体"/>
          <w:sz w:val="24"/>
          <w:szCs w:val="24"/>
        </w:rPr>
      </w:pPr>
      <w:r/>
      <w:bookmarkStart w:id="30" w:name="OLE_LINK6"/>
      <w:r/>
      <w:bookmarkStart w:id="31" w:name="OLE_LINK10"/>
      <w:r/>
      <w:bookmarkStart w:id="32" w:name="_Toc165989574"/>
      <w:r>
        <w:rPr>
          <w:rFonts w:hint="eastAsia" w:ascii="宋体" w:hAnsi="宋体" w:cs="宋体"/>
          <w:sz w:val="24"/>
          <w:szCs w:val="24"/>
        </w:rPr>
        <w:t xml:space="preserve">2.江苏省政府采购中心信息</w:t>
      </w:r>
      <w:r/>
    </w:p>
    <w:p>
      <w:pPr>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p>
    <w:p>
      <w:pPr>
        <w:pStyle w:val="753"/>
        <w:ind w:firstLine="643"/>
        <w:spacing w:before="0" w:after="0" w:line="360" w:lineRule="auto"/>
      </w:pPr>
      <w:r/>
      <w:bookmarkStart w:id="33" w:name="_Toc224197481"/>
      <w:r/>
      <w:bookmarkStart w:id="34" w:name="_Toc224197606"/>
      <w:r>
        <w:rPr>
          <w:rFonts w:hint="eastAsia"/>
        </w:rPr>
        <w:t xml:space="preserve">八、其他</w:t>
      </w:r>
      <w:bookmarkEnd w:id="32"/>
      <w:r/>
      <w:bookmarkEnd w:id="33"/>
      <w:r/>
      <w:bookmarkEnd w:id="34"/>
      <w:r/>
      <w:r/>
    </w:p>
    <w:p>
      <w:pPr>
        <w:pStyle w:val="767"/>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p>
    <w:p>
      <w:pPr>
        <w:pStyle w:val="767"/>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67"/>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Toc165989575"/>
      <w:r/>
      <w:bookmarkStart w:id="36" w:name="_第二章__投标人须知"/>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Start w:id="41" w:name="_Toc120614213"/>
      <w:r/>
      <w:bookmarkStart w:id="42" w:name="_Toc16938518"/>
      <w:r/>
      <w:bookmarkStart w:id="43" w:name="_Toc513029202"/>
      <w:r/>
      <w:bookmarkStart w:id="44" w:name="_Toc20823274"/>
      <w:r/>
      <w:bookmarkEnd w:id="37"/>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20823275"/>
      <w:r/>
      <w:bookmarkStart w:id="46" w:name="_Toc224197608"/>
      <w:r/>
      <w:bookmarkStart w:id="47" w:name="_Toc513029203"/>
      <w:r/>
      <w:bookmarkStart w:id="48" w:name="_Toc224197483"/>
      <w:r/>
      <w:bookmarkStart w:id="49" w:name="_Toc16938519"/>
      <w:r/>
      <w:bookmarkStart w:id="50" w:name="_Toc120614214"/>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20823276"/>
      <w:r/>
      <w:bookmarkStart w:id="54" w:name="_Toc513029204"/>
      <w:r/>
      <w:bookmarkStart w:id="55" w:name="_Toc16938520"/>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513029205"/>
      <w:r/>
      <w:bookmarkStart w:id="57" w:name="_Toc20823277"/>
      <w:r/>
      <w:bookmarkStart w:id="58"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513029206"/>
      <w:r/>
      <w:bookmarkStart w:id="61"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513029207"/>
      <w:r/>
      <w:bookmarkStart w:id="63" w:name="_Toc16938523"/>
      <w:r/>
      <w:bookmarkStart w:id="64" w:name="_Toc20823279"/>
      <w:r/>
      <w:bookmarkStart w:id="65"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20823281"/>
      <w:r/>
      <w:bookmarkStart w:id="67" w:name="_Toc120614215"/>
      <w:r/>
      <w:bookmarkStart w:id="68" w:name="_Toc16938525"/>
      <w:r/>
      <w:bookmarkStart w:id="69" w:name="_Toc513029209"/>
      <w:r/>
      <w:bookmarkStart w:id="70" w:name="_Toc224197484"/>
      <w:r/>
      <w:bookmarkStart w:id="71" w:name="_Toc224197609"/>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16938526"/>
      <w:r/>
      <w:bookmarkStart w:id="73" w:name="_Toc513029210"/>
      <w:r/>
      <w:bookmarkStart w:id="74"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462564071"/>
      <w:r/>
      <w:bookmarkStart w:id="76" w:name="_Toc20823284"/>
      <w:r/>
      <w:bookmarkStart w:id="77" w:name="_Toc16938528"/>
      <w:r/>
      <w:bookmarkStart w:id="78" w:name="_Toc513029212"/>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513029213"/>
      <w:r/>
      <w:bookmarkStart w:id="80" w:name="_Toc224197610"/>
      <w:r/>
      <w:bookmarkStart w:id="81" w:name="_Toc462564072"/>
      <w:r/>
      <w:bookmarkStart w:id="82" w:name="_Toc16938529"/>
      <w:r/>
      <w:bookmarkStart w:id="83" w:name="_Toc224197485"/>
      <w:r/>
      <w:bookmarkStart w:id="84" w:name="_Toc20823285"/>
      <w:r/>
      <w:bookmarkStart w:id="85" w:name="_Toc120614216"/>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513029214"/>
      <w:r/>
      <w:bookmarkStart w:id="87" w:name="_Toc16938530"/>
      <w:r/>
      <w:bookmarkStart w:id="88" w:name="_Toc20823286"/>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20823287"/>
      <w:r/>
      <w:bookmarkStart w:id="91" w:name="_Toc513029215"/>
      <w:r/>
      <w:bookmarkStart w:id="92" w:name="_Toc16938531"/>
      <w:r/>
      <w:bookmarkStart w:id="93" w:name="_Toc462564074"/>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954838"/>
      <w:r/>
      <w:bookmarkStart w:id="95" w:name="_Hlt26668975"/>
      <w:r/>
      <w:bookmarkStart w:id="96" w:name="_Hlt26670360"/>
      <w:r/>
      <w:bookmarkStart w:id="97" w:name="_Toc49090507"/>
      <w:r/>
      <w:bookmarkStart w:id="98" w:name="_Toc14577354"/>
      <w:r/>
      <w:bookmarkStart w:id="99" w:name="_Toc49090509"/>
      <w:r/>
      <w:bookmarkStart w:id="100" w:name="_Toc513029219"/>
      <w:r/>
      <w:bookmarkStart w:id="101" w:name="_Toc513029216"/>
      <w:r/>
      <w:bookmarkStart w:id="102" w:name="_Toc14577357"/>
      <w:r/>
      <w:bookmarkStart w:id="103" w:name="_Toc14577355"/>
      <w:r/>
      <w:bookmarkStart w:id="104" w:name="_Toc49090508"/>
      <w:r/>
      <w:bookmarkEnd w:id="94"/>
      <w:r/>
      <w:bookmarkEnd w:id="95"/>
      <w:r/>
      <w:bookmarkEnd w:id="96"/>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848"/>
      <w:r/>
      <w:bookmarkStart w:id="108" w:name="_Hlt26954846"/>
      <w:r/>
      <w:bookmarkStart w:id="109" w:name="_Hlt26954731"/>
      <w:r/>
      <w:bookmarkStart w:id="110" w:name="_Hlt26670482"/>
      <w:r/>
      <w:bookmarkStart w:id="111" w:name="_Hlt26670486"/>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49090510"/>
      <w:r/>
      <w:bookmarkStart w:id="113"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739"/>
      <w:r/>
      <w:bookmarkStart w:id="117" w:name="_Hlt26954852"/>
      <w:r/>
      <w:bookmarkStart w:id="118" w:name="_Toc120614217"/>
      <w:r/>
      <w:bookmarkStart w:id="119" w:name="_Toc16938540"/>
      <w:r/>
      <w:bookmarkStart w:id="120" w:name="_Toc224197486"/>
      <w:r/>
      <w:bookmarkStart w:id="121" w:name="_Toc20823296"/>
      <w:r/>
      <w:bookmarkStart w:id="122" w:name="_Toc224197611"/>
      <w:r/>
      <w:bookmarkStart w:id="123" w:name="_Toc513029224"/>
      <w:r/>
      <w:bookmarkEnd w:id="116"/>
      <w:r/>
      <w:bookmarkEnd w:id="117"/>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20823297"/>
      <w:r/>
      <w:bookmarkStart w:id="125" w:name="_Toc16938541"/>
      <w:r/>
      <w:bookmarkStart w:id="126" w:name="_Toc513029225"/>
      <w:r/>
      <w:bookmarkStart w:id="127"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hint="eastAsia" w:ascii="宋体" w:hAnsi="宋体"/>
          <w:bCs/>
          <w:sz w:val="24"/>
        </w:rPr>
      </w:pPr>
      <w:r>
        <w:rPr>
          <w:rFonts w:hint="eastAsia" w:ascii="宋体" w:hAnsi="宋体"/>
          <w:bCs/>
          <w:sz w:val="24"/>
        </w:rPr>
        <w:t xml:space="preserve">子投标文件。</w:t>
      </w:r>
      <w:bookmarkStart w:id="128" w:name="_Toc16938542"/>
      <w:r/>
      <w:bookmarkStart w:id="129" w:name="_Toc20823298"/>
      <w:r/>
      <w:bookmarkStart w:id="130" w:name="_Toc513029226"/>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20823299"/>
      <w:r/>
      <w:bookmarkStart w:id="132" w:name="_Toc16938543"/>
      <w:r/>
      <w:bookmarkStart w:id="133"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20823300"/>
      <w:r/>
      <w:bookmarkStart w:id="135" w:name="_Toc16938544"/>
      <w:r/>
      <w:bookmarkStart w:id="136"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20823301"/>
      <w:r/>
      <w:bookmarkStart w:id="138" w:name="_Toc224197487"/>
      <w:r/>
      <w:bookmarkStart w:id="139" w:name="_Toc513029229"/>
      <w:r/>
      <w:bookmarkStart w:id="140" w:name="_Toc120614218"/>
      <w:r/>
      <w:bookmarkStart w:id="141" w:name="_Toc16938545"/>
      <w:r/>
      <w:bookmarkStart w:id="142" w:name="_Toc224197612"/>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20823302"/>
      <w:r/>
      <w:bookmarkStart w:id="144" w:name="_Toc16938546"/>
      <w:r/>
      <w:bookmarkStart w:id="145"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w:t>
      </w:r>
      <w:r>
        <w:rPr>
          <w:rFonts w:hint="eastAsia" w:ascii="宋体" w:hAnsi="宋体"/>
          <w:bCs/>
          <w:sz w:val="24"/>
        </w:rPr>
        <w:t xml:space="preserve">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513029231"/>
      <w:r/>
      <w:bookmarkStart w:id="147" w:name="_Toc20823303"/>
      <w:r/>
      <w:bookmarkStart w:id="148"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513029232"/>
      <w:r/>
      <w:bookmarkStart w:id="150" w:name="_Toc16938548"/>
      <w:r/>
      <w:bookmarkStart w:id="151"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hint="eastAsia" w:ascii="宋体" w:hAnsi="宋体"/>
          <w:sz w:val="24"/>
          <w:szCs w:val="24"/>
        </w:rPr>
      </w:pPr>
      <w:r/>
      <w:bookmarkStart w:id="152" w:name="_Toc16938549"/>
      <w:r/>
      <w:bookmarkStart w:id="153" w:name="_Toc513029233"/>
      <w:r/>
      <w:bookmarkStart w:id="154"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t>
      </w:r>
      <w:r>
        <w:rPr>
          <w:bCs/>
        </w:rPr>
        <w:t xml:space="preserve">www.creditchina.gov.cn</w:t>
      </w:r>
      <w:r>
        <w:rPr>
          <w:bCs/>
        </w:rPr>
        <w:t xml:space="preserve">）</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55" w:name="_Toc16938550"/>
      <w:r/>
      <w:bookmarkStart w:id="156" w:name="_Toc20823306"/>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w:t>
      </w:r>
      <w:r>
        <w:rPr>
          <w:rFonts w:hint="eastAsia" w:ascii="方正魏碑_GBK" w:hAnsi="方正魏碑_GBK" w:eastAsia="方正魏碑_GBK" w:cs="方正魏碑_GBK"/>
          <w:sz w:val="24"/>
        </w:rPr>
        <w:t xml:space="preserve">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400" w:lineRule="exact"/>
        <w:rPr>
          <w:rFonts w:hint="eastAsia" w:ascii="宋体" w:hAnsi="宋体"/>
          <w:b/>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rPr>
      </w:pPr>
      <w:r/>
      <w:bookmarkStart w:id="158" w:name="_Toc513029235"/>
      <w:r/>
      <w:bookmarkStart w:id="159" w:name="_Toc20823307"/>
      <w:r/>
      <w:bookmarkStart w:id="160"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hint="eastAsia"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hint="eastAsia" w:ascii="宋体" w:hAnsi="宋体"/>
          <w:bCs/>
          <w:sz w:val="24"/>
        </w:rPr>
      </w:pPr>
      <w:r>
        <w:rPr>
          <w:rFonts w:hint="eastAsia" w:ascii="宋体" w:hAnsi="宋体"/>
          <w:bCs/>
          <w:sz w:val="24"/>
        </w:rPr>
        <w:t xml:space="preserve">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hint="eastAsia" w:ascii="宋体" w:hAnsi="宋体"/>
          <w:bCs/>
          <w:sz w:val="24"/>
        </w:rPr>
      </w:pPr>
      <w:r>
        <w:rPr>
          <w:rFonts w:hint="eastAsia" w:ascii="宋体" w:hAnsi="宋体"/>
          <w:bCs/>
          <w:sz w:val="24"/>
        </w:rPr>
        <w:t xml:space="preserve">行。</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613"/>
      <w:r/>
      <w:bookmarkStart w:id="162" w:name="_Toc224197488"/>
      <w:r/>
      <w:bookmarkStart w:id="163" w:name="_Toc120614219"/>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hint="eastAsia" w:ascii="黑体" w:hAnsi="宋体" w:eastAsia="黑体"/>
          <w:bCs/>
          <w:sz w:val="30"/>
          <w:szCs w:val="30"/>
        </w:rPr>
        <w:outlineLvl w:val="3"/>
      </w:pPr>
      <w:r/>
      <w:bookmarkStart w:id="164" w:name="_Toc513029238"/>
      <w:r/>
      <w:bookmarkStart w:id="165" w:name="_Toc20823310"/>
      <w:r/>
      <w:bookmarkStart w:id="166"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w:t>
      </w:r>
      <w:r>
        <w:rPr>
          <w:rFonts w:hint="eastAsia" w:ascii="宋体" w:hAnsi="宋体"/>
          <w:sz w:val="24"/>
          <w:szCs w:val="24"/>
        </w:rPr>
        <w:t xml:space="preserve">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w:t>
      </w:r>
      <w:r>
        <w:rPr>
          <w:rFonts w:hint="eastAsia" w:ascii="宋体" w:hAnsi="宋体"/>
          <w:sz w:val="24"/>
          <w:szCs w:val="24"/>
        </w:rPr>
        <w:t xml:space="preserve">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16938552"/>
      <w:r/>
      <w:bookmarkStart w:id="169" w:name="_Toc20823308"/>
      <w:r/>
      <w:bookmarkStart w:id="170" w:name="_Toc120614220"/>
      <w:r/>
      <w:bookmarkStart w:id="171" w:name="_Toc513029236"/>
      <w:r/>
      <w:bookmarkStart w:id="172" w:name="_Toc224197489"/>
      <w:r/>
      <w:bookmarkStart w:id="173" w:name="_Toc224197614"/>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hint="eastAsia" w:ascii="黑体" w:hAnsi="宋体" w:eastAsia="黑体"/>
          <w:bCs/>
          <w:sz w:val="30"/>
          <w:szCs w:val="30"/>
        </w:rPr>
        <w:outlineLvl w:val="3"/>
      </w:pPr>
      <w:r/>
      <w:bookmarkStart w:id="174" w:name="_Toc16938553"/>
      <w:r/>
      <w:bookmarkStart w:id="175" w:name="_Toc20823309"/>
      <w:r/>
      <w:bookmarkStart w:id="176"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rPr>
          <w:rFonts w:ascii="黑体" w:eastAsia="黑体"/>
          <w:sz w:val="44"/>
          <w:szCs w:val="44"/>
        </w:rPr>
      </w:pPr>
      <w:r>
        <w:rPr>
          <w:rFonts w:ascii="黑体" w:eastAsia="黑体"/>
          <w:sz w:val="44"/>
          <w:szCs w:val="44"/>
        </w:rPr>
        <w:br w:type="page" w:clear="all"/>
      </w:r>
      <w:r/>
    </w:p>
    <w:p>
      <w:r/>
      <w:r/>
    </w:p>
    <w:p>
      <w:r/>
      <w:r/>
    </w:p>
    <w:p>
      <w:pPr>
        <w:pStyle w:val="751"/>
        <w:rPr>
          <w:rFonts w:hint="eastAsia"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江苏省公安厅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江苏省公安厅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JSZC-320000-SCZX-G2026-XXXX</w:t>
      </w:r>
      <w:r>
        <w:rPr>
          <w:rFonts w:hint="eastAsia" w:ascii="宋体" w:hAnsi="宋体" w:cs="Courier New"/>
          <w:sz w:val="24"/>
          <w:szCs w:val="24"/>
        </w:rPr>
        <w:t xml:space="preserve">）公开招标的结果，签署本合同。为此甲、乙双方订立本合同，以兹共同遵守。</w:t>
      </w:r>
      <w:r/>
    </w:p>
    <w:p>
      <w:pPr>
        <w:pStyle w:val="975"/>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江苏省公安厅</w:t>
      </w:r>
      <w:r>
        <w:rPr>
          <w:rFonts w:hint="eastAsia" w:hAnsi="宋体"/>
        </w:rPr>
        <w:t xml:space="preserve">                           乙方：</w:t>
      </w:r>
      <w:r/>
    </w:p>
    <w:p>
      <w:pPr>
        <w:pStyle w:val="975"/>
        <w:spacing w:before="78" w:after="78" w:line="360" w:lineRule="auto"/>
        <w:rPr>
          <w:rFonts w:hint="eastAsia" w:hAnsi="宋体"/>
        </w:rPr>
      </w:pPr>
      <w:r>
        <w:rPr>
          <w:rFonts w:hint="eastAsia" w:hAnsi="宋体"/>
        </w:rPr>
        <w:t xml:space="preserve">（公章）                                      （公章）</w:t>
      </w:r>
      <w:r/>
    </w:p>
    <w:p>
      <w:pPr>
        <w:pStyle w:val="975"/>
        <w:spacing w:before="78" w:after="78" w:line="360" w:lineRule="auto"/>
        <w:rPr>
          <w:rFonts w:hint="eastAsia" w:hAnsi="宋体"/>
        </w:rPr>
      </w:pPr>
      <w:r>
        <w:rPr>
          <w:rFonts w:hint="eastAsia" w:hAnsi="宋体"/>
        </w:rPr>
        <w:t xml:space="preserve">法定代表人或被授权人（签字）：               法定代表人或被授权人（签字）：</w:t>
      </w:r>
      <w:r/>
    </w:p>
    <w:p>
      <w:pPr>
        <w:pStyle w:val="975"/>
        <w:spacing w:before="78" w:after="78" w:line="360" w:lineRule="auto"/>
        <w:rPr>
          <w:rFonts w:hint="eastAsia" w:hAnsi="宋体"/>
          <w:u w:val="single"/>
        </w:rPr>
      </w:pPr>
      <w:r>
        <w:rPr>
          <w:rFonts w:hint="eastAsia" w:hAnsi="宋体"/>
        </w:rPr>
        <w:t xml:space="preserve">地址：                                       地址：</w:t>
      </w:r>
      <w:r/>
    </w:p>
    <w:p>
      <w:pPr>
        <w:pStyle w:val="975"/>
        <w:spacing w:before="78" w:after="78" w:line="360" w:lineRule="auto"/>
        <w:rPr>
          <w:rFonts w:hint="eastAsia" w:hAnsi="宋体"/>
          <w:u w:val="single"/>
        </w:rPr>
      </w:pPr>
      <w:r>
        <w:rPr>
          <w:rFonts w:hint="eastAsia" w:hAnsi="宋体"/>
        </w:rPr>
        <w:t xml:space="preserve">开户银行：                                   开户银行：</w:t>
      </w:r>
      <w:r/>
    </w:p>
    <w:p>
      <w:pPr>
        <w:pStyle w:val="975"/>
        <w:spacing w:before="78" w:after="78" w:line="360" w:lineRule="auto"/>
        <w:rPr>
          <w:rFonts w:hint="eastAsia" w:hAnsi="宋体"/>
          <w:u w:val="single"/>
        </w:rPr>
      </w:pPr>
      <w:r>
        <w:rPr>
          <w:rFonts w:hint="eastAsia" w:hAnsi="宋体"/>
        </w:rPr>
        <w:t xml:space="preserve">开户银行行号：                               开户银行行号：</w:t>
      </w:r>
      <w:r/>
    </w:p>
    <w:p>
      <w:pPr>
        <w:pStyle w:val="975"/>
        <w:spacing w:before="78" w:after="78" w:line="360" w:lineRule="auto"/>
        <w:rPr>
          <w:rFonts w:hint="eastAsia" w:hAnsi="宋体"/>
          <w:u w:val="single"/>
        </w:rPr>
      </w:pPr>
      <w:r>
        <w:rPr>
          <w:rFonts w:hint="eastAsia" w:hAnsi="宋体"/>
        </w:rPr>
        <w:t xml:space="preserve">帐号：                                       帐号：</w:t>
      </w:r>
      <w:r/>
    </w:p>
    <w:p>
      <w:pPr>
        <w:pStyle w:val="975"/>
        <w:spacing w:before="78" w:after="78" w:line="360" w:lineRule="auto"/>
        <w:rPr>
          <w:rFonts w:hint="eastAsia" w:hAnsi="宋体"/>
          <w:u w:val="single"/>
        </w:rPr>
      </w:pPr>
      <w:r>
        <w:rPr>
          <w:rFonts w:hint="eastAsia" w:hAnsi="宋体"/>
        </w:rPr>
        <w:t xml:space="preserve">电话：                                       电话：</w:t>
      </w:r>
      <w:r/>
    </w:p>
    <w:p>
      <w:pPr>
        <w:pStyle w:val="975"/>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p>
    <w:p>
      <w:pPr>
        <w:pStyle w:val="975"/>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75"/>
        <w:spacing w:before="78" w:after="78"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75"/>
        <w:ind w:firstLine="480"/>
        <w:spacing w:before="78" w:after="78"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75"/>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p>
    <w:p>
      <w:pPr>
        <w:pStyle w:val="975"/>
        <w:ind w:firstLine="480"/>
        <w:spacing w:before="78" w:after="78" w:line="360" w:lineRule="auto"/>
        <w:rPr>
          <w:rFonts w:hint="eastAsia" w:hAnsi="宋体"/>
        </w:rPr>
      </w:pPr>
      <w:r>
        <w:rPr>
          <w:rFonts w:hAnsi="宋体"/>
        </w:rPr>
        <w:t xml:space="preserve">6</w:t>
      </w:r>
      <w:r>
        <w:rPr>
          <w:rFonts w:hint="eastAsia" w:hAnsi="宋体"/>
        </w:rPr>
        <w:t xml:space="preserve">、监督</w:t>
      </w:r>
      <w:r/>
    </w:p>
    <w:p>
      <w:pPr>
        <w:pStyle w:val="975"/>
        <w:ind w:firstLine="480"/>
        <w:spacing w:before="78" w:after="78" w:line="360" w:lineRule="auto"/>
        <w:rPr>
          <w:rFonts w:hint="eastAsia" w:hAnsi="宋体"/>
        </w:rPr>
      </w:pPr>
      <w:r>
        <w:rPr>
          <w:rFonts w:hAnsi="宋体"/>
        </w:rPr>
        <w:t xml:space="preserve">7</w:t>
      </w:r>
      <w:r>
        <w:rPr>
          <w:rFonts w:hint="eastAsia" w:hAnsi="宋体"/>
        </w:rPr>
        <w:t xml:space="preserve">、违约责任</w:t>
      </w:r>
      <w:r/>
    </w:p>
    <w:p>
      <w:pPr>
        <w:pStyle w:val="975"/>
        <w:ind w:firstLine="480"/>
        <w:spacing w:before="78" w:after="78" w:line="360" w:lineRule="auto"/>
        <w:rPr>
          <w:rFonts w:hint="eastAsia" w:hAnsi="宋体"/>
        </w:rPr>
      </w:pPr>
      <w:r>
        <w:rPr>
          <w:rFonts w:hAnsi="宋体"/>
        </w:rPr>
        <w:t xml:space="preserve">8</w:t>
      </w:r>
      <w:r>
        <w:rPr>
          <w:rFonts w:hint="eastAsia" w:hAnsi="宋体"/>
        </w:rPr>
        <w:t xml:space="preserve">、保密条款</w:t>
      </w:r>
      <w:r/>
    </w:p>
    <w:p>
      <w:pPr>
        <w:pStyle w:val="975"/>
        <w:ind w:firstLine="480"/>
        <w:spacing w:before="78" w:after="78" w:line="360" w:lineRule="auto"/>
        <w:rPr>
          <w:rFonts w:hint="eastAsia" w:hAnsi="宋体"/>
        </w:rPr>
      </w:pPr>
      <w:r>
        <w:rPr>
          <w:rFonts w:hAnsi="宋体"/>
        </w:rPr>
        <w:t xml:space="preserve">9</w:t>
      </w:r>
      <w:r>
        <w:rPr>
          <w:rFonts w:hint="eastAsia" w:hAnsi="宋体"/>
        </w:rPr>
        <w:t xml:space="preserve">、廉政廉洁条款</w:t>
      </w:r>
      <w:r/>
    </w:p>
    <w:p>
      <w:pPr>
        <w:pStyle w:val="975"/>
        <w:ind w:firstLine="480"/>
        <w:spacing w:before="78" w:after="78" w:line="360" w:lineRule="auto"/>
        <w:rPr>
          <w:rFonts w:hint="eastAsia" w:hAnsi="宋体"/>
        </w:rPr>
      </w:pPr>
      <w:r>
        <w:rPr>
          <w:rFonts w:hint="eastAsia" w:hAnsi="宋体"/>
        </w:rPr>
        <w:t xml:space="preserve">10、不可抗力</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1、争议的解决</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2、合同的生效</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3、履约期限</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5、其他</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6、技术资料</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7、知识产权</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8、税费</w:t>
      </w:r>
      <w:r/>
    </w:p>
    <w:p>
      <w:pPr>
        <w:pStyle w:val="975"/>
        <w:spacing w:before="78" w:after="78" w:line="360" w:lineRule="auto"/>
        <w:rPr>
          <w:rFonts w:hint="eastAsia" w:hAnsi="宋体"/>
          <w:b/>
          <w:bCs/>
        </w:rPr>
      </w:pPr>
      <w:r>
        <w:rPr>
          <w:rFonts w:hint="eastAsia" w:hAnsi="宋体"/>
          <w:b/>
          <w:bCs/>
        </w:rPr>
        <w:t xml:space="preserve">（一）合同内容：</w:t>
      </w:r>
      <w:r/>
    </w:p>
    <w:p>
      <w:pPr>
        <w:pStyle w:val="975"/>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w:t>
      </w:r>
      <w:r>
        <w:rPr>
          <w:rFonts w:hint="eastAsia" w:hAnsi="宋体"/>
        </w:rPr>
        <w:t xml:space="preserve">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75"/>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一侧贴有装箱明细单，注明箱号、品名、单位（具体到三级单位：科、队、所）。包装箱内须附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标明品名、单位（具体到三级单位：科、队、所）、人员姓名、性别、号型、数量等内容）。另外一侧注明</w:t>
      </w:r>
      <w:r>
        <w:rPr>
          <w:rFonts w:hint="eastAsia" w:ascii="宋体" w:hAnsi="宋体"/>
          <w:sz w:val="24"/>
          <w:szCs w:val="24"/>
        </w:rPr>
        <w:t xml:space="preserve">警用品和怕湿、向上等图示应符合</w:t>
      </w:r>
      <w:r>
        <w:rPr>
          <w:rFonts w:ascii="宋体" w:hAnsi="宋体"/>
          <w:sz w:val="24"/>
          <w:szCs w:val="24"/>
        </w:rPr>
        <w:t xml:space="preserve">GB/T191-20</w:t>
      </w:r>
      <w:r>
        <w:rPr>
          <w:rFonts w:hint="eastAsia" w:ascii="宋体" w:hAnsi="宋体"/>
          <w:sz w:val="24"/>
          <w:szCs w:val="24"/>
        </w:rPr>
        <w:t xml:space="preserve">25规定。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江苏省公安厅监制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为确保警用物资运输安全，乙方须每车委派不低于一名押运和一名装卸人员到甲方指定地点，负责装卸、清点、核对，与甲方办理交接签收手续等工作，由此产生的相关费用由乙方承担；甲方不接收无乙方押运、装卸人员的产品。如乙方未按甲方要求执行，甲方有权采取相关应急措施，由此发生的费用由乙方支付或甲方从未付合同款中扣除。</w:t>
      </w:r>
      <w:r/>
    </w:p>
    <w:p>
      <w:pPr>
        <w:ind w:firstLine="480"/>
        <w:spacing w:line="360" w:lineRule="auto"/>
        <w:rPr>
          <w:rFonts w:ascii="宋体"/>
          <w:sz w:val="24"/>
          <w:szCs w:val="24"/>
        </w:rPr>
      </w:pPr>
      <w:r>
        <w:rPr>
          <w:rFonts w:ascii="宋体" w:hAnsi="宋体"/>
          <w:sz w:val="24"/>
          <w:szCs w:val="24"/>
        </w:rPr>
        <w:t xml:space="preserve">3-3 </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3-4</w:t>
      </w:r>
      <w:r>
        <w:rPr>
          <w:rFonts w:hint="eastAsia" w:ascii="宋体" w:hAnsi="宋体"/>
          <w:sz w:val="24"/>
          <w:szCs w:val="24"/>
        </w:rPr>
        <w:t xml:space="preserve">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p>
    <w:p>
      <w:pPr>
        <w:pStyle w:val="975"/>
        <w:spacing w:before="78" w:after="78" w:line="360" w:lineRule="auto"/>
        <w:rPr>
          <w:rFonts w:hint="eastAsia" w:hAnsi="宋体"/>
          <w:b/>
          <w:bCs/>
        </w:rPr>
      </w:pPr>
      <w:r>
        <w:rPr>
          <w:rFonts w:hint="eastAsia" w:hAnsi="宋体"/>
          <w:b/>
          <w:bCs/>
        </w:rPr>
        <w:t xml:space="preserve">（二）质量要求及技术标准</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w:t>
      </w:r>
      <w:r>
        <w:rPr>
          <w:rFonts w:hint="eastAsia" w:hAnsi="宋体"/>
        </w:rPr>
        <w:t xml:space="preserve">照《中华人民共和国公共安全行业标准》和公安部印发的“2025式警服系列品种技术标准（草案）”、《警服产品交收检验工作规范（草案）》及招标文件中对应的产品技术规范等执行。</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检验工作规范（草案）》及招标文件中对应的产品技术规范等。</w:t>
      </w:r>
      <w:r/>
    </w:p>
    <w:p>
      <w:pPr>
        <w:pStyle w:val="975"/>
        <w:spacing w:before="78" w:after="78" w:line="360" w:lineRule="auto"/>
        <w:rPr>
          <w:rFonts w:hint="eastAsia"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75"/>
        <w:ind w:firstLine="480"/>
        <w:spacing w:before="78" w:after="78" w:line="360" w:lineRule="auto"/>
        <w:rPr>
          <w:rFonts w:hint="eastAsia" w:hAnsi="宋体"/>
        </w:rPr>
      </w:pPr>
      <w:r>
        <w:t xml:space="preserve">3</w:t>
      </w:r>
      <w:r>
        <w:rPr>
          <w:rFonts w:hint="eastAsia"/>
        </w:rPr>
        <w:t xml:space="preserve">、下达生产计划至交付期间，甲方如发现乙方生产的警用物资产品的质量不符合《中华人民共和国公共安全行业标准》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质量检验</w:t>
      </w:r>
      <w:r>
        <w:rPr>
          <w:rFonts w:hint="eastAsia" w:ascii="宋体" w:hAnsi="宋体"/>
          <w:sz w:val="24"/>
          <w:szCs w:val="24"/>
        </w:rPr>
        <w:t xml:space="preserve">结果不得低于乙方投标时提交的样品。交收产品检验低于合同约定的，甲方有权解除合同，或通知乙方重新备货并加倍抽检合格后才能供货；重新备货的，若再次出现与合同约定不符的情形，合同终止并按照有关规定及合同条款处理。到货验收时，乙方应在接到采购人提出的异议后，3天内给予答复，提出解决方案，并负责处理。</w:t>
      </w:r>
      <w:r/>
    </w:p>
    <w:p>
      <w:pPr>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、合同签订时，乙方向采购人缴纳各分包合同金额</w:t>
      </w:r>
      <w:r>
        <w:rPr>
          <w:rFonts w:ascii="宋体" w:hAnsi="宋体"/>
          <w:sz w:val="24"/>
          <w:szCs w:val="24"/>
        </w:rPr>
        <w:t xml:space="preserve">10%</w:t>
      </w:r>
      <w:r>
        <w:rPr>
          <w:rFonts w:hint="eastAsia" w:ascii="宋体" w:hAnsi="宋体"/>
          <w:sz w:val="24"/>
          <w:szCs w:val="24"/>
        </w:rPr>
        <w:t xml:space="preserve">作为履约保证金，履约担保形式为银行保函</w:t>
      </w:r>
      <w:r>
        <w:rPr>
          <w:rFonts w:ascii="宋体" w:hAnsi="宋体"/>
          <w:sz w:val="24"/>
          <w:szCs w:val="24"/>
        </w:rPr>
        <w:t xml:space="preserve">(</w:t>
      </w:r>
      <w:r>
        <w:rPr>
          <w:rFonts w:hint="eastAsia" w:ascii="宋体" w:hAnsi="宋体"/>
          <w:sz w:val="24"/>
          <w:szCs w:val="24"/>
        </w:rPr>
        <w:t xml:space="preserve">以支票、汇票、本票或者金融机构出具的保函等非现金形式提交）。注：保函必须为不可撤销见索即付。</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、乙方提交银行保函且合同签订，甲方收到正式发票后30日内，预付给乙方合同总金额的3</w:t>
      </w:r>
      <w:r>
        <w:rPr>
          <w:rFonts w:ascii="宋体" w:hAnsi="宋体"/>
          <w:sz w:val="24"/>
          <w:szCs w:val="24"/>
        </w:rPr>
        <w:t xml:space="preserve">0%</w:t>
      </w:r>
      <w:r>
        <w:rPr>
          <w:rFonts w:hint="eastAsia" w:ascii="宋体" w:hAnsi="宋体"/>
          <w:sz w:val="24"/>
          <w:szCs w:val="24"/>
        </w:rPr>
        <w:t xml:space="preserve">用于生产。大货抽检合格后，乙方将货物送达甲方指定地点，待生产计划全部完成后，凭合同、发票和汇总的签（验）收单与甲方办理剩余应付款结算。甲方在收到乙方相关合规约定资料后30日内支付剩余应付款项，金额以实际供货数量为准，据实结算。如因财政资金拨付造成付款延误，甲方不承担违约责任。</w:t>
      </w:r>
      <w:r/>
    </w:p>
    <w:p>
      <w:pPr>
        <w:ind w:firstLine="47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、从保函出具时起算履约保函期限为1年。在合同履约结束且无其它未尽事宜和纠纷后10个日历日内，甲方在收到乙方申请后将履约保函退还乙方。</w:t>
      </w:r>
      <w:r/>
    </w:p>
    <w:p>
      <w:pPr>
        <w:pStyle w:val="767"/>
        <w:rPr>
          <w:rFonts w:hint="eastAsia" w:ascii="宋体" w:hAnsi="宋体" w:eastAsia="宋体"/>
          <w:b/>
          <w:bCs/>
          <w:sz w:val="24"/>
          <w:szCs w:val="24"/>
        </w:rPr>
      </w:pPr>
      <w:r>
        <w:rPr>
          <w:rFonts w:hint="eastAsia" w:ascii="宋体" w:hAnsi="宋体" w:eastAsia="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作出相关处理。</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水洗标需标明生产企业名称和生产时间、面里料成分、号型、质保期、洗涤说明等内容。</w:t>
      </w:r>
      <w:r/>
    </w:p>
    <w:p>
      <w:pPr>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6、售后服务：因公安工作的特殊性，乙方交货后，必须按照投标文件中的售后服务承诺内容，指定专人在质保期内为甲方提供售后服务。对原装箱内缺少、损坏的货物，由乙方在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7、因公安工作的特殊性，乙方必须满足甲方招标文件中规定的服务承诺以外的任何应急服务要求，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75"/>
        <w:spacing w:before="78" w:after="78"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975"/>
        <w:spacing w:before="78" w:after="78"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75"/>
        <w:spacing w:before="78" w:after="78"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所需专用计算机为不接入任何网络的单机，必须确保专机专用、专人负责，不准将保存有警用物资系列产品数据信息的专用计算机通过专线、代理服务器或拨号入网等方式连入局域网、国际互联网或其它网络。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rPr>
          <w:rFonts w:hint="eastAsia"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75"/>
        <w:spacing w:before="78" w:after="78" w:line="360" w:lineRule="auto"/>
        <w:rPr>
          <w:rFonts w:hint="eastAsia" w:hAnsi="宋体"/>
          <w:b/>
          <w:bCs/>
        </w:rPr>
      </w:pPr>
      <w:r>
        <w:rPr>
          <w:rFonts w:hint="eastAsia" w:hAnsi="宋体"/>
          <w:b/>
          <w:bCs/>
        </w:rPr>
        <w:t xml:space="preserve">（十）不可抗力</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975"/>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75"/>
        <w:spacing w:before="78" w:after="78" w:line="360" w:lineRule="auto"/>
        <w:rPr>
          <w:rFonts w:hint="eastAsia"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p>
    <w:p>
      <w:pPr>
        <w:pStyle w:val="975"/>
        <w:spacing w:before="78" w:after="78" w:line="360" w:lineRule="auto"/>
        <w:rPr>
          <w:rFonts w:hint="eastAsia" w:hAnsi="宋体"/>
          <w:b/>
          <w:bCs/>
        </w:rPr>
      </w:pPr>
      <w:r>
        <w:rPr>
          <w:rFonts w:hint="eastAsia" w:hAnsi="宋体"/>
          <w:b/>
          <w:bCs/>
        </w:rPr>
        <w:t xml:space="preserve">（十二）合同的生效</w:t>
      </w:r>
      <w:r/>
    </w:p>
    <w:p>
      <w:pPr>
        <w:pStyle w:val="975"/>
        <w:ind w:firstLine="480"/>
        <w:spacing w:before="78" w:after="78" w:line="360" w:lineRule="auto"/>
        <w:rPr>
          <w:rFonts w:hint="eastAsia"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75"/>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975"/>
        <w:ind w:firstLine="480"/>
        <w:spacing w:before="78" w:after="78" w:line="360" w:lineRule="auto"/>
        <w:rPr>
          <w:rFonts w:hint="eastAsia" w:hAnsi="宋体" w:cs="Courier New"/>
        </w:rPr>
      </w:pPr>
      <w:r/>
      <w:bookmarkStart w:id="178" w:name="_Toc224197490"/>
      <w:r/>
      <w:bookmarkStart w:id="179" w:name="_Toc224197616"/>
      <w:r>
        <w:rPr>
          <w:rFonts w:hint="eastAsia" w:hAnsi="宋体" w:cs="Courier New"/>
        </w:rPr>
        <w:t xml:space="preserve">合同履约期限为自合同签订之日起1年。</w:t>
      </w:r>
      <w:bookmarkEnd w:id="178"/>
      <w:r/>
      <w:bookmarkEnd w:id="179"/>
      <w:r/>
      <w:r/>
    </w:p>
    <w:p>
      <w:pPr>
        <w:pStyle w:val="975"/>
        <w:spacing w:before="78" w:after="78" w:line="360" w:lineRule="auto"/>
        <w:rPr>
          <w:rFonts w:hint="eastAsia" w:hAnsi="宋体"/>
          <w:b/>
          <w:bCs/>
        </w:rPr>
      </w:pPr>
      <w:r>
        <w:rPr>
          <w:rFonts w:hint="eastAsia" w:hAnsi="宋体"/>
          <w:b/>
          <w:bCs/>
        </w:rPr>
        <w:t xml:space="preserve">（十四）中标企业履约考核</w:t>
      </w:r>
      <w:r/>
    </w:p>
    <w:p>
      <w:pPr>
        <w:pStyle w:val="975"/>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75"/>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p>
    <w:p>
      <w:pPr>
        <w:pStyle w:val="975"/>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75"/>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、中标企业如违反《中华人民共和国政府采购法》和公安部招投标采购相关规</w:t>
      </w:r>
      <w:r>
        <w:rPr>
          <w:rFonts w:hint="eastAsia" w:hAnsi="宋体"/>
          <w:bCs/>
        </w:rPr>
        <w:t xml:space="preserve">定进行恶意投标、虚假投标、恶意投诉等，甲方将根据中标企业情节严重性以文字形式上报公安部装财局。</w:t>
      </w:r>
      <w:r/>
    </w:p>
    <w:p>
      <w:pPr>
        <w:pStyle w:val="975"/>
        <w:spacing w:before="78" w:after="78" w:line="360" w:lineRule="auto"/>
        <w:rPr>
          <w:rFonts w:hint="eastAsia" w:hAnsi="宋体"/>
          <w:b/>
          <w:bCs/>
        </w:rPr>
      </w:pPr>
      <w:r>
        <w:rPr>
          <w:rFonts w:hint="eastAsia" w:hAnsi="宋体"/>
          <w:b/>
          <w:bCs/>
        </w:rPr>
        <w:t xml:space="preserve">（十五）其他</w:t>
      </w:r>
      <w:r/>
    </w:p>
    <w:p>
      <w:pPr>
        <w:pStyle w:val="975"/>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75"/>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975"/>
        <w:ind w:left="437" w:hanging="437"/>
        <w:spacing w:line="360" w:lineRule="auto"/>
        <w:rPr>
          <w:rFonts w:hint="eastAsia" w:hAnsi="宋体"/>
        </w:rPr>
      </w:pPr>
      <w:r>
        <w:rPr>
          <w:rFonts w:hAnsi="宋体"/>
        </w:rPr>
        <w:t xml:space="preserve">    1-4</w:t>
      </w:r>
      <w:r>
        <w:rPr>
          <w:rFonts w:hint="eastAsia" w:hAnsi="宋体"/>
        </w:rPr>
        <w:t xml:space="preserve">乙方须提供其与公安专用标志扣、臂章等辅料以及 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75"/>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75"/>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975"/>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75"/>
        <w:ind w:firstLine="472"/>
        <w:spacing w:line="360" w:lineRule="auto"/>
        <w:rPr>
          <w:rFonts w:hint="eastAsia" w:hAnsi="宋体"/>
          <w:b/>
          <w:bCs/>
        </w:rPr>
      </w:pPr>
      <w:r>
        <w:rPr>
          <w:rFonts w:hint="eastAsia" w:hAnsi="宋体"/>
          <w:b/>
          <w:bCs/>
        </w:rPr>
        <w:t xml:space="preserve">项目负责人：              职务：</w:t>
      </w:r>
      <w:r/>
    </w:p>
    <w:p>
      <w:pPr>
        <w:pStyle w:val="975"/>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        </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75"/>
        <w:spacing w:before="78" w:after="78" w:line="360" w:lineRule="auto"/>
        <w:rPr>
          <w:rFonts w:hint="eastAsia" w:hAnsi="宋体"/>
          <w:b/>
          <w:bCs/>
        </w:rPr>
      </w:pPr>
      <w:r>
        <w:rPr>
          <w:rFonts w:hint="eastAsia" w:hAnsi="宋体"/>
          <w:b/>
          <w:bCs/>
        </w:rPr>
        <w:t xml:space="preserve">（十九）本合同正本一式六份，具有同等法律效力，甲方执五份，乙方执一份。</w:t>
      </w:r>
      <w:r/>
    </w:p>
    <w:p>
      <w:pPr>
        <w:pStyle w:val="975"/>
        <w:spacing w:before="78" w:after="78" w:line="360" w:lineRule="auto"/>
        <w:rPr>
          <w:rFonts w:hint="eastAsia" w:hAnsi="宋体"/>
          <w:b/>
          <w:bCs/>
        </w:rPr>
      </w:pPr>
      <w:r>
        <w:rPr>
          <w:rFonts w:hint="eastAsia" w:hAnsi="宋体"/>
          <w:b/>
          <w:bCs/>
        </w:rPr>
        <w:t xml:space="preserve">（二十）补充协议（如需要）</w:t>
      </w:r>
      <w:r/>
    </w:p>
    <w:p>
      <w:pPr>
        <w:rPr>
          <w:rFonts w:hint="eastAsia" w:hAnsi="宋体"/>
          <w:b/>
          <w:bCs/>
        </w:rPr>
      </w:pPr>
      <w:r>
        <w:rPr>
          <w:rFonts w:hint="eastAsia" w:hAnsi="宋体"/>
          <w:b/>
          <w:bCs/>
        </w:rPr>
        <w:br w:type="page" w:clear="all"/>
      </w:r>
      <w:r/>
    </w:p>
    <w:p>
      <w:pPr>
        <w:pStyle w:val="751"/>
        <w:rPr>
          <w:rFonts w:ascii="黑体" w:eastAsia="黑体"/>
          <w:sz w:val="44"/>
          <w:szCs w:val="44"/>
        </w:rPr>
      </w:pPr>
      <w:r/>
      <w:bookmarkStart w:id="180" w:name="_Toc165989584"/>
      <w:r/>
      <w:bookmarkStart w:id="181" w:name="_Toc224197617"/>
      <w:r/>
      <w:bookmarkStart w:id="182" w:name="_Toc224197491"/>
      <w:r>
        <w:rPr>
          <w:rFonts w:hint="eastAsia" w:ascii="黑体" w:eastAsia="黑体"/>
          <w:sz w:val="44"/>
          <w:szCs w:val="44"/>
        </w:rPr>
        <w:t xml:space="preserve">第四章  采购需求</w:t>
      </w:r>
      <w:bookmarkEnd w:id="180"/>
      <w:r/>
      <w:bookmarkEnd w:id="181"/>
      <w:r/>
      <w:bookmarkEnd w:id="182"/>
      <w:r/>
      <w:r/>
    </w:p>
    <w:p>
      <w:pPr>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p>
    <w:tbl>
      <w:tblPr>
        <w:tblW w:w="11320" w:type="dxa"/>
        <w:tblLayout w:type="fixed"/>
        <w:tblLook w:val="04A0" w:firstRow="1" w:lastRow="0" w:firstColumn="1" w:lastColumn="0" w:noHBand="0" w:noVBand="1"/>
      </w:tblPr>
      <w:tblGrid>
        <w:gridCol w:w="425"/>
        <w:gridCol w:w="529"/>
        <w:gridCol w:w="879"/>
        <w:gridCol w:w="407"/>
        <w:gridCol w:w="707"/>
        <w:gridCol w:w="718"/>
        <w:gridCol w:w="868"/>
        <w:gridCol w:w="878"/>
        <w:gridCol w:w="1286"/>
        <w:gridCol w:w="578"/>
        <w:gridCol w:w="975"/>
        <w:gridCol w:w="1200"/>
        <w:gridCol w:w="402"/>
        <w:gridCol w:w="1468"/>
      </w:tblGrid>
      <w:tr>
        <w:trPr>
          <w:gridAfter w:val="2"/>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none" w:color="000000" w:sz="4" w:space="0"/>
              <w:bottom w:val="single" w:color="auto" w:sz="4" w:space="0"/>
              <w:right w:val="single" w:color="auto" w:sz="4" w:space="0"/>
            </w:tcBorders>
            <w:tcW w:w="529" w:type="dxa"/>
            <w:vAlign w:val="center"/>
            <w:textDirection w:val="lrTb"/>
            <w:noWrap/>
          </w:tcPr>
          <w:p>
            <w:pPr>
              <w:jc w:val="center"/>
              <w:widowControl/>
              <w:rPr>
                <w:rFonts w:ascii="宋体" w:cs="宋体"/>
                <w:sz w:val="22"/>
              </w:rPr>
            </w:pPr>
            <w:r>
              <w:rPr>
                <w:rFonts w:hint="eastAsia" w:ascii="宋体" w:hAnsi="宋体" w:cs="宋体"/>
                <w:sz w:val="22"/>
                <w:szCs w:val="22"/>
              </w:rPr>
              <w:t xml:space="preserve">品目号</w:t>
            </w:r>
            <w:r/>
          </w:p>
        </w:tc>
        <w:tc>
          <w:tcPr>
            <w:shd w:val="clear" w:color="auto" w:fill="ffffff"/>
            <w:tcBorders>
              <w:top w:val="single" w:color="auto" w:sz="4" w:space="0"/>
              <w:left w:val="none" w:color="000000"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878"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none" w:color="000000"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none" w:color="000000" w:sz="4" w:space="0"/>
              <w:bottom w:val="single" w:color="auto" w:sz="4" w:space="0"/>
              <w:right w:val="single" w:color="auto" w:sz="4" w:space="0"/>
            </w:tcBorders>
            <w:tcW w:w="975" w:type="dxa"/>
            <w:vAlign w:val="center"/>
            <w:textDirection w:val="lrTb"/>
            <w:noWrap/>
          </w:tcPr>
          <w:p>
            <w:pPr>
              <w:jc w:val="center"/>
              <w:widowControl/>
              <w:rPr>
                <w:rFonts w:ascii="宋体"/>
                <w:sz w:val="18"/>
                <w:szCs w:val="18"/>
              </w:rPr>
            </w:pPr>
            <w:r>
              <w:rPr>
                <w:rFonts w:hint="eastAsia" w:ascii="宋体"/>
                <w:sz w:val="18"/>
                <w:szCs w:val="18"/>
              </w:rPr>
              <w:t xml:space="preserve">样品检测项</w:t>
            </w:r>
            <w:r/>
          </w:p>
        </w:tc>
        <w:tc>
          <w:tcPr>
            <w:shd w:val="clear" w:color="auto" w:fill="ffffff"/>
            <w:tcBorders>
              <w:top w:val="single" w:color="auto" w:sz="4" w:space="0"/>
              <w:left w:val="none" w:color="000000" w:sz="4" w:space="0"/>
              <w:bottom w:val="single" w:color="auto" w:sz="4" w:space="0"/>
              <w:right w:val="single" w:color="auto" w:sz="4" w:space="0"/>
            </w:tcBorders>
            <w:tcW w:w="1200" w:type="dxa"/>
            <w:vAlign w:val="center"/>
            <w:textDirection w:val="lrTb"/>
            <w:noWrap/>
          </w:tcPr>
          <w:p>
            <w:pPr>
              <w:jc w:val="center"/>
              <w:widowControl/>
              <w:rPr>
                <w:rFonts w:ascii="宋体"/>
                <w:sz w:val="18"/>
                <w:szCs w:val="18"/>
              </w:rPr>
            </w:pPr>
            <w:r>
              <w:rPr>
                <w:rFonts w:hint="eastAsia" w:ascii="宋体"/>
                <w:sz w:val="18"/>
                <w:szCs w:val="18"/>
              </w:rPr>
              <w:t xml:space="preserve">最大允许缺陷数量</w:t>
            </w:r>
            <w:r/>
          </w:p>
        </w:tc>
      </w:tr>
      <w:tr>
        <w:trPr>
          <w:gridAfter w:val="2"/>
          <w:trHeight w:val="86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sz w:val="15"/>
                <w:szCs w:val="15"/>
              </w:rPr>
              <w:t xml:space="preserve">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23127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1850160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8434632</w:t>
            </w:r>
            <w:r/>
          </w:p>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藏蓝色布面大檐帽，数量：1顶，号型：57号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；3.颜色及色泽偏差范围；4.材料外观；5.裁片纱向；6.敷衬；7.缝制；8.标志；9.成品外观质量及疵点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79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卷檐帽（布面）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5027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346863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藏蓝色布面卷檐帽，数量：1顶，号型：57号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7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执勤帽（网眼）</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16999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798953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藏蓝色网眼执勤帽，数量：1顶，号型：57～58号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79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94702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4829802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96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4409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216041</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特警布面战训帽，数量：1顶，号型：57～58号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8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10299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329568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布面作训帽，数量：1顶，号型：57～58号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8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w:t>
            </w:r>
            <w:r>
              <w:rPr>
                <w:rFonts w:hint="eastAsia"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栽绒帽（短绒）</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91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63245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栽绒帽（温区），数量：1顶，号型：57号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轻缺陷3个</w:t>
            </w:r>
            <w:r/>
          </w:p>
        </w:tc>
      </w:tr>
      <w:tr>
        <w:trPr>
          <w:gridAfter w:val="2"/>
          <w:trHeight w:val="55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包2特警战训服、背心、面罩、手套</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特警夏战训服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7554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6201834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13352418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特警战训男夏服，数量：1套，号型：上衣175/96，裤子175/86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1.样式；2.号型规格；3.颜色及色泽偏差范围；4.材料外观；5.裁片纱向；6.敷衬；7.缝制；8.标志；9.成品外观</w:t>
            </w:r>
            <w:r>
              <w:rPr>
                <w:rFonts w:hint="eastAsia" w:ascii="宋体" w:hAnsi="宋体"/>
                <w:sz w:val="15"/>
                <w:szCs w:val="15"/>
              </w:rPr>
              <w:t xml:space="preserve">质量</w:t>
            </w:r>
            <w:r>
              <w:rPr>
                <w:rFonts w:ascii="宋体" w:hAnsi="宋体"/>
                <w:sz w:val="15"/>
                <w:szCs w:val="15"/>
              </w:rPr>
              <w:t xml:space="preserve">及疵点</w:t>
            </w:r>
            <w:r/>
          </w:p>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轻缺陷上衣5个、裤子5个，合计10个</w:t>
            </w:r>
            <w:r/>
          </w:p>
        </w:tc>
      </w:tr>
      <w:tr>
        <w:trPr>
          <w:gridAfter w:val="2"/>
          <w:trHeight w:val="5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特警春秋战训服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4409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4232640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特警战训男春秋服，数量：1套，号型：上衣175/96，裤子175/86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轻缺陷上衣6个、裤子5个，合计11个</w:t>
            </w:r>
            <w:r/>
          </w:p>
        </w:tc>
      </w:tr>
      <w:tr>
        <w:trPr>
          <w:gridAfter w:val="2"/>
          <w:trHeight w:val="45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特警战训蛙服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739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467048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特警战训男蛙服，数量：1套，号型：上衣175/96，裤子175/86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轻缺陷上衣5个、裤子5个，合计10个</w:t>
            </w:r>
            <w:r/>
          </w:p>
        </w:tc>
      </w:tr>
      <w:tr>
        <w:trPr>
          <w:gridAfter w:val="2"/>
          <w:trHeight w:val="52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特警冬战训服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814016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特警战训男冬服，数量：1套，号型：上衣175/96，裤子175/86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轻缺陷上衣8个、裤子5个，合计13个</w:t>
            </w:r>
            <w:r/>
          </w:p>
        </w:tc>
      </w:tr>
      <w:tr>
        <w:trPr>
          <w:gridAfter w:val="2"/>
          <w:trHeight w:val="5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特警战训防寒服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1093360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特警战训男多功能棉服，数量：1套，号型：上衣175/96，裤子175/86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轻缺陷上衣8个、裤子5个，合计13个</w:t>
            </w:r>
            <w:r/>
          </w:p>
        </w:tc>
      </w:tr>
      <w:tr>
        <w:trPr>
          <w:gridAfter w:val="2"/>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特警战训背心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288192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r>
      <w:tr>
        <w:trPr>
          <w:gridAfter w:val="2"/>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特警战训面罩</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29704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r>
      <w:tr>
        <w:trPr>
          <w:gridAfter w:val="2"/>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特警战训手套（全指）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201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127032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975" w:type="dxa"/>
            <w:vAlign w:val="center"/>
            <w:vMerge w:val="restart"/>
            <w:textDirection w:val="lrTb"/>
            <w:noWrap/>
          </w:tcPr>
          <w:p>
            <w:pPr>
              <w:jc w:val="left"/>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r>
      <w:tr>
        <w:trPr>
          <w:gridAfter w:val="2"/>
          <w:trHeight w:val="10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特警战训手套（半指）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98592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975" w:type="dxa"/>
            <w:vAlign w:val="center"/>
            <w:vMerge w:val="continue"/>
            <w:textDirection w:val="lrTb"/>
            <w:noWrap/>
          </w:tcPr>
          <w:p>
            <w:pPr>
              <w:jc w:val="left"/>
              <w:widowControl/>
              <w:rPr>
                <w:rFonts w:hint="eastAsia" w:ascii="宋体" w:hAnsi="宋体"/>
                <w:sz w:val="18"/>
                <w:szCs w:val="18"/>
              </w:rPr>
            </w:pPr>
            <w:r>
              <w:rPr>
                <w:rFonts w:hint="eastAsia" w:ascii="宋体" w:hAnsi="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200" w:type="dxa"/>
            <w:vAlign w:val="center"/>
            <w:textDirection w:val="lrTb"/>
            <w:noWrap/>
          </w:tcPr>
          <w:p>
            <w:pPr>
              <w:jc w:val="center"/>
              <w:widowControl/>
              <w:rPr>
                <w:rFonts w:hint="eastAsia" w:ascii="宋体" w:hAnsi="宋体"/>
                <w:sz w:val="18"/>
                <w:szCs w:val="18"/>
              </w:rPr>
            </w:pPr>
            <w:r>
              <w:rPr>
                <w:rFonts w:hint="eastAsia" w:ascii="宋体" w:hAnsi="宋体"/>
                <w:sz w:val="18"/>
                <w:szCs w:val="18"/>
              </w:rPr>
            </w:r>
            <w:r/>
          </w:p>
        </w:tc>
      </w:tr>
      <w:tr>
        <w:trPr>
          <w:trHeight w:val="1127"/>
        </w:trPr>
        <w:tc>
          <w:tcPr>
            <w:gridSpan w:val="13"/>
            <w:shd w:val="clear" w:color="auto" w:fill="ffffff"/>
            <w:tcBorders>
              <w:top w:val="single" w:color="auto" w:sz="4" w:space="0"/>
              <w:left w:val="single" w:color="auto" w:sz="4" w:space="0"/>
              <w:bottom w:val="single" w:color="auto" w:sz="4" w:space="0"/>
              <w:right w:val="single" w:color="auto" w:sz="4" w:space="0"/>
            </w:tcBorders>
            <w:tcW w:w="9852"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w:t>
            </w:r>
            <w:r>
              <w:t xml:space="preserve">、包为最小的投标单位，投标人必须投完整包，不得仅对分包内部分品目进行投标，也不得将几个分包合报一个价格，包内单品按要求分别报价。</w:t>
            </w:r>
            <w:r/>
          </w:p>
          <w:p>
            <w:pPr>
              <w:spacing w:line="336" w:lineRule="auto"/>
            </w:pPr>
            <w:r>
              <w:t xml:space="preserve">2</w:t>
            </w:r>
            <w:r>
              <w:t xml:space="preserve">、以上品种投标单价（元）、总价（元）均须保留到小数点后</w:t>
            </w:r>
            <w:r>
              <w:t xml:space="preserve">2</w:t>
            </w:r>
            <w:r>
              <w:t xml:space="preserve">位。</w:t>
            </w:r>
            <w:r/>
          </w:p>
          <w:p>
            <w:pPr>
              <w:spacing w:line="336" w:lineRule="auto"/>
            </w:pPr>
            <w:r>
              <w:t xml:space="preserve">3</w:t>
            </w:r>
            <w:r>
              <w:t xml:space="preserve">、同一品种中男、女款所报单价应一致。</w:t>
            </w:r>
            <w:r>
              <w:t xml:space="preserve">(</w:t>
            </w:r>
            <w:r>
              <w:rPr>
                <w:rFonts w:hint="eastAsia"/>
              </w:rPr>
              <w:t xml:space="preserve">品名</w:t>
            </w:r>
            <w:r>
              <w:t xml:space="preserve">标注男女的除外</w:t>
            </w:r>
            <w:r>
              <w:t xml:space="preserve">)</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hint="eastAsia" w:ascii="宋体" w:hAnsi="宋体"/>
                <w:b/>
                <w:bCs/>
                <w:i/>
                <w:iCs/>
                <w:u w:val="single"/>
              </w:rPr>
            </w:pPr>
            <w:r>
              <w:rPr>
                <w:rFonts w:hint="eastAsia"/>
                <w:b/>
                <w:bCs/>
                <w:i/>
                <w:iCs/>
                <w:u w:val="single"/>
              </w:rPr>
              <w:t xml:space="preserve">6</w:t>
            </w:r>
            <w:r>
              <w:rPr>
                <w:rFonts w:hint="eastAsia"/>
                <w:b/>
                <w:bCs/>
                <w:i/>
                <w:iCs/>
                <w:u w:val="single"/>
              </w:rPr>
              <w:t xml:space="preserve">、结算数量以实际供货数量为准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w:t>
            </w:r>
            <w:r>
              <w:rPr>
                <w:rFonts w:hint="eastAsia"/>
                <w:b/>
                <w:bCs/>
                <w:i/>
                <w:iCs/>
                <w:u w:val="single"/>
              </w:rPr>
              <w:t xml:space="preserve">2</w:t>
            </w:r>
            <w:r>
              <w:rPr>
                <w:rFonts w:hint="eastAsia"/>
                <w:b/>
                <w:bCs/>
                <w:i/>
                <w:iCs/>
                <w:u w:val="single"/>
              </w:rPr>
              <w:t xml:space="preserve">次废旧警服集中回收运输服务，供应商在报价时应充分考虑相关成本。</w:t>
            </w:r>
            <w:r/>
          </w:p>
          <w:p>
            <w:pPr>
              <w:spacing w:line="336" w:lineRule="auto"/>
            </w:pPr>
            <w:r>
              <w:rPr>
                <w:rFonts w:hint="eastAsia"/>
              </w:rPr>
              <w:t xml:space="preserve">8</w:t>
            </w:r>
            <w:r>
              <w:rPr>
                <w:rFonts w:hint="eastAsia"/>
              </w:rPr>
              <w:t xml:space="preserve">、</w:t>
            </w:r>
            <w:r>
              <w:t xml:space="preserve">以上品种须按人员量体套号（含特殊体型，脚型），上述预算包含量体等费用。</w:t>
            </w:r>
            <w:r/>
          </w:p>
          <w:p>
            <w:pPr>
              <w:spacing w:line="336" w:lineRule="auto"/>
              <w:rPr>
                <w:rFonts w:hint="eastAsia"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宋体" w:hAnsi="宋体"/>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tc>
        <w:tc>
          <w:tcPr>
            <w:shd w:val="clear" w:color="auto" w:fill="ffffff"/>
            <w:tcBorders>
              <w:top w:val="single" w:color="auto" w:sz="4" w:space="0"/>
              <w:left w:val="single" w:color="auto" w:sz="4" w:space="0"/>
              <w:bottom w:val="single" w:color="auto" w:sz="4" w:space="0"/>
              <w:right w:val="single" w:color="auto" w:sz="4" w:space="0"/>
            </w:tcBorders>
            <w:tcW w:w="1468" w:type="dxa"/>
            <w:vAlign w:val="center"/>
            <w:textDirection w:val="lrTb"/>
            <w:noWrap/>
          </w:tcPr>
          <w:p>
            <w:pPr>
              <w:spacing w:line="336" w:lineRule="auto"/>
              <w:rPr>
                <w:rFonts w:hint="eastAsia" w:asciiTheme="minorEastAsia" w:hAnsiTheme="minorEastAsia" w:eastAsiaTheme="minorEastAsia" w:cstheme="minorEastAsia"/>
                <w:b/>
                <w:i/>
                <w:u w:val="single"/>
              </w:rPr>
            </w:pPr>
            <w:r>
              <w:rPr>
                <w:rFonts w:hint="eastAsia" w:asciiTheme="minorEastAsia" w:hAnsiTheme="minorEastAsia" w:eastAsiaTheme="minorEastAsia" w:cstheme="minorEastAsia"/>
                <w:b/>
                <w:i/>
                <w:u w:val="single"/>
              </w:rPr>
            </w:r>
            <w:r/>
          </w:p>
        </w:tc>
      </w:tr>
    </w:tbl>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二、政府采购中实施本国产品标准及相关政策</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784"/>
        <w:ind w:firstLine="480"/>
        <w:spacing w:before="0" w:beforeAutospacing="0" w:after="0" w:afterAutospacing="0" w:line="500" w:lineRule="exact"/>
        <w:widowControl w:val="off"/>
        <w:rPr>
          <w:rFonts w:hint="eastAsia"/>
          <w:b/>
          <w:bCs/>
          <w:szCs w:val="24"/>
        </w:rPr>
      </w:pPr>
      <w:r>
        <w:rPr>
          <w:rFonts w:hint="eastAsia"/>
          <w:szCs w:val="24"/>
        </w:rPr>
        <w:t xml:space="preserve">此次投标样品盲编送检，由江苏省公安厅委托南京市南京公证处组织，供应商需提交以下样品：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784"/>
        <w:ind w:firstLine="482"/>
        <w:spacing w:before="0" w:beforeAutospacing="0" w:after="0" w:afterAutospacing="0" w:line="500" w:lineRule="exact"/>
        <w:widowControl w:val="off"/>
        <w:rPr>
          <w:rFonts w:hint="eastAsia"/>
          <w:b/>
          <w:bCs/>
          <w:szCs w:val="24"/>
        </w:rPr>
      </w:pPr>
      <w:r>
        <w:rPr>
          <w:rFonts w:hint="eastAsia"/>
          <w:b/>
          <w:bCs/>
          <w:szCs w:val="24"/>
        </w:rPr>
        <w:t xml:space="preserve">(一)样品的递交要求</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w:t>
      </w:r>
      <w:r>
        <w:rPr>
          <w:rFonts w:ascii="Times New Roman" w:hAnsi="Times New Roman" w:cs="Times New Roman"/>
          <w:spacing w:val="-1"/>
          <w:sz w:val="24"/>
          <w:szCs w:val="24"/>
          <w:lang w:eastAsia="zh-CN"/>
        </w:rPr>
        <w:t xml:space="preserve">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992"/>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w:t>
      </w:r>
      <w:r>
        <w:rPr>
          <w:rFonts w:ascii="Times New Roman" w:hAnsi="Times New Roman" w:cs="Times New Roman"/>
          <w:spacing w:val="-1"/>
          <w:sz w:val="24"/>
          <w:szCs w:val="24"/>
          <w:lang w:eastAsia="zh-CN"/>
        </w:rPr>
        <w:t xml:space="preserve">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年6</w:t>
      </w:r>
      <w:r>
        <w:rPr>
          <w:b/>
          <w:bCs/>
          <w:sz w:val="24"/>
          <w:szCs w:val="24"/>
          <w:lang w:eastAsia="zh-CN"/>
        </w:rPr>
        <w:t xml:space="preserve">月25</w:t>
      </w:r>
      <w:r>
        <w:rPr>
          <w:b/>
          <w:bCs/>
          <w:sz w:val="24"/>
          <w:szCs w:val="24"/>
          <w:lang w:eastAsia="zh-CN"/>
        </w:rPr>
        <w:t xml:space="preserve">日</w:t>
      </w:r>
      <w:r>
        <w:rPr>
          <w:rFonts w:hint="eastAsia"/>
          <w:b/>
          <w:bCs/>
          <w:sz w:val="24"/>
          <w:szCs w:val="24"/>
          <w:lang w:eastAsia="zh-CN"/>
        </w:rPr>
        <w:t xml:space="preserve">上</w:t>
      </w:r>
      <w:r>
        <w:rPr>
          <w:b/>
          <w:bCs/>
          <w:sz w:val="24"/>
          <w:szCs w:val="24"/>
          <w:lang w:eastAsia="zh-CN"/>
        </w:rPr>
        <w:t xml:space="preserve">午</w:t>
      </w:r>
      <w:r>
        <w:rPr>
          <w:rFonts w:hint="eastAsia"/>
          <w:b/>
          <w:bCs/>
          <w:sz w:val="24"/>
          <w:szCs w:val="24"/>
          <w:lang w:eastAsia="zh-CN"/>
        </w:rPr>
        <w:t xml:space="preserve">09</w:t>
      </w:r>
      <w:r>
        <w:rPr>
          <w:b/>
          <w:bCs/>
          <w:sz w:val="24"/>
          <w:szCs w:val="24"/>
          <w:lang w:eastAsia="zh-CN"/>
        </w:rPr>
        <w:t xml:space="preserve">:</w:t>
      </w:r>
      <w:r>
        <w:rPr>
          <w:rFonts w:hint="eastAsia"/>
          <w:b/>
          <w:bCs/>
          <w:sz w:val="24"/>
          <w:szCs w:val="24"/>
          <w:lang w:eastAsia="zh-CN"/>
        </w:rPr>
        <w:t xml:space="preserve">0</w:t>
      </w:r>
      <w:r>
        <w:rPr>
          <w:b/>
          <w:bCs/>
          <w:sz w:val="24"/>
          <w:szCs w:val="24"/>
          <w:lang w:eastAsia="zh-CN"/>
        </w:rPr>
        <w:t xml:space="preserve">0起至</w:t>
      </w:r>
      <w:r>
        <w:rPr>
          <w:rFonts w:hint="eastAsia"/>
          <w:b/>
          <w:bCs/>
          <w:sz w:val="24"/>
          <w:szCs w:val="24"/>
          <w:lang w:eastAsia="zh-CN"/>
        </w:rPr>
        <w:t xml:space="preserve">11</w:t>
      </w:r>
      <w:r>
        <w:rPr>
          <w:b/>
          <w:bCs/>
          <w:sz w:val="24"/>
          <w:szCs w:val="24"/>
          <w:lang w:eastAsia="zh-CN"/>
        </w:rPr>
        <w:t xml:space="preserve">:</w:t>
      </w:r>
      <w:r>
        <w:rPr>
          <w:rFonts w:hint="eastAsia"/>
          <w:b/>
          <w:bCs/>
          <w:sz w:val="24"/>
          <w:szCs w:val="24"/>
          <w:lang w:eastAsia="zh-CN"/>
        </w:rPr>
        <w:t xml:space="preserve">0</w:t>
      </w:r>
      <w:r>
        <w:rPr>
          <w:b/>
          <w:bCs/>
          <w:sz w:val="24"/>
          <w:szCs w:val="24"/>
          <w:lang w:eastAsia="zh-CN"/>
        </w:rPr>
        <w:t xml:space="preserve">0止</w:t>
      </w:r>
      <w:r>
        <w:rPr>
          <w:rFonts w:hint="eastAsia"/>
          <w:b/>
          <w:bCs/>
          <w:sz w:val="24"/>
          <w:szCs w:val="24"/>
          <w:lang w:eastAsia="zh-CN"/>
        </w:rPr>
        <w:t xml:space="preserve">。</w:t>
      </w:r>
      <w:r/>
    </w:p>
    <w:p>
      <w:pPr>
        <w:pStyle w:val="992"/>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 </w:t>
      </w:r>
      <w:r>
        <w:rPr>
          <w:rFonts w:hint="eastAsia"/>
          <w:b/>
          <w:bCs/>
          <w:sz w:val="24"/>
          <w:szCs w:val="21"/>
          <w:lang w:eastAsia="zh-CN"/>
        </w:rPr>
        <w:t xml:space="preserve">朱老师，</w:t>
      </w:r>
      <w:r>
        <w:rPr>
          <w:rFonts w:hint="eastAsia"/>
          <w:sz w:val="24"/>
          <w:szCs w:val="24"/>
          <w:lang w:eastAsia="zh-CN"/>
        </w:rPr>
        <w:t xml:space="preserve">联系方式：</w:t>
      </w:r>
      <w:r>
        <w:rPr>
          <w:rFonts w:hint="eastAsia"/>
          <w:b/>
          <w:bCs/>
          <w:sz w:val="24"/>
          <w:szCs w:val="21"/>
          <w:lang w:eastAsia="zh-CN"/>
        </w:rPr>
        <w:t xml:space="preserve">18851755656 025-83666168</w:t>
      </w:r>
      <w:r>
        <w:rPr>
          <w:rFonts w:hint="eastAsia"/>
          <w:sz w:val="24"/>
          <w:szCs w:val="24"/>
          <w:lang w:eastAsia="zh-CN"/>
        </w:rPr>
        <w:t xml:space="preserve">。</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w:t>
      </w:r>
      <w:r>
        <w:rPr>
          <w:rFonts w:ascii="Times New Roman" w:hAnsi="Times New Roman" w:cs="Times New Roman"/>
          <w:spacing w:val="-1"/>
          <w:sz w:val="24"/>
          <w:szCs w:val="24"/>
          <w:lang w:eastAsia="zh-CN"/>
        </w:rPr>
        <w:t xml:space="preserve">样品制作要求：样品必须由投标人原厂制作。</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w:t>
      </w:r>
      <w:r>
        <w:rPr>
          <w:rFonts w:ascii="Times New Roman" w:hAnsi="Times New Roman" w:cs="Times New Roman"/>
          <w:spacing w:val="-1"/>
          <w:sz w:val="24"/>
          <w:szCs w:val="24"/>
          <w:lang w:eastAsia="zh-CN"/>
        </w:rPr>
        <w:t xml:space="preserve">密封要求：</w:t>
      </w:r>
      <w:r/>
    </w:p>
    <w:p>
      <w:pPr>
        <w:pStyle w:val="992"/>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p>
    <w:tbl>
      <w:tblPr>
        <w:tblStyle w:val="993"/>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827"/>
        <w:gridCol w:w="5037"/>
      </w:tblGrid>
      <w:tr>
        <w:trPr>
          <w:jc w:val="center"/>
          <w:trHeight w:val="315"/>
        </w:trPr>
        <w:tc>
          <w:tcPr>
            <w:tcW w:w="1827" w:type="dxa"/>
            <w:textDirection w:val="lrTb"/>
            <w:noWrap w:val="false"/>
          </w:tcPr>
          <w:p>
            <w:pPr>
              <w:pStyle w:val="992"/>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val="false"/>
          </w:tcPr>
          <w:p>
            <w:pPr>
              <w:pStyle w:val="992"/>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江苏省公安厅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年度被装物资采购（警帽、特警类）</w:t>
            </w:r>
            <w:r/>
          </w:p>
        </w:tc>
      </w:tr>
      <w:tr>
        <w:trPr>
          <w:jc w:val="center"/>
          <w:trHeight w:val="316"/>
        </w:trPr>
        <w:tc>
          <w:tcPr>
            <w:tcW w:w="1827" w:type="dxa"/>
            <w:textDirection w:val="lrTb"/>
            <w:noWrap w:val="false"/>
          </w:tcPr>
          <w:p>
            <w:pPr>
              <w:pStyle w:val="992"/>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val="false"/>
          </w:tcPr>
          <w:p>
            <w:pPr>
              <w:pStyle w:val="992"/>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w:t>
            </w:r>
            <w:r/>
          </w:p>
        </w:tc>
      </w:tr>
      <w:tr>
        <w:trPr>
          <w:jc w:val="center"/>
          <w:trHeight w:val="315"/>
        </w:trPr>
        <w:tc>
          <w:tcPr>
            <w:tcW w:w="1827" w:type="dxa"/>
            <w:textDirection w:val="lrTb"/>
            <w:noWrap w:val="false"/>
          </w:tcPr>
          <w:p>
            <w:pPr>
              <w:pStyle w:val="992"/>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tcW w:w="5037" w:type="dxa"/>
            <w:textDirection w:val="lrTb"/>
            <w:noWrap w:val="false"/>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92"/>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sz w:val="24"/>
                <w:szCs w:val="24"/>
              </w:rPr>
              <w:t xml:space="preserve">：</w:t>
            </w:r>
            <w:r>
              <w:rPr>
                <w:rStyle w:val="974"/>
                <w:rFonts w:hint="eastAsia" w:ascii="Times New Roman" w:hAnsi="Times New Roman" w:cs="Times New Roman"/>
                <w:color w:val="auto"/>
                <w:sz w:val="24"/>
                <w:szCs w:val="24"/>
              </w:rPr>
              <w:t xml:space="preserve">xx</w:t>
            </w:r>
            <w:r>
              <w:rPr>
                <w:sz w:val="24"/>
                <w:szCs w:val="24"/>
              </w:rPr>
              <w:t xml:space="preserve">，号型：</w:t>
            </w:r>
            <w:r>
              <w:rPr>
                <w:rFonts w:hint="eastAsia"/>
                <w:sz w:val="24"/>
                <w:szCs w:val="24"/>
              </w:rPr>
              <w:t xml:space="preserve">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sz w:val="24"/>
                <w:szCs w:val="24"/>
              </w:rPr>
              <w:t xml:space="preserve">：</w:t>
            </w:r>
            <w:r>
              <w:rPr>
                <w:rStyle w:val="974"/>
                <w:rFonts w:hint="eastAsia" w:ascii="Times New Roman" w:hAnsi="Times New Roman" w:cs="Times New Roman"/>
                <w:color w:val="auto"/>
                <w:sz w:val="24"/>
                <w:szCs w:val="24"/>
              </w:rPr>
              <w:t xml:space="preserve">xx</w:t>
            </w:r>
            <w:r>
              <w:rPr>
                <w:sz w:val="24"/>
                <w:szCs w:val="24"/>
              </w:rPr>
              <w:t xml:space="preserve">，号型：</w:t>
            </w:r>
            <w:r>
              <w:rPr>
                <w:rFonts w:hint="eastAsia"/>
                <w:sz w:val="24"/>
                <w:szCs w:val="24"/>
              </w:rPr>
              <w:t xml:space="preserve">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val="false"/>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ascii="宋体"/>
          <w:bCs/>
          <w:i/>
          <w:iCs/>
          <w:sz w:val="24"/>
          <w:szCs w:val="24"/>
          <w:u w:val="single"/>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pStyle w:val="784"/>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p>
    <w:p>
      <w:pPr>
        <w:pStyle w:val="992"/>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南京市公证处统一组织盲样编号，而后</w:t>
      </w:r>
      <w:r>
        <w:rPr>
          <w:spacing w:val="-1"/>
          <w:sz w:val="24"/>
          <w:szCs w:val="24"/>
          <w:lang w:eastAsia="zh-CN"/>
        </w:rPr>
        <w:t xml:space="preserve">统一送达相关检测机构进行检测。</w:t>
      </w:r>
      <w:r/>
    </w:p>
    <w:p>
      <w:pPr>
        <w:pStyle w:val="992"/>
        <w:ind w:firstLine="476"/>
        <w:spacing w:line="500" w:lineRule="exact"/>
        <w:rPr>
          <w:rFonts w:hint="eastAsia"/>
          <w:spacing w:val="-1"/>
          <w:sz w:val="24"/>
          <w:szCs w:val="24"/>
          <w:lang w:eastAsia="zh-CN"/>
        </w:rPr>
      </w:pPr>
      <w:r>
        <w:rPr>
          <w:spacing w:val="-1"/>
          <w:sz w:val="24"/>
          <w:szCs w:val="24"/>
          <w:lang w:eastAsia="zh-CN"/>
        </w:rPr>
        <w:t xml:space="preserve">②样品检测费用标准：无论检测结果如何，投标人承担所有与样品及检测有关的费用</w:t>
      </w:r>
      <w:r>
        <w:rPr>
          <w:rFonts w:hint="eastAsia"/>
          <w:spacing w:val="-1"/>
          <w:sz w:val="24"/>
          <w:szCs w:val="24"/>
          <w:lang w:eastAsia="zh-CN"/>
        </w:rPr>
        <w:t xml:space="preserve">。按照检测机构确定的检测费用金额，由采购人统一收取后转交检测机构。投标人需将检测费转账凭证随样品一起送交。未缴费的，不收取样品。</w:t>
      </w:r>
      <w:r/>
    </w:p>
    <w:p>
      <w:pPr>
        <w:pStyle w:val="992"/>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992"/>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784"/>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784"/>
        <w:ind w:firstLine="482"/>
        <w:spacing w:before="0" w:beforeAutospacing="0" w:after="0" w:afterAutospacing="0" w:line="500" w:lineRule="exact"/>
        <w:widowControl w:val="off"/>
        <w:rPr>
          <w:rFonts w:hint="eastAsia"/>
          <w:b/>
          <w:bCs/>
          <w:szCs w:val="24"/>
        </w:rPr>
      </w:pPr>
      <w:r>
        <w:rPr>
          <w:rFonts w:hint="eastAsia"/>
          <w:b/>
          <w:bCs/>
          <w:szCs w:val="24"/>
        </w:rPr>
        <w:t xml:space="preserve">（四）样品检测费如下：</w:t>
      </w:r>
      <w:r/>
    </w:p>
    <w:tbl>
      <w:tblPr>
        <w:tblW w:w="5000" w:type="pct"/>
        <w:jc w:val="center"/>
        <w:tblLook w:val="04A0" w:firstRow="1" w:lastRow="0" w:firstColumn="1" w:lastColumn="0" w:noHBand="0" w:noVBand="1"/>
      </w:tblPr>
      <w:tblGrid>
        <w:gridCol w:w="696"/>
        <w:gridCol w:w="696"/>
        <w:gridCol w:w="6013"/>
        <w:gridCol w:w="1656"/>
      </w:tblGrid>
      <w:tr>
        <w:trPr>
          <w:jc w:val="center"/>
          <w:trHeight w:val="452"/>
        </w:trPr>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hint="eastAsia" w:ascii="黑体" w:hAnsi="黑体" w:eastAsia="黑体" w:cs="黑体"/>
                <w:sz w:val="24"/>
                <w:szCs w:val="24"/>
              </w:rPr>
            </w:pPr>
            <w:r>
              <w:rPr>
                <w:rFonts w:hint="eastAsia" w:ascii="黑体" w:hAnsi="黑体" w:eastAsia="黑体" w:cs="黑体"/>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hint="eastAsia" w:ascii="黑体" w:hAnsi="黑体" w:eastAsia="黑体" w:cs="黑体"/>
                <w:sz w:val="24"/>
                <w:szCs w:val="24"/>
              </w:rPr>
            </w:pPr>
            <w:r>
              <w:rPr>
                <w:rFonts w:hint="eastAsia" w:ascii="黑体" w:hAnsi="黑体" w:eastAsia="黑体" w:cs="黑体"/>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18" w:type="pct"/>
            <w:vAlign w:val="center"/>
            <w:textDirection w:val="lrTb"/>
            <w:noWrap/>
          </w:tcPr>
          <w:p>
            <w:pPr>
              <w:jc w:val="center"/>
              <w:spacing w:line="500" w:lineRule="exact"/>
              <w:widowControl/>
              <w:rPr>
                <w:rFonts w:hint="eastAsia" w:ascii="黑体" w:hAnsi="黑体" w:eastAsia="黑体" w:cs="黑体"/>
                <w:sz w:val="24"/>
                <w:szCs w:val="24"/>
              </w:rPr>
            </w:pPr>
            <w:r>
              <w:rPr>
                <w:rFonts w:hint="eastAsia" w:ascii="黑体" w:hAnsi="黑体" w:eastAsia="黑体" w:cs="黑体"/>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913" w:type="pct"/>
            <w:vAlign w:val="center"/>
            <w:textDirection w:val="lrTb"/>
            <w:noWrap/>
          </w:tcPr>
          <w:p>
            <w:pPr>
              <w:jc w:val="center"/>
              <w:spacing w:line="500" w:lineRule="exact"/>
              <w:widowControl/>
              <w:rPr>
                <w:rFonts w:hint="eastAsia" w:ascii="黑体" w:hAnsi="黑体" w:eastAsia="黑体" w:cs="黑体"/>
                <w:sz w:val="24"/>
                <w:szCs w:val="24"/>
              </w:rPr>
            </w:pPr>
            <w:r>
              <w:rPr>
                <w:rFonts w:hint="eastAsia" w:ascii="黑体" w:hAnsi="黑体" w:eastAsia="黑体" w:cs="黑体"/>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widowControl/>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大檐帽（布面）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卷檐帽（布面）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执勤帽（网眼）</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作训帽（布面）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栽绒帽（短绒）</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8</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特警夏战训服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特警春秋战训服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特警战训蛙服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特警冬战训服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特警战训防寒服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2000</w:t>
            </w:r>
            <w:r/>
          </w:p>
        </w:tc>
      </w:tr>
    </w:tbl>
    <w:p>
      <w:pPr>
        <w:spacing w:line="500" w:lineRule="exact"/>
        <w:tabs>
          <w:tab w:val="left" w:pos="0" w:leader="none"/>
        </w:tabs>
        <w:rPr>
          <w:rFonts w:hint="eastAsia" w:ascii="宋体" w:hAnsi="宋体"/>
          <w:b/>
          <w:bCs/>
          <w:sz w:val="24"/>
          <w:szCs w:val="24"/>
        </w:rPr>
      </w:pPr>
      <w:r>
        <w:rPr>
          <w:rFonts w:hint="eastAsia" w:ascii="宋体" w:hAnsi="宋体"/>
          <w:b/>
          <w:bCs/>
          <w:sz w:val="24"/>
          <w:szCs w:val="24"/>
        </w:rPr>
        <w:t xml:space="preserve">检测费用在报名时缴入以下账户：</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开户名称</w:t>
      </w:r>
      <w:r>
        <w:rPr>
          <w:rFonts w:hint="eastAsia" w:ascii="宋体" w:hAnsi="宋体"/>
          <w:sz w:val="24"/>
          <w:szCs w:val="24"/>
        </w:rPr>
        <w:t xml:space="preserve">：江苏省公安厅；</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开户行</w:t>
      </w:r>
      <w:r>
        <w:rPr>
          <w:rFonts w:hint="eastAsia" w:ascii="宋体" w:hAnsi="宋体"/>
          <w:sz w:val="24"/>
          <w:szCs w:val="24"/>
        </w:rPr>
        <w:t xml:space="preserve">：工商银行南京城北支行；</w:t>
      </w:r>
      <w:r/>
    </w:p>
    <w:p>
      <w:pPr>
        <w:ind w:firstLine="482"/>
        <w:spacing w:line="500" w:lineRule="exact"/>
        <w:rPr>
          <w:rFonts w:hint="eastAsia" w:ascii="宋体" w:hAnsi="宋体"/>
          <w:sz w:val="24"/>
          <w:szCs w:val="24"/>
        </w:rPr>
      </w:pPr>
      <w:r>
        <w:rPr>
          <w:rFonts w:hint="eastAsia" w:ascii="宋体" w:hAnsi="宋体"/>
          <w:b/>
          <w:bCs/>
          <w:sz w:val="24"/>
          <w:szCs w:val="24"/>
        </w:rPr>
        <w:t xml:space="preserve">账号</w:t>
      </w:r>
      <w:r>
        <w:rPr>
          <w:rFonts w:hint="eastAsia" w:ascii="宋体" w:hAnsi="宋体"/>
          <w:sz w:val="24"/>
          <w:szCs w:val="24"/>
        </w:rPr>
        <w:t xml:space="preserve">：</w:t>
      </w:r>
      <w:r>
        <w:rPr>
          <w:rFonts w:ascii="宋体" w:hAnsi="宋体"/>
          <w:sz w:val="24"/>
          <w:szCs w:val="24"/>
        </w:rPr>
        <w:t xml:space="preserve">4301010909001042960</w:t>
      </w:r>
      <w:r/>
    </w:p>
    <w:p>
      <w:pPr>
        <w:ind w:firstLine="420"/>
        <w:spacing w:line="500" w:lineRule="exact"/>
        <w:rPr>
          <w:rFonts w:hint="eastAsia" w:ascii="宋体" w:hAnsi="宋体" w:cs="宋体"/>
        </w:rPr>
      </w:pPr>
      <w:r>
        <w:rPr>
          <w:rFonts w:hint="eastAsia" w:ascii="宋体" w:hAnsi="宋体" w:cs="宋体"/>
          <w:b/>
          <w:bCs/>
          <w:sz w:val="24"/>
          <w:szCs w:val="24"/>
        </w:rPr>
        <w:t xml:space="preserve">注：汇款截止时间为</w:t>
      </w:r>
      <w:r>
        <w:rPr>
          <w:b/>
          <w:bCs/>
          <w:sz w:val="24"/>
          <w:szCs w:val="24"/>
        </w:rPr>
        <w:t xml:space="preserve">202</w:t>
      </w:r>
      <w:r>
        <w:rPr>
          <w:rFonts w:hint="eastAsia"/>
          <w:b/>
          <w:bCs/>
          <w:sz w:val="24"/>
          <w:szCs w:val="24"/>
        </w:rPr>
        <w:t xml:space="preserve">6</w:t>
      </w:r>
      <w:r>
        <w:rPr>
          <w:b/>
          <w:bCs/>
          <w:sz w:val="24"/>
          <w:szCs w:val="24"/>
        </w:rPr>
        <w:t xml:space="preserve">年6</w:t>
      </w:r>
      <w:r>
        <w:rPr>
          <w:b/>
          <w:bCs/>
          <w:sz w:val="24"/>
          <w:szCs w:val="24"/>
        </w:rPr>
        <w:t xml:space="preserve">月23</w:t>
      </w:r>
      <w:r>
        <w:rPr>
          <w:b/>
          <w:bCs/>
          <w:sz w:val="24"/>
          <w:szCs w:val="24"/>
        </w:rPr>
        <w:t xml:space="preserve">日</w:t>
      </w:r>
      <w:r>
        <w:rPr>
          <w:rFonts w:hint="eastAsia"/>
          <w:b/>
          <w:bCs/>
          <w:sz w:val="24"/>
          <w:szCs w:val="24"/>
        </w:rPr>
        <w:t xml:space="preserve">15</w:t>
      </w:r>
      <w:r>
        <w:rPr>
          <w:rFonts w:hint="eastAsia"/>
          <w:b/>
          <w:bCs/>
          <w:sz w:val="24"/>
          <w:szCs w:val="24"/>
        </w:rPr>
        <w:t xml:space="preserve">：</w:t>
      </w:r>
      <w:r>
        <w:rPr>
          <w:rFonts w:hint="eastAsia"/>
          <w:b/>
          <w:bCs/>
          <w:sz w:val="24"/>
          <w:szCs w:val="24"/>
        </w:rPr>
        <w:t xml:space="preserve">00</w:t>
      </w:r>
      <w:r>
        <w:rPr>
          <w:rFonts w:hint="eastAsia"/>
          <w:b/>
          <w:bCs/>
          <w:sz w:val="24"/>
          <w:szCs w:val="24"/>
        </w:rPr>
        <w:t xml:space="preserve">，截止时间之后的汇款视为无效。</w:t>
      </w:r>
      <w:r>
        <w:rPr>
          <w:rFonts w:hint="eastAsia" w:ascii="宋体" w:hAnsi="宋体" w:cs="宋体"/>
          <w:b/>
          <w:bCs/>
          <w:sz w:val="24"/>
          <w:szCs w:val="24"/>
        </w:rPr>
        <w:t xml:space="preserve">汇款时，投标人应注明缴纳费用对应的采购包号。实际检测费用以检测机构收取为</w:t>
      </w:r>
      <w:r>
        <w:rPr>
          <w:rFonts w:hint="eastAsia" w:ascii="宋体" w:hAnsi="宋体" w:cs="宋体"/>
          <w:b/>
          <w:bCs/>
          <w:sz w:val="24"/>
          <w:szCs w:val="24"/>
        </w:rPr>
        <w:t xml:space="preserve">准。样品检测费多退少补。投标人的样品检测费剩余部分将于检测机构统一结算完成之日起5个工作日内无息退还投标人。检测费用的发票</w:t>
      </w:r>
      <w:r>
        <w:rPr>
          <w:rFonts w:hint="eastAsia" w:cs="宋体"/>
          <w:b/>
          <w:bCs/>
          <w:sz w:val="24"/>
          <w:szCs w:val="24"/>
        </w:rPr>
        <w:t xml:space="preserve">（</w:t>
      </w:r>
      <w:r>
        <w:rPr>
          <w:rFonts w:hint="eastAsia" w:ascii="宋体" w:hAnsi="宋体" w:cs="宋体"/>
          <w:b/>
          <w:bCs/>
          <w:sz w:val="24"/>
          <w:szCs w:val="24"/>
        </w:rPr>
        <w:t xml:space="preserve">或专用收据</w:t>
      </w:r>
      <w:r>
        <w:rPr>
          <w:rFonts w:hint="eastAsia" w:cs="宋体"/>
          <w:b/>
          <w:bCs/>
          <w:sz w:val="24"/>
          <w:szCs w:val="24"/>
        </w:rPr>
        <w:t xml:space="preserve">）</w:t>
      </w:r>
      <w:r>
        <w:rPr>
          <w:rFonts w:hint="eastAsia" w:ascii="宋体" w:hAnsi="宋体" w:cs="宋体"/>
          <w:b/>
          <w:bCs/>
          <w:sz w:val="24"/>
          <w:szCs w:val="24"/>
        </w:rPr>
        <w:t xml:space="preserve">由检测机构向投标人开具。</w:t>
      </w:r>
      <w:r/>
    </w:p>
    <w:p>
      <w:pPr>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w:t>
      </w:r>
      <w:r>
        <w:rPr>
          <w:rFonts w:hint="eastAsia" w:ascii="宋体" w:hAnsi="宋体"/>
          <w:bCs/>
          <w:sz w:val="24"/>
          <w:szCs w:val="24"/>
        </w:rPr>
        <w:t xml:space="preserve">加盖企业公章。</w:t>
      </w:r>
      <w:r/>
    </w:p>
    <w:p>
      <w:pPr>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hint="eastAsia" w:ascii="宋体" w:hAnsi="宋体"/>
          <w:b/>
          <w:sz w:val="30"/>
          <w:szCs w:val="30"/>
        </w:rPr>
      </w:pPr>
      <w:r>
        <w:rPr>
          <w:rFonts w:hint="eastAsia" w:ascii="宋体" w:hAnsi="宋体"/>
          <w:b/>
          <w:sz w:val="30"/>
          <w:szCs w:val="30"/>
        </w:rPr>
        <w:t xml:space="preserve">六、商务要求等</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67"/>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中标企业书面告知甲方可以抽检面料起，至甲方书面告知中标企业检测结果止。如中标企业在生产计划下达30天内仍未书面告知甲方可以抽检面料，甲方有权终止履约，终止后由甲方通过重新招标确定生产</w:t>
      </w:r>
      <w:r>
        <w:rPr>
          <w:rFonts w:hint="eastAsia" w:ascii="宋体" w:hAnsi="宋体"/>
          <w:b/>
          <w:i/>
          <w:iCs/>
          <w:sz w:val="24"/>
          <w:szCs w:val="24"/>
          <w:u w:val="single"/>
        </w:rPr>
        <w:t xml:space="preserve">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7679"/>
      </w:tblGrid>
      <w:tr>
        <w:trPr>
          <w:trHeight w:val="243"/>
        </w:trPr>
        <w:tc>
          <w:tcPr>
            <w:tcW w:w="896" w:type="dxa"/>
            <w:vAlign w:val="bottom"/>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vAlign w:val="bottom"/>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bottom"/>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vAlign w:val="bottom"/>
            <w:textDirection w:val="lrTb"/>
            <w:noWrap/>
          </w:tcPr>
          <w:p>
            <w:pPr>
              <w:jc w:val="center"/>
              <w:spacing w:line="360" w:lineRule="auto"/>
              <w:rPr>
                <w:rFonts w:ascii="宋体"/>
                <w:sz w:val="18"/>
                <w:szCs w:val="18"/>
              </w:rPr>
            </w:pPr>
            <w:r>
              <w:rPr>
                <w:rFonts w:hint="eastAsia" w:ascii="宋体" w:hAnsi="宋体"/>
                <w:sz w:val="18"/>
                <w:szCs w:val="18"/>
              </w:rPr>
              <w:t xml:space="preserve">大檐帽、卷檐帽、执勤帽（布面、网眼）、特警战训帽、作训帽、栽绒帽</w:t>
            </w:r>
            <w:r/>
          </w:p>
        </w:tc>
      </w:tr>
      <w:tr>
        <w:trPr/>
        <w:tc>
          <w:tcPr>
            <w:tcW w:w="896" w:type="dxa"/>
            <w:vAlign w:val="bottom"/>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vAlign w:val="bottom"/>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特警战训服（夏、春秋、冬）、特警战训蛙服、特警战训防寒服</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ascii="黑体" w:eastAsia="黑体"/>
          <w:bCs/>
          <w:sz w:val="44"/>
        </w:rPr>
      </w:pPr>
      <w:r/>
      <w:bookmarkStart w:id="183" w:name="_Toc165989711"/>
      <w:r/>
      <w:bookmarkStart w:id="184" w:name="_第五章__评标方法与评标标准"/>
      <w:r>
        <w:rPr>
          <w:rFonts w:hint="eastAsia" w:ascii="黑体" w:eastAsia="黑体"/>
          <w:bCs/>
          <w:sz w:val="44"/>
        </w:rPr>
        <w:br w:type="page" w:clear="all"/>
      </w:r>
      <w:r/>
    </w:p>
    <w:p>
      <w:pPr>
        <w:pStyle w:val="751"/>
        <w:rPr>
          <w:rFonts w:ascii="黑体" w:eastAsia="黑体"/>
          <w:bCs/>
          <w:sz w:val="44"/>
        </w:rPr>
      </w:pPr>
      <w:r/>
      <w:bookmarkStart w:id="185" w:name="_Toc224197618"/>
      <w:r/>
      <w:bookmarkStart w:id="186"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3"/>
      <w:r/>
      <w:bookmarkEnd w:id="184"/>
      <w:r/>
      <w:bookmarkEnd w:id="185"/>
      <w:r/>
      <w:bookmarkEnd w:id="186"/>
      <w:r/>
      <w:r/>
    </w:p>
    <w:p>
      <w:pPr>
        <w:ind w:firstLine="420"/>
        <w:spacing w:line="0" w:lineRule="atLeast"/>
        <w:rPr>
          <w:rFonts w:hint="eastAsia" w:ascii="宋体" w:hAnsi="宋体"/>
          <w:sz w:val="24"/>
          <w:szCs w:val="24"/>
        </w:rPr>
      </w:pPr>
      <w:r>
        <w:rPr>
          <w:rFonts w:ascii="宋体" w:hAnsi="宋体"/>
        </w:rPr>
        <w:t xml:space="preserve">采用综合评分法的，评标结果按评审后得分由高到低顺序排列。得分相同的，按投标报价由低到高顺序排列。</w:t>
      </w:r>
      <w:r>
        <w:rPr>
          <w:rFonts w:ascii="宋体" w:hAnsi="宋体"/>
          <w:sz w:val="24"/>
          <w:szCs w:val="24"/>
        </w:rPr>
        <w:t xml:space="preserve">得分且投标报价相同的并列。</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tcPr>
          <w:p>
            <w:pPr>
              <w:jc w:val="center"/>
              <w:rPr>
                <w:rFonts w:hint="eastAsia" w:ascii="宋体" w:hAnsi="宋体"/>
              </w:rPr>
            </w:pPr>
            <w:r>
              <w:rPr>
                <w:rFonts w:hint="eastAsia" w:ascii="宋体" w:hAnsi="宋体"/>
              </w:rPr>
              <w:t xml:space="preserve">采购包号</w:t>
            </w:r>
            <w:r/>
          </w:p>
        </w:tc>
        <w:tc>
          <w:tcPr>
            <w:tcW w:w="1610"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eastAsia" w:ascii="宋体" w:hAnsi="宋体"/>
              </w:rPr>
            </w:pPr>
            <w:r>
              <w:rPr>
                <w:rFonts w:hint="eastAsia" w:ascii="宋体" w:hAnsi="宋体"/>
              </w:rPr>
              <w:t xml:space="preserve">1-2</w:t>
            </w:r>
            <w:r/>
          </w:p>
        </w:tc>
        <w:tc>
          <w:tcPr>
            <w:tcW w:w="1610" w:type="dxa"/>
            <w:vAlign w:val="center"/>
            <w:textDirection w:val="lrTb"/>
            <w:noWrap/>
          </w:tcPr>
          <w:p>
            <w:pPr>
              <w:jc w:val="center"/>
              <w:rPr>
                <w:rFonts w:hint="eastAsia" w:ascii="宋体" w:hAnsi="宋体"/>
              </w:rPr>
            </w:pPr>
            <w:r>
              <w:rPr>
                <w:rFonts w:hint="eastAsia" w:ascii="宋体" w:hAnsi="宋体"/>
              </w:rPr>
              <w:t xml:space="preserve">1</w:t>
            </w:r>
            <w:r/>
          </w:p>
        </w:tc>
        <w:tc>
          <w:tcPr>
            <w:tcW w:w="4325" w:type="dxa"/>
            <w:vAlign w:val="center"/>
            <w:textDirection w:val="lrTb"/>
            <w:noWrap/>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2"/>
        <w:rPr>
          <w:rFonts w:cs="Arial"/>
        </w:rPr>
      </w:pPr>
      <w:r>
        <w:rPr>
          <w:rFonts w:hint="eastAsia" w:cs="Arial"/>
        </w:rPr>
        <w:t xml:space="preserve">同一投标单位可对本项目不同分包同时投标。本项目按照包</w:t>
      </w:r>
      <w:r>
        <w:rPr>
          <w:rFonts w:hint="eastAsia" w:cs="Arial"/>
        </w:rPr>
        <w:t xml:space="preserve">1</w:t>
      </w:r>
      <w:r>
        <w:rPr>
          <w:rFonts w:hint="eastAsia" w:cs="Arial"/>
        </w:rPr>
        <w:t xml:space="preserve">至包</w:t>
      </w:r>
      <w:r>
        <w:rPr>
          <w:rFonts w:hint="eastAsia" w:cs="Arial"/>
        </w:rPr>
        <w:t xml:space="preserve">2</w:t>
      </w:r>
      <w:r>
        <w:rPr>
          <w:rFonts w:hint="eastAsia" w:cs="Arial"/>
        </w:rPr>
        <w:t xml:space="preserve">的顺序依次评审。各采购包各选取</w:t>
      </w:r>
      <w:r>
        <w:rPr>
          <w:rFonts w:hint="eastAsia" w:cs="Arial"/>
        </w:rPr>
        <w:t xml:space="preserve">1</w:t>
      </w:r>
      <w:r>
        <w:rPr>
          <w:rFonts w:hint="eastAsia" w:cs="Arial"/>
        </w:rPr>
        <w:t xml:space="preserve">名中标人。</w:t>
      </w:r>
      <w:r/>
    </w:p>
    <w:p>
      <w:pPr>
        <w:pStyle w:val="972"/>
        <w:ind w:firstLine="482"/>
        <w:rPr>
          <w:rFonts w:ascii="宋体"/>
          <w:b/>
        </w:rPr>
      </w:pPr>
      <w:r>
        <w:rPr>
          <w:rFonts w:hint="eastAsia" w:ascii="宋体" w:hAnsi="宋体"/>
          <w:b/>
        </w:rPr>
        <w:t xml:space="preserve">政府采购政策功能落实</w:t>
      </w:r>
      <w:r/>
    </w:p>
    <w:p>
      <w:pPr>
        <w:pStyle w:val="972"/>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72"/>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72"/>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72"/>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72"/>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72"/>
        <w:rPr>
          <w:rFonts w:hint="eastAsia" w:ascii="宋体" w:hAnsi="宋体" w:cs="宋体"/>
        </w:rPr>
      </w:pPr>
      <w:r>
        <w:rPr>
          <w:rFonts w:hint="eastAsia" w:ascii="宋体" w:hAnsi="宋体" w:cs="宋体"/>
        </w:rPr>
        <w:t xml:space="preserve">7、采购本国产品的支持政策</w:t>
      </w:r>
      <w:r/>
    </w:p>
    <w:p>
      <w:pPr>
        <w:pStyle w:val="972"/>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72"/>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72"/>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72"/>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w:t>
      </w:r>
      <w:r>
        <w:rPr>
          <w:rFonts w:hint="eastAsia" w:ascii="宋体" w:hAnsi="宋体" w:cs="宋体"/>
        </w:rPr>
        <w:t xml:space="preserve">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72"/>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2"/>
        <w:ind w:firstLine="482"/>
        <w:rPr>
          <w:rFonts w:hint="eastAsia" w:ascii="宋体" w:hAnsi="宋体"/>
          <w:b/>
          <w:sz w:val="32"/>
        </w:rPr>
      </w:pPr>
      <w:r>
        <w:rPr>
          <w:rFonts w:hint="eastAsia" w:ascii="宋体" w:hAnsi="宋体"/>
          <w:b/>
          <w:sz w:val="32"/>
        </w:rPr>
        <w:t xml:space="preserve">评标办法和评标标准</w:t>
      </w:r>
      <w:r/>
    </w:p>
    <w:p>
      <w:pPr>
        <w:rPr>
          <w:rFonts w:hint="eastAsia" w:ascii="黑体" w:hAnsi="宋体" w:eastAsia="黑体" w:cs="黑体"/>
          <w:b/>
          <w:bCs/>
          <w:sz w:val="24"/>
          <w:szCs w:val="24"/>
        </w:rPr>
      </w:pPr>
      <w:r>
        <w:rPr>
          <w:rFonts w:hint="eastAsia" w:ascii="黑体" w:hAnsi="宋体" w:eastAsia="黑体" w:cs="黑体"/>
          <w:b/>
          <w:bCs/>
          <w:sz w:val="24"/>
          <w:szCs w:val="24"/>
        </w:rPr>
        <w:t xml:space="preserve">第1包评分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sz w:val="22"/>
                <w:szCs w:val="22"/>
              </w:rPr>
            </w:pPr>
            <w:r>
              <w:rPr>
                <w:rFonts w:hint="eastAsia"/>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价格部分</w:t>
            </w:r>
            <w:r>
              <w:rPr>
                <w:rFonts w:hint="eastAsia"/>
              </w:rPr>
              <w:t xml:space="preserve">（</w:t>
            </w:r>
            <w:r>
              <w:rPr>
                <w:rFonts w:hint="eastAsia"/>
              </w:rPr>
              <w:t xml:space="preserve">35</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sz w:val="22"/>
                <w:szCs w:val="22"/>
              </w:rPr>
            </w:pPr>
            <w:r>
              <w:rPr>
                <w:rFonts w:hint="eastAsia"/>
                <w:sz w:val="22"/>
                <w:szCs w:val="22"/>
              </w:rPr>
              <w:t xml:space="preserve">1</w:t>
            </w:r>
            <w:r>
              <w:rPr>
                <w:sz w:val="22"/>
                <w:szCs w:val="22"/>
              </w:rPr>
              <w:t xml:space="preserve">.1</w:t>
            </w:r>
            <w:r>
              <w:rPr>
                <w:rFonts w:hint="eastAsia"/>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满足招标文件要求且投标价格最低的投标报价为评标基准价，其价格分为满分。其他投标人的价格分统一按照下列公式计算：投标报价得分</w:t>
            </w:r>
            <w:r>
              <w:t xml:space="preserve">=</w:t>
            </w:r>
            <w:r>
              <w:rPr>
                <w:rFonts w:hint="eastAsia"/>
              </w:rPr>
              <w:t xml:space="preserve">（</w:t>
            </w:r>
            <w:r>
              <w:t xml:space="preserve">评标基准价／投标报价</w:t>
            </w:r>
            <w:r>
              <w:rPr>
                <w:rFonts w:hint="eastAsia"/>
              </w:rPr>
              <w:t xml:space="preserve">）</w:t>
            </w:r>
            <w:r>
              <w:t xml:space="preserve">×</w:t>
            </w:r>
            <w:r>
              <w:rPr>
                <w:rFonts w:hint="eastAsia"/>
              </w:rPr>
              <w:t xml:space="preserve">35</w:t>
            </w:r>
            <w:r>
              <w:t xml:space="preserve">%×100</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t xml:space="preserve">投标报价得分</w:t>
            </w:r>
            <w:r>
              <w:t xml:space="preserve">=</w:t>
            </w:r>
            <w:r>
              <w:rPr>
                <w:rFonts w:hint="eastAsia"/>
              </w:rPr>
              <w:t xml:space="preserve">（</w:t>
            </w:r>
            <w:r>
              <w:t xml:space="preserve">评标基准价／投标报价</w:t>
            </w:r>
            <w:r>
              <w:rPr>
                <w:rFonts w:hint="eastAsia"/>
              </w:rPr>
              <w:t xml:space="preserve">）</w:t>
            </w:r>
            <w:r>
              <w:t xml:space="preserve">×</w:t>
            </w:r>
            <w:r>
              <w:rPr>
                <w:rFonts w:hint="eastAsia"/>
              </w:rPr>
              <w:t xml:space="preserve">35</w:t>
            </w:r>
            <w:r>
              <w:t xml:space="preserve">%×100</w:t>
            </w: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sz w:val="22"/>
                <w:szCs w:val="22"/>
              </w:rPr>
            </w:pPr>
            <w:r>
              <w:rPr>
                <w:rFonts w:hint="eastAsia"/>
                <w:sz w:val="22"/>
                <w:szCs w:val="22"/>
              </w:rPr>
              <w:t xml:space="preserve">2</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技术部分</w:t>
            </w:r>
            <w:r>
              <w:rPr>
                <w:rFonts w:hint="eastAsia"/>
              </w:rPr>
              <w:t xml:space="preserve">（</w:t>
            </w:r>
            <w:r>
              <w:rPr>
                <w:rFonts w:hint="eastAsia"/>
              </w:rPr>
              <w:t xml:space="preserve">55</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sz w:val="22"/>
                <w:szCs w:val="22"/>
              </w:rPr>
            </w:pPr>
            <w:r>
              <w:rPr>
                <w:rFonts w:hint="eastAsia"/>
                <w:sz w:val="22"/>
                <w:szCs w:val="22"/>
              </w:rPr>
              <w:t xml:space="preserve">2</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2</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w:t>
            </w:r>
            <w:r>
              <w:rPr>
                <w:rFonts w:hint="eastAsia"/>
              </w:rPr>
              <w:t xml:space="preserve">，</w:t>
            </w:r>
            <w:r>
              <w:t xml:space="preserve">则</w:t>
            </w:r>
            <w:r>
              <w:rPr>
                <w:rFonts w:hint="eastAsia"/>
              </w:rPr>
              <w:t xml:space="preserve">投标被拒绝</w:t>
            </w:r>
            <w:r>
              <w:t xml:space="preserve">；</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t xml:space="preserve">1</w:t>
            </w:r>
            <w:r>
              <w:t xml:space="preserve">个轻缺陷扣</w:t>
            </w:r>
            <w:r>
              <w:rPr>
                <w:rFonts w:hint="eastAsia"/>
              </w:rPr>
              <w:t xml:space="preserve">3</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未按招标文件采购包对应要求递交样品的</w:t>
            </w:r>
            <w:r>
              <w:rPr>
                <w:rFonts w:hint="eastAsia"/>
              </w:rPr>
              <w:t xml:space="preserve">，</w:t>
            </w:r>
            <w:r>
              <w:t xml:space="preserve">则</w:t>
            </w:r>
            <w:r>
              <w:rPr>
                <w:rFonts w:hint="eastAsia"/>
              </w:rPr>
              <w:t xml:space="preserve">投标被拒绝</w:t>
            </w:r>
            <w:r>
              <w:t xml:space="preserve">；</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t xml:space="preserve">1</w:t>
            </w:r>
            <w:r>
              <w:t xml:space="preserve">个轻缺陷扣</w:t>
            </w:r>
            <w:r>
              <w:rPr>
                <w:rFonts w:hint="eastAsia"/>
              </w:rPr>
              <w:t xml:space="preserve">3</w:t>
            </w:r>
            <w:r>
              <w:t xml:space="preserve">分</w:t>
            </w:r>
            <w:r>
              <w:rPr>
                <w:rFonts w:hint="eastAsia"/>
              </w:rPr>
              <w:t xml:space="preserve">，扣完为止</w:t>
            </w:r>
            <w: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sz w:val="22"/>
                <w:szCs w:val="22"/>
              </w:rPr>
            </w:pPr>
            <w:r>
              <w:rPr>
                <w:rFonts w:hint="eastAsia"/>
                <w:sz w:val="22"/>
                <w:szCs w:val="22"/>
              </w:rPr>
              <w:t xml:space="preserve">3</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服务部分</w:t>
            </w:r>
            <w:r>
              <w:rPr>
                <w:rFonts w:hint="eastAsia"/>
              </w:rPr>
              <w:t xml:space="preserve">（</w:t>
            </w:r>
            <w:r>
              <w:rPr>
                <w:rFonts w:hint="eastAsia"/>
              </w:rPr>
              <w:t xml:space="preserve">10</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sz w:val="22"/>
                <w:szCs w:val="22"/>
              </w:rPr>
            </w:pPr>
            <w:r>
              <w:rPr>
                <w:rFonts w:hint="eastAsia"/>
                <w:sz w:val="22"/>
                <w:szCs w:val="22"/>
              </w:rPr>
              <w:t xml:space="preserve">3</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投标人须</w:t>
            </w:r>
            <w:r>
              <w:t xml:space="preserve">提供生产该产品相关专业技术人员和熟练操作技工的配备情况，提供人员情况一览表、技术资格证书复印件、</w:t>
            </w:r>
            <w:r>
              <w:rPr>
                <w:rFonts w:hint="eastAsia"/>
              </w:rPr>
              <w:t xml:space="preserve">半年内任意一个月的</w:t>
            </w:r>
            <w:r>
              <w:t xml:space="preserve">社保缴纳清单等</w:t>
            </w:r>
            <w:r>
              <w:rPr>
                <w:rFonts w:hint="eastAsia"/>
              </w:rPr>
              <w:t xml:space="preserve">，至少有</w:t>
            </w:r>
            <w:r>
              <w:rPr>
                <w:rFonts w:hint="eastAsia"/>
              </w:rPr>
              <w:t xml:space="preserve">5</w:t>
            </w:r>
            <w:r>
              <w:rPr>
                <w:rFonts w:hint="eastAsia"/>
              </w:rPr>
              <w:t xml:space="preserve">名（含）以上技术人员具备所投产品对应行业的相关专业高级技术资格（职称），符合要求的</w:t>
            </w:r>
            <w:r>
              <w:t xml:space="preserve">得</w:t>
            </w:r>
            <w:r>
              <w:t xml:space="preserve">1</w:t>
            </w:r>
            <w:r>
              <w:t xml:space="preserve">分，</w:t>
            </w:r>
            <w:r>
              <w:rPr>
                <w:rFonts w:hint="eastAsia"/>
              </w:rPr>
              <w:t xml:space="preserve">不符</w:t>
            </w:r>
            <w:r>
              <w:rPr>
                <w:rFonts w:hint="eastAsia"/>
              </w:rPr>
              <w:t xml:space="preserve">合或未提供的不得分。（</w:t>
            </w:r>
            <w: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b/>
                <w:bCs/>
              </w:rPr>
            </w:pPr>
            <w:r>
              <w:t xml:space="preserve">人员情况一览表、技术资格证书复印件、</w:t>
            </w:r>
            <w:r>
              <w:rPr>
                <w:rFonts w:hint="eastAsia"/>
              </w:rPr>
              <w:t xml:space="preserve">半年内任意一个月的</w:t>
            </w:r>
            <w:r>
              <w:t xml:space="preserve">社保缴</w:t>
            </w:r>
            <w:r>
              <w:t xml:space="preserve">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t xml:space="preserve">提供生产该产品相关专业技术人员和熟练操作技工的配备情况，提供人员情况一览表、技术资格证书复印件、</w:t>
            </w:r>
            <w:r>
              <w:rPr>
                <w:rFonts w:hint="eastAsia"/>
              </w:rPr>
              <w:t xml:space="preserve">半年内任意一个月的</w:t>
            </w:r>
            <w:r>
              <w:t xml:space="preserve">社保缴</w:t>
            </w:r>
            <w:r>
              <w:t xml:space="preserve">纳清单等</w:t>
            </w:r>
            <w:r>
              <w:rPr>
                <w:rFonts w:hint="eastAsia"/>
              </w:rPr>
              <w:t xml:space="preserve">，至少有</w:t>
            </w:r>
            <w:r>
              <w:rPr>
                <w:rFonts w:hint="eastAsia"/>
              </w:rPr>
              <w:t xml:space="preserve">5</w:t>
            </w:r>
            <w:r>
              <w:rPr>
                <w:rFonts w:hint="eastAsia"/>
              </w:rPr>
              <w:t xml:space="preserve">名（含）以上技术人员具备所投产品对应行业的相关专业高级技术资格（职称），符合要求的</w:t>
            </w:r>
            <w:r>
              <w:t xml:space="preserve">得</w:t>
            </w:r>
            <w:r>
              <w:t xml:space="preserve">1</w:t>
            </w:r>
            <w:r>
              <w:t xml:space="preserve">分，</w:t>
            </w:r>
            <w:r>
              <w:rPr>
                <w:rFonts w:hint="eastAsia"/>
              </w:rPr>
              <w:t xml:space="preserve">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rPr>
                <w:rFonts w:hint="eastAsia"/>
              </w:rP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投标人应根据招标文件要求及本项目特点，提</w:t>
            </w:r>
            <w:r>
              <w:rPr>
                <w:rFonts w:hint="eastAsia"/>
              </w:rPr>
              <w:t xml:space="preserve">供项目实施方案，包括人员组成、产品生产、产品运输、产品质量控制、人员配置、时间进度安排，交货期保证和验收方案等，优于本项目要求的得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项目实施方</w:t>
            </w:r>
            <w:r>
              <w:rPr>
                <w:rFonts w:hint="eastAsia"/>
              </w:rPr>
              <w:t xml:space="preserve">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投标人应根据招标文件</w:t>
            </w:r>
            <w:r>
              <w:rPr>
                <w:rFonts w:hint="eastAsia"/>
              </w:rPr>
              <w:t xml:space="preserve">要求及本项目特点，提供项目实施方案，包括人员组成、产品生产、产品运输、产品质量控制、人员配置、时间进度安排，交货期保证和验收方案等，优于本项目要求的得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w:t>
            </w:r>
            <w: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rPr>
              <w:t xml:space="preserve">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提供</w:t>
            </w:r>
            <w:r>
              <w:rPr>
                <w:rFonts w:hint="eastAsia"/>
              </w:rPr>
              <w:t xml:space="preserve">2024</w:t>
            </w:r>
            <w:r>
              <w:rPr>
                <w:rFonts w:hint="eastAsia"/>
              </w:rPr>
              <w:t xml:space="preserve">年以来省级以上单位应急保障响应成功案例（合同或证明）、</w:t>
            </w:r>
            <w: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w:t>
            </w:r>
            <w: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rPr>
              <w:t xml:space="preserve">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bl>
    <w:p>
      <w:pPr>
        <w:rPr>
          <w:rFonts w:hint="eastAsia" w:ascii="宋体" w:hAnsi="宋体"/>
          <w:sz w:val="24"/>
          <w:szCs w:val="24"/>
        </w:rPr>
      </w:pPr>
      <w:r>
        <w:rPr>
          <w:rFonts w:hint="eastAsia" w:ascii="宋体" w:hAnsi="宋体"/>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第2包评分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sz w:val="22"/>
                <w:szCs w:val="22"/>
              </w:rPr>
            </w:pPr>
            <w:r>
              <w:rPr>
                <w:rFonts w:hint="eastAsia" w:ascii="宋体" w:hAnsi="宋体" w:cs="宋体"/>
                <w:b/>
                <w:bCs/>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sz w:val="22"/>
                <w:szCs w:val="22"/>
              </w:rPr>
            </w:pPr>
            <w:r>
              <w:rPr>
                <w:rFonts w:hint="eastAsia"/>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价格部分</w:t>
            </w:r>
            <w:r>
              <w:rPr>
                <w:rFonts w:hint="eastAsia"/>
              </w:rPr>
              <w:t xml:space="preserve">（</w:t>
            </w:r>
            <w:r>
              <w:rPr>
                <w:rFonts w:hint="eastAsia"/>
              </w:rPr>
              <w:t xml:space="preserve">35</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sz w:val="22"/>
                <w:szCs w:val="22"/>
              </w:rPr>
            </w:pPr>
            <w:r>
              <w:rPr>
                <w:rFonts w:hint="eastAsia"/>
                <w:sz w:val="22"/>
                <w:szCs w:val="22"/>
              </w:rPr>
              <w:t xml:space="preserve">1</w:t>
            </w:r>
            <w:r>
              <w:rPr>
                <w:sz w:val="22"/>
                <w:szCs w:val="22"/>
              </w:rPr>
              <w:t xml:space="preserve">.1</w:t>
            </w:r>
            <w:r>
              <w:rPr>
                <w:rFonts w:hint="eastAsia"/>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满足招标文件要求且投标价格最低的投标报价为评标基准价，其价格分为满分。其他投标人的价格分统一按照下列公式计算：投标报价得分</w:t>
            </w:r>
            <w:r>
              <w:t xml:space="preserve">=</w:t>
            </w:r>
            <w:r>
              <w:rPr>
                <w:rFonts w:hint="eastAsia"/>
              </w:rPr>
              <w:t xml:space="preserve">（</w:t>
            </w:r>
            <w:r>
              <w:t xml:space="preserve">评标基准价／投标报价</w:t>
            </w:r>
            <w:r>
              <w:rPr>
                <w:rFonts w:hint="eastAsia"/>
              </w:rPr>
              <w:t xml:space="preserve">）</w:t>
            </w:r>
            <w:r>
              <w:t xml:space="preserve">×</w:t>
            </w:r>
            <w:r>
              <w:rPr>
                <w:rFonts w:hint="eastAsia"/>
              </w:rPr>
              <w:t xml:space="preserve">35</w:t>
            </w:r>
            <w:r>
              <w:t xml:space="preserve">%×100</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t xml:space="preserve">投标报价得分</w:t>
            </w:r>
            <w:r>
              <w:t xml:space="preserve">=</w:t>
            </w:r>
            <w:r>
              <w:rPr>
                <w:rFonts w:hint="eastAsia"/>
              </w:rPr>
              <w:t xml:space="preserve">（</w:t>
            </w:r>
            <w:r>
              <w:t xml:space="preserve">评标基准价／投标报价</w:t>
            </w:r>
            <w:r>
              <w:rPr>
                <w:rFonts w:hint="eastAsia"/>
              </w:rPr>
              <w:t xml:space="preserve">）</w:t>
            </w:r>
            <w:r>
              <w:t xml:space="preserve">×</w:t>
            </w:r>
            <w:r>
              <w:rPr>
                <w:rFonts w:hint="eastAsia"/>
              </w:rPr>
              <w:t xml:space="preserve">35</w:t>
            </w:r>
            <w:r>
              <w:t xml:space="preserve">%×100</w:t>
            </w: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sz w:val="22"/>
                <w:szCs w:val="22"/>
              </w:rPr>
            </w:pPr>
            <w:r>
              <w:rPr>
                <w:rFonts w:hint="eastAsia"/>
                <w:sz w:val="22"/>
                <w:szCs w:val="22"/>
              </w:rPr>
              <w:t xml:space="preserve">2</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技术部分</w:t>
            </w:r>
            <w:r>
              <w:rPr>
                <w:rFonts w:hint="eastAsia"/>
              </w:rPr>
              <w:t xml:space="preserve">（</w:t>
            </w:r>
            <w:r>
              <w:rPr>
                <w:rFonts w:hint="eastAsia"/>
              </w:rPr>
              <w:t xml:space="preserve">55</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sz w:val="22"/>
                <w:szCs w:val="22"/>
              </w:rPr>
            </w:pPr>
            <w:r>
              <w:rPr>
                <w:rFonts w:hint="eastAsia"/>
                <w:sz w:val="22"/>
                <w:szCs w:val="22"/>
              </w:rPr>
              <w:t xml:space="preserve">2</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2</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w:t>
            </w:r>
            <w:r>
              <w:rPr>
                <w:rFonts w:hint="eastAsia"/>
              </w:rPr>
              <w:t xml:space="preserve">，</w:t>
            </w:r>
            <w:r>
              <w:t xml:space="preserve">则</w:t>
            </w:r>
            <w:r>
              <w:rPr>
                <w:rFonts w:hint="eastAsia"/>
              </w:rPr>
              <w:t xml:space="preserve">投标被拒绝</w:t>
            </w:r>
            <w:r>
              <w:t xml:space="preserve">；</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t xml:space="preserve">1</w:t>
            </w:r>
            <w:r>
              <w:t xml:space="preserve">个轻缺陷扣</w:t>
            </w:r>
            <w:r>
              <w:rPr>
                <w:rFonts w:hint="eastAsia"/>
              </w:rPr>
              <w:t xml:space="preserve">1</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未按招标文件采购包对应要求递交样品的</w:t>
            </w:r>
            <w:r>
              <w:rPr>
                <w:rFonts w:hint="eastAsia"/>
              </w:rPr>
              <w:t xml:space="preserve">，</w:t>
            </w:r>
            <w:r>
              <w:t xml:space="preserve">则</w:t>
            </w:r>
            <w:r>
              <w:rPr>
                <w:rFonts w:hint="eastAsia"/>
              </w:rPr>
              <w:t xml:space="preserve">投标被拒绝</w:t>
            </w:r>
            <w:r>
              <w:t xml:space="preserve">；</w:t>
            </w:r>
            <w:r>
              <w:rPr>
                <w:rFonts w:hint="eastAsia"/>
              </w:rPr>
              <w:t xml:space="preserve">采购包内检验报告存在重缺陷或任一产品超过最大允许轻缺陷数量，技术部分得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t xml:space="preserve">1</w:t>
            </w:r>
            <w:r>
              <w:t xml:space="preserve">个轻缺陷扣</w:t>
            </w:r>
            <w:r>
              <w:rPr>
                <w:rFonts w:hint="eastAsia"/>
              </w:rPr>
              <w:t xml:space="preserve">1</w:t>
            </w:r>
            <w:r>
              <w:t xml:space="preserve">分</w:t>
            </w:r>
            <w:r>
              <w:rPr>
                <w:rFonts w:hint="eastAsia"/>
              </w:rPr>
              <w:t xml:space="preserve">，扣完为止</w:t>
            </w:r>
            <w: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sz w:val="22"/>
                <w:szCs w:val="22"/>
              </w:rPr>
            </w:pPr>
            <w:r>
              <w:rPr>
                <w:rFonts w:hint="eastAsia"/>
                <w:sz w:val="22"/>
                <w:szCs w:val="22"/>
              </w:rPr>
              <w:t xml:space="preserve">3</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服务部分</w:t>
            </w:r>
            <w:r>
              <w:rPr>
                <w:rFonts w:hint="eastAsia"/>
              </w:rPr>
              <w:t xml:space="preserve">（</w:t>
            </w:r>
            <w:r>
              <w:rPr>
                <w:rFonts w:hint="eastAsia"/>
              </w:rPr>
              <w:t xml:space="preserve">10</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sz w:val="22"/>
                <w:szCs w:val="22"/>
              </w:rPr>
            </w:pPr>
            <w:r>
              <w:rPr>
                <w:rFonts w:hint="eastAsia"/>
                <w:sz w:val="22"/>
                <w:szCs w:val="22"/>
              </w:rPr>
              <w:t xml:space="preserve">3</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pPr>
            <w: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投标人须</w:t>
            </w:r>
            <w:r>
              <w:t xml:space="preserve">提供生产该产品相关专业技术人员和熟练操作技工的配备情况，提供人员情况一览表、技术资格证书复印件、</w:t>
            </w:r>
            <w:r>
              <w:rPr>
                <w:rFonts w:hint="eastAsia"/>
              </w:rPr>
              <w:t xml:space="preserve">半年内任意一个月的</w:t>
            </w:r>
            <w:r>
              <w:t xml:space="preserve">社保缴纳清单等</w:t>
            </w:r>
            <w:r>
              <w:rPr>
                <w:rFonts w:hint="eastAsia"/>
              </w:rPr>
              <w:t xml:space="preserve">，至少有</w:t>
            </w:r>
            <w:r>
              <w:rPr>
                <w:rFonts w:hint="eastAsia"/>
              </w:rPr>
              <w:t xml:space="preserve">5</w:t>
            </w:r>
            <w:r>
              <w:rPr>
                <w:rFonts w:hint="eastAsia"/>
              </w:rPr>
              <w:t xml:space="preserve">名（含）以上技术人员具备所投产品对应行业的相关专业高级技术资格（职称），符合要求的</w:t>
            </w:r>
            <w:r>
              <w:t xml:space="preserve">得</w:t>
            </w:r>
            <w:r>
              <w:t xml:space="preserve">1</w:t>
            </w:r>
            <w:r>
              <w:t xml:space="preserve">分，</w:t>
            </w:r>
            <w:r>
              <w:rPr>
                <w:rFonts w:hint="eastAsia"/>
              </w:rPr>
              <w:t xml:space="preserve">不符合或未提供的不得分。（</w:t>
            </w:r>
            <w: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b/>
                <w:bCs/>
              </w:rPr>
            </w:pPr>
            <w:r>
              <w:t xml:space="preserve">人员情况一览表、技术资格证书复印件、</w:t>
            </w:r>
            <w:r>
              <w:rPr>
                <w:rFonts w:hint="eastAsia"/>
              </w:rPr>
              <w:t xml:space="preserve">半年内任意一个月的</w:t>
            </w:r>
            <w: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t xml:space="preserve">提供生产该产品相关专业技术人员和熟练操作技工的配备情况，提供人员情况一览表、技术资格证书复印件、</w:t>
            </w:r>
            <w:r>
              <w:rPr>
                <w:rFonts w:hint="eastAsia"/>
              </w:rPr>
              <w:t xml:space="preserve">半年内任意一个月的</w:t>
            </w:r>
            <w:r>
              <w:t xml:space="preserve">社保缴纳清单等</w:t>
            </w:r>
            <w:r>
              <w:rPr>
                <w:rFonts w:hint="eastAsia"/>
              </w:rPr>
              <w:t xml:space="preserve">，至少有</w:t>
            </w:r>
            <w:r>
              <w:rPr>
                <w:rFonts w:hint="eastAsia"/>
              </w:rPr>
              <w:t xml:space="preserve">5</w:t>
            </w:r>
            <w:r>
              <w:rPr>
                <w:rFonts w:hint="eastAsia"/>
              </w:rPr>
              <w:t xml:space="preserve">名（含）以上技术人员具备所投产品对应行业的相关专业高级技术资格（职称），符合要求的</w:t>
            </w:r>
            <w:r>
              <w:t xml:space="preserve">得</w:t>
            </w:r>
            <w:r>
              <w:t xml:space="preserve">1</w:t>
            </w:r>
            <w:r>
              <w:t xml:space="preserve">分，</w:t>
            </w:r>
            <w:r>
              <w:rPr>
                <w:rFonts w:hint="eastAsia"/>
              </w:rPr>
              <w:t xml:space="preserve">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投标人应具有完成本项目的生产和检验能力，</w:t>
            </w:r>
            <w:r>
              <w:rPr>
                <w:rFonts w:hint="eastAsia"/>
              </w:rPr>
              <w:t xml:space="preserve">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rPr>
                <w:rFonts w:hint="eastAsia"/>
              </w:rPr>
              <w:t xml:space="preserve">1</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pPr>
            <w:r>
              <w:rPr>
                <w:rFonts w:hint="eastAsia"/>
              </w:rPr>
              <w:t xml:space="preserve">生产、检验</w:t>
            </w:r>
            <w:r>
              <w:rPr>
                <w:rFonts w:hint="eastAsia"/>
              </w:rPr>
              <w:t xml:space="preserve">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投标人应具有完成本项</w:t>
            </w:r>
            <w:r>
              <w:rPr>
                <w:rFonts w:hint="eastAsia"/>
              </w:rPr>
              <w:t xml:space="preserve">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投标人应根据招标文件要求及本项目特点，提供项目实施方案，包括人员组成、产品生产、产品运输、产品质量控制、人员配置、时间进度安排，交货期保证和验收方案等，优于本项目要求的得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投标人应根据招标文件要求及本项目特点，提供项目实施方案，包括人员组成、产品生产、产品运输、产品质量控制、人员配置、时间进度安排，交货期保证和验收方案等，优于本项目要求的得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w:t>
            </w:r>
            <w:r>
              <w:rPr>
                <w:rFonts w:hint="eastAsia"/>
              </w:rPr>
              <w:t xml:space="preserve">未提供的不得分。（</w:t>
            </w:r>
            <w:r>
              <w:rPr>
                <w:rFonts w:hint="eastAsia"/>
              </w:rP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w:t>
            </w:r>
            <w:r>
              <w:rPr>
                <w:rFonts w:hint="eastAsia"/>
              </w:rPr>
              <w:t xml:space="preserve">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sz w:val="22"/>
                <w:szCs w:val="22"/>
              </w:rPr>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rPr>
                <w:rFonts w:hint="eastAsia"/>
              </w:rPr>
              <w:t xml:space="preserve">投标人应</w:t>
            </w:r>
            <w: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rPr>
              <w:t xml:space="preserve">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t xml:space="preserve">2</w:t>
            </w:r>
            <w:r>
              <w:t xml:space="preserve">分</w:t>
            </w: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pPr>
            <w:r>
              <w:rPr>
                <w:rFonts w:hint="eastAsia"/>
              </w:rPr>
              <w:t xml:space="preserve">提供</w:t>
            </w:r>
            <w:r>
              <w:rPr>
                <w:rFonts w:hint="eastAsia"/>
              </w:rPr>
              <w:t xml:space="preserve">2024</w:t>
            </w:r>
            <w:r>
              <w:rPr>
                <w:rFonts w:hint="eastAsia"/>
              </w:rPr>
              <w:t xml:space="preserve">年以来省级以上单位应急保障响应成功案例（合同或证明）、</w:t>
            </w:r>
            <w: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pPr>
            <w:r>
              <w:rPr>
                <w:rFonts w:hint="eastAsia"/>
              </w:rPr>
              <w:t xml:space="preserve">投标人应</w:t>
            </w:r>
            <w: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rPr>
              <w:t xml:space="preserve">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bl>
    <w:p>
      <w:pPr>
        <w:rPr>
          <w:rFonts w:ascii="黑体" w:eastAsia="黑体"/>
          <w:bCs/>
          <w:sz w:val="44"/>
          <w:szCs w:val="28"/>
        </w:rPr>
      </w:pPr>
      <w:r>
        <w:rPr>
          <w:rFonts w:ascii="黑体" w:eastAsia="黑体"/>
          <w:bCs/>
          <w:sz w:val="44"/>
          <w:szCs w:val="28"/>
        </w:rPr>
      </w:r>
      <w:r/>
    </w:p>
    <w:p>
      <w:pPr>
        <w:rPr>
          <w:rFonts w:ascii="黑体" w:eastAsia="黑体"/>
          <w:bCs/>
          <w:sz w:val="44"/>
          <w:szCs w:val="28"/>
        </w:rPr>
      </w:pPr>
      <w:r>
        <w:rPr>
          <w:rFonts w:hint="eastAsia" w:ascii="黑体" w:eastAsia="黑体"/>
          <w:bCs/>
          <w:sz w:val="44"/>
          <w:szCs w:val="28"/>
        </w:rPr>
        <w:br w:type="page" w:clear="all"/>
      </w:r>
      <w:r/>
    </w:p>
    <w:p>
      <w:pPr>
        <w:jc w:val="center"/>
        <w:keepNext/>
        <w:rPr>
          <w:rFonts w:ascii="黑体" w:eastAsia="黑体"/>
          <w:bCs/>
          <w:sz w:val="44"/>
          <w:szCs w:val="28"/>
        </w:rPr>
        <w:outlineLvl w:val="0"/>
      </w:pPr>
      <w:r/>
      <w:bookmarkStart w:id="187" w:name="_Toc224197493"/>
      <w:r/>
      <w:bookmarkStart w:id="188" w:name="_Toc224197619"/>
      <w:r>
        <w:rPr>
          <w:rFonts w:hint="eastAsia" w:ascii="黑体" w:eastAsia="黑体"/>
          <w:bCs/>
          <w:sz w:val="44"/>
          <w:szCs w:val="28"/>
        </w:rPr>
        <w:t xml:space="preserve">第六章  投标文件格式</w:t>
      </w:r>
      <w:bookmarkEnd w:id="187"/>
      <w:r/>
      <w:bookmarkEnd w:id="188"/>
      <w:r>
        <w:rPr>
          <w:rFonts w:hint="eastAsia" w:ascii="黑体" w:eastAsia="黑体"/>
          <w:bCs/>
          <w:sz w:val="44"/>
          <w:szCs w:val="28"/>
        </w:rPr>
        <w:t xml:space="preserve"> </w:t>
      </w:r>
      <w:r/>
    </w:p>
    <w:p>
      <w:pPr>
        <w:jc w:val="center"/>
        <w:rPr>
          <w:rFonts w:hint="eastAsia" w:ascii="宋体" w:hAnsi="宋体"/>
          <w:b/>
          <w:sz w:val="72"/>
        </w:rPr>
      </w:pPr>
      <w:r/>
      <w:bookmarkStart w:id="189" w:name="_Hlt26955039"/>
      <w:r/>
      <w:bookmarkStart w:id="190" w:name="_Hlt26671244"/>
      <w:r/>
      <w:bookmarkStart w:id="191" w:name="_Toc120614282"/>
      <w:r/>
      <w:bookmarkStart w:id="192" w:name="_Toc26554094"/>
      <w:r/>
      <w:bookmarkStart w:id="193" w:name="_Toc49090576"/>
      <w:r/>
      <w:bookmarkEnd w:id="189"/>
      <w:r/>
      <w:bookmarkEnd w:id="190"/>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hint="eastAsia" w:ascii="宋体" w:hAnsi="宋体"/>
          <w:sz w:val="24"/>
        </w:rPr>
      </w:pPr>
      <w:r>
        <w:rPr>
          <w:rFonts w:hint="eastAsia" w:ascii="宋体" w:hAnsi="宋体"/>
          <w:sz w:val="24"/>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hint="eastAsia" w:ascii="宋体" w:hAnsi="宋体"/>
          <w:b/>
          <w:sz w:val="24"/>
        </w:rPr>
      </w:pPr>
      <w:r>
        <w:rPr>
          <w:rFonts w:hint="eastAsia"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textDirection w:val="lrTb"/>
            <w:noWrap/>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hint="eastAsia" w:ascii="宋体" w:hAnsi="宋体"/>
          <w:b/>
          <w:sz w:val="24"/>
        </w:rPr>
      </w:pPr>
      <w:r>
        <w:rPr>
          <w:rFonts w:hint="eastAsia" w:ascii="宋体" w:hAnsi="宋体"/>
          <w:b/>
          <w:sz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p>
    <w:p>
      <w:pPr>
        <w:spacing w:line="460" w:lineRule="exact"/>
        <w:rPr>
          <w:rFonts w:hint="eastAsia" w:ascii="宋体" w:hAnsi="宋体"/>
          <w:bCs/>
          <w:sz w:val="24"/>
        </w:rPr>
      </w:pPr>
      <w:r>
        <w:rPr>
          <w:rFonts w:hint="eastAsia" w:ascii="宋体" w:hAnsi="宋体"/>
          <w:bCs/>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hint="eastAsia" w:ascii="宋体" w:hAnsi="宋体"/>
          <w:b/>
          <w:sz w:val="24"/>
        </w:rPr>
      </w:pPr>
      <w:r>
        <w:rPr>
          <w:rFonts w:hint="eastAsia" w:ascii="宋体" w:hAnsi="宋体"/>
          <w:b/>
          <w:sz w:val="24"/>
        </w:rPr>
        <w:t xml:space="preserve">面声明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Start w:id="194" w:name="_Toc120614284"/>
      <w:r/>
      <w:bookmarkEnd w:id="191"/>
      <w:r/>
      <w:bookmarkEnd w:id="192"/>
      <w:r/>
      <w:bookmarkEnd w:id="193"/>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bookmarkStart w:id="195" w:name="_Hlt26671380"/>
      <w:r/>
      <w:bookmarkStart w:id="196" w:name="_格式3__银行出具的资信证明"/>
      <w:r/>
      <w:bookmarkStart w:id="197" w:name="_Hlt26955070"/>
      <w:r/>
      <w:bookmarkEnd w:id="195"/>
      <w:r/>
      <w:bookmarkEnd w:id="196"/>
      <w:r/>
      <w:bookmarkEnd w:id="197"/>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198" w:name="_Toc224197620"/>
      <w:r/>
      <w:bookmarkStart w:id="199" w:name="_Toc224197494"/>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198"/>
      <w:r/>
      <w:bookmarkEnd w:id="199"/>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
          <w:sz w:val="24"/>
        </w:rPr>
      </w:pPr>
      <w:r>
        <w:rPr>
          <w:rFonts w:hint="eastAsia" w:ascii="宋体" w:hAnsi="宋体"/>
          <w:b/>
          <w:sz w:val="24"/>
        </w:rPr>
      </w:r>
      <w:r/>
    </w:p>
    <w:p>
      <w:pPr>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6"/>
        <w:jc w:val="right"/>
        <w:spacing w:line="400" w:lineRule="exact"/>
        <w:rPr>
          <w:rFonts w:hint="eastAsia" w:ascii="宋体" w:hAnsi="宋体"/>
          <w:sz w:val="24"/>
        </w:rPr>
      </w:pPr>
      <w:r>
        <w:rPr>
          <w:rFonts w:hint="eastAsia" w:ascii="宋体" w:hAnsi="宋体"/>
          <w:sz w:val="24"/>
        </w:rPr>
        <w:t xml:space="preserve">联合体中各供应商全称（公章）：</w:t>
      </w:r>
      <w:r/>
    </w:p>
    <w:p>
      <w:pPr>
        <w:ind w:firstLine="646"/>
        <w:spacing w:line="400" w:lineRule="exact"/>
        <w:rPr>
          <w:rFonts w:hint="eastAsia" w:ascii="宋体" w:hAnsi="宋体"/>
          <w:sz w:val="24"/>
        </w:rPr>
      </w:pP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r/>
      <w:r/>
    </w:p>
    <w:p>
      <w:r/>
      <w:r/>
    </w:p>
    <w:p>
      <w:r/>
      <w:r/>
    </w:p>
    <w:p>
      <w:r/>
      <w:r/>
    </w:p>
    <w:p>
      <w:r/>
      <w:r/>
    </w:p>
    <w:p>
      <w:r/>
      <w:r/>
    </w:p>
    <w:p>
      <w:r/>
      <w:r/>
    </w:p>
    <w:p>
      <w:r/>
      <w:r/>
    </w:p>
    <w:p>
      <w:r/>
      <w:r/>
    </w:p>
    <w:p>
      <w:r/>
      <w:r/>
    </w:p>
    <w:p>
      <w:r/>
      <w:r/>
    </w:p>
    <w:p>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84"/>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790"/>
          <w:rFonts w:hint="eastAsia" w:ascii="方正魏碑_GBK" w:hAnsi="方正魏碑_GBK" w:eastAsia="方正魏碑_GBK" w:cs="方正魏碑_GBK"/>
          <w:i w:val="0"/>
          <w:szCs w:val="24"/>
          <w:u w:val="single"/>
          <w:shd w:val="clear" w:color="auto" w:fill="ffffff"/>
        </w:rPr>
        <w:t xml:space="preserve">（产品名称1）</w:t>
      </w:r>
      <w:r>
        <w:rPr>
          <w:rStyle w:val="790"/>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790"/>
          <w:rFonts w:hint="eastAsia" w:ascii="方正魏碑_GBK" w:hAnsi="方正魏碑_GBK" w:eastAsia="方正魏碑_GBK" w:cs="方正魏碑_GBK"/>
          <w:i w:val="0"/>
          <w:szCs w:val="24"/>
          <w:u w:val="single"/>
          <w:shd w:val="clear" w:color="auto" w:fill="ffffff"/>
        </w:rPr>
        <w:t xml:space="preserve">（厂名）</w:t>
      </w:r>
      <w:r>
        <w:rPr>
          <w:rStyle w:val="790"/>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79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90"/>
          <w:rFonts w:hint="eastAsia" w:ascii="方正魏碑_GBK" w:hAnsi="方正魏碑_GBK" w:eastAsia="方正魏碑_GBK" w:cs="方正魏碑_GBK"/>
          <w:i w:val="0"/>
          <w:szCs w:val="24"/>
          <w:u w:val="single"/>
          <w:shd w:val="clear" w:color="auto" w:fill="ffffff"/>
        </w:rPr>
        <w:t xml:space="preserve">/  </w:t>
      </w:r>
      <w:r>
        <w:rPr>
          <w:rStyle w:val="790"/>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90"/>
          <w:rFonts w:hint="eastAsia" w:ascii="方正魏碑_GBK" w:hAnsi="方正魏碑_GBK" w:eastAsia="方正魏碑_GBK" w:cs="方正魏碑_GBK"/>
          <w:i w:val="0"/>
          <w:szCs w:val="24"/>
          <w:u w:val="single"/>
          <w:shd w:val="clear" w:color="auto" w:fill="ffffff"/>
        </w:rPr>
        <w:t xml:space="preserve">/  </w:t>
      </w:r>
      <w:r>
        <w:rPr>
          <w:rStyle w:val="790"/>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90"/>
          <w:rFonts w:hint="eastAsia" w:ascii="方正魏碑_GBK" w:hAnsi="方正魏碑_GBK" w:eastAsia="方正魏碑_GBK" w:cs="方正魏碑_GBK"/>
          <w:i w:val="0"/>
          <w:szCs w:val="24"/>
          <w:u w:val="single"/>
          <w:shd w:val="clear" w:color="auto" w:fill="ffffff"/>
        </w:rPr>
        <w:t xml:space="preserve">/  </w:t>
      </w:r>
      <w:r>
        <w:rPr>
          <w:rStyle w:val="790"/>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78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790"/>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790"/>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79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9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78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78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784"/>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84"/>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784"/>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78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78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78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78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78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784"/>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790"/>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4"/>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Calibri">
    <w:panose1 w:val="020F0502020204030204"/>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4"/>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4"/>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upperLetter"/>
      <w:pStyle w:val="995"/>
      <w:isLgl w:val="false"/>
      <w:suff w:val="nothing"/>
      <w:lvlText w:val="%1.%2"/>
      <w:lvlJc w:val="left"/>
      <w:pPr>
        <w:ind w:left="104" w:firstLine="0"/>
      </w:pPr>
      <w:rPr>
        <w:rFonts w:ascii="黑体" w:hAnsi="宋体" w:eastAsia="黑体" w:cs="Times New Roman"/>
        <w:b w:val="0"/>
        <w:i w:val="0"/>
        <w:spacing w:val="0"/>
        <w:sz w:val="21"/>
      </w:rPr>
    </w:lvl>
    <w:lvl w:ilvl="2">
      <w:start w:val="1"/>
      <w:numFmt w:val="decimal"/>
      <w:isLgl w:val="false"/>
      <w:suff w:val="nothing"/>
      <w:lvlText w:val="%1.%2.%3　"/>
      <w:lvlJc w:val="left"/>
      <w:pPr>
        <w:ind w:left="-256" w:firstLine="0"/>
      </w:pPr>
      <w:rPr>
        <w:rFonts w:hint="eastAsia" w:ascii="黑体" w:hAnsi="Times New Roman" w:eastAsia="黑体"/>
        <w:b w:val="0"/>
        <w:i w:val="0"/>
        <w:sz w:val="21"/>
      </w:rPr>
    </w:lvl>
    <w:lvl w:ilvl="3">
      <w:start w:val="1"/>
      <w:numFmt w:val="decimal"/>
      <w:isLgl w:val="false"/>
      <w:suff w:val="nothing"/>
      <w:lvlText w:val="%1.%2.%3.%4　"/>
      <w:lvlJc w:val="left"/>
      <w:pPr>
        <w:ind w:left="-256" w:firstLine="0"/>
      </w:pPr>
      <w:rPr>
        <w:rFonts w:hint="eastAsia" w:ascii="黑体" w:hAnsi="Times New Roman" w:eastAsia="黑体"/>
        <w:b w:val="0"/>
        <w:i w:val="0"/>
        <w:sz w:val="21"/>
      </w:rPr>
    </w:lvl>
    <w:lvl w:ilvl="4">
      <w:start w:val="1"/>
      <w:numFmt w:val="decimal"/>
      <w:isLgl w:val="false"/>
      <w:suff w:val="nothing"/>
      <w:lvlText w:val="%1.%2.%3.%4.%5　"/>
      <w:lvlJc w:val="left"/>
      <w:pPr>
        <w:ind w:left="-256" w:firstLine="0"/>
      </w:pPr>
      <w:rPr>
        <w:rFonts w:hint="eastAsia" w:ascii="黑体" w:hAnsi="Times New Roman" w:eastAsia="黑体"/>
        <w:b w:val="0"/>
        <w:i w:val="0"/>
        <w:sz w:val="21"/>
      </w:rPr>
    </w:lvl>
    <w:lvl w:ilvl="5">
      <w:start w:val="1"/>
      <w:numFmt w:val="decimal"/>
      <w:isLgl w:val="false"/>
      <w:suff w:val="nothing"/>
      <w:lvlText w:val="%1.%2.%3.%4.%5.%6　"/>
      <w:lvlJc w:val="left"/>
      <w:pPr>
        <w:ind w:left="-256" w:firstLine="0"/>
      </w:pPr>
      <w:rPr>
        <w:rFonts w:hint="eastAsia" w:ascii="黑体" w:hAnsi="Times New Roman" w:eastAsia="黑体"/>
        <w:b w:val="0"/>
        <w:i w:val="0"/>
        <w:sz w:val="21"/>
      </w:rPr>
    </w:lvl>
    <w:lvl w:ilvl="6">
      <w:start w:val="1"/>
      <w:numFmt w:val="decimal"/>
      <w:isLgl w:val="false"/>
      <w:suff w:val="nothing"/>
      <w:lvlText w:val="%1.%2.%3.%4.%5.%6.%7　"/>
      <w:lvlJc w:val="left"/>
      <w:pPr>
        <w:ind w:left="-256" w:firstLine="0"/>
      </w:pPr>
      <w:rPr>
        <w:rFonts w:hint="eastAsia" w:ascii="黑体" w:hAnsi="Times New Roman" w:eastAsia="黑体"/>
        <w:b w:val="0"/>
        <w:i w:val="0"/>
        <w:sz w:val="21"/>
      </w:rPr>
    </w:lvl>
    <w:lvl w:ilvl="7">
      <w:start w:val="1"/>
      <w:numFmt w:val="decimal"/>
      <w:isLgl w:val="false"/>
      <w:suff w:val="tab"/>
      <w:lvlText w:val="%1.%2.%3.%4.%5.%6.%7.%8"/>
      <w:lvlJc w:val="left"/>
      <w:pPr>
        <w:ind w:left="4138" w:hanging="1418"/>
        <w:tabs>
          <w:tab w:val="left" w:pos="4138" w:leader="none"/>
        </w:tabs>
      </w:pPr>
    </w:lvl>
    <w:lvl w:ilvl="8">
      <w:start w:val="1"/>
      <w:numFmt w:val="decimal"/>
      <w:isLgl w:val="false"/>
      <w:suff w:val="tab"/>
      <w:lvlText w:val="%1.%2.%3.%4.%5.%6.%7.%8.%9"/>
      <w:lvlJc w:val="left"/>
      <w:pPr>
        <w:ind w:left="4846" w:hanging="1700"/>
        <w:tabs>
          <w:tab w:val="left" w:pos="4846" w:leader="none"/>
        </w:tabs>
      </w:pPr>
    </w:lvl>
  </w:abstractNum>
  <w:abstractNum w:abstractNumId="3">
    <w:multiLevelType w:val="hybridMultilevel"/>
    <w:lvl w:ilvl="0">
      <w:start w:val="1"/>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0" w:default="1">
    <w:name w:val="Normal"/>
    <w:qFormat/>
    <w:pPr>
      <w:jc w:val="both"/>
      <w:widowControl w:val="off"/>
    </w:pPr>
    <w:rPr>
      <w:sz w:val="21"/>
      <w:szCs w:val="21"/>
    </w:rPr>
  </w:style>
  <w:style w:type="paragraph" w:styleId="751">
    <w:name w:val="Heading 1"/>
    <w:basedOn w:val="750"/>
    <w:next w:val="750"/>
    <w:qFormat/>
    <w:pPr>
      <w:jc w:val="center"/>
      <w:keepNext/>
      <w:outlineLvl w:val="0"/>
    </w:pPr>
    <w:rPr>
      <w:rFonts w:ascii="楷体_GB2312" w:eastAsia="楷体_GB2312"/>
      <w:sz w:val="28"/>
      <w:szCs w:val="28"/>
    </w:rPr>
  </w:style>
  <w:style w:type="paragraph" w:styleId="752">
    <w:name w:val="Heading 2"/>
    <w:basedOn w:val="750"/>
    <w:next w:val="75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753">
    <w:name w:val="Heading 3"/>
    <w:basedOn w:val="750"/>
    <w:next w:val="750"/>
    <w:qFormat/>
    <w:pPr>
      <w:keepLines/>
      <w:keepNext/>
      <w:spacing w:before="260" w:after="260" w:line="416" w:lineRule="auto"/>
      <w:outlineLvl w:val="2"/>
    </w:pPr>
    <w:rPr>
      <w:b/>
      <w:bCs/>
      <w:sz w:val="32"/>
      <w:szCs w:val="32"/>
    </w:rPr>
  </w:style>
  <w:style w:type="paragraph" w:styleId="754">
    <w:name w:val="Heading 4"/>
    <w:basedOn w:val="750"/>
    <w:next w:val="763"/>
    <w:uiPriority w:val="99"/>
    <w:qFormat/>
    <w:pPr>
      <w:keepLines/>
      <w:keepNext/>
      <w:spacing w:before="280" w:after="290" w:line="376" w:lineRule="auto"/>
      <w:outlineLvl w:val="3"/>
    </w:pPr>
    <w:rPr>
      <w:rFonts w:ascii="Arial" w:hAnsi="Arial" w:eastAsia="黑体"/>
      <w:b/>
      <w:bCs/>
      <w:sz w:val="28"/>
      <w:szCs w:val="28"/>
    </w:rPr>
  </w:style>
  <w:style w:type="paragraph" w:styleId="755">
    <w:name w:val="Heading 5"/>
    <w:basedOn w:val="750"/>
    <w:next w:val="750"/>
    <w:link w:val="848"/>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9"/>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51"/>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52"/>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Normal Indent"/>
    <w:basedOn w:val="750"/>
    <w:uiPriority w:val="99"/>
    <w:qFormat/>
    <w:pPr>
      <w:ind w:firstLine="420"/>
    </w:pPr>
    <w:rPr>
      <w:sz w:val="20"/>
    </w:rPr>
  </w:style>
  <w:style w:type="paragraph" w:styleId="764">
    <w:name w:val="toc 7"/>
    <w:basedOn w:val="750"/>
    <w:next w:val="750"/>
    <w:uiPriority w:val="39"/>
    <w:unhideWhenUsed/>
    <w:qFormat/>
    <w:pPr>
      <w:ind w:left="2520"/>
    </w:pPr>
    <w:rPr>
      <w:rFonts w:ascii="Calibri" w:hAnsi="Calibri" w:eastAsia="Arial"/>
      <w:szCs w:val="22"/>
    </w:rPr>
  </w:style>
  <w:style w:type="paragraph" w:styleId="765">
    <w:name w:val="Caption"/>
    <w:basedOn w:val="750"/>
    <w:next w:val="750"/>
    <w:uiPriority w:val="35"/>
    <w:semiHidden/>
    <w:unhideWhenUsed/>
    <w:qFormat/>
    <w:pPr>
      <w:spacing w:line="276" w:lineRule="auto"/>
    </w:pPr>
    <w:rPr>
      <w:b/>
      <w:bCs/>
      <w:color w:val="5b9bd5"/>
      <w:sz w:val="18"/>
      <w:szCs w:val="18"/>
    </w:rPr>
  </w:style>
  <w:style w:type="paragraph" w:styleId="766">
    <w:name w:val="annotation text"/>
    <w:basedOn w:val="750"/>
    <w:uiPriority w:val="99"/>
    <w:semiHidden/>
    <w:unhideWhenUsed/>
    <w:qFormat/>
    <w:pPr>
      <w:jc w:val="left"/>
    </w:pPr>
  </w:style>
  <w:style w:type="paragraph" w:styleId="767">
    <w:name w:val="Body Text"/>
    <w:basedOn w:val="750"/>
    <w:qFormat/>
    <w:rPr>
      <w:rFonts w:ascii="楷体_GB2312" w:hAnsi="Arial" w:eastAsia="楷体_GB2312"/>
      <w:sz w:val="28"/>
      <w:szCs w:val="28"/>
    </w:rPr>
  </w:style>
  <w:style w:type="paragraph" w:styleId="768">
    <w:name w:val="toc 5"/>
    <w:basedOn w:val="750"/>
    <w:next w:val="750"/>
    <w:uiPriority w:val="39"/>
    <w:unhideWhenUsed/>
    <w:qFormat/>
    <w:pPr>
      <w:ind w:left="1680"/>
    </w:pPr>
    <w:rPr>
      <w:rFonts w:ascii="Calibri" w:hAnsi="Calibri" w:eastAsia="Arial"/>
      <w:szCs w:val="22"/>
    </w:rPr>
  </w:style>
  <w:style w:type="paragraph" w:styleId="769">
    <w:name w:val="toc 3"/>
    <w:basedOn w:val="750"/>
    <w:next w:val="750"/>
    <w:uiPriority w:val="39"/>
    <w:unhideWhenUsed/>
    <w:qFormat/>
    <w:pPr>
      <w:ind w:left="567"/>
      <w:spacing w:after="57"/>
    </w:pPr>
  </w:style>
  <w:style w:type="paragraph" w:styleId="770">
    <w:name w:val="Plain Text"/>
    <w:basedOn w:val="750"/>
    <w:uiPriority w:val="99"/>
    <w:qFormat/>
    <w:rPr>
      <w:rFonts w:ascii="宋体" w:hAnsi="Courier New"/>
      <w:sz w:val="20"/>
    </w:rPr>
  </w:style>
  <w:style w:type="paragraph" w:styleId="771">
    <w:name w:val="toc 8"/>
    <w:basedOn w:val="750"/>
    <w:next w:val="750"/>
    <w:uiPriority w:val="39"/>
    <w:unhideWhenUsed/>
    <w:qFormat/>
    <w:pPr>
      <w:ind w:left="2940"/>
    </w:pPr>
    <w:rPr>
      <w:rFonts w:ascii="Calibri" w:hAnsi="Calibri" w:eastAsia="Arial"/>
      <w:szCs w:val="22"/>
    </w:rPr>
  </w:style>
  <w:style w:type="paragraph" w:styleId="772">
    <w:name w:val="endnote text"/>
    <w:basedOn w:val="750"/>
    <w:link w:val="970"/>
    <w:uiPriority w:val="99"/>
    <w:semiHidden/>
    <w:unhideWhenUsed/>
    <w:qFormat/>
    <w:rPr>
      <w:sz w:val="20"/>
    </w:rPr>
  </w:style>
  <w:style w:type="paragraph" w:styleId="773">
    <w:name w:val="Balloon Text"/>
    <w:basedOn w:val="750"/>
    <w:semiHidden/>
    <w:qFormat/>
    <w:rPr>
      <w:sz w:val="18"/>
      <w:szCs w:val="18"/>
    </w:rPr>
  </w:style>
  <w:style w:type="paragraph" w:styleId="774">
    <w:name w:val="Footer"/>
    <w:basedOn w:val="750"/>
    <w:qFormat/>
    <w:pPr>
      <w:jc w:val="left"/>
      <w:tabs>
        <w:tab w:val="center" w:pos="4153" w:leader="none"/>
        <w:tab w:val="right" w:pos="8306" w:leader="none"/>
      </w:tabs>
    </w:pPr>
    <w:rPr>
      <w:sz w:val="18"/>
    </w:rPr>
  </w:style>
  <w:style w:type="paragraph" w:styleId="775">
    <w:name w:val="Header"/>
    <w:basedOn w:val="75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6">
    <w:name w:val="toc 1"/>
    <w:basedOn w:val="750"/>
    <w:next w:val="750"/>
    <w:uiPriority w:val="39"/>
    <w:unhideWhenUsed/>
    <w:qFormat/>
    <w:pPr>
      <w:spacing w:after="57"/>
    </w:pPr>
  </w:style>
  <w:style w:type="paragraph" w:styleId="777">
    <w:name w:val="toc 4"/>
    <w:basedOn w:val="750"/>
    <w:next w:val="750"/>
    <w:uiPriority w:val="39"/>
    <w:unhideWhenUsed/>
    <w:qFormat/>
    <w:pPr>
      <w:ind w:left="1260"/>
    </w:pPr>
    <w:rPr>
      <w:rFonts w:ascii="Calibri" w:hAnsi="Calibri" w:eastAsia="Arial"/>
      <w:szCs w:val="22"/>
    </w:rPr>
  </w:style>
  <w:style w:type="paragraph" w:styleId="778">
    <w:name w:val="Subtitle"/>
    <w:basedOn w:val="750"/>
    <w:next w:val="750"/>
    <w:link w:val="855"/>
    <w:uiPriority w:val="11"/>
    <w:qFormat/>
    <w:pPr>
      <w:spacing w:before="200" w:after="200"/>
    </w:pPr>
    <w:rPr>
      <w:sz w:val="24"/>
      <w:szCs w:val="24"/>
    </w:rPr>
  </w:style>
  <w:style w:type="paragraph" w:styleId="779">
    <w:name w:val="footnote text"/>
    <w:basedOn w:val="750"/>
    <w:link w:val="969"/>
    <w:uiPriority w:val="99"/>
    <w:semiHidden/>
    <w:unhideWhenUsed/>
    <w:qFormat/>
    <w:pPr>
      <w:spacing w:after="40"/>
    </w:pPr>
    <w:rPr>
      <w:sz w:val="18"/>
    </w:rPr>
  </w:style>
  <w:style w:type="paragraph" w:styleId="780">
    <w:name w:val="toc 6"/>
    <w:basedOn w:val="750"/>
    <w:next w:val="750"/>
    <w:uiPriority w:val="39"/>
    <w:unhideWhenUsed/>
    <w:qFormat/>
    <w:pPr>
      <w:ind w:left="2100"/>
    </w:pPr>
    <w:rPr>
      <w:rFonts w:ascii="Calibri" w:hAnsi="Calibri" w:eastAsia="Arial"/>
      <w:szCs w:val="22"/>
    </w:rPr>
  </w:style>
  <w:style w:type="paragraph" w:styleId="781">
    <w:name w:val="table of figures"/>
    <w:basedOn w:val="750"/>
    <w:next w:val="750"/>
    <w:uiPriority w:val="99"/>
    <w:unhideWhenUsed/>
    <w:qFormat/>
  </w:style>
  <w:style w:type="paragraph" w:styleId="782">
    <w:name w:val="toc 2"/>
    <w:basedOn w:val="750"/>
    <w:next w:val="750"/>
    <w:uiPriority w:val="39"/>
    <w:qFormat/>
    <w:pPr>
      <w:ind w:left="420"/>
    </w:pPr>
  </w:style>
  <w:style w:type="paragraph" w:styleId="783">
    <w:name w:val="toc 9"/>
    <w:basedOn w:val="750"/>
    <w:next w:val="750"/>
    <w:uiPriority w:val="39"/>
    <w:unhideWhenUsed/>
    <w:qFormat/>
    <w:pPr>
      <w:ind w:left="3360"/>
    </w:pPr>
    <w:rPr>
      <w:rFonts w:ascii="Calibri" w:hAnsi="Calibri" w:eastAsia="Arial"/>
      <w:szCs w:val="22"/>
    </w:rPr>
  </w:style>
  <w:style w:type="paragraph" w:styleId="784">
    <w:name w:val="Normal (Web)"/>
    <w:basedOn w:val="750"/>
    <w:qFormat/>
    <w:pPr>
      <w:jc w:val="left"/>
      <w:spacing w:before="100" w:beforeAutospacing="1" w:after="100" w:afterAutospacing="1"/>
      <w:widowControl/>
    </w:pPr>
    <w:rPr>
      <w:rFonts w:ascii="宋体" w:hAnsi="宋体" w:cs="宋体"/>
      <w:sz w:val="24"/>
    </w:rPr>
  </w:style>
  <w:style w:type="paragraph" w:styleId="785">
    <w:name w:val="Title"/>
    <w:basedOn w:val="750"/>
    <w:uiPriority w:val="10"/>
    <w:qFormat/>
    <w:pPr>
      <w:jc w:val="center"/>
      <w:spacing w:before="240" w:after="60"/>
      <w:outlineLvl w:val="0"/>
    </w:pPr>
    <w:rPr>
      <w:rFonts w:ascii="Arial" w:hAnsi="Arial" w:cs="Arial"/>
      <w:b/>
      <w:bCs/>
      <w:sz w:val="32"/>
      <w:szCs w:val="32"/>
    </w:rPr>
  </w:style>
  <w:style w:type="table" w:styleId="786">
    <w:name w:val="Table Grid"/>
    <w:basedOn w:val="76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endnote reference"/>
    <w:uiPriority w:val="99"/>
    <w:semiHidden/>
    <w:unhideWhenUsed/>
    <w:qFormat/>
    <w:rPr>
      <w:vertAlign w:val="superscript"/>
    </w:rPr>
  </w:style>
  <w:style w:type="character" w:styleId="788">
    <w:name w:val="page number"/>
    <w:uiPriority w:val="99"/>
    <w:unhideWhenUsed/>
    <w:qFormat/>
    <w:rPr>
      <w:rFonts w:ascii="Times New Roman" w:hAnsi="Times New Roman" w:eastAsia="宋体"/>
      <w:sz w:val="18"/>
    </w:rPr>
  </w:style>
  <w:style w:type="character" w:styleId="789">
    <w:name w:val="FollowedHyperlink"/>
    <w:qFormat/>
    <w:rPr>
      <w:color w:val="800080"/>
      <w:u w:val="single"/>
    </w:rPr>
  </w:style>
  <w:style w:type="character" w:styleId="790">
    <w:name w:val="Emphasis"/>
    <w:basedOn w:val="760"/>
    <w:qFormat/>
    <w:rPr>
      <w:i/>
    </w:rPr>
  </w:style>
  <w:style w:type="character" w:styleId="791">
    <w:name w:val="Hyperlink"/>
    <w:uiPriority w:val="99"/>
    <w:unhideWhenUsed/>
    <w:qFormat/>
    <w:rPr>
      <w:color w:val="0563c1"/>
      <w:u w:val="single"/>
    </w:rPr>
  </w:style>
  <w:style w:type="character" w:styleId="792">
    <w:name w:val="footnote reference"/>
    <w:uiPriority w:val="99"/>
    <w:unhideWhenUsed/>
    <w:qFormat/>
    <w:rPr>
      <w:vertAlign w:val="superscript"/>
    </w:rPr>
  </w:style>
  <w:style w:type="table" w:styleId="793" w:customStyle="1">
    <w:name w:val="无格式表格 11"/>
    <w:basedOn w:val="76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6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6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4" w:customStyle="1">
    <w:name w:val="网格表 7 彩色1"/>
    <w:basedOn w:val="76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6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6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6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0" w:customStyle="1">
    <w:name w:val="清单表 6 彩色1"/>
    <w:basedOn w:val="76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清单表 7 彩色1"/>
    <w:basedOn w:val="761"/>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style>
  <w:style w:type="character" w:styleId="813" w:customStyle="1">
    <w:name w:val="Heading 5 Char"/>
    <w:basedOn w:val="760"/>
    <w:uiPriority w:val="9"/>
    <w:qFormat/>
    <w:rPr>
      <w:rFonts w:ascii="Arial" w:hAnsi="Arial" w:eastAsia="Arial" w:cs="Arial"/>
      <w:b/>
      <w:bCs/>
      <w:sz w:val="24"/>
      <w:szCs w:val="24"/>
    </w:rPr>
  </w:style>
  <w:style w:type="character" w:styleId="814" w:customStyle="1">
    <w:name w:val="Heading 6 Char"/>
    <w:basedOn w:val="760"/>
    <w:uiPriority w:val="9"/>
    <w:qFormat/>
    <w:rPr>
      <w:rFonts w:ascii="Arial" w:hAnsi="Arial" w:eastAsia="Arial" w:cs="Arial"/>
      <w:b/>
      <w:bCs/>
      <w:sz w:val="22"/>
      <w:szCs w:val="22"/>
    </w:rPr>
  </w:style>
  <w:style w:type="character" w:styleId="815" w:customStyle="1">
    <w:name w:val="Heading 7 Char"/>
    <w:basedOn w:val="760"/>
    <w:uiPriority w:val="9"/>
    <w:qFormat/>
    <w:rPr>
      <w:rFonts w:ascii="Arial" w:hAnsi="Arial" w:eastAsia="Arial" w:cs="Arial"/>
      <w:b/>
      <w:bCs/>
      <w:i/>
      <w:iCs/>
      <w:sz w:val="22"/>
      <w:szCs w:val="22"/>
    </w:rPr>
  </w:style>
  <w:style w:type="character" w:styleId="816" w:customStyle="1">
    <w:name w:val="Heading 8 Char"/>
    <w:basedOn w:val="760"/>
    <w:uiPriority w:val="9"/>
    <w:qFormat/>
    <w:rPr>
      <w:rFonts w:ascii="Arial" w:hAnsi="Arial" w:eastAsia="Arial" w:cs="Arial"/>
      <w:i/>
      <w:iCs/>
      <w:sz w:val="22"/>
      <w:szCs w:val="22"/>
    </w:rPr>
  </w:style>
  <w:style w:type="character" w:styleId="817" w:customStyle="1">
    <w:name w:val="Heading 9 Char"/>
    <w:basedOn w:val="760"/>
    <w:uiPriority w:val="9"/>
    <w:qFormat/>
    <w:rPr>
      <w:rFonts w:ascii="Arial" w:hAnsi="Arial" w:eastAsia="Arial" w:cs="Arial"/>
      <w:i/>
      <w:iCs/>
      <w:sz w:val="21"/>
      <w:szCs w:val="21"/>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table" w:styleId="821" w:customStyle="1">
    <w:name w:val="无格式表格 11"/>
    <w:basedOn w:val="7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6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6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7" w:customStyle="1">
    <w:name w:val="网格表 21"/>
    <w:basedOn w:val="76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8" w:customStyle="1">
    <w:name w:val="网格表 31"/>
    <w:basedOn w:val="76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6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0" w:customStyle="1">
    <w:name w:val="网格表 5 深色1"/>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1" w:customStyle="1">
    <w:name w:val="网格表 6 彩色1"/>
    <w:basedOn w:val="76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2" w:customStyle="1">
    <w:name w:val="网格表 7 彩色1"/>
    <w:basedOn w:val="76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3" w:customStyle="1">
    <w:name w:val="清单表 1 浅色1"/>
    <w:basedOn w:val="76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4" w:customStyle="1">
    <w:name w:val="清单表 21"/>
    <w:basedOn w:val="76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5" w:customStyle="1">
    <w:name w:val="清单表 31"/>
    <w:basedOn w:val="76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清单表 41"/>
    <w:basedOn w:val="76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清单表 5 深色1"/>
    <w:basedOn w:val="76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8" w:customStyle="1">
    <w:name w:val="清单表 6 彩色1"/>
    <w:basedOn w:val="76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9" w:customStyle="1">
    <w:name w:val="清单表 7 彩色1"/>
    <w:basedOn w:val="761"/>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style>
  <w:style w:type="paragraph" w:styleId="843" w:customStyle="1">
    <w:name w:val="样式 3 10 磅17"/>
    <w:qFormat/>
    <w:pPr>
      <w:jc w:val="both"/>
      <w:widowControl w:val="off"/>
    </w:pPr>
    <w:rPr>
      <w:sz w:val="21"/>
      <w:szCs w:val="24"/>
    </w:rPr>
  </w:style>
  <w:style w:type="character" w:styleId="844" w:customStyle="1">
    <w:name w:val="Heading 1 Char"/>
    <w:uiPriority w:val="9"/>
    <w:qFormat/>
    <w:rPr>
      <w:rFonts w:ascii="Arial" w:hAnsi="Arial" w:eastAsia="Arial" w:cs="Arial"/>
      <w:sz w:val="40"/>
      <w:szCs w:val="40"/>
    </w:rPr>
  </w:style>
  <w:style w:type="character" w:styleId="845" w:customStyle="1">
    <w:name w:val="Heading 2 Char"/>
    <w:uiPriority w:val="9"/>
    <w:qFormat/>
    <w:rPr>
      <w:rFonts w:ascii="Arial" w:hAnsi="Arial" w:eastAsia="Arial" w:cs="Arial"/>
      <w:sz w:val="34"/>
    </w:rPr>
  </w:style>
  <w:style w:type="character" w:styleId="846" w:customStyle="1">
    <w:name w:val="Heading 3 Char"/>
    <w:uiPriority w:val="9"/>
    <w:qFormat/>
    <w:rPr>
      <w:rFonts w:ascii="Arial" w:hAnsi="Arial" w:eastAsia="Arial" w:cs="Arial"/>
      <w:sz w:val="30"/>
      <w:szCs w:val="30"/>
    </w:rPr>
  </w:style>
  <w:style w:type="character" w:styleId="847" w:customStyle="1">
    <w:name w:val="Heading 4 Char"/>
    <w:uiPriority w:val="9"/>
    <w:qFormat/>
    <w:rPr>
      <w:rFonts w:ascii="Arial" w:hAnsi="Arial" w:eastAsia="Arial" w:cs="Arial"/>
      <w:b/>
      <w:bCs/>
      <w:sz w:val="26"/>
      <w:szCs w:val="26"/>
    </w:rPr>
  </w:style>
  <w:style w:type="character" w:styleId="848" w:customStyle="1">
    <w:name w:val="标题 5 字符"/>
    <w:link w:val="755"/>
    <w:uiPriority w:val="9"/>
    <w:qFormat/>
    <w:rPr>
      <w:rFonts w:ascii="Arial" w:hAnsi="Arial" w:eastAsia="Arial" w:cs="Arial"/>
      <w:b/>
      <w:bCs/>
      <w:sz w:val="24"/>
      <w:szCs w:val="24"/>
    </w:rPr>
  </w:style>
  <w:style w:type="character" w:styleId="849" w:customStyle="1">
    <w:name w:val="标题 6 字符"/>
    <w:link w:val="756"/>
    <w:uiPriority w:val="9"/>
    <w:qFormat/>
    <w:rPr>
      <w:rFonts w:ascii="Arial" w:hAnsi="Arial" w:eastAsia="Arial" w:cs="Arial"/>
      <w:b/>
      <w:bCs/>
      <w:sz w:val="22"/>
      <w:szCs w:val="22"/>
    </w:rPr>
  </w:style>
  <w:style w:type="character" w:styleId="850" w:customStyle="1">
    <w:name w:val="标题 7 字符"/>
    <w:link w:val="757"/>
    <w:uiPriority w:val="9"/>
    <w:qFormat/>
    <w:rPr>
      <w:rFonts w:ascii="Arial" w:hAnsi="Arial" w:eastAsia="Arial" w:cs="Arial"/>
      <w:b/>
      <w:bCs/>
      <w:i/>
      <w:iCs/>
      <w:sz w:val="22"/>
      <w:szCs w:val="22"/>
    </w:rPr>
  </w:style>
  <w:style w:type="character" w:styleId="851" w:customStyle="1">
    <w:name w:val="标题 8 字符"/>
    <w:link w:val="758"/>
    <w:uiPriority w:val="9"/>
    <w:qFormat/>
    <w:rPr>
      <w:rFonts w:ascii="Arial" w:hAnsi="Arial" w:eastAsia="Arial" w:cs="Arial"/>
      <w:i/>
      <w:iCs/>
      <w:sz w:val="22"/>
      <w:szCs w:val="22"/>
    </w:rPr>
  </w:style>
  <w:style w:type="character" w:styleId="852" w:customStyle="1">
    <w:name w:val="标题 9 字符"/>
    <w:link w:val="759"/>
    <w:uiPriority w:val="9"/>
    <w:qFormat/>
    <w:rPr>
      <w:rFonts w:ascii="Arial" w:hAnsi="Arial" w:eastAsia="Arial" w:cs="Arial"/>
      <w:i/>
      <w:iCs/>
      <w:sz w:val="21"/>
      <w:szCs w:val="21"/>
    </w:rPr>
  </w:style>
  <w:style w:type="paragraph" w:styleId="853">
    <w:name w:val="No Spacing"/>
    <w:uiPriority w:val="1"/>
    <w:qFormat/>
    <w:rPr>
      <w:rFonts w:ascii="Calibri" w:hAnsi="Calibri" w:eastAsia="Arial"/>
    </w:rPr>
  </w:style>
  <w:style w:type="character" w:styleId="854" w:customStyle="1">
    <w:name w:val="Title Char"/>
    <w:uiPriority w:val="10"/>
    <w:qFormat/>
    <w:rPr>
      <w:sz w:val="48"/>
      <w:szCs w:val="48"/>
    </w:rPr>
  </w:style>
  <w:style w:type="character" w:styleId="855" w:customStyle="1">
    <w:name w:val="副标题 字符"/>
    <w:link w:val="778"/>
    <w:uiPriority w:val="11"/>
    <w:qFormat/>
    <w:rPr>
      <w:sz w:val="24"/>
      <w:szCs w:val="24"/>
    </w:rPr>
  </w:style>
  <w:style w:type="paragraph" w:styleId="856">
    <w:name w:val="Quote"/>
    <w:basedOn w:val="750"/>
    <w:next w:val="750"/>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50"/>
    <w:next w:val="750"/>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60"/>
    <w:uiPriority w:val="99"/>
    <w:qFormat/>
  </w:style>
  <w:style w:type="character" w:styleId="861" w:customStyle="1">
    <w:name w:val="Footer Char"/>
    <w:basedOn w:val="760"/>
    <w:uiPriority w:val="99"/>
    <w:qFormat/>
  </w:style>
  <w:style w:type="character" w:styleId="862" w:customStyle="1">
    <w:name w:val="Caption Char"/>
    <w:uiPriority w:val="99"/>
    <w:qFormat/>
  </w:style>
  <w:style w:type="table" w:styleId="863" w:customStyle="1">
    <w:name w:val="Table Grid Light"/>
    <w:basedOn w:val="7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64" w:customStyle="1">
    <w:name w:val="Grid Table 1 Light - Accent 1"/>
    <w:basedOn w:val="76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6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6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6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6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6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0" w:customStyle="1">
    <w:name w:val="Grid Table 2 - Accent 1"/>
    <w:basedOn w:val="76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71" w:customStyle="1">
    <w:name w:val="Grid Table 2 - Accent 2"/>
    <w:basedOn w:val="76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72" w:customStyle="1">
    <w:name w:val="Grid Table 2 - Accent 3"/>
    <w:basedOn w:val="76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73" w:customStyle="1">
    <w:name w:val="Grid Table 2 - Accent 4"/>
    <w:basedOn w:val="76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74" w:customStyle="1">
    <w:name w:val="Grid Table 2 - Accent 5"/>
    <w:basedOn w:val="76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75" w:customStyle="1">
    <w:name w:val="Grid Table 2 - Accent 6"/>
    <w:basedOn w:val="76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76" w:customStyle="1">
    <w:name w:val="Grid Table 3 - Accent 1"/>
    <w:basedOn w:val="76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6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6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6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6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6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basedOn w:val="76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83" w:customStyle="1">
    <w:name w:val="Grid Table 4 - Accent 2"/>
    <w:basedOn w:val="76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84" w:customStyle="1">
    <w:name w:val="Grid Table 4 - Accent 3"/>
    <w:basedOn w:val="76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85" w:customStyle="1">
    <w:name w:val="Grid Table 4 - Accent 4"/>
    <w:basedOn w:val="76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86" w:customStyle="1">
    <w:name w:val="Grid Table 4 - Accent 5"/>
    <w:basedOn w:val="76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87" w:customStyle="1">
    <w:name w:val="Grid Table 4 - Accent 6"/>
    <w:basedOn w:val="76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88" w:customStyle="1">
    <w:name w:val="Grid Table 5 Dark- Accent 1"/>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9" w:customStyle="1">
    <w:name w:val="Grid Table 5 Dark - Accent 2"/>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90" w:customStyle="1">
    <w:name w:val="Grid Table 5 Dark - Accent 3"/>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91" w:customStyle="1">
    <w:name w:val="Grid Table 5 Dark- Accent 4"/>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92" w:customStyle="1">
    <w:name w:val="Grid Table 5 Dark - Accent 5"/>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3" w:customStyle="1">
    <w:name w:val="Grid Table 5 Dark - Accent 6"/>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94" w:customStyle="1">
    <w:name w:val="Grid Table 6 Colorful - Accent 1"/>
    <w:basedOn w:val="761"/>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895" w:customStyle="1">
    <w:name w:val="Grid Table 6 Colorful - Accent 2"/>
    <w:basedOn w:val="761"/>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96" w:customStyle="1">
    <w:name w:val="Grid Table 6 Colorful - Accent 3"/>
    <w:basedOn w:val="76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897" w:customStyle="1">
    <w:name w:val="Grid Table 6 Colorful - Accent 4"/>
    <w:basedOn w:val="761"/>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898" w:customStyle="1">
    <w:name w:val="Grid Table 6 Colorful - Accent 5"/>
    <w:basedOn w:val="76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99" w:customStyle="1">
    <w:name w:val="Grid Table 6 Colorful - Accent 6"/>
    <w:basedOn w:val="76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00" w:customStyle="1">
    <w:name w:val="Grid Table 7 Colorful - Accent 1"/>
    <w:basedOn w:val="761"/>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01" w:customStyle="1">
    <w:name w:val="Grid Table 7 Colorful - Accent 2"/>
    <w:basedOn w:val="761"/>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02" w:customStyle="1">
    <w:name w:val="Grid Table 7 Colorful - Accent 3"/>
    <w:basedOn w:val="76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03" w:customStyle="1">
    <w:name w:val="Grid Table 7 Colorful - Accent 4"/>
    <w:basedOn w:val="761"/>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04" w:customStyle="1">
    <w:name w:val="Grid Table 7 Colorful - Accent 5"/>
    <w:basedOn w:val="76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05" w:customStyle="1">
    <w:name w:val="Grid Table 7 Colorful - Accent 6"/>
    <w:basedOn w:val="76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06" w:customStyle="1">
    <w:name w:val="List Table 1 Light - Accent 1"/>
    <w:basedOn w:val="76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7" w:customStyle="1">
    <w:name w:val="List Table 1 Light - Accent 2"/>
    <w:basedOn w:val="76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08" w:customStyle="1">
    <w:name w:val="List Table 1 Light - Accent 3"/>
    <w:basedOn w:val="76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9" w:customStyle="1">
    <w:name w:val="List Table 1 Light - Accent 4"/>
    <w:basedOn w:val="76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10" w:customStyle="1">
    <w:name w:val="List Table 1 Light - Accent 5"/>
    <w:basedOn w:val="76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11" w:customStyle="1">
    <w:name w:val="List Table 1 Light - Accent 6"/>
    <w:basedOn w:val="76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12" w:customStyle="1">
    <w:name w:val="List Table 2 - Accent 1"/>
    <w:basedOn w:val="76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13" w:customStyle="1">
    <w:name w:val="List Table 2 - Accent 2"/>
    <w:basedOn w:val="76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14" w:customStyle="1">
    <w:name w:val="List Table 2 - Accent 3"/>
    <w:basedOn w:val="76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15" w:customStyle="1">
    <w:name w:val="List Table 2 - Accent 4"/>
    <w:basedOn w:val="761"/>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16" w:customStyle="1">
    <w:name w:val="List Table 2 - Accent 5"/>
    <w:basedOn w:val="76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17" w:customStyle="1">
    <w:name w:val="List Table 2 - Accent 6"/>
    <w:basedOn w:val="76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8" w:customStyle="1">
    <w:name w:val="List Table 3 - Accent 1"/>
    <w:basedOn w:val="76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9" w:customStyle="1">
    <w:name w:val="List Table 3 - Accent 2"/>
    <w:basedOn w:val="761"/>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20" w:customStyle="1">
    <w:name w:val="List Table 3 - Accent 3"/>
    <w:basedOn w:val="76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21" w:customStyle="1">
    <w:name w:val="List Table 3 - Accent 4"/>
    <w:basedOn w:val="761"/>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22" w:customStyle="1">
    <w:name w:val="List Table 3 - Accent 5"/>
    <w:basedOn w:val="761"/>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23" w:customStyle="1">
    <w:name w:val="List Table 3 - Accent 6"/>
    <w:basedOn w:val="76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24" w:customStyle="1">
    <w:name w:val="List Table 4 - Accent 1"/>
    <w:basedOn w:val="76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5" w:customStyle="1">
    <w:name w:val="List Table 4 - Accent 2"/>
    <w:basedOn w:val="76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6" w:customStyle="1">
    <w:name w:val="List Table 4 - Accent 3"/>
    <w:basedOn w:val="76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27" w:customStyle="1">
    <w:name w:val="List Table 4 - Accent 4"/>
    <w:basedOn w:val="761"/>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8" w:customStyle="1">
    <w:name w:val="List Table 4 - Accent 5"/>
    <w:basedOn w:val="76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29" w:customStyle="1">
    <w:name w:val="List Table 4 - Accent 6"/>
    <w:basedOn w:val="76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30" w:customStyle="1">
    <w:name w:val="List Table 5 Dark - Accent 1"/>
    <w:basedOn w:val="76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31" w:customStyle="1">
    <w:name w:val="List Table 5 Dark - Accent 2"/>
    <w:basedOn w:val="761"/>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32" w:customStyle="1">
    <w:name w:val="List Table 5 Dark - Accent 3"/>
    <w:basedOn w:val="76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33" w:customStyle="1">
    <w:name w:val="List Table 5 Dark - Accent 4"/>
    <w:basedOn w:val="761"/>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34" w:customStyle="1">
    <w:name w:val="List Table 5 Dark - Accent 5"/>
    <w:basedOn w:val="761"/>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5" w:customStyle="1">
    <w:name w:val="List Table 5 Dark - Accent 6"/>
    <w:basedOn w:val="76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36" w:customStyle="1">
    <w:name w:val="List Table 6 Colorful - Accent 1"/>
    <w:basedOn w:val="761"/>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937" w:customStyle="1">
    <w:name w:val="List Table 6 Colorful - Accent 2"/>
    <w:basedOn w:val="761"/>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38" w:customStyle="1">
    <w:name w:val="List Table 6 Colorful - Accent 3"/>
    <w:basedOn w:val="761"/>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939" w:customStyle="1">
    <w:name w:val="List Table 6 Colorful - Accent 4"/>
    <w:basedOn w:val="761"/>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940" w:customStyle="1">
    <w:name w:val="List Table 6 Colorful - Accent 5"/>
    <w:basedOn w:val="761"/>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41" w:customStyle="1">
    <w:name w:val="List Table 6 Colorful - Accent 6"/>
    <w:basedOn w:val="76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42" w:customStyle="1">
    <w:name w:val="List Table 7 Colorful - Accent 1"/>
    <w:basedOn w:val="761"/>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43" w:customStyle="1">
    <w:name w:val="List Table 7 Colorful - Accent 2"/>
    <w:basedOn w:val="761"/>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4" w:customStyle="1">
    <w:name w:val="List Table 7 Colorful - Accent 3"/>
    <w:basedOn w:val="761"/>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5" w:customStyle="1">
    <w:name w:val="List Table 7 Colorful - Accent 4"/>
    <w:basedOn w:val="761"/>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46" w:customStyle="1">
    <w:name w:val="List Table 7 Colorful - Accent 5"/>
    <w:basedOn w:val="761"/>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47" w:customStyle="1">
    <w:name w:val="List Table 7 Colorful - Accent 6"/>
    <w:basedOn w:val="76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8"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0"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1"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2"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3"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4"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5" w:customStyle="1">
    <w:name w:val="Bordered &amp; Lined - Accent"/>
    <w:basedOn w:val="76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6" w:customStyle="1">
    <w:name w:val="Bordered &amp; Lined - Accent 1"/>
    <w:basedOn w:val="76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7" w:customStyle="1">
    <w:name w:val="Bordered &amp; Lined - Accent 2"/>
    <w:basedOn w:val="76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8" w:customStyle="1">
    <w:name w:val="Bordered &amp; Lined - Accent 3"/>
    <w:basedOn w:val="76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9" w:customStyle="1">
    <w:name w:val="Bordered &amp; Lined - Accent 4"/>
    <w:basedOn w:val="76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0" w:customStyle="1">
    <w:name w:val="Bordered &amp; Lined - Accent 5"/>
    <w:basedOn w:val="761"/>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1" w:customStyle="1">
    <w:name w:val="Bordered &amp; Lined - Accent 6"/>
    <w:basedOn w:val="761"/>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2" w:customStyle="1">
    <w:name w:val="Bordered"/>
    <w:basedOn w:val="76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3" w:customStyle="1">
    <w:name w:val="Bordered - Accent 1"/>
    <w:basedOn w:val="76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64" w:customStyle="1">
    <w:name w:val="Bordered - Accent 2"/>
    <w:basedOn w:val="76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65" w:customStyle="1">
    <w:name w:val="Bordered - Accent 3"/>
    <w:basedOn w:val="76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6" w:customStyle="1">
    <w:name w:val="Bordered - Accent 4"/>
    <w:basedOn w:val="76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67" w:customStyle="1">
    <w:name w:val="Bordered - Accent 5"/>
    <w:basedOn w:val="76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68" w:customStyle="1">
    <w:name w:val="Bordered - Accent 6"/>
    <w:basedOn w:val="76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9" w:customStyle="1">
    <w:name w:val="脚注文本 字符"/>
    <w:link w:val="779"/>
    <w:uiPriority w:val="99"/>
    <w:qFormat/>
    <w:rPr>
      <w:sz w:val="18"/>
    </w:rPr>
  </w:style>
  <w:style w:type="character" w:styleId="970" w:customStyle="1">
    <w:name w:val="尾注文本 字符"/>
    <w:link w:val="772"/>
    <w:uiPriority w:val="99"/>
    <w:qFormat/>
    <w:rPr>
      <w:sz w:val="20"/>
    </w:rPr>
  </w:style>
  <w:style w:type="paragraph" w:styleId="971" w:customStyle="1">
    <w:name w:val="TOC 标题111"/>
    <w:uiPriority w:val="39"/>
    <w:unhideWhenUsed/>
    <w:qFormat/>
    <w:rPr>
      <w:rFonts w:ascii="Calibri" w:hAnsi="Calibri" w:eastAsia="Arial"/>
    </w:rPr>
  </w:style>
  <w:style w:type="paragraph" w:styleId="972" w:customStyle="1">
    <w:name w:val="普通正文"/>
    <w:basedOn w:val="750"/>
    <w:qFormat/>
    <w:pPr>
      <w:ind w:firstLine="480"/>
      <w:jc w:val="left"/>
      <w:spacing w:before="120" w:after="120" w:line="360" w:lineRule="auto"/>
    </w:pPr>
    <w:rPr>
      <w:rFonts w:ascii="Arial" w:hAnsi="Arial"/>
      <w:sz w:val="24"/>
      <w:szCs w:val="24"/>
    </w:rPr>
  </w:style>
  <w:style w:type="character" w:styleId="973" w:customStyle="1">
    <w:name w:val="font11"/>
    <w:basedOn w:val="760"/>
    <w:qFormat/>
    <w:rPr>
      <w:rFonts w:hint="eastAsia" w:ascii="宋体" w:hAnsi="宋体" w:eastAsia="宋体" w:cs="宋体"/>
      <w:color w:val="000000"/>
      <w:sz w:val="20"/>
      <w:szCs w:val="20"/>
      <w:u w:val="none"/>
    </w:rPr>
  </w:style>
  <w:style w:type="character" w:styleId="974" w:customStyle="1">
    <w:name w:val="font21"/>
    <w:basedOn w:val="760"/>
    <w:qFormat/>
    <w:rPr>
      <w:rFonts w:ascii="Arial" w:hAnsi="Arial" w:cs="Arial"/>
      <w:color w:val="000000"/>
      <w:sz w:val="20"/>
      <w:szCs w:val="20"/>
      <w:u w:val="none"/>
    </w:rPr>
  </w:style>
  <w:style w:type="paragraph" w:styleId="975" w:customStyle="1">
    <w:name w:val="样式3"/>
    <w:basedOn w:val="750"/>
    <w:uiPriority w:val="99"/>
    <w:qFormat/>
    <w:pPr>
      <w:spacing w:line="300" w:lineRule="auto"/>
    </w:pPr>
    <w:rPr>
      <w:rFonts w:ascii="宋体"/>
      <w:sz w:val="24"/>
      <w:szCs w:val="24"/>
    </w:rPr>
  </w:style>
  <w:style w:type="paragraph" w:styleId="976" w:customStyle="1">
    <w:name w:val="段"/>
    <w:next w:val="750"/>
    <w:qFormat/>
    <w:pPr>
      <w:ind w:firstLine="420"/>
      <w:jc w:val="both"/>
      <w:tabs>
        <w:tab w:val="center" w:pos="4201" w:leader="none"/>
        <w:tab w:val="right" w:pos="9298" w:leader="dot"/>
      </w:tabs>
    </w:pPr>
    <w:rPr>
      <w:rFonts w:ascii="宋体"/>
      <w:sz w:val="21"/>
    </w:rPr>
  </w:style>
  <w:style w:type="paragraph" w:styleId="977" w:customStyle="1">
    <w:name w:val="Body text|2"/>
    <w:basedOn w:val="750"/>
    <w:qFormat/>
    <w:pPr>
      <w:spacing w:after="40"/>
    </w:pPr>
    <w:rPr>
      <w:rFonts w:ascii="Arial" w:hAnsi="Arial" w:eastAsia="Arial" w:cs="Arial"/>
      <w:b/>
      <w:bCs/>
      <w:sz w:val="20"/>
      <w:szCs w:val="20"/>
    </w:rPr>
  </w:style>
  <w:style w:type="paragraph" w:styleId="978" w:customStyle="1">
    <w:name w:val="Body text|1"/>
    <w:basedOn w:val="750"/>
    <w:qFormat/>
    <w:rPr>
      <w:rFonts w:ascii="Calibri" w:hAnsi="Calibri"/>
      <w:sz w:val="66"/>
      <w:szCs w:val="66"/>
    </w:rPr>
  </w:style>
  <w:style w:type="character" w:styleId="979" w:customStyle="1">
    <w:name w:val="font41"/>
    <w:basedOn w:val="760"/>
    <w:qFormat/>
    <w:rPr>
      <w:rFonts w:hint="default" w:ascii="Times New Roman" w:hAnsi="Times New Roman" w:cs="Times New Roman"/>
      <w:color w:val="000000"/>
      <w:sz w:val="22"/>
      <w:szCs w:val="22"/>
      <w:u w:val="none"/>
    </w:rPr>
  </w:style>
  <w:style w:type="character" w:styleId="980" w:customStyle="1">
    <w:name w:val="font71"/>
    <w:qFormat/>
    <w:rPr>
      <w:rFonts w:hint="eastAsia" w:ascii="宋体" w:hAnsi="宋体" w:eastAsia="宋体" w:cs="宋体"/>
      <w:color w:val="000000"/>
      <w:sz w:val="24"/>
      <w:szCs w:val="24"/>
      <w:u w:val="none"/>
    </w:rPr>
  </w:style>
  <w:style w:type="paragraph" w:styleId="981" w:customStyle="1">
    <w:name w:val="二级条标题"/>
    <w:basedOn w:val="982"/>
    <w:next w:val="976"/>
    <w:qFormat/>
  </w:style>
  <w:style w:type="paragraph" w:styleId="982" w:customStyle="1">
    <w:name w:val="一级条标题"/>
    <w:basedOn w:val="983"/>
    <w:next w:val="976"/>
    <w:uiPriority w:val="99"/>
    <w:qFormat/>
  </w:style>
  <w:style w:type="paragraph" w:styleId="983" w:customStyle="1">
    <w:name w:val="章标题"/>
    <w:next w:val="750"/>
    <w:uiPriority w:val="99"/>
    <w:qFormat/>
    <w:pPr>
      <w:jc w:val="both"/>
      <w:outlineLvl w:val="1"/>
    </w:pPr>
    <w:rPr>
      <w:rFonts w:ascii="黑体" w:hAnsi="黑体" w:eastAsia="黑体"/>
      <w:sz w:val="21"/>
    </w:rPr>
  </w:style>
  <w:style w:type="character" w:styleId="984" w:customStyle="1">
    <w:name w:val="五级条标题 Char"/>
    <w:link w:val="985"/>
    <w:qFormat/>
  </w:style>
  <w:style w:type="paragraph" w:styleId="985" w:customStyle="1">
    <w:name w:val="五级条标题"/>
    <w:basedOn w:val="986"/>
    <w:next w:val="976"/>
    <w:link w:val="984"/>
    <w:qFormat/>
    <w:pPr>
      <w:tabs>
        <w:tab w:val="left" w:pos="360" w:leader="none"/>
      </w:tabs>
      <w:outlineLvl w:val="6"/>
    </w:pPr>
  </w:style>
  <w:style w:type="paragraph" w:styleId="986" w:customStyle="1">
    <w:name w:val="四级条标题"/>
    <w:basedOn w:val="987"/>
    <w:next w:val="976"/>
    <w:qFormat/>
    <w:pPr>
      <w:tabs>
        <w:tab w:val="left" w:pos="486" w:leader="none"/>
        <w:tab w:val="left" w:pos="992" w:leader="none"/>
        <w:tab w:val="left" w:pos="1080" w:leader="none"/>
        <w:tab w:val="left" w:pos="2100" w:leader="none"/>
      </w:tabs>
      <w:outlineLvl w:val="5"/>
    </w:pPr>
  </w:style>
  <w:style w:type="paragraph" w:styleId="987" w:customStyle="1">
    <w:name w:val="三级条标题"/>
    <w:basedOn w:val="981"/>
    <w:next w:val="976"/>
    <w:qFormat/>
  </w:style>
  <w:style w:type="paragraph" w:styleId="988" w:customStyle="1">
    <w:name w:val="二级无"/>
    <w:basedOn w:val="981"/>
    <w:qFormat/>
  </w:style>
  <w:style w:type="character" w:styleId="989" w:customStyle="1">
    <w:name w:val="正文表标题 Char"/>
    <w:link w:val="990"/>
    <w:qFormat/>
    <w:rPr>
      <w:rFonts w:ascii="黑体" w:hAnsi="黑体" w:eastAsia="黑体" w:cs="Times New Roman"/>
      <w:sz w:val="21"/>
      <w:lang w:val="en-US" w:eastAsia="zh-CN" w:bidi="ar-SA"/>
    </w:rPr>
  </w:style>
  <w:style w:type="paragraph" w:styleId="990" w:customStyle="1">
    <w:name w:val="正文表标题"/>
    <w:next w:val="976"/>
    <w:link w:val="989"/>
    <w:qFormat/>
    <w:pPr>
      <w:ind w:left="3780"/>
      <w:jc w:val="center"/>
      <w:tabs>
        <w:tab w:val="left" w:pos="360" w:leader="none"/>
      </w:tabs>
    </w:pPr>
    <w:rPr>
      <w:rFonts w:ascii="黑体" w:hAnsi="黑体" w:eastAsia="黑体"/>
      <w:sz w:val="21"/>
    </w:rPr>
  </w:style>
  <w:style w:type="paragraph" w:styleId="991" w:customStyle="1">
    <w:name w:val="三级无"/>
    <w:basedOn w:val="987"/>
    <w:qFormat/>
    <w:rPr>
      <w:rFonts w:ascii="宋体" w:eastAsia="宋体"/>
    </w:rPr>
  </w:style>
  <w:style w:type="paragraph" w:styleId="992" w:customStyle="1">
    <w:name w:val="Table Text"/>
    <w:basedOn w:val="750"/>
    <w:semiHidden/>
    <w:qFormat/>
    <w:rPr>
      <w:rFonts w:ascii="宋体" w:hAnsi="宋体" w:cs="宋体"/>
      <w:sz w:val="18"/>
      <w:szCs w:val="18"/>
      <w:lang w:eastAsia="en-US"/>
    </w:rPr>
  </w:style>
  <w:style w:type="table" w:styleId="993" w:customStyle="1">
    <w:name w:val="Table Normal"/>
    <w:semiHidden/>
    <w:unhideWhenUsed/>
    <w:qFormat/>
    <w:tblPr>
      <w:tblCellMar>
        <w:left w:w="0" w:type="dxa"/>
        <w:top w:w="0" w:type="dxa"/>
        <w:right w:w="0" w:type="dxa"/>
        <w:bottom w:w="0" w:type="dxa"/>
      </w:tblCellMar>
    </w:tblPr>
  </w:style>
  <w:style w:type="paragraph" w:styleId="994" w:customStyle="1">
    <w:name w:val="正文图标题"/>
    <w:next w:val="976"/>
    <w:qFormat/>
    <w:pPr>
      <w:jc w:val="center"/>
      <w:tabs>
        <w:tab w:val="left" w:pos="360" w:leader="none"/>
      </w:tabs>
    </w:pPr>
    <w:rPr>
      <w:rFonts w:ascii="黑体" w:eastAsia="黑体"/>
      <w:sz w:val="21"/>
    </w:rPr>
  </w:style>
  <w:style w:type="paragraph" w:styleId="995" w:customStyle="1">
    <w:name w:val="附录章标题"/>
    <w:next w:val="976"/>
    <w:qFormat/>
    <w:pPr>
      <w:numPr>
        <w:ilvl w:val="1"/>
        <w:numId w:val="1"/>
      </w:numPr>
      <w:jc w:val="both"/>
      <w:spacing w:before="100" w:beforeAutospacing="1"/>
      <w:outlineLvl w:val="1"/>
    </w:pPr>
    <w:rPr>
      <w:rFonts w:ascii="黑体" w:hAnsi="宋体" w:eastAsia="黑体"/>
      <w:color w:val="000000"/>
      <w:sz w:val="21"/>
    </w:rPr>
  </w:style>
  <w:style w:type="paragraph" w:styleId="996" w:customStyle="1">
    <w:name w:val="标准文件_段"/>
    <w:qFormat/>
    <w:pPr>
      <w:ind w:firstLine="200"/>
      <w:jc w:val="both"/>
    </w:pPr>
    <w:rPr>
      <w:rFonts w:ascii="宋体"/>
      <w:sz w:val="21"/>
    </w:rPr>
  </w:style>
  <w:style w:type="paragraph" w:styleId="997">
    <w:name w:val="List Paragraph"/>
    <w:basedOn w:val="750"/>
    <w:uiPriority w:val="34"/>
    <w:qFormat/>
    <w:pPr>
      <w:ind w:firstLine="420"/>
    </w:pPr>
  </w:style>
  <w:style w:type="paragraph" w:styleId="998" w:customStyle="1">
    <w:name w:val="无间隔1"/>
    <w:qFormat/>
    <w:rPr>
      <w:sz w:val="22"/>
    </w:rPr>
  </w:style>
  <w:style w:type="paragraph" w:styleId="999" w:customStyle="1">
    <w:name w:val="列出段落2"/>
    <w:basedOn w:val="750"/>
    <w:uiPriority w:val="99"/>
    <w:qFormat/>
    <w:pPr>
      <w:contextualSpacing/>
      <w:ind w:left="720"/>
      <w:jc w:val="left"/>
      <w:spacing w:before="100" w:beforeAutospacing="1" w:after="100" w:afterAutospacing="1"/>
      <w:widowControl/>
    </w:pPr>
    <w:rPr>
      <w:sz w:val="24"/>
      <w:szCs w:val="24"/>
    </w:rPr>
  </w:style>
  <w:style w:type="paragraph" w:styleId="1000" w:customStyle="1">
    <w:name w:val="正文文本1"/>
    <w:basedOn w:val="750"/>
    <w:next w:val="750"/>
    <w:uiPriority w:val="99"/>
    <w:qFormat/>
    <w:rPr>
      <w:rFonts w:ascii="楷体_GB2312" w:hAnsi="Arial" w:eastAsia="楷体_GB2312"/>
      <w:sz w:val="28"/>
      <w:szCs w:val="28"/>
    </w:rPr>
  </w:style>
  <w:style w:type="paragraph" w:styleId="1001" w:customStyle="1">
    <w:name w:val="标准文件_表格"/>
    <w:basedOn w:val="750"/>
    <w:uiPriority w:val="99"/>
    <w:qFormat/>
    <w:pPr>
      <w:jc w:val="center"/>
      <w:widowControl/>
    </w:pPr>
    <w:rPr>
      <w:rFonts w:ascii="宋体"/>
      <w:sz w:val="18"/>
      <w:szCs w:val="20"/>
    </w:rPr>
  </w:style>
  <w:style w:type="paragraph" w:styleId="1002" w:customStyle="1">
    <w:name w:val="TOC 标题11"/>
    <w:basedOn w:val="750"/>
    <w:next w:val="750"/>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1003" w:customStyle="1">
    <w:name w:val="样式6"/>
    <w:basedOn w:val="750"/>
    <w:qFormat/>
    <w:pPr>
      <w:ind w:firstLine="420"/>
      <w:tabs>
        <w:tab w:val="left" w:pos="0" w:leader="none"/>
      </w:tabs>
    </w:pPr>
    <w:rPr>
      <w:rFonts w:hint="eastAsia" w:ascii="宋体" w:hAnsi="宋体"/>
    </w:rPr>
  </w:style>
  <w:style w:type="character" w:styleId="1004" w:customStyle="1">
    <w:name w:val="font51"/>
    <w:basedOn w:val="760"/>
    <w:qFormat/>
    <w:rPr>
      <w:rFonts w:hint="eastAsia" w:ascii="宋体" w:hAnsi="宋体" w:eastAsia="宋体" w:cs="宋体"/>
      <w:color w:val="000000"/>
      <w:sz w:val="21"/>
      <w:szCs w:val="21"/>
      <w:u w:val="none"/>
    </w:rPr>
  </w:style>
  <w:style w:type="character" w:styleId="1005" w:customStyle="1">
    <w:name w:val="font31"/>
    <w:basedOn w:val="760"/>
    <w:qFormat/>
    <w:rPr>
      <w:rFonts w:hint="default" w:ascii="Times New Roman" w:hAnsi="Times New Roman" w:cs="Times New Roman"/>
      <w:color w:val="000000"/>
      <w:sz w:val="21"/>
      <w:szCs w:val="21"/>
      <w:u w:val="none"/>
    </w:rPr>
  </w:style>
  <w:style w:type="paragraph" w:styleId="1006"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C7C09C8-76B3-4355-9F92-3DA34E6805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37</cp:revision>
  <dcterms:created xsi:type="dcterms:W3CDTF">2022-10-11T02:45:00Z</dcterms:created>
  <dcterms:modified xsi:type="dcterms:W3CDTF">2026-06-01T09:07:24Z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F536B85E09B64BAC8C6A368D42E99482_13</vt:lpwstr>
  </property>
  <property fmtid="{D5CDD505-2E9C-101B-9397-08002B2CF9AE}" pid="4" name="KSOTemplateDocerSaveRecord">
    <vt:lpwstr>eyJoZGlkIjoiNjYxZGYyODZmNmNjNTY1YWQ3YmI4NGI2OTkzYTE0ZTgiLCJ1c2VySWQiOiIxNTU1OTM2MDk2In0=</vt:lpwstr>
  </property>
</Properties>
</file>