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 </w:t>
      </w:r>
      <w:r/>
    </w:p>
    <w:p>
      <w:pPr>
        <w:ind w:left="0" w:right="0" w:firstLine="0"/>
        <w:jc w:val="center"/>
        <w:spacing w:before="120"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 </w:t>
      </w:r>
      <w:r/>
    </w:p>
    <w:p>
      <w:pPr>
        <w:ind w:left="0" w:right="0" w:firstLine="0"/>
        <w:jc w:val="center"/>
        <w:spacing w:before="120"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84"/>
          <w:highlight w:val="none"/>
        </w:rPr>
        <w:t xml:space="preserve">竞争性磋商文件</w:t>
      </w:r>
      <w:r/>
    </w:p>
    <w:p>
      <w:pPr>
        <w:ind w:left="0" w:right="0" w:firstLine="2249"/>
        <w:spacing w:before="120" w:after="12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项目名称：</w:t>
      </w:r>
      <w:r>
        <w:rPr>
          <w:rFonts w:hint="eastAsia" w:ascii="宋体" w:hAnsi="宋体" w:eastAsia="宋体" w:cs="宋体"/>
          <w:b/>
          <w:color w:val="000000"/>
          <w:sz w:val="32"/>
          <w:highlight w:val="none"/>
          <w:u w:val="single"/>
          <w:lang w:eastAsia="zh-CN"/>
        </w:rPr>
        <w:t xml:space="preserve">2026年度宿城区环境卫生综合服务中心绿化管养项目</w:t>
      </w:r>
      <w:r/>
    </w:p>
    <w:p>
      <w:pPr>
        <w:ind w:left="0" w:right="0" w:firstLine="2249"/>
        <w:spacing w:before="120" w:after="12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项目编号：</w:t>
      </w:r>
      <w:r>
        <w:rPr>
          <w:rFonts w:hint="eastAsia" w:ascii="宋体" w:hAnsi="宋体" w:eastAsia="宋体" w:cs="宋体"/>
          <w:b/>
          <w:color w:val="000000"/>
          <w:sz w:val="32"/>
          <w:highlight w:val="none"/>
          <w:lang w:eastAsia="zh-CN"/>
        </w:rPr>
        <w:t xml:space="preserve">JSZC-321302-BHLW-C2026-0004</w:t>
      </w:r>
      <w:r/>
    </w:p>
    <w:p>
      <w:pPr>
        <w:ind w:left="0" w:right="0" w:firstLine="2249"/>
        <w:spacing w:before="120"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w:t>
      </w:r>
      <w:r>
        <w:rPr>
          <w:rFonts w:hint="eastAsia" w:ascii="宋体" w:hAnsi="宋体" w:eastAsia="宋体" w:cs="宋体"/>
          <w:b/>
          <w:color w:val="000000"/>
          <w:sz w:val="32"/>
          <w:highlight w:val="none"/>
          <w:u w:val="single"/>
        </w:rPr>
        <w:t xml:space="preserve"> 服务 </w:t>
      </w:r>
      <w:r>
        <w:rPr>
          <w:rFonts w:hint="eastAsia" w:ascii="宋体" w:hAnsi="宋体" w:eastAsia="宋体" w:cs="宋体"/>
          <w:b/>
          <w:color w:val="000000"/>
          <w:sz w:val="32"/>
          <w:highlight w:val="none"/>
        </w:rPr>
        <w:t xml:space="preserve">类项目，</w:t>
      </w:r>
      <w:r>
        <w:rPr>
          <w:rFonts w:hint="eastAsia" w:ascii="宋体" w:hAnsi="宋体" w:eastAsia="宋体" w:cs="宋体"/>
          <w:b/>
          <w:color w:val="000000"/>
          <w:sz w:val="32"/>
          <w:highlight w:val="none"/>
          <w:u w:val="single"/>
        </w:rPr>
        <w:t xml:space="preserve"> 是 </w:t>
      </w:r>
      <w:r>
        <w:rPr>
          <w:rFonts w:hint="eastAsia" w:ascii="宋体" w:hAnsi="宋体" w:eastAsia="宋体" w:cs="宋体"/>
          <w:b/>
          <w:color w:val="000000"/>
          <w:sz w:val="32"/>
          <w:highlight w:val="none"/>
        </w:rPr>
        <w:t xml:space="preserve">专门面向中小企业）</w:t>
      </w:r>
      <w:r/>
    </w:p>
    <w:p>
      <w:pPr>
        <w:ind w:left="0" w:right="0" w:firstLine="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1690"/>
        <w:jc w:val="both"/>
        <w:spacing w:before="120"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采购人：</w:t>
      </w:r>
      <w:r>
        <w:rPr>
          <w:rFonts w:hint="eastAsia" w:ascii="宋体" w:hAnsi="宋体" w:eastAsia="宋体" w:cs="宋体"/>
          <w:b/>
          <w:color w:val="000000"/>
          <w:sz w:val="32"/>
          <w:highlight w:val="none"/>
          <w:u w:val="single"/>
        </w:rPr>
        <w:t xml:space="preserve"> 宿迁市宿城区环境卫生综合服务中心</w:t>
      </w:r>
      <w:r/>
    </w:p>
    <w:p>
      <w:pPr>
        <w:ind w:left="0" w:right="0" w:firstLine="1606"/>
        <w:jc w:val="both"/>
        <w:spacing w:before="120" w:after="12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采购代理机构：</w:t>
      </w:r>
      <w:r>
        <w:rPr>
          <w:rFonts w:hint="eastAsia" w:ascii="宋体" w:hAnsi="宋体" w:eastAsia="宋体" w:cs="宋体"/>
          <w:b/>
          <w:color w:val="000000"/>
          <w:sz w:val="32"/>
          <w:highlight w:val="none"/>
          <w:u w:val="single"/>
          <w:lang w:eastAsia="zh-CN"/>
        </w:rPr>
        <w:t xml:space="preserve">江苏宝恒项目管理咨询有限公司</w:t>
      </w:r>
      <w:r/>
    </w:p>
    <w:p>
      <w:pPr>
        <w:ind w:left="0" w:right="0" w:firstLine="3855"/>
        <w:jc w:val="both"/>
        <w:spacing w:before="120" w:after="12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u w:val="single"/>
        </w:rPr>
        <w:t xml:space="preserve">202</w:t>
      </w:r>
      <w:r>
        <w:rPr>
          <w:rFonts w:hint="eastAsia" w:ascii="宋体" w:hAnsi="宋体" w:eastAsia="宋体" w:cs="宋体"/>
          <w:b/>
          <w:color w:val="000000"/>
          <w:sz w:val="32"/>
          <w:highlight w:val="none"/>
          <w:u w:val="single"/>
          <w:lang w:val="en-US" w:eastAsia="zh-CN"/>
        </w:rPr>
        <w:t xml:space="preserve">6</w:t>
      </w:r>
      <w:r>
        <w:rPr>
          <w:rFonts w:hint="eastAsia" w:ascii="宋体" w:hAnsi="宋体" w:eastAsia="宋体" w:cs="宋体"/>
          <w:b/>
          <w:color w:val="000000"/>
          <w:sz w:val="32"/>
          <w:highlight w:val="none"/>
        </w:rPr>
        <w:t xml:space="preserve">年</w:t>
      </w:r>
      <w:r>
        <w:rPr>
          <w:rFonts w:hint="eastAsia" w:ascii="宋体" w:hAnsi="宋体" w:eastAsia="宋体" w:cs="宋体"/>
          <w:b/>
          <w:color w:val="000000"/>
          <w:sz w:val="32"/>
          <w:highlight w:val="none"/>
          <w:u w:val="single"/>
          <w:lang w:val="en-US" w:eastAsia="zh-CN"/>
        </w:rPr>
        <w:t xml:space="preserve">07</w:t>
      </w:r>
      <w:r>
        <w:rPr>
          <w:rFonts w:hint="eastAsia" w:ascii="宋体" w:hAnsi="宋体" w:eastAsia="宋体" w:cs="宋体"/>
          <w:b/>
          <w:color w:val="000000"/>
          <w:sz w:val="32"/>
          <w:highlight w:val="none"/>
        </w:rPr>
        <w:t xml:space="preserve">月</w:t>
      </w:r>
      <w:r>
        <w:rPr>
          <w:rFonts w:hint="eastAsia" w:ascii="宋体" w:hAnsi="宋体" w:eastAsia="宋体" w:cs="宋体"/>
          <w:b/>
          <w:color w:val="000000"/>
          <w:sz w:val="32"/>
          <w:highlight w:val="none"/>
          <w:u w:val="single"/>
          <w:lang w:val="en-US" w:eastAsia="zh-CN"/>
        </w:rPr>
        <w:t xml:space="preserve">08</w:t>
      </w:r>
      <w:r>
        <w:rPr>
          <w:rFonts w:hint="eastAsia" w:ascii="宋体" w:hAnsi="宋体" w:eastAsia="宋体" w:cs="宋体"/>
          <w:b/>
          <w:color w:val="000000"/>
          <w:sz w:val="32"/>
          <w:highlight w:val="none"/>
        </w:rPr>
        <w:t xml:space="preserve">日</w:t>
      </w:r>
      <w:r/>
    </w:p>
    <w:p>
      <w:pPr>
        <w:ind w:left="0" w:right="0" w:firstLine="0"/>
        <w:jc w:val="center"/>
        <w:spacing w:before="0" w:after="0"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spacing w:before="0" w:after="0" w:line="113" w:lineRule="atLeast"/>
        <w:rPr>
          <w:rFonts w:hint="eastAsia"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44"/>
          <w:szCs w:val="44"/>
          <w:highlight w:val="none"/>
        </w:rPr>
      </w:r>
      <w:r/>
    </w:p>
    <w:p>
      <w:pPr>
        <w:ind w:left="0" w:right="0" w:firstLine="0"/>
        <w:jc w:val="center"/>
        <w:spacing w:before="0" w:after="0" w:line="113" w:lineRule="atLeast"/>
        <w:rPr>
          <w:rFonts w:hint="eastAsia"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44"/>
          <w:szCs w:val="44"/>
          <w:highlight w:val="none"/>
        </w:rPr>
      </w:r>
      <w:r/>
    </w:p>
    <w:p>
      <w:pPr>
        <w:ind w:left="0" w:right="0" w:firstLine="0"/>
        <w:jc w:val="center"/>
        <w:spacing w:before="0" w:after="0" w:line="113" w:lineRule="atLeast"/>
        <w:rPr>
          <w:rFonts w:hint="eastAsia"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44"/>
          <w:szCs w:val="44"/>
          <w:highlight w:val="none"/>
        </w:rPr>
      </w:r>
      <w:r/>
    </w:p>
    <w:p>
      <w:pPr>
        <w:ind w:left="0" w:right="0" w:firstLine="0"/>
        <w:jc w:val="center"/>
        <w:spacing w:before="0" w:after="0" w:line="113" w:lineRule="atLeast"/>
        <w:rPr>
          <w:rFonts w:hint="eastAsia"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44"/>
          <w:szCs w:val="44"/>
          <w:highlight w:val="none"/>
        </w:rPr>
      </w:r>
      <w:r/>
    </w:p>
    <w:p>
      <w:pPr>
        <w:ind w:left="0" w:right="0" w:firstLine="0"/>
        <w:jc w:val="center"/>
        <w:spacing w:before="0" w:after="0" w:line="113" w:lineRule="atLeast"/>
        <w:rPr>
          <w:rFonts w:hint="eastAsia"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44"/>
          <w:szCs w:val="44"/>
          <w:highlight w:val="none"/>
        </w:rPr>
      </w:r>
      <w:r/>
    </w:p>
    <w:p>
      <w:pPr>
        <w:ind w:left="0" w:right="0" w:firstLine="0"/>
        <w:jc w:val="center"/>
        <w:spacing w:before="0" w:after="0" w:line="113" w:lineRule="atLeast"/>
        <w:rPr>
          <w:rFonts w:hint="eastAsia"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44"/>
          <w:szCs w:val="44"/>
          <w:highlight w:val="none"/>
        </w:rPr>
      </w:r>
      <w:r/>
    </w:p>
    <w:p>
      <w:pPr>
        <w:ind w:left="0" w:right="0" w:firstLine="0"/>
        <w:jc w:val="center"/>
        <w:spacing w:before="0" w:after="0" w:line="113" w:lineRule="atLeast"/>
        <w:rPr>
          <w:rFonts w:hint="eastAsia" w:ascii="宋体" w:hAnsi="宋体" w:eastAsia="宋体" w:cs="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44"/>
          <w:szCs w:val="44"/>
          <w:highlight w:val="none"/>
        </w:rPr>
      </w:r>
      <w:r/>
    </w:p>
    <w:p>
      <w:pPr>
        <w:ind w:left="0" w:right="0" w:firstLine="0"/>
        <w:jc w:val="center"/>
        <w:spacing w:before="0" w:after="0" w:line="113" w:lineRule="atLeast"/>
        <w:rPr>
          <w:rFonts w:hint="eastAsia" w:ascii="宋体" w:hAnsi="宋体" w:eastAsia="宋体" w:cs="宋体"/>
          <w:b/>
          <w:color w:val="000000"/>
          <w:sz w:val="44"/>
          <w:highlight w:val="none"/>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ascii="宋体" w:hAnsi="宋体" w:eastAsia="宋体" w:cs="宋体"/>
          <w:b/>
          <w:color w:val="000000"/>
          <w:sz w:val="44"/>
          <w:highlight w:val="none"/>
        </w:rPr>
      </w:r>
      <w:r/>
    </w:p>
    <w:p>
      <w:pPr>
        <w:ind w:left="0" w:right="0" w:firstLine="0"/>
        <w:jc w:val="both"/>
        <w:spacing w:before="0" w:after="0"/>
        <w:rPr>
          <w:rFonts w:hint="eastAsia" w:ascii="宋体" w:hAnsi="宋体" w:eastAsia="宋体" w:cs="宋体"/>
          <w:color w:val="000000"/>
          <w:sz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r>
      <w:r/>
    </w:p>
    <w:sdt>
      <w:sdtPr>
        <w15:appearance w15:val="boundingBox"/>
        <w15:color w:val="dbdbdb"/>
        <w:id w:val="147457237"/>
        <w:docPartObj>
          <w:docPartGallery w:val="Table of Contents"/>
          <w:docPartUnique w:val="true"/>
        </w:docPartObj>
        <w:rPr>
          <w:rFonts w:hint="eastAsia" w:ascii="宋体" w:hAnsi="宋体" w:eastAsia="宋体" w:cs="宋体"/>
          <w:sz w:val="21"/>
          <w:szCs w:val="24"/>
          <w:lang w:val="en-US" w:eastAsia="zh-CN" w:bidi="ar-SA"/>
        </w:rPr>
      </w:sdtPr>
      <w:sdtContent>
        <w:p>
          <w:pPr>
            <w:ind w:left="0" w:right="0" w:firstLine="0"/>
            <w:jc w:val="center"/>
            <w:spacing w:before="0" w:after="0" w:line="240" w:lineRule="auto"/>
            <w:rPr>
              <w:rFonts w:hint="eastAsia" w:ascii="宋体" w:hAnsi="宋体" w:eastAsia="宋体" w:cs="宋体"/>
              <w:sz w:val="28"/>
              <w:szCs w:val="36"/>
            </w:rPr>
          </w:pPr>
          <w:r>
            <w:rPr>
              <w:rFonts w:hint="eastAsia" w:ascii="宋体" w:hAnsi="宋体" w:eastAsia="宋体" w:cs="宋体"/>
              <w:sz w:val="28"/>
              <w:szCs w:val="36"/>
            </w:rPr>
            <w:t xml:space="preserve">目录</w:t>
          </w:r>
          <w:r/>
        </w:p>
        <w:p>
          <w:pPr>
            <w:pStyle w:val="806"/>
            <w:tabs>
              <w:tab w:val="right" w:pos="8953" w:leader="dot"/>
            </w:tabs>
            <w:rPr>
              <w:rFonts w:hint="eastAsia" w:ascii="宋体" w:hAnsi="宋体" w:eastAsia="宋体" w:cs="宋体"/>
              <w:sz w:val="28"/>
              <w:szCs w:val="36"/>
            </w:rPr>
          </w:pPr>
          <w:r>
            <w:rPr>
              <w:rFonts w:hint="eastAsia" w:ascii="宋体" w:hAnsi="宋体" w:eastAsia="宋体" w:cs="宋体"/>
              <w:color w:val="000000"/>
              <w:sz w:val="32"/>
              <w:szCs w:val="36"/>
              <w:highlight w:val="none"/>
              <w:lang w:val="en-US" w:eastAsia="zh-CN"/>
            </w:rPr>
            <w:fldChar w:fldCharType="begin"/>
          </w:r>
          <w:r>
            <w:rPr>
              <w:rFonts w:hint="eastAsia" w:ascii="宋体" w:hAnsi="宋体" w:eastAsia="宋体" w:cs="宋体"/>
              <w:color w:val="000000"/>
              <w:sz w:val="32"/>
              <w:szCs w:val="36"/>
              <w:highlight w:val="none"/>
              <w:lang w:val="en-US" w:eastAsia="zh-CN"/>
            </w:rPr>
            <w:instrText xml:space="preserve">TOC \o "1-1" \h \u </w:instrText>
          </w:r>
          <w:r>
            <w:rPr>
              <w:rFonts w:hint="eastAsia" w:ascii="宋体" w:hAnsi="宋体" w:eastAsia="宋体" w:cs="宋体"/>
              <w:color w:val="000000"/>
              <w:sz w:val="32"/>
              <w:szCs w:val="36"/>
              <w:highlight w:val="none"/>
              <w:lang w:val="en-US" w:eastAsia="zh-CN"/>
            </w:rPr>
            <w:fldChar w:fldCharType="separate"/>
          </w:r>
          <w:r>
            <w:rPr>
              <w:rFonts w:hint="eastAsia" w:ascii="宋体" w:hAnsi="宋体" w:eastAsia="宋体" w:cs="宋体"/>
              <w:color w:val="000000"/>
              <w:sz w:val="28"/>
              <w:szCs w:val="36"/>
              <w:highlight w:val="none"/>
              <w:lang w:val="en-US" w:eastAsia="zh-CN"/>
            </w:rPr>
            <w:fldChar w:fldCharType="begin"/>
          </w:r>
          <w:r>
            <w:rPr>
              <w:rFonts w:hint="eastAsia" w:ascii="宋体" w:hAnsi="宋体" w:eastAsia="宋体" w:cs="宋体"/>
              <w:sz w:val="28"/>
              <w:szCs w:val="36"/>
              <w:highlight w:val="none"/>
              <w:lang w:val="en-US" w:eastAsia="zh-CN"/>
            </w:rPr>
            <w:instrText xml:space="preserve"> HYPERLINK \l _Toc22094 </w:instrText>
          </w:r>
          <w:r>
            <w:rPr>
              <w:rFonts w:hint="eastAsia" w:ascii="宋体" w:hAnsi="宋体" w:eastAsia="宋体" w:cs="宋体"/>
              <w:sz w:val="28"/>
              <w:szCs w:val="36"/>
              <w:highlight w:val="none"/>
              <w:lang w:val="en-US" w:eastAsia="zh-CN"/>
            </w:rPr>
            <w:fldChar w:fldCharType="separate"/>
          </w:r>
          <w:r>
            <w:rPr>
              <w:rFonts w:hint="eastAsia" w:ascii="宋体" w:hAnsi="宋体" w:eastAsia="宋体" w:cs="宋体"/>
              <w:sz w:val="28"/>
              <w:szCs w:val="36"/>
              <w:highlight w:val="none"/>
            </w:rPr>
            <w:t xml:space="preserve">第一章磋商邀请</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_Toc22094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1</w:t>
          </w:r>
          <w:r>
            <w:rPr>
              <w:rFonts w:hint="eastAsia" w:ascii="宋体" w:hAnsi="宋体" w:eastAsia="宋体" w:cs="宋体"/>
              <w:sz w:val="28"/>
              <w:szCs w:val="36"/>
            </w:rPr>
            <w:fldChar w:fldCharType="end"/>
          </w:r>
          <w:r>
            <w:rPr>
              <w:rFonts w:hint="eastAsia" w:ascii="宋体" w:hAnsi="宋体" w:eastAsia="宋体" w:cs="宋体"/>
              <w:color w:val="000000"/>
              <w:sz w:val="28"/>
              <w:szCs w:val="36"/>
              <w:highlight w:val="none"/>
              <w:lang w:val="en-US" w:eastAsia="zh-CN"/>
            </w:rPr>
            <w:fldChar w:fldCharType="end"/>
          </w:r>
          <w:r/>
        </w:p>
        <w:p>
          <w:pPr>
            <w:pStyle w:val="806"/>
            <w:tabs>
              <w:tab w:val="right" w:pos="8953" w:leader="dot"/>
            </w:tabs>
            <w:rPr>
              <w:rFonts w:hint="eastAsia" w:ascii="宋体" w:hAnsi="宋体" w:eastAsia="宋体" w:cs="宋体"/>
              <w:sz w:val="28"/>
              <w:szCs w:val="36"/>
            </w:rPr>
          </w:pPr>
          <w:r>
            <w:rPr>
              <w:rFonts w:hint="eastAsia" w:ascii="宋体" w:hAnsi="宋体" w:eastAsia="宋体" w:cs="宋体"/>
              <w:color w:val="000000"/>
              <w:sz w:val="28"/>
              <w:szCs w:val="36"/>
              <w:highlight w:val="none"/>
              <w:lang w:val="en-US" w:eastAsia="zh-CN"/>
            </w:rPr>
            <w:fldChar w:fldCharType="begin"/>
          </w:r>
          <w:r>
            <w:rPr>
              <w:rFonts w:hint="eastAsia" w:ascii="宋体" w:hAnsi="宋体" w:eastAsia="宋体" w:cs="宋体"/>
              <w:sz w:val="28"/>
              <w:szCs w:val="36"/>
              <w:highlight w:val="none"/>
              <w:lang w:val="en-US" w:eastAsia="zh-CN"/>
            </w:rPr>
            <w:instrText xml:space="preserve"> HYPERLINK \l _Toc24147 </w:instrText>
          </w:r>
          <w:r>
            <w:rPr>
              <w:rFonts w:hint="eastAsia" w:ascii="宋体" w:hAnsi="宋体" w:eastAsia="宋体" w:cs="宋体"/>
              <w:sz w:val="28"/>
              <w:szCs w:val="36"/>
              <w:highlight w:val="none"/>
              <w:lang w:val="en-US" w:eastAsia="zh-CN"/>
            </w:rPr>
            <w:fldChar w:fldCharType="separate"/>
          </w:r>
          <w:r>
            <w:rPr>
              <w:rFonts w:hint="eastAsia" w:ascii="宋体" w:hAnsi="宋体" w:eastAsia="宋体" w:cs="宋体"/>
              <w:sz w:val="28"/>
              <w:szCs w:val="36"/>
              <w:highlight w:val="none"/>
            </w:rPr>
            <w:t xml:space="preserve">第二章供应商须知</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_Toc24147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4</w:t>
          </w:r>
          <w:r>
            <w:rPr>
              <w:rFonts w:hint="eastAsia" w:ascii="宋体" w:hAnsi="宋体" w:eastAsia="宋体" w:cs="宋体"/>
              <w:sz w:val="28"/>
              <w:szCs w:val="36"/>
            </w:rPr>
            <w:fldChar w:fldCharType="end"/>
          </w:r>
          <w:r>
            <w:rPr>
              <w:rFonts w:hint="eastAsia" w:ascii="宋体" w:hAnsi="宋体" w:eastAsia="宋体" w:cs="宋体"/>
              <w:color w:val="000000"/>
              <w:sz w:val="28"/>
              <w:szCs w:val="36"/>
              <w:highlight w:val="none"/>
              <w:lang w:val="en-US" w:eastAsia="zh-CN"/>
            </w:rPr>
            <w:fldChar w:fldCharType="end"/>
          </w:r>
          <w:r/>
        </w:p>
        <w:p>
          <w:pPr>
            <w:pStyle w:val="806"/>
            <w:tabs>
              <w:tab w:val="right" w:pos="8953" w:leader="dot"/>
            </w:tabs>
            <w:rPr>
              <w:rFonts w:hint="eastAsia" w:ascii="宋体" w:hAnsi="宋体" w:eastAsia="宋体" w:cs="宋体"/>
              <w:sz w:val="28"/>
              <w:szCs w:val="36"/>
            </w:rPr>
          </w:pPr>
          <w:r>
            <w:rPr>
              <w:rFonts w:hint="eastAsia" w:ascii="宋体" w:hAnsi="宋体" w:eastAsia="宋体" w:cs="宋体"/>
              <w:color w:val="000000"/>
              <w:sz w:val="28"/>
              <w:szCs w:val="36"/>
              <w:highlight w:val="none"/>
              <w:lang w:val="en-US" w:eastAsia="zh-CN"/>
            </w:rPr>
            <w:fldChar w:fldCharType="begin"/>
          </w:r>
          <w:r>
            <w:rPr>
              <w:rFonts w:hint="eastAsia" w:ascii="宋体" w:hAnsi="宋体" w:eastAsia="宋体" w:cs="宋体"/>
              <w:sz w:val="28"/>
              <w:szCs w:val="36"/>
              <w:highlight w:val="none"/>
              <w:lang w:val="en-US" w:eastAsia="zh-CN"/>
            </w:rPr>
            <w:instrText xml:space="preserve"> HYPERLINK \l _Toc13155 </w:instrText>
          </w:r>
          <w:r>
            <w:rPr>
              <w:rFonts w:hint="eastAsia" w:ascii="宋体" w:hAnsi="宋体" w:eastAsia="宋体" w:cs="宋体"/>
              <w:sz w:val="28"/>
              <w:szCs w:val="36"/>
              <w:highlight w:val="none"/>
              <w:lang w:val="en-US" w:eastAsia="zh-CN"/>
            </w:rPr>
            <w:fldChar w:fldCharType="separate"/>
          </w:r>
          <w:r>
            <w:rPr>
              <w:rFonts w:hint="eastAsia" w:ascii="宋体" w:hAnsi="宋体" w:eastAsia="宋体" w:cs="宋体"/>
              <w:sz w:val="28"/>
              <w:szCs w:val="36"/>
              <w:highlight w:val="none"/>
            </w:rPr>
            <w:t xml:space="preserve">第三章合同文本</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_Toc13155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22</w:t>
          </w:r>
          <w:r>
            <w:rPr>
              <w:rFonts w:hint="eastAsia" w:ascii="宋体" w:hAnsi="宋体" w:eastAsia="宋体" w:cs="宋体"/>
              <w:sz w:val="28"/>
              <w:szCs w:val="36"/>
            </w:rPr>
            <w:fldChar w:fldCharType="end"/>
          </w:r>
          <w:r>
            <w:rPr>
              <w:rFonts w:hint="eastAsia" w:ascii="宋体" w:hAnsi="宋体" w:eastAsia="宋体" w:cs="宋体"/>
              <w:color w:val="000000"/>
              <w:sz w:val="28"/>
              <w:szCs w:val="36"/>
              <w:highlight w:val="none"/>
              <w:lang w:val="en-US" w:eastAsia="zh-CN"/>
            </w:rPr>
            <w:fldChar w:fldCharType="end"/>
          </w:r>
          <w:r/>
        </w:p>
        <w:p>
          <w:pPr>
            <w:pStyle w:val="806"/>
            <w:tabs>
              <w:tab w:val="right" w:pos="8953" w:leader="dot"/>
            </w:tabs>
            <w:rPr>
              <w:rFonts w:hint="eastAsia" w:ascii="宋体" w:hAnsi="宋体" w:eastAsia="宋体" w:cs="宋体"/>
              <w:sz w:val="28"/>
              <w:szCs w:val="36"/>
            </w:rPr>
          </w:pPr>
          <w:r>
            <w:rPr>
              <w:rFonts w:hint="eastAsia" w:ascii="宋体" w:hAnsi="宋体" w:eastAsia="宋体" w:cs="宋体"/>
              <w:color w:val="000000"/>
              <w:sz w:val="28"/>
              <w:szCs w:val="36"/>
              <w:highlight w:val="none"/>
              <w:lang w:val="en-US" w:eastAsia="zh-CN"/>
            </w:rPr>
            <w:fldChar w:fldCharType="begin"/>
          </w:r>
          <w:r>
            <w:rPr>
              <w:rFonts w:hint="eastAsia" w:ascii="宋体" w:hAnsi="宋体" w:eastAsia="宋体" w:cs="宋体"/>
              <w:sz w:val="28"/>
              <w:szCs w:val="36"/>
              <w:highlight w:val="none"/>
              <w:lang w:val="en-US" w:eastAsia="zh-CN"/>
            </w:rPr>
            <w:instrText xml:space="preserve"> HYPERLINK \l _Toc19143 </w:instrText>
          </w:r>
          <w:r>
            <w:rPr>
              <w:rFonts w:hint="eastAsia" w:ascii="宋体" w:hAnsi="宋体" w:eastAsia="宋体" w:cs="宋体"/>
              <w:sz w:val="28"/>
              <w:szCs w:val="36"/>
              <w:highlight w:val="none"/>
              <w:lang w:val="en-US" w:eastAsia="zh-CN"/>
            </w:rPr>
            <w:fldChar w:fldCharType="separate"/>
          </w:r>
          <w:r>
            <w:rPr>
              <w:rFonts w:hint="eastAsia" w:ascii="宋体" w:hAnsi="宋体" w:eastAsia="宋体" w:cs="宋体"/>
              <w:sz w:val="28"/>
              <w:szCs w:val="36"/>
              <w:highlight w:val="none"/>
            </w:rPr>
            <w:t xml:space="preserve">第四章 采购需求</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_Toc19143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37</w:t>
          </w:r>
          <w:r>
            <w:rPr>
              <w:rFonts w:hint="eastAsia" w:ascii="宋体" w:hAnsi="宋体" w:eastAsia="宋体" w:cs="宋体"/>
              <w:sz w:val="28"/>
              <w:szCs w:val="36"/>
            </w:rPr>
            <w:fldChar w:fldCharType="end"/>
          </w:r>
          <w:r>
            <w:rPr>
              <w:rFonts w:hint="eastAsia" w:ascii="宋体" w:hAnsi="宋体" w:eastAsia="宋体" w:cs="宋体"/>
              <w:color w:val="000000"/>
              <w:sz w:val="28"/>
              <w:szCs w:val="36"/>
              <w:highlight w:val="none"/>
              <w:lang w:val="en-US" w:eastAsia="zh-CN"/>
            </w:rPr>
            <w:fldChar w:fldCharType="end"/>
          </w:r>
          <w:r/>
        </w:p>
        <w:p>
          <w:pPr>
            <w:pStyle w:val="806"/>
            <w:tabs>
              <w:tab w:val="right" w:pos="8953" w:leader="dot"/>
            </w:tabs>
            <w:rPr>
              <w:rFonts w:hint="eastAsia" w:ascii="宋体" w:hAnsi="宋体" w:eastAsia="宋体" w:cs="宋体"/>
              <w:sz w:val="28"/>
              <w:szCs w:val="36"/>
            </w:rPr>
          </w:pPr>
          <w:r>
            <w:rPr>
              <w:rFonts w:hint="eastAsia" w:ascii="宋体" w:hAnsi="宋体" w:eastAsia="宋体" w:cs="宋体"/>
              <w:color w:val="000000"/>
              <w:sz w:val="28"/>
              <w:szCs w:val="36"/>
              <w:highlight w:val="none"/>
              <w:lang w:val="en-US" w:eastAsia="zh-CN"/>
            </w:rPr>
            <w:fldChar w:fldCharType="begin"/>
          </w:r>
          <w:r>
            <w:rPr>
              <w:rFonts w:hint="eastAsia" w:ascii="宋体" w:hAnsi="宋体" w:eastAsia="宋体" w:cs="宋体"/>
              <w:sz w:val="28"/>
              <w:szCs w:val="36"/>
              <w:highlight w:val="none"/>
              <w:lang w:val="en-US" w:eastAsia="zh-CN"/>
            </w:rPr>
            <w:instrText xml:space="preserve"> HYPERLINK \l _Toc26385 </w:instrText>
          </w:r>
          <w:r>
            <w:rPr>
              <w:rFonts w:hint="eastAsia" w:ascii="宋体" w:hAnsi="宋体" w:eastAsia="宋体" w:cs="宋体"/>
              <w:sz w:val="28"/>
              <w:szCs w:val="36"/>
              <w:highlight w:val="none"/>
              <w:lang w:val="en-US" w:eastAsia="zh-CN"/>
            </w:rPr>
            <w:fldChar w:fldCharType="separate"/>
          </w:r>
          <w:r>
            <w:rPr>
              <w:rFonts w:hint="eastAsia" w:ascii="宋体" w:hAnsi="宋体" w:eastAsia="宋体" w:cs="宋体"/>
              <w:sz w:val="28"/>
              <w:szCs w:val="36"/>
              <w:highlight w:val="none"/>
            </w:rPr>
            <w:t xml:space="preserve">第五章评审方法与评审标准</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_Toc26385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56</w:t>
          </w:r>
          <w:r>
            <w:rPr>
              <w:rFonts w:hint="eastAsia" w:ascii="宋体" w:hAnsi="宋体" w:eastAsia="宋体" w:cs="宋体"/>
              <w:sz w:val="28"/>
              <w:szCs w:val="36"/>
            </w:rPr>
            <w:fldChar w:fldCharType="end"/>
          </w:r>
          <w:r>
            <w:rPr>
              <w:rFonts w:hint="eastAsia" w:ascii="宋体" w:hAnsi="宋体" w:eastAsia="宋体" w:cs="宋体"/>
              <w:color w:val="000000"/>
              <w:sz w:val="28"/>
              <w:szCs w:val="36"/>
              <w:highlight w:val="none"/>
              <w:lang w:val="en-US" w:eastAsia="zh-CN"/>
            </w:rPr>
            <w:fldChar w:fldCharType="end"/>
          </w:r>
          <w:r/>
        </w:p>
        <w:p>
          <w:pPr>
            <w:pStyle w:val="806"/>
            <w:tabs>
              <w:tab w:val="right" w:pos="8953" w:leader="dot"/>
            </w:tabs>
            <w:rPr>
              <w:rFonts w:hint="eastAsia" w:ascii="宋体" w:hAnsi="宋体" w:eastAsia="宋体" w:cs="宋体"/>
              <w:sz w:val="28"/>
              <w:szCs w:val="36"/>
            </w:rPr>
          </w:pPr>
          <w:r>
            <w:rPr>
              <w:rFonts w:hint="eastAsia" w:ascii="宋体" w:hAnsi="宋体" w:eastAsia="宋体" w:cs="宋体"/>
              <w:color w:val="000000"/>
              <w:sz w:val="28"/>
              <w:szCs w:val="36"/>
              <w:highlight w:val="none"/>
              <w:lang w:val="en-US" w:eastAsia="zh-CN"/>
            </w:rPr>
            <w:fldChar w:fldCharType="begin"/>
          </w:r>
          <w:r>
            <w:rPr>
              <w:rFonts w:hint="eastAsia" w:ascii="宋体" w:hAnsi="宋体" w:eastAsia="宋体" w:cs="宋体"/>
              <w:sz w:val="28"/>
              <w:szCs w:val="36"/>
              <w:highlight w:val="none"/>
              <w:lang w:val="en-US" w:eastAsia="zh-CN"/>
            </w:rPr>
            <w:instrText xml:space="preserve"> HYPERLINK \l _Toc14405 </w:instrText>
          </w:r>
          <w:r>
            <w:rPr>
              <w:rFonts w:hint="eastAsia" w:ascii="宋体" w:hAnsi="宋体" w:eastAsia="宋体" w:cs="宋体"/>
              <w:sz w:val="28"/>
              <w:szCs w:val="36"/>
              <w:highlight w:val="none"/>
              <w:lang w:val="en-US" w:eastAsia="zh-CN"/>
            </w:rPr>
            <w:fldChar w:fldCharType="separate"/>
          </w:r>
          <w:r>
            <w:rPr>
              <w:rFonts w:hint="eastAsia" w:ascii="宋体" w:hAnsi="宋体" w:eastAsia="宋体" w:cs="宋体"/>
              <w:sz w:val="28"/>
              <w:szCs w:val="36"/>
              <w:highlight w:val="none"/>
            </w:rPr>
            <w:t xml:space="preserve">第六章响应文件格式</w:t>
          </w:r>
          <w:r>
            <w:rPr>
              <w:rFonts w:hint="eastAsia" w:ascii="宋体" w:hAnsi="宋体" w:eastAsia="宋体" w:cs="宋体"/>
              <w:sz w:val="28"/>
              <w:szCs w:val="36"/>
            </w:rPr>
            <w:tab/>
          </w:r>
          <w:r>
            <w:rPr>
              <w:rFonts w:hint="eastAsia" w:ascii="宋体" w:hAnsi="宋体" w:eastAsia="宋体" w:cs="宋体"/>
              <w:sz w:val="28"/>
              <w:szCs w:val="36"/>
            </w:rPr>
            <w:fldChar w:fldCharType="begin"/>
          </w:r>
          <w:r>
            <w:rPr>
              <w:rFonts w:hint="eastAsia" w:ascii="宋体" w:hAnsi="宋体" w:eastAsia="宋体" w:cs="宋体"/>
              <w:sz w:val="28"/>
              <w:szCs w:val="36"/>
            </w:rPr>
            <w:instrText xml:space="preserve"> PAGEREF _Toc14405 \h </w:instrText>
          </w:r>
          <w:r>
            <w:rPr>
              <w:rFonts w:hint="eastAsia" w:ascii="宋体" w:hAnsi="宋体" w:eastAsia="宋体" w:cs="宋体"/>
              <w:sz w:val="28"/>
              <w:szCs w:val="36"/>
            </w:rPr>
            <w:fldChar w:fldCharType="separate"/>
          </w:r>
          <w:r>
            <w:rPr>
              <w:rFonts w:hint="eastAsia" w:ascii="宋体" w:hAnsi="宋体" w:eastAsia="宋体" w:cs="宋体"/>
              <w:sz w:val="28"/>
              <w:szCs w:val="36"/>
            </w:rPr>
            <w:t xml:space="preserve">60</w:t>
          </w:r>
          <w:r>
            <w:rPr>
              <w:rFonts w:hint="eastAsia" w:ascii="宋体" w:hAnsi="宋体" w:eastAsia="宋体" w:cs="宋体"/>
              <w:sz w:val="28"/>
              <w:szCs w:val="36"/>
            </w:rPr>
            <w:fldChar w:fldCharType="end"/>
          </w:r>
          <w:r>
            <w:rPr>
              <w:rFonts w:hint="eastAsia" w:ascii="宋体" w:hAnsi="宋体" w:eastAsia="宋体" w:cs="宋体"/>
              <w:color w:val="000000"/>
              <w:sz w:val="28"/>
              <w:szCs w:val="36"/>
              <w:highlight w:val="none"/>
              <w:lang w:val="en-US" w:eastAsia="zh-CN"/>
            </w:rPr>
            <w:fldChar w:fldCharType="end"/>
          </w:r>
          <w:r/>
        </w:p>
        <w:p>
          <w:pPr>
            <w:ind w:left="0" w:right="0" w:firstLine="0"/>
            <w:jc w:val="both"/>
            <w:spacing w:before="0" w:after="0"/>
            <w:rPr>
              <w:rFonts w:hint="eastAsia" w:ascii="宋体" w:hAnsi="宋体" w:eastAsia="宋体" w:cs="宋体"/>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36"/>
              <w:highlight w:val="none"/>
              <w:lang w:val="en-US" w:eastAsia="zh-CN"/>
            </w:rPr>
            <w:fldChar w:fldCharType="end"/>
          </w:r>
          <w:r/>
        </w:p>
      </w:sdtContent>
    </w:sdt>
    <w:p>
      <w:pPr>
        <w:ind w:left="0" w:right="0" w:firstLine="0"/>
        <w:jc w:val="both"/>
        <w:spacing w:before="0" w:after="0"/>
        <w:rPr>
          <w:rFonts w:hint="eastAsia" w:ascii="宋体" w:hAnsi="宋体" w:eastAsia="宋体" w:cs="宋体"/>
          <w:color w:val="000000"/>
          <w:sz w:val="21"/>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4"/>
          <w:highlight w:val="none"/>
          <w:lang w:val="en-US" w:eastAsia="zh-CN" w:bidi="ar-SA"/>
        </w:rPr>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bookmarkStart w:id="6" w:name="_GoBack"/>
      <w:r/>
      <w:bookmarkEnd w:id="6"/>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0"/>
        <w:jc w:val="center"/>
        <w:spacing w:before="0" w:after="0"/>
        <w:rPr>
          <w:rFonts w:hint="eastAsia"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szCs w:val="44"/>
          <w:highlight w:val="none"/>
        </w:rPr>
      </w:r>
      <w:r/>
    </w:p>
    <w:p>
      <w:pPr>
        <w:ind w:left="0" w:right="0" w:firstLine="0"/>
        <w:jc w:val="center"/>
        <w:spacing w:before="0" w:after="0"/>
        <w:rPr>
          <w:rFonts w:hint="eastAsia"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szCs w:val="44"/>
          <w:highlight w:val="none"/>
        </w:rPr>
      </w:r>
      <w:r/>
    </w:p>
    <w:p>
      <w:pPr>
        <w:ind w:left="0" w:right="0" w:firstLine="0"/>
        <w:jc w:val="center"/>
        <w:spacing w:before="0" w:after="0"/>
        <w:rPr>
          <w:rFonts w:hint="eastAsia"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szCs w:val="44"/>
          <w:highlight w:val="none"/>
        </w:rPr>
      </w:r>
      <w:r/>
    </w:p>
    <w:p>
      <w:pPr>
        <w:ind w:left="0" w:right="0" w:firstLine="0"/>
        <w:jc w:val="center"/>
        <w:spacing w:before="0" w:after="0"/>
        <w:rPr>
          <w:rFonts w:hint="eastAsia"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szCs w:val="44"/>
          <w:highlight w:val="none"/>
        </w:rPr>
      </w:r>
      <w:r/>
    </w:p>
    <w:p>
      <w:pPr>
        <w:ind w:left="0" w:right="0" w:firstLine="0"/>
        <w:jc w:val="center"/>
        <w:spacing w:before="0" w:after="0"/>
        <w:rPr>
          <w:rFonts w:hint="eastAsia"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szCs w:val="44"/>
          <w:highlight w:val="none"/>
        </w:rPr>
      </w:r>
      <w:r/>
    </w:p>
    <w:p>
      <w:pPr>
        <w:ind w:left="0" w:right="0" w:firstLine="0"/>
        <w:jc w:val="center"/>
        <w:spacing w:before="0" w:after="0"/>
        <w:rPr>
          <w:rFonts w:hint="eastAsia"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szCs w:val="44"/>
          <w:highlight w:val="none"/>
        </w:rPr>
      </w:r>
      <w:r/>
    </w:p>
    <w:p>
      <w:pPr>
        <w:ind w:left="0" w:right="0" w:firstLine="0"/>
        <w:jc w:val="center"/>
        <w:spacing w:before="0" w:after="0"/>
        <w:rPr>
          <w:rFonts w:hint="eastAsia" w:ascii="宋体" w:hAnsi="宋体" w:eastAsia="宋体" w:cs="宋体"/>
          <w:color w:val="000000"/>
          <w:sz w:val="44"/>
          <w:highlight w:val="none"/>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6" w:h="16838" w:orient="portrait"/>
          <w:pgMar w:top="1418" w:right="1588" w:bottom="1418" w:left="1365" w:header="851" w:footer="907" w:gutter="0"/>
          <w:pgNumType w:start="0"/>
          <w:cols w:num="1" w:sep="0" w:space="1701" w:equalWidth="1"/>
          <w:docGrid w:linePitch="360"/>
          <w:titlePg/>
        </w:sectPr>
      </w:pPr>
      <w:r>
        <w:rPr>
          <w:rFonts w:hint="eastAsia" w:ascii="宋体" w:hAnsi="宋体" w:eastAsia="宋体" w:cs="宋体"/>
          <w:color w:val="000000"/>
          <w:sz w:val="44"/>
          <w:highlight w:val="none"/>
        </w:rPr>
      </w:r>
      <w:r/>
    </w:p>
    <w:p>
      <w:pPr>
        <w:ind w:left="0" w:right="0" w:firstLine="0"/>
        <w:jc w:val="center"/>
        <w:spacing w:before="0" w:after="0"/>
        <w:rPr>
          <w:rFonts w:hint="eastAsia"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outlineLvl w:val="0"/>
      </w:pPr>
      <w:r/>
      <w:bookmarkStart w:id="0" w:name="_Toc22094"/>
      <w:r>
        <w:rPr>
          <w:rFonts w:hint="eastAsia" w:ascii="宋体" w:hAnsi="宋体" w:eastAsia="宋体" w:cs="宋体"/>
          <w:color w:val="000000"/>
          <w:sz w:val="44"/>
          <w:highlight w:val="none"/>
        </w:rPr>
        <w:t xml:space="preserve">第一章磋商邀请</w:t>
      </w:r>
      <w:bookmarkEnd w:id="0"/>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受[宿迁市宿城区环境卫生综合服务中心]的委托，[</w:t>
      </w:r>
      <w:r>
        <w:rPr>
          <w:rFonts w:hint="eastAsia" w:ascii="宋体" w:hAnsi="宋体" w:eastAsia="宋体" w:cs="宋体"/>
          <w:color w:val="000000"/>
          <w:sz w:val="24"/>
          <w:highlight w:val="none"/>
          <w:lang w:eastAsia="zh-CN"/>
        </w:rPr>
        <w:t xml:space="preserve">江苏宝恒项目管理咨询有限公司</w:t>
      </w:r>
      <w:r>
        <w:rPr>
          <w:rFonts w:hint="eastAsia" w:ascii="宋体" w:hAnsi="宋体" w:eastAsia="宋体" w:cs="宋体"/>
          <w:color w:val="000000"/>
          <w:sz w:val="24"/>
          <w:highlight w:val="none"/>
        </w:rPr>
        <w:t xml:space="preserve">]就[</w:t>
      </w:r>
      <w:r>
        <w:rPr>
          <w:rFonts w:hint="eastAsia" w:ascii="宋体" w:hAnsi="宋体" w:eastAsia="宋体" w:cs="宋体"/>
          <w:color w:val="000000"/>
          <w:sz w:val="24"/>
          <w:highlight w:val="none"/>
          <w:lang w:eastAsia="zh-CN"/>
        </w:rPr>
        <w:t xml:space="preserve">2026年度宿城区环境卫生综合服务中心绿化管养项目</w:t>
      </w:r>
      <w:r>
        <w:rPr>
          <w:rFonts w:hint="eastAsia" w:ascii="宋体" w:hAnsi="宋体" w:eastAsia="宋体" w:cs="宋体"/>
          <w:color w:val="000000"/>
          <w:sz w:val="24"/>
          <w:highlight w:val="none"/>
        </w:rPr>
        <w:t xml:space="preserve">]进行竞争性磋商采购，欢迎符合条件的供应商参加磋商。</w:t>
      </w:r>
      <w:r/>
    </w:p>
    <w:p>
      <w:pPr>
        <w:ind w:left="0" w:right="0" w:firstLine="480"/>
        <w:jc w:val="both"/>
        <w:spacing w:before="0" w:after="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highlight w:val="none"/>
        </w:rPr>
        <w:t xml:space="preserve">项目概况</w:t>
      </w:r>
      <w:r/>
    </w:p>
    <w:p>
      <w:pPr>
        <w:ind w:left="0" w:right="0" w:firstLine="480"/>
        <w:jc w:val="both"/>
        <w:spacing w:before="0" w:after="0"/>
        <w:rPr>
          <w:rFonts w:hint="eastAsia" w:ascii="宋体" w:hAnsi="宋体" w:eastAsia="宋体" w:cs="宋体"/>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4"/>
          <w:highlight w:val="none"/>
          <w:u w:val="single"/>
          <w:lang w:eastAsia="zh-CN"/>
        </w:rPr>
        <w:t xml:space="preserve">2026年度宿城区环境卫生综合服务中心绿化管养项目</w:t>
      </w:r>
      <w:r>
        <w:rPr>
          <w:rFonts w:hint="eastAsia" w:ascii="宋体" w:hAnsi="宋体" w:eastAsia="宋体" w:cs="宋体"/>
          <w:color w:val="000000"/>
          <w:sz w:val="24"/>
          <w:highlight w:val="none"/>
        </w:rPr>
        <w:t xml:space="preserve">竞争性磋商项目的潜在供应商可在</w:t>
      </w:r>
      <w:r>
        <w:rPr>
          <w:rFonts w:hint="eastAsia" w:ascii="宋体" w:hAnsi="宋体" w:eastAsia="宋体" w:cs="宋体"/>
          <w:color w:val="000000"/>
          <w:sz w:val="24"/>
          <w:highlight w:val="none"/>
          <w:u w:val="single"/>
        </w:rPr>
        <w:t xml:space="preserve">“苏采云”系统（网址：http://jszfcg.jsczt.cn/）或宿迁市政府采购网点击“政府采购管理交易系统（苏采云）”自行免费下载</w:t>
      </w:r>
      <w:r>
        <w:rPr>
          <w:rFonts w:hint="eastAsia" w:ascii="宋体" w:hAnsi="宋体" w:eastAsia="宋体" w:cs="宋体"/>
          <w:color w:val="000000"/>
          <w:sz w:val="24"/>
          <w:highlight w:val="none"/>
        </w:rPr>
        <w:t xml:space="preserve">磋商文件，并于</w:t>
      </w:r>
      <w:r>
        <w:rPr>
          <w:rFonts w:hint="eastAsia" w:ascii="宋体" w:hAnsi="宋体" w:eastAsia="宋体" w:cs="宋体"/>
          <w:color w:val="000000"/>
          <w:sz w:val="24"/>
          <w:highlight w:val="none"/>
          <w:u w:val="single"/>
        </w:rPr>
        <w:t xml:space="preserve">202</w:t>
      </w:r>
      <w:r>
        <w:rPr>
          <w:rFonts w:hint="eastAsia" w:ascii="宋体" w:hAnsi="宋体" w:eastAsia="宋体" w:cs="宋体"/>
          <w:color w:val="000000"/>
          <w:sz w:val="24"/>
          <w:highlight w:val="none"/>
          <w:u w:val="single"/>
          <w:lang w:val="en-US" w:eastAsia="zh-CN"/>
        </w:rPr>
        <w:t xml:space="preserve">6</w:t>
      </w:r>
      <w:r>
        <w:rPr>
          <w:rFonts w:hint="eastAsia" w:ascii="宋体" w:hAnsi="宋体" w:eastAsia="宋体" w:cs="宋体"/>
          <w:color w:val="000000"/>
          <w:sz w:val="24"/>
          <w:highlight w:val="none"/>
          <w:u w:val="single"/>
        </w:rPr>
        <w:t xml:space="preserve">年</w:t>
      </w:r>
      <w:r>
        <w:rPr>
          <w:rFonts w:hint="eastAsia" w:ascii="宋体" w:hAnsi="宋体" w:eastAsia="宋体" w:cs="宋体"/>
          <w:color w:val="000000"/>
          <w:sz w:val="24"/>
          <w:highlight w:val="none"/>
          <w:u w:val="single"/>
          <w:lang w:val="en-US" w:eastAsia="zh-CN"/>
        </w:rPr>
        <w:t xml:space="preserve">07</w:t>
      </w:r>
      <w:r>
        <w:rPr>
          <w:rFonts w:hint="eastAsia" w:ascii="宋体" w:hAnsi="宋体" w:eastAsia="宋体" w:cs="宋体"/>
          <w:color w:val="000000"/>
          <w:sz w:val="24"/>
          <w:highlight w:val="none"/>
          <w:u w:val="single"/>
        </w:rPr>
        <w:t xml:space="preserve">月</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日09点30分（</w:t>
      </w:r>
      <w:r>
        <w:rPr>
          <w:rFonts w:hint="eastAsia" w:ascii="宋体" w:hAnsi="宋体" w:eastAsia="宋体" w:cs="宋体"/>
          <w:color w:val="000000"/>
          <w:sz w:val="24"/>
          <w:highlight w:val="none"/>
        </w:rPr>
        <w:t xml:space="preserve">北京时间）前递交响应文件。</w:t>
      </w:r>
      <w:r/>
    </w:p>
    <w:p>
      <w:pPr>
        <w:ind w:left="0" w:right="0" w:firstLine="498"/>
        <w:jc w:val="both"/>
        <w:spacing w:before="145" w:after="145"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一、项目基本情况</w:t>
      </w:r>
      <w:r/>
    </w:p>
    <w:p>
      <w:pPr>
        <w:ind w:left="0" w:right="0" w:firstLine="480"/>
        <w:jc w:val="both"/>
        <w:spacing w:before="0"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1.项目编号：</w:t>
      </w:r>
      <w:r>
        <w:rPr>
          <w:rFonts w:hint="eastAsia" w:ascii="宋体" w:hAnsi="宋体" w:eastAsia="宋体" w:cs="宋体"/>
          <w:color w:val="000000"/>
          <w:sz w:val="24"/>
          <w:highlight w:val="none"/>
          <w:lang w:eastAsia="zh-CN"/>
        </w:rPr>
        <w:t xml:space="preserve">JSZC-321302-BHLW-C2026-0004</w:t>
      </w:r>
      <w:r/>
    </w:p>
    <w:p>
      <w:pPr>
        <w:ind w:left="0" w:right="0" w:firstLine="480"/>
        <w:jc w:val="both"/>
        <w:spacing w:before="0"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2.项目名称：</w:t>
      </w:r>
      <w:r>
        <w:rPr>
          <w:rFonts w:hint="eastAsia" w:ascii="宋体" w:hAnsi="宋体" w:eastAsia="宋体" w:cs="宋体"/>
          <w:color w:val="000000"/>
          <w:sz w:val="24"/>
          <w:highlight w:val="none"/>
          <w:u w:val="single"/>
          <w:lang w:eastAsia="zh-CN"/>
        </w:rPr>
        <w:t xml:space="preserve">2026年度宿城区环境卫生综合服务中心绿化管养项目</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3.预算金额：140万元,其中分包一预算金额95万元，分包二预算金额45万元。</w:t>
      </w:r>
      <w:r/>
    </w:p>
    <w:p>
      <w:pPr>
        <w:ind w:left="0" w:right="0" w:firstLine="482"/>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4.本项目</w:t>
      </w:r>
      <w:r>
        <w:rPr>
          <w:rFonts w:hint="eastAsia" w:ascii="宋体" w:hAnsi="宋体" w:eastAsia="宋体" w:cs="宋体"/>
          <w:b/>
          <w:color w:val="000000"/>
          <w:sz w:val="24"/>
          <w:highlight w:val="none"/>
          <w:u w:val="single"/>
        </w:rPr>
        <w:t xml:space="preserve">设定</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u w:val="single"/>
        </w:rPr>
        <w:t xml:space="preserve">设定</w:t>
      </w:r>
      <w:r>
        <w:rPr>
          <w:rFonts w:hint="eastAsia" w:ascii="宋体" w:hAnsi="宋体" w:eastAsia="宋体" w:cs="宋体"/>
          <w:b/>
          <w:color w:val="000000"/>
          <w:sz w:val="24"/>
          <w:highlight w:val="none"/>
        </w:rPr>
        <w:t xml:space="preserve">/不设定）最高限价</w:t>
      </w:r>
      <w:r>
        <w:rPr>
          <w:rFonts w:hint="eastAsia" w:ascii="宋体" w:hAnsi="宋体" w:eastAsia="宋体" w:cs="宋体"/>
          <w:color w:val="000000"/>
          <w:sz w:val="24"/>
          <w:highlight w:val="none"/>
        </w:rPr>
        <w:t xml:space="preserve">140万元，其中分包一最高限价95万元，分包二最高限价45万元。</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5.采购需求（简介）：本次招标共分二个分包。其中分包一：位于宿城经济开发区西片区</w:t>
      </w:r>
      <w:r>
        <w:rPr>
          <w:rFonts w:hint="eastAsia" w:ascii="宋体" w:hAnsi="宋体" w:eastAsia="宋体" w:cs="宋体"/>
          <w:color w:val="000000"/>
          <w:sz w:val="24"/>
          <w:highlight w:val="none"/>
        </w:rPr>
        <w:t xml:space="preserve">，包括箭鹿大道，丁七路，科兴路，科创路，耿龙路，古城路，科工路，复旦路，隆锦路，科苑路，纬一路，纬二路，勇进路等道路两侧，铂金美寓南门，电子电器产业园内，宿迁市城区开发投资公司院内等，共约668176.50平方绿化养护。其中分包二：项目位于宿城经济开发区南片区：包括鸿运路，创业路，建业路，宏业路，轩辕路，敬业路，伟业路，九洲路，华夏大道，四海路，粮食城，民渠路，创业园，吴宿路，振兴路，吴风路，宿湖路，南一路，织锦路，御水家园北侧，支一路，支二路等，共约313208.69平方绿化管养，详见第四章采购需求部分。</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6.合同履行期限：自合同签订之日起一年。</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7.本项目</w:t>
      </w:r>
      <w:r>
        <w:rPr>
          <w:rFonts w:hint="eastAsia" w:ascii="宋体" w:hAnsi="宋体" w:eastAsia="宋体" w:cs="宋体"/>
          <w:color w:val="000000"/>
          <w:sz w:val="24"/>
          <w:highlight w:val="none"/>
          <w:u w:val="single"/>
        </w:rPr>
        <w:t xml:space="preserve">不接受</w:t>
      </w:r>
      <w:r>
        <w:rPr>
          <w:rFonts w:hint="eastAsia" w:ascii="宋体" w:hAnsi="宋体" w:eastAsia="宋体" w:cs="宋体"/>
          <w:color w:val="000000"/>
          <w:sz w:val="24"/>
          <w:highlight w:val="none"/>
        </w:rPr>
        <w:t xml:space="preserve">联合体参与磋商（接受/不接受）。</w:t>
      </w:r>
      <w:r/>
    </w:p>
    <w:p>
      <w:pPr>
        <w:ind w:left="0" w:right="0" w:firstLine="498"/>
        <w:jc w:val="both"/>
        <w:spacing w:before="145" w:after="145"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二、申请人的资格要求：</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（一）通用资格要求</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1.具备《中华人民共和国政府采购法》第二十二条第一款规定的6项条件（按要求提供声明及信用承诺）；</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落实政府采购政策需满足的资格要求：本项目为专门面向中小企业采购的项目,供应商须为中小微企业、监狱企业、残疾人福利性单位（须提供《中小企业或残疾人福利性单位声明函》，或监狱企业证明文件）。非中小型企业参与本项目投标，将作无效标处理。</w:t>
      </w:r>
      <w:r/>
    </w:p>
    <w:p>
      <w:pPr>
        <w:numPr>
          <w:ilvl w:val="0"/>
          <w:numId w:val="1"/>
        </w:numPr>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本项目的特定资格要求：</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分包一、分包二：</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拟选派项目负责人须具有园林绿化相关专业（园林绿化、风景园林、园林、园艺或植保专业）中级及以上技术职称（如职称证书不能体现相关专业，请提供有效的《专业技术资格评审申报表》，以《评审表》中申报专业为准）。</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2.项目负责人必须为本单位人员，且提供磋商前6个月内本单位为其办理的任意一个月社会养老保险或医疗保险缴纳证明材料。</w:t>
      </w:r>
      <w:r/>
    </w:p>
    <w:p>
      <w:pPr>
        <w:ind w:left="0" w:right="0" w:firstLine="498"/>
        <w:jc w:val="both"/>
        <w:spacing w:before="145" w:after="145"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三、获取磋商文件</w:t>
      </w:r>
      <w:r/>
    </w:p>
    <w:p>
      <w:pPr>
        <w:ind w:left="0" w:right="0" w:firstLine="480"/>
        <w:jc w:val="both"/>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10</w:t>
      </w:r>
      <w:r>
        <w:rPr>
          <w:rFonts w:hint="eastAsia" w:ascii="宋体" w:hAnsi="宋体" w:eastAsia="宋体" w:cs="宋体"/>
          <w:color w:val="000000"/>
          <w:sz w:val="24"/>
          <w:highlight w:val="none"/>
        </w:rPr>
        <w:t xml:space="preserve">日09:00至202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16</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0</w:t>
      </w:r>
      <w:r>
        <w:rPr>
          <w:rFonts w:hint="eastAsia" w:ascii="宋体" w:hAnsi="宋体" w:eastAsia="宋体" w:cs="宋体"/>
          <w:color w:val="000000"/>
          <w:sz w:val="24"/>
          <w:highlight w:val="none"/>
        </w:rPr>
        <w:t xml:space="preserve">0。</w:t>
      </w:r>
      <w:r/>
    </w:p>
    <w:p>
      <w:pPr>
        <w:ind w:left="0" w:right="0" w:firstLine="480"/>
        <w:jc w:val="both"/>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方式：供应商应在采购文件提供的时间内，通过“苏采云”系统（网址：http://jszfcg.jsczt.cn/）或宿迁市政府采购网点击“政府采购管理交易系统（苏采云）”，使用CA锁进入系统从“项目参与”--“采购项目”菜单中，找到本项目获取采购文件（后缀名为“.kedt”）。</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评、定标顺序：依次是分包一、分包二。投标人可选投其中任一分包，也可投所有分包，但只能在一个分包上中标。如一个投标人在多个分包均被推荐为第一中标候选人，则按分包顺序中标，其余分包参与评审，但不推荐为第一中标候选人。</w:t>
      </w:r>
      <w:r/>
    </w:p>
    <w:p>
      <w:pPr>
        <w:ind w:left="0" w:right="0" w:firstLine="480"/>
        <w:jc w:val="both"/>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4.供应商参与多个包磋商的，应按包分别获取采购文件。供应商未按要求获取采购文件导致无法磋商的，后果自负（其响应文件不予接受）。</w:t>
      </w:r>
      <w:r/>
    </w:p>
    <w:p>
      <w:pPr>
        <w:ind w:left="0" w:right="0" w:firstLine="498"/>
        <w:jc w:val="both"/>
        <w:spacing w:before="145" w:after="145"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四、提交响应文件截止时间</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1.提交响应文件截止时间、磋商时间：</w:t>
      </w:r>
      <w:r>
        <w:rPr>
          <w:rFonts w:hint="eastAsia" w:ascii="宋体" w:hAnsi="宋体" w:eastAsia="宋体" w:cs="宋体"/>
          <w:color w:val="000000"/>
          <w:sz w:val="24"/>
          <w:highlight w:val="none"/>
          <w:u w:val="single"/>
        </w:rPr>
        <w:t xml:space="preserve">202</w:t>
      </w:r>
      <w:r>
        <w:rPr>
          <w:rFonts w:hint="eastAsia" w:ascii="宋体" w:hAnsi="宋体" w:eastAsia="宋体" w:cs="宋体"/>
          <w:color w:val="000000"/>
          <w:sz w:val="24"/>
          <w:highlight w:val="none"/>
          <w:u w:val="single"/>
          <w:lang w:val="en-US" w:eastAsia="zh-CN"/>
        </w:rPr>
        <w:t xml:space="preserve">6</w:t>
      </w:r>
      <w:r>
        <w:rPr>
          <w:rFonts w:hint="eastAsia" w:ascii="宋体" w:hAnsi="宋体" w:eastAsia="宋体" w:cs="宋体"/>
          <w:color w:val="000000"/>
          <w:sz w:val="24"/>
          <w:highlight w:val="none"/>
          <w:u w:val="single"/>
        </w:rPr>
        <w:t xml:space="preserve">年</w:t>
      </w:r>
      <w:r>
        <w:rPr>
          <w:rFonts w:hint="eastAsia" w:ascii="宋体" w:hAnsi="宋体" w:eastAsia="宋体" w:cs="宋体"/>
          <w:color w:val="000000"/>
          <w:sz w:val="24"/>
          <w:highlight w:val="none"/>
          <w:u w:val="single"/>
          <w:lang w:val="en-US" w:eastAsia="zh-CN"/>
        </w:rPr>
        <w:t xml:space="preserve">07</w:t>
      </w:r>
      <w:r>
        <w:rPr>
          <w:rFonts w:hint="eastAsia" w:ascii="宋体" w:hAnsi="宋体" w:eastAsia="宋体" w:cs="宋体"/>
          <w:color w:val="000000"/>
          <w:sz w:val="24"/>
          <w:highlight w:val="none"/>
          <w:u w:val="single"/>
        </w:rPr>
        <w:t xml:space="preserve">月</w:t>
      </w:r>
      <w:r>
        <w:rPr>
          <w:rFonts w:hint="eastAsia" w:ascii="宋体" w:hAnsi="宋体" w:eastAsia="宋体" w:cs="宋体"/>
          <w:color w:val="000000"/>
          <w:sz w:val="24"/>
          <w:highlight w:val="none"/>
          <w:u w:val="single"/>
          <w:lang w:val="en-US" w:eastAsia="zh-CN"/>
        </w:rPr>
        <w:t xml:space="preserve">20</w:t>
      </w:r>
      <w:r>
        <w:rPr>
          <w:rFonts w:hint="eastAsia" w:ascii="宋体" w:hAnsi="宋体" w:eastAsia="宋体" w:cs="宋体"/>
          <w:color w:val="000000"/>
          <w:sz w:val="24"/>
          <w:highlight w:val="none"/>
          <w:u w:val="single"/>
        </w:rPr>
        <w:t xml:space="preserve">日09点30分</w:t>
      </w:r>
      <w:r>
        <w:rPr>
          <w:rFonts w:hint="eastAsia" w:ascii="宋体" w:hAnsi="宋体" w:eastAsia="宋体" w:cs="宋体"/>
          <w:color w:val="000000"/>
          <w:sz w:val="24"/>
          <w:highlight w:val="none"/>
        </w:rPr>
        <w:t xml:space="preserve">（北京时间）。</w:t>
      </w:r>
      <w:r/>
    </w:p>
    <w:p>
      <w:pPr>
        <w:ind w:left="0" w:right="0" w:firstLine="54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2.地点：“苏采云”政府采购交易系统网上开标大厅。</w:t>
      </w:r>
      <w:r/>
    </w:p>
    <w:p>
      <w:pPr>
        <w:ind w:left="0" w:right="0" w:firstLine="498"/>
        <w:jc w:val="both"/>
        <w:spacing w:before="145" w:after="145"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五、公告期限</w:t>
      </w:r>
      <w:r/>
    </w:p>
    <w:p>
      <w:pPr>
        <w:ind w:left="0" w:right="0" w:firstLine="54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磋商公告及磋商文件公告期限为自本公告发布之日起5个工作日。采购公告发布媒体：宿迁市政府采购网、宿迁市公共资源交易中心平台、江苏省财政部门指定的媒体。</w:t>
      </w:r>
      <w:r/>
    </w:p>
    <w:p>
      <w:pPr>
        <w:ind w:left="0" w:right="0" w:firstLine="498"/>
        <w:jc w:val="both"/>
        <w:spacing w:before="145" w:after="145"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六、其他补充事宜</w:t>
      </w:r>
      <w:r/>
    </w:p>
    <w:p>
      <w:pPr>
        <w:ind w:left="0" w:right="0" w:firstLine="480"/>
        <w:jc w:val="both"/>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1.财政部门监督电话：</w:t>
      </w:r>
      <w:r>
        <w:rPr>
          <w:rFonts w:hint="eastAsia" w:ascii="宋体" w:hAnsi="宋体" w:eastAsia="宋体" w:cs="宋体"/>
          <w:color w:val="000000"/>
          <w:sz w:val="24"/>
          <w:highlight w:val="none"/>
        </w:rPr>
        <w:t xml:space="preserve">0527-82998860</w:t>
      </w:r>
      <w:r>
        <w:rPr>
          <w:rFonts w:hint="eastAsia" w:ascii="宋体" w:hAnsi="宋体" w:eastAsia="宋体" w:cs="宋体"/>
          <w:color w:val="000000"/>
          <w:sz w:val="24"/>
          <w:highlight w:val="none"/>
        </w:rPr>
        <w:t xml:space="preserve">。</w:t>
      </w:r>
      <w:r/>
    </w:p>
    <w:p>
      <w:pPr>
        <w:ind w:left="0" w:right="0" w:firstLine="480"/>
        <w:jc w:val="both"/>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2.“CA”数字证书办理：“苏采云”系统目前仅支持“苏采云”系统下的政务CA。省内各地区办理的“苏采云”系统下的政务CA全省通用。宿迁地区CA数字证书办理联系方式：18762803891。</w:t>
      </w:r>
      <w:r/>
    </w:p>
    <w:p>
      <w:pPr>
        <w:ind w:left="0" w:right="0" w:firstLine="480"/>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3.宿迁地区“苏采云”技术支持客服电话：0527-8422595、0519-86722806。</w:t>
      </w:r>
      <w:r/>
    </w:p>
    <w:p>
      <w:pPr>
        <w:ind w:left="0" w:right="0" w:firstLine="480"/>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4.如果供应商通过苏采云系统参与政府采购项目，相关操作手册详见链接：</w:t>
      </w:r>
      <w:r>
        <w:rPr>
          <w:rFonts w:hint="eastAsia" w:ascii="宋体" w:hAnsi="宋体" w:eastAsia="宋体" w:cs="宋体"/>
          <w:color w:val="000000"/>
          <w:spacing w:val="-6"/>
          <w:sz w:val="24"/>
          <w:highlight w:val="none"/>
        </w:rPr>
        <w:t xml:space="preserve">http://www.ccgp-jiangsu.gov.cn/jiangsu/zlxz/ee/ee3a4bc5a3454aa2b0d9312230633ce9.html。</w:t>
      </w:r>
      <w:r/>
    </w:p>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5.现场勘察及答疑：本项目不组织集中勘察及答疑，供应商如对采购需求有疑问，请咨询采购单位联系人。</w:t>
      </w:r>
      <w:r/>
    </w:p>
    <w:p>
      <w:pPr>
        <w:ind w:left="0" w:right="0" w:firstLine="498"/>
        <w:jc w:val="both"/>
        <w:spacing w:before="145" w:after="145"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七、本次磋商联系方式</w:t>
      </w:r>
      <w:r/>
    </w:p>
    <w:p>
      <w:pPr>
        <w:ind w:left="0" w:right="0" w:firstLine="56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1.采购人信息</w:t>
      </w:r>
      <w:r/>
    </w:p>
    <w:p>
      <w:pPr>
        <w:ind w:left="1079" w:right="0" w:hanging="30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u w:val="single"/>
        </w:rPr>
        <w:t xml:space="preserve">宿迁市宿城区环境卫生综合服务中心</w:t>
      </w:r>
      <w:r/>
    </w:p>
    <w:p>
      <w:pPr>
        <w:ind w:left="1079" w:right="0" w:hanging="30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宿城区新区商务大厦911室</w:t>
      </w:r>
      <w:r/>
    </w:p>
    <w:p>
      <w:pPr>
        <w:ind w:left="1079" w:right="0" w:hanging="30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u w:val="single"/>
        </w:rPr>
        <w:t xml:space="preserve">李克珠</w:t>
      </w:r>
      <w:r/>
    </w:p>
    <w:p>
      <w:pPr>
        <w:ind w:left="1079" w:right="0" w:hanging="300"/>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u w:val="single"/>
        </w:rPr>
        <w:t xml:space="preserve">18860807773</w:t>
      </w:r>
      <w:r/>
    </w:p>
    <w:p>
      <w:pPr>
        <w:ind w:left="0" w:right="0" w:firstLine="56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2.采购代理机构信息</w:t>
      </w:r>
      <w:r/>
    </w:p>
    <w:p>
      <w:pPr>
        <w:ind w:left="1079" w:right="0" w:hanging="300"/>
        <w:spacing w:before="0"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名 称：</w:t>
      </w:r>
      <w:r>
        <w:rPr>
          <w:rFonts w:hint="eastAsia" w:ascii="宋体" w:hAnsi="宋体" w:eastAsia="宋体" w:cs="宋体"/>
          <w:color w:val="000000"/>
          <w:sz w:val="24"/>
          <w:highlight w:val="none"/>
          <w:u w:val="single"/>
          <w:lang w:eastAsia="zh-CN"/>
        </w:rPr>
        <w:t xml:space="preserve">江苏宝恒项目管理咨询有限公司</w:t>
      </w:r>
      <w:r/>
    </w:p>
    <w:p>
      <w:pPr>
        <w:ind w:left="1079" w:right="0" w:hanging="300"/>
        <w:spacing w:before="0"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lang w:eastAsia="zh-CN"/>
        </w:rPr>
        <w:t xml:space="preserve">宿迁市宿豫区金融财富中心C座1501</w:t>
      </w:r>
      <w:r/>
    </w:p>
    <w:p>
      <w:pPr>
        <w:ind w:left="1079" w:right="0" w:hanging="300"/>
        <w:spacing w:before="0"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u w:val="single"/>
          <w:lang w:eastAsia="zh-CN"/>
        </w:rPr>
        <w:t xml:space="preserve">赵恋</w:t>
      </w:r>
      <w:r/>
    </w:p>
    <w:p>
      <w:pPr>
        <w:ind w:left="1079" w:right="0" w:hanging="300"/>
        <w:spacing w:before="0" w:after="0" w:line="85"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联系方式：</w:t>
      </w:r>
      <w:r>
        <w:rPr>
          <w:rFonts w:hint="eastAsia" w:ascii="宋体" w:hAnsi="宋体" w:eastAsia="宋体" w:cs="宋体"/>
          <w:color w:val="000000"/>
          <w:sz w:val="24"/>
          <w:highlight w:val="none"/>
          <w:u w:val="single"/>
          <w:lang w:eastAsia="zh-CN"/>
        </w:rPr>
        <w:t xml:space="preserve">18762196989</w:t>
      </w:r>
      <w:r/>
    </w:p>
    <w:p>
      <w:pPr>
        <w:ind w:left="0" w:right="0" w:firstLine="498"/>
        <w:jc w:val="both"/>
        <w:spacing w:before="145" w:after="145"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八、其他</w:t>
      </w:r>
      <w:r/>
    </w:p>
    <w:p>
      <w:pPr>
        <w:ind w:left="0" w:right="0" w:firstLine="480"/>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1.有关本次采购的事项若存在变动或修改，敬请及时关注“宿迁市政府采购网”等平台更正公告。</w:t>
      </w:r>
      <w:r/>
    </w:p>
    <w:p>
      <w:pPr>
        <w:ind w:left="0" w:right="0" w:firstLine="480"/>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2.本次磋商不收取磋商保证金。</w:t>
      </w:r>
      <w:r/>
    </w:p>
    <w:p>
      <w:pPr>
        <w:ind w:left="0" w:right="84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spacing w:before="260" w:after="260" w:line="98"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0" w:after="0"/>
        <w:rPr>
          <w:rFonts w:hint="eastAsia" w:ascii="宋体" w:hAnsi="宋体" w:eastAsia="宋体" w:cs="宋体"/>
          <w:color w:val="000000"/>
          <w:sz w:val="44"/>
          <w:highlight w:val="none"/>
        </w:rPr>
        <w:pBdr>
          <w:top w:val="none" w:color="000000" w:sz="0" w:space="0"/>
          <w:left w:val="none" w:color="000000" w:sz="0" w:space="0"/>
          <w:bottom w:val="none" w:color="000000" w:sz="0" w:space="0"/>
          <w:right w:val="none" w:color="000000" w:sz="0" w:space="0"/>
        </w:pBdr>
        <w:outlineLvl w:val="0"/>
      </w:pPr>
      <w:r/>
      <w:bookmarkStart w:id="1" w:name="_Toc24147"/>
      <w:r>
        <w:rPr>
          <w:rFonts w:hint="eastAsia" w:ascii="宋体" w:hAnsi="宋体" w:eastAsia="宋体" w:cs="宋体"/>
          <w:color w:val="000000"/>
          <w:sz w:val="44"/>
          <w:highlight w:val="none"/>
        </w:rPr>
        <w:t xml:space="preserve">第二章供应商须知</w:t>
      </w:r>
      <w:bookmarkEnd w:id="1"/>
      <w:r/>
      <w:r/>
    </w:p>
    <w:p>
      <w:pPr>
        <w:ind w:left="0" w:right="0" w:firstLine="498"/>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一、总则</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1、采购方式</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1.1本次政府采购活动采取竞争性磋商(以下简称磋商)方式，本磋商文件仅适用于磋商公告中所述项目。</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2、合格的供应商</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2.1满足磋商公告中供应商资格要求的规定。</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2.2满足本磋商文件实质性要求和条件的规定。</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3、适用法律</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3.1本次磋商及由此产生的合同受中华人民共和国有关的法律法规制约和保护。</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4、磋商费用</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4.1供应商应自行承担所有与参加本次磋商有关的费用，无论磋商过程中的做法和结果如何，采购代理机构在任何情况下均无义务和责任承担这些费用。</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4.2代理费用收取方式及标准：按以下第</w:t>
      </w:r>
      <w:r>
        <w:rPr>
          <w:rFonts w:hint="eastAsia" w:ascii="宋体" w:hAnsi="宋体" w:eastAsia="宋体" w:cs="宋体"/>
          <w:color w:val="000000"/>
          <w:sz w:val="24"/>
          <w:highlight w:val="none"/>
          <w:u w:val="single"/>
        </w:rPr>
        <w:t xml:space="preserve">4.2.2</w:t>
      </w:r>
      <w:r>
        <w:rPr>
          <w:rFonts w:hint="eastAsia" w:ascii="宋体" w:hAnsi="宋体" w:eastAsia="宋体" w:cs="宋体"/>
          <w:color w:val="000000"/>
          <w:sz w:val="24"/>
          <w:highlight w:val="none"/>
        </w:rPr>
        <w:t xml:space="preserve">种方式执行</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4.2.1无需支付；</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4.2.2采购人支付，具体方式及标准为：</w:t>
      </w:r>
      <w:r>
        <w:rPr>
          <w:rFonts w:hint="eastAsia" w:ascii="宋体" w:hAnsi="宋体" w:eastAsia="宋体" w:cs="宋体"/>
          <w:color w:val="000000"/>
          <w:sz w:val="24"/>
          <w:highlight w:val="none"/>
          <w:u w:val="single"/>
        </w:rPr>
        <w:t xml:space="preserve">采购人参照【苏招协2022】002号文规定标准支付代理费。注：支持使用数字人民币等方式。</w:t>
      </w:r>
      <w:r/>
    </w:p>
    <w:p>
      <w:pPr>
        <w:ind w:left="0" w:right="0" w:firstLine="60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5、</w:t>
      </w:r>
      <w:r>
        <w:rPr>
          <w:rFonts w:hint="eastAsia" w:ascii="宋体" w:hAnsi="宋体" w:eastAsia="宋体" w:cs="宋体"/>
          <w:color w:val="000000"/>
          <w:sz w:val="28"/>
          <w:highlight w:val="none"/>
        </w:rPr>
        <w:t xml:space="preserve">磋商文件的约束力</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5.1供应商一旦参加本项目采购活动，即被认为接受了本磋商文件的规定和约束。</w:t>
      </w:r>
      <w:r/>
    </w:p>
    <w:p>
      <w:pPr>
        <w:ind w:left="0" w:right="0" w:firstLine="321"/>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二、磋商文件</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6、磋商文件构成</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6.1磋商文件由以下部分组成：</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（1）磋商邀请</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（2）供应商须知</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（3）合同文本</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（4）采购需求</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（5）评审方法与评审标准</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（6）响应文件格式</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请仔细检查磋商文件是否齐全，如有缺漏请立即与采购代理机构联系解决。</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56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7、磋商文件的澄清</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7.1任何要求对磋商文件进行澄清的供应商，应在磋商截止期5日前按磋商公告中的通讯地址，以书面形式通知采购代理机构。</w:t>
      </w:r>
      <w:r/>
    </w:p>
    <w:p>
      <w:pPr>
        <w:ind w:left="0" w:right="0" w:firstLine="56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8、磋商文件的澄清和修改</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8.1采购代理机构可以以更正公告的形式，对已发出的磋商文件进行必要的澄清或者修改。澄清或者修改的内容可能影响响应文件编制的，更正公告应在提交首次响应文件截止时间至少5日前发出；不足5日的，采购代理机构应当顺延提交首次响应文件截止时间。</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8.2在响应文件提交截止时间前，采购代理机构可以对磋商文件进行修改。</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8.3采购代理机构有权按照法定的要求推迟响应文件递交截止日期和磋商日期。</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8.4磋商文件的修改将在原公告媒体上发布更正公告，更正公告内容将作为磋商文件的组成部分，并对供应商具有约束力，发布的更正公告视同为以书面形式通知所有获取招标文件的潜在投标人。</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8.5供应商应及时登录“苏采云”系统获取澄清答疑文件（修改后磋商文件），如因供应商原因未能及时下载澄清和修改后的磋商文件，由此造成的相关责任，由供应商承担。</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三、响应文件的编制</w:t>
      </w:r>
      <w:r/>
    </w:p>
    <w:p>
      <w:pPr>
        <w:ind w:left="0" w:right="0" w:firstLine="56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9、响应文件的语言及度量衡单位</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9.1供应商提交的响应文件以及供应商与采购代理机构就有关磋商的所有来往通知、函件和文件均应使用</w:t>
      </w:r>
      <w:r>
        <w:rPr>
          <w:rFonts w:hint="eastAsia" w:ascii="宋体" w:hAnsi="宋体" w:eastAsia="宋体" w:cs="宋体"/>
          <w:b/>
          <w:color w:val="000000"/>
          <w:sz w:val="24"/>
          <w:highlight w:val="none"/>
        </w:rPr>
        <w:t xml:space="preserve">简体中文</w:t>
      </w:r>
      <w:r>
        <w:rPr>
          <w:rFonts w:hint="eastAsia" w:ascii="宋体" w:hAnsi="宋体" w:eastAsia="宋体" w:cs="宋体"/>
          <w:color w:val="000000"/>
          <w:sz w:val="24"/>
          <w:highlight w:val="none"/>
        </w:rPr>
        <w:t xml:space="preserve">。</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9.2除技术性能另有规定外，响应文件所使用的度量衡单位，均须采用国家法定计量单位。</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10、响应文件构成</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10.1供应商应仔细阅读“磋商文件”的所有内容，按“磋商文件”第六章“响应文件格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各供应商在编制响应文件时请按照磋商文件第六章规定的格式进行，混乱的编排导致响应文件被误读或磋商小组查找不到有效文件是供应商的风险。</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10.2供应商编写的响应文件应包括资格证明文件、分项报价表、响应及偏离表、其他证明文件、磋商申请及声明函、开标一览表等部分。</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10.3响应文件须加盖电子签章之处，应按要求加盖供应商数字证书的电子签章。其他需要盖章但未明确要求电子签章的，供应商可按要求加盖公章后上传材料电子件或直接加盖电子签章。</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10.5如标书制作工具中格式和内容与“宿迁市政府采购网”发布的磋商文件不一致，请以“宿迁市政府采购网”发布的磋商文件为准。</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10.6成交后按相关要求提供与电子响应文件一致的纸质打印响应文件3份。</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11、证明磋商响应标的符合磋商文件规定的文件</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11.1供应商应按照磋商文件要求提交证明文件，证明其及磋商响应标的符合磋商文件规定。</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11.2磋商文件对证明文件无明确形式要求的，证明文件可以以文字资料、图纸和数据等形式提交。</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12、分项报价表</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12.1供应商应按照磋商文件规定格式填报分项报价表。</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12.2磋商货币。响应文件中的单价和总价无特殊规定的采用人民币报价，以元为单位标注。磋商文件中另有规定的按规定执行。</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12.3本项目不接受备选的投标方案或有选择的报价，只允许有一个报价。供应商响应文件中的报价作为首次报价，不公开；以最后报价作为评审价。投标报价内容包括：服务本身、人工费、服务费、税金等完成本项目所涉及到的一切相关费用。</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13、技术要求响应及偏离表、商务要求响应及偏离表</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13.1供应商需对磋商文件中的技术要求与商务要求逐项作出响应或偏离，并说明原因。</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13.2供应商可在响应文件中提供认为需要的其他技术文件或说明。</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14、服务承诺、培训计划、人员安排及其他</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14.2供应商需根据磋商文件要求提供培训计划。</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14.3供应商需根据磋商文件要求提供磋商响应标的的主要组成部分、功能设计、实现思路及关键技术等。</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15、磋商响应函</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15.1供应商应按照磋商文件中提供的格式完整、正确填写磋商响应函。</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16、磋商有效期</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16.1磋商有效期为提交响应文件截止之日后</w:t>
      </w:r>
      <w:r>
        <w:rPr>
          <w:rFonts w:hint="eastAsia" w:ascii="宋体" w:hAnsi="宋体" w:eastAsia="宋体" w:cs="宋体"/>
          <w:b/>
          <w:color w:val="000000"/>
          <w:sz w:val="24"/>
          <w:highlight w:val="none"/>
          <w:u w:val="single"/>
        </w:rPr>
        <w:t xml:space="preserve">六十（60）天</w:t>
      </w:r>
      <w:r>
        <w:rPr>
          <w:rFonts w:hint="eastAsia" w:ascii="宋体" w:hAnsi="宋体" w:eastAsia="宋体" w:cs="宋体"/>
          <w:color w:val="000000"/>
          <w:sz w:val="24"/>
          <w:highlight w:val="none"/>
        </w:rPr>
        <w:t xml:space="preserve">。磋商有效期比规定短的将被视为非实质性响应磋商文件而予以拒绝。</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17、磋商有效期的延长</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17.1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受磋商有效期约束的所有权利与义务均延长至新的有效期。</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17.2成交人的响应文件作为项目合同的附件，其有效期至成交人全部合同义务履行完毕为止。</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四、响应文件的递交</w:t>
      </w:r>
      <w:r/>
    </w:p>
    <w:p>
      <w:pPr>
        <w:ind w:left="0" w:right="0" w:firstLine="56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18、电子磋商响应文件的递交</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18.1供应商应当按照《操作手册》规定，在提交响应文件截止时间前制作并上传电子响应文件。</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left="0" w:right="0" w:firstLine="56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19、提交响应文件截止时间</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19.1供应商上传电子响应文件的时间不得迟于磋商公告中规定的提交响应文件截止时间。</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19.2采购代理机构可以按照规定，通过修改磋商文件酌情延长提交响应文件截止日期，在此情况下，供应商的所有权利和义务以及供应商受制的截止日期均应以延长后新的截止日期为准。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20、响应文件的拒收</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20.1采购代理机构拒绝接收在其规定的提交响应文件截止时间后上传的任何电子响应文件。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21、响应文件的撤回和修改</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21.1响应文件的撤回</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21.1.1电子响应文件的撤回</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供应商可在提交响应文件截止时间前，撤回其电子响应文件，具体操作方法见《操作手册》。</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21.1.2供应商撤回电子响应文件，则认为其不再参与本项目磋商活动。</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21.2响应文件的修改</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21.2.1供应商可在提交响应文件截止时间前，对其电子响应文件进行修改，具体操作方法见《操作手册》。</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21.2.2在提交响应文件截止时间之后，供应商不得对其电子响应文件作任何修改。</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21.3在提交响应文件截止时间至磋商文件中规定的磋商有效期满之间的这段时间内，供应商不得撤回其响应文件。</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五、响应文件的解密与评审</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22、响应文件解密</w:t>
      </w:r>
      <w:r/>
    </w:p>
    <w:p>
      <w:pPr>
        <w:ind w:left="0" w:right="0" w:firstLine="36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22.1供应商应当按照《“苏采云”系统供应商操作手册》规定，参加磋商活动和在苏采云系统规定的时间内对磋商响应文件进行解密。</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23、磋商小组</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23.1采购代理机构将组织磋商小组对响应文件进行评审。磋商小组由采购人代表和有关技术、经济等方面的专家组成，且人员构成符合政府采购有关规定。</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23.2磋商小组独立工作，负责评审所有响应文件并确定成交供应商。</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24、评审过程的保密与公正</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24.1磋商小组、采购人和采购代理机构工作人员、相关监督人员等与评审工作有关的人员，对评审情况以及在评审过程中获悉的国家秘密、商业秘密负有保密责任。</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24.2在评审过程中，供应商不得以任何行为影响磋商评审过程，否则其响应文件将被作为无效响应文件。</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24.3在项目评审期间，采购代理机构将设专门人员与供应商联系。</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24.4采购代理机构和磋商小组不向未成交的供应商解释未成交原因，也不公布评审过程中的相关细节。</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25、评审过程中的澄清</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磋商小组并非对每个供应商都作澄清要求。</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25.2需要供应商进行澄清、说明和更正的，本项目供应商的澄清、说明或者补正采用线上澄清，磋商小组将通过苏采云系统向供应商发布“澄清要求函”，接到“澄清要求函”的供应商应当按照要求在规定时间内通过苏采云系统中提交“澄清响应函”并加盖CA电子公章。澄清、说明和更正的内容作为响应文件的补充部分，具体操作方式见《操作手册》。</w:t>
      </w:r>
      <w:r/>
    </w:p>
    <w:p>
      <w:pPr>
        <w:ind w:left="0" w:right="0" w:firstLine="480"/>
        <w:jc w:val="both"/>
        <w:spacing w:before="0" w:after="0"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25.3接到磋商小组澄清、说明和更正要求的供应商如未按规定做出澄清、说明和更正，其风险由供应商自行承担。</w:t>
      </w:r>
      <w:r/>
    </w:p>
    <w:p>
      <w:pPr>
        <w:pStyle w:val="802"/>
        <w:ind w:firstLine="540"/>
        <w:rPr>
          <w:rFonts w:hint="eastAsia" w:ascii="宋体" w:hAnsi="宋体" w:eastAsia="宋体" w:cs="宋体"/>
          <w:sz w:val="24"/>
          <w:highlight w:val="none"/>
        </w:rPr>
      </w:pPr>
      <w:r>
        <w:rPr>
          <w:rFonts w:hint="eastAsia" w:ascii="宋体" w:hAnsi="宋体" w:eastAsia="宋体" w:cs="宋体"/>
          <w:sz w:val="24"/>
          <w:highlight w:val="none"/>
        </w:rPr>
        <w:t xml:space="preserve">25.4异常低价响应审查</w:t>
      </w:r>
      <w:r/>
    </w:p>
    <w:p>
      <w:pPr>
        <w:pStyle w:val="802"/>
        <w:ind w:firstLine="540"/>
        <w:rPr>
          <w:rFonts w:hint="eastAsia" w:ascii="宋体" w:hAnsi="宋体" w:eastAsia="宋体" w:cs="宋体"/>
          <w:sz w:val="24"/>
          <w:highlight w:val="none"/>
        </w:rPr>
      </w:pPr>
      <w:r>
        <w:rPr>
          <w:rFonts w:hint="eastAsia" w:ascii="宋体" w:hAnsi="宋体" w:eastAsia="宋体" w:cs="宋体"/>
          <w:sz w:val="24"/>
          <w:highlight w:val="none"/>
        </w:rPr>
        <w:t xml:space="preserve">25.4.1评审过程中出现下列情形之一的，评审小组应当启动异常低价响应审查程序：</w:t>
      </w:r>
      <w:r/>
    </w:p>
    <w:p>
      <w:pPr>
        <w:pStyle w:val="802"/>
        <w:ind w:firstLine="540"/>
        <w:rPr>
          <w:rFonts w:hint="eastAsia" w:ascii="宋体" w:hAnsi="宋体" w:eastAsia="宋体" w:cs="宋体"/>
          <w:sz w:val="24"/>
          <w:highlight w:val="none"/>
        </w:rPr>
      </w:pPr>
      <w:r>
        <w:rPr>
          <w:rFonts w:hint="eastAsia" w:ascii="宋体" w:hAnsi="宋体" w:eastAsia="宋体" w:cs="宋体"/>
          <w:sz w:val="24"/>
          <w:highlight w:val="none"/>
        </w:rPr>
        <w:t xml:space="preserve">（1）最后报价低于采购项目预算50%的，即最后报价＜采购项目预算×50%；</w:t>
      </w:r>
      <w:r/>
    </w:p>
    <w:p>
      <w:pPr>
        <w:pStyle w:val="802"/>
        <w:ind w:firstLine="540"/>
        <w:rPr>
          <w:rFonts w:hint="eastAsia" w:ascii="宋体" w:hAnsi="宋体" w:eastAsia="宋体" w:cs="宋体"/>
          <w:sz w:val="24"/>
          <w:highlight w:val="none"/>
        </w:rPr>
      </w:pPr>
      <w:r>
        <w:rPr>
          <w:rFonts w:hint="eastAsia" w:ascii="宋体" w:hAnsi="宋体" w:eastAsia="宋体" w:cs="宋体"/>
          <w:sz w:val="24"/>
          <w:highlight w:val="none"/>
        </w:rPr>
        <w:t xml:space="preserve">（2）最后报价低于采购项目最高限价45%的，即最后报价＜采购项目最高限价×45%；</w:t>
      </w:r>
      <w:r/>
    </w:p>
    <w:p>
      <w:pPr>
        <w:pStyle w:val="802"/>
        <w:ind w:firstLine="540"/>
        <w:rPr>
          <w:rFonts w:hint="eastAsia" w:ascii="宋体" w:hAnsi="宋体" w:eastAsia="宋体" w:cs="宋体"/>
          <w:sz w:val="24"/>
          <w:highlight w:val="none"/>
        </w:rPr>
      </w:pPr>
      <w:r>
        <w:rPr>
          <w:rFonts w:hint="eastAsia" w:ascii="宋体" w:hAnsi="宋体" w:eastAsia="宋体" w:cs="宋体"/>
          <w:sz w:val="24"/>
          <w:highlight w:val="none"/>
        </w:rPr>
        <w:t xml:space="preserve">（3）评审小组认定的供应商最后报价过低（含明显低于其他通过符合性审查供应商的最后报价）、有可能影响产品质量或者不能诚信履约的其他情形。</w:t>
      </w:r>
      <w:r/>
    </w:p>
    <w:p>
      <w:pPr>
        <w:ind w:left="0" w:right="0" w:firstLine="480"/>
        <w:jc w:val="both"/>
        <w:spacing w:before="0" w:after="0" w:line="559" w:lineRule="atLeast"/>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highlight w:val="none"/>
        </w:rPr>
        <w:t xml:space="preserve">25.4.2启动异常低价响应审查后，评审小组应当要求相关投标人在合理的时间内，提供项目具体成本测算等与报价合理性相关的书面说明材料及相关证明材料，对最后价格作出解释，由评审小组结合同类产品在主要电商平台的价格、该行业当地薪资水平等情况，依据专业经验对投标人报价合理性进行判断。投标人不提供书面说明、证明材料，或者提供的书面说明、证明材料不能证明其报价合理性的，评审小组应当将其作为无效响应处理。审查相关情况应当在评标报告中进行记录。</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26、对响应文件的审查</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26.1响应文件审查分为资格审查和符合性审查。</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26.1.1资格审查：由磋商小组依据法律法规和磋商文件的规定，对响应文件中的资格证明文件进行审查，以确定供应商是否具备参加磋商的资格。</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26.1.2符合性审查：依据磋商文件的规定，由磋商小组从响应文件的有效性、完整性和对磋商文件的响应程度进行审查，以确定是否对磋商文件的实质性要求作出响应。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26.3未实质性响应磋商文件的情形</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26.3.1供应商在苏采云系统规定的时间内未成功解密电子响应文件的。</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26.3.2供应商未按照磋商文件要求上传电子响应文件的。</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26.3.3同一供应商提交两个（含两个）以上不同的响应文件或者最后报价的。</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26.3.4供应商不具备磋商文件中规定资格要求的。</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26.3.5供应商的最后报价超过了采购预算。</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26.3.6不符合磋商文件中规定的实质性要求和条件的（</w:t>
      </w:r>
      <w:r>
        <w:rPr>
          <w:rFonts w:hint="eastAsia" w:ascii="宋体" w:hAnsi="宋体" w:eastAsia="宋体" w:cs="宋体"/>
          <w:i/>
          <w:color w:val="000000"/>
          <w:sz w:val="24"/>
          <w:highlight w:val="none"/>
          <w:u w:val="single"/>
        </w:rPr>
        <w:t xml:space="preserve">加斜体下划线内容或打“★”内容为实质性要求和条件）。</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26.3.8响应文件含有采购人不能接受的附加条件的。</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26.3.10响应文件未按照磋商文件要求加盖CA电子公章的。</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26.4未实质性响应磋商文件的响应文件按无效响应处理。</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26.6供应商在项目评审全过程中应保持通讯畅通，并安排专人与采购代理机构及磋商小组联系。</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27、磋商程序及评审方法和评审标准</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27.1磋商程序</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80"/>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最后报价是供应商响应文件的有效组成部分。符合《政府采购竞争性磋商采购方式暂行办法》第三条第一款第四项及《财政部关于竞争性磋商采购方式管理暂行办法有关问题的补充通知》（财库[2015]124号）规定情形的，提交最后报价的供应商可以为2家。</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27.2评审方法和评审标准</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27.2.2评审标准</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见本磋商文件第五章规定。</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27.3采购活动终止的情况</w:t>
      </w:r>
      <w:r/>
    </w:p>
    <w:p>
      <w:pPr>
        <w:ind w:left="0" w:right="0" w:firstLine="360"/>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出现下列情形之一的，本次竞争性磋商采购活动将被终止：</w:t>
      </w:r>
      <w:r/>
    </w:p>
    <w:p>
      <w:pPr>
        <w:ind w:left="0" w:right="0" w:firstLine="360"/>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27.3.1因情况变化，不再符合规定的竞争性磋商采购方式适用情形的。</w:t>
      </w:r>
      <w:r/>
    </w:p>
    <w:p>
      <w:pPr>
        <w:ind w:left="0" w:right="0" w:firstLine="360"/>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27.3.2出现影响采购公正的违法、违规行为的。</w:t>
      </w:r>
      <w:r/>
    </w:p>
    <w:p>
      <w:pPr>
        <w:ind w:left="0" w:right="0" w:firstLine="360"/>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27.3.4在苏采云系统规定时间内成功解密电子响应文件的供应商不足3家的。</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六、成交</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28、确定成交单位</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28.2采购人从评审报告提出的成交候选供应商中，按照排序由高到低的原则确定成交供应商。</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按以下第</w:t>
      </w:r>
      <w:r>
        <w:rPr>
          <w:rFonts w:hint="eastAsia" w:ascii="宋体" w:hAnsi="宋体" w:eastAsia="宋体" w:cs="宋体"/>
          <w:color w:val="000000"/>
          <w:sz w:val="24"/>
          <w:highlight w:val="none"/>
          <w:u w:val="single"/>
        </w:rPr>
        <w:t xml:space="preserve">（1）</w:t>
      </w:r>
      <w:r>
        <w:rPr>
          <w:rFonts w:hint="eastAsia" w:ascii="宋体" w:hAnsi="宋体" w:eastAsia="宋体" w:cs="宋体"/>
          <w:color w:val="000000"/>
          <w:sz w:val="24"/>
          <w:highlight w:val="none"/>
        </w:rPr>
        <w:t xml:space="preserve">种方式确定成交供应商</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（1）磋商小组直接确定排名第一的成交候选供应商为成交供应商；</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（2）采购人从评审报告提出的成交候选供应商中按顺序确定成交供应商。</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按第2种方式确定成交供应商的，采购代理机构自评审结束之日起两个工作日内将评审报告送交采购人，采购人自收到评审报告之日起五个工作日内在评审报告推荐的成交候选供应商中按顺序确定成交供应商。</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28.3成交供应商确定后，采购代理机构将在“宿迁市政府采购网”发布成交结果公告，公告期限为1个工作日。</w:t>
      </w:r>
      <w:r/>
    </w:p>
    <w:p>
      <w:pPr>
        <w:ind w:left="0" w:right="0" w:firstLine="477"/>
        <w:jc w:val="both"/>
        <w:spacing w:before="0" w:after="0" w:line="559" w:lineRule="atLeast"/>
        <w:tabs>
          <w:tab w:val="left" w:pos="90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28.4若有充分证据证明，成交供应商出现下列情况之一的，一经查实，将被取消成交资格：</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28.4.1提供虚假材料谋取成交的。</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28.4.2与评审专家、采购人、其他供应商或者采购代理机构工作人员恶意串通的。</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28.4.3向评审专家、采购人或采购代理机构工作人员行贿或者提供其他不正当利益的。</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28.4.4恶意竞争，最后报价明显低于其自身合理成本且又无法提供证明的。</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28.4.5不满足本磋商文件规定的实质性要求，但在评审过程中又未被磋商小组发现的。</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28.4.6成交后无正当理由拒不与采购人签订政府采购合同或者未按照磋商文件确定的事项签订政府采购合同的。</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28.4.7将政府采购合同转包的。</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29、质疑处理</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29.1提出质疑的供应商应当是参与所质疑项目采购活动的供应商。潜在供应商依法获取其可质疑的采购文件的，可以对采购文件提出质疑。</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29.2.1对可以质疑的采购文件提出质疑的，为收到采购文件之日或者采购文件公告期限届满之日。</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29.2.2对采购过程提出质疑的，为各采购程序环节结束之日。</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29.2.3对成交结果提出质疑的，为成交结果公告期限届满之日。</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29.4供应商应以书面形式向采购人或者其委托的采购代理机构提出质疑。质疑超出采购机构代理范围的，供应商应当向采购人提出。</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接收质疑函的方式：平台线上接收或现场接收或邮寄接收。</w:t>
      </w:r>
      <w:r/>
    </w:p>
    <w:p>
      <w:pPr>
        <w:ind w:left="0" w:right="0" w:firstLine="480"/>
        <w:jc w:val="both"/>
        <w:spacing w:before="0" w:after="0" w:line="55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联系部门：</w:t>
      </w:r>
      <w:r>
        <w:rPr>
          <w:rFonts w:hint="eastAsia" w:ascii="宋体" w:hAnsi="宋体" w:eastAsia="宋体" w:cs="宋体"/>
          <w:color w:val="000000"/>
          <w:sz w:val="24"/>
          <w:highlight w:val="none"/>
          <w:u w:val="single"/>
        </w:rPr>
        <w:t xml:space="preserve">宿迁市宿城区环境卫生综合服务中心/</w:t>
      </w:r>
      <w:r>
        <w:rPr>
          <w:rFonts w:hint="eastAsia" w:ascii="宋体" w:hAnsi="宋体" w:eastAsia="宋体" w:cs="宋体"/>
          <w:color w:val="000000"/>
          <w:sz w:val="24"/>
          <w:highlight w:val="none"/>
          <w:u w:val="single"/>
          <w:lang w:eastAsia="zh-CN"/>
        </w:rPr>
        <w:t xml:space="preserve">江苏宝恒项目管理咨询有限公司</w:t>
      </w:r>
      <w:r/>
    </w:p>
    <w:p>
      <w:pPr>
        <w:ind w:left="0" w:right="0" w:firstLine="480"/>
        <w:jc w:val="both"/>
        <w:spacing w:before="0" w:after="0" w:line="55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18860807773/</w:t>
      </w:r>
      <w:r>
        <w:rPr>
          <w:rFonts w:hint="eastAsia" w:ascii="宋体" w:hAnsi="宋体" w:eastAsia="宋体" w:cs="宋体"/>
          <w:color w:val="000000"/>
          <w:sz w:val="24"/>
          <w:highlight w:val="none"/>
          <w:u w:val="single"/>
          <w:lang w:eastAsia="zh-CN"/>
        </w:rPr>
        <w:t xml:space="preserve">18762196989</w:t>
      </w:r>
      <w:r/>
    </w:p>
    <w:p>
      <w:pPr>
        <w:ind w:left="0" w:right="0" w:firstLine="480"/>
        <w:jc w:val="both"/>
        <w:spacing w:before="0" w:after="0" w:line="559" w:lineRule="atLeast"/>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通讯地址：</w:t>
      </w:r>
      <w:r>
        <w:rPr>
          <w:rFonts w:hint="eastAsia" w:ascii="宋体" w:hAnsi="宋体" w:eastAsia="宋体" w:cs="宋体"/>
          <w:color w:val="000000"/>
          <w:sz w:val="24"/>
          <w:highlight w:val="none"/>
          <w:u w:val="single"/>
        </w:rPr>
        <w:t xml:space="preserve">宿城区新区商务大厦911室/</w:t>
      </w:r>
      <w:r>
        <w:rPr>
          <w:rFonts w:hint="eastAsia" w:ascii="宋体" w:hAnsi="宋体" w:eastAsia="宋体" w:cs="宋体"/>
          <w:color w:val="000000"/>
          <w:sz w:val="24"/>
          <w:highlight w:val="none"/>
          <w:u w:val="single"/>
          <w:lang w:eastAsia="zh-CN"/>
        </w:rPr>
        <w:t xml:space="preserve">宿迁市宿豫区金融财富中心C座1501</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29.5以下情形的质疑不予受理</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29.5.1内容不符合《政府采购质疑和投诉办法》第十二条规定的质疑。</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29.5.2超出政府采购法定期限的质疑。</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29.5.3以传真、电子邮件等方式递交的非原件形式的质疑。</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29.5.4未参加磋商活动的供应商或在磋商活动中自身权益未受到损害的供应商所提出的质疑。</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29.5.5供应商组成联合体参加磋商，联合体中任何一方或多方未按要求签字、盖章、加盖公章的质疑。</w:t>
      </w:r>
      <w:r/>
    </w:p>
    <w:p>
      <w:pPr>
        <w:ind w:left="0" w:right="0" w:firstLine="468"/>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left="0" w:right="0" w:firstLine="468"/>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30、成交通知书</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30.1成交结果确定后，采购代理机构将向成交供应商发出成交通知书。请成交供应商使用CA数字证书登录“苏采云系统”及时下载成交通知书。成交供应商可自行下载打印《成交通知书》，《成交通知书》将作为授予合同资格的唯一合法依据。</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七、授予合同</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31.签订合同</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31.l成交供应商应当在成交通知书发出之日起15日内，按照磋商文件确定的事项与采购人签订政府采购合同。</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31.2磋商文件、成交供应商的响应文件及磋商过程中有关澄清、承诺文件均应作为合同附件。</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31.4本项目的非主体、非关键性工作是否允许分包按以下第</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rPr>
        <w:t xml:space="preserve">种方式确定：</w:t>
      </w:r>
      <w:r/>
    </w:p>
    <w:p>
      <w:pPr>
        <w:ind w:left="0" w:right="0" w:firstLine="7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1.允许分包，允许大中型企业向一家或者多家小微企业分包，分包具体内容、金额或比例：</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2.不允许分包。未经采购人同意，成交供应商也不得采用分包形式履行合同,否则采购人有权终止合同。转包或分包造成采购人损失的，成交供应商应承担相应赔偿责任。</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31.5履约保证金</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按照以下第</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rPr>
        <w:t xml:space="preserve">方式确定履约保证收取方式。</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(1)不收取履约保证金。</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(2)履约保证金应在采购合同签订前提交，履约保证金的金额按采购合同总价的</w:t>
      </w:r>
      <w:r>
        <w:rPr>
          <w:rFonts w:hint="eastAsia" w:ascii="宋体" w:hAnsi="宋体" w:eastAsia="宋体" w:cs="宋体"/>
          <w:color w:val="0000ff"/>
          <w:sz w:val="24"/>
          <w:highlight w:val="none"/>
        </w:rPr>
        <w:t xml:space="preserve">2%</w:t>
      </w:r>
      <w:r>
        <w:rPr>
          <w:rFonts w:hint="eastAsia" w:ascii="宋体" w:hAnsi="宋体" w:eastAsia="宋体" w:cs="宋体"/>
          <w:color w:val="000000"/>
          <w:sz w:val="24"/>
          <w:highlight w:val="none"/>
        </w:rPr>
        <w:t xml:space="preserve">（使用江苏政府采购电子履约保函（保险）代缴纳履约保证金，按采购合同价的</w:t>
      </w:r>
      <w:r>
        <w:rPr>
          <w:rFonts w:hint="eastAsia" w:ascii="宋体" w:hAnsi="宋体" w:eastAsia="宋体" w:cs="宋体"/>
          <w:color w:val="0000ff"/>
          <w:sz w:val="24"/>
          <w:highlight w:val="none"/>
        </w:rPr>
        <w:t xml:space="preserve">1.2%</w:t>
      </w:r>
      <w:r>
        <w:rPr>
          <w:rFonts w:hint="eastAsia" w:ascii="宋体" w:hAnsi="宋体" w:eastAsia="宋体" w:cs="宋体"/>
          <w:color w:val="000000"/>
          <w:sz w:val="24"/>
          <w:highlight w:val="none"/>
        </w:rPr>
        <w:t xml:space="preserve">）计取。除银行电汇、网上银行、数字人民币外，投标人还可选用银行保函、担保公司的保证担保或保险公司的保证保险等多种形式向招标人缴纳；</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履约保证金退还的条件：按以下第</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种方式实行：</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a、货物类项目，项目验收合格，出具验收报告及履约保证金收据申请退付；</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b、服务类项目，项目履约期满评价合格，出具履约评价报告及履约保证金收据申请退付；</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c、工程类项目，项目完工验收合格，出具完工证明及履约保证金收据申请退付；</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履约保证金退还时间：采购单位收到供应商退付申请后5个工作日内退还；</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逾期退还履约保证金的违约责任：除应当退还履约保证金外，还应当按中国人民银行同期贷款基准利率上浮20％后的利率支付超期资金占用费，但因供应商自身原因导致无法及时退还的除外。</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32、标的物的追加</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0"/>
          <w:highlight w:val="none"/>
        </w:rPr>
        <w:t xml:space="preserve">33、政府采购履约资金扶持政策</w:t>
      </w:r>
      <w:r/>
    </w:p>
    <w:p>
      <w:pPr>
        <w:ind w:left="0" w:right="0" w:firstLine="42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33.1依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w:t>
      </w:r>
      <w:r/>
    </w:p>
    <w:p>
      <w:pPr>
        <w:ind w:left="0" w:right="0" w:firstLine="60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34、验收及付款</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34.2采购人可以邀请参加本项目的其他供应商或者第三方机构参与验收。参与验收的供应商或者第三方机构的意见作为验收书的参考资料一并存档。</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35、付款</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按照以下</w:t>
      </w:r>
      <w:r>
        <w:rPr>
          <w:rFonts w:hint="eastAsia" w:ascii="宋体" w:hAnsi="宋体" w:eastAsia="宋体" w:cs="宋体"/>
          <w:color w:val="000000"/>
          <w:sz w:val="24"/>
          <w:highlight w:val="none"/>
          <w:u w:val="single"/>
        </w:rPr>
        <w:t xml:space="preserve">(2)</w:t>
      </w:r>
      <w:r>
        <w:rPr>
          <w:rFonts w:hint="eastAsia" w:ascii="宋体" w:hAnsi="宋体" w:eastAsia="宋体" w:cs="宋体"/>
          <w:color w:val="000000"/>
          <w:sz w:val="24"/>
          <w:highlight w:val="none"/>
        </w:rPr>
        <w:t xml:space="preserve">类项目确定的付款方式，采购人及时办理付款手续。对于满足合同约定支付条件的，自收到发票后10个工作日内将资金支付到合同约定的供应商账户或供应商数字人民币账户。</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（1）货物类项目</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预付款：合同金额的</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%，合同签订后按规定支付； </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进度款：</w:t>
      </w:r>
      <w:r>
        <w:rPr>
          <w:rFonts w:hint="eastAsia" w:ascii="宋体" w:hAnsi="宋体" w:eastAsia="宋体" w:cs="宋体"/>
          <w:color w:val="000000"/>
          <w:sz w:val="24"/>
          <w:highlight w:val="none"/>
          <w:u w:val="single"/>
        </w:rPr>
        <w:t xml:space="preserve"> / 。</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（2）服务类项目</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预付款：合同金额的</w:t>
      </w:r>
      <w:r>
        <w:rPr>
          <w:rFonts w:hint="eastAsia" w:ascii="宋体" w:hAnsi="宋体" w:eastAsia="宋体" w:cs="宋体"/>
          <w:color w:val="000000"/>
          <w:sz w:val="24"/>
          <w:highlight w:val="none"/>
          <w:u w:val="single"/>
        </w:rPr>
        <w:t xml:space="preserve"> 10 </w:t>
      </w:r>
      <w:r>
        <w:rPr>
          <w:rFonts w:hint="eastAsia" w:ascii="宋体" w:hAnsi="宋体" w:eastAsia="宋体" w:cs="宋体"/>
          <w:color w:val="000000"/>
          <w:sz w:val="24"/>
          <w:highlight w:val="none"/>
        </w:rPr>
        <w:t xml:space="preserve">%，合同签订后按规定支付；</w:t>
      </w:r>
      <w:r/>
    </w:p>
    <w:p>
      <w:pPr>
        <w:ind w:left="0" w:right="0" w:firstLine="482"/>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进度款：</w:t>
      </w:r>
      <w:r>
        <w:rPr>
          <w:rFonts w:hint="eastAsia" w:ascii="宋体" w:hAnsi="宋体" w:eastAsia="宋体" w:cs="宋体"/>
          <w:color w:val="000000"/>
          <w:sz w:val="24"/>
          <w:highlight w:val="none"/>
          <w:u w:val="single"/>
        </w:rPr>
        <w:t xml:space="preserve">采取按月拨付管养费用方式，每月初对上个月管养情况进行考核汇总，根据考核结果成交供应商开具正规发票连同相关单据交给采购人审核，采购人按财务管理制度审核无误后，应及时报上级财务部门申请资金给予支付，收到成交供应商发票后10个工作日内支付上月考核费用。</w:t>
      </w:r>
      <w:r/>
    </w:p>
    <w:p>
      <w:pPr>
        <w:numPr>
          <w:ilvl w:val="0"/>
          <w:numId w:val="2"/>
        </w:numPr>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工程类项目</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预付款：合同金额的</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%，合同签订后按规定支付； </w:t>
      </w:r>
      <w:r/>
    </w:p>
    <w:p>
      <w:pPr>
        <w:ind w:left="0" w:right="0" w:firstLine="482"/>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进度款：</w:t>
      </w:r>
      <w:r>
        <w:rPr>
          <w:rFonts w:hint="eastAsia" w:ascii="宋体" w:hAnsi="宋体" w:eastAsia="宋体" w:cs="宋体"/>
          <w:color w:val="000000"/>
          <w:sz w:val="24"/>
          <w:highlight w:val="none"/>
          <w:u w:val="single"/>
        </w:rPr>
        <w:t xml:space="preserve">              /            </w:t>
      </w:r>
      <w:r>
        <w:rPr>
          <w:rFonts w:hint="eastAsia" w:ascii="宋体" w:hAnsi="宋体" w:eastAsia="宋体" w:cs="宋体"/>
          <w:color w:val="000000"/>
          <w:sz w:val="24"/>
          <w:highlight w:val="none"/>
        </w:rPr>
        <w:t xml:space="preserve">。</w:t>
      </w:r>
      <w:r/>
    </w:p>
    <w:p>
      <w:pPr>
        <w:ind w:left="0" w:right="0" w:firstLine="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注：在签订合同时，成交人明确表示无需预付款或者主动要求降低预付款比例的金额，采购人可不适用预付款规定。</w:t>
      </w:r>
      <w:r/>
    </w:p>
    <w:p>
      <w:pPr>
        <w:ind w:left="0" w:right="0" w:firstLine="264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0" w:after="0"/>
        <w:rPr>
          <w:rFonts w:hint="eastAsia" w:ascii="宋体" w:hAnsi="宋体" w:eastAsia="宋体" w:cs="宋体"/>
          <w:color w:val="000000"/>
          <w:sz w:val="44"/>
          <w:highlight w:val="none"/>
        </w:rPr>
        <w:pBdr>
          <w:top w:val="none" w:color="000000" w:sz="0" w:space="0"/>
          <w:left w:val="none" w:color="000000" w:sz="0" w:space="0"/>
          <w:bottom w:val="none" w:color="000000" w:sz="0" w:space="0"/>
          <w:right w:val="none" w:color="000000" w:sz="0" w:space="0"/>
        </w:pBdr>
        <w:outlineLvl w:val="0"/>
      </w:pPr>
      <w:r/>
      <w:bookmarkStart w:id="2" w:name="_Toc13155"/>
      <w:r>
        <w:rPr>
          <w:rFonts w:hint="eastAsia" w:ascii="宋体" w:hAnsi="宋体" w:eastAsia="宋体" w:cs="宋体"/>
          <w:color w:val="000000"/>
          <w:sz w:val="44"/>
          <w:highlight w:val="none"/>
        </w:rPr>
        <w:t xml:space="preserve">第三章合同文本</w:t>
      </w:r>
      <w:bookmarkEnd w:id="2"/>
      <w:r/>
      <w:r/>
    </w:p>
    <w:p>
      <w:pPr>
        <w:ind w:left="0" w:right="0" w:firstLine="480"/>
        <w:jc w:val="both"/>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以下为成交后签定本项目合同的通用条款，成交供应商不得提出实质性的修改。</w:t>
      </w:r>
      <w:r/>
    </w:p>
    <w:p>
      <w:pPr>
        <w:ind w:left="0" w:right="0" w:firstLine="0"/>
        <w:jc w:val="center"/>
        <w:spacing w:before="145" w:after="145"/>
        <w:rPr>
          <w:rFonts w:hint="eastAsia" w:ascii="宋体" w:hAnsi="宋体" w:eastAsia="宋体" w:cs="宋体"/>
          <w:b/>
          <w:color w:val="000000"/>
          <w:sz w:val="3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0"/>
          <w:highlight w:val="none"/>
        </w:rPr>
        <w:t xml:space="preserve">政府采购合同（合同编号）</w:t>
      </w:r>
      <w:r/>
    </w:p>
    <w:p>
      <w:pPr>
        <w:ind w:left="0" w:right="0" w:firstLine="480"/>
        <w:jc w:val="both"/>
        <w:spacing w:before="145" w:after="145"/>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采购单位（全称）：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u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简称甲方） </w:t>
      </w:r>
      <w:r/>
    </w:p>
    <w:p>
      <w:pPr>
        <w:ind w:right="0" w:firstLine="480"/>
        <w:jc w:val="both"/>
        <w:spacing w:before="0" w:after="0" w:line="85" w:lineRule="atLeast"/>
        <w:tabs>
          <w:tab w:val="left" w:pos="936" w:leader="none"/>
        </w:tabs>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成交供应商（全称）：</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（简称乙方）</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依照《中华人民共和国政府采购法》、《中华人民共和国民法典》及其他有关法律、行政法规，遵循平等、自愿、公平和诚实信用的原则，双方就编号为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相关事项协商一致，达成如下合同条款：</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一、采购项目概况</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本次采购内容：本次招标共分二个分包，其中分包</w:t>
      </w:r>
      <w:r>
        <w:rPr>
          <w:rFonts w:hint="eastAsia" w:ascii="宋体" w:hAnsi="宋体" w:eastAsia="宋体" w:cs="宋体"/>
          <w:color w:val="auto"/>
          <w:sz w:val="24"/>
          <w:highlight w:val="none"/>
        </w:rPr>
        <w:t xml:space="preserve">一：位于宿城经济开发区西片区，包括箭鹿大道，丁七路，科兴路，科创路，耿龙路，古城路，科工路，复旦路，隆锦路，科苑路，纬一路，纬二路，勇进路等道路两侧，铂金美寓南门，电子电器产业园内，宿迁市城区开发投资公司院内等，共约668176.50平方绿化养护。分包二：项目位于宿城经济开发区南片区：包括鸿运路，创业路，建业路，宏业路，轩辕路，敬业路，伟业路，九洲路，华夏大道，四海路，粮食城，民渠路，创业园，吴宿路，振兴路，吴风路，宿湖路，南一路，织锦路，御水家园北侧，支一路，支二路等，共约313208.69平方绿化管养。</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主要包括绿化整形与修剪、病虫害防治、松土与除草、施肥、支撑、防护与涂白，切边与留积水穴，复壮、管养期内苗木死亡补植、原有苗木移植、标段内土方微调、黄土露天整改、过密绿化的修剪和调整、绿地保洁（含落叶清理）、绿化苗木浇灌与排水、现场及后期移交的相关园林景观设施（含标牌、垃圾桶、座椅、花架花箱等）的保护、保洁和维修、刷漆出新、绿地内硬质铺装的维护保洁，草坪复播，部分草花播种栽植，绿地秩序维护等。</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（二）年度养护内容主要包括：</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日常养护：绿地环境清理，所有各类植物养护，包括绿化苗木浇灌与排水、整形与修剪、病虫害防治、松土与除草、施肥（基肥与追肥）、树木涂白，切边与留积水穴，弱苗复壮，树木防护、支撑、裹干物整理，宿根花卉等其他各类植物补植、修剪整理与养护，绿地防火、绿化巡查等绿地防护工作；</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2、草坪更新（铺设）与复播，每年及时对标段内退化草坪进行更新（铺设），确保草坪观赏效果；秋季及时进行黑麦草复播，延长冬季草坪绿色期；</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3、黄土露天整改：包括人行踩踏处理、退化植被更新等，林下耐荫苗木更新栽植等。</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4、管养期内苗木死亡补植、原有苗木移植、标段内土方微调等；</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绿地内硬质铺装、园路、坐凳、廊架栏杆、假山叠石等所有各类设施的保洁、保养维护、损坏维修或出新，如管养期内在管养范围内按上级要求接收管护的相关雕塑、小品、标识标牌等设施，纳入管养范围，费用不另外增加；</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6、服从甲方工作调遣，及时开展临时交办的绿化养护相关工作,如相关调查、信息汇总以及其他临时交办任务；及时高效处理应急抢险工作、数字城管工单及其他各项交办事项。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（三）主要清单及养护要求（苗木数量具体以养护现场为准）。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除苗木外，花箱、花钵、花架、坐凳、铺装等园林景观设施也在养护范围内。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签订时按照所属分包根据采购需求添加。</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二、合同价款</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合同总价款：固定总价人民币（大写）：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，（小写）：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三、服务期限</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合同履约期限：自合同签订之日起一年，自</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月</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日止。</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四、服务标准</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符合《江苏省城市园林植物养护管理规范及分级标准（202210）》二级标准、《江苏省城市园林建筑和设施维护管理规范》相关要求，按照《宿迁市园林绿化养护管理标准》二级标准、《宿迁市城市绿地养护管理工作月历》要求进行养护。</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五、甲方权利与义务</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1、审定乙方制定的管理制度、计划、方案等；</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2、制定管理考核评分办法，并定期考核乙方管理工作的执行情况；</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3、按合同规定及考核结果支付乙方服务费用；</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4、提供乙方进行管理服务所必须的水、电供应；</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5、法规、政策规定由甲方承担的其他责任。</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六、乙方权利与义务</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1、根据有关法律、法规、本项目招标文件、合同规定及本项目实际情况，建立适用于本项目实际情况的各项管理制度及计划、方案；</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2、服从甲方管理规定、考核办法，根据甲方要求加强公园日常管理，提高服务水平；</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3、按照甲方工作部署及时高效的完成各项工作；</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4、建立内部管理及工作档案，完整且按时移交甲方审核、存档；</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5、法规、政策规定由乙方承担的其他责任。</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七、乙方须按下列约定，实现管理目标：</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（一）服务人员配置及要求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1、项目负责人及技术负责人</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技术负责人：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rPr>
        <w:tab/>
      </w:r>
      <w:r/>
    </w:p>
    <w:p>
      <w:pPr>
        <w:numPr>
          <w:ilvl w:val="0"/>
          <w:numId w:val="3"/>
        </w:numPr>
        <w:ind w:lef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修剪工：</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rPr>
        <w:t xml:space="preserve"> </w:t>
      </w:r>
      <w:r/>
    </w:p>
    <w:p>
      <w:pPr>
        <w:numPr>
          <w:ilvl w:val="0"/>
          <w:numId w:val="3"/>
        </w:numPr>
        <w:ind w:lef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绿化工：</w:t>
      </w:r>
      <w:r>
        <w:rPr>
          <w:rFonts w:hint="eastAsia" w:ascii="宋体" w:hAnsi="宋体" w:eastAsia="宋体" w:cs="宋体"/>
          <w:color w:val="auto"/>
          <w:sz w:val="24"/>
          <w:highlight w:val="none"/>
          <w:u w:val="single"/>
        </w:rPr>
        <w:t xml:space="preserve">                       </w:t>
      </w:r>
      <w:r/>
    </w:p>
    <w:p>
      <w:pPr>
        <w:numPr>
          <w:ilvl w:val="0"/>
          <w:numId w:val="4"/>
        </w:num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服务设备配置及要求</w:t>
      </w:r>
      <w:r>
        <w:rPr>
          <w:rFonts w:hint="eastAsia" w:ascii="宋体" w:hAnsi="宋体" w:eastAsia="宋体" w:cs="宋体"/>
          <w:color w:val="auto"/>
          <w:sz w:val="24"/>
          <w:highlight w:val="none"/>
          <w:u w:val="singl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（三）人员配备要求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1、以下人员中，除项目负责人外，其他人员(含技术负责人)在中标后，由乙方在规定时间内按上述要求配备到位，并依法签订劳动合同，缴纳保险，人员名单及人员资格证书由甲方按上述要求审核后进场。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2、本项目除项目负责人和技术负责人可兼任甲方其他项目的项目负责人或技术负责人外，其他人员不得兼职。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（1）人员配备要求如下：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签订时按照所属分包根据采购需求添加。</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（四）养护机械设备配置要求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中标后，乙方在规定时间内按下述要求配备到位，同时提供自有机械设备购买发票复印件并加盖公章或者设备租赁协议。</w:t>
      </w:r>
      <w:r/>
    </w:p>
    <w:tbl>
      <w:tblPr>
        <w:tblStyle w:val="796"/>
        <w:tblW w:w="9180" w:type="dxa"/>
        <w:tblInd w:w="469"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066"/>
        <w:gridCol w:w="840"/>
        <w:gridCol w:w="749"/>
        <w:gridCol w:w="1180"/>
        <w:gridCol w:w="858"/>
        <w:gridCol w:w="789"/>
        <w:gridCol w:w="709"/>
        <w:gridCol w:w="803"/>
        <w:gridCol w:w="520"/>
        <w:gridCol w:w="1666"/>
      </w:tblGrid>
      <w:tr>
        <w:trPr>
          <w:trHeight w:val="623"/>
        </w:trPr>
        <w:tc>
          <w:tcPr>
            <w:gridSpan w:val="10"/>
            <w:shd w:val="clear" w:color="auto" w:fill="ffffff"/>
            <w:tcBorders>
              <w:top w:val="single" w:color="000000" w:sz="8" w:space="0"/>
              <w:left w:val="single" w:color="000000" w:sz="8" w:space="0"/>
              <w:bottom w:val="single" w:color="000000" w:sz="8" w:space="0"/>
              <w:right w:val="single" w:color="000000" w:sz="8" w:space="0"/>
            </w:tcBorders>
            <w:tcW w:w="9180" w:type="dxa"/>
            <w:vAlign w:val="top"/>
            <w:textDirection w:val="lrTb"/>
            <w:noWrap w:val="false"/>
          </w:tcPr>
          <w:p>
            <w:pPr>
              <w:ind w:left="2269" w:right="2244"/>
              <w:jc w:val="center"/>
              <w:spacing w:before="64"/>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分包一和分包二机械设备配置要求最低限（辆或台）</w:t>
            </w:r>
            <w:r/>
          </w:p>
        </w:tc>
      </w:tr>
      <w:tr>
        <w:trPr>
          <w:trHeight w:val="2310"/>
        </w:trPr>
        <w:tc>
          <w:tcPr>
            <w:shd w:val="clear" w:color="auto" w:fill="ffffff"/>
            <w:tcBorders>
              <w:top w:val="single" w:color="000000" w:sz="8" w:space="0"/>
              <w:left w:val="single" w:color="000000" w:sz="8" w:space="0"/>
              <w:bottom w:val="single" w:color="000000" w:sz="8" w:space="0"/>
              <w:right w:val="single" w:color="000000" w:sz="8" w:space="0"/>
            </w:tcBorders>
            <w:tcW w:w="1066" w:type="dxa"/>
            <w:vAlign w:val="top"/>
            <w:textDirection w:val="lrTb"/>
            <w:noWrap w:val="false"/>
          </w:tcPr>
          <w:p>
            <w:pPr>
              <w:ind w:left="172" w:right="151"/>
              <w:jc w:val="center"/>
              <w:spacing w:before="103" w:line="355"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6"/>
                <w:sz w:val="24"/>
                <w:szCs w:val="24"/>
                <w:highlight w:val="none"/>
                <w:lang w:val="en-US" w:eastAsia="zh-CN" w:bidi="ar-SA"/>
              </w:rPr>
              <w:t xml:space="preserve">自卸式垃圾车</w:t>
            </w:r>
            <w:r/>
          </w:p>
          <w:p>
            <w:pPr>
              <w:ind w:left="152" w:right="134"/>
              <w:jc w:val="center"/>
              <w:spacing w:line="421" w:lineRule="exact"/>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容量</w:t>
            </w:r>
            <w:r/>
          </w:p>
          <w:p>
            <w:pPr>
              <w:ind w:left="18"/>
              <w:jc w:val="center"/>
              <w:spacing w:before="175"/>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w:t>
            </w:r>
            <w:r/>
          </w:p>
          <w:p>
            <w:pPr>
              <w:ind w:left="172" w:right="151"/>
              <w:jc w:val="center"/>
              <w:spacing w:before="182"/>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5</w:t>
            </w:r>
            <w:r>
              <w:rPr>
                <w:rFonts w:hint="eastAsia" w:ascii="宋体" w:hAnsi="宋体" w:eastAsia="宋体" w:cs="宋体"/>
                <w:b/>
                <w:color w:val="auto"/>
                <w:spacing w:val="-12"/>
                <w:sz w:val="24"/>
                <w:szCs w:val="24"/>
                <w:highlight w:val="none"/>
                <w:lang w:val="en-US" w:eastAsia="zh-CN" w:bidi="ar-SA"/>
              </w:rPr>
              <w:t xml:space="preserve">吨</w:t>
            </w:r>
            <w:r>
              <w:rPr>
                <w:rFonts w:hint="eastAsia" w:ascii="宋体" w:hAnsi="宋体" w:eastAsia="宋体" w:cs="宋体"/>
                <w:color w:val="auto"/>
                <w:sz w:val="24"/>
                <w:szCs w:val="24"/>
                <w:highlight w:val="none"/>
                <w:lang w:val="en-US" w:eastAsia="zh-CN" w:bidi="ar-SA"/>
              </w:rPr>
              <w:t xml:space="preserve">）</w:t>
            </w:r>
            <w:r/>
          </w:p>
        </w:tc>
        <w:tc>
          <w:tcPr>
            <w:shd w:val="clear" w:color="auto" w:fill="ffffff"/>
            <w:tcBorders>
              <w:top w:val="single" w:color="000000" w:sz="8" w:space="0"/>
              <w:left w:val="single" w:color="000000" w:sz="8" w:space="0"/>
              <w:bottom w:val="single" w:color="000000" w:sz="8" w:space="0"/>
              <w:right w:val="single" w:color="000000" w:sz="8" w:space="0"/>
            </w:tcBorders>
            <w:tcW w:w="840" w:type="dxa"/>
            <w:vAlign w:val="top"/>
            <w:textDirection w:val="lrTb"/>
            <w:noWrap w:val="false"/>
          </w:tcPr>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174" w:right="158"/>
              <w:jc w:val="both"/>
              <w:spacing w:line="336"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移动式指纹打卡机</w:t>
            </w:r>
            <w:r/>
          </w:p>
        </w:tc>
        <w:tc>
          <w:tcPr>
            <w:shd w:val="clear" w:color="auto" w:fill="ffffff"/>
            <w:tcBorders>
              <w:top w:val="single" w:color="000000" w:sz="8" w:space="0"/>
              <w:left w:val="single" w:color="000000" w:sz="8" w:space="0"/>
              <w:bottom w:val="single" w:color="000000" w:sz="8" w:space="0"/>
              <w:right w:val="single" w:color="000000" w:sz="8" w:space="0"/>
            </w:tcBorders>
            <w:tcW w:w="749" w:type="dxa"/>
            <w:vAlign w:val="top"/>
            <w:textDirection w:val="lrTb"/>
            <w:noWrap w:val="false"/>
          </w:tcPr>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before="13"/>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131" w:right="115"/>
              <w:jc w:val="both"/>
              <w:spacing w:line="355"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标准洒水车</w:t>
            </w:r>
            <w:r/>
          </w:p>
        </w:tc>
        <w:tc>
          <w:tcPr>
            <w:shd w:val="clear" w:color="auto" w:fill="ffffff"/>
            <w:tcBorders>
              <w:top w:val="single" w:color="000000" w:sz="8" w:space="0"/>
              <w:left w:val="single" w:color="000000" w:sz="8" w:space="0"/>
              <w:bottom w:val="single" w:color="000000" w:sz="8" w:space="0"/>
              <w:right w:val="single" w:color="000000" w:sz="8" w:space="0"/>
            </w:tcBorders>
            <w:tcW w:w="1180" w:type="dxa"/>
            <w:vAlign w:val="top"/>
            <w:textDirection w:val="lrTb"/>
            <w:noWrap w:val="false"/>
          </w:tcPr>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before="12"/>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347" w:right="90" w:hanging="240"/>
              <w:jc w:val="left"/>
              <w:spacing w:line="355"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高射程打药机</w:t>
            </w:r>
            <w:r/>
          </w:p>
        </w:tc>
        <w:tc>
          <w:tcPr>
            <w:shd w:val="clear" w:color="auto" w:fill="ffffff"/>
            <w:tcBorders>
              <w:top w:val="single" w:color="000000" w:sz="8" w:space="0"/>
              <w:left w:val="single" w:color="000000" w:sz="8" w:space="0"/>
              <w:bottom w:val="single" w:color="000000" w:sz="8" w:space="0"/>
              <w:right w:val="single" w:color="000000" w:sz="8" w:space="0"/>
            </w:tcBorders>
            <w:tcW w:w="858" w:type="dxa"/>
            <w:vAlign w:val="top"/>
            <w:textDirection w:val="lrTb"/>
            <w:noWrap w:val="false"/>
          </w:tcPr>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before="10"/>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169" w:right="148"/>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水泵</w:t>
            </w:r>
            <w:r/>
          </w:p>
        </w:tc>
        <w:tc>
          <w:tcPr>
            <w:shd w:val="clear" w:color="auto" w:fill="ffffff"/>
            <w:tcBorders>
              <w:top w:val="single" w:color="000000" w:sz="8" w:space="0"/>
              <w:left w:val="single" w:color="000000" w:sz="8" w:space="0"/>
              <w:bottom w:val="single" w:color="000000" w:sz="8" w:space="0"/>
              <w:right w:val="single" w:color="000000" w:sz="8" w:space="0"/>
            </w:tcBorders>
            <w:tcW w:w="789" w:type="dxa"/>
            <w:vAlign w:val="top"/>
            <w:textDirection w:val="lrTb"/>
            <w:noWrap w:val="false"/>
          </w:tcPr>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before="13"/>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155" w:right="131"/>
              <w:jc w:val="both"/>
              <w:spacing w:line="355"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绿篱修剪机</w:t>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top"/>
            <w:textDirection w:val="lrTb"/>
            <w:noWrap w:val="false"/>
          </w:tcPr>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before="13"/>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115" w:right="91"/>
              <w:jc w:val="both"/>
              <w:spacing w:line="355"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草坪旋耕机</w:t>
            </w:r>
            <w:r/>
          </w:p>
        </w:tc>
        <w:tc>
          <w:tcPr>
            <w:shd w:val="clear" w:color="auto" w:fill="ffffff"/>
            <w:tcBorders>
              <w:top w:val="single" w:color="000000" w:sz="8" w:space="0"/>
              <w:left w:val="single" w:color="000000" w:sz="8" w:space="0"/>
              <w:bottom w:val="single" w:color="000000" w:sz="8" w:space="0"/>
              <w:right w:val="single" w:color="000000" w:sz="8" w:space="0"/>
            </w:tcBorders>
            <w:tcW w:w="803" w:type="dxa"/>
            <w:vAlign w:val="top"/>
            <w:textDirection w:val="lrTb"/>
            <w:noWrap w:val="false"/>
          </w:tcPr>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before="13"/>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162" w:right="138"/>
              <w:jc w:val="both"/>
              <w:spacing w:line="355"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草坪修剪机</w:t>
            </w:r>
            <w:r/>
          </w:p>
        </w:tc>
        <w:tc>
          <w:tcPr>
            <w:shd w:val="clear" w:color="auto" w:fill="ffffff"/>
            <w:tcBorders>
              <w:top w:val="single" w:color="000000" w:sz="8" w:space="0"/>
              <w:left w:val="single" w:color="000000" w:sz="8" w:space="0"/>
              <w:bottom w:val="single" w:color="000000" w:sz="8" w:space="0"/>
              <w:right w:val="single" w:color="000000" w:sz="8" w:space="0"/>
            </w:tcBorders>
            <w:tcW w:w="520" w:type="dxa"/>
            <w:vAlign w:val="top"/>
            <w:textDirection w:val="lrTb"/>
            <w:noWrap w:val="false"/>
          </w:tcPr>
          <w:p>
            <w:pPr>
              <w:jc w:val="lef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left"/>
              <w:spacing w:before="12"/>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144" w:right="113"/>
              <w:jc w:val="left"/>
              <w:spacing w:line="355"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油锯</w:t>
            </w:r>
            <w:r/>
          </w:p>
        </w:tc>
        <w:tc>
          <w:tcPr>
            <w:shd w:val="clear" w:color="auto" w:fill="ffffff"/>
            <w:tcBorders>
              <w:top w:val="single" w:color="000000" w:sz="8" w:space="0"/>
              <w:left w:val="single" w:color="000000" w:sz="8" w:space="0"/>
              <w:bottom w:val="single" w:color="000000" w:sz="8" w:space="0"/>
              <w:right w:val="single" w:color="000000" w:sz="8" w:space="0"/>
            </w:tcBorders>
            <w:tcW w:w="1666" w:type="dxa"/>
            <w:vAlign w:val="top"/>
            <w:textDirection w:val="lrTb"/>
            <w:noWrap w:val="false"/>
          </w:tcPr>
          <w:p>
            <w:pPr>
              <w:jc w:val="left"/>
              <w:spacing w:before="14"/>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left="114" w:right="51" w:firstLine="62"/>
              <w:jc w:val="both"/>
              <w:spacing w:line="336"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登高作业机</w:t>
            </w:r>
            <w:r/>
          </w:p>
          <w:p>
            <w:pPr>
              <w:ind w:left="114" w:right="51" w:firstLine="62"/>
              <w:jc w:val="both"/>
              <w:spacing w:line="336"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color w:val="auto"/>
                <w:spacing w:val="-120"/>
                <w:sz w:val="24"/>
                <w:szCs w:val="24"/>
                <w:highlight w:val="none"/>
                <w:lang w:val="en-US" w:eastAsia="zh-CN" w:bidi="ar-SA"/>
              </w:rPr>
              <w:t xml:space="preserve">械</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
                <w:color w:val="auto"/>
                <w:sz w:val="24"/>
                <w:szCs w:val="24"/>
                <w:highlight w:val="none"/>
                <w:lang w:val="en-US" w:eastAsia="zh-CN" w:bidi="ar-SA"/>
              </w:rPr>
              <w:t xml:space="preserve">最大作业</w:t>
            </w:r>
            <w:r>
              <w:rPr>
                <w:rFonts w:hint="eastAsia" w:ascii="宋体" w:hAnsi="宋体" w:eastAsia="宋体" w:cs="宋体"/>
                <w:b/>
                <w:color w:val="auto"/>
                <w:spacing w:val="-7"/>
                <w:sz w:val="24"/>
                <w:szCs w:val="24"/>
                <w:highlight w:val="none"/>
                <w:lang w:val="en-US" w:eastAsia="zh-CN" w:bidi="ar-SA"/>
              </w:rPr>
              <w:t xml:space="preserve">高度≥</w:t>
            </w:r>
            <w:r>
              <w:rPr>
                <w:rFonts w:hint="eastAsia" w:ascii="宋体" w:hAnsi="宋体" w:eastAsia="宋体" w:cs="宋体"/>
                <w:b/>
                <w:color w:val="auto"/>
                <w:spacing w:val="-20"/>
                <w:sz w:val="24"/>
                <w:szCs w:val="24"/>
                <w:highlight w:val="none"/>
                <w:lang w:val="en-US" w:eastAsia="zh-CN" w:bidi="ar-SA"/>
              </w:rPr>
              <w:t xml:space="preserve">25m</w:t>
            </w:r>
            <w:r>
              <w:rPr>
                <w:rFonts w:hint="eastAsia" w:ascii="宋体" w:hAnsi="宋体" w:eastAsia="宋体" w:cs="宋体"/>
                <w:b/>
                <w:color w:val="auto"/>
                <w:sz w:val="24"/>
                <w:szCs w:val="24"/>
                <w:highlight w:val="none"/>
                <w:lang w:val="en-US" w:eastAsia="zh-CN" w:bidi="ar-SA"/>
              </w:rPr>
              <w:t xml:space="preserve">）</w:t>
            </w:r>
            <w:r/>
          </w:p>
        </w:tc>
      </w:tr>
      <w:tr>
        <w:trPr>
          <w:trHeight w:val="537"/>
        </w:trPr>
        <w:tc>
          <w:tcPr>
            <w:shd w:val="clear" w:color="auto" w:fill="ffffff"/>
            <w:tcBorders>
              <w:top w:val="single" w:color="000000" w:sz="8" w:space="0"/>
              <w:left w:val="single" w:color="000000" w:sz="8" w:space="0"/>
              <w:bottom w:val="single" w:color="000000" w:sz="8" w:space="0"/>
              <w:right w:val="single" w:color="000000" w:sz="8" w:space="0"/>
            </w:tcBorders>
            <w:tcW w:w="1066" w:type="dxa"/>
            <w:vAlign w:val="top"/>
            <w:textDirection w:val="lrTb"/>
            <w:noWrap w:val="false"/>
          </w:tcPr>
          <w:p>
            <w:pPr>
              <w:ind w:left="19"/>
              <w:jc w:val="center"/>
              <w:spacing w:before="101"/>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840" w:type="dxa"/>
            <w:vAlign w:val="top"/>
            <w:textDirection w:val="lrTb"/>
            <w:noWrap w:val="false"/>
          </w:tcPr>
          <w:p>
            <w:pPr>
              <w:ind w:left="14"/>
              <w:jc w:val="center"/>
              <w:spacing w:before="101"/>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749" w:type="dxa"/>
            <w:vAlign w:val="top"/>
            <w:textDirection w:val="lrTb"/>
            <w:noWrap w:val="false"/>
          </w:tcPr>
          <w:p>
            <w:pPr>
              <w:ind w:left="11"/>
              <w:jc w:val="center"/>
              <w:spacing w:before="101"/>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1180" w:type="dxa"/>
            <w:vAlign w:val="top"/>
            <w:textDirection w:val="lrTb"/>
            <w:noWrap w:val="false"/>
          </w:tcPr>
          <w:p>
            <w:pPr>
              <w:ind w:left="13"/>
              <w:jc w:val="center"/>
              <w:spacing w:before="101"/>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858" w:type="dxa"/>
            <w:vAlign w:val="top"/>
            <w:textDirection w:val="lrTb"/>
            <w:noWrap w:val="false"/>
          </w:tcPr>
          <w:p>
            <w:pPr>
              <w:ind w:left="22"/>
              <w:jc w:val="center"/>
              <w:spacing w:before="101"/>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shd w:val="clear" w:color="auto" w:fill="ffffff"/>
            <w:tcBorders>
              <w:top w:val="single" w:color="000000" w:sz="8" w:space="0"/>
              <w:left w:val="single" w:color="000000" w:sz="8" w:space="0"/>
              <w:bottom w:val="single" w:color="000000" w:sz="8" w:space="0"/>
              <w:right w:val="single" w:color="000000" w:sz="8" w:space="0"/>
            </w:tcBorders>
            <w:tcW w:w="789" w:type="dxa"/>
            <w:vAlign w:val="top"/>
            <w:textDirection w:val="lrTb"/>
            <w:noWrap w:val="false"/>
          </w:tcPr>
          <w:p>
            <w:pPr>
              <w:ind w:left="20"/>
              <w:jc w:val="center"/>
              <w:spacing w:before="101"/>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709" w:type="dxa"/>
            <w:vAlign w:val="top"/>
            <w:textDirection w:val="lrTb"/>
            <w:noWrap w:val="false"/>
          </w:tcPr>
          <w:p>
            <w:pPr>
              <w:ind w:left="22"/>
              <w:jc w:val="center"/>
              <w:spacing w:before="101"/>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shd w:val="clear" w:color="auto" w:fill="ffffff"/>
            <w:tcBorders>
              <w:top w:val="single" w:color="000000" w:sz="8" w:space="0"/>
              <w:left w:val="single" w:color="000000" w:sz="8" w:space="0"/>
              <w:bottom w:val="single" w:color="000000" w:sz="8" w:space="0"/>
              <w:right w:val="single" w:color="000000" w:sz="8" w:space="0"/>
            </w:tcBorders>
            <w:tcW w:w="803" w:type="dxa"/>
            <w:vAlign w:val="top"/>
            <w:textDirection w:val="lrTb"/>
            <w:noWrap w:val="false"/>
          </w:tcPr>
          <w:p>
            <w:pPr>
              <w:ind w:left="22"/>
              <w:jc w:val="center"/>
              <w:spacing w:before="101"/>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shd w:val="clear" w:color="auto" w:fill="ffffff"/>
            <w:tcBorders>
              <w:top w:val="single" w:color="000000" w:sz="8" w:space="0"/>
              <w:left w:val="single" w:color="000000" w:sz="8" w:space="0"/>
              <w:bottom w:val="single" w:color="000000" w:sz="8" w:space="0"/>
              <w:right w:val="single" w:color="000000" w:sz="8" w:space="0"/>
            </w:tcBorders>
            <w:tcW w:w="520" w:type="dxa"/>
            <w:vAlign w:val="top"/>
            <w:textDirection w:val="lrTb"/>
            <w:noWrap w:val="false"/>
          </w:tcPr>
          <w:p>
            <w:pPr>
              <w:ind w:left="31"/>
              <w:jc w:val="center"/>
              <w:spacing w:before="101"/>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shd w:val="clear" w:color="auto" w:fill="ffffff"/>
            <w:tcBorders>
              <w:top w:val="single" w:color="000000" w:sz="8" w:space="0"/>
              <w:left w:val="single" w:color="000000" w:sz="8" w:space="0"/>
              <w:bottom w:val="single" w:color="000000" w:sz="8" w:space="0"/>
              <w:right w:val="single" w:color="000000" w:sz="8" w:space="0"/>
            </w:tcBorders>
            <w:tcW w:w="1666" w:type="dxa"/>
            <w:vAlign w:val="top"/>
            <w:textDirection w:val="lrTb"/>
            <w:noWrap w:val="false"/>
          </w:tcPr>
          <w:p>
            <w:pPr>
              <w:ind w:left="35"/>
              <w:jc w:val="center"/>
              <w:spacing w:before="101"/>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r>
      <w:tr>
        <w:trPr>
          <w:trHeight w:val="3571"/>
        </w:trPr>
        <w:tc>
          <w:tcPr>
            <w:gridSpan w:val="10"/>
            <w:shd w:val="clear" w:color="auto" w:fill="ffffff"/>
            <w:tcBorders>
              <w:top w:val="single" w:color="000000" w:sz="8" w:space="0"/>
              <w:left w:val="single" w:color="000000" w:sz="8" w:space="0"/>
              <w:bottom w:val="single" w:color="000000" w:sz="8" w:space="0"/>
              <w:right w:val="single" w:color="000000" w:sz="8" w:space="0"/>
            </w:tcBorders>
            <w:tcW w:w="9180" w:type="dxa"/>
            <w:vAlign w:val="top"/>
            <w:textDirection w:val="lrTb"/>
            <w:noWrap w:val="false"/>
          </w:tcPr>
          <w:p>
            <w:pPr>
              <w:ind w:firstLine="480"/>
              <w:jc w:val="left"/>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备注：</w:t>
            </w:r>
            <w:r/>
          </w:p>
          <w:p>
            <w:pPr>
              <w:ind w:firstLine="480"/>
              <w:jc w:val="left"/>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1、表中所注数量为最低限，甲方有权根据实际管养需求，要求乙方适当增加机械设备数量，产生的所有费用包含在本项目的报价内。</w:t>
            </w:r>
            <w:r/>
          </w:p>
          <w:p>
            <w:pPr>
              <w:ind w:firstLine="480"/>
              <w:jc w:val="left"/>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2、合同期内，所有设施设备需保持8成新，不得因设备损坏等原因影响管养工</w:t>
            </w:r>
            <w:r/>
          </w:p>
          <w:p>
            <w:pPr>
              <w:jc w:val="left"/>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作，否则除正常考核扣分外，每次支付违约金1000元。</w:t>
            </w:r>
            <w:r/>
          </w:p>
          <w:p>
            <w:pPr>
              <w:ind w:firstLine="480"/>
              <w:jc w:val="left"/>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3、其它绿化养护必备工具不在清单中详细罗列，乙方需按养护要求充足提供，</w:t>
            </w:r>
            <w:r/>
          </w:p>
          <w:p>
            <w:pPr>
              <w:jc w:val="left"/>
              <w:spacing w:line="48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因此产生的所有费用包含在本项目的报价内。</w:t>
            </w:r>
            <w:r/>
          </w:p>
        </w:tc>
      </w:tr>
    </w:tbl>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（五）相关工作要求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涉及乙方须支付的违约金或赔偿金，甲方可以从乙方管养经费中直接扣除。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1人员配备要求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乙方项目负责人必须按时参加由甲方召开的养护例会和各种必须参加的考核等会议；特殊情况不能参加的，本人必须提前履行请假手续，经同意后，方可委托其他人代替参加，且30天内仅限委托他人参加一次。如有违反承担违约金1000元/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乙方不得随意更换本项目的项目负责人，因特殊情况确需更换的，应提前5天以书面形式通知甲方，拟更换的项目负责人需满足招投标文件要求，经甲方同意后方可到岗行使各项职权，履行前任的义务，且中标服务期内更换项目负责人仅限一次（甲方要求更换的除外）。如擅自更换或后期再次更换项目负责人乙方须承担违约金10000元/次。更换达三次（含）以上，甲方单方有权立即终止本项目承包合同，清退出场，按合同结清当期已发生项目管养款，不予退还其履约保证金，由此产生的一切法律责任和经济损失均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甲方有权要求更换不称职的项目负责人及技术负责人，项目负责人及技术负责人试用期为3个月，3个月后视其履职情况决定是否要求乙方更换。如乙方拒不按要求更换到位的，甲方单方有权立即终止本项目承包合同，清退出场，按合同结清当期已发生项目管养款，不予退还其履约保证金，由此产生的一切法律责任和经济损失均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1.4乙方应按照相关政策文件规定做好人员体检、保险购买等工作，履约期间，如发生乙方员工引发的劳动纠纷、员工工伤或人身伤亡事故、或因乙方人员身体不健康导致在岗位上突发病情等，均由乙方承担一切责任，与甲方无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1.5合同期内，乙方应按照招标文件要求按时按月发放人员工资及相关福利待遇，如合同期内经劳动部门核查乙方存在拖欠工资情况属实的，乙方承担一切经济、法律责任，与甲方无关。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1.6乙方进场时，须满足本项目人员资质资格要求，未经甲方认可，考核中发现工人到岗数达不到招标文件要求的，甲方将直接从月度管养款中扣除未发生的费用。人员缺岗、迟到、早退的，除正常考核扣分外，项目负责人存在这些情况的，乙方须支付违约金300元/次，其它人员100元/人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1.7乙方按甲方要求为现场养护工人配备统一服装，人员服装于进场后15日内到位，否则须支付违约金500元/天，直至配齐。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1.8乙方必须高度重视安全生产工作。所有养护工人必须了解本项目的工作标准和要求，在上岗前接受绿化养护工作的岗前培训。乙方负责对绿化管养人员进行教育、培训、考核和管理，加强人员安全教育及培训，并为聘用员工缴纳意外伤害保险，组织做好绿地植物及绿化管养设施设备的安全防范工作，履约期间，如因乙方安全工作不到位，造成绿化植物及绿地管养设施设备被盗、毁坏的，乙方负责赔偿或恢复原状，因乙方安全工作不到位，发生重大安全及水电事故造成人员工伤或人身伤亡事故的，均与甲方无关，乙方承担一切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1.9工作时间乙方可根据管养工作实际需求及季节特点合理安排，并报经甲方同意，实行每天8小时工作制度，必要时需安排加班。项目负责人及技术负责人必须时刻保持手机畅通，及时接听和回复甲方电话，否则除正常考核扣分外，须支付违约金500元/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1.10履约期间，乙方必须无条件服从甲方每天不定时的点名考核，连续五次以上不能达到规定人员要求的，则当月考核不合格，当月服务费用为基本服务费用。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1.11根据甲方通知要求，推迟未进场或未按规定时间内完成相关责任任务，甲方有权聘请第三方进场管养，产生费用由乙方承担。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2.设备配备要求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2.1乙方须严格按照投标文件配备设施设备，合同签订后，乙方须在7日内配齐所有设施设备。乙方自有机械需提供设备购买发票复印件并加盖公章；租用设备提供租用设备协议以及设备购买发票复印件并加盖设备单位公章。提供原件核查。甲方将严格对照乙方投标文件核对，如不符合，乙方须在7日内重新采购到位，否则须支付违约金500元/天，直至设备配齐。</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2.2经甲方验收通过的设施设备，除个别大型机械可租用，其它都应专供于本项目，租用的大型机械设备需使用时乙方应提前安排，不得出现因机械设备不到位影响养护工作的情况，否则除正常考核扣分外，乙方须支付违约金1000元/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2.3其它绿化养护必备工具未在清单中详细罗列的，乙方需按养护要求充足提供；甲方有权根据实际管养需求，要求乙方增加机械设备数量，因此产生的所有费用包含在本项目的报价内，否则除正常考核扣分外，乙方须支付违约金1000元/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2.4合同期内，所有设施设备需保持8成新，不得因设备损坏等原因影响管养工作，否则除正常考核扣分外，乙方须支付违约金1000元/次。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2.5乙方设施设备须按要求有序停放，养护工具不得随意乱丢乱放，不得损毁、占用绿地，否则除正常考核扣分外，乙方须支付违约金100元/次。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3.日常养护管理基本要求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符合《江苏省城市园林植物养护管理规范及分级标准（201508）》二级标准、《江苏省城市园林建筑和设施维护管理规范》相关要求，按照《宿迁市园林绿化养护管理标准》二级标准、《宿迁市城市绿地养护管理工作月历》要求进行养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3.合同期内，乙方应服从甲方的安排，做好以下的服务工作：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3.1因不可抗力造成的抢修保养工作；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3.2防汛、防风、抗旱、防寒等抗灾期间的各项养护工作；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3.3园林养护相关的社会职能工作；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3.4各项创建、检查活动及上级布置的突击性活动而发生的各项工作；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3.5确保法定节假日期间正常养护工作；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3.6按照甲方督查要求进行养护相关工作。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4.绿地及园林设施保洁和秩序维护工作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4.1绿地（包括水面）应每日巡视保洁，及时清除绿地管养衍生物（含落叶），垃圾随产随清，确保无各种杂物、树挂等，保持绿地清洁，绿地管养衍生物不得超过24小时未清运，严禁现场焚烧，否则除正常考核扣分外，乙方须支付违约金500元/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4.2绿地内座椅、小品、标识标牌等各类园林设施应及时保洁，保洁率为100%。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4.3绿地中无堆物、堆料、搭棚，建筑墙面和树干上无钉栓刻画等现象。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4.4绿地内严禁擅自乱接水电，严禁电线、电缆裸露。</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4.5树木修剪过程要做好现场安全防护及指挥，避开市民上下班高峰时间，修剪下的枝条应及时整理清运，不得存放超过24小时，否则除正常考核扣分外，乙方须支付违约金500元/次。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4.6树木喷撒药物应做好现场安全防护和指挥，避开市民上下班高峰时间，选择安全环保符合相关用药规定的农药，文明实施，避免影响市民日常生活。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4.7洒水除尘时应避开市民上下班高峰时间，做到文明洒水，防止溅洒行人。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4.8由于乙方在操作过程中安全防护不当导致养护工人或游人发生安全事故，一切经济与法律责任由乙方承担，与甲方无关。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5.其它要求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5.1乙方进场后，应迅速对项目绿地、园林植物外貌进行修整，3个月内达到绿地养护二级标准的要求，期间因修整绿地发生的补植、整地、清理碴土垃圾等一切工作，其费用包含在本标的报价内，不再追加计算。</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5.2在养护中发生的绿化植物抽稀、分栽、本项目内的位置调整、密度调整、土方微调整理等属正常工作内容，其价值已包含在本项目招标内，甲方不再额外支付费用；接到甲方有关此项的指令后，应无条件按要求调整到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5.3绿地内的倒树、歪树要及时予以扶正，采取修剪、支撑、裹草绳、浇水、遮荫等措施保证树木的成活，并防止再次倒伏、倾斜。如措施不到位，扶树再倾斜的，要再次扶正，并接受考核扣分；扶树未成活的，要无偿补植同规格品种树木，并接受考核扣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5.4在本项目所包含的路段或广场绿地范围内：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5.4.1养护期间发生的由甲方竣工移交的绿地工程项目，需纳入本项目内一并管理，其管养费用包含在本项目内，不另外计费；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5.4.2养护期间如有因改造等原因交由其它部门管理的绿地，其面积从管养面积中减去，养护经费也相应扣减。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5.5绿地内有园林小品、座椅、围栏、果壳箱、园路、护坡、排水管网、体育器材、标识标牌等设施的，乙方要负责设施巡查、检查、维护和保洁；对人为破坏的负责无偿修复，对自然损耗导致的损坏要做好巡查，上报采购方统一修复；在平时的巡查中，对螺丝松动、脱落，标识标牌表面破损、破旧等，要主动、及时、无偿予以维修恢复，保证设施的可使用性、整洁性和安全性，如因设施检修、维护不到位，导致投诉、被上级部门通报、意外事故、人身伤亡的，由中标方承担由此产生的一切法律和经济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5.6乙方在为采购方实施绿化管养服务期间，其用电、用水、垃圾处理、人工、物耗等一切事项和支出由乙方自理。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6.防汛、防风、抗旱、防寒等抗灾抢险应急保障工作要求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6.1前期准备工作：乙方要建立完善园林绿化抗灾抢险应急预案机制，成立抗灾抢险应急专项工作小组，通过微信、QQ建立通讯工作网络，落实抢险队伍，添置必须的抗灾抢险机械设备、材料工具等，做到召之即来，全面做好抗灾抢险各项应急保障工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6.2抗灾抢险工作：乙方要安排人员密切关注气象部门气象报告，灾情发生时组织人员外出巡查，全面掌握园林绿化受灾发生情况及发展趋势，并随时向甲方汇报反馈抗灾抢险相关情况。乙方要按照应急预案要求，及时采取有效措施减少损失，消除安全隐患，保障人民生命和财产安全。紧急情况要随时安排处理解决，一般情况要在灾后24小时内处理完毕。除不可抗力因素外，因乙方抢险不力造成的一切后果和法律责任均由乙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6.3.抗灾抢险善后工作：乙方应加强灾后巡查保障工作，避免出现二次危害或次生灾害，同时要对每次抗灾抢险工作进行认真总结，形成专项报告上报甲方。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7.肥料管理要求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费用甲方在实际执行中将实行成本控制，肥料品种、数量的使用，甲方可根据现场管养需求进行调整。合同中未列出的相关服务和在实施过程中涉及到的一切费用都包含在总价中，甲方不再支付肥料的额外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7.1本项目肥料由乙方进行采购，甲方对肥料的采购、使用进行全程监督控制。乙方按照园林植物养护标准相关要求，结合各路段实际需求分次采购。每次采购前乙方需上报肥料采购使用计划（肥料品种、数量、使用计划等），经甲方审核通过后方可进行采购。</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7.2基肥、追肥使用时间、用量、品种严格按照园林植物养护标准相关要求实施，原则上园林绿化苗木每年施基肥1次，追肥根据不同植物品种需求，每年至少1次。乙方须严格控制肥料使用量并结合实际需求施肥，过量施肥造成苗木损伤的由乙方赔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7.3乙方在市区要安排专门肥料存放地点，肥料采购及使用执行出库、入库管理制度，出入库登记需由甲方监管进行，乙方应及时主动报甲方备案确认。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7.4乙方需建立并保存完整的肥料采购及使用档案（含图片档案），甲方将对乙方相关档案进行抽查，抽查到1例档案缺少或不完整的，扣1分。每次施肥工作结束后7日内，乙方应将本次施肥相关档案资料及时上报甲方。无故不报或延迟报送的，除正常考核扣分外，乙方须支付违约金1000元/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7.5乙方须严格执行甲方关于施肥工作的统一安排，不施肥或偷工减料的一经查实，除正常考核扣分外，乙方须支付违约金5000元/次，并需根据要求在规定时间内补施到位。如未在规定时间内按要求补施的，甲方有权按5元/kg予以扣除未使用肥料的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8.草坪更新与黑麦草复播要求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本项费用包含在本项目综合养护管理报价内，不再单独报价，乙方根据年度用量，统筹考虑合同期内草坪更新与黑麦草复播工程量。甲方可根据现场管养需求进行少量调整，不再额外支付相关费用。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8.1.草坪外观整齐，边缘线清晰，生长旺盛，杂草率、斑秃率＜2%，保证本项目草坪全年绿色期不少于300天；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8.2.每年春夏对项目标段内退化的草坪进行补播，对缺失地段进行重新铺设，确保草坪完好。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8.3.每年秋季及时进行黑麦草复播，确保冬季草坪观赏效果，如未按要求复播黑麦草或效果不佳除正常考核扣分外，播种后草坪效果不佳，黑麦草出苗率低于85%的，除正常考核扣分外，效果不佳草坪面积大于等于1000㎡的，乙方须支付违约金5000元/次，面积小于1000㎡的，乙方须支付违约金1000元/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9.建立绿化养护管理台帐资料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9.1.乙方应建立完整的绿化养护管理台帐，并由专人负责。绿化台帐资料记录详细，分类清楚，数据翔实。</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9.2.项目负责人及技术负责人须具备基本的公文写作能力及办公软件操作能力，根据甲方要求做好养护相关材料的编写上报工作，按时记录月度养护计划及养护作业任务，档案齐全。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9.3.甲方对乙方养护管理台帐资料进行抽查、检查，对不能提供或台帐资料缺失、混乱的，除正常考核扣分外，乙方须支付违约金200元/次，并在规定时间内补充完善到位。</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10.养护考核细则</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本项目采用日常巡查考核、定期考核和专项考核相结合的考核办法，具体细则如下：</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10.1.日常巡查考核：由甲方对绿地进行日常的巡查考核，发现问题在《绿地管养考核打分表》上扣分，并通过书面、电话、微信、邮件等方式下发整改通知，乙方限期做好相关整改。在规定期限内未整改或整改不合格的，对《考核表》相应项目进行双倍扣分，并限期再次整改，在规定期限内再次未整改或整改不合格的，甲方将直接安排其它管养单位进行整改，费用由乙方以现金形式及时支付，三个工作日内拒不支付的扣除当月全部管养经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2.定期考核：每月一次，由甲方负责随机组建考核队伍，考核人员不少于2人，按照《绿地管养考核打分表》进行现场检查考核打分。对发现的问题责令乙方限时整改。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3.专项考核。专项考核得分每月汇总一次，在日常管养考核打分表汇总核算分数的基础上，按月度直接扣除或增加相应分数。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3.1直接扣分项：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3.1.1人员到岗率达不到招标文件要求，每缺1人扣1分。到岗率低于90%时，第一次给予警告处理，并直接扣除当月管理经费的10%，合同期内人员到岗率低于90%超过三次的，甲方有权单方终止合同并扣除履约保证金。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3.1.2因养护管理不善，发生人员伤亡、财产损失后未处理或处理不妥造成投诉的或不良影响的，每例扣3～10 分。如乙方未及时发现树木倒伏、主干或枝条折断等问题，对树木倒伏、折断的24小时内未采取扶正、支撑、修剪等措施加以补救、积极处理，导致倒、断树伤人或绿化被人为损坏未获赔偿的，由乙方负赔偿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3.1.3因养护工作不到位，导致被媒体曝光或检查、通报批评的，除每例扣5分外，另外支付违约金10000元/次。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3.1.4对群众来信、来访、投诉电话中反映的投诉、批评、数字城管工单等问题，经查情况属管养单位疏于养护管理导致的，每例扣1分，24小时内无故未整改到位的每次再扣2分。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3.1.5对毁绿、占绿（包括审批移植超范围施工）的行为，未在第一时间（当日17:30之前发生的需当日处置，当日17:30以后发生的需在次日12:00之前处置）内发现并制止、上报绿化管理处及相关执法单位的，每次扣3～5分。管养单位只上报管理处但未作实质性处置的视为未有效制止毁绿、占绿行为，每例扣4分，并负责无偿恢复被毁绿地。</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3.1.6未经甲方同意，擅自砍伐、移植或更换养护范围内的树木，改变绿地原貌的，每例扣3～10分。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3.1.7乙方因管养不及时造成大面积病虫害爆发的，一次性扣10分。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3.1.8乙方要建立完整的日常管养、病虫害防治、肥料管理与使用等管养工作档案，甲方在抽查检查时不能及时提供或缺失的，每例扣1分（包括管养巡查日志、月度总结计划、专项工作安排、人员管理考核培训材料等）。</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3.1.9项目负责人、技术负责人手机必须保持24小时畅通，电话联系不上致使延误工作的，每次扣1分。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3.1.10未及时完成绿化管理处下达的各项任务的，每例扣1～5分。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3.2奖励加分项：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3.2.1重大活动时能及时完成上级布置的养护任务或其它临时突击增加的任务，完成及时受到表扬的每例加1～5分。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3.2.2对于新闻媒体、主管部门检查中提出表扬嘉奖的，每例加2分。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3.2.3上班期间有好人好事、见义勇为行为的，每例加1-2分。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3.2.4能及时发现养护范围之内出现的问题，并且针对提出有效可行新办法新措施的，每例加1～3分。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3.2.5及时发现、妥善处置毁绿占绿行为，措施得力，保护绿地不受侵占的，为甲方挽回财产损失的，每例加1～3分。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3.2.6甲方不定期对所布置的调查统计、突击活动等阶段性工作完成情况评比，从完成及时、成果准确、质量优良的乙方中选出最优者，予以每例加1分奖励；甲方布置的临时性工作，能够积极予以落实，并在约定的期限内高质量完成的，予以每例加1分奖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3.3其他未尽事项以甲方认定为准。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八、违约责任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乙方所有工作人员进场必须提供身份证复印件进行登记报于甲方，乙方每月10号将上月工人劳动报酬结算与支付情况书面报于甲方，乙方如有拖欠克扣工人劳动报酬行为的，甲方有权采取下列任一或全部措施：①停止支付合同款至拖欠克扣行为消除止；②从合同价款扣除，直接支付给乙方所属工人；③解除本合同，同时乙方应赔偿由此给甲方造成的损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2、合同签订后，乙方应在10日内按采购需求及响应文件要求配齐园林养护作业队伍及养护机械设备设施，否则甲方有权解除合同和不予退还履约保证金。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3、在乙方违反相关条款约定的义务，甲方将限期要求乙方进行整改并采取相应补救措施，如乙方未在甲方通知时间内整改到位的或不予配合甲方开展相关工作的，甲方将自主联系其它人员进行整改或开展相关工作，产生的一切费用均由乙方承担，合同期内达到三次的，甲方有权立即终止合同，将乙方清退出场，已产生的当前应结款项不予结算，并没收已缴纳的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4、除以上条款，发生以下情况之一的，甲方有权单方终止合同，不予退还履约保证金。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（1）在履约期间，乙方未按月发放人员工资达到三次以上的。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（2）乙方对本项目分包、转包的。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（3）乙方擅自更换项目负责人达三次（含）以上。</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（4）项目负责人及技术负责人试用期3个月后不称职，且不按甲方要求更换到位的。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（5）履约期间，乙方累计3个月考核成绩为不合格的。</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（6）履约期间，由于乙方履职不到位，被市、区园林主管部门及宿城开发区管委会通报批评或媒体曝光三次及以上的，甲方有权终止合同。</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九、其它事项</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乙方进场后，应迅速对本项目绿地、园林植物外貌进行修整，2个月内达到宿迁市绿地养护二级标准的要求，期间因修整绿地发生的补植、整地、清理垃圾等一切工作和工程项目移交养护的，乙方应无条件接收，其费用包含在合同价内，不再追加计算。</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在本项目养护中发生的绿化植物抽稀、分栽、位置调整、密度调整、土方微调等属正常工作内容，其费用已包含在本合同价内，甲方不再额外支付费用：接到甲方有关此项的指令后,应无条件按要求调整到位，且乙方负责苗木调整后的保活管养，由于乙方管养导致调整后的苗木死亡的，乙方应无偿在甲方通知时间内补植到位。</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绿地内的倒树、歪树要及时予以扶正，采取修剪、支撑、裹草绳、浇水、遮阴等措施保证树木的成活，并防止再次倒伏、倾斜。如措施不到位，扶树再倾斜的,要再次扶正，并接受考核扣分；扶树未成活的，要无偿补植同规格品种树木，并接受考核扣分。恶劣天气、自然灾害等不可抗力导致的除外。</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养护期间，绿地范围内出现未经甲方批准的施工项目，乙方应立即阻止，并及时将情况向甲方反映。乙方未发现、未阻止或未及时反映、上报的，由乙方自行负责因施工被破坏的绿地赔偿或恢复绿地的无偿恢复工作。</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5、乙方应做好各类植物病虫害防治工作，做到“治早、治小、治了”，防止造成大面积病虫害爆发。</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乙方负责对绿化管养人员进行教育、考核和管理，加强工作人员的安全教育，并为其员工缴纳意外伤害保险,组织做好绿地植物及绿化管养设施设备的安全防范工作，如因乙方人员工作上疏忽或失职造成绿化植物及绿地管养设施设备被盗、毁坏或发生重大安全及水电事故的，乙方承担一切赔偿责任；履约期间，如若发生工作人员工伤或遇工作人员突发疾病等人身伤亡事故，均由乙方负责，与甲方无关；由于乙方人员在管养相关操作过程中安全防护不当导致养护工人或甲方人员发生人身安全损害及事故的，一切后果与法律责任均由乙方承担，与甲方无关。</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7、乙方应做好上级布置的突击性活动和防汛抗灾期间的汛前、汛期、汛后及法定节假日期间各项养护工作。</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十、履约保证金</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（一）履约保证金用以约束供应商在合同履行中的行为，弥补合同执行中由于自身行为可能给采购人带来的各种损失。签订合同前乙方按合同金额的5%向采购人缴纳履约保证金</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万元，且履约保证金应从乙方法人基本存款账户转到甲方指定的保证金专用账户。</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（二）项目完成后，乙方凭甲方出具的验收资料、原履约保证金收据，办理退付履约保证金手续，甲方在收到乙方退付申请及齐全的退付材料后，履约保证金将无息退回至乙方法人账户中。</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（三）履约保证金在合同约定期间内不予退还；逾期退还的，除退还履约保证金外，还应支付履约保证金金额同期银行存款利息，但因乙方自身原因导致无法及时退还的除外。</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不予退还的情形，如果乙方不履行合同，履约保证金不予退还；如果乙方未能按合同约定全面履行义务，甲方可以通过快递、邮件、电话及短信等方式书面吿知乙方项目联系人或项目负责人，若乙方收到通知后仍不做相应整改，甲方有权从履约保证金中取得补偿或赔偿，同时不影响甲方要求乙方承担合同约定的超过履约保证金违约责任的权利。</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（五）如因乙方的原因，甲方从履约保证金当中扣除乙方的违约金或赔偿款的，乙方应在履约保证金不足时三天内补齐，逾期未补齐的，甲方享有合同解除权。</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十一、付款方式及相关要求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（一）付款方式</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预付款：合同金额的</w:t>
      </w:r>
      <w:r>
        <w:rPr>
          <w:rFonts w:hint="eastAsia" w:ascii="宋体" w:hAnsi="宋体" w:eastAsia="宋体" w:cs="宋体"/>
          <w:color w:val="auto"/>
          <w:sz w:val="24"/>
          <w:highlight w:val="none"/>
          <w:u w:val="single"/>
        </w:rPr>
        <w:t xml:space="preserve"> 10 </w:t>
      </w:r>
      <w:r>
        <w:rPr>
          <w:rFonts w:hint="eastAsia" w:ascii="宋体" w:hAnsi="宋体" w:eastAsia="宋体" w:cs="宋体"/>
          <w:color w:val="auto"/>
          <w:sz w:val="24"/>
          <w:highlight w:val="none"/>
        </w:rPr>
        <w:t xml:space="preserve">%，合同签订后按规定支付；</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进度款：</w:t>
      </w:r>
      <w:r>
        <w:rPr>
          <w:rFonts w:hint="eastAsia" w:ascii="宋体" w:hAnsi="宋体" w:eastAsia="宋体" w:cs="宋体"/>
          <w:color w:val="auto"/>
          <w:sz w:val="24"/>
          <w:highlight w:val="none"/>
          <w:u w:val="single"/>
        </w:rPr>
        <w:t xml:space="preserve">采取按月拨付管养费用方式，每月初对上个月管养情况进行考核汇总，根据考核结果成交供应商开具正规发票连同相关单据交给采购人审核，采购人按财务管理制度审核无误后，应及时报上级财务部门申请资金给予支付，收到成交供应商发票后10个工作日内支付上月考核费用。</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注：在签订合同时，成交供应商明确表示无需预付款或者主动要求降低预付款比例的，采购人可不适用前述规定。</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（二）相关要求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1、月度管养费用=合同总价/12个月，合同签订生效后，每月支付一次管养款。</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2、每月底对管养情况进行考核汇总，当月管养费用的70%作为基本管养费用，30%作为考核费用。</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3、当月考核成绩在90—100分（含90分）之间的，当月管养费用为：基本管养费用+[（实际得分）/100]*考核费用；</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4、当月考核成绩在80—90分（含80分）之间的，当月管养费用为基本管养费用+[1-2*（100-实际得分）/100]*考核费用；</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5、当月考核成绩在80分以下为不合格，当月服务费用为基本服务费用。</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6、月考核成绩在60分以下当月管养经费全部扣除。</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7、履约期间，中标人累计3个月考核成绩为不合格的，采购人有权单方终止合同并不予退还履约保证金，同时造成的一切损失由中标方承担。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8、因区域调整、政策变化或不可抗力等因素，停止绿化管养项目，管养期限以实际管养期限为准，按实际管养面积单价据实核算费用，不再追加。</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十二、验收</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项目管养期全部完成后，甲方根据管养要求组织验收。验收中如发现有与合同不符的，乙方应在3日内无条件整改到位，否则甲方有权扣除履约保证金和聘请第三方进行整改，由此产生的费用均由乙方承担。</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十三、合同生效与终止</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本合同经甲方、乙方签字盖章后生效，双方履行合同约定义务，合同价款支付完毕后，本合同即告终止。</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十四、乙方服务期满后的工作衔接</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根据本合同，乙方服务期限至,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日，若乙方没有成为下一服务期乙方，乙方应和下一服务单位于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日前完成交接工作，下一服务单位于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日正式进驻开始服务。</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十五、合同的组成部分</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本合同条款、中标通知书、招标文件、投标文件及投标人在开标时的书面承诺等构成合同的组成部分。</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十六、本合同壹式肆份，甲方、乙方各执贰份。</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十七、本合同一切未尽事宜，按民法典有关规定执行。遇到矛盾纠纷，双方可协商解决，协商不成的，可向项目所在地人民法院提起诉讼。</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854"/>
        <w:gridCol w:w="4625"/>
      </w:tblGrid>
      <w:tr>
        <w:trPr>
          <w:trHeight w:val="45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54"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甲方：（盖章）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5"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乙方：（盖章）</w:t>
            </w:r>
            <w:r/>
          </w:p>
        </w:tc>
      </w:tr>
      <w:tr>
        <w:trPr>
          <w:trHeight w:val="45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54"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5"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地址：</w:t>
            </w:r>
            <w:r/>
          </w:p>
        </w:tc>
      </w:tr>
      <w:tr>
        <w:trPr>
          <w:trHeight w:val="45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54"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法定（授权）代表人：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5"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法定（授权）代表人：</w:t>
            </w:r>
            <w:r/>
          </w:p>
        </w:tc>
      </w:tr>
      <w:tr>
        <w:trPr>
          <w:trHeight w:val="45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54"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经办人：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5"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经办人：</w:t>
            </w:r>
            <w:r/>
          </w:p>
        </w:tc>
      </w:tr>
      <w:tr>
        <w:trPr>
          <w:trHeight w:val="45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54"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5"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联系电话：</w:t>
            </w:r>
            <w:r/>
          </w:p>
        </w:tc>
      </w:tr>
      <w:tr>
        <w:trPr>
          <w:trHeight w:val="45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854"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25"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202</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年  月  日</w:t>
            </w:r>
            <w:r/>
          </w:p>
        </w:tc>
      </w:tr>
    </w:tbl>
    <w:p>
      <w:pPr>
        <w:ind w:left="0" w:right="0" w:firstLine="0"/>
        <w:jc w:val="center"/>
        <w:spacing w:before="120" w:after="12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0" w:after="0"/>
        <w:rPr>
          <w:rFonts w:hint="eastAsia" w:ascii="宋体" w:hAnsi="宋体" w:eastAsia="宋体" w:cs="宋体"/>
          <w:color w:val="000000"/>
          <w:sz w:val="44"/>
          <w:highlight w:val="none"/>
        </w:rPr>
        <w:pBdr>
          <w:top w:val="none" w:color="000000" w:sz="0" w:space="0"/>
          <w:left w:val="none" w:color="000000" w:sz="0" w:space="0"/>
          <w:bottom w:val="none" w:color="000000" w:sz="0" w:space="0"/>
          <w:right w:val="none" w:color="000000" w:sz="0" w:space="0"/>
        </w:pBdr>
        <w:outlineLvl w:val="0"/>
      </w:pPr>
      <w:r/>
      <w:bookmarkStart w:id="3" w:name="_Toc19143"/>
      <w:r>
        <w:rPr>
          <w:rFonts w:hint="eastAsia" w:ascii="宋体" w:hAnsi="宋体" w:eastAsia="宋体" w:cs="宋体"/>
          <w:color w:val="000000"/>
          <w:sz w:val="44"/>
          <w:highlight w:val="none"/>
        </w:rPr>
        <w:t xml:space="preserve">第四章 采购需求</w:t>
      </w:r>
      <w:bookmarkEnd w:id="3"/>
      <w:r/>
      <w:r/>
    </w:p>
    <w:p>
      <w:pPr>
        <w:ind w:left="0" w:right="0" w:firstLine="0"/>
        <w:jc w:val="both"/>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项目属性：服务类项目</w:t>
      </w:r>
      <w:r/>
    </w:p>
    <w:p>
      <w:pPr>
        <w:ind w:left="0" w:right="0" w:firstLine="0"/>
        <w:jc w:val="both"/>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本项目采购标的对应的中小企业划分标准所属行业：</w:t>
      </w:r>
      <w:r>
        <w:rPr>
          <w:rFonts w:hint="eastAsia" w:ascii="宋体" w:hAnsi="宋体" w:eastAsia="宋体" w:cs="宋体"/>
          <w:color w:val="auto"/>
          <w:sz w:val="24"/>
          <w:highlight w:val="none"/>
          <w:u w:val="single"/>
        </w:rPr>
        <w:t xml:space="preserve">其他未列明行业</w:t>
      </w:r>
      <w:r/>
    </w:p>
    <w:p>
      <w:pPr>
        <w:ind w:left="0" w:right="0" w:firstLine="0"/>
        <w:jc w:val="both"/>
        <w:spacing w:before="120" w:after="12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rPr>
        <w:t xml:space="preserve">不接受</w:t>
      </w:r>
      <w:r>
        <w:rPr>
          <w:rFonts w:hint="eastAsia" w:ascii="宋体" w:hAnsi="宋体" w:eastAsia="宋体" w:cs="宋体"/>
          <w:color w:val="auto"/>
          <w:sz w:val="24"/>
          <w:highlight w:val="none"/>
        </w:rPr>
        <w:t xml:space="preserve">（接受/不接受）进口产品。</w:t>
      </w:r>
      <w:r/>
    </w:p>
    <w:p>
      <w:pPr>
        <w:ind w:left="0" w:right="0" w:firstLine="482"/>
        <w:jc w:val="both"/>
        <w:spacing w:before="0" w:after="0" w:line="55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一、项目概况</w:t>
      </w:r>
      <w:r/>
    </w:p>
    <w:p>
      <w:pPr>
        <w:ind w:left="0" w:right="0" w:firstLine="48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本次招标共分二个分包。</w:t>
      </w:r>
      <w:r/>
    </w:p>
    <w:p>
      <w:pPr>
        <w:ind w:left="0" w:right="0" w:firstLine="48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其中分包一：位于宿城经济开发区西片区，包括箭鹿大道，丁七路，科兴路，科创路，耿龙路，古城路，科工路，复旦路，隆锦路，科苑路，纬一路，纬二路，勇进路等道路两侧，铂金美寓南门，电子电器产业园内，宿迁市城区开发投资公司院内等，共约668176.50平方绿化养护。</w:t>
      </w:r>
      <w:r/>
    </w:p>
    <w:p>
      <w:pPr>
        <w:ind w:left="0" w:right="0" w:firstLine="48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其中分包二：项目位于宿城经济开发区南片区：包括鸿运路，创业路，建业路，宏业路，轩辕路，敬业路，伟业路，九洲路，华夏大道，四海路，粮食城，民渠路，创业园，吴宿路，振兴路，吴风路，宿湖路，南一路，织锦路，御水家园北侧，支一路，支二路等，共约313208.69平方绿化管养。</w:t>
      </w:r>
      <w:r/>
    </w:p>
    <w:p>
      <w:pPr>
        <w:ind w:left="0" w:right="0" w:firstLine="24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（一）养护标准</w:t>
      </w:r>
      <w:r/>
    </w:p>
    <w:p>
      <w:pPr>
        <w:ind w:left="0" w:right="0" w:firstLine="48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养护工作须达到《江苏省城市园林绿化植物养护管理规范》和《江苏省城市园林建筑和设施维护管理规范》要求，达到二级管护绿地标准。</w:t>
      </w:r>
      <w:r/>
    </w:p>
    <w:p>
      <w:pPr>
        <w:ind w:left="0" w:right="0" w:firstLine="24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（二）最高限价</w:t>
      </w:r>
      <w:r/>
    </w:p>
    <w:p>
      <w:pPr>
        <w:ind w:right="0" w:firstLine="48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本项目最高限价140万元，其中分包一最高限价95万元，分包二最高限价45万元。</w:t>
      </w:r>
      <w:r/>
    </w:p>
    <w:p>
      <w:pPr>
        <w:ind w:left="0" w:right="0" w:firstLine="24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（三）合同履约期限：自合同签订之日起一年。</w:t>
      </w:r>
      <w:r/>
    </w:p>
    <w:p>
      <w:pPr>
        <w:ind w:left="0" w:right="0" w:firstLine="24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（四）付款方式及要求</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预付款：合同金额的10%，合同签订后按规定支付；</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进度款：采取按月拨付管养费用方式，每月初对上个月管养情况进行考核汇总，根据考核结果成交供应商开具正规发票连同相关单据交给采购人审核，采购人按财务管理制度审核无误后，应及时报上级财务部门申请资金给予支付，收到成交供应商发票后10个工作日内支付上月考核费用。</w:t>
      </w:r>
      <w:r/>
    </w:p>
    <w:p>
      <w:pPr>
        <w:ind w:left="0" w:right="0" w:firstLine="482"/>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注：在签订合同时，成交供应商明确表示无需预付款或者主动要求降低预付款比例的，采购人可不适用前述规定。</w:t>
      </w:r>
      <w:r/>
    </w:p>
    <w:p>
      <w:pPr>
        <w:ind w:left="0" w:right="0" w:firstLine="48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1.月度管养费用=合同总价/12个月，合同签订生效后，每月支付一次管养款。</w:t>
      </w:r>
      <w:r/>
    </w:p>
    <w:p>
      <w:pPr>
        <w:ind w:left="0" w:right="0" w:firstLine="48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2.每月底对管养情况进行考核汇总，当月管养费用的70%作为基本管养费用，30%作为考核费用。</w:t>
      </w:r>
      <w:r/>
    </w:p>
    <w:p>
      <w:pPr>
        <w:ind w:left="0" w:right="0" w:firstLine="48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3.当月考核成绩在90—100分（含90分）之间的，当月管养费用为：基本管养费用+[（实际得分）/100]*考核费用；</w:t>
      </w:r>
      <w:r/>
    </w:p>
    <w:p>
      <w:pPr>
        <w:ind w:left="0" w:right="0" w:firstLine="48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4.当月考核成绩在80—90分（含80分）之间的，当月管养费用为基本管养费用+[1-2*（100-实际得分）/100]*考核费用；</w:t>
      </w:r>
      <w:r/>
    </w:p>
    <w:p>
      <w:pPr>
        <w:ind w:left="0" w:right="0" w:firstLine="48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5.当月考核成绩在80分以下为不合格，当月服务费用为基本服务费用。</w:t>
      </w:r>
      <w:r/>
    </w:p>
    <w:p>
      <w:pPr>
        <w:ind w:left="0" w:right="0" w:firstLine="48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6.月考核成绩在60分以下当月管养经费全部扣除。</w:t>
      </w:r>
      <w:r/>
    </w:p>
    <w:p>
      <w:pPr>
        <w:ind w:left="0" w:right="0" w:firstLine="48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7.履约期间，中标人累计3个月考核成绩为不合格的，采购人有权单方终止合同并不予退还履约保证金，同时造成的一切损失由中标方承担。</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8.因区域调整或不可抗力等因素，管养期限以实际管养期限为准。</w:t>
      </w:r>
      <w:r/>
    </w:p>
    <w:p>
      <w:pPr>
        <w:ind w:left="0" w:right="0" w:firstLine="24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（四）具体要求</w:t>
      </w:r>
      <w:r/>
    </w:p>
    <w:p>
      <w:pPr>
        <w:ind w:left="0" w:right="0" w:firstLine="480"/>
        <w:jc w:val="both"/>
        <w:spacing w:before="0" w:after="0"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主要包括绿化整形与修剪、病虫害防治、松土与除草、施肥、支撑、防护与涂白，切边与留积水穴，复壮、管养期内苗木死亡补植、原有苗木移植、标段内土方微调、黄土露天整改、过密绿化的修剪和调整、绿地保洁（含落叶清理）、绿化苗木浇灌与排水、现场及后期移交的相关园林景观设施（含标牌、垃圾桶、座椅、花架花箱等）的保护、保洁和维修、刷漆出新、绿地内硬质铺装的维护保洁，草坪复播，部分草花播种栽植，绿地秩序维护等。</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日常养护：绿地环境清理，所有各类植物养护，包括绿化苗木浇灌与排水、整形与修剪、病虫害防治、松土与除草、施肥（基肥与追肥）、树木涂白，切边与留积水穴，弱苗复壮，树木防护、支撑、裹干物整理，宿根花卉等其他各类植物补植、修剪整理与养护，绿地防火、绿化巡查等绿地防护工作；</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2.草坪更新（铺设）与复播，每年及时对标段内退化草坪进行更新（铺设），确保草坪观赏效果；秋季及时进行黑麦草复播，延长冬季草坪绿色期；</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3.黄土露天整改：包括人行踩踏处理、退化植被更新等，林下耐荫苗木更新栽植等。</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4.管养期内苗木死亡补植、原有苗木疏理移植、标段内土方微调等；</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绿地内硬质铺装、园路、坐凳、廊架栏杆、假山叠石等所有各类设施的保洁、保养维护、损坏维修或出新，如管养期内在管养范围内按上级要求接收管护的相关雕塑、小品、标识标牌等设施，纳入管养范围，费用不另外增加；</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6.服从采购人工作调遣，及时开展临时交办的绿化养护相关工作,如相关调查、信息汇总以及其他临时交办任务；及时高效处理应急抢险工作及其他各项交办事项。</w:t>
      </w:r>
      <w:r/>
    </w:p>
    <w:p>
      <w:pPr>
        <w:ind w:left="0" w:right="0" w:firstLine="482"/>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二、承包方式</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由中标供应商以包工、包料、包质量、包安全的方式实施本项目总承包，中标供应商应对本项目负责，不得分包、转包。如一经发现上述行为，采购人单方有权立即终止本项目承包合同，清退出场，不予退还其履约保证金，由此产生一切法律责任和经济损失均由中标供应商承担。</w:t>
      </w:r>
      <w:r/>
    </w:p>
    <w:p>
      <w:pPr>
        <w:ind w:left="0" w:right="0" w:firstLine="480"/>
        <w:spacing w:before="0" w:after="0" w:line="479" w:lineRule="atLeast"/>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rPr>
        <w:t xml:space="preserve">三、主要清单及养护要求</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（一）苗木数量具体以养护现场为准。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除苗木外，花箱、花钵、花架、坐凳、铺装等园林景观设施也在养护范围内。</w:t>
      </w:r>
      <w:r/>
    </w:p>
    <w:p>
      <w:pPr>
        <w:numPr>
          <w:ilvl w:val="0"/>
          <w:numId w:val="5"/>
        </w:numPr>
        <w:ind w:left="0" w:firstLine="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分包一养护清单明细表如下：</w:t>
      </w:r>
      <w:r/>
    </w:p>
    <w:tbl>
      <w:tblPr>
        <w:tblStyle w:val="8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4"/>
        <w:gridCol w:w="1536"/>
        <w:gridCol w:w="1843"/>
        <w:gridCol w:w="1701"/>
        <w:gridCol w:w="2790"/>
      </w:tblGrid>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shd w:val="clear" w:color="ffffff" w:fill="ffffff"/>
            <w:tcMar>
              <w:left w:w="0" w:type="dxa"/>
              <w:top w:w="0" w:type="dxa"/>
              <w:right w:w="0" w:type="dxa"/>
              <w:bottom w:w="0" w:type="dxa"/>
            </w:tcMar>
            <w:tcW w:w="1536" w:type="dxa"/>
            <w:vAlign w:val="top"/>
            <w:textDirection w:val="lrTb"/>
            <w:noWrap w:val="false"/>
          </w:tcPr>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区域</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面积（㎡）</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起点</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终点</w:t>
            </w:r>
            <w:r/>
          </w:p>
        </w:tc>
      </w:tr>
      <w:tr>
        <w:trPr>
          <w:jc w:val="center"/>
          <w:trHeight w:val="836"/>
        </w:trPr>
        <w:tc>
          <w:tcPr>
            <w:shd w:val="clear" w:color="ffffff" w:fill="ffffff"/>
            <w:tcMar>
              <w:left w:w="0" w:type="dxa"/>
              <w:top w:w="0" w:type="dxa"/>
              <w:right w:w="0" w:type="dxa"/>
              <w:bottom w:w="0" w:type="dxa"/>
            </w:tcMar>
            <w:tcW w:w="794" w:type="dxa"/>
            <w:vAlign w:val="top"/>
            <w:textDirection w:val="lrTb"/>
            <w:noWrap w:val="false"/>
          </w:tcPr>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none"/>
              </w:rPr>
              <w:t xml:space="preserve"> </w:t>
            </w:r>
            <w:r/>
          </w:p>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shd w:val="clear" w:color="ffffff" w:fill="ffffff"/>
            <w:tcMar>
              <w:left w:w="0" w:type="dxa"/>
              <w:top w:w="0" w:type="dxa"/>
              <w:right w:w="0" w:type="dxa"/>
              <w:bottom w:w="0" w:type="dxa"/>
            </w:tcMar>
            <w:tcW w:w="1536" w:type="dxa"/>
            <w:vAlign w:val="top"/>
            <w:textDirection w:val="lrTb"/>
            <w:noWrap w:val="false"/>
          </w:tcPr>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箭鹿大道</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14370</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宿邳路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与园区交汇处（箭鹿集团广告牌南侧30米）</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shd w:val="clear" w:color="ffffff" w:fill="ffffff"/>
            <w:tcMar>
              <w:left w:w="0" w:type="dxa"/>
              <w:top w:w="0" w:type="dxa"/>
              <w:right w:w="0" w:type="dxa"/>
              <w:bottom w:w="0" w:type="dxa"/>
            </w:tcMar>
            <w:tcW w:w="1536" w:type="dxa"/>
            <w:vAlign w:val="top"/>
            <w:textDirection w:val="lrTb"/>
            <w:noWrap w:val="false"/>
          </w:tcPr>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丁七路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4720</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古城路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复旦路</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shd w:val="clear" w:color="ffffff" w:fill="ffffff"/>
            <w:tcMar>
              <w:left w:w="0" w:type="dxa"/>
              <w:top w:w="0" w:type="dxa"/>
              <w:right w:w="0" w:type="dxa"/>
              <w:bottom w:w="0" w:type="dxa"/>
            </w:tcMar>
            <w:tcW w:w="1536"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科兴路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76546</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古城路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徐淮路</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75"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p>
        </w:tc>
        <w:tc>
          <w:tcPr>
            <w:shd w:val="clear" w:color="ffffff" w:fill="ffffff"/>
            <w:tcMar>
              <w:left w:w="0" w:type="dxa"/>
              <w:top w:w="0" w:type="dxa"/>
              <w:right w:w="0" w:type="dxa"/>
              <w:bottom w:w="0" w:type="dxa"/>
            </w:tcMar>
            <w:tcW w:w="1536" w:type="dxa"/>
            <w:vAlign w:val="top"/>
            <w:textDirection w:val="lrTb"/>
            <w:noWrap w:val="false"/>
          </w:tcPr>
          <w:p>
            <w:pPr>
              <w:ind w:left="275"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科创路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22030</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古城路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徐淮路</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83"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p>
        </w:tc>
        <w:tc>
          <w:tcPr>
            <w:shd w:val="clear" w:color="ffffff" w:fill="ffffff"/>
            <w:tcMar>
              <w:left w:w="0" w:type="dxa"/>
              <w:top w:w="0" w:type="dxa"/>
              <w:right w:w="0" w:type="dxa"/>
              <w:bottom w:w="0" w:type="dxa"/>
            </w:tcMar>
            <w:tcW w:w="1536" w:type="dxa"/>
            <w:vAlign w:val="top"/>
            <w:textDirection w:val="lrTb"/>
            <w:noWrap w:val="false"/>
          </w:tcPr>
          <w:p>
            <w:pPr>
              <w:ind w:left="283"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耿龙路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69740</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古城路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徐淮路</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w:t>
            </w:r>
            <w:r/>
          </w:p>
        </w:tc>
        <w:tc>
          <w:tcPr>
            <w:shd w:val="clear" w:color="ffffff" w:fill="ffffff"/>
            <w:tcMar>
              <w:left w:w="0" w:type="dxa"/>
              <w:top w:w="0" w:type="dxa"/>
              <w:right w:w="0" w:type="dxa"/>
              <w:bottom w:w="0" w:type="dxa"/>
            </w:tcMar>
            <w:tcW w:w="1536"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古城路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124678</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通湖大道</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耿龙路</w:t>
            </w:r>
            <w:r/>
          </w:p>
        </w:tc>
      </w:tr>
      <w:tr>
        <w:trPr>
          <w:jc w:val="center"/>
          <w:trHeight w:val="573"/>
        </w:trPr>
        <w:tc>
          <w:tcPr>
            <w:shd w:val="clear" w:color="ffffff" w:fill="ffffff"/>
            <w:tcMar>
              <w:left w:w="0" w:type="dxa"/>
              <w:top w:w="0" w:type="dxa"/>
              <w:right w:w="0" w:type="dxa"/>
              <w:bottom w:w="0" w:type="dxa"/>
            </w:tcMar>
            <w:tcW w:w="794" w:type="dxa"/>
            <w:vAlign w:val="top"/>
            <w:textDirection w:val="lrTb"/>
            <w:noWrap w:val="false"/>
          </w:tcPr>
          <w:p>
            <w:pPr>
              <w:ind w:left="276" w:right="252" w:firstLine="0"/>
              <w:jc w:val="center"/>
              <w:spacing w:before="4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w:t>
            </w:r>
            <w:r/>
          </w:p>
        </w:tc>
        <w:tc>
          <w:tcPr>
            <w:shd w:val="clear" w:color="ffffff" w:fill="ffffff"/>
            <w:tcMar>
              <w:left w:w="0" w:type="dxa"/>
              <w:top w:w="0" w:type="dxa"/>
              <w:right w:w="0" w:type="dxa"/>
              <w:bottom w:w="0" w:type="dxa"/>
            </w:tcMar>
            <w:tcW w:w="1536" w:type="dxa"/>
            <w:vAlign w:val="top"/>
            <w:textDirection w:val="lrTb"/>
            <w:noWrap w:val="false"/>
          </w:tcPr>
          <w:p>
            <w:pPr>
              <w:ind w:left="276" w:right="252" w:firstLine="0"/>
              <w:jc w:val="center"/>
              <w:spacing w:before="4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科工路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4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17737.5</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4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古城路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4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徐淮路</w:t>
            </w:r>
            <w:r/>
          </w:p>
        </w:tc>
      </w:tr>
      <w:tr>
        <w:trPr>
          <w:jc w:val="center"/>
          <w:trHeight w:val="573"/>
        </w:trPr>
        <w:tc>
          <w:tcPr>
            <w:shd w:val="clear" w:color="ffffff" w:fill="ffffff"/>
            <w:tcMar>
              <w:left w:w="0" w:type="dxa"/>
              <w:top w:w="0" w:type="dxa"/>
              <w:right w:w="0" w:type="dxa"/>
              <w:bottom w:w="0" w:type="dxa"/>
            </w:tcMar>
            <w:tcW w:w="794" w:type="dxa"/>
            <w:vAlign w:val="top"/>
            <w:textDirection w:val="lrTb"/>
            <w:noWrap w:val="false"/>
          </w:tcPr>
          <w:p>
            <w:pPr>
              <w:ind w:left="276" w:right="252" w:firstLine="0"/>
              <w:jc w:val="center"/>
              <w:spacing w:before="4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w:t>
            </w:r>
            <w:r/>
          </w:p>
        </w:tc>
        <w:tc>
          <w:tcPr>
            <w:shd w:val="clear" w:color="ffffff" w:fill="ffffff"/>
            <w:tcMar>
              <w:left w:w="0" w:type="dxa"/>
              <w:top w:w="0" w:type="dxa"/>
              <w:right w:w="0" w:type="dxa"/>
              <w:bottom w:w="0" w:type="dxa"/>
            </w:tcMar>
            <w:tcW w:w="1536" w:type="dxa"/>
            <w:vAlign w:val="top"/>
            <w:textDirection w:val="lrTb"/>
            <w:noWrap w:val="false"/>
          </w:tcPr>
          <w:p>
            <w:pPr>
              <w:ind w:left="276" w:right="252" w:firstLine="0"/>
              <w:jc w:val="center"/>
              <w:spacing w:before="4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复旦路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4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15300</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4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科工路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4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西三环</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75"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w:t>
            </w:r>
            <w:r/>
          </w:p>
        </w:tc>
        <w:tc>
          <w:tcPr>
            <w:shd w:val="clear" w:color="ffffff" w:fill="ffffff"/>
            <w:tcMar>
              <w:left w:w="0" w:type="dxa"/>
              <w:top w:w="0" w:type="dxa"/>
              <w:right w:w="0" w:type="dxa"/>
              <w:bottom w:w="0" w:type="dxa"/>
            </w:tcMar>
            <w:tcW w:w="1536" w:type="dxa"/>
            <w:vAlign w:val="top"/>
            <w:textDirection w:val="lrTb"/>
            <w:noWrap w:val="false"/>
          </w:tcPr>
          <w:p>
            <w:pPr>
              <w:ind w:left="275"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隆锦路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47600</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通湖大道</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324省道</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w:t>
            </w:r>
            <w:r/>
          </w:p>
        </w:tc>
        <w:tc>
          <w:tcPr>
            <w:shd w:val="clear" w:color="ffffff" w:fill="ffffff"/>
            <w:tcMar>
              <w:left w:w="0" w:type="dxa"/>
              <w:top w:w="0" w:type="dxa"/>
              <w:right w:w="0" w:type="dxa"/>
              <w:bottom w:w="0" w:type="dxa"/>
            </w:tcMar>
            <w:tcW w:w="1536" w:type="dxa"/>
            <w:vAlign w:val="top"/>
            <w:textDirection w:val="lrTb"/>
            <w:noWrap w:val="false"/>
          </w:tcPr>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科苑路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42600</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古城路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徐淮路</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w:t>
            </w:r>
            <w:r/>
          </w:p>
        </w:tc>
        <w:tc>
          <w:tcPr>
            <w:shd w:val="clear" w:color="ffffff" w:fill="ffffff"/>
            <w:tcMar>
              <w:left w:w="0" w:type="dxa"/>
              <w:top w:w="0" w:type="dxa"/>
              <w:right w:w="0" w:type="dxa"/>
              <w:bottom w:w="0" w:type="dxa"/>
            </w:tcMar>
            <w:tcW w:w="1536" w:type="dxa"/>
            <w:vAlign w:val="top"/>
            <w:textDirection w:val="lrTb"/>
            <w:noWrap w:val="false"/>
          </w:tcPr>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纬二路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4885</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耿龙路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科兴路</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w:t>
            </w:r>
            <w:r/>
          </w:p>
        </w:tc>
        <w:tc>
          <w:tcPr>
            <w:shd w:val="clear" w:color="ffffff" w:fill="ffffff"/>
            <w:tcMar>
              <w:left w:w="0" w:type="dxa"/>
              <w:top w:w="0" w:type="dxa"/>
              <w:right w:w="0" w:type="dxa"/>
              <w:bottom w:w="0" w:type="dxa"/>
            </w:tcMar>
            <w:tcW w:w="1536"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纬一路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6800</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耿龙路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科兴路</w:t>
            </w:r>
            <w:r/>
          </w:p>
        </w:tc>
      </w:tr>
      <w:tr>
        <w:trPr>
          <w:jc w:val="center"/>
          <w:trHeight w:val="1089"/>
        </w:trPr>
        <w:tc>
          <w:tcPr>
            <w:shd w:val="clear" w:color="ffffff" w:fill="ffffff"/>
            <w:tcMar>
              <w:left w:w="0" w:type="dxa"/>
              <w:top w:w="0" w:type="dxa"/>
              <w:right w:w="0" w:type="dxa"/>
              <w:bottom w:w="0" w:type="dxa"/>
            </w:tcMar>
            <w:tcW w:w="794"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w:t>
            </w:r>
            <w:r/>
          </w:p>
        </w:tc>
        <w:tc>
          <w:tcPr>
            <w:shd w:val="clear" w:color="ffffff" w:fill="ffffff"/>
            <w:tcMar>
              <w:left w:w="0" w:type="dxa"/>
              <w:top w:w="0" w:type="dxa"/>
              <w:right w:w="0" w:type="dxa"/>
              <w:bottom w:w="0" w:type="dxa"/>
            </w:tcMar>
            <w:tcW w:w="1536"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纬二路南侧（包含河道）</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38800</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科苑路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科兴路</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w:t>
            </w:r>
            <w:r/>
          </w:p>
        </w:tc>
        <w:tc>
          <w:tcPr>
            <w:shd w:val="clear" w:color="ffffff" w:fill="ffffff"/>
            <w:tcMar>
              <w:left w:w="0" w:type="dxa"/>
              <w:top w:w="0" w:type="dxa"/>
              <w:right w:w="0" w:type="dxa"/>
              <w:bottom w:w="0" w:type="dxa"/>
            </w:tcMar>
            <w:tcW w:w="1536"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经七路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38600</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复旦路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纬二路</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w:t>
            </w:r>
            <w:r/>
          </w:p>
        </w:tc>
        <w:tc>
          <w:tcPr>
            <w:shd w:val="clear" w:color="ffffff" w:fill="ffffff"/>
            <w:tcMar>
              <w:left w:w="0" w:type="dxa"/>
              <w:top w:w="0" w:type="dxa"/>
              <w:right w:w="0" w:type="dxa"/>
              <w:bottom w:w="0" w:type="dxa"/>
            </w:tcMar>
            <w:tcW w:w="1536"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光年路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308</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科苑路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徐淮路</w:t>
            </w:r>
            <w:r/>
          </w:p>
        </w:tc>
      </w:tr>
      <w:tr>
        <w:trPr>
          <w:jc w:val="center"/>
          <w:trHeight w:val="1086"/>
        </w:trPr>
        <w:tc>
          <w:tcPr>
            <w:shd w:val="clear" w:color="ffffff" w:fill="ffffff"/>
            <w:tcMar>
              <w:left w:w="0" w:type="dxa"/>
              <w:top w:w="0" w:type="dxa"/>
              <w:right w:w="0" w:type="dxa"/>
              <w:bottom w:w="0" w:type="dxa"/>
            </w:tcMar>
            <w:tcW w:w="794"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w:t>
            </w:r>
            <w:r/>
          </w:p>
        </w:tc>
        <w:tc>
          <w:tcPr>
            <w:shd w:val="clear" w:color="ffffff" w:fill="ffffff"/>
            <w:tcMar>
              <w:left w:w="0" w:type="dxa"/>
              <w:top w:w="0" w:type="dxa"/>
              <w:right w:w="0" w:type="dxa"/>
              <w:bottom w:w="0" w:type="dxa"/>
            </w:tcMar>
            <w:tcW w:w="1536"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勇进路</w:t>
            </w:r>
            <w:r/>
          </w:p>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（包括河道绿化）</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101082</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徐淮路</w:t>
            </w:r>
            <w:r/>
          </w:p>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（牌坊加油站）</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五一路</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w:t>
            </w:r>
            <w:r/>
          </w:p>
        </w:tc>
        <w:tc>
          <w:tcPr>
            <w:shd w:val="clear" w:color="ffffff" w:fill="ffffff"/>
            <w:tcMar>
              <w:left w:w="0" w:type="dxa"/>
              <w:top w:w="0" w:type="dxa"/>
              <w:right w:w="0" w:type="dxa"/>
              <w:bottom w:w="0" w:type="dxa"/>
            </w:tcMar>
            <w:tcW w:w="1536" w:type="dxa"/>
            <w:vAlign w:val="top"/>
            <w:textDirection w:val="lrTb"/>
            <w:noWrap w:val="false"/>
          </w:tcPr>
          <w:p>
            <w:pPr>
              <w:ind w:left="283" w:right="251"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铂金美寓南门</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4200</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科苑路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科兴路</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w:t>
            </w:r>
            <w:r/>
          </w:p>
        </w:tc>
        <w:tc>
          <w:tcPr>
            <w:shd w:val="clear" w:color="ffffff" w:fill="ffffff"/>
            <w:tcMar>
              <w:left w:w="0" w:type="dxa"/>
              <w:top w:w="0" w:type="dxa"/>
              <w:right w:w="0" w:type="dxa"/>
              <w:bottom w:w="0" w:type="dxa"/>
            </w:tcMar>
            <w:tcW w:w="1536" w:type="dxa"/>
            <w:vAlign w:val="top"/>
            <w:textDirection w:val="lrTb"/>
            <w:noWrap w:val="false"/>
          </w:tcPr>
          <w:p>
            <w:pPr>
              <w:ind w:left="276"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电子电器院内</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31560</w:t>
            </w:r>
            <w:r/>
          </w:p>
        </w:tc>
        <w:tc>
          <w:tcPr>
            <w:gridSpan w:val="2"/>
            <w:shd w:val="clear" w:color="ffffff" w:fill="ffffff"/>
            <w:tcMar>
              <w:left w:w="0" w:type="dxa"/>
              <w:top w:w="0" w:type="dxa"/>
              <w:right w:w="0" w:type="dxa"/>
              <w:bottom w:w="0" w:type="dxa"/>
            </w:tcMar>
            <w:tcW w:w="449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none"/>
              </w:rPr>
              <w:t xml:space="preserve">隆锦路</w:t>
            </w:r>
            <w:r>
              <w:rPr>
                <w:rFonts w:hint="eastAsia" w:ascii="宋体" w:hAnsi="宋体" w:eastAsia="宋体" w:cs="宋体"/>
                <w:color w:val="auto"/>
                <w:sz w:val="24"/>
                <w:highlight w:val="none"/>
              </w:rPr>
              <w:t xml:space="preserve">与科苑路交汇处</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75"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w:t>
            </w:r>
            <w:r/>
          </w:p>
        </w:tc>
        <w:tc>
          <w:tcPr>
            <w:shd w:val="clear" w:color="ffffff" w:fill="ffffff"/>
            <w:tcMar>
              <w:left w:w="0" w:type="dxa"/>
              <w:top w:w="0" w:type="dxa"/>
              <w:right w:w="0" w:type="dxa"/>
              <w:bottom w:w="0" w:type="dxa"/>
            </w:tcMar>
            <w:tcW w:w="1536" w:type="dxa"/>
            <w:vAlign w:val="top"/>
            <w:textDirection w:val="lrTb"/>
            <w:noWrap w:val="false"/>
          </w:tcPr>
          <w:p>
            <w:pPr>
              <w:ind w:left="275"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城投公司院内</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4620</w:t>
            </w:r>
            <w:r/>
          </w:p>
        </w:tc>
        <w:tc>
          <w:tcPr>
            <w:gridSpan w:val="2"/>
            <w:shd w:val="clear" w:color="ffffff" w:fill="ffffff"/>
            <w:tcMar>
              <w:left w:w="0" w:type="dxa"/>
              <w:top w:w="0" w:type="dxa"/>
              <w:right w:w="0" w:type="dxa"/>
              <w:bottom w:w="0" w:type="dxa"/>
            </w:tcMar>
            <w:tcW w:w="449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古城路与科工路交汇处</w:t>
            </w:r>
            <w:r/>
          </w:p>
        </w:tc>
      </w:tr>
      <w:tr>
        <w:trPr>
          <w:jc w:val="center"/>
          <w:trHeight w:val="565"/>
        </w:trPr>
        <w:tc>
          <w:tcPr>
            <w:shd w:val="clear" w:color="ffffff" w:fill="ffffff"/>
            <w:tcMar>
              <w:left w:w="0" w:type="dxa"/>
              <w:top w:w="0" w:type="dxa"/>
              <w:right w:w="0" w:type="dxa"/>
              <w:bottom w:w="0" w:type="dxa"/>
            </w:tcMar>
            <w:tcW w:w="794" w:type="dxa"/>
            <w:vAlign w:val="top"/>
            <w:textDirection w:val="lrTb"/>
            <w:noWrap w:val="false"/>
          </w:tcPr>
          <w:p>
            <w:pPr>
              <w:ind w:left="275"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w:t>
            </w:r>
            <w:r/>
          </w:p>
        </w:tc>
        <w:tc>
          <w:tcPr>
            <w:shd w:val="clear" w:color="ffffff" w:fill="ffffff"/>
            <w:tcMar>
              <w:left w:w="0" w:type="dxa"/>
              <w:top w:w="0" w:type="dxa"/>
              <w:right w:w="0" w:type="dxa"/>
              <w:bottom w:w="0" w:type="dxa"/>
            </w:tcMar>
            <w:tcW w:w="1536" w:type="dxa"/>
            <w:vAlign w:val="top"/>
            <w:textDirection w:val="lrTb"/>
            <w:noWrap w:val="false"/>
          </w:tcPr>
          <w:p>
            <w:pPr>
              <w:ind w:left="275" w:right="252"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经三路</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2000</w:t>
            </w:r>
            <w:r/>
          </w:p>
        </w:tc>
        <w:tc>
          <w:tcPr>
            <w:shd w:val="clear" w:color="ffffff" w:fill="ffffff"/>
            <w:tcMar>
              <w:left w:w="0" w:type="dxa"/>
              <w:top w:w="0" w:type="dxa"/>
              <w:right w:w="0" w:type="dxa"/>
              <w:bottom w:w="0" w:type="dxa"/>
            </w:tcMar>
            <w:tcW w:w="1701"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隆锦路</w:t>
            </w:r>
            <w:r/>
          </w:p>
        </w:tc>
        <w:tc>
          <w:tcPr>
            <w:shd w:val="clear" w:color="ffffff" w:fill="ffffff"/>
            <w:tcMar>
              <w:left w:w="0" w:type="dxa"/>
              <w:top w:w="0" w:type="dxa"/>
              <w:right w:w="0" w:type="dxa"/>
              <w:bottom w:w="0" w:type="dxa"/>
            </w:tcMar>
            <w:tcW w:w="2790" w:type="dxa"/>
            <w:vAlign w:val="top"/>
            <w:textDirection w:val="lrTb"/>
            <w:noWrap w:val="false"/>
          </w:tcPr>
          <w:p>
            <w:pPr>
              <w:ind w:left="301" w:right="269" w:firstLine="0"/>
              <w:jc w:val="center"/>
              <w:spacing w:before="3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复旦路</w:t>
            </w:r>
            <w:r/>
          </w:p>
        </w:tc>
      </w:tr>
      <w:tr>
        <w:trPr>
          <w:jc w:val="center"/>
          <w:trHeight w:val="582"/>
        </w:trPr>
        <w:tc>
          <w:tcPr>
            <w:shd w:val="clear" w:color="ffffff" w:fill="ffffff"/>
            <w:tcMar>
              <w:left w:w="0" w:type="dxa"/>
              <w:top w:w="0" w:type="dxa"/>
              <w:right w:w="0" w:type="dxa"/>
              <w:bottom w:w="0" w:type="dxa"/>
            </w:tcMar>
            <w:tcW w:w="794" w:type="dxa"/>
            <w:vAlign w:val="top"/>
            <w:textDirection w:val="lrTb"/>
            <w:noWrap w:val="false"/>
          </w:tcPr>
          <w:p>
            <w:pPr>
              <w:ind w:left="283" w:right="251" w:firstLine="0"/>
              <w:jc w:val="center"/>
              <w:spacing w:before="4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shd w:val="clear" w:color="ffffff" w:fill="ffffff"/>
            <w:tcMar>
              <w:left w:w="0" w:type="dxa"/>
              <w:top w:w="0" w:type="dxa"/>
              <w:right w:w="0" w:type="dxa"/>
              <w:bottom w:w="0" w:type="dxa"/>
            </w:tcMar>
            <w:tcW w:w="1536" w:type="dxa"/>
            <w:vAlign w:val="top"/>
            <w:textDirection w:val="lrTb"/>
            <w:noWrap w:val="false"/>
          </w:tcPr>
          <w:p>
            <w:pPr>
              <w:ind w:left="283" w:right="251" w:firstLine="0"/>
              <w:jc w:val="center"/>
              <w:spacing w:before="4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合计</w:t>
            </w:r>
            <w:r/>
          </w:p>
        </w:tc>
        <w:tc>
          <w:tcPr>
            <w:shd w:val="clear" w:color="ffffff" w:fill="ffffff"/>
            <w:tcMar>
              <w:left w:w="0" w:type="dxa"/>
              <w:top w:w="0" w:type="dxa"/>
              <w:right w:w="0" w:type="dxa"/>
              <w:bottom w:w="0" w:type="dxa"/>
            </w:tcMar>
            <w:tcW w:w="1843" w:type="dxa"/>
            <w:vAlign w:val="top"/>
            <w:textDirection w:val="lrTb"/>
            <w:noWrap w:val="false"/>
          </w:tcPr>
          <w:p>
            <w:pPr>
              <w:ind w:left="301" w:right="269" w:firstLine="0"/>
              <w:jc w:val="center"/>
              <w:spacing w:before="4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u w:val="none"/>
              </w:rPr>
              <w:t xml:space="preserve">668176.50</w:t>
            </w:r>
            <w:r/>
          </w:p>
        </w:tc>
        <w:tc>
          <w:tcPr>
            <w:shd w:val="clear" w:color="ffffff" w:fill="ffffff"/>
            <w:tcMar>
              <w:left w:w="0" w:type="dxa"/>
              <w:top w:w="0" w:type="dxa"/>
              <w:right w:w="0" w:type="dxa"/>
              <w:bottom w:w="0" w:type="dxa"/>
            </w:tcMar>
            <w:tcW w:w="1701" w:type="dxa"/>
            <w:vAlign w:val="top"/>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shd w:val="clear" w:color="ffffff" w:fill="ffffff"/>
            <w:tcMar>
              <w:left w:w="0" w:type="dxa"/>
              <w:top w:w="0" w:type="dxa"/>
              <w:right w:w="0" w:type="dxa"/>
              <w:bottom w:w="0" w:type="dxa"/>
            </w:tcMar>
            <w:tcW w:w="2790" w:type="dxa"/>
            <w:vAlign w:val="top"/>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numPr>
          <w:ilvl w:val="0"/>
          <w:numId w:val="6"/>
        </w:numPr>
        <w:ind w:left="0" w:firstLine="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分包二养护清单明细表如下：</w:t>
      </w:r>
      <w:r/>
    </w:p>
    <w:tbl>
      <w:tblPr>
        <w:tblStyle w:val="8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868"/>
        <w:gridCol w:w="2145"/>
        <w:gridCol w:w="1908"/>
        <w:gridCol w:w="2166"/>
      </w:tblGrid>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序号</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区域</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面积（㎡）</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起点</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终点</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鸿运路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24076.80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黄河路</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华夏大道</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华厦大道</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1841.06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鸿运路</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南京路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华厦大道</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16800.00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鸿运路</w:t>
            </w:r>
            <w:r/>
          </w:p>
        </w:tc>
        <w:tc>
          <w:tcPr>
            <w:tcMar>
              <w:left w:w="108" w:type="dxa"/>
              <w:top w:w="0" w:type="dxa"/>
              <w:right w:w="108" w:type="dxa"/>
              <w:bottom w:w="0" w:type="dxa"/>
            </w:tcMar>
            <w:tcW w:w="2166"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宏业路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华厦大道</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3643.20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宏业路</w:t>
            </w:r>
            <w:r/>
          </w:p>
        </w:tc>
        <w:tc>
          <w:tcPr>
            <w:tcMar>
              <w:left w:w="108" w:type="dxa"/>
              <w:top w:w="0" w:type="dxa"/>
              <w:right w:w="108" w:type="dxa"/>
              <w:bottom w:w="0" w:type="dxa"/>
            </w:tcMar>
            <w:tcW w:w="2166"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建业路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华厦大道</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11523.15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建业路</w:t>
            </w:r>
            <w:r/>
          </w:p>
        </w:tc>
        <w:tc>
          <w:tcPr>
            <w:tcMar>
              <w:left w:w="108" w:type="dxa"/>
              <w:top w:w="0" w:type="dxa"/>
              <w:right w:w="108" w:type="dxa"/>
              <w:bottom w:w="0" w:type="dxa"/>
            </w:tcMar>
            <w:tcW w:w="2166"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北京路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创业路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7057.50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黄河路</w:t>
            </w:r>
            <w:r/>
          </w:p>
        </w:tc>
        <w:tc>
          <w:tcPr>
            <w:tcMar>
              <w:left w:w="108" w:type="dxa"/>
              <w:top w:w="0" w:type="dxa"/>
              <w:right w:w="108" w:type="dxa"/>
              <w:bottom w:w="0" w:type="dxa"/>
            </w:tcMar>
            <w:tcW w:w="2166"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华夏大道</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创业路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2698.60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华夏大道</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轩辕路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建业路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1864.00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华夏大道</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轩辕路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建业路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2966.60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华夏大道</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轩辕路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宏业路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3196.40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华夏大道</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轩辕路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宏业路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3433.08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华夏大道</w:t>
            </w:r>
            <w:r/>
          </w:p>
        </w:tc>
        <w:tc>
          <w:tcPr>
            <w:tcMar>
              <w:left w:w="108" w:type="dxa"/>
              <w:top w:w="0" w:type="dxa"/>
              <w:right w:w="108" w:type="dxa"/>
              <w:bottom w:w="0" w:type="dxa"/>
            </w:tcMar>
            <w:tcW w:w="2166"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炎黄路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轩辕路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4685.38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村庄</w:t>
            </w:r>
            <w:r/>
          </w:p>
        </w:tc>
        <w:tc>
          <w:tcPr>
            <w:tcMar>
              <w:left w:w="108" w:type="dxa"/>
              <w:top w:w="0" w:type="dxa"/>
              <w:right w:w="108" w:type="dxa"/>
              <w:bottom w:w="0" w:type="dxa"/>
            </w:tcMar>
            <w:tcW w:w="2166"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建业路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轩辕路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2254.00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建业路</w:t>
            </w:r>
            <w:r/>
          </w:p>
        </w:tc>
        <w:tc>
          <w:tcPr>
            <w:tcMar>
              <w:left w:w="108" w:type="dxa"/>
              <w:top w:w="0" w:type="dxa"/>
              <w:right w:w="108" w:type="dxa"/>
              <w:bottom w:w="0" w:type="dxa"/>
            </w:tcMar>
            <w:tcW w:w="2166"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宏业路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轩辕路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5478.20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宏业路</w:t>
            </w:r>
            <w:r/>
          </w:p>
        </w:tc>
        <w:tc>
          <w:tcPr>
            <w:tcMar>
              <w:left w:w="108" w:type="dxa"/>
              <w:top w:w="0" w:type="dxa"/>
              <w:right w:w="108" w:type="dxa"/>
              <w:bottom w:w="0" w:type="dxa"/>
            </w:tcMar>
            <w:tcW w:w="2166"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敬业路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敬业路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2621.60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轩辕路</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华夏大道</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敬业路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3039.20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华夏大道</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炎黄路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伟业路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5250.00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液气站</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村庄</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18</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伟业路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2886.84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炎黄路</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黄河路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九州路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6976.20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伟业路</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鸿运路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20</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四海路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5868.20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北京路</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小区东</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粮食城</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113.60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粮食城</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1984.68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粮食城</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5439.70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粮食城</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10214.21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粮食城</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70.80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粮食城</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268.24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27</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粮食城</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408.90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28</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粮食城</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710.64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29</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粮食城</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2535.98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30</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粮食城</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321.48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民渠路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19748.25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南京路</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南一路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民渠路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640.00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创业园</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6750.00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w:t>
            </w:r>
            <w:r/>
          </w:p>
        </w:tc>
        <w:tc>
          <w:tcPr>
            <w:tcMar>
              <w:left w:w="108" w:type="dxa"/>
              <w:top w:w="0" w:type="dxa"/>
              <w:right w:w="108" w:type="dxa"/>
              <w:bottom w:w="0" w:type="dxa"/>
            </w:tcMar>
            <w:tcW w:w="1868" w:type="dxa"/>
            <w:vAlign w:val="center"/>
            <w:vMerge w:val="restart"/>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创业园</w:t>
            </w:r>
            <w:r/>
          </w:p>
        </w:tc>
        <w:tc>
          <w:tcPr>
            <w:tcMar>
              <w:left w:w="108" w:type="dxa"/>
              <w:top w:w="0" w:type="dxa"/>
              <w:right w:w="108" w:type="dxa"/>
              <w:bottom w:w="0" w:type="dxa"/>
            </w:tcMar>
            <w:tcW w:w="2145"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1700.00 </w:t>
            </w:r>
            <w:r/>
          </w:p>
        </w:tc>
        <w:tc>
          <w:tcPr>
            <w:tcMar>
              <w:left w:w="108" w:type="dxa"/>
              <w:top w:w="0" w:type="dxa"/>
              <w:right w:w="108" w:type="dxa"/>
              <w:bottom w:w="0" w:type="dxa"/>
            </w:tcMar>
            <w:tcW w:w="1908"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35</w:t>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2145"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1751.60 </w:t>
            </w:r>
            <w:r/>
          </w:p>
        </w:tc>
        <w:tc>
          <w:tcPr>
            <w:tcMar>
              <w:left w:w="108" w:type="dxa"/>
              <w:top w:w="0" w:type="dxa"/>
              <w:right w:w="108" w:type="dxa"/>
              <w:bottom w:w="0" w:type="dxa"/>
            </w:tcMar>
            <w:tcW w:w="1908"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36</w:t>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2145"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2137.60 </w:t>
            </w:r>
            <w:r/>
          </w:p>
        </w:tc>
        <w:tc>
          <w:tcPr>
            <w:tcMar>
              <w:left w:w="108" w:type="dxa"/>
              <w:top w:w="0" w:type="dxa"/>
              <w:right w:w="108" w:type="dxa"/>
              <w:bottom w:w="0" w:type="dxa"/>
            </w:tcMar>
            <w:tcW w:w="1908"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37</w:t>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2145"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897.60 </w:t>
            </w:r>
            <w:r/>
          </w:p>
        </w:tc>
        <w:tc>
          <w:tcPr>
            <w:tcMar>
              <w:left w:w="108" w:type="dxa"/>
              <w:top w:w="0" w:type="dxa"/>
              <w:right w:w="108" w:type="dxa"/>
              <w:bottom w:w="0" w:type="dxa"/>
            </w:tcMar>
            <w:tcW w:w="1908"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38</w:t>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400.00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39</w:t>
            </w:r>
            <w:r/>
          </w:p>
        </w:tc>
        <w:tc>
          <w:tcPr>
            <w:vMerge w:val="continue"/>
            <w:textDirection w:val="lrTb"/>
            <w:noWrap w:val="false"/>
          </w:tcPr>
          <w:p>
            <w:pPr>
              <w:spacing w:after="0"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3764.80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40</w:t>
            </w:r>
            <w:r/>
          </w:p>
        </w:tc>
        <w:tc>
          <w:tcPr>
            <w:tcMar>
              <w:left w:w="108" w:type="dxa"/>
              <w:top w:w="0" w:type="dxa"/>
              <w:right w:w="108" w:type="dxa"/>
              <w:bottom w:w="0" w:type="dxa"/>
            </w:tcMar>
            <w:tcW w:w="1868"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创业园</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582.80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41</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吴宿路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6381.20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民渠路</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振兴路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42</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吴宿路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374.00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43</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振兴路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15392.00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南京路</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南一路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44</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振兴路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380.00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45</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吴风路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7420.00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民渠路</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振兴路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46</w:t>
            </w:r>
            <w:r/>
          </w:p>
        </w:tc>
        <w:tc>
          <w:tcPr>
            <w:tcMar>
              <w:left w:w="108" w:type="dxa"/>
              <w:top w:w="0" w:type="dxa"/>
              <w:right w:w="108" w:type="dxa"/>
              <w:bottom w:w="0" w:type="dxa"/>
            </w:tcMar>
            <w:tcW w:w="1868"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吴风路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374.00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47</w:t>
            </w:r>
            <w:r/>
          </w:p>
        </w:tc>
        <w:tc>
          <w:tcPr>
            <w:tcMar>
              <w:left w:w="108" w:type="dxa"/>
              <w:top w:w="0" w:type="dxa"/>
              <w:right w:w="108" w:type="dxa"/>
              <w:bottom w:w="0" w:type="dxa"/>
            </w:tcMar>
            <w:tcW w:w="1868"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吴中路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2476.40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吴风路</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吴宿路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48</w:t>
            </w:r>
            <w:r/>
          </w:p>
        </w:tc>
        <w:tc>
          <w:tcPr>
            <w:tcMar>
              <w:left w:w="108" w:type="dxa"/>
              <w:top w:w="0" w:type="dxa"/>
              <w:right w:w="108" w:type="dxa"/>
              <w:bottom w:w="0" w:type="dxa"/>
            </w:tcMar>
            <w:tcW w:w="1868"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宿湖路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6349.20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南一路</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南京路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49</w:t>
            </w:r>
            <w:r/>
          </w:p>
        </w:tc>
        <w:tc>
          <w:tcPr>
            <w:tcMar>
              <w:left w:w="108" w:type="dxa"/>
              <w:top w:w="0" w:type="dxa"/>
              <w:right w:w="108" w:type="dxa"/>
              <w:bottom w:w="0" w:type="dxa"/>
            </w:tcMar>
            <w:tcW w:w="1868"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宿湖路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190.00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50</w:t>
            </w:r>
            <w:r/>
          </w:p>
        </w:tc>
        <w:tc>
          <w:tcPr>
            <w:tcMar>
              <w:left w:w="108" w:type="dxa"/>
              <w:top w:w="0" w:type="dxa"/>
              <w:right w:w="108" w:type="dxa"/>
              <w:bottom w:w="0" w:type="dxa"/>
            </w:tcMar>
            <w:tcW w:w="1868"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南一路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14678.50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黄河桥</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村庄</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51</w:t>
            </w:r>
            <w:r/>
          </w:p>
        </w:tc>
        <w:tc>
          <w:tcPr>
            <w:tcMar>
              <w:left w:w="108" w:type="dxa"/>
              <w:top w:w="0" w:type="dxa"/>
              <w:right w:w="108" w:type="dxa"/>
              <w:bottom w:w="0" w:type="dxa"/>
            </w:tcMar>
            <w:tcW w:w="1868"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南一路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7120.00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黄河桥</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民渠路</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52</w:t>
            </w:r>
            <w:r/>
          </w:p>
        </w:tc>
        <w:tc>
          <w:tcPr>
            <w:tcMar>
              <w:left w:w="108" w:type="dxa"/>
              <w:top w:w="0" w:type="dxa"/>
              <w:right w:w="108" w:type="dxa"/>
              <w:bottom w:w="0" w:type="dxa"/>
            </w:tcMar>
            <w:tcW w:w="1868" w:type="dxa"/>
            <w:vAlign w:val="center"/>
            <w:textDirection w:val="lrTb"/>
            <w:noWrap/>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织锦路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44222.50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南京路</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财贸城</w:t>
            </w:r>
            <w:r/>
          </w:p>
        </w:tc>
      </w:tr>
      <w:tr>
        <w:trPr>
          <w:jc w:val="center"/>
          <w:trHeight w:val="803"/>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53</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御水家园北侧</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14820.00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54</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支一路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6780.00</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7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55</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支二路</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7650.00 </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r>
        <w:trPr>
          <w:jc w:val="center"/>
          <w:trHeight w:val="581"/>
        </w:trPr>
        <w:tc>
          <w:tcPr>
            <w:tcMar>
              <w:left w:w="108" w:type="dxa"/>
              <w:top w:w="0" w:type="dxa"/>
              <w:right w:w="108" w:type="dxa"/>
              <w:bottom w:w="0" w:type="dxa"/>
            </w:tcMar>
            <w:tcW w:w="45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186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合计</w:t>
            </w:r>
            <w:r/>
          </w:p>
        </w:tc>
        <w:tc>
          <w:tcPr>
            <w:tcMar>
              <w:left w:w="108" w:type="dxa"/>
              <w:top w:w="0" w:type="dxa"/>
              <w:right w:w="108" w:type="dxa"/>
              <w:bottom w:w="0" w:type="dxa"/>
            </w:tcMar>
            <w:tcW w:w="2145"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313208.69</w:t>
            </w:r>
            <w:r/>
          </w:p>
        </w:tc>
        <w:tc>
          <w:tcPr>
            <w:tcMar>
              <w:left w:w="108" w:type="dxa"/>
              <w:top w:w="0" w:type="dxa"/>
              <w:right w:w="108" w:type="dxa"/>
              <w:bottom w:w="0" w:type="dxa"/>
            </w:tcMar>
            <w:tcW w:w="1908"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c>
          <w:tcPr>
            <w:tcMar>
              <w:left w:w="108" w:type="dxa"/>
              <w:top w:w="0" w:type="dxa"/>
              <w:right w:w="108" w:type="dxa"/>
              <w:bottom w:w="0" w:type="dxa"/>
            </w:tcMar>
            <w:tcW w:w="2166" w:type="dxa"/>
            <w:vAlign w:val="center"/>
            <w:textDirection w:val="lrTb"/>
            <w:noWrap w:val="false"/>
          </w:tcPr>
          <w:p>
            <w:pPr>
              <w:ind w:left="0" w:right="0"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tc>
      </w:tr>
    </w:tbl>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注：本项的所有涉及工程量均为采购人根据本项目现场情况进行预估测算得出，仅供参照，实际过程中会有一定调整，原则上不得超出预估量。合同期限内因工程项目移交养护的，中标供应商无条件接收，费用不另外追加。报价时应充分考虑。</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（二）园林植物养护标准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符合《江苏省城市绿地养护管理预算定额》、《江苏省城市园林植物养护管理规范及分级标准（201508）》二级标准相关要求，按照《宿迁市园林绿化养护管理标准》二级标准、《宿迁市城市绿地养护管理工作月历》要求进行养护。</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（三）人员配备要求</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以下人员中，除项目负责人外，其他人员(含技术负责人)可在中标后，由中标供应商在规定时间内按上述要求配备到位，并依法签订劳动合同，缴纳保险，人员名单及人员资格证书由采购人按上述要求审核后进场。</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2.本项目除项目负责人和技术负责人可兼任采购人其他项目的项目负责人或技术负责人外，其他人员不得兼职。</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（1）分包一人员配备要求如下：</w:t>
      </w:r>
      <w:r/>
    </w:p>
    <w:tbl>
      <w:tblPr>
        <w:tblStyle w:val="816"/>
        <w:tblpPr w:horzAnchor="page" w:tblpXSpec="center" w:vertAnchor="text" w:tblpY="485" w:leftFromText="180" w:topFromText="0" w:rightFromText="180" w:bottomFromText="0"/>
        <w:tblW w:w="85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2"/>
        <w:gridCol w:w="797"/>
        <w:gridCol w:w="720"/>
        <w:gridCol w:w="892"/>
        <w:gridCol w:w="2364"/>
        <w:gridCol w:w="3127"/>
      </w:tblGrid>
      <w:tr>
        <w:trPr>
          <w:jc w:val="center"/>
          <w:trHeight w:val="318"/>
        </w:trPr>
        <w:tc>
          <w:tcPr>
            <w:gridSpan w:val="7"/>
            <w:shd w:val="clear" w:color="ffffff" w:fill="ffffff"/>
            <w:tcMar>
              <w:left w:w="0" w:type="dxa"/>
              <w:top w:w="0" w:type="dxa"/>
              <w:right w:w="0" w:type="dxa"/>
              <w:bottom w:w="0" w:type="dxa"/>
            </w:tcMar>
            <w:tcW w:w="8553"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一、管理人员配备要求</w:t>
            </w:r>
            <w:r/>
          </w:p>
        </w:tc>
      </w:tr>
      <w:tr>
        <w:trPr>
          <w:jc w:val="center"/>
          <w:trHeight w:val="640"/>
        </w:trPr>
        <w:tc>
          <w:tcPr>
            <w:gridSpan w:val="3"/>
            <w:shd w:val="clear" w:color="ffffff" w:fill="ffffff"/>
            <w:tcMar>
              <w:left w:w="0" w:type="dxa"/>
              <w:top w:w="0" w:type="dxa"/>
              <w:right w:w="0" w:type="dxa"/>
              <w:bottom w:w="0" w:type="dxa"/>
            </w:tcMar>
            <w:tcW w:w="145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岗位名称</w:t>
            </w:r>
            <w:r/>
          </w:p>
        </w:tc>
        <w:tc>
          <w:tcPr>
            <w:shd w:val="clear" w:color="ffffff" w:fill="ffffff"/>
            <w:tcMar>
              <w:left w:w="0" w:type="dxa"/>
              <w:top w:w="0" w:type="dxa"/>
              <w:right w:w="0" w:type="dxa"/>
              <w:bottom w:w="0" w:type="dxa"/>
            </w:tcMar>
            <w:tcW w:w="72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最低限</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（人）</w:t>
            </w:r>
            <w:r/>
          </w:p>
        </w:tc>
        <w:tc>
          <w:tcPr>
            <w:shd w:val="clear" w:color="ffffff" w:fill="ffffff"/>
            <w:tcMar>
              <w:left w:w="0" w:type="dxa"/>
              <w:top w:w="0" w:type="dxa"/>
              <w:right w:w="0" w:type="dxa"/>
              <w:bottom w:w="0" w:type="dxa"/>
            </w:tcMar>
            <w:tcW w:w="892"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年龄</w:t>
            </w:r>
            <w:r/>
          </w:p>
        </w:tc>
        <w:tc>
          <w:tcPr>
            <w:shd w:val="clear" w:color="ffffff" w:fill="ffffff"/>
            <w:tcMar>
              <w:left w:w="0" w:type="dxa"/>
              <w:top w:w="0" w:type="dxa"/>
              <w:right w:w="0" w:type="dxa"/>
              <w:bottom w:w="0" w:type="dxa"/>
            </w:tcMar>
            <w:tcW w:w="2364"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要求</w:t>
            </w:r>
            <w:r/>
          </w:p>
        </w:tc>
        <w:tc>
          <w:tcPr>
            <w:shd w:val="clear" w:color="ffffff" w:fill="ffffff"/>
            <w:tcMar>
              <w:left w:w="0" w:type="dxa"/>
              <w:top w:w="0" w:type="dxa"/>
              <w:right w:w="0" w:type="dxa"/>
              <w:bottom w:w="0" w:type="dxa"/>
            </w:tcMar>
            <w:tcW w:w="312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其他要求</w:t>
            </w:r>
            <w:r/>
          </w:p>
        </w:tc>
      </w:tr>
      <w:tr>
        <w:trPr>
          <w:jc w:val="center"/>
          <w:trHeight w:val="376"/>
        </w:trPr>
        <w:tc>
          <w:tcPr>
            <w:gridSpan w:val="3"/>
            <w:shd w:val="clear" w:color="ffffff" w:fill="ffffff"/>
            <w:tcMar>
              <w:left w:w="0" w:type="dxa"/>
              <w:top w:w="0" w:type="dxa"/>
              <w:right w:w="0" w:type="dxa"/>
              <w:bottom w:w="0" w:type="dxa"/>
            </w:tcMar>
            <w:tcW w:w="145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项目负责人</w:t>
            </w:r>
            <w:r/>
          </w:p>
        </w:tc>
        <w:tc>
          <w:tcPr>
            <w:shd w:val="clear" w:color="ffffff" w:fill="ffffff"/>
            <w:tcMar>
              <w:left w:w="0" w:type="dxa"/>
              <w:top w:w="0" w:type="dxa"/>
              <w:right w:w="0" w:type="dxa"/>
              <w:bottom w:w="0" w:type="dxa"/>
            </w:tcMar>
            <w:tcW w:w="72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shd w:val="clear" w:color="ffffff" w:fill="ffffff"/>
            <w:tcMar>
              <w:left w:w="0" w:type="dxa"/>
              <w:top w:w="0" w:type="dxa"/>
              <w:right w:w="0" w:type="dxa"/>
              <w:bottom w:w="0" w:type="dxa"/>
            </w:tcMar>
            <w:tcW w:w="892"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45</w:t>
            </w:r>
            <w:r>
              <w:rPr>
                <w:rFonts w:hint="eastAsia" w:ascii="宋体" w:hAnsi="宋体" w:eastAsia="宋体" w:cs="宋体"/>
                <w:color w:val="auto"/>
                <w:spacing w:val="-15"/>
                <w:sz w:val="21"/>
                <w:szCs w:val="21"/>
                <w:highlight w:val="none"/>
              </w:rPr>
              <w:t xml:space="preserve">岁</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（含</w:t>
            </w:r>
            <w:r>
              <w:rPr>
                <w:rFonts w:hint="eastAsia" w:ascii="宋体" w:hAnsi="宋体" w:eastAsia="宋体" w:cs="宋体"/>
                <w:color w:val="auto"/>
                <w:spacing w:val="-17"/>
                <w:sz w:val="21"/>
                <w:szCs w:val="21"/>
                <w:highlight w:val="none"/>
              </w:rPr>
              <w:t xml:space="preserve">） </w:t>
            </w:r>
            <w:r>
              <w:rPr>
                <w:rFonts w:hint="eastAsia" w:ascii="宋体" w:hAnsi="宋体" w:eastAsia="宋体" w:cs="宋体"/>
                <w:color w:val="auto"/>
                <w:sz w:val="21"/>
                <w:szCs w:val="21"/>
                <w:highlight w:val="none"/>
              </w:rPr>
              <w:t xml:space="preserve">以下</w:t>
            </w:r>
            <w:r/>
          </w:p>
        </w:tc>
        <w:tc>
          <w:tcPr>
            <w:shd w:val="clear" w:color="ffffff" w:fill="ffffff"/>
            <w:tcMar>
              <w:left w:w="0" w:type="dxa"/>
              <w:top w:w="0" w:type="dxa"/>
              <w:right w:w="0" w:type="dxa"/>
              <w:bottom w:w="0" w:type="dxa"/>
            </w:tcMar>
            <w:tcW w:w="2364"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注：拟选派的项目负责人符合资格要求的相关内容，提供相关证明材料原件电子件。</w:t>
            </w:r>
            <w:r/>
          </w:p>
        </w:tc>
        <w:tc>
          <w:tcPr>
            <w:shd w:val="clear" w:color="ffffff" w:fill="ffffff"/>
            <w:tcMar>
              <w:left w:w="0" w:type="dxa"/>
              <w:top w:w="0" w:type="dxa"/>
              <w:right w:w="0" w:type="dxa"/>
              <w:bottom w:w="0" w:type="dxa"/>
            </w:tcMar>
            <w:tcW w:w="312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1.常驻现场；</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1"/>
                <w:szCs w:val="21"/>
                <w:highlight w:val="none"/>
              </w:rPr>
              <w:t xml:space="preserve">2.可熟练操作</w:t>
            </w:r>
            <w:r>
              <w:rPr>
                <w:rFonts w:hint="eastAsia" w:ascii="宋体" w:hAnsi="宋体" w:eastAsia="宋体" w:cs="宋体"/>
                <w:color w:val="auto"/>
                <w:sz w:val="21"/>
                <w:szCs w:val="21"/>
                <w:highlight w:val="none"/>
              </w:rPr>
              <w:t xml:space="preserve">WORD,EXCEL等办公软件；</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1"/>
                <w:szCs w:val="21"/>
                <w:highlight w:val="none"/>
              </w:rPr>
              <w:t xml:space="preserve">3.手机像素不低于</w:t>
            </w:r>
            <w:r>
              <w:rPr>
                <w:rFonts w:hint="eastAsia" w:ascii="宋体" w:hAnsi="宋体" w:eastAsia="宋体" w:cs="宋体"/>
                <w:color w:val="auto"/>
                <w:sz w:val="21"/>
                <w:szCs w:val="21"/>
                <w:highlight w:val="none"/>
              </w:rPr>
              <w:t xml:space="preserve">2000</w:t>
            </w:r>
            <w:r>
              <w:rPr>
                <w:rFonts w:hint="eastAsia" w:ascii="宋体" w:hAnsi="宋体" w:eastAsia="宋体" w:cs="宋体"/>
                <w:color w:val="auto"/>
                <w:spacing w:val="-8"/>
                <w:sz w:val="21"/>
                <w:szCs w:val="21"/>
                <w:highlight w:val="none"/>
              </w:rPr>
              <w:t xml:space="preserve">万，</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会使用微信、拼图等功能。</w:t>
            </w:r>
            <w:r/>
          </w:p>
        </w:tc>
      </w:tr>
      <w:tr>
        <w:trPr>
          <w:jc w:val="center"/>
          <w:trHeight w:val="991"/>
        </w:trPr>
        <w:tc>
          <w:tcPr>
            <w:gridSpan w:val="3"/>
            <w:shd w:val="clear" w:color="ffffff" w:fill="ffffff"/>
            <w:tcMar>
              <w:left w:w="0" w:type="dxa"/>
              <w:top w:w="0" w:type="dxa"/>
              <w:right w:w="0" w:type="dxa"/>
              <w:bottom w:w="0" w:type="dxa"/>
            </w:tcMar>
            <w:tcW w:w="145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技术负责人</w:t>
            </w:r>
            <w:r/>
          </w:p>
        </w:tc>
        <w:tc>
          <w:tcPr>
            <w:shd w:val="clear" w:color="ffffff" w:fill="ffffff"/>
            <w:tcMar>
              <w:left w:w="0" w:type="dxa"/>
              <w:top w:w="0" w:type="dxa"/>
              <w:right w:w="0" w:type="dxa"/>
              <w:bottom w:w="0" w:type="dxa"/>
            </w:tcMar>
            <w:tcW w:w="72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shd w:val="clear" w:color="ffffff" w:fill="ffffff"/>
            <w:tcMar>
              <w:left w:w="0" w:type="dxa"/>
              <w:top w:w="0" w:type="dxa"/>
              <w:right w:w="0" w:type="dxa"/>
              <w:bottom w:w="0" w:type="dxa"/>
            </w:tcMar>
            <w:tcW w:w="892"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45</w:t>
            </w:r>
            <w:r>
              <w:rPr>
                <w:rFonts w:hint="eastAsia" w:ascii="宋体" w:hAnsi="宋体" w:eastAsia="宋体" w:cs="宋体"/>
                <w:color w:val="auto"/>
                <w:spacing w:val="-15"/>
                <w:sz w:val="21"/>
                <w:szCs w:val="21"/>
                <w:highlight w:val="none"/>
              </w:rPr>
              <w:t xml:space="preserve">岁</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（含</w:t>
            </w:r>
            <w:r>
              <w:rPr>
                <w:rFonts w:hint="eastAsia" w:ascii="宋体" w:hAnsi="宋体" w:eastAsia="宋体" w:cs="宋体"/>
                <w:color w:val="auto"/>
                <w:spacing w:val="-17"/>
                <w:sz w:val="21"/>
                <w:szCs w:val="21"/>
                <w:highlight w:val="none"/>
              </w:rPr>
              <w:t xml:space="preserve">） </w:t>
            </w:r>
            <w:r>
              <w:rPr>
                <w:rFonts w:hint="eastAsia" w:ascii="宋体" w:hAnsi="宋体" w:eastAsia="宋体" w:cs="宋体"/>
                <w:color w:val="auto"/>
                <w:sz w:val="21"/>
                <w:szCs w:val="21"/>
                <w:highlight w:val="none"/>
              </w:rPr>
              <w:t xml:space="preserve">以下</w:t>
            </w:r>
            <w:r/>
          </w:p>
        </w:tc>
        <w:tc>
          <w:tcPr>
            <w:shd w:val="clear" w:color="ffffff" w:fill="ffffff"/>
            <w:tcMar>
              <w:left w:w="0" w:type="dxa"/>
              <w:top w:w="0" w:type="dxa"/>
              <w:right w:w="0" w:type="dxa"/>
              <w:bottom w:w="0" w:type="dxa"/>
            </w:tcMar>
            <w:tcW w:w="2364"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1"/>
                <w:szCs w:val="21"/>
                <w:highlight w:val="none"/>
              </w:rPr>
              <w:t xml:space="preserve">具有园林绿化</w:t>
            </w:r>
            <w:r>
              <w:rPr>
                <w:rFonts w:hint="eastAsia" w:ascii="宋体" w:hAnsi="宋体" w:eastAsia="宋体" w:cs="宋体"/>
                <w:color w:val="auto"/>
                <w:spacing w:val="4"/>
                <w:sz w:val="21"/>
                <w:szCs w:val="21"/>
                <w:highlight w:val="none"/>
              </w:rPr>
              <w:t xml:space="preserve">（</w:t>
            </w:r>
            <w:r>
              <w:rPr>
                <w:rFonts w:hint="eastAsia" w:ascii="宋体" w:hAnsi="宋体" w:eastAsia="宋体" w:cs="宋体"/>
                <w:color w:val="auto"/>
                <w:spacing w:val="2"/>
                <w:sz w:val="21"/>
                <w:szCs w:val="21"/>
                <w:highlight w:val="none"/>
              </w:rPr>
              <w:t xml:space="preserve">或风</w:t>
            </w:r>
            <w:r>
              <w:rPr>
                <w:rFonts w:hint="eastAsia" w:ascii="宋体" w:hAnsi="宋体" w:eastAsia="宋体" w:cs="宋体"/>
                <w:color w:val="auto"/>
                <w:spacing w:val="-10"/>
                <w:sz w:val="21"/>
                <w:szCs w:val="21"/>
                <w:highlight w:val="none"/>
              </w:rPr>
              <w:t xml:space="preserve">景园林、园林、园艺、</w:t>
            </w:r>
            <w:r>
              <w:rPr>
                <w:rFonts w:hint="eastAsia" w:ascii="宋体" w:hAnsi="宋体" w:eastAsia="宋体" w:cs="宋体"/>
                <w:color w:val="auto"/>
                <w:spacing w:val="2"/>
                <w:sz w:val="21"/>
                <w:szCs w:val="21"/>
                <w:highlight w:val="none"/>
              </w:rPr>
              <w:t xml:space="preserve">林业、植保等相近专</w:t>
            </w:r>
            <w:r>
              <w:rPr>
                <w:rFonts w:hint="eastAsia" w:ascii="宋体" w:hAnsi="宋体" w:eastAsia="宋体" w:cs="宋体"/>
                <w:color w:val="auto"/>
                <w:spacing w:val="4"/>
                <w:sz w:val="21"/>
                <w:szCs w:val="21"/>
                <w:highlight w:val="none"/>
              </w:rPr>
              <w:t xml:space="preserve">业）</w:t>
            </w:r>
            <w:r>
              <w:rPr>
                <w:rFonts w:hint="eastAsia" w:ascii="宋体" w:hAnsi="宋体" w:eastAsia="宋体" w:cs="宋体"/>
                <w:color w:val="auto"/>
                <w:spacing w:val="2"/>
                <w:sz w:val="21"/>
                <w:szCs w:val="21"/>
                <w:highlight w:val="none"/>
              </w:rPr>
              <w:t xml:space="preserve">初级及以上职称或上述相关专业专科及以上学历或高级及以上绿</w:t>
            </w:r>
            <w:r>
              <w:rPr>
                <w:rFonts w:hint="eastAsia" w:ascii="宋体" w:hAnsi="宋体" w:eastAsia="宋体" w:cs="宋体"/>
                <w:color w:val="auto"/>
                <w:sz w:val="21"/>
                <w:szCs w:val="21"/>
                <w:highlight w:val="none"/>
              </w:rPr>
              <w:t xml:space="preserve">化工证书。</w:t>
            </w:r>
            <w:r/>
          </w:p>
        </w:tc>
        <w:tc>
          <w:tcPr>
            <w:shd w:val="clear" w:color="ffffff" w:fill="ffffff"/>
            <w:tcMar>
              <w:left w:w="0" w:type="dxa"/>
              <w:top w:w="0" w:type="dxa"/>
              <w:right w:w="0" w:type="dxa"/>
              <w:bottom w:w="0" w:type="dxa"/>
            </w:tcMar>
            <w:tcW w:w="312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1.常驻现场；</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1"/>
                <w:szCs w:val="21"/>
                <w:highlight w:val="none"/>
              </w:rPr>
              <w:t xml:space="preserve">2.可熟练操作</w:t>
            </w:r>
            <w:r>
              <w:rPr>
                <w:rFonts w:hint="eastAsia" w:ascii="宋体" w:hAnsi="宋体" w:eastAsia="宋体" w:cs="宋体"/>
                <w:color w:val="auto"/>
                <w:sz w:val="21"/>
                <w:szCs w:val="21"/>
                <w:highlight w:val="none"/>
              </w:rPr>
              <w:t xml:space="preserve">WORD,EXCEL</w:t>
            </w:r>
            <w:r>
              <w:rPr>
                <w:rFonts w:hint="eastAsia" w:ascii="宋体" w:hAnsi="宋体" w:eastAsia="宋体" w:cs="宋体"/>
                <w:color w:val="auto"/>
                <w:spacing w:val="-14"/>
                <w:sz w:val="21"/>
                <w:szCs w:val="21"/>
                <w:highlight w:val="none"/>
              </w:rPr>
              <w:t xml:space="preserve">等</w:t>
            </w:r>
            <w:r>
              <w:rPr>
                <w:rFonts w:hint="eastAsia" w:ascii="宋体" w:hAnsi="宋体" w:eastAsia="宋体" w:cs="宋体"/>
                <w:color w:val="auto"/>
                <w:sz w:val="21"/>
                <w:szCs w:val="21"/>
                <w:highlight w:val="none"/>
              </w:rPr>
              <w:t xml:space="preserve">办公软件；</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5"/>
                <w:sz w:val="21"/>
                <w:szCs w:val="21"/>
                <w:highlight w:val="none"/>
              </w:rPr>
              <w:t xml:space="preserve">3.手机像素不低于</w:t>
            </w:r>
            <w:r>
              <w:rPr>
                <w:rFonts w:hint="eastAsia" w:ascii="宋体" w:hAnsi="宋体" w:eastAsia="宋体" w:cs="宋体"/>
                <w:color w:val="auto"/>
                <w:sz w:val="21"/>
                <w:szCs w:val="21"/>
                <w:highlight w:val="none"/>
              </w:rPr>
              <w:t xml:space="preserve">2000</w:t>
            </w:r>
            <w:r>
              <w:rPr>
                <w:rFonts w:hint="eastAsia" w:ascii="宋体" w:hAnsi="宋体" w:eastAsia="宋体" w:cs="宋体"/>
                <w:color w:val="auto"/>
                <w:spacing w:val="-17"/>
                <w:sz w:val="21"/>
                <w:szCs w:val="21"/>
                <w:highlight w:val="none"/>
              </w:rPr>
              <w:t xml:space="preserve">万，</w:t>
            </w:r>
            <w:r>
              <w:rPr>
                <w:rFonts w:hint="eastAsia" w:ascii="宋体" w:hAnsi="宋体" w:eastAsia="宋体" w:cs="宋体"/>
                <w:color w:val="auto"/>
                <w:sz w:val="21"/>
                <w:szCs w:val="21"/>
                <w:highlight w:val="none"/>
              </w:rPr>
              <w:t xml:space="preserve">会使用微信、拼图等功能。</w:t>
            </w:r>
            <w:r/>
          </w:p>
        </w:tc>
      </w:tr>
      <w:tr>
        <w:trPr>
          <w:jc w:val="center"/>
          <w:trHeight w:val="959"/>
        </w:trPr>
        <w:tc>
          <w:tcPr>
            <w:gridSpan w:val="7"/>
            <w:shd w:val="clear" w:color="ffffff" w:fill="ffffff"/>
            <w:tcMar>
              <w:left w:w="0" w:type="dxa"/>
              <w:top w:w="0" w:type="dxa"/>
              <w:right w:w="0" w:type="dxa"/>
              <w:bottom w:w="0" w:type="dxa"/>
            </w:tcMar>
            <w:tcW w:w="8553"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备注：项目负责人负责本项目相关所有工作，技术负责人协助开展工作，建立本项目完整的档案台账资料及内部考核机制。项目负责人不得随意调整，有特殊情况确需调整的须征得采购人书面同意。</w:t>
            </w:r>
            <w:r/>
          </w:p>
        </w:tc>
      </w:tr>
      <w:tr>
        <w:trPr>
          <w:jc w:val="center"/>
          <w:trHeight w:val="564"/>
        </w:trPr>
        <w:tc>
          <w:tcPr>
            <w:gridSpan w:val="7"/>
            <w:shd w:val="clear" w:color="ffffff" w:fill="ffffff"/>
            <w:tcMar>
              <w:left w:w="0" w:type="dxa"/>
              <w:top w:w="0" w:type="dxa"/>
              <w:right w:w="0" w:type="dxa"/>
              <w:bottom w:w="0" w:type="dxa"/>
            </w:tcMar>
            <w:tcW w:w="8553"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二、其他人员配备要求</w:t>
            </w:r>
            <w:r/>
          </w:p>
        </w:tc>
      </w:tr>
      <w:tr>
        <w:trPr>
          <w:jc w:val="center"/>
          <w:trHeight w:val="960"/>
        </w:trPr>
        <w:tc>
          <w:tcPr>
            <w:gridSpan w:val="3"/>
            <w:shd w:val="clear" w:color="ffffff" w:fill="ffffff"/>
            <w:tcMar>
              <w:left w:w="0" w:type="dxa"/>
              <w:top w:w="0" w:type="dxa"/>
              <w:right w:w="0" w:type="dxa"/>
              <w:bottom w:w="0" w:type="dxa"/>
            </w:tcMar>
            <w:tcW w:w="145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岗位名称</w:t>
            </w:r>
            <w:r/>
          </w:p>
        </w:tc>
        <w:tc>
          <w:tcPr>
            <w:shd w:val="clear" w:color="ffffff" w:fill="ffffff"/>
            <w:tcMar>
              <w:left w:w="0" w:type="dxa"/>
              <w:top w:w="0" w:type="dxa"/>
              <w:right w:w="0" w:type="dxa"/>
              <w:bottom w:w="0" w:type="dxa"/>
            </w:tcMar>
            <w:tcW w:w="72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最低限</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（人）</w:t>
            </w:r>
            <w:r/>
          </w:p>
        </w:tc>
        <w:tc>
          <w:tcPr>
            <w:shd w:val="clear" w:color="ffffff" w:fill="ffffff"/>
            <w:tcMar>
              <w:left w:w="0" w:type="dxa"/>
              <w:top w:w="0" w:type="dxa"/>
              <w:right w:w="0" w:type="dxa"/>
              <w:bottom w:w="0" w:type="dxa"/>
            </w:tcMar>
            <w:tcW w:w="892"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年龄</w:t>
            </w:r>
            <w:r/>
          </w:p>
        </w:tc>
        <w:tc>
          <w:tcPr>
            <w:shd w:val="clear" w:color="ffffff" w:fill="ffffff"/>
            <w:tcMar>
              <w:left w:w="0" w:type="dxa"/>
              <w:top w:w="0" w:type="dxa"/>
              <w:right w:w="0" w:type="dxa"/>
              <w:bottom w:w="0" w:type="dxa"/>
            </w:tcMar>
            <w:tcW w:w="2364"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资格要求</w:t>
            </w:r>
            <w:r/>
          </w:p>
        </w:tc>
        <w:tc>
          <w:tcPr>
            <w:shd w:val="clear" w:color="ffffff" w:fill="ffffff"/>
            <w:tcMar>
              <w:left w:w="0" w:type="dxa"/>
              <w:top w:w="0" w:type="dxa"/>
              <w:right w:w="0" w:type="dxa"/>
              <w:bottom w:w="0" w:type="dxa"/>
            </w:tcMar>
            <w:tcW w:w="312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其他要求</w:t>
            </w:r>
            <w:r/>
          </w:p>
        </w:tc>
      </w:tr>
      <w:tr>
        <w:trPr>
          <w:jc w:val="center"/>
          <w:trHeight w:val="960"/>
        </w:trPr>
        <w:tc>
          <w:tcPr>
            <w:gridSpan w:val="3"/>
            <w:shd w:val="clear" w:color="ffffff" w:fill="ffffff"/>
            <w:tcMar>
              <w:left w:w="0" w:type="dxa"/>
              <w:top w:w="0" w:type="dxa"/>
              <w:right w:w="0" w:type="dxa"/>
              <w:bottom w:w="0" w:type="dxa"/>
            </w:tcMar>
            <w:tcW w:w="145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现场巡查人员</w:t>
            </w:r>
            <w:r/>
          </w:p>
        </w:tc>
        <w:tc>
          <w:tcPr>
            <w:shd w:val="clear" w:color="ffffff" w:fill="ffffff"/>
            <w:tcMar>
              <w:left w:w="0" w:type="dxa"/>
              <w:top w:w="0" w:type="dxa"/>
              <w:right w:w="0" w:type="dxa"/>
              <w:bottom w:w="0" w:type="dxa"/>
            </w:tcMar>
            <w:tcW w:w="72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shd w:val="clear" w:color="ffffff" w:fill="ffffff"/>
            <w:tcMar>
              <w:left w:w="0" w:type="dxa"/>
              <w:top w:w="0" w:type="dxa"/>
              <w:right w:w="0" w:type="dxa"/>
              <w:bottom w:w="0" w:type="dxa"/>
            </w:tcMar>
            <w:tcW w:w="892"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50岁（含）以下</w:t>
            </w:r>
            <w:r/>
          </w:p>
        </w:tc>
        <w:tc>
          <w:tcPr>
            <w:shd w:val="clear" w:color="ffffff" w:fill="ffffff"/>
            <w:tcMar>
              <w:left w:w="0" w:type="dxa"/>
              <w:top w:w="0" w:type="dxa"/>
              <w:right w:w="0" w:type="dxa"/>
              <w:bottom w:w="0" w:type="dxa"/>
            </w:tcMar>
            <w:tcW w:w="2364"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1"/>
                <w:szCs w:val="21"/>
                <w:highlight w:val="none"/>
              </w:rPr>
              <w:t xml:space="preserve">初级（含）以上</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1"/>
                <w:szCs w:val="21"/>
                <w:highlight w:val="none"/>
              </w:rPr>
              <w:t xml:space="preserve">绿化工证书或园艺工证或园林绿化初（含）级以上职称</w:t>
            </w:r>
            <w:r/>
          </w:p>
        </w:tc>
        <w:tc>
          <w:tcPr>
            <w:shd w:val="clear" w:color="ffffff" w:fill="ffffff"/>
            <w:tcMar>
              <w:left w:w="0" w:type="dxa"/>
              <w:top w:w="0" w:type="dxa"/>
              <w:right w:w="0" w:type="dxa"/>
              <w:bottom w:w="0" w:type="dxa"/>
            </w:tcMar>
            <w:tcW w:w="312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1"/>
                <w:szCs w:val="21"/>
                <w:highlight w:val="none"/>
              </w:rPr>
              <w:t xml:space="preserve">1.负责本项目日常巡查、秩序维护相关工作；</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1"/>
                <w:szCs w:val="21"/>
                <w:highlight w:val="none"/>
              </w:rPr>
              <w:t xml:space="preserve">2.手机像素不低于2000万，会使用微信、拼图等功能</w:t>
            </w:r>
            <w:r/>
          </w:p>
        </w:tc>
      </w:tr>
      <w:tr>
        <w:trPr>
          <w:jc w:val="center"/>
          <w:trHeight w:val="472"/>
        </w:trPr>
        <w:tc>
          <w:tcPr>
            <w:gridSpan w:val="3"/>
            <w:shd w:val="clear" w:color="ffffff" w:fill="ffffff"/>
            <w:tcMar>
              <w:left w:w="0" w:type="dxa"/>
              <w:top w:w="0" w:type="dxa"/>
              <w:right w:w="0" w:type="dxa"/>
              <w:bottom w:w="0" w:type="dxa"/>
            </w:tcMar>
            <w:tcW w:w="145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修剪技术工</w:t>
            </w:r>
            <w:r/>
          </w:p>
        </w:tc>
        <w:tc>
          <w:tcPr>
            <w:shd w:val="clear" w:color="ffffff" w:fill="ffffff"/>
            <w:tcMar>
              <w:left w:w="0" w:type="dxa"/>
              <w:top w:w="0" w:type="dxa"/>
              <w:right w:w="0" w:type="dxa"/>
              <w:bottom w:w="0" w:type="dxa"/>
            </w:tcMar>
            <w:tcW w:w="72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w:t>
            </w:r>
            <w:r/>
          </w:p>
        </w:tc>
        <w:tc>
          <w:tcPr>
            <w:shd w:val="clear" w:color="ffffff" w:fill="ffffff"/>
            <w:tcMar>
              <w:left w:w="0" w:type="dxa"/>
              <w:top w:w="0" w:type="dxa"/>
              <w:right w:w="0" w:type="dxa"/>
              <w:bottom w:w="0" w:type="dxa"/>
            </w:tcMar>
            <w:tcW w:w="892"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60</w:t>
            </w:r>
            <w:r>
              <w:rPr>
                <w:rFonts w:hint="eastAsia" w:ascii="宋体" w:hAnsi="宋体" w:eastAsia="宋体" w:cs="宋体"/>
                <w:color w:val="auto"/>
                <w:spacing w:val="-23"/>
                <w:sz w:val="21"/>
                <w:szCs w:val="21"/>
                <w:highlight w:val="none"/>
              </w:rPr>
              <w:t xml:space="preserve">岁</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（含</w:t>
            </w:r>
            <w:r>
              <w:rPr>
                <w:rFonts w:hint="eastAsia" w:ascii="宋体" w:hAnsi="宋体" w:eastAsia="宋体" w:cs="宋体"/>
                <w:color w:val="auto"/>
                <w:spacing w:val="-17"/>
                <w:sz w:val="21"/>
                <w:szCs w:val="21"/>
                <w:highlight w:val="none"/>
              </w:rPr>
              <w:t xml:space="preserve">）</w:t>
            </w:r>
            <w:r>
              <w:rPr>
                <w:rFonts w:hint="eastAsia" w:ascii="宋体" w:hAnsi="宋体" w:eastAsia="宋体" w:cs="宋体"/>
                <w:color w:val="auto"/>
                <w:sz w:val="21"/>
                <w:szCs w:val="21"/>
                <w:highlight w:val="none"/>
              </w:rPr>
              <w:t xml:space="preserve">以下</w:t>
            </w:r>
            <w:r/>
          </w:p>
        </w:tc>
        <w:tc>
          <w:tcPr>
            <w:shd w:val="clear" w:color="ffffff" w:fill="ffffff"/>
            <w:tcMar>
              <w:left w:w="0" w:type="dxa"/>
              <w:top w:w="0" w:type="dxa"/>
              <w:right w:w="0" w:type="dxa"/>
              <w:bottom w:w="0" w:type="dxa"/>
            </w:tcMar>
            <w:tcW w:w="2364"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中级（含）以上绿化工证书或园艺工证或园林绿化初（含）级以上职称</w:t>
            </w:r>
            <w:r/>
          </w:p>
        </w:tc>
        <w:tc>
          <w:tcPr>
            <w:shd w:val="clear" w:color="ffffff" w:fill="ffffff"/>
            <w:tcMar>
              <w:left w:w="0" w:type="dxa"/>
              <w:top w:w="0" w:type="dxa"/>
              <w:right w:w="0" w:type="dxa"/>
              <w:bottom w:w="0" w:type="dxa"/>
            </w:tcMar>
            <w:tcW w:w="312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具备丰富的园林植物修剪经</w:t>
            </w:r>
            <w:r>
              <w:rPr>
                <w:rFonts w:hint="eastAsia" w:ascii="宋体" w:hAnsi="宋体" w:eastAsia="宋体" w:cs="宋体"/>
                <w:color w:val="auto"/>
                <w:spacing w:val="-2"/>
                <w:sz w:val="21"/>
                <w:szCs w:val="21"/>
                <w:highlight w:val="none"/>
              </w:rPr>
              <w:t xml:space="preserve">验，修剪技术不满足要求的，中标供应商需无条件在规定期限内重新配置修剪工，直至达到采</w:t>
            </w:r>
            <w:r>
              <w:rPr>
                <w:rFonts w:hint="eastAsia" w:ascii="宋体" w:hAnsi="宋体" w:eastAsia="宋体" w:cs="宋体"/>
                <w:color w:val="auto"/>
                <w:sz w:val="21"/>
                <w:szCs w:val="21"/>
                <w:highlight w:val="none"/>
              </w:rPr>
              <w:t xml:space="preserve">购人对修剪技术的要求为止</w:t>
            </w:r>
            <w:r/>
          </w:p>
        </w:tc>
      </w:tr>
      <w:tr>
        <w:trPr>
          <w:jc w:val="center"/>
          <w:trHeight w:val="960"/>
        </w:trPr>
        <w:tc>
          <w:tcPr>
            <w:gridSpan w:val="2"/>
            <w:shd w:val="clear" w:color="ffffff" w:fill="ffffff"/>
            <w:tcMar>
              <w:left w:w="0" w:type="dxa"/>
              <w:top w:w="0" w:type="dxa"/>
              <w:right w:w="0" w:type="dxa"/>
              <w:bottom w:w="0" w:type="dxa"/>
            </w:tcMar>
            <w:tcW w:w="653" w:type="dxa"/>
            <w:vAlign w:val="center"/>
            <w:vMerge w:val="restart"/>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现场绿化工人</w:t>
            </w:r>
            <w:r/>
          </w:p>
        </w:tc>
        <w:tc>
          <w:tcPr>
            <w:shd w:val="clear" w:color="ffffff" w:fill="ffffff"/>
            <w:tcMar>
              <w:left w:w="0" w:type="dxa"/>
              <w:top w:w="0" w:type="dxa"/>
              <w:right w:w="0" w:type="dxa"/>
              <w:bottom w:w="0" w:type="dxa"/>
            </w:tcMar>
            <w:tcW w:w="79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pacing w:val="-30"/>
                <w:sz w:val="21"/>
                <w:szCs w:val="21"/>
                <w:highlight w:val="none"/>
              </w:rPr>
              <w:t xml:space="preserve">月—</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次年</w:t>
            </w:r>
            <w:r>
              <w:rPr>
                <w:rFonts w:hint="eastAsia" w:ascii="宋体" w:hAnsi="宋体" w:eastAsia="宋体" w:cs="宋体"/>
                <w:color w:val="auto"/>
                <w:sz w:val="21"/>
                <w:szCs w:val="21"/>
                <w:highlight w:val="none"/>
              </w:rPr>
              <w:t xml:space="preserve">2</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月</w:t>
            </w:r>
            <w:r/>
          </w:p>
        </w:tc>
        <w:tc>
          <w:tcPr>
            <w:shd w:val="clear" w:color="ffffff" w:fill="ffffff"/>
            <w:tcMar>
              <w:left w:w="0" w:type="dxa"/>
              <w:top w:w="0" w:type="dxa"/>
              <w:right w:w="0" w:type="dxa"/>
              <w:bottom w:w="0" w:type="dxa"/>
            </w:tcMar>
            <w:tcW w:w="72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10</w:t>
            </w:r>
            <w:r/>
          </w:p>
        </w:tc>
        <w:tc>
          <w:tcPr>
            <w:shd w:val="clear" w:color="ffffff" w:fill="ffffff"/>
            <w:tcMar>
              <w:left w:w="0" w:type="dxa"/>
              <w:top w:w="0" w:type="dxa"/>
              <w:right w:w="0" w:type="dxa"/>
              <w:bottom w:w="0" w:type="dxa"/>
            </w:tcMar>
            <w:tcW w:w="892" w:type="dxa"/>
            <w:vAlign w:val="center"/>
            <w:vMerge w:val="restart"/>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60</w:t>
            </w:r>
            <w:r>
              <w:rPr>
                <w:rFonts w:hint="eastAsia" w:ascii="宋体" w:hAnsi="宋体" w:eastAsia="宋体" w:cs="宋体"/>
                <w:color w:val="auto"/>
                <w:spacing w:val="-23"/>
                <w:sz w:val="21"/>
                <w:szCs w:val="21"/>
                <w:highlight w:val="none"/>
              </w:rPr>
              <w:t xml:space="preserve">岁</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（含</w:t>
            </w:r>
            <w:r>
              <w:rPr>
                <w:rFonts w:hint="eastAsia" w:ascii="宋体" w:hAnsi="宋体" w:eastAsia="宋体" w:cs="宋体"/>
                <w:color w:val="auto"/>
                <w:spacing w:val="-17"/>
                <w:sz w:val="21"/>
                <w:szCs w:val="21"/>
                <w:highlight w:val="none"/>
              </w:rPr>
              <w:t xml:space="preserve">）</w:t>
            </w:r>
            <w:r>
              <w:rPr>
                <w:rFonts w:hint="eastAsia" w:ascii="宋体" w:hAnsi="宋体" w:eastAsia="宋体" w:cs="宋体"/>
                <w:color w:val="auto"/>
                <w:sz w:val="21"/>
                <w:szCs w:val="21"/>
                <w:highlight w:val="none"/>
              </w:rPr>
              <w:t xml:space="preserve">以下</w:t>
            </w:r>
            <w:r/>
          </w:p>
        </w:tc>
        <w:tc>
          <w:tcPr>
            <w:shd w:val="clear" w:color="ffffff" w:fill="ffffff"/>
            <w:tcMar>
              <w:left w:w="0" w:type="dxa"/>
              <w:top w:w="0" w:type="dxa"/>
              <w:right w:w="0" w:type="dxa"/>
              <w:bottom w:w="0" w:type="dxa"/>
            </w:tcMar>
            <w:tcW w:w="2364" w:type="dxa"/>
            <w:vAlign w:val="center"/>
            <w:vMerge w:val="restart"/>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50%具有初级</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（含）以上绿化工、园艺工或花卉工证书或园林绿化初（含）级以上职称</w:t>
            </w:r>
            <w:r/>
          </w:p>
        </w:tc>
        <w:tc>
          <w:tcPr>
            <w:shd w:val="clear" w:color="ffffff" w:fill="ffffff"/>
            <w:tcMar>
              <w:left w:w="0" w:type="dxa"/>
              <w:top w:w="0" w:type="dxa"/>
              <w:right w:w="0" w:type="dxa"/>
              <w:bottom w:w="0" w:type="dxa"/>
            </w:tcMar>
            <w:tcW w:w="3127" w:type="dxa"/>
            <w:vAlign w:val="center"/>
            <w:vMerge w:val="restart"/>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男工人数不得少于40%</w:t>
            </w:r>
            <w:r/>
          </w:p>
        </w:tc>
      </w:tr>
      <w:tr>
        <w:trPr>
          <w:jc w:val="center"/>
          <w:trHeight w:val="640"/>
        </w:trPr>
        <w:tc>
          <w:tcPr>
            <w:gridSpan w:val="2"/>
            <w:tcW w:w="653" w:type="dxa"/>
            <w:vAlign w:val="center"/>
            <w:vMerge w:val="continue"/>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ffffff" w:fill="ffffff"/>
            <w:tcMar>
              <w:left w:w="0" w:type="dxa"/>
              <w:top w:w="0" w:type="dxa"/>
              <w:right w:w="0" w:type="dxa"/>
              <w:bottom w:w="0" w:type="dxa"/>
            </w:tcMar>
            <w:tcW w:w="79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3-11</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sz w:val="21"/>
                <w:szCs w:val="21"/>
                <w:highlight w:val="none"/>
              </w:rPr>
              <w:t xml:space="preserve">月</w:t>
            </w:r>
            <w:r/>
          </w:p>
        </w:tc>
        <w:tc>
          <w:tcPr>
            <w:shd w:val="clear" w:color="ffffff" w:fill="ffffff"/>
            <w:tcMar>
              <w:left w:w="0" w:type="dxa"/>
              <w:top w:w="0" w:type="dxa"/>
              <w:right w:w="0" w:type="dxa"/>
              <w:bottom w:w="0" w:type="dxa"/>
            </w:tcMar>
            <w:tcW w:w="72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20</w:t>
            </w:r>
            <w:r/>
          </w:p>
        </w:tc>
        <w:tc>
          <w:tcPr>
            <w:tcW w:w="892" w:type="dxa"/>
            <w:vAlign w:val="center"/>
            <w:vMerge w:val="continue"/>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2364" w:type="dxa"/>
            <w:vAlign w:val="center"/>
            <w:vMerge w:val="continue"/>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3127" w:type="dxa"/>
            <w:vAlign w:val="center"/>
            <w:vMerge w:val="continue"/>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1300"/>
        </w:trPr>
        <w:tc>
          <w:tcPr>
            <w:tcMar>
              <w:left w:w="15" w:type="dxa"/>
              <w:top w:w="15" w:type="dxa"/>
              <w:right w:w="15" w:type="dxa"/>
              <w:bottom w:w="15" w:type="dxa"/>
            </w:tcMar>
            <w:tcW w:w="641"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6"/>
            <w:shd w:val="clear" w:color="ffffff" w:fill="ffffff"/>
            <w:tcMar>
              <w:left w:w="0" w:type="dxa"/>
              <w:top w:w="0" w:type="dxa"/>
              <w:right w:w="0" w:type="dxa"/>
              <w:bottom w:w="0" w:type="dxa"/>
            </w:tcMar>
            <w:tcW w:w="7912"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1.表中所注人数为日常管养最低限，采购人有权根据实际管养需求，在各类抢险或应急突击任务时要求中标供应商适当增加养护工人数量。</w:t>
            </w:r>
            <w:r>
              <w:rPr>
                <w:rFonts w:hint="eastAsia" w:ascii="宋体" w:hAnsi="宋体" w:eastAsia="宋体" w:cs="宋体"/>
                <w:b/>
                <w:color w:val="auto"/>
                <w:sz w:val="21"/>
                <w:szCs w:val="21"/>
                <w:highlight w:val="none"/>
              </w:rPr>
              <w:t xml:space="preserve">产生的所有费用包含在本项目的报价内。</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2.现场养护工人按行业要求统一服装，所有养护工人必须了解本项目的工作标</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准和要求，在上岗前接受绿化养护工作的岗前培训。</w:t>
            </w:r>
            <w:r/>
          </w:p>
        </w:tc>
      </w:tr>
    </w:tbl>
    <w:p>
      <w:pPr>
        <w:ind w:left="0" w:right="0" w:firstLine="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（2）分包二人员配备要求如下：</w:t>
      </w:r>
      <w:r/>
    </w:p>
    <w:tbl>
      <w:tblPr>
        <w:tblStyle w:val="816"/>
        <w:tblW w:w="89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3"/>
        <w:gridCol w:w="927"/>
        <w:gridCol w:w="736"/>
        <w:gridCol w:w="719"/>
        <w:gridCol w:w="580"/>
        <w:gridCol w:w="60"/>
        <w:gridCol w:w="2627"/>
        <w:gridCol w:w="6"/>
        <w:gridCol w:w="174"/>
        <w:gridCol w:w="2519"/>
        <w:gridCol w:w="51"/>
      </w:tblGrid>
      <w:tr>
        <w:trPr>
          <w:trHeight w:val="437"/>
        </w:trPr>
        <w:tc>
          <w:tcPr>
            <w:gridSpan w:val="11"/>
            <w:shd w:val="clear" w:color="ffffff" w:fill="ffffff"/>
            <w:tcMar>
              <w:left w:w="0" w:type="dxa"/>
              <w:top w:w="0" w:type="dxa"/>
              <w:right w:w="0" w:type="dxa"/>
              <w:bottom w:w="0" w:type="dxa"/>
            </w:tcMar>
            <w:tcW w:w="8902"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一、管理人员配备要求</w:t>
            </w:r>
            <w:r/>
          </w:p>
        </w:tc>
      </w:tr>
      <w:tr>
        <w:trPr>
          <w:trHeight w:val="640"/>
        </w:trPr>
        <w:tc>
          <w:tcPr>
            <w:gridSpan w:val="2"/>
            <w:shd w:val="clear" w:color="ffffff" w:fill="ffffff"/>
            <w:tcMar>
              <w:left w:w="0" w:type="dxa"/>
              <w:top w:w="0" w:type="dxa"/>
              <w:right w:w="0" w:type="dxa"/>
              <w:bottom w:w="0" w:type="dxa"/>
            </w:tcMar>
            <w:tcW w:w="143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岗位名称</w:t>
            </w:r>
            <w:r/>
          </w:p>
        </w:tc>
        <w:tc>
          <w:tcPr>
            <w:shd w:val="clear" w:color="ffffff" w:fill="ffffff"/>
            <w:tcMar>
              <w:left w:w="0" w:type="dxa"/>
              <w:top w:w="0" w:type="dxa"/>
              <w:right w:w="0" w:type="dxa"/>
              <w:bottom w:w="0" w:type="dxa"/>
            </w:tcMar>
            <w:tcW w:w="736"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最低限</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（人）</w:t>
            </w:r>
            <w:r/>
          </w:p>
        </w:tc>
        <w:tc>
          <w:tcPr>
            <w:shd w:val="clear" w:color="ffffff" w:fill="ffffff"/>
            <w:tcMar>
              <w:left w:w="0" w:type="dxa"/>
              <w:top w:w="0" w:type="dxa"/>
              <w:right w:w="0" w:type="dxa"/>
              <w:bottom w:w="0" w:type="dxa"/>
            </w:tcMar>
            <w:tcW w:w="719"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年龄</w:t>
            </w:r>
            <w:r/>
          </w:p>
        </w:tc>
        <w:tc>
          <w:tcPr>
            <w:gridSpan w:val="5"/>
            <w:shd w:val="clear" w:color="ffffff" w:fill="ffffff"/>
            <w:tcMar>
              <w:left w:w="0" w:type="dxa"/>
              <w:top w:w="0" w:type="dxa"/>
              <w:right w:w="0" w:type="dxa"/>
              <w:bottom w:w="0" w:type="dxa"/>
            </w:tcMar>
            <w:tcW w:w="344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资格要求</w:t>
            </w:r>
            <w:r/>
          </w:p>
        </w:tc>
        <w:tc>
          <w:tcPr>
            <w:gridSpan w:val="2"/>
            <w:shd w:val="clear" w:color="ffffff" w:fill="ffffff"/>
            <w:tcMar>
              <w:left w:w="0" w:type="dxa"/>
              <w:top w:w="0" w:type="dxa"/>
              <w:right w:w="0" w:type="dxa"/>
              <w:bottom w:w="0" w:type="dxa"/>
            </w:tcMar>
            <w:tcW w:w="257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其他要求</w:t>
            </w:r>
            <w:r/>
          </w:p>
        </w:tc>
      </w:tr>
      <w:tr>
        <w:trPr>
          <w:trHeight w:val="1450"/>
        </w:trPr>
        <w:tc>
          <w:tcPr>
            <w:gridSpan w:val="2"/>
            <w:shd w:val="clear" w:color="ffffff" w:fill="ffffff"/>
            <w:tcMar>
              <w:left w:w="0" w:type="dxa"/>
              <w:top w:w="0" w:type="dxa"/>
              <w:right w:w="0" w:type="dxa"/>
              <w:bottom w:w="0" w:type="dxa"/>
            </w:tcMar>
            <w:tcW w:w="143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项目负责人</w:t>
            </w:r>
            <w:r/>
          </w:p>
        </w:tc>
        <w:tc>
          <w:tcPr>
            <w:shd w:val="clear" w:color="ffffff" w:fill="ffffff"/>
            <w:tcMar>
              <w:left w:w="0" w:type="dxa"/>
              <w:top w:w="0" w:type="dxa"/>
              <w:right w:w="0" w:type="dxa"/>
              <w:bottom w:w="0" w:type="dxa"/>
            </w:tcMar>
            <w:tcW w:w="736"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shd w:val="clear" w:color="ffffff" w:fill="ffffff"/>
            <w:tcMar>
              <w:left w:w="0" w:type="dxa"/>
              <w:top w:w="0" w:type="dxa"/>
              <w:right w:w="0" w:type="dxa"/>
              <w:bottom w:w="0" w:type="dxa"/>
            </w:tcMar>
            <w:tcW w:w="719"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45</w:t>
            </w:r>
            <w:r>
              <w:rPr>
                <w:rFonts w:hint="eastAsia" w:ascii="宋体" w:hAnsi="宋体" w:eastAsia="宋体" w:cs="宋体"/>
                <w:color w:val="auto"/>
                <w:spacing w:val="-15"/>
                <w:sz w:val="21"/>
                <w:szCs w:val="21"/>
                <w:highlight w:val="none"/>
              </w:rPr>
              <w:t xml:space="preserve">岁</w:t>
            </w:r>
            <w:r/>
          </w:p>
          <w:p>
            <w:pPr>
              <w:ind w:left="0" w:right="0" w:hanging="77"/>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（含</w:t>
            </w:r>
            <w:r>
              <w:rPr>
                <w:rFonts w:hint="eastAsia" w:ascii="宋体" w:hAnsi="宋体" w:eastAsia="宋体" w:cs="宋体"/>
                <w:color w:val="auto"/>
                <w:spacing w:val="-17"/>
                <w:sz w:val="21"/>
                <w:szCs w:val="21"/>
                <w:highlight w:val="none"/>
              </w:rPr>
              <w:t xml:space="preserve">）</w:t>
            </w:r>
            <w:r>
              <w:rPr>
                <w:rFonts w:hint="eastAsia" w:ascii="宋体" w:hAnsi="宋体" w:eastAsia="宋体" w:cs="宋体"/>
                <w:color w:val="auto"/>
                <w:sz w:val="21"/>
                <w:szCs w:val="21"/>
                <w:highlight w:val="none"/>
              </w:rPr>
              <w:t xml:space="preserve">以下</w:t>
            </w:r>
            <w:r/>
          </w:p>
        </w:tc>
        <w:tc>
          <w:tcPr>
            <w:gridSpan w:val="5"/>
            <w:shd w:val="clear" w:color="ffffff" w:fill="ffffff"/>
            <w:tcMar>
              <w:left w:w="0" w:type="dxa"/>
              <w:top w:w="0" w:type="dxa"/>
              <w:right w:w="0" w:type="dxa"/>
              <w:bottom w:w="0" w:type="dxa"/>
            </w:tcMar>
            <w:tcW w:w="344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注：拟选派的项目负责人符合资格要求的相关内容，提供相关证明材料原件电子件。</w:t>
            </w:r>
            <w:r/>
          </w:p>
        </w:tc>
        <w:tc>
          <w:tcPr>
            <w:gridSpan w:val="2"/>
            <w:shd w:val="clear" w:color="ffffff" w:fill="ffffff"/>
            <w:tcMar>
              <w:left w:w="0" w:type="dxa"/>
              <w:top w:w="0" w:type="dxa"/>
              <w:right w:w="0" w:type="dxa"/>
              <w:bottom w:w="0" w:type="dxa"/>
            </w:tcMar>
            <w:tcW w:w="257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1.常驻现场；</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2.可熟练操作WORD,EXCEL等办公软件；</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3.手机像素不低于2000万，会使用微信、拼图等功能。</w:t>
            </w:r>
            <w:r/>
          </w:p>
        </w:tc>
      </w:tr>
      <w:tr>
        <w:trPr>
          <w:trHeight w:val="1483"/>
        </w:trPr>
        <w:tc>
          <w:tcPr>
            <w:gridSpan w:val="2"/>
            <w:shd w:val="clear" w:color="ffffff" w:fill="ffffff"/>
            <w:tcMar>
              <w:left w:w="0" w:type="dxa"/>
              <w:top w:w="0" w:type="dxa"/>
              <w:right w:w="0" w:type="dxa"/>
              <w:bottom w:w="0" w:type="dxa"/>
            </w:tcMar>
            <w:tcW w:w="143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技术负责人</w:t>
            </w:r>
            <w:r/>
          </w:p>
        </w:tc>
        <w:tc>
          <w:tcPr>
            <w:shd w:val="clear" w:color="ffffff" w:fill="ffffff"/>
            <w:tcMar>
              <w:left w:w="0" w:type="dxa"/>
              <w:top w:w="0" w:type="dxa"/>
              <w:right w:w="0" w:type="dxa"/>
              <w:bottom w:w="0" w:type="dxa"/>
            </w:tcMar>
            <w:tcW w:w="736"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shd w:val="clear" w:color="ffffff" w:fill="ffffff"/>
            <w:tcMar>
              <w:left w:w="0" w:type="dxa"/>
              <w:top w:w="0" w:type="dxa"/>
              <w:right w:w="0" w:type="dxa"/>
              <w:bottom w:w="0" w:type="dxa"/>
            </w:tcMar>
            <w:tcW w:w="719"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24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45</w:t>
            </w:r>
            <w:r>
              <w:rPr>
                <w:rFonts w:hint="eastAsia" w:ascii="宋体" w:hAnsi="宋体" w:eastAsia="宋体" w:cs="宋体"/>
                <w:color w:val="auto"/>
                <w:spacing w:val="-15"/>
                <w:sz w:val="21"/>
                <w:szCs w:val="21"/>
                <w:highlight w:val="none"/>
              </w:rPr>
              <w:t xml:space="preserve">岁</w:t>
            </w:r>
            <w:r/>
          </w:p>
          <w:p>
            <w:pPr>
              <w:ind w:left="0" w:right="0" w:hanging="77"/>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（含</w:t>
            </w:r>
            <w:r>
              <w:rPr>
                <w:rFonts w:hint="eastAsia" w:ascii="宋体" w:hAnsi="宋体" w:eastAsia="宋体" w:cs="宋体"/>
                <w:color w:val="auto"/>
                <w:spacing w:val="-17"/>
                <w:sz w:val="21"/>
                <w:szCs w:val="21"/>
                <w:highlight w:val="none"/>
              </w:rPr>
              <w:t xml:space="preserve">）</w:t>
            </w:r>
            <w:r>
              <w:rPr>
                <w:rFonts w:hint="eastAsia" w:ascii="宋体" w:hAnsi="宋体" w:eastAsia="宋体" w:cs="宋体"/>
                <w:color w:val="auto"/>
                <w:sz w:val="21"/>
                <w:szCs w:val="21"/>
                <w:highlight w:val="none"/>
              </w:rPr>
              <w:t xml:space="preserve">以下</w:t>
            </w:r>
            <w:r/>
          </w:p>
        </w:tc>
        <w:tc>
          <w:tcPr>
            <w:gridSpan w:val="5"/>
            <w:shd w:val="clear" w:color="ffffff" w:fill="ffffff"/>
            <w:tcMar>
              <w:left w:w="0" w:type="dxa"/>
              <w:top w:w="0" w:type="dxa"/>
              <w:right w:w="0" w:type="dxa"/>
              <w:bottom w:w="0" w:type="dxa"/>
            </w:tcMar>
            <w:tcW w:w="344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3"/>
                <w:sz w:val="21"/>
                <w:szCs w:val="21"/>
                <w:highlight w:val="none"/>
              </w:rPr>
              <w:t xml:space="preserve">具有园林绿化</w:t>
            </w:r>
            <w:r>
              <w:rPr>
                <w:rFonts w:hint="eastAsia" w:ascii="宋体" w:hAnsi="宋体" w:eastAsia="宋体" w:cs="宋体"/>
                <w:color w:val="auto"/>
                <w:spacing w:val="4"/>
                <w:sz w:val="21"/>
                <w:szCs w:val="21"/>
                <w:highlight w:val="none"/>
              </w:rPr>
              <w:t xml:space="preserve">（</w:t>
            </w:r>
            <w:r>
              <w:rPr>
                <w:rFonts w:hint="eastAsia" w:ascii="宋体" w:hAnsi="宋体" w:eastAsia="宋体" w:cs="宋体"/>
                <w:color w:val="auto"/>
                <w:spacing w:val="2"/>
                <w:sz w:val="21"/>
                <w:szCs w:val="21"/>
                <w:highlight w:val="none"/>
              </w:rPr>
              <w:t xml:space="preserve">或风</w:t>
            </w:r>
            <w:r>
              <w:rPr>
                <w:rFonts w:hint="eastAsia" w:ascii="宋体" w:hAnsi="宋体" w:eastAsia="宋体" w:cs="宋体"/>
                <w:color w:val="auto"/>
                <w:spacing w:val="-10"/>
                <w:sz w:val="21"/>
                <w:szCs w:val="21"/>
                <w:highlight w:val="none"/>
              </w:rPr>
              <w:t xml:space="preserve">景园林、园林、园艺、</w:t>
            </w:r>
            <w:r>
              <w:rPr>
                <w:rFonts w:hint="eastAsia" w:ascii="宋体" w:hAnsi="宋体" w:eastAsia="宋体" w:cs="宋体"/>
                <w:color w:val="auto"/>
                <w:spacing w:val="2"/>
                <w:sz w:val="21"/>
                <w:szCs w:val="21"/>
                <w:highlight w:val="none"/>
              </w:rPr>
              <w:t xml:space="preserve">林业、植保等相近专</w:t>
            </w:r>
            <w:r>
              <w:rPr>
                <w:rFonts w:hint="eastAsia" w:ascii="宋体" w:hAnsi="宋体" w:eastAsia="宋体" w:cs="宋体"/>
                <w:color w:val="auto"/>
                <w:spacing w:val="4"/>
                <w:sz w:val="21"/>
                <w:szCs w:val="21"/>
                <w:highlight w:val="none"/>
              </w:rPr>
              <w:t xml:space="preserve">业）</w:t>
            </w:r>
            <w:r>
              <w:rPr>
                <w:rFonts w:hint="eastAsia" w:ascii="宋体" w:hAnsi="宋体" w:eastAsia="宋体" w:cs="宋体"/>
                <w:color w:val="auto"/>
                <w:spacing w:val="2"/>
                <w:sz w:val="21"/>
                <w:szCs w:val="21"/>
                <w:highlight w:val="none"/>
              </w:rPr>
              <w:t xml:space="preserve">初级及以上职称或上述相关专业专科及以上学历或高级绿</w:t>
            </w:r>
            <w:r>
              <w:rPr>
                <w:rFonts w:hint="eastAsia" w:ascii="宋体" w:hAnsi="宋体" w:eastAsia="宋体" w:cs="宋体"/>
                <w:color w:val="auto"/>
                <w:sz w:val="21"/>
                <w:szCs w:val="21"/>
                <w:highlight w:val="none"/>
              </w:rPr>
              <w:t xml:space="preserve">化工证书。</w:t>
            </w:r>
            <w:r/>
          </w:p>
        </w:tc>
        <w:tc>
          <w:tcPr>
            <w:gridSpan w:val="2"/>
            <w:shd w:val="clear" w:color="ffffff" w:fill="ffffff"/>
            <w:tcMar>
              <w:left w:w="0" w:type="dxa"/>
              <w:top w:w="0" w:type="dxa"/>
              <w:right w:w="0" w:type="dxa"/>
              <w:bottom w:w="0" w:type="dxa"/>
            </w:tcMar>
            <w:tcW w:w="257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1"/>
                <w:szCs w:val="21"/>
                <w:highlight w:val="none"/>
              </w:rPr>
              <w:t xml:space="preserve">1.常驻现场；</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1"/>
                <w:szCs w:val="21"/>
                <w:highlight w:val="none"/>
              </w:rPr>
              <w:t xml:space="preserve">2.可熟练操作WORD,EXCEL等办公软件；</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2"/>
                <w:sz w:val="21"/>
                <w:szCs w:val="21"/>
                <w:highlight w:val="none"/>
              </w:rPr>
              <w:t xml:space="preserve">3.手机像素不低于2000万，会使用微信、拼图等功能。</w:t>
            </w:r>
            <w:r/>
          </w:p>
        </w:tc>
      </w:tr>
      <w:tr>
        <w:trPr>
          <w:trHeight w:val="865"/>
        </w:trPr>
        <w:tc>
          <w:tcPr>
            <w:gridSpan w:val="11"/>
            <w:shd w:val="clear" w:color="ffffff" w:fill="ffffff"/>
            <w:tcMar>
              <w:left w:w="0" w:type="dxa"/>
              <w:top w:w="0" w:type="dxa"/>
              <w:right w:w="0" w:type="dxa"/>
              <w:bottom w:w="0" w:type="dxa"/>
            </w:tcMar>
            <w:tcW w:w="8902"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备注：项目负责人负责本项目相关所有工作，技术负责人协助开展工作，建立本项目完整的档案台帐资料及内部考核机制。项目负责人不得随意调整，有特殊情况确需调整的须征得采购人书面同意。</w:t>
            </w:r>
            <w:r/>
          </w:p>
        </w:tc>
      </w:tr>
      <w:tr>
        <w:trPr>
          <w:trHeight w:val="746"/>
        </w:trPr>
        <w:tc>
          <w:tcPr>
            <w:gridSpan w:val="11"/>
            <w:shd w:val="clear" w:color="ffffff" w:fill="ffffff"/>
            <w:tcMar>
              <w:left w:w="0" w:type="dxa"/>
              <w:top w:w="0" w:type="dxa"/>
              <w:right w:w="0" w:type="dxa"/>
              <w:bottom w:w="0" w:type="dxa"/>
            </w:tcMar>
            <w:tcW w:w="8902"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二、其他人员配备要求</w:t>
            </w:r>
            <w:r/>
          </w:p>
        </w:tc>
      </w:tr>
      <w:tr>
        <w:trPr>
          <w:trHeight w:val="960"/>
        </w:trPr>
        <w:tc>
          <w:tcPr>
            <w:gridSpan w:val="2"/>
            <w:shd w:val="clear" w:color="ffffff" w:fill="ffffff"/>
            <w:tcMar>
              <w:left w:w="0" w:type="dxa"/>
              <w:top w:w="0" w:type="dxa"/>
              <w:right w:w="0" w:type="dxa"/>
              <w:bottom w:w="0" w:type="dxa"/>
            </w:tcMar>
            <w:tcW w:w="143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岗位名称</w:t>
            </w:r>
            <w:r/>
          </w:p>
        </w:tc>
        <w:tc>
          <w:tcPr>
            <w:shd w:val="clear" w:color="ffffff" w:fill="ffffff"/>
            <w:tcMar>
              <w:left w:w="0" w:type="dxa"/>
              <w:top w:w="0" w:type="dxa"/>
              <w:right w:w="0" w:type="dxa"/>
              <w:bottom w:w="0" w:type="dxa"/>
            </w:tcMar>
            <w:tcW w:w="736" w:type="dxa"/>
            <w:vAlign w:val="center"/>
            <w:textDirection w:val="lrTb"/>
            <w:noWrap w:val="false"/>
          </w:tcPr>
          <w:p>
            <w:pPr>
              <w:ind w:left="0" w:right="0" w:firstLine="0"/>
              <w:jc w:val="left"/>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最低限</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（人）</w:t>
            </w:r>
            <w:r/>
          </w:p>
        </w:tc>
        <w:tc>
          <w:tcPr>
            <w:gridSpan w:val="3"/>
            <w:shd w:val="clear" w:color="ffffff" w:fill="ffffff"/>
            <w:tcMar>
              <w:left w:w="0" w:type="dxa"/>
              <w:top w:w="0" w:type="dxa"/>
              <w:right w:w="0" w:type="dxa"/>
              <w:bottom w:w="0" w:type="dxa"/>
            </w:tcMar>
            <w:tcW w:w="1359"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年龄</w:t>
            </w:r>
            <w:r/>
          </w:p>
        </w:tc>
        <w:tc>
          <w:tcPr>
            <w:shd w:val="clear" w:color="ffffff" w:fill="ffffff"/>
            <w:tcMar>
              <w:left w:w="0" w:type="dxa"/>
              <w:top w:w="0" w:type="dxa"/>
              <w:right w:w="0" w:type="dxa"/>
              <w:bottom w:w="0" w:type="dxa"/>
            </w:tcMar>
            <w:tcW w:w="262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资格要求</w:t>
            </w:r>
            <w:r/>
          </w:p>
        </w:tc>
        <w:tc>
          <w:tcPr>
            <w:gridSpan w:val="4"/>
            <w:shd w:val="clear" w:color="ffffff" w:fill="ffffff"/>
            <w:tcMar>
              <w:left w:w="0" w:type="dxa"/>
              <w:top w:w="0" w:type="dxa"/>
              <w:right w:w="0" w:type="dxa"/>
              <w:bottom w:w="0" w:type="dxa"/>
            </w:tcMar>
            <w:tcW w:w="275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其他要求</w:t>
            </w:r>
            <w:r/>
          </w:p>
        </w:tc>
      </w:tr>
      <w:tr>
        <w:trPr>
          <w:trHeight w:val="318"/>
        </w:trPr>
        <w:tc>
          <w:tcPr>
            <w:gridSpan w:val="2"/>
            <w:shd w:val="clear" w:color="ffffff" w:fill="ffffff"/>
            <w:tcMar>
              <w:left w:w="0" w:type="dxa"/>
              <w:top w:w="0" w:type="dxa"/>
              <w:right w:w="0" w:type="dxa"/>
              <w:bottom w:w="0" w:type="dxa"/>
            </w:tcMar>
            <w:tcW w:w="143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现场巡查人员</w:t>
            </w:r>
            <w:r/>
          </w:p>
        </w:tc>
        <w:tc>
          <w:tcPr>
            <w:shd w:val="clear" w:color="ffffff" w:fill="ffffff"/>
            <w:tcMar>
              <w:left w:w="0" w:type="dxa"/>
              <w:top w:w="0" w:type="dxa"/>
              <w:right w:w="0" w:type="dxa"/>
              <w:bottom w:w="0" w:type="dxa"/>
            </w:tcMar>
            <w:tcW w:w="736"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p>
        </w:tc>
        <w:tc>
          <w:tcPr>
            <w:gridSpan w:val="3"/>
            <w:shd w:val="clear" w:color="ffffff" w:fill="ffffff"/>
            <w:tcMar>
              <w:left w:w="0" w:type="dxa"/>
              <w:top w:w="0" w:type="dxa"/>
              <w:right w:w="0" w:type="dxa"/>
              <w:bottom w:w="0" w:type="dxa"/>
            </w:tcMar>
            <w:tcW w:w="1359"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50岁（含） 以下</w:t>
            </w:r>
            <w:r/>
          </w:p>
        </w:tc>
        <w:tc>
          <w:tcPr>
            <w:shd w:val="clear" w:color="ffffff" w:fill="ffffff"/>
            <w:tcMar>
              <w:left w:w="0" w:type="dxa"/>
              <w:top w:w="0" w:type="dxa"/>
              <w:right w:w="0" w:type="dxa"/>
              <w:bottom w:w="0" w:type="dxa"/>
            </w:tcMar>
            <w:tcW w:w="262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初级（含）以上化工证书或园艺工证或园林绿化初（含）级以上职称</w:t>
            </w:r>
            <w:r/>
          </w:p>
        </w:tc>
        <w:tc>
          <w:tcPr>
            <w:gridSpan w:val="4"/>
            <w:shd w:val="clear" w:color="ffffff" w:fill="ffffff"/>
            <w:tcMar>
              <w:left w:w="0" w:type="dxa"/>
              <w:top w:w="0" w:type="dxa"/>
              <w:right w:w="0" w:type="dxa"/>
              <w:bottom w:w="0" w:type="dxa"/>
            </w:tcMar>
            <w:tcW w:w="275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1.负责本项目日常巡查、秩序维护相关工作；</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2.手机像素不低于2000万，会</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使用微信、拼图等功能</w:t>
            </w:r>
            <w:r/>
          </w:p>
        </w:tc>
      </w:tr>
      <w:tr>
        <w:trPr>
          <w:trHeight w:val="1600"/>
        </w:trPr>
        <w:tc>
          <w:tcPr>
            <w:gridSpan w:val="2"/>
            <w:shd w:val="clear" w:color="ffffff" w:fill="ffffff"/>
            <w:tcMar>
              <w:left w:w="0" w:type="dxa"/>
              <w:top w:w="0" w:type="dxa"/>
              <w:right w:w="0" w:type="dxa"/>
              <w:bottom w:w="0" w:type="dxa"/>
            </w:tcMar>
            <w:tcW w:w="143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修剪技术工</w:t>
            </w:r>
            <w:r/>
          </w:p>
        </w:tc>
        <w:tc>
          <w:tcPr>
            <w:shd w:val="clear" w:color="ffffff" w:fill="ffffff"/>
            <w:tcMar>
              <w:left w:w="0" w:type="dxa"/>
              <w:top w:w="0" w:type="dxa"/>
              <w:right w:w="0" w:type="dxa"/>
              <w:bottom w:w="0" w:type="dxa"/>
            </w:tcMar>
            <w:tcW w:w="736"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right="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4</w:t>
            </w:r>
            <w:r/>
          </w:p>
        </w:tc>
        <w:tc>
          <w:tcPr>
            <w:gridSpan w:val="3"/>
            <w:shd w:val="clear" w:color="ffffff" w:fill="ffffff"/>
            <w:tcMar>
              <w:left w:w="0" w:type="dxa"/>
              <w:top w:w="0" w:type="dxa"/>
              <w:right w:w="0" w:type="dxa"/>
              <w:bottom w:w="0" w:type="dxa"/>
            </w:tcMar>
            <w:tcW w:w="1359"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60</w:t>
            </w:r>
            <w:r>
              <w:rPr>
                <w:rFonts w:hint="eastAsia" w:ascii="宋体" w:hAnsi="宋体" w:eastAsia="宋体" w:cs="宋体"/>
                <w:color w:val="auto"/>
                <w:spacing w:val="-23"/>
                <w:sz w:val="21"/>
                <w:szCs w:val="21"/>
                <w:highlight w:val="none"/>
              </w:rPr>
              <w:t xml:space="preserve">岁</w:t>
            </w:r>
            <w:r/>
          </w:p>
          <w:p>
            <w:pPr>
              <w:ind w:left="0" w:right="0" w:hanging="77"/>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（含</w:t>
            </w:r>
            <w:r>
              <w:rPr>
                <w:rFonts w:hint="eastAsia" w:ascii="宋体" w:hAnsi="宋体" w:eastAsia="宋体" w:cs="宋体"/>
                <w:color w:val="auto"/>
                <w:spacing w:val="-17"/>
                <w:sz w:val="21"/>
                <w:szCs w:val="21"/>
                <w:highlight w:val="none"/>
              </w:rPr>
              <w:t xml:space="preserve">）</w:t>
            </w:r>
            <w:r>
              <w:rPr>
                <w:rFonts w:hint="eastAsia" w:ascii="宋体" w:hAnsi="宋体" w:eastAsia="宋体" w:cs="宋体"/>
                <w:color w:val="auto"/>
                <w:sz w:val="21"/>
                <w:szCs w:val="21"/>
                <w:highlight w:val="none"/>
              </w:rPr>
              <w:t xml:space="preserve">以下</w:t>
            </w:r>
            <w:r/>
          </w:p>
        </w:tc>
        <w:tc>
          <w:tcPr>
            <w:shd w:val="clear" w:color="ffffff" w:fill="ffffff"/>
            <w:tcMar>
              <w:left w:w="0" w:type="dxa"/>
              <w:top w:w="0" w:type="dxa"/>
              <w:right w:w="0" w:type="dxa"/>
              <w:bottom w:w="0" w:type="dxa"/>
            </w:tcMar>
            <w:tcW w:w="262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中级（含）以上绿化工证书或园艺工证或园林绿化初（含）级以上职称</w:t>
            </w:r>
            <w:r/>
          </w:p>
        </w:tc>
        <w:tc>
          <w:tcPr>
            <w:gridSpan w:val="4"/>
            <w:shd w:val="clear" w:color="ffffff" w:fill="ffffff"/>
            <w:tcMar>
              <w:left w:w="0" w:type="dxa"/>
              <w:top w:w="0" w:type="dxa"/>
              <w:right w:w="0" w:type="dxa"/>
              <w:bottom w:w="0" w:type="dxa"/>
            </w:tcMar>
            <w:tcW w:w="2750"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具备丰富的园林植物修剪经</w:t>
            </w:r>
            <w:r>
              <w:rPr>
                <w:rFonts w:hint="eastAsia" w:ascii="宋体" w:hAnsi="宋体" w:eastAsia="宋体" w:cs="宋体"/>
                <w:color w:val="auto"/>
                <w:spacing w:val="-2"/>
                <w:sz w:val="21"/>
                <w:szCs w:val="21"/>
                <w:highlight w:val="none"/>
              </w:rPr>
              <w:t xml:space="preserve">验，修剪技术不满足要求的，中标人需无条件在规定期限内重新配置修剪工，直至达到采</w:t>
            </w:r>
            <w:r>
              <w:rPr>
                <w:rFonts w:hint="eastAsia" w:ascii="宋体" w:hAnsi="宋体" w:eastAsia="宋体" w:cs="宋体"/>
                <w:color w:val="auto"/>
                <w:sz w:val="21"/>
                <w:szCs w:val="21"/>
                <w:highlight w:val="none"/>
              </w:rPr>
              <w:t xml:space="preserve">购人对修剪技术的要求为止</w:t>
            </w:r>
            <w:r/>
          </w:p>
        </w:tc>
      </w:tr>
      <w:tr>
        <w:trPr>
          <w:gridAfter w:val="1"/>
          <w:trHeight w:val="960"/>
        </w:trPr>
        <w:tc>
          <w:tcPr>
            <w:tcMar>
              <w:left w:w="15" w:type="dxa"/>
              <w:top w:w="15" w:type="dxa"/>
              <w:right w:w="15" w:type="dxa"/>
              <w:bottom w:w="15" w:type="dxa"/>
            </w:tcMar>
            <w:tcW w:w="503" w:type="dxa"/>
            <w:vAlign w:val="center"/>
            <w:vMerge w:val="restart"/>
            <w:textDirection w:val="lrTb"/>
            <w:noWrap w:val="false"/>
          </w:tcPr>
          <w:p>
            <w:pPr>
              <w:ind w:left="0" w:right="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现场绿化工人</w:t>
            </w:r>
            <w:r/>
          </w:p>
        </w:tc>
        <w:tc>
          <w:tcPr>
            <w:shd w:val="clear" w:color="ffffff" w:fill="ffffff"/>
            <w:tcMar>
              <w:left w:w="0" w:type="dxa"/>
              <w:top w:w="0" w:type="dxa"/>
              <w:right w:w="0" w:type="dxa"/>
              <w:bottom w:w="0" w:type="dxa"/>
            </w:tcMar>
            <w:tcW w:w="92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rPr>
                <w:rFonts w:hint="eastAsia" w:ascii="宋体" w:hAnsi="宋体" w:eastAsia="宋体" w:cs="宋体"/>
                <w:color w:val="auto"/>
                <w:spacing w:val="-30"/>
                <w:sz w:val="21"/>
                <w:szCs w:val="21"/>
                <w:highlight w:val="none"/>
              </w:rPr>
              <w:t xml:space="preserve">月</w:t>
            </w:r>
            <w:r>
              <w:rPr>
                <w:rFonts w:hint="eastAsia" w:ascii="宋体" w:hAnsi="宋体" w:eastAsia="宋体" w:cs="宋体"/>
                <w:color w:val="auto"/>
                <w:sz w:val="21"/>
                <w:szCs w:val="21"/>
                <w:highlight w:val="none"/>
              </w:rPr>
              <w:t xml:space="preserve">-</w:t>
            </w:r>
            <w:r>
              <w:rPr>
                <w:rFonts w:hint="eastAsia" w:ascii="宋体" w:hAnsi="宋体" w:eastAsia="宋体" w:cs="宋体"/>
                <w:color w:val="auto"/>
                <w:spacing w:val="-8"/>
                <w:sz w:val="21"/>
                <w:szCs w:val="21"/>
                <w:highlight w:val="none"/>
              </w:rPr>
              <w:t xml:space="preserve">次年</w:t>
            </w:r>
            <w:r>
              <w:rPr>
                <w:rFonts w:hint="eastAsia" w:ascii="宋体" w:hAnsi="宋体" w:eastAsia="宋体" w:cs="宋体"/>
                <w:color w:val="auto"/>
                <w:sz w:val="21"/>
                <w:szCs w:val="21"/>
                <w:highlight w:val="none"/>
              </w:rPr>
              <w:t xml:space="preserve">2月</w:t>
            </w:r>
            <w:r/>
          </w:p>
        </w:tc>
        <w:tc>
          <w:tcPr>
            <w:shd w:val="clear" w:color="ffffff" w:fill="ffffff"/>
            <w:tcMar>
              <w:left w:w="0" w:type="dxa"/>
              <w:top w:w="0" w:type="dxa"/>
              <w:right w:w="0" w:type="dxa"/>
              <w:bottom w:w="0" w:type="dxa"/>
            </w:tcMar>
            <w:tcW w:w="736"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w:t>
            </w:r>
            <w:r/>
          </w:p>
        </w:tc>
        <w:tc>
          <w:tcPr>
            <w:gridSpan w:val="2"/>
            <w:shd w:val="clear" w:color="ffffff" w:fill="ffffff"/>
            <w:tcMar>
              <w:left w:w="0" w:type="dxa"/>
              <w:top w:w="0" w:type="dxa"/>
              <w:right w:w="0" w:type="dxa"/>
              <w:bottom w:w="0" w:type="dxa"/>
            </w:tcMar>
            <w:tcW w:w="1299" w:type="dxa"/>
            <w:vAlign w:val="center"/>
            <w:vMerge w:val="restart"/>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60</w:t>
            </w:r>
            <w:r>
              <w:rPr>
                <w:rFonts w:hint="eastAsia" w:ascii="宋体" w:hAnsi="宋体" w:eastAsia="宋体" w:cs="宋体"/>
                <w:color w:val="auto"/>
                <w:spacing w:val="-23"/>
                <w:sz w:val="21"/>
                <w:szCs w:val="21"/>
                <w:highlight w:val="none"/>
              </w:rPr>
              <w:t xml:space="preserve">岁</w:t>
            </w:r>
            <w:r/>
          </w:p>
          <w:p>
            <w:pPr>
              <w:ind w:left="0" w:right="0" w:hanging="77"/>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（含</w:t>
            </w:r>
            <w:r>
              <w:rPr>
                <w:rFonts w:hint="eastAsia" w:ascii="宋体" w:hAnsi="宋体" w:eastAsia="宋体" w:cs="宋体"/>
                <w:color w:val="auto"/>
                <w:spacing w:val="-17"/>
                <w:sz w:val="21"/>
                <w:szCs w:val="21"/>
                <w:highlight w:val="none"/>
              </w:rPr>
              <w:t xml:space="preserve">）</w:t>
            </w:r>
            <w:r>
              <w:rPr>
                <w:rFonts w:hint="eastAsia" w:ascii="宋体" w:hAnsi="宋体" w:eastAsia="宋体" w:cs="宋体"/>
                <w:color w:val="auto"/>
                <w:sz w:val="21"/>
                <w:szCs w:val="21"/>
                <w:highlight w:val="none"/>
              </w:rPr>
              <w:t xml:space="preserve">以下</w:t>
            </w:r>
            <w:r/>
          </w:p>
        </w:tc>
        <w:tc>
          <w:tcPr>
            <w:gridSpan w:val="3"/>
            <w:shd w:val="clear" w:color="ffffff" w:fill="ffffff"/>
            <w:tcMar>
              <w:left w:w="0" w:type="dxa"/>
              <w:top w:w="0" w:type="dxa"/>
              <w:right w:w="0" w:type="dxa"/>
              <w:bottom w:w="0" w:type="dxa"/>
            </w:tcMar>
            <w:tcW w:w="2693" w:type="dxa"/>
            <w:vAlign w:val="center"/>
            <w:vMerge w:val="restart"/>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50%具有初级</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（含）以上绿化工、园艺工或花卉工证书或园林绿化初（含）级以上职称</w:t>
            </w:r>
            <w:r/>
          </w:p>
        </w:tc>
        <w:tc>
          <w:tcPr>
            <w:gridSpan w:val="2"/>
            <w:shd w:val="clear" w:color="ffffff" w:fill="ffffff"/>
            <w:tcMar>
              <w:left w:w="0" w:type="dxa"/>
              <w:top w:w="0" w:type="dxa"/>
              <w:right w:w="0" w:type="dxa"/>
              <w:bottom w:w="0" w:type="dxa"/>
            </w:tcMar>
            <w:tcW w:w="2693" w:type="dxa"/>
            <w:vAlign w:val="center"/>
            <w:vMerge w:val="restart"/>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 </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男工人数不得少40%</w:t>
            </w:r>
            <w:r/>
          </w:p>
        </w:tc>
      </w:tr>
      <w:tr>
        <w:trPr>
          <w:gridAfter w:val="1"/>
          <w:trHeight w:val="369"/>
        </w:trPr>
        <w:tc>
          <w:tcPr>
            <w:tcMar>
              <w:left w:w="15" w:type="dxa"/>
              <w:top w:w="15" w:type="dxa"/>
              <w:right w:w="15" w:type="dxa"/>
              <w:bottom w:w="15" w:type="dxa"/>
            </w:tcMar>
            <w:tcW w:w="503" w:type="dxa"/>
            <w:vAlign w:val="center"/>
            <w:vMerge w:val="continue"/>
            <w:textDirection w:val="lrTb"/>
            <w:noWrap w:val="false"/>
          </w:tcPr>
          <w:p>
            <w:pPr>
              <w:ind w:left="0" w:right="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927"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
                <w:sz w:val="21"/>
                <w:szCs w:val="21"/>
                <w:highlight w:val="none"/>
              </w:rPr>
              <w:t xml:space="preserve">3</w:t>
            </w:r>
            <w:r>
              <w:rPr>
                <w:rFonts w:hint="eastAsia" w:ascii="宋体" w:hAnsi="宋体" w:eastAsia="宋体" w:cs="宋体"/>
                <w:color w:val="auto"/>
                <w:spacing w:val="-2"/>
                <w:sz w:val="21"/>
                <w:szCs w:val="21"/>
                <w:highlight w:val="none"/>
              </w:rPr>
              <w:t xml:space="preserve">-</w:t>
            </w:r>
            <w:r>
              <w:rPr>
                <w:rFonts w:hint="eastAsia" w:ascii="宋体" w:hAnsi="宋体" w:eastAsia="宋体" w:cs="宋体"/>
                <w:color w:val="auto"/>
                <w:spacing w:val="1"/>
                <w:sz w:val="21"/>
                <w:szCs w:val="21"/>
                <w:highlight w:val="none"/>
              </w:rPr>
              <w:t xml:space="preserve">11</w:t>
            </w:r>
            <w:r>
              <w:rPr>
                <w:rFonts w:hint="eastAsia" w:ascii="宋体" w:hAnsi="宋体" w:eastAsia="宋体" w:cs="宋体"/>
                <w:color w:val="auto"/>
                <w:sz w:val="21"/>
                <w:szCs w:val="21"/>
                <w:highlight w:val="none"/>
              </w:rPr>
              <w:t xml:space="preserve">月</w:t>
            </w:r>
            <w:r/>
          </w:p>
        </w:tc>
        <w:tc>
          <w:tcPr>
            <w:shd w:val="clear" w:color="ffffff" w:fill="ffffff"/>
            <w:tcMar>
              <w:left w:w="0" w:type="dxa"/>
              <w:top w:w="0" w:type="dxa"/>
              <w:right w:w="0" w:type="dxa"/>
              <w:bottom w:w="0" w:type="dxa"/>
            </w:tcMar>
            <w:tcW w:w="736"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12</w:t>
            </w:r>
            <w:r/>
          </w:p>
        </w:tc>
        <w:tc>
          <w:tcPr>
            <w:gridSpan w:val="2"/>
            <w:tcW w:w="1299" w:type="dxa"/>
            <w:vAlign w:val="center"/>
            <w:vMerge w:val="continue"/>
            <w:textDirection w:val="lrTb"/>
            <w:noWrap w:val="false"/>
          </w:tcPr>
          <w:p>
            <w:pPr>
              <w:ind w:left="0" w:right="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3"/>
            <w:vAlign w:val="center"/>
            <w:vMerge w:val="continue"/>
            <w:textDirection w:val="lrTb"/>
            <w:noWrap w:val="false"/>
          </w:tcPr>
          <w:p>
            <w:pPr>
              <w:ind w:left="0" w:right="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vAlign w:val="center"/>
            <w:vMerge w:val="continue"/>
            <w:textDirection w:val="lrTb"/>
            <w:noWrap w:val="false"/>
          </w:tcPr>
          <w:p>
            <w:pPr>
              <w:ind w:left="0" w:right="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After w:val="1"/>
          <w:trHeight w:val="1300"/>
        </w:trPr>
        <w:tc>
          <w:tcPr>
            <w:tcMar>
              <w:left w:w="15" w:type="dxa"/>
              <w:top w:w="15" w:type="dxa"/>
              <w:right w:w="15" w:type="dxa"/>
              <w:bottom w:w="15" w:type="dxa"/>
            </w:tcMar>
            <w:tcW w:w="503" w:type="dxa"/>
            <w:vAlign w:val="center"/>
            <w:textDirection w:val="lrTb"/>
            <w:noWrap w:val="false"/>
          </w:tcPr>
          <w:p>
            <w:pPr>
              <w:ind w:left="0" w:right="0"/>
              <w:jc w:val="both"/>
              <w:keepLines w:val="0"/>
              <w:keepNext w:val="0"/>
              <w:pageBreakBefore w:val="0"/>
              <w:spacing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9"/>
            <w:shd w:val="clear" w:color="ffffff" w:fill="ffffff"/>
            <w:tcMar>
              <w:left w:w="0" w:type="dxa"/>
              <w:top w:w="0" w:type="dxa"/>
              <w:right w:w="0" w:type="dxa"/>
              <w:bottom w:w="0" w:type="dxa"/>
            </w:tcMar>
            <w:tcW w:w="8348" w:type="dxa"/>
            <w:vAlign w:val="center"/>
            <w:textDirection w:val="lrTb"/>
            <w:noWrap w:val="false"/>
          </w:tcPr>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备注：</w:t>
            </w:r>
            <w:r/>
          </w:p>
          <w:p>
            <w:pPr>
              <w:ind w:left="0" w:right="0" w:firstLine="48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1.表中所注人数为日常管养最低限，采购人有权根据实际管养需求，在各类抢险或应急突击任务时要求中标人适当增加养护工人数量，</w:t>
            </w:r>
            <w:r>
              <w:rPr>
                <w:rFonts w:hint="eastAsia" w:ascii="宋体" w:hAnsi="宋体" w:eastAsia="宋体" w:cs="宋体"/>
                <w:b/>
                <w:color w:val="auto"/>
                <w:sz w:val="21"/>
                <w:szCs w:val="21"/>
                <w:highlight w:val="none"/>
              </w:rPr>
              <w:t xml:space="preserve">产生的所有费用包含在本项目的报价内。</w:t>
            </w:r>
            <w:r/>
          </w:p>
          <w:p>
            <w:pPr>
              <w:ind w:left="0" w:right="0" w:firstLine="48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2.现场养护工人按行业要求统一服装，所有养护工人必须了解本项目的工作标</w:t>
            </w:r>
            <w:r/>
          </w:p>
          <w:p>
            <w:pPr>
              <w:ind w:left="0" w:right="0" w:firstLine="0"/>
              <w:jc w:val="both"/>
              <w:keepLines w:val="0"/>
              <w:keepNext w:val="0"/>
              <w:pageBreakBefore w:val="0"/>
              <w:spacing w:after="0" w:line="240" w:lineRule="auto"/>
              <w:widowControl w:val="off"/>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准和要求，在上岗前接受绿化养护工作的岗前培训。</w:t>
            </w:r>
            <w:r/>
          </w:p>
        </w:tc>
      </w:tr>
    </w:tbl>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说明：未经采购人认可，考核中发现工人到岗数达不到招标文件要求的，采购人将直接从月度管养款中扣除未发生的费用。</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（四）养护机械设备配置要求</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中标后，中标供应商在规定时间内按下述要求配备到位，同时提供自有机械设备购买发票复印件并加盖公章或者设备租赁协议。（</w:t>
      </w:r>
      <w:r>
        <w:rPr>
          <w:rFonts w:hint="eastAsia" w:ascii="宋体" w:hAnsi="宋体" w:eastAsia="宋体" w:cs="宋体"/>
          <w:b/>
          <w:color w:val="auto"/>
          <w:sz w:val="24"/>
          <w:highlight w:val="none"/>
        </w:rPr>
        <w:t xml:space="preserve">★注：投标时须提供承诺函，格式自拟，未提供将做无效标处理</w:t>
      </w:r>
      <w:r>
        <w:rPr>
          <w:rFonts w:hint="eastAsia" w:ascii="宋体" w:hAnsi="宋体" w:eastAsia="宋体" w:cs="宋体"/>
          <w:color w:val="auto"/>
          <w:sz w:val="24"/>
          <w:highlight w:val="none"/>
        </w:rPr>
        <w:t xml:space="preserve">）</w:t>
      </w:r>
      <w:r/>
    </w:p>
    <w:tbl>
      <w:tblPr>
        <w:tblStyle w:val="816"/>
        <w:tblW w:w="88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1"/>
        <w:gridCol w:w="798"/>
        <w:gridCol w:w="703"/>
        <w:gridCol w:w="1075"/>
        <w:gridCol w:w="804"/>
        <w:gridCol w:w="745"/>
        <w:gridCol w:w="660"/>
        <w:gridCol w:w="760"/>
        <w:gridCol w:w="544"/>
        <w:gridCol w:w="1687"/>
      </w:tblGrid>
      <w:tr>
        <w:trPr>
          <w:jc w:val="center"/>
          <w:trHeight w:val="685"/>
        </w:trPr>
        <w:tc>
          <w:tcPr>
            <w:gridSpan w:val="10"/>
            <w:shd w:val="clear" w:color="ffffff" w:fill="ffffff"/>
            <w:tcMar>
              <w:left w:w="0" w:type="dxa"/>
              <w:top w:w="0" w:type="dxa"/>
              <w:right w:w="0" w:type="dxa"/>
              <w:bottom w:w="0" w:type="dxa"/>
            </w:tcMar>
            <w:tcW w:w="8807" w:type="dxa"/>
            <w:vAlign w:val="top"/>
            <w:textDirection w:val="lrTb"/>
            <w:noWrap w:val="false"/>
          </w:tcPr>
          <w:p>
            <w:pPr>
              <w:ind w:left="2269" w:right="2244" w:firstLine="0"/>
              <w:jc w:val="center"/>
              <w:spacing w:before="64"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分包一和分包二机械设备配置要求最低限（辆或台）</w:t>
            </w:r>
            <w:r/>
          </w:p>
        </w:tc>
      </w:tr>
      <w:tr>
        <w:trPr>
          <w:jc w:val="center"/>
          <w:trHeight w:val="2557"/>
        </w:trPr>
        <w:tc>
          <w:tcPr>
            <w:shd w:val="clear" w:color="ffffff" w:fill="ffffff"/>
            <w:tcMar>
              <w:left w:w="0" w:type="dxa"/>
              <w:top w:w="0" w:type="dxa"/>
              <w:right w:w="0" w:type="dxa"/>
              <w:bottom w:w="0" w:type="dxa"/>
            </w:tcMar>
            <w:tcW w:w="1031" w:type="dxa"/>
            <w:vAlign w:val="top"/>
            <w:textDirection w:val="lrTb"/>
            <w:noWrap w:val="false"/>
          </w:tcPr>
          <w:p>
            <w:pPr>
              <w:ind w:left="172" w:right="151" w:firstLine="0"/>
              <w:jc w:val="center"/>
              <w:spacing w:before="103" w:after="0" w:line="8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highlight w:val="none"/>
              </w:rPr>
              <w:t xml:space="preserve">自卸式垃圾车</w:t>
            </w:r>
            <w:r/>
          </w:p>
          <w:p>
            <w:pPr>
              <w:ind w:left="152" w:right="134" w:firstLine="0"/>
              <w:jc w:val="center"/>
              <w:spacing w:before="0" w:after="0" w:line="421"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容量</w:t>
            </w:r>
            <w:r/>
          </w:p>
          <w:p>
            <w:pPr>
              <w:ind w:left="18" w:right="0" w:firstLine="0"/>
              <w:jc w:val="center"/>
              <w:spacing w:before="175"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w:t>
            </w:r>
            <w:r/>
          </w:p>
          <w:p>
            <w:pPr>
              <w:ind w:left="172" w:right="151" w:firstLine="0"/>
              <w:jc w:val="center"/>
              <w:spacing w:before="182"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5</w:t>
            </w:r>
            <w:r>
              <w:rPr>
                <w:rFonts w:hint="eastAsia" w:ascii="宋体" w:hAnsi="宋体" w:eastAsia="宋体" w:cs="宋体"/>
                <w:b/>
                <w:color w:val="auto"/>
                <w:spacing w:val="-12"/>
                <w:sz w:val="24"/>
                <w:highlight w:val="none"/>
              </w:rPr>
              <w:t xml:space="preserve">吨</w:t>
            </w:r>
            <w:r>
              <w:rPr>
                <w:rFonts w:hint="eastAsia" w:ascii="宋体" w:hAnsi="宋体" w:eastAsia="宋体" w:cs="宋体"/>
                <w:color w:val="auto"/>
                <w:sz w:val="24"/>
                <w:highlight w:val="none"/>
              </w:rPr>
              <w:t xml:space="preserve">）</w:t>
            </w:r>
            <w:r/>
          </w:p>
        </w:tc>
        <w:tc>
          <w:tcPr>
            <w:shd w:val="clear" w:color="ffffff" w:fill="ffffff"/>
            <w:tcMar>
              <w:left w:w="0" w:type="dxa"/>
              <w:top w:w="0" w:type="dxa"/>
              <w:right w:w="0" w:type="dxa"/>
              <w:bottom w:w="0" w:type="dxa"/>
            </w:tcMar>
            <w:tcW w:w="798"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174" w:right="158" w:firstLine="0"/>
              <w:jc w:val="both"/>
              <w:spacing w:before="0" w:after="0" w:line="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移动式指纹打卡机</w:t>
            </w:r>
            <w:r/>
          </w:p>
        </w:tc>
        <w:tc>
          <w:tcPr>
            <w:shd w:val="clear" w:color="ffffff" w:fill="ffffff"/>
            <w:tcMar>
              <w:left w:w="0" w:type="dxa"/>
              <w:top w:w="0" w:type="dxa"/>
              <w:right w:w="0" w:type="dxa"/>
              <w:bottom w:w="0" w:type="dxa"/>
            </w:tcMar>
            <w:tcW w:w="703"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1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131" w:right="115" w:firstLine="0"/>
              <w:jc w:val="both"/>
              <w:spacing w:before="0" w:after="0" w:line="8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标准洒水车</w:t>
            </w:r>
            <w:r/>
          </w:p>
        </w:tc>
        <w:tc>
          <w:tcPr>
            <w:shd w:val="clear" w:color="ffffff" w:fill="ffffff"/>
            <w:tcMar>
              <w:left w:w="0" w:type="dxa"/>
              <w:top w:w="0" w:type="dxa"/>
              <w:right w:w="0" w:type="dxa"/>
              <w:bottom w:w="0" w:type="dxa"/>
            </w:tcMar>
            <w:tcW w:w="1075"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12"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347" w:right="90" w:hanging="240"/>
              <w:spacing w:before="0" w:after="0" w:line="8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高射程打药机</w:t>
            </w:r>
            <w:r/>
          </w:p>
        </w:tc>
        <w:tc>
          <w:tcPr>
            <w:shd w:val="clear" w:color="ffffff" w:fill="ffffff"/>
            <w:tcMar>
              <w:left w:w="0" w:type="dxa"/>
              <w:top w:w="0" w:type="dxa"/>
              <w:right w:w="0" w:type="dxa"/>
              <w:bottom w:w="0" w:type="dxa"/>
            </w:tcMar>
            <w:tcW w:w="804"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1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169" w:right="148" w:firstLine="0"/>
              <w:jc w:val="center"/>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水泵</w:t>
            </w:r>
            <w:r/>
          </w:p>
        </w:tc>
        <w:tc>
          <w:tcPr>
            <w:shd w:val="clear" w:color="ffffff" w:fill="ffffff"/>
            <w:tcMar>
              <w:left w:w="0" w:type="dxa"/>
              <w:top w:w="0" w:type="dxa"/>
              <w:right w:w="0" w:type="dxa"/>
              <w:bottom w:w="0" w:type="dxa"/>
            </w:tcMar>
            <w:tcW w:w="745"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1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155" w:right="131" w:firstLine="0"/>
              <w:jc w:val="both"/>
              <w:spacing w:before="0" w:after="0" w:line="8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绿篱修剪机</w:t>
            </w:r>
            <w:r/>
          </w:p>
        </w:tc>
        <w:tc>
          <w:tcPr>
            <w:shd w:val="clear" w:color="ffffff" w:fill="ffffff"/>
            <w:tcMar>
              <w:left w:w="0" w:type="dxa"/>
              <w:top w:w="0" w:type="dxa"/>
              <w:right w:w="0" w:type="dxa"/>
              <w:bottom w:w="0" w:type="dxa"/>
            </w:tcMar>
            <w:tcW w:w="660"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1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115" w:right="91" w:firstLine="0"/>
              <w:jc w:val="both"/>
              <w:spacing w:before="0" w:after="0" w:line="8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草坪旋耕机</w:t>
            </w:r>
            <w:r/>
          </w:p>
        </w:tc>
        <w:tc>
          <w:tcPr>
            <w:shd w:val="clear" w:color="ffffff" w:fill="ffffff"/>
            <w:tcMar>
              <w:left w:w="0" w:type="dxa"/>
              <w:top w:w="0" w:type="dxa"/>
              <w:right w:w="0" w:type="dxa"/>
              <w:bottom w:w="0" w:type="dxa"/>
            </w:tcMar>
            <w:tcW w:w="760"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13"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162" w:right="138" w:firstLine="0"/>
              <w:jc w:val="both"/>
              <w:spacing w:before="0" w:after="0" w:line="8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草坪修剪机</w:t>
            </w:r>
            <w:r/>
          </w:p>
        </w:tc>
        <w:tc>
          <w:tcPr>
            <w:shd w:val="clear" w:color="ffffff" w:fill="ffffff"/>
            <w:tcMar>
              <w:left w:w="0" w:type="dxa"/>
              <w:top w:w="0" w:type="dxa"/>
              <w:right w:w="0" w:type="dxa"/>
              <w:bottom w:w="0" w:type="dxa"/>
            </w:tcMar>
            <w:tcW w:w="544" w:type="dxa"/>
            <w:vAlign w:val="top"/>
            <w:textDirection w:val="lrTb"/>
            <w:noWrap w:val="false"/>
          </w:tcPr>
          <w:p>
            <w:pPr>
              <w:ind w:left="0" w:right="0" w:firstLine="0"/>
              <w:spacing w:before="0"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0" w:right="0" w:firstLine="0"/>
              <w:spacing w:before="12"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144" w:right="113" w:firstLine="0"/>
              <w:spacing w:before="0" w:after="0" w:line="83"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油锯</w:t>
            </w:r>
            <w:r/>
          </w:p>
        </w:tc>
        <w:tc>
          <w:tcPr>
            <w:shd w:val="clear" w:color="ffffff" w:fill="ffffff"/>
            <w:tcMar>
              <w:left w:w="0" w:type="dxa"/>
              <w:top w:w="0" w:type="dxa"/>
              <w:right w:w="0" w:type="dxa"/>
              <w:bottom w:w="0" w:type="dxa"/>
            </w:tcMar>
            <w:tcW w:w="1687" w:type="dxa"/>
            <w:vAlign w:val="top"/>
            <w:textDirection w:val="lrTb"/>
            <w:noWrap w:val="false"/>
          </w:tcPr>
          <w:p>
            <w:pPr>
              <w:ind w:left="0" w:right="0" w:firstLine="0"/>
              <w:spacing w:before="14"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114" w:right="51" w:firstLine="62"/>
              <w:jc w:val="left"/>
              <w:spacing w:before="0" w:after="0" w:line="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登高作业机</w:t>
            </w:r>
            <w:r>
              <w:rPr>
                <w:rFonts w:hint="eastAsia" w:ascii="宋体" w:hAnsi="宋体" w:eastAsia="宋体" w:cs="宋体"/>
                <w:color w:val="auto"/>
                <w:spacing w:val="-120"/>
                <w:sz w:val="24"/>
                <w:highlight w:val="none"/>
              </w:rPr>
              <w:t xml:space="preserve">械</w:t>
            </w:r>
            <w:r>
              <w:rPr>
                <w:rFonts w:hint="eastAsia" w:ascii="宋体" w:hAnsi="宋体" w:eastAsia="宋体" w:cs="宋体"/>
                <w:color w:val="auto"/>
                <w:sz w:val="24"/>
                <w:highlight w:val="none"/>
              </w:rPr>
              <w:t xml:space="preserve">（</w:t>
            </w:r>
            <w:r>
              <w:rPr>
                <w:rFonts w:hint="eastAsia" w:ascii="宋体" w:hAnsi="宋体" w:eastAsia="宋体" w:cs="宋体"/>
                <w:b/>
                <w:color w:val="auto"/>
                <w:sz w:val="24"/>
                <w:highlight w:val="none"/>
              </w:rPr>
              <w:t xml:space="preserve">最大作业</w:t>
            </w:r>
            <w:r>
              <w:rPr>
                <w:rFonts w:hint="eastAsia" w:ascii="宋体" w:hAnsi="宋体" w:eastAsia="宋体" w:cs="宋体"/>
                <w:b/>
                <w:color w:val="auto"/>
                <w:spacing w:val="-7"/>
                <w:sz w:val="24"/>
                <w:highlight w:val="none"/>
              </w:rPr>
              <w:t xml:space="preserve">高度≥</w:t>
            </w:r>
            <w:r>
              <w:rPr>
                <w:rFonts w:hint="eastAsia" w:ascii="宋体" w:hAnsi="宋体" w:eastAsia="宋体" w:cs="宋体"/>
                <w:b/>
                <w:color w:val="auto"/>
                <w:spacing w:val="-20"/>
                <w:sz w:val="24"/>
                <w:highlight w:val="none"/>
              </w:rPr>
              <w:t xml:space="preserve">25m</w:t>
            </w:r>
            <w:r>
              <w:rPr>
                <w:rFonts w:hint="eastAsia" w:ascii="宋体" w:hAnsi="宋体" w:eastAsia="宋体" w:cs="宋体"/>
                <w:b/>
                <w:color w:val="auto"/>
                <w:sz w:val="24"/>
                <w:highlight w:val="none"/>
              </w:rPr>
              <w:t xml:space="preserve">）</w:t>
            </w:r>
            <w:r/>
          </w:p>
        </w:tc>
      </w:tr>
      <w:tr>
        <w:trPr>
          <w:jc w:val="center"/>
          <w:trHeight w:val="90"/>
        </w:trPr>
        <w:tc>
          <w:tcPr>
            <w:shd w:val="clear" w:color="ffffff" w:fill="ffffff"/>
            <w:tcMar>
              <w:left w:w="0" w:type="dxa"/>
              <w:top w:w="0" w:type="dxa"/>
              <w:right w:w="0" w:type="dxa"/>
              <w:bottom w:w="0" w:type="dxa"/>
            </w:tcMar>
            <w:tcW w:w="1031" w:type="dxa"/>
            <w:vAlign w:val="top"/>
            <w:textDirection w:val="lrTb"/>
            <w:noWrap w:val="false"/>
          </w:tcPr>
          <w:p>
            <w:pPr>
              <w:ind w:left="19" w:right="0" w:firstLine="0"/>
              <w:jc w:val="center"/>
              <w:spacing w:before="101"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shd w:val="clear" w:color="ffffff" w:fill="ffffff"/>
            <w:tcMar>
              <w:left w:w="0" w:type="dxa"/>
              <w:top w:w="0" w:type="dxa"/>
              <w:right w:w="0" w:type="dxa"/>
              <w:bottom w:w="0" w:type="dxa"/>
            </w:tcMar>
            <w:tcW w:w="798" w:type="dxa"/>
            <w:vAlign w:val="top"/>
            <w:textDirection w:val="lrTb"/>
            <w:noWrap w:val="false"/>
          </w:tcPr>
          <w:p>
            <w:pPr>
              <w:ind w:left="14" w:right="0" w:firstLine="0"/>
              <w:jc w:val="center"/>
              <w:spacing w:before="101"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shd w:val="clear" w:color="ffffff" w:fill="ffffff"/>
            <w:tcMar>
              <w:left w:w="0" w:type="dxa"/>
              <w:top w:w="0" w:type="dxa"/>
              <w:right w:w="0" w:type="dxa"/>
              <w:bottom w:w="0" w:type="dxa"/>
            </w:tcMar>
            <w:tcW w:w="703" w:type="dxa"/>
            <w:vAlign w:val="top"/>
            <w:textDirection w:val="lrTb"/>
            <w:noWrap w:val="false"/>
          </w:tcPr>
          <w:p>
            <w:pPr>
              <w:ind w:left="11" w:right="0" w:firstLine="0"/>
              <w:jc w:val="center"/>
              <w:spacing w:before="101"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shd w:val="clear" w:color="ffffff" w:fill="ffffff"/>
            <w:tcMar>
              <w:left w:w="0" w:type="dxa"/>
              <w:top w:w="0" w:type="dxa"/>
              <w:right w:w="0" w:type="dxa"/>
              <w:bottom w:w="0" w:type="dxa"/>
            </w:tcMar>
            <w:tcW w:w="1075" w:type="dxa"/>
            <w:vAlign w:val="top"/>
            <w:textDirection w:val="lrTb"/>
            <w:noWrap w:val="false"/>
          </w:tcPr>
          <w:p>
            <w:pPr>
              <w:ind w:left="13" w:right="0" w:firstLine="0"/>
              <w:jc w:val="center"/>
              <w:spacing w:before="101"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shd w:val="clear" w:color="ffffff" w:fill="ffffff"/>
            <w:tcMar>
              <w:left w:w="0" w:type="dxa"/>
              <w:top w:w="0" w:type="dxa"/>
              <w:right w:w="0" w:type="dxa"/>
              <w:bottom w:w="0" w:type="dxa"/>
            </w:tcMar>
            <w:tcW w:w="804" w:type="dxa"/>
            <w:vAlign w:val="top"/>
            <w:textDirection w:val="lrTb"/>
            <w:noWrap w:val="false"/>
          </w:tcPr>
          <w:p>
            <w:pPr>
              <w:ind w:left="22" w:right="0" w:firstLine="0"/>
              <w:jc w:val="center"/>
              <w:spacing w:before="101"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w:t>
            </w:r>
            <w:r/>
          </w:p>
        </w:tc>
        <w:tc>
          <w:tcPr>
            <w:shd w:val="clear" w:color="ffffff" w:fill="ffffff"/>
            <w:tcMar>
              <w:left w:w="0" w:type="dxa"/>
              <w:top w:w="0" w:type="dxa"/>
              <w:right w:w="0" w:type="dxa"/>
              <w:bottom w:w="0" w:type="dxa"/>
            </w:tcMar>
            <w:tcW w:w="745" w:type="dxa"/>
            <w:vAlign w:val="top"/>
            <w:textDirection w:val="lrTb"/>
            <w:noWrap w:val="false"/>
          </w:tcPr>
          <w:p>
            <w:pPr>
              <w:ind w:left="20" w:right="0" w:firstLine="0"/>
              <w:jc w:val="center"/>
              <w:spacing w:before="101"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shd w:val="clear" w:color="ffffff" w:fill="ffffff"/>
            <w:tcMar>
              <w:left w:w="0" w:type="dxa"/>
              <w:top w:w="0" w:type="dxa"/>
              <w:right w:w="0" w:type="dxa"/>
              <w:bottom w:w="0" w:type="dxa"/>
            </w:tcMar>
            <w:tcW w:w="660" w:type="dxa"/>
            <w:vAlign w:val="top"/>
            <w:textDirection w:val="lrTb"/>
            <w:noWrap w:val="false"/>
          </w:tcPr>
          <w:p>
            <w:pPr>
              <w:ind w:left="22" w:right="0" w:firstLine="0"/>
              <w:jc w:val="center"/>
              <w:spacing w:before="101"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c>
          <w:tcPr>
            <w:shd w:val="clear" w:color="ffffff" w:fill="ffffff"/>
            <w:tcMar>
              <w:left w:w="0" w:type="dxa"/>
              <w:top w:w="0" w:type="dxa"/>
              <w:right w:w="0" w:type="dxa"/>
              <w:bottom w:w="0" w:type="dxa"/>
            </w:tcMar>
            <w:tcW w:w="760" w:type="dxa"/>
            <w:vAlign w:val="top"/>
            <w:textDirection w:val="lrTb"/>
            <w:noWrap w:val="false"/>
          </w:tcPr>
          <w:p>
            <w:pPr>
              <w:ind w:left="22" w:right="0" w:firstLine="0"/>
              <w:jc w:val="center"/>
              <w:spacing w:before="101"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w:t>
            </w:r>
            <w:r/>
          </w:p>
        </w:tc>
        <w:tc>
          <w:tcPr>
            <w:shd w:val="clear" w:color="ffffff" w:fill="ffffff"/>
            <w:tcMar>
              <w:left w:w="0" w:type="dxa"/>
              <w:top w:w="0" w:type="dxa"/>
              <w:right w:w="0" w:type="dxa"/>
              <w:bottom w:w="0" w:type="dxa"/>
            </w:tcMar>
            <w:tcW w:w="544" w:type="dxa"/>
            <w:vAlign w:val="top"/>
            <w:textDirection w:val="lrTb"/>
            <w:noWrap w:val="false"/>
          </w:tcPr>
          <w:p>
            <w:pPr>
              <w:ind w:left="31" w:right="0" w:firstLine="0"/>
              <w:jc w:val="center"/>
              <w:spacing w:before="101"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p>
        </w:tc>
        <w:tc>
          <w:tcPr>
            <w:shd w:val="clear" w:color="ffffff" w:fill="ffffff"/>
            <w:tcMar>
              <w:left w:w="0" w:type="dxa"/>
              <w:top w:w="0" w:type="dxa"/>
              <w:right w:w="0" w:type="dxa"/>
              <w:bottom w:w="0" w:type="dxa"/>
            </w:tcMar>
            <w:tcW w:w="1687" w:type="dxa"/>
            <w:vAlign w:val="top"/>
            <w:textDirection w:val="lrTb"/>
            <w:noWrap w:val="false"/>
          </w:tcPr>
          <w:p>
            <w:pPr>
              <w:ind w:left="35" w:right="0" w:firstLine="0"/>
              <w:jc w:val="center"/>
              <w:spacing w:before="101" w:after="0" w:line="24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p>
        </w:tc>
      </w:tr>
      <w:tr>
        <w:trPr>
          <w:jc w:val="center"/>
          <w:trHeight w:val="2248"/>
        </w:trPr>
        <w:tc>
          <w:tcPr>
            <w:gridSpan w:val="10"/>
            <w:shd w:val="clear" w:color="ffffff" w:fill="ffffff"/>
            <w:tcMar>
              <w:left w:w="0" w:type="dxa"/>
              <w:top w:w="0" w:type="dxa"/>
              <w:right w:w="0" w:type="dxa"/>
              <w:bottom w:w="0" w:type="dxa"/>
            </w:tcMar>
            <w:tcW w:w="8807" w:type="dxa"/>
            <w:vAlign w:val="top"/>
            <w:textDirection w:val="lrTb"/>
            <w:noWrap w:val="false"/>
          </w:tcPr>
          <w:p>
            <w:pPr>
              <w:ind w:left="0" w:right="0" w:firstLine="480"/>
              <w:jc w:val="left"/>
              <w:keepLines w:val="0"/>
              <w:keepNext w:val="0"/>
              <w:pageBreakBefore w:val="0"/>
              <w:spacing w:before="0" w:after="0" w:line="30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w:t>
            </w:r>
            <w:r/>
          </w:p>
          <w:p>
            <w:pPr>
              <w:ind w:left="0" w:right="0" w:firstLine="480"/>
              <w:jc w:val="left"/>
              <w:keepLines w:val="0"/>
              <w:keepNext w:val="0"/>
              <w:pageBreakBefore w:val="0"/>
              <w:spacing w:before="0" w:after="0" w:line="30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1、表中所注数量为最低限，采购人有权根据实际管养需求，要求中标供应商适当增加机械设备数量，产生的所有费用包含在本项目的报价内。</w:t>
            </w:r>
            <w:r/>
          </w:p>
          <w:p>
            <w:pPr>
              <w:ind w:left="0" w:right="0" w:firstLine="480"/>
              <w:jc w:val="left"/>
              <w:keepLines w:val="0"/>
              <w:keepNext w:val="0"/>
              <w:pageBreakBefore w:val="0"/>
              <w:spacing w:before="0" w:after="0" w:line="30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2、合同期内，所有设施设备需保持8成新，不得因设备损坏等原因影响管养工作，否则除正常考核扣分外，每次支付违约金1000元。</w:t>
            </w:r>
            <w:r/>
          </w:p>
          <w:p>
            <w:pPr>
              <w:ind w:left="0" w:right="0" w:firstLine="480"/>
              <w:jc w:val="left"/>
              <w:keepLines w:val="0"/>
              <w:keepNext w:val="0"/>
              <w:pageBreakBefore w:val="0"/>
              <w:spacing w:before="0" w:after="0" w:line="30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3、其它绿化养护必备工具不在清单中详细罗列，投标人需按养护要求充足提供，因此产生的所有费用包含在本项目的报价内。</w:t>
            </w:r>
            <w:r/>
          </w:p>
        </w:tc>
      </w:tr>
    </w:tbl>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（五）相关工作要求</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涉及中标供应商须支付的违约金或赔偿金，采购人可以从中标供应商管养经费中直接扣除。</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1人员配备要求</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中标供应商项目负责人必须按时参加由采购人召开的养护例会和各种必须参加的考核等会议；特殊情况不能参加的，本人必须提前履行请假手续，经同意后，方可委托其他人代替参加，且30天内仅限委托他人参加一次。如有违反承担违约金1000元/人次。</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中标供应商不得随意更换本项目的项目负责人，因特殊情况确需更换的，应提前5天以书面形式通知采购人，拟更换的项目负责人需满足招投标文件要求，经采购人同意后方可到岗行使各项职权，履行前任的义务，且中标服务期内更换项目负责人仅限一次（采购人要求更换的除外）。如擅自更换或后期再次更换项目负责人中标供应商须承担违约金10000元/次。更换达三次（含）以上，采购人单方有权立即终止本项目承包合同，清退出场，按合同结清当期已发生项目管养款，不予退还其履约保证金，由此产生的一切法律责任和经济损失均由中标供应商承担。</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1.3采购人有权要求更换不称职的项目负责人及技术负责人，项目负责人及技术负责人试用期为3个月，3个月后视其履职情况决定是否要求中标供应商更换。如中标供应商拒不按要求更换到位的，采购人单方有权立即终止本项目承包合同，清退出场，按合同结清当期已发生项目管养款，不予退还其履约保证金，由此产生的一切法律责任和经济损失均由中标供应商承担。</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1.4中标供应商应按照相关政策文件规定做好人员体检、保险购买等工作，履约期间，如发生中标供应商员工引发的劳动纠纷、员工工伤或人身伤亡事故、或因中标供应商人员身体不健康导致在岗位上突发病情等，均由中标供应商承担一切责任，与采购人无关。</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1.5合同期内，中标供应商应按照招标文件要求按时按月发放人员工资及相关福利待遇，如合同期内经劳动部门核查中标供应商存在拖欠工资情况属实的，中标供应商承担一切经济、法律责任，与采购人无关。</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1.6中标供应商进场时，须满足本项目人员资质资格要求，未经采购人认可，考核中发现工人到岗数达不到招标文件要求的，采购人将直接从月度管养款中扣除未发生的费用。人员缺岗、迟到、早退的，除正常考核扣分外，项目负责人存在这些情况的，中标供应商须支付违约金300元/次，其它人员100元/人次。</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1.7中标供应商按采购人要求为现场养护工人配备统一服装，人员服装于进场后15日内到位，否则须支付违约金500元/天，直至配齐。</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8中标供应商必须高度重视安全生产工作。所有养护工人必须了解本项目的工作标准和要求，在上岗前接受绿化养护工作的岗前培训。中标供应商负责对绿化管养人员进行教育、培训、考核和管理，加强人员安全教育及培训，并为聘用员工缴纳意外伤害保险，组织做好绿地植物及绿化管养设施设备的安全防范工作，履约期间，如因中标供应商安全工作不到位，造成绿化植物及绿地管养设施设备被盗、毁坏的，中标供应商负责赔偿或恢复原状，因中标供应商安全工作不到位，发生重大安全及水电事故造成人员工伤或人身伤亡事故的，均与采购人无关，中标供应商承担一切责任。</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1.9工作时间中标供应商可根据管养工作实际需求及季节特点合理安排，并报经采购人同意，实行每天8小时工作制度，必要时需安排加班。项目负责人及技术负责人必须时刻保持手机畅通，及时接听和回复采购人电话，否则除正常考核扣分外，须支付违约金500元/次。</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2.设备配备要求</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2.1中标供应商须严格按照投标文件配备设施设备，合同签订后，中标供应商须在7日内配齐所有设施设备。中标供应商自有机械需提供设备购买发票复印件并加盖公章；租用设备提供租用设备协议以及设备购买发票复印件并加盖设备单位公章。提供原件核查。采购人将严格对照中标供应商投标文件核对，如不符合，中标供应商须在7日内重新采购到位，否则须支付违约金500元/天，直至设备配齐。</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2.2经采购人验收通过的设施设备，除个别大型机械可租用，其它都应专供于本项目，租用的大型机械设备需使用时中标供应商应提前安排，不得出现因机械设备不到位影响养护工作的情况，否则除正常考核扣分外，中标供应商须支付违约金1000元/次。</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2.3其它绿化养护必备工具未在清单中详细罗列的，中标供应商需按养护要求充足提供；采购人有权根据实际管养需求，要求中标供应商增加机械设备数量，因此产生的所有费用包含在本项目的报价内，否则除正常考核扣分外，中标供应商须支付违约金1000元/次。</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2.4合同期内，所有设施设备需保持8成新，不得因设备损坏等原因影响管养工作，否则除正常考核扣分外，中标供应商须支付违约金1000元/次。</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2.5中标供应商设施设备须按要求有序停放，养护工具不得随意乱丢乱放，不得损毁、占用绿地，否则除正常考核扣分外，中标供应商须支付违约金100元/次。</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3.日常养护管理基本要求</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符合《江苏省城市园林植物养护管理规范及分级标准（201508）》二级标准、《江苏省城市园林建筑和设施维护管理规范》相关要求，按照《宿迁市园林绿化养护管理标准》二级标准、《宿迁市城市绿地养护管理工作月历》要求进行养护。</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3.合同期内，中标供应商应服从采购人的安排，做好以下的服务工作：</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3.1因不可抗力造成的抢修保养工作；</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3.2防汛、防风、抗旱、防寒等抗灾期间的各项养护工作；</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3.3园林养护相关的社会职能工作；</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3.4各项创建、检查活动及上级布置的突击性活动而发生的各项工作；</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3.5确保法定节假日期间正常养护工作；</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3.6按照采购人督查要求进行养护相关工作。</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4.绿地及园林设施保洁和秩序维护工作</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4.1绿地（包括水面）应每日巡视保洁，及时清除绿地管养衍生物（含落叶），垃圾随产随清，确保无各种杂物、树挂等，保持绿地清洁，绿地管养衍生物不得超过24小时未清运，严禁现场焚烧，否则除正常考核扣分外，中标供应商须支付违约金500元/次。</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4.2绿地内座椅、小品、标识标牌等各类园林设施应及时保洁，保洁率为100%。</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4.3绿地中无堆物、堆料、搭棚，建筑墙面和树干上无钉栓刻画等现象。</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4.4绿地内严禁擅自乱接水电，严禁电线、电缆裸露。</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4.5树木修剪过程要做好现场安全防护及指挥，避开市民上下班高峰时间，修剪下的枝条应及时整理清运，不得存放超过24小时，否则除正常考核扣分外，中标供应商须支付违约金500元/次。</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4.6树木喷撒药物应做好现场安全防护和指挥，避开市民上下班高峰时间，选择安全环保符合相关用药规定的农药，文明实施，避免影响市民日常生活。</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4.7洒水除尘时应避开市民上下班高峰时间，做到文明洒水，防止溅洒行人。</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4.8由于中标供应商在操作过程中安全防护不当导致养护工人或游人发生安全事故，一切经济与法律责任由中标供应商承担，与采购人无关。</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5.其它要求</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5.1中标供应商进场后，应迅速对项目绿地、园林植物外貌进行修整，3个月内达到绿地养护二级标准的要求，期间因修整绿地发生的补植、整地、清理碴土垃圾等一切工作，其费用包含在本标的报价内，不再追加计算。</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5.2在养护中发生的绿化植物抽稀、分栽、本项目内的位置调整、密度调整、土方微调整理等属正常工作内容，其价值已包含在本项目招标内，采购人不再额外支付费用；接到采购人有关此项的指令后，应无条件按要求调整到位。</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5.3绿地内的倒树、歪树要及时予以扶正，采取修剪、支撑、裹草绳、浇水、遮荫等措施保证树木的成活，并防止再次倒伏、倾斜。如措施不到位，扶树再倾斜的，要再次扶正，并接受考核扣分；扶树未成活的，要无偿补植同规格品种树木，并接受考核扣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5.4在本项目所包含的路段或广场绿地范围内：</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5.4.1养护期间发生的由采购人竣工移交的绿地工程项目，需纳入本项目内一并管理，其管养费用包含在本项目内，不另外计费；</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5.4.2养护期间如有因改造等原因交由其它部门管理的绿地，其面积从管养面积中减去，养护经费也相应扣减。</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5.5绿地内有园林小品、座椅、围栏、果壳箱、园路、护坡、排水管网、体育器材、标识标牌等设施的，中标供应商要负责设施巡查、检查、维护和保洁；对人为破坏的负责无偿修复，对自然损耗导致的损坏要做好巡查，上报采购方统一修复；在平时的巡查中，对螺丝松动、脱落，标识标牌表面破损、破旧等，要主动、及时、无偿予以维修恢复，保证设施的可使用性、整洁性和安全性，如因设施检修、维护不到位，导致投诉、被上级部门通报、意外事故、人身伤亡的，由中标方承担由此产生的一切法律和经济责任。</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5.6中标供应商在为采购方实施绿化管养服务期间，其用电、用水、垃圾处理、人工、物耗等一切事项和支出由中标供应商自理。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6.防汛、防风、抗旱、防寒等抗灾抢险应急保障工作要求</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6.1前期准备工作：中标供应商要建立完善园林绿化抗灾抢险应急预案机制，成立抗灾抢险应急专项工作小组，通过微信、QQ建立通讯工作网络，落实抢险队伍，添置必须的抗灾抢险机械设备、材料工具等，做到召之即来，全面做好抗灾抢险各项应急保障工作。</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6.2抗灾抢险工作：中标供应商要安排人员密切关注气象部门气象报告，灾情发生时组织人员外出巡查，全面掌握园林绿化受灾发生情况及发展趋势，并随时向采购人汇报反馈抗灾抢险相关情况。中标供应商要按照应急预案要求，及时采取有效措施减少损失，消除安全隐患，保障人民生命和财产安全。紧急情况要随时安排处理解决，一般情况要在灾后24小时内处理完毕。除不可抗力因素外，因中标供应商抢险不力造成的一切后果和法律责任均由中标供应商承担。</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6.3.抗灾抢险善后工作：中标供应商应加强灾后巡查保障工作，避免出现二次危害或次生灾害，同时要对每次抗灾抢险工作进行认真总结，形成专项报告上报采购人。</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7.肥料管理要求</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费用采购人在实际执行中将实行成本控制，肥料品种、数量的使用，采购人可根据现场管养需求进行调整。合同中未列出的相关服务和在实施过程中涉及到的一切费用都包含在投标人报价中，采购人不再支付肥料的额外费用。</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7.1本项目肥料由中标供应商进行采购，采购人对肥料的采购、使用进行全程监督控制。中标供应商按照园林植物养护标准相关要求，结合各路段实际需求分次采购。每次采购前中标供应商需上报肥料采购使用计划（肥料品种、数量、使用计划等），经采购人审核通过后方可进行采购。</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7.2基肥、追肥使用时间、用量、品种严格按照园林植物养护标准相关要求实施，原则上园林绿化苗木每年施基肥1次，追肥根据不同植物品种需求，每年至少1次。中标供应商须严格控制肥料使用量并结合实际需求施肥，过量施肥造成苗木损伤的由中标供应商赔偿。</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7.3中标供应商在市区要安排专门肥料存放地点，肥料采购及使用执行出库、入库管理制度，出入库登记需由采购人监管进行，中标供应商应及时主动报采购人备案确认。</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7.4中标供应商需建立并保存完整的肥料采购及使用档案（含图片档案），采购人将对中标供应商相关档案进行抽查，抽查到1例档案缺少或不完整的，扣1分。每次施肥工作结束后7日内，中标供应商应将本次施肥相关档案资料及时上报采购人。无故不报或延迟报送的，除正常考核扣分外，中标供应商须支付违约金1000元/次。</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7.5中标供应商须严格执行采购人关于施肥工作的统一安排，不施肥或偷工减料的一经查实，除正常考核扣分外，中标供应商须支付违约金5000元/次，并需根据要求在规定时间内补施到位。如未在规定时间内按要求补施的，采购人有权按5元/kg予以扣除未使用肥料的费用。</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8.草坪更新与黑麦草复播要求</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本项费用包含在本项目综合养护管理报价内，不再单独报价，投标人根据年度用量，统筹考虑合同期内草坪更新与黑麦草复播工程量。采购人可根据现场管养需求进行少量调整，不再额外支付相关费用。</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8.1.草坪外观整齐，边缘线清晰，生长旺盛，杂草率、斑秃率＜2%，保证本项目草坪全年绿色期不少于300天；</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8.2.每年春夏对项目标段内退化的草坪进行补播，对缺失地段进行重新铺设，确保草坪完好。</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8.3.每年秋季及时进行黑麦草复播，确保冬季草坪观赏效果，如未按要求复播黑麦草或效果不佳除正常考核扣分外，播种后草坪效果不佳，黑麦草出苗率低于85%的，除正常考核扣分外，效果不佳草坪面积大于等于1000㎡的，中标供应商须支付违约金5000元/次，面积小于1000㎡的，中标供应商须支付违约金1000元/次。</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9.建立绿化养护管理台帐资料</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9.1.中标供应商应建立完整的绿化养护管理台帐，并由专人负责。绿化台帐资料记录详细，分类清楚，数据翔实。</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9.2.项目负责人及技术负责人须具备基本的公文写作能力及办公软件操作能力，根据采购人要求做好养护相关材料的编写上报工作，按时记录月度养护计划及养护作业任务，档案齐全。</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9.3.采购人对中标供应商养护管理台帐资料进行抽查、检查，对不能提供或台帐资料缺失、混乱的，除正常考核扣分外，中标供应商须支付违约金200元/次，并在规定时间内补充完善到位。</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10.养护考核细则</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本项目采用日常巡查考核、定期考核和专项考核相结合的考核办法，具体细则如下：</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10.1.日常巡查考核：由采购人对绿地进行日常的巡查考核，发现问题在《绿地管养考核打分表》上扣分，并通过书面、电话、微信、邮件等方式下发整改通知，中标供应商限期做好相关整改。在规定期限内未整改或整改不合格的，对《考核表》相应项目进行双倍扣分，并限期再次整改，在规定期限内再次未整改或整改不合格的，采购人将直接安排其它管养单位进行整改，费用由中标供应商以现金形式及时支付，三个工作日内拒不支付的扣除当月全部管养经费。</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10.2.定期考核：每月一次，由采购人负责随机组建考核队伍，考核人员不少于2人，按照《绿地管养考核打分表》进行现场检查考核打分。对发现的问题责令中标供应商限时整改。</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10.3.专项考核。专项考核得分每月汇总一次，在日常管养考核打分表汇总核算分数的基础上，按月度直接扣除或增加相应分数。</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10.3.1直接扣分项：</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10.3.1.1人员到岗率达不到招标文件要求，每缺1人扣1分。到岗率低于90%时，第一次给予警告处理，并直接扣除当月管理经费的10%，合同期内人员到岗率低于90%超过三次的，采购人有权单方终止合同并扣除履约保证金。</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10.3.1.2因养护管理不善，发生人员伤亡、财产损失后未处理或处理不妥造成投诉的或不良影响的，每例扣3～10 分。如中标供应商未及时发现树木倒伏、主干或枝条折断等问题，对树木倒伏、折断的24小时内未采取扶正、支撑、修剪等措施加以补救、积极处理，导致倒、断树伤人或绿化被人为损坏未获赔偿的，由中标供应商负赔偿责任。</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10.3.1.3因养护工作不到位，导致被媒体曝光或检查、通报批评的，除每例扣5分外，另外支付违约金10000元/次。</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10.3.1.4对群众来信、来访、投诉电话中反映的投诉、批评、数字城管工单等问题，经查情况属管养单位疏于养护管理导致的，每例扣1分，24小时内无故未整改到位的每次再扣2分。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10.3.1.5对毁绿、占绿（包括审批移植超范围施工）的行为，未在第一时间（当日17:30之前发生的需当日处置，当日17:30以后发生的需在次日12:00之前处置）内发现并制止、上报绿化管理处及相关执法单位的，每次扣3～5分。管养单位只上报管理处但未作实质性处置的视为未有效制止毁绿、占绿行为，每例扣4分，并负责无偿恢复被毁绿地。</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10.3.1.6未经招标人同意，擅自砍伐、移植或更换养护范围内的树木，改变绿地原貌的，每例扣3～10分。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10.3.1.7中标供应商因管养不及时造成大面积病虫害爆发的，一次性扣10分。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10.3.1.8中标供应商要建立完整的日常管养、病虫害防治、肥料管理与使用等管养工作档案，采购人在抽查检查时不能及时提供或缺失的，每例扣1分（包括管养巡查日志、月度总结计划、专项工作安排、人员管理考核培训材料等）。</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10.3.1.9项目负责人、技术负责人手机必须保持24小时畅通，电话联系不上致使延误工作的，每次扣1分。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10.3.1.10未及时完成绿化管理处下达的各项任务的，每例扣1～5分。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10.3.2奖励加分项：</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10.3.2.1重大活动时能及时完成上级布置的养护任务或其它临时突击增加的任务，完成及时受到表扬的每例加1～5分。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10.3.2.2对于新闻媒体、主管部门检查中提出表扬嘉奖的，每例加2分。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10.3.2.3上班期间有好人好事、见义勇为行为的，每例加1-2分。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10.3.2.4能及时发现养护范围之内出现的问题，并且针对提出有效可行新办法新措施的，每例加1～3分。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10.3.2.5及时发现、妥善处置毁绿占绿行为，措施得力，保护绿地不受侵占的，为采购人挽回财产损失的，每例加1～3分。</w:t>
      </w:r>
      <w:r/>
    </w:p>
    <w:p>
      <w:pPr>
        <w:ind w:left="0" w:right="0" w:firstLine="480"/>
        <w:spacing w:before="0" w:after="0" w:line="47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10.3.2.6采购人不定期对所布置的调查统计、突击活动等阶段性工作完成情况评比，从完成及时、成果准确、质量优良的中标单位中选出最优者，予以每例加1分奖励；采购人布置的临时性工作，能够积极予以落实，并在约定的期限内高质量完成的，予以每例加1分奖励。</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10.3.3其他未尽事项以采购人认定为准。</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六</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其它要求</w:t>
      </w:r>
      <w:r/>
    </w:p>
    <w:p>
      <w:pPr>
        <w:numPr>
          <w:ilvl w:val="0"/>
          <w:numId w:val="7"/>
        </w:numPr>
        <w:ind w:left="0" w:firstLine="480"/>
        <w:jc w:val="left"/>
        <w:keepLines w:val="0"/>
        <w:keepNext w:val="0"/>
        <w:pageBreakBefore w:val="0"/>
        <w:spacing w:before="0" w:after="0" w:line="360" w:lineRule="auto"/>
        <w:widowControl w:val="off"/>
        <w:tabs>
          <w:tab w:val="left" w:pos="312"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质量保证方案：供应商应编写质量保证方案，包含但不限于养护服务中的质量保证、不同季度养护措施、风险预防及控制措施突发事件处置等，内容详细。</w:t>
      </w:r>
      <w:r/>
    </w:p>
    <w:p>
      <w:pPr>
        <w:numPr>
          <w:ilvl w:val="0"/>
          <w:numId w:val="7"/>
        </w:numPr>
        <w:ind w:left="0" w:firstLine="480"/>
        <w:jc w:val="left"/>
        <w:keepLines w:val="0"/>
        <w:keepNext w:val="0"/>
        <w:pageBreakBefore w:val="0"/>
        <w:spacing w:before="0" w:after="0" w:line="360" w:lineRule="auto"/>
        <w:widowControl w:val="off"/>
        <w:tabs>
          <w:tab w:val="left" w:pos="312"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肥料配备、病虫害防治方案：针对本项目绿化养护服务，提供科学合理的肥料配备、病虫害防治方案，针对性强，且行之有效。</w:t>
      </w:r>
      <w:r/>
    </w:p>
    <w:p>
      <w:pPr>
        <w:numPr>
          <w:ilvl w:val="0"/>
          <w:numId w:val="7"/>
        </w:numPr>
        <w:ind w:left="0" w:firstLine="480"/>
        <w:jc w:val="left"/>
        <w:keepLines w:val="0"/>
        <w:keepNext w:val="0"/>
        <w:pageBreakBefore w:val="0"/>
        <w:spacing w:before="0" w:after="0" w:line="360" w:lineRule="auto"/>
        <w:widowControl w:val="off"/>
        <w:tabs>
          <w:tab w:val="left" w:pos="312"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病虫害防治：针对本项目的绿化绿植，制定详细病虫害防治方案，包含但不限于建立病虫害防治台账、预防措施等。</w:t>
      </w:r>
      <w:r/>
    </w:p>
    <w:p>
      <w:pPr>
        <w:numPr>
          <w:ilvl w:val="0"/>
          <w:numId w:val="7"/>
        </w:numPr>
        <w:ind w:left="0" w:firstLine="480"/>
        <w:jc w:val="left"/>
        <w:keepLines w:val="0"/>
        <w:keepNext w:val="0"/>
        <w:pageBreakBefore w:val="0"/>
        <w:spacing w:before="0" w:after="0" w:line="360" w:lineRule="auto"/>
        <w:widowControl w:val="off"/>
        <w:tabs>
          <w:tab w:val="left" w:pos="312"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灾害性天气和突发事件：供应商应提供相应措施，保证在低温、雨雪、洪涝、大风等极端灾害性天气及突发事件时，有完善的应对方案。</w:t>
      </w:r>
      <w:r/>
    </w:p>
    <w:p>
      <w:pPr>
        <w:numPr>
          <w:ilvl w:val="0"/>
          <w:numId w:val="7"/>
        </w:numPr>
        <w:ind w:left="0" w:firstLine="480"/>
        <w:jc w:val="left"/>
        <w:keepLines w:val="0"/>
        <w:keepNext w:val="0"/>
        <w:pageBreakBefore w:val="0"/>
        <w:spacing w:before="0" w:after="0" w:line="360" w:lineRule="auto"/>
        <w:widowControl w:val="off"/>
        <w:tabs>
          <w:tab w:val="left" w:pos="312"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养护方案：供应商应对绿化管养地段勘查后，按照城市绿化管养因地制宜制定本项目具体养护方案，内容详细。</w:t>
      </w:r>
      <w:r/>
    </w:p>
    <w:p>
      <w:pPr>
        <w:numPr>
          <w:ilvl w:val="0"/>
          <w:numId w:val="7"/>
        </w:numPr>
        <w:ind w:left="0" w:firstLine="480"/>
        <w:jc w:val="left"/>
        <w:keepLines w:val="0"/>
        <w:keepNext w:val="0"/>
        <w:pageBreakBefore w:val="0"/>
        <w:spacing w:before="0" w:after="0" w:line="360" w:lineRule="auto"/>
        <w:widowControl w:val="off"/>
        <w:tabs>
          <w:tab w:val="left" w:pos="312" w:leader="none"/>
        </w:tabs>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安全、文明养护方案：供应商应编制详细的安全、文明养护方案，包含但不限于统一着装、对行道树修剪等高空作业以及路面作业的安全管理等。</w:t>
      </w:r>
      <w:r/>
    </w:p>
    <w:p>
      <w:pPr>
        <w:ind w:left="0" w:right="0" w:firstLine="482"/>
        <w:jc w:val="left"/>
        <w:keepLines w:val="0"/>
        <w:keepNext w:val="0"/>
        <w:pageBreakBefore w:val="0"/>
        <w:spacing w:before="0" w:after="0" w:line="360" w:lineRule="auto"/>
        <w:widowControl w:val="off"/>
        <w:rPr>
          <w:rFonts w:hint="eastAsia"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、采购标的需实现的功能或者目标，以及为落实政府采购政策需满足的要求；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1.采购本国货物、工程和服务</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1.1政府采购应当采购本国货物、工程和服务，但有《中华人民共和国政府采购法》第十条规定情形的除外。</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1.2如采购进口产品的，应当符合《政府采购进口产品管理办法》(财库(2007)119号文)、《关于政府采购进口产品管理有关问题的通知》(财办库(2008)248号文)等相关规定。</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2.政府强制采购节能产品</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3.政府采购需求标准</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3.1商品包装、快递包装政府采购需求标准（试行）</w:t>
      </w:r>
      <w:r/>
    </w:p>
    <w:p>
      <w:pPr>
        <w:ind w:left="0" w:right="0" w:firstLine="480"/>
        <w:jc w:val="both"/>
        <w:spacing w:before="0" w:after="0" w:line="85" w:lineRule="atLeas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rPr>
          <w:rFonts w:hint="eastAsia" w:ascii="宋体" w:hAnsi="宋体" w:eastAsia="宋体" w:cs="宋体"/>
          <w:color w:val="000000"/>
          <w:sz w:val="44"/>
          <w:highlight w:val="none"/>
        </w:rPr>
      </w:pPr>
      <w:r>
        <w:rPr>
          <w:rFonts w:hint="eastAsia" w:ascii="宋体" w:hAnsi="宋体" w:eastAsia="宋体" w:cs="宋体"/>
          <w:color w:val="000000"/>
          <w:sz w:val="44"/>
          <w:highlight w:val="none"/>
        </w:rPr>
        <w:br w:type="page" w:clear="all"/>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highlight w:val="none"/>
        </w:rPr>
        <w:t xml:space="preserve"> </w:t>
      </w:r>
      <w:r/>
    </w:p>
    <w:p>
      <w:pPr>
        <w:ind w:left="0" w:right="0" w:firstLine="0"/>
        <w:jc w:val="center"/>
        <w:spacing w:before="0" w:after="0"/>
        <w:rPr>
          <w:rFonts w:hint="eastAsia" w:ascii="宋体" w:hAnsi="宋体" w:eastAsia="宋体" w:cs="宋体"/>
          <w:color w:val="000000"/>
          <w:sz w:val="44"/>
          <w:highlight w:val="none"/>
        </w:rPr>
        <w:pBdr>
          <w:top w:val="none" w:color="000000" w:sz="0" w:space="0"/>
          <w:left w:val="none" w:color="000000" w:sz="0" w:space="0"/>
          <w:bottom w:val="none" w:color="000000" w:sz="0" w:space="0"/>
          <w:right w:val="none" w:color="000000" w:sz="0" w:space="0"/>
        </w:pBdr>
        <w:outlineLvl w:val="0"/>
      </w:pPr>
      <w:r/>
      <w:bookmarkStart w:id="4" w:name="_Toc26385"/>
      <w:r>
        <w:rPr>
          <w:rFonts w:hint="eastAsia" w:ascii="宋体" w:hAnsi="宋体" w:eastAsia="宋体" w:cs="宋体"/>
          <w:color w:val="000000"/>
          <w:sz w:val="44"/>
          <w:highlight w:val="none"/>
        </w:rPr>
        <w:t xml:space="preserve">第五章评审方法与评审标准</w:t>
      </w:r>
      <w:bookmarkEnd w:id="4"/>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562"/>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一、资格审查。</w:t>
      </w:r>
      <w:r>
        <w:rPr>
          <w:rFonts w:hint="eastAsia" w:ascii="宋体" w:hAnsi="宋体" w:eastAsia="宋体" w:cs="宋体"/>
          <w:color w:val="000000"/>
          <w:sz w:val="24"/>
          <w:highlight w:val="none"/>
        </w:rPr>
        <w:t xml:space="preserve">资格审查人员按照下列指标对各供应商的资格进行审查，未通过审查的为无效标，不参与评审。</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410"/>
        <w:gridCol w:w="440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10" w:type="dxa"/>
            <w:vAlign w:val="center"/>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07" w:type="dxa"/>
            <w:vAlign w:val="center"/>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10"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响应声明及承诺函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07"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10"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中小</w:t>
            </w:r>
            <w:r>
              <w:rPr>
                <w:rFonts w:hint="eastAsia" w:ascii="宋体" w:hAnsi="宋体" w:eastAsia="宋体" w:cs="宋体"/>
                <w:color w:val="000000"/>
                <w:sz w:val="22"/>
                <w:highlight w:val="none"/>
              </w:rPr>
              <w:t xml:space="preserve">（微）</w:t>
            </w:r>
            <w:r>
              <w:rPr>
                <w:rFonts w:hint="eastAsia" w:ascii="宋体" w:hAnsi="宋体" w:eastAsia="宋体" w:cs="宋体"/>
                <w:color w:val="000000"/>
                <w:sz w:val="24"/>
                <w:highlight w:val="none"/>
              </w:rPr>
              <w:t xml:space="preserve">企业声明函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07"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10"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07"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410"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特定资格要求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07"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符合磋商文件要求</w:t>
            </w:r>
            <w:r/>
          </w:p>
        </w:tc>
      </w:tr>
    </w:tbl>
    <w:p>
      <w:pPr>
        <w:ind w:left="0" w:right="0" w:firstLine="562"/>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二、符合性审查。</w:t>
      </w:r>
      <w:r>
        <w:rPr>
          <w:rFonts w:hint="eastAsia" w:ascii="宋体" w:hAnsi="宋体" w:eastAsia="宋体" w:cs="宋体"/>
          <w:color w:val="000000"/>
          <w:sz w:val="24"/>
          <w:highlight w:val="none"/>
        </w:rPr>
        <w:t xml:space="preserve">磋商小组首先按照下列指标对各供应商进行初步评审，未通过评审的为无效标，不再参与评审。</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87"/>
        <w:gridCol w:w="4445"/>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87" w:type="dxa"/>
            <w:vAlign w:val="center"/>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445" w:type="dxa"/>
            <w:vAlign w:val="center"/>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7"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5"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7"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开标一览表及投标报价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5"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符合磋商文件要求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387"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445" w:type="dxa"/>
            <w:vAlign w:val="center"/>
            <w:textDirection w:val="lrTb"/>
            <w:noWrap w:val="false"/>
          </w:tcPr>
          <w:p>
            <w:pPr>
              <w:ind w:left="0" w:right="0" w:firstLine="0"/>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符合磋商文件要求</w:t>
            </w:r>
            <w:r/>
          </w:p>
        </w:tc>
      </w:tr>
    </w:tbl>
    <w:p>
      <w:pPr>
        <w:ind w:left="0" w:right="0" w:firstLine="562"/>
        <w:jc w:val="both"/>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rPr>
        <w:t xml:space="preserve">三、评分办法—综合评分法</w:t>
      </w:r>
      <w:r/>
    </w:p>
    <w:p>
      <w:pPr>
        <w:ind w:left="0" w:right="0" w:firstLine="482"/>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（一）评标办法：</w:t>
      </w:r>
      <w:r>
        <w:rPr>
          <w:rFonts w:hint="eastAsia" w:ascii="宋体" w:hAnsi="宋体" w:eastAsia="宋体" w:cs="宋体"/>
          <w:color w:val="000000"/>
          <w:sz w:val="24"/>
          <w:highlight w:val="none"/>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left="0" w:right="0" w:firstLine="480"/>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磋商小组根据评审后供应商排序推荐3名成交候选人。响应文件满足磋商文件全部实质性要求，且评审后排序第一的供应商为第一成交候选人，依次类推。</w:t>
      </w:r>
      <w:r/>
    </w:p>
    <w:p>
      <w:pPr>
        <w:ind w:left="0" w:right="0" w:firstLine="480"/>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综合评分保留至小数点后两位。</w:t>
      </w:r>
      <w:r/>
    </w:p>
    <w:p>
      <w:pPr>
        <w:ind w:left="0" w:right="0" w:firstLine="482"/>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（二）详细评审。</w:t>
      </w:r>
      <w:r>
        <w:rPr>
          <w:rFonts w:hint="eastAsia" w:ascii="宋体" w:hAnsi="宋体" w:eastAsia="宋体" w:cs="宋体"/>
          <w:color w:val="000000"/>
          <w:sz w:val="24"/>
          <w:highlight w:val="none"/>
        </w:rPr>
        <w:t xml:space="preserve">磋商小组按照竞争性磋商文件规定的评分标准，对各响应文件进行详细评审打分。磋商小组组长对各评审专家的打分情况进行复核无误后汇总。</w:t>
      </w:r>
      <w:r/>
    </w:p>
    <w:tbl>
      <w:tblPr>
        <w:tblStyle w:val="816"/>
        <w:tblW w:w="884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5"/>
        <w:gridCol w:w="1048"/>
        <w:gridCol w:w="1063"/>
        <w:gridCol w:w="5213"/>
      </w:tblGrid>
      <w:tr>
        <w:trPr/>
        <w:tc>
          <w:tcPr>
            <w:gridSpan w:val="2"/>
            <w:tcMar>
              <w:left w:w="0" w:type="dxa"/>
              <w:top w:w="0" w:type="dxa"/>
              <w:right w:w="0" w:type="dxa"/>
              <w:bottom w:w="0" w:type="dxa"/>
            </w:tcMar>
            <w:tcW w:w="257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u w:val="none"/>
              </w:rPr>
              <w:t xml:space="preserve">评审因素</w:t>
            </w:r>
            <w:r/>
          </w:p>
        </w:tc>
        <w:tc>
          <w:tcPr>
            <w:tcMar>
              <w:left w:w="0" w:type="dxa"/>
              <w:top w:w="0" w:type="dxa"/>
              <w:right w:w="0" w:type="dxa"/>
              <w:bottom w:w="0" w:type="dxa"/>
            </w:tcMar>
            <w:tcW w:w="106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分数</w:t>
            </w:r>
            <w:r/>
          </w:p>
        </w:tc>
        <w:tc>
          <w:tcPr>
            <w:tcMar>
              <w:left w:w="0" w:type="dxa"/>
              <w:top w:w="0" w:type="dxa"/>
              <w:right w:w="0" w:type="dxa"/>
              <w:bottom w:w="0" w:type="dxa"/>
            </w:tcMar>
            <w:tcW w:w="5213" w:type="dxa"/>
            <w:vAlign w:val="center"/>
            <w:textDirection w:val="lrTb"/>
            <w:noWrap w:val="false"/>
          </w:tcPr>
          <w:p>
            <w:pPr>
              <w:ind w:left="0" w:right="0" w:firstLine="0"/>
              <w:jc w:val="center"/>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评审标准</w:t>
            </w:r>
            <w:r/>
          </w:p>
        </w:tc>
      </w:tr>
      <w:tr>
        <w:trPr/>
        <w:tc>
          <w:tcPr>
            <w:tcMar>
              <w:left w:w="0" w:type="dxa"/>
              <w:top w:w="0" w:type="dxa"/>
              <w:right w:w="0" w:type="dxa"/>
              <w:bottom w:w="0" w:type="dxa"/>
            </w:tcMar>
            <w:tcW w:w="1525"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报价分</w:t>
            </w:r>
            <w:r/>
          </w:p>
        </w:tc>
        <w:tc>
          <w:tcPr>
            <w:tcMar>
              <w:left w:w="0" w:type="dxa"/>
              <w:top w:w="0" w:type="dxa"/>
              <w:right w:w="0" w:type="dxa"/>
              <w:bottom w:w="0" w:type="dxa"/>
            </w:tcMar>
            <w:tcW w:w="1048"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投标报价</w:t>
            </w:r>
            <w:r/>
          </w:p>
        </w:tc>
        <w:tc>
          <w:tcPr>
            <w:tcMar>
              <w:left w:w="0" w:type="dxa"/>
              <w:top w:w="0" w:type="dxa"/>
              <w:right w:w="0" w:type="dxa"/>
              <w:bottom w:w="0" w:type="dxa"/>
            </w:tcMar>
            <w:tcW w:w="106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30.00</w:t>
            </w:r>
            <w:r/>
          </w:p>
        </w:tc>
        <w:tc>
          <w:tcPr>
            <w:tcMar>
              <w:left w:w="0" w:type="dxa"/>
              <w:top w:w="0" w:type="dxa"/>
              <w:right w:w="0" w:type="dxa"/>
              <w:bottom w:w="0" w:type="dxa"/>
            </w:tcMar>
            <w:tcW w:w="521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所有通过评审的有效投标报价的最低报价为评标基准价。投标报价得分＝（评标基准价/投标报价）*30。注：最终结果四舍五入保留至小数点后两位。</w:t>
            </w:r>
            <w:r/>
          </w:p>
        </w:tc>
      </w:tr>
      <w:tr>
        <w:trPr/>
        <w:tc>
          <w:tcPr>
            <w:tcMar>
              <w:left w:w="0" w:type="dxa"/>
              <w:top w:w="0" w:type="dxa"/>
              <w:right w:w="0" w:type="dxa"/>
              <w:bottom w:w="0" w:type="dxa"/>
            </w:tcMar>
            <w:tcW w:w="152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企业经营业绩、信誉</w:t>
            </w:r>
            <w:r/>
          </w:p>
        </w:tc>
        <w:tc>
          <w:tcPr>
            <w:tcMar>
              <w:left w:w="0" w:type="dxa"/>
              <w:top w:w="0" w:type="dxa"/>
              <w:right w:w="0" w:type="dxa"/>
              <w:bottom w:w="0" w:type="dxa"/>
            </w:tcMar>
            <w:tcW w:w="1048"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企业业绩</w:t>
            </w:r>
            <w:r/>
          </w:p>
        </w:tc>
        <w:tc>
          <w:tcPr>
            <w:tcMar>
              <w:left w:w="0" w:type="dxa"/>
              <w:top w:w="0" w:type="dxa"/>
              <w:right w:w="0" w:type="dxa"/>
              <w:bottom w:w="0" w:type="dxa"/>
            </w:tcMar>
            <w:tcW w:w="106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.00</w:t>
            </w:r>
            <w:r/>
          </w:p>
        </w:tc>
        <w:tc>
          <w:tcPr>
            <w:tcMar>
              <w:left w:w="0" w:type="dxa"/>
              <w:top w:w="0" w:type="dxa"/>
              <w:right w:w="0" w:type="dxa"/>
              <w:bottom w:w="0" w:type="dxa"/>
            </w:tcMar>
            <w:tcW w:w="521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3547110</wp:posOffset>
                      </wp:positionH>
                      <wp:positionV relativeFrom="paragraph">
                        <wp:posOffset>967105</wp:posOffset>
                      </wp:positionV>
                      <wp:extent cx="635" cy="63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35" cy="635"/>
                              </a:xfrm>
                              <a:prstGeom prst="rect">
                                <a:avLst/>
                              </a:prstGeom>
                              <a:solidFill>
                                <a:srgbClr val="FFFFFF"/>
                              </a:solid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279.3pt;mso-position-horizontal:absolute;mso-position-vertical-relative:text;margin-top:76.1pt;mso-position-vertical:absolute;width:0.0pt;height:0.0pt;mso-wrap-distance-left:9.0pt;mso-wrap-distance-top:0.0pt;mso-wrap-distance-right:9.0pt;mso-wrap-distance-bottom:0.0pt;" stroked="false">
                      <v:path textboxrect="0,0,0,0"/>
                      <v:imagedata r:id="rId18" o:title=""/>
                    </v:shape>
                  </w:pict>
                </mc:Fallback>
              </mc:AlternateContent>
            </w:r>
            <w:r>
              <w:rPr>
                <w:rFonts w:hint="eastAsia" w:ascii="宋体" w:hAnsi="宋体" w:eastAsia="宋体" w:cs="宋体"/>
                <w:color w:val="auto"/>
                <w:sz w:val="21"/>
                <w:szCs w:val="21"/>
                <w:highlight w:val="none"/>
              </w:rPr>
              <w:t xml:space="preserve">供应商自20</w:t>
            </w: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年1月1日</w:t>
            </w:r>
            <w:r>
              <w:rPr>
                <w:rFonts w:hint="eastAsia" w:ascii="宋体" w:hAnsi="宋体" w:eastAsia="宋体" w:cs="宋体"/>
                <w:color w:val="auto"/>
                <w:sz w:val="21"/>
                <w:szCs w:val="21"/>
                <w:highlight w:val="none"/>
              </w:rPr>
              <w:t xml:space="preserve">(以合同签订时间为准)以来，承担过类似园林绿化养护业绩的，每有1个得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分，本项最高得1</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注：响应文件中须提供证明材料原件电子件，否则不得分，业绩证明材料包括：①中标（成交）通知书；②采购合同；二者缺一不可。业绩证明材料上供应商名称、日期、内容等主要信息清晰可见，否则不得分。</w:t>
            </w:r>
            <w:r/>
          </w:p>
        </w:tc>
      </w:tr>
      <w:tr>
        <w:trPr/>
        <w:tc>
          <w:tcPr>
            <w:vMerge w:val="continue"/>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048"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企业认证</w:t>
            </w:r>
            <w:r/>
          </w:p>
        </w:tc>
        <w:tc>
          <w:tcPr>
            <w:tcMar>
              <w:left w:w="0" w:type="dxa"/>
              <w:top w:w="0" w:type="dxa"/>
              <w:right w:w="0" w:type="dxa"/>
              <w:bottom w:w="0" w:type="dxa"/>
            </w:tcMar>
            <w:tcW w:w="106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.00</w:t>
            </w:r>
            <w:r/>
          </w:p>
        </w:tc>
        <w:tc>
          <w:tcPr>
            <w:tcMar>
              <w:left w:w="0" w:type="dxa"/>
              <w:top w:w="0" w:type="dxa"/>
              <w:right w:w="0" w:type="dxa"/>
              <w:bottom w:w="0" w:type="dxa"/>
            </w:tcMar>
            <w:tcW w:w="521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供应商具有有效期内的质量管理体系认证证书、环境管理体系认证证书、职业健康安全管理体系认证证书，每提供一项得</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分，最多得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分；注：提供证书原件电子件，未提供不得分。</w:t>
            </w:r>
            <w:r/>
          </w:p>
        </w:tc>
      </w:tr>
      <w:tr>
        <w:trPr/>
        <w:tc>
          <w:tcPr>
            <w:vMerge w:val="continue"/>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048"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企业人员配备</w:t>
            </w:r>
            <w:r/>
          </w:p>
        </w:tc>
        <w:tc>
          <w:tcPr>
            <w:tcMar>
              <w:left w:w="0" w:type="dxa"/>
              <w:top w:w="0" w:type="dxa"/>
              <w:right w:w="0" w:type="dxa"/>
              <w:bottom w:w="0" w:type="dxa"/>
            </w:tcMar>
            <w:tcW w:w="106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22</w:t>
            </w:r>
            <w:r>
              <w:rPr>
                <w:rFonts w:hint="eastAsia" w:ascii="宋体" w:hAnsi="宋体" w:eastAsia="宋体" w:cs="宋体"/>
                <w:color w:val="auto"/>
                <w:sz w:val="21"/>
                <w:szCs w:val="21"/>
                <w:highlight w:val="none"/>
              </w:rPr>
              <w:t xml:space="preserve">.00</w:t>
            </w:r>
            <w:r/>
          </w:p>
        </w:tc>
        <w:tc>
          <w:tcPr>
            <w:tcMar>
              <w:left w:w="0" w:type="dxa"/>
              <w:top w:w="0" w:type="dxa"/>
              <w:right w:w="0" w:type="dxa"/>
              <w:bottom w:w="0" w:type="dxa"/>
            </w:tcMar>
            <w:tcW w:w="521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项目组成员（项目负责人除外）具有园林绿化或风景园林或园林或园艺或植保等专业中级工程师职称的，每有1人得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val="en-US" w:eastAsia="zh-CN"/>
              </w:rPr>
              <w:t xml:space="preserve">最高得16分；</w:t>
            </w:r>
            <w:r>
              <w:rPr>
                <w:rFonts w:hint="eastAsia" w:ascii="宋体" w:hAnsi="宋体" w:eastAsia="宋体" w:cs="宋体"/>
                <w:color w:val="auto"/>
                <w:sz w:val="21"/>
                <w:szCs w:val="21"/>
                <w:highlight w:val="none"/>
              </w:rPr>
              <w:t xml:space="preserve">具有高级及以上工程师职称的，每有1人得6分，最高得</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注：需提供人员职称证书原件电子件及磋商前6个月内本单位为其办理的任意一个月社会养老保险或医疗保险缴纳证明材料，否则不得分。如职称证书不能体现相关专业，请提供有效的《专业技术资格评审申报表》，以《专业技术资格评审申报表》中申报专业为准。</w:t>
            </w:r>
            <w:r/>
          </w:p>
        </w:tc>
      </w:tr>
      <w:tr>
        <w:trPr/>
        <w:tc>
          <w:tcPr>
            <w:vMerge w:val="continue"/>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048"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养护机械设备</w:t>
            </w:r>
            <w:r/>
          </w:p>
        </w:tc>
        <w:tc>
          <w:tcPr>
            <w:tcMar>
              <w:left w:w="0" w:type="dxa"/>
              <w:top w:w="0" w:type="dxa"/>
              <w:right w:w="0" w:type="dxa"/>
              <w:bottom w:w="0" w:type="dxa"/>
            </w:tcMar>
            <w:tcW w:w="106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.00</w:t>
            </w:r>
            <w:r/>
          </w:p>
        </w:tc>
        <w:tc>
          <w:tcPr>
            <w:tcMar>
              <w:left w:w="0" w:type="dxa"/>
              <w:top w:w="0" w:type="dxa"/>
              <w:right w:w="0" w:type="dxa"/>
              <w:bottom w:w="0" w:type="dxa"/>
            </w:tcMar>
            <w:tcW w:w="521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在满足招标文件采购需求中最低机械设备配置要求的基础上，每增加一台自有高射程打药机或自卸式垃圾车（容量≥5吨）或标准洒水车或绿篱修剪机的，得</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注：1、增加的机械设备可为以上设备中任意一种，如采购清单中该设备最低要求2台，则提供3台该机械设备，可认为增加1台，如提供4台该机械设备，则认为增加2台，以此类推。2、投标单位须提供上述对应设备的发票原件扫描件或租赁协议。3、本项一旦加分，中标单位须保证加分项设施设备配置到位。</w:t>
            </w:r>
            <w:r/>
          </w:p>
        </w:tc>
      </w:tr>
      <w:tr>
        <w:trPr/>
        <w:tc>
          <w:tcPr>
            <w:tcMar>
              <w:left w:w="0" w:type="dxa"/>
              <w:top w:w="0" w:type="dxa"/>
              <w:right w:w="0" w:type="dxa"/>
              <w:bottom w:w="0" w:type="dxa"/>
            </w:tcMar>
            <w:tcW w:w="1525" w:type="dxa"/>
            <w:vAlign w:val="center"/>
            <w:vMerge w:val="restart"/>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项目实施方案</w:t>
            </w:r>
            <w:r/>
          </w:p>
        </w:tc>
        <w:tc>
          <w:tcPr>
            <w:tcMar>
              <w:left w:w="0" w:type="dxa"/>
              <w:top w:w="0" w:type="dxa"/>
              <w:right w:w="0" w:type="dxa"/>
              <w:bottom w:w="0" w:type="dxa"/>
            </w:tcMar>
            <w:tcW w:w="1048"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养护方案</w:t>
            </w:r>
            <w:r/>
          </w:p>
        </w:tc>
        <w:tc>
          <w:tcPr>
            <w:tcMar>
              <w:left w:w="0" w:type="dxa"/>
              <w:top w:w="0" w:type="dxa"/>
              <w:right w:w="0" w:type="dxa"/>
              <w:bottom w:w="0" w:type="dxa"/>
            </w:tcMar>
            <w:tcW w:w="106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.00</w:t>
            </w:r>
            <w:r/>
          </w:p>
        </w:tc>
        <w:tc>
          <w:tcPr>
            <w:tcMar>
              <w:left w:w="0" w:type="dxa"/>
              <w:top w:w="0" w:type="dxa"/>
              <w:right w:w="0" w:type="dxa"/>
              <w:bottom w:w="0" w:type="dxa"/>
            </w:tcMar>
            <w:tcW w:w="521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供应商自行对绿化管养地段勘查后按照城市绿化管养因地制宜制定本项目具体养护方案。方案内容详细、可行性强且优于采购需求的，得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分；方案内容一般，可行性好且满足采购需求的，得3分，方案内容较差但承诺后期优化后能满足采购需求的，得2分；方案内容一般，可行性差的得1分；没有内容不得分。</w:t>
            </w:r>
            <w:r/>
          </w:p>
        </w:tc>
      </w:tr>
      <w:tr>
        <w:trPr/>
        <w:tc>
          <w:tcPr>
            <w:vMerge w:val="continue"/>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048"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质量保证方案</w:t>
            </w:r>
            <w:r/>
          </w:p>
        </w:tc>
        <w:tc>
          <w:tcPr>
            <w:tcMar>
              <w:left w:w="0" w:type="dxa"/>
              <w:top w:w="0" w:type="dxa"/>
              <w:right w:w="0" w:type="dxa"/>
              <w:bottom w:w="0" w:type="dxa"/>
            </w:tcMar>
            <w:tcW w:w="106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.00</w:t>
            </w:r>
            <w:r/>
          </w:p>
        </w:tc>
        <w:tc>
          <w:tcPr>
            <w:tcMar>
              <w:left w:w="0" w:type="dxa"/>
              <w:top w:w="0" w:type="dxa"/>
              <w:right w:w="0" w:type="dxa"/>
              <w:bottom w:w="0" w:type="dxa"/>
            </w:tcMar>
            <w:tcW w:w="521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根据供应商提供的质量保证方案（包含但不限于质量保证、不同季度养护措施、风险预防及控制措施突发事件处置等）进行打分。方案内容全面、完整、思路清晰明了，优于采购需求的，得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分；方案内容基本完整，满足采购需求的，得3分；方案内容粗略，经承诺能够实现采购需求的，得2分；方案内容一般，可行性差的得1分；没有内容不得分。</w:t>
            </w:r>
            <w:r/>
          </w:p>
        </w:tc>
      </w:tr>
      <w:tr>
        <w:trPr/>
        <w:tc>
          <w:tcPr>
            <w:vMerge w:val="continue"/>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048"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肥料配备、病虫害防治方案</w:t>
            </w:r>
            <w:r/>
          </w:p>
        </w:tc>
        <w:tc>
          <w:tcPr>
            <w:tcMar>
              <w:left w:w="0" w:type="dxa"/>
              <w:top w:w="0" w:type="dxa"/>
              <w:right w:w="0" w:type="dxa"/>
              <w:bottom w:w="0" w:type="dxa"/>
            </w:tcMar>
            <w:tcW w:w="106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.00</w:t>
            </w:r>
            <w:r/>
          </w:p>
        </w:tc>
        <w:tc>
          <w:tcPr>
            <w:tcMar>
              <w:left w:w="0" w:type="dxa"/>
              <w:top w:w="0" w:type="dxa"/>
              <w:right w:w="0" w:type="dxa"/>
              <w:bottom w:w="0" w:type="dxa"/>
            </w:tcMar>
            <w:tcW w:w="521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根据本项目养护工作要求，制定具体肥料配备施用方案及草花供苗栽植（播种）方案，保证措施切实可行的，得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分；保证措施基本完整、有效且满足采购需求的，得3分；保证措施一般，但经承诺能够实现采购需求的，得2分；方案内容一般，可行性差的得1分；没有内容不得分。</w:t>
            </w:r>
            <w:r/>
          </w:p>
        </w:tc>
      </w:tr>
      <w:tr>
        <w:trPr/>
        <w:tc>
          <w:tcPr>
            <w:vMerge w:val="continue"/>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048"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灾害性天气和突发事件</w:t>
            </w:r>
            <w:r/>
          </w:p>
        </w:tc>
        <w:tc>
          <w:tcPr>
            <w:tcMar>
              <w:left w:w="0" w:type="dxa"/>
              <w:top w:w="0" w:type="dxa"/>
              <w:right w:w="0" w:type="dxa"/>
              <w:bottom w:w="0" w:type="dxa"/>
            </w:tcMar>
            <w:tcW w:w="106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.00</w:t>
            </w:r>
            <w:r/>
          </w:p>
        </w:tc>
        <w:tc>
          <w:tcPr>
            <w:tcMar>
              <w:left w:w="0" w:type="dxa"/>
              <w:top w:w="0" w:type="dxa"/>
              <w:right w:w="0" w:type="dxa"/>
              <w:bottom w:w="0" w:type="dxa"/>
            </w:tcMar>
            <w:tcW w:w="521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根据各供应商提供的低温、雨雪、洪涝、大风等极端灾害性天气及突发事件分别制定完善且行之有效的应急养护、应对方案进行打分，方案内容全面、完整、思路清晰明了，优于采购需求的，得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分；方案内容基本完整，满足采购需求的，得3分；方案内容粗略，经承诺能够实现采购需求的，得2分；方案内容一般，可行性差的得1分；没有内容不得分。</w:t>
            </w:r>
            <w:r/>
          </w:p>
        </w:tc>
      </w:tr>
      <w:tr>
        <w:trPr/>
        <w:tc>
          <w:tcPr>
            <w:vMerge w:val="continue"/>
            <w:textDirection w:val="lrTb"/>
            <w:noWrap w:val="false"/>
          </w:tcPr>
          <w:p>
            <w:pPr>
              <w:spacing w:after="0"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0" w:type="dxa"/>
              <w:top w:w="0" w:type="dxa"/>
              <w:right w:w="0" w:type="dxa"/>
              <w:bottom w:w="0" w:type="dxa"/>
            </w:tcMar>
            <w:tcW w:w="1048"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安全、文明养护方案</w:t>
            </w:r>
            <w:r/>
          </w:p>
        </w:tc>
        <w:tc>
          <w:tcPr>
            <w:tcMar>
              <w:left w:w="0" w:type="dxa"/>
              <w:top w:w="0" w:type="dxa"/>
              <w:right w:w="0" w:type="dxa"/>
              <w:bottom w:w="0" w:type="dxa"/>
            </w:tcMar>
            <w:tcW w:w="106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.00</w:t>
            </w:r>
            <w:r/>
          </w:p>
        </w:tc>
        <w:tc>
          <w:tcPr>
            <w:tcMar>
              <w:left w:w="0" w:type="dxa"/>
              <w:top w:w="0" w:type="dxa"/>
              <w:right w:w="0" w:type="dxa"/>
              <w:bottom w:w="0" w:type="dxa"/>
            </w:tcMar>
            <w:tcW w:w="5213" w:type="dxa"/>
            <w:vAlign w:val="center"/>
            <w:textDirection w:val="lrTb"/>
            <w:noWrap w:val="false"/>
          </w:tcPr>
          <w:p>
            <w:pPr>
              <w:ind w:left="0" w:right="0" w:firstLine="0"/>
              <w:spacing w:before="0" w:after="0" w:line="240" w:lineRule="auto"/>
              <w:rPr>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从安全、文明管养措施和统一着装措施等方面进行打分，重点查看对行道树修剪等高空作业以及路面作业的安全管理，方案安全措施合理可行得</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分；方案内容基本完整，满足采购需求的，得3分；方案内容粗略，经承诺能够实现采购需求的，得2分；方案内容一般，可行性差的得1分；没有内容不得分。</w:t>
            </w:r>
            <w:r/>
          </w:p>
        </w:tc>
      </w:tr>
    </w:tbl>
    <w:p>
      <w:pPr>
        <w:ind w:left="0" w:right="0" w:firstLine="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0"/>
          <w:highlight w:val="none"/>
        </w:rPr>
        <w:t xml:space="preserve">（三）</w:t>
      </w:r>
      <w:r>
        <w:rPr>
          <w:rFonts w:hint="eastAsia" w:ascii="宋体" w:hAnsi="宋体" w:eastAsia="宋体" w:cs="宋体"/>
          <w:b/>
          <w:color w:val="000000"/>
          <w:sz w:val="24"/>
          <w:highlight w:val="none"/>
        </w:rPr>
        <w:t xml:space="preserve">评标结果。</w:t>
      </w:r>
      <w:r>
        <w:rPr>
          <w:rFonts w:hint="eastAsia" w:ascii="宋体" w:hAnsi="宋体" w:eastAsia="宋体" w:cs="宋体"/>
          <w:color w:val="000000"/>
          <w:sz w:val="24"/>
          <w:highlight w:val="none"/>
        </w:rPr>
        <w:t xml:space="preserve">磋商小组按照本办法规定推荐成交候选人，并形成评标报告。</w:t>
      </w:r>
      <w:r/>
    </w:p>
    <w:p>
      <w:pPr>
        <w:ind w:left="0" w:right="0" w:firstLine="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（四）政府采购政策功能落实</w:t>
      </w:r>
      <w:r/>
    </w:p>
    <w:p>
      <w:pPr>
        <w:ind w:left="0" w:right="0" w:firstLine="241"/>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本项目落实的政府采购政策对应以下序号为</w:t>
      </w:r>
      <w:r>
        <w:rPr>
          <w:rFonts w:hint="eastAsia" w:ascii="宋体" w:hAnsi="宋体" w:eastAsia="宋体" w:cs="宋体"/>
          <w:b/>
          <w:color w:val="000000"/>
          <w:sz w:val="24"/>
          <w:highlight w:val="none"/>
          <w:u w:val="single"/>
        </w:rPr>
        <w:t xml:space="preserve">1、2</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1.采购本国货物、工程和服务</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2.中小企业政策</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本项目按以下第</w:t>
      </w:r>
      <w:r>
        <w:rPr>
          <w:rFonts w:hint="eastAsia" w:ascii="宋体" w:hAnsi="宋体" w:eastAsia="宋体" w:cs="宋体"/>
          <w:b/>
          <w:color w:val="000000"/>
          <w:sz w:val="24"/>
          <w:highlight w:val="none"/>
          <w:u w:val="single"/>
        </w:rPr>
        <w:t xml:space="preserve">（1）</w:t>
      </w:r>
      <w:r>
        <w:rPr>
          <w:rFonts w:hint="eastAsia" w:ascii="宋体" w:hAnsi="宋体" w:eastAsia="宋体" w:cs="宋体"/>
          <w:color w:val="000000"/>
          <w:sz w:val="24"/>
          <w:highlight w:val="none"/>
        </w:rPr>
        <w:t xml:space="preserve">种政策确定本项目落实的中小企业政策：</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（1）本项目专门面向中小企业（含监狱企业、残疾人福利企业）采购。</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（2）投标人提供的货物、工程或者服务符合下列情形的，对小微企业报价给予 / %（工程项目为  /  %）的扣除，用扣除后的价格参加评审。</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在服务采购项目中，服务由中小企业承接，即提供服务的人员为中小企业依照《中华人民共和国民法典》订立劳动合同的从业人员。</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3.政府采购节能产品、环境标志产品</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（3）采购人拟采购的产品属于优先采购的节能环保品目清单范围的，按以下条件优先采购：</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采用综合评分法的项目，对提供有效节能环保证书的投标人加分。</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4.商品包装、快递包装政府采购需求标准（试行）</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5、绿色数据中心政府采购需求标准（试行）</w:t>
      </w:r>
      <w:r/>
    </w:p>
    <w:p>
      <w:pPr>
        <w:ind w:left="0" w:right="0" w:firstLine="480"/>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为加快数据中心绿色转型，根据财政部生态环境部工业和信息化部关于印发《绿色数据中心政府采购需求标准（试行）》的通知），本项目如涉及绿色数据中心，具体需求详见第四章采购需求。</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 </w:t>
      </w:r>
      <w:r/>
    </w:p>
    <w:p>
      <w:pPr>
        <w:ind w:left="0" w:right="0" w:firstLine="0"/>
        <w:jc w:val="center"/>
        <w:spacing w:before="0" w:after="0"/>
        <w:rPr>
          <w:rFonts w:hint="eastAsia" w:ascii="宋体" w:hAnsi="宋体" w:eastAsia="宋体" w:cs="宋体"/>
          <w:color w:val="000000"/>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 </w:t>
      </w:r>
      <w:r/>
    </w:p>
    <w:p>
      <w:pPr>
        <w:ind w:left="0" w:right="0" w:firstLine="0"/>
        <w:jc w:val="center"/>
        <w:spacing w:before="0" w:after="0"/>
        <w:rPr>
          <w:rFonts w:hint="eastAsia" w:ascii="宋体" w:hAnsi="宋体" w:eastAsia="宋体" w:cs="宋体"/>
          <w:color w:val="000000"/>
          <w:sz w:val="44"/>
          <w:highlight w:val="none"/>
        </w:rPr>
        <w:pBdr>
          <w:top w:val="none" w:color="000000" w:sz="0" w:space="0"/>
          <w:left w:val="none" w:color="000000" w:sz="0" w:space="0"/>
          <w:bottom w:val="none" w:color="000000" w:sz="0" w:space="0"/>
          <w:right w:val="none" w:color="000000" w:sz="0" w:space="0"/>
        </w:pBdr>
        <w:outlineLvl w:val="0"/>
      </w:pPr>
      <w:r/>
      <w:bookmarkStart w:id="5" w:name="_Toc14405"/>
      <w:r>
        <w:rPr>
          <w:rFonts w:hint="eastAsia" w:ascii="宋体" w:hAnsi="宋体" w:eastAsia="宋体" w:cs="宋体"/>
          <w:color w:val="000000"/>
          <w:sz w:val="44"/>
          <w:highlight w:val="none"/>
        </w:rPr>
        <w:t xml:space="preserve">第六章响应文件格式</w:t>
      </w:r>
      <w:bookmarkEnd w:id="5"/>
      <w:r>
        <w:rPr>
          <w:rFonts w:hint="eastAsia" w:ascii="宋体" w:hAnsi="宋体" w:eastAsia="宋体" w:cs="宋体"/>
          <w:color w:val="000000"/>
          <w:sz w:val="44"/>
          <w:highlight w:val="none"/>
        </w:rPr>
        <w:t xml:space="preserve"> </w:t>
      </w:r>
      <w:r/>
    </w:p>
    <w:p>
      <w:pPr>
        <w:ind w:left="0" w:right="0" w:firstLine="0"/>
        <w:jc w:val="center"/>
        <w:spacing w:before="0" w:after="0"/>
        <w:rPr>
          <w:rFonts w:hint="eastAsia" w:ascii="宋体" w:hAnsi="宋体" w:eastAsia="宋体" w:cs="宋体"/>
          <w:b/>
          <w:color w:val="000000"/>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highlight w:val="none"/>
        </w:rPr>
      </w:r>
      <w:r/>
    </w:p>
    <w:p>
      <w:pPr>
        <w:ind w:left="0" w:right="0" w:firstLine="0"/>
        <w:jc w:val="center"/>
        <w:spacing w:before="0" w:after="0"/>
        <w:rPr>
          <w:rFonts w:hint="eastAsia" w:ascii="宋体" w:hAnsi="宋体" w:eastAsia="宋体" w:cs="宋体"/>
          <w:b/>
          <w:color w:val="000000"/>
          <w:sz w:val="7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highlight w:val="none"/>
        </w:rPr>
        <w:t xml:space="preserve">响应文件</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72"/>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w:t>
      </w:r>
      <w:r/>
    </w:p>
    <w:p>
      <w:pPr>
        <w:ind w:left="0" w:right="0" w:firstLine="1084"/>
        <w:jc w:val="both"/>
        <w:spacing w:before="0"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u w:val="single"/>
          <w:lang w:eastAsia="zh-CN"/>
        </w:rPr>
        <w:t xml:space="preserve">2026年度宿城区环境卫生综合服务中心绿化管养项目</w:t>
      </w:r>
      <w:r/>
    </w:p>
    <w:p>
      <w:pPr>
        <w:ind w:left="0" w:right="0" w:firstLine="1084"/>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（加盖CA电子公章）</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6"/>
          <w:highlight w:val="none"/>
        </w:rPr>
        <w:t xml:space="preserve">   日期 ：</w:t>
      </w:r>
      <w:r>
        <w:rPr>
          <w:rFonts w:hint="eastAsia" w:ascii="宋体" w:hAnsi="宋体" w:eastAsia="宋体" w:cs="宋体"/>
          <w:b/>
          <w:color w:val="000000"/>
          <w:sz w:val="36"/>
          <w:highlight w:val="none"/>
          <w:u w:val="single"/>
        </w:rPr>
        <w:t xml:space="preserve">               </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1084"/>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响应文件目录</w:t>
      </w:r>
      <w:r/>
    </w:p>
    <w:p>
      <w:pPr>
        <w:ind w:left="0" w:right="0" w:firstLine="0"/>
        <w:jc w:val="center"/>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firstLine="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一、响应声明及承诺函</w:t>
      </w:r>
      <w:r/>
    </w:p>
    <w:p>
      <w:pPr>
        <w:ind w:left="0" w:firstLine="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二、供应商基本信息</w:t>
      </w:r>
      <w:r/>
    </w:p>
    <w:p>
      <w:pPr>
        <w:ind w:left="0" w:firstLine="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三、特定资格要求的证明文件</w:t>
      </w:r>
      <w:r/>
    </w:p>
    <w:p>
      <w:pPr>
        <w:ind w:left="0" w:firstLine="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四、法人授权书</w:t>
      </w:r>
      <w:r/>
    </w:p>
    <w:p>
      <w:pPr>
        <w:ind w:left="0" w:right="0" w:firstLine="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五、中小（微）企业声明函</w:t>
      </w:r>
      <w:r/>
    </w:p>
    <w:p>
      <w:pPr>
        <w:ind w:left="0" w:right="0" w:firstLine="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六、报价一览表</w:t>
      </w:r>
      <w:r/>
    </w:p>
    <w:p>
      <w:pPr>
        <w:ind w:left="0" w:right="0" w:firstLine="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七、技术要求响应及偏离表</w:t>
      </w:r>
      <w:r/>
    </w:p>
    <w:p>
      <w:pPr>
        <w:ind w:left="0" w:right="0" w:firstLine="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八、项目组人员</w:t>
      </w:r>
      <w:r/>
    </w:p>
    <w:p>
      <w:pPr>
        <w:ind w:left="0" w:right="0" w:firstLine="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九、企业业绩</w:t>
      </w:r>
      <w:r/>
    </w:p>
    <w:p>
      <w:pPr>
        <w:ind w:left="0" w:right="0" w:firstLine="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十、磋商所需其他材料</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一、磋商申请及声明</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响应声明及承诺函</w:t>
      </w:r>
      <w:r/>
    </w:p>
    <w:p>
      <w:pPr>
        <w:ind w:left="0" w:right="0" w:firstLine="0"/>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（采购单位名称）：</w:t>
      </w:r>
      <w:r/>
    </w:p>
    <w:p>
      <w:pPr>
        <w:ind w:left="0" w:right="0" w:firstLine="480"/>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根据已收到的项目编号为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u w:val="single"/>
          <w:lang w:eastAsia="zh-CN"/>
        </w:rPr>
        <w:t xml:space="preserve">JSZC-321302-BHLW-C2026-0004</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项目的竞争性磋商文件，我单位在参加本项目竞争性磋商活动中，特做出如下承诺：</w:t>
      </w:r>
      <w:r/>
    </w:p>
    <w:p>
      <w:pPr>
        <w:ind w:left="0" w:right="0" w:firstLine="480"/>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一、我方具备《中华人民共和国政府采购法》第二十二条第一款规定的6项条件；</w:t>
      </w:r>
      <w:r/>
    </w:p>
    <w:p>
      <w:pPr>
        <w:ind w:left="0" w:right="0" w:firstLine="480"/>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left="0" w:right="0" w:firstLine="480"/>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三、我方按磋商文件要求提交响应文件，响应磋商文件规定的响应有效期；</w:t>
      </w:r>
      <w:r/>
    </w:p>
    <w:p>
      <w:pPr>
        <w:ind w:left="0" w:right="0" w:firstLine="480"/>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四、如果我方的响应文件被接受，我方将按《中华人民共和国民法典（第三编合同） 》及其他有关法律、法规的规定，按期、按质、按量交付采购单位，全面做到履约守信；</w:t>
      </w:r>
      <w:r/>
    </w:p>
    <w:p>
      <w:pPr>
        <w:ind w:left="0" w:right="0" w:firstLine="480"/>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五、我方若违背本声明及承诺约定，经查实，自愿接受采购人及相关主管部门相应的规定处理，并依法承担相应的法律责任。</w:t>
      </w:r>
      <w:r/>
    </w:p>
    <w:p>
      <w:pPr>
        <w:ind w:left="0" w:right="0" w:firstLine="480"/>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六、我方同意采购人、采购代理机构将本声明及承诺函上网公开。</w:t>
      </w:r>
      <w:r/>
    </w:p>
    <w:p>
      <w:pPr>
        <w:ind w:left="0" w:right="0" w:firstLine="480"/>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供应商名称：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（加盖CA电子公章）</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日期：年月日</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43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二、供应商基本信息</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44"/>
          <w:highlight w:val="none"/>
        </w:rPr>
        <w:t xml:space="preserve">供应商基本情况表</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54"/>
        <w:gridCol w:w="2741"/>
        <w:gridCol w:w="1176"/>
        <w:gridCol w:w="276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679"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9"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41"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6"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63" w:type="dxa"/>
            <w:vAlign w:val="center"/>
            <w:textDirection w:val="lrTb"/>
            <w:noWrap w:val="false"/>
          </w:tcPr>
          <w:p>
            <w:pPr>
              <w:ind w:left="0" w:right="0" w:firstLine="0"/>
              <w:jc w:val="center"/>
              <w:spacing w:before="0" w:after="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10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9" w:type="dxa"/>
            <w:vAlign w:val="top"/>
            <w:textDirection w:val="lrTb"/>
            <w:noWrap w:val="false"/>
          </w:tcPr>
          <w:p>
            <w:pPr>
              <w:ind w:left="0" w:right="0" w:firstLine="1433"/>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4"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679" w:type="dxa"/>
            <w:vAlign w:val="center"/>
            <w:textDirection w:val="lrTb"/>
            <w:noWrap w:val="false"/>
          </w:tcPr>
          <w:p>
            <w:pPr>
              <w:ind w:left="0" w:right="0" w:firstLine="0"/>
              <w:jc w:val="center"/>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须提供营业执照等资料</w:t>
            </w:r>
            <w:r/>
          </w:p>
        </w:tc>
      </w:tr>
    </w:tbl>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000000"/>
          <w:sz w:val="32"/>
          <w:highlight w:val="none"/>
          <w:u w:val="single"/>
        </w:rPr>
        <w:t xml:space="preserve">三、特定资格要求的证明文件</w:t>
      </w:r>
      <w:r/>
    </w:p>
    <w:p>
      <w:pPr>
        <w:ind w:left="0" w:right="0" w:firstLine="0"/>
        <w:jc w:val="both"/>
        <w:spacing w:before="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如果本项目申请人的特定资格要求中要求提供的，必须提供。</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四、法人授权书</w:t>
      </w:r>
      <w:r/>
    </w:p>
    <w:p>
      <w:pPr>
        <w:ind w:left="0" w:right="0" w:firstLine="480"/>
        <w:jc w:val="both"/>
        <w:spacing w:before="0" w:after="0"/>
        <w:tabs>
          <w:tab w:val="left" w:pos="36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本授权书声明：____________（供应商名称）授权________________（被授权人的姓名）为我方就</w:t>
      </w:r>
      <w:r>
        <w:rPr>
          <w:rFonts w:hint="eastAsia" w:ascii="宋体" w:hAnsi="宋体" w:eastAsia="宋体" w:cs="宋体"/>
          <w:color w:val="000000"/>
          <w:sz w:val="24"/>
          <w:highlight w:val="none"/>
          <w:lang w:eastAsia="zh-CN"/>
        </w:rPr>
        <w:t xml:space="preserve">JSZC-321302-BHLW-C2026-0004</w:t>
      </w:r>
      <w:r>
        <w:rPr>
          <w:rFonts w:hint="eastAsia" w:ascii="宋体" w:hAnsi="宋体" w:eastAsia="宋体" w:cs="宋体"/>
          <w:color w:val="000000"/>
          <w:sz w:val="24"/>
          <w:highlight w:val="none"/>
        </w:rPr>
        <w:t xml:space="preserve">号项目采购活动的合法代理人，以本单位名义全权处理一切与该项目采购有关的事务。</w:t>
      </w:r>
      <w:r/>
    </w:p>
    <w:p>
      <w:pPr>
        <w:ind w:left="0" w:right="0" w:firstLine="480"/>
        <w:jc w:val="both"/>
        <w:spacing w:before="0" w:after="0"/>
        <w:tabs>
          <w:tab w:val="left" w:pos="360" w:leader="none"/>
        </w:tabs>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本授权书于______年____月____日起生效，特此声明</w:t>
      </w:r>
      <w:r/>
    </w:p>
    <w:p>
      <w:pPr>
        <w:ind w:left="0" w:right="0" w:firstLine="480"/>
        <w:jc w:val="both"/>
        <w:spacing w:before="0" w:after="0"/>
        <w:tabs>
          <w:tab w:val="left" w:pos="36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被授权人身份证号码：</w:t>
      </w:r>
      <w:r>
        <w:rPr>
          <w:rFonts w:hint="eastAsia" w:ascii="宋体" w:hAnsi="宋体" w:eastAsia="宋体" w:cs="宋体"/>
          <w:color w:val="000000"/>
          <w:sz w:val="24"/>
          <w:highlight w:val="none"/>
          <w:u w:val="single"/>
        </w:rPr>
        <w:t xml:space="preserve">           </w:t>
      </w:r>
      <w:r/>
    </w:p>
    <w:p>
      <w:pPr>
        <w:ind w:left="0" w:right="0" w:firstLine="0"/>
        <w:jc w:val="both"/>
        <w:spacing w:before="0" w:after="0"/>
        <w:tabs>
          <w:tab w:val="left" w:pos="36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被授权人联系电话：（手机）</w:t>
      </w:r>
      <w:r>
        <w:rPr>
          <w:rFonts w:hint="eastAsia" w:ascii="宋体" w:hAnsi="宋体" w:eastAsia="宋体" w:cs="宋体"/>
          <w:color w:val="000000"/>
          <w:sz w:val="24"/>
          <w:highlight w:val="none"/>
          <w:u w:val="single"/>
        </w:rPr>
        <w:t xml:space="preserve">          </w:t>
      </w:r>
      <w:r/>
    </w:p>
    <w:p>
      <w:pPr>
        <w:ind w:left="0" w:right="0" w:firstLine="1200"/>
        <w:jc w:val="both"/>
        <w:spacing w:before="0" w:after="0"/>
        <w:tabs>
          <w:tab w:val="left" w:pos="36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被授权人：</w:t>
      </w:r>
      <w:r>
        <w:rPr>
          <w:rFonts w:hint="eastAsia" w:ascii="宋体" w:hAnsi="宋体" w:eastAsia="宋体" w:cs="宋体"/>
          <w:color w:val="000000"/>
          <w:sz w:val="24"/>
          <w:highlight w:val="none"/>
          <w:u w:val="single"/>
        </w:rPr>
        <w:t xml:space="preserve"> （签字或盖章）          </w:t>
      </w:r>
      <w:r/>
    </w:p>
    <w:p>
      <w:pPr>
        <w:ind w:left="0" w:right="0" w:firstLine="1200"/>
        <w:jc w:val="both"/>
        <w:spacing w:before="0" w:after="0"/>
        <w:tabs>
          <w:tab w:val="left" w:pos="36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授权单位名称：</w:t>
      </w:r>
      <w:r>
        <w:rPr>
          <w:rFonts w:hint="eastAsia" w:ascii="宋体" w:hAnsi="宋体" w:eastAsia="宋体" w:cs="宋体"/>
          <w:color w:val="000000"/>
          <w:sz w:val="24"/>
          <w:highlight w:val="none"/>
          <w:u w:val="single"/>
        </w:rPr>
        <w:t xml:space="preserve">（加盖CA电子公章）</w:t>
      </w:r>
      <w:r/>
    </w:p>
    <w:p>
      <w:pPr>
        <w:ind w:left="0" w:right="0" w:firstLine="1200"/>
        <w:jc w:val="both"/>
        <w:spacing w:before="0" w:after="0"/>
        <w:tabs>
          <w:tab w:val="left" w:pos="36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w:t>
      </w:r>
      <w:r>
        <w:rPr>
          <w:rFonts w:hint="eastAsia" w:ascii="宋体" w:hAnsi="宋体" w:eastAsia="宋体" w:cs="宋体"/>
          <w:color w:val="000000"/>
          <w:sz w:val="24"/>
          <w:highlight w:val="none"/>
          <w:u w:val="single"/>
        </w:rPr>
        <w:t xml:space="preserve">（签字或盖章）</w:t>
      </w:r>
      <w:r/>
    </w:p>
    <w:p>
      <w:pPr>
        <w:ind w:left="0" w:right="0" w:firstLine="480"/>
        <w:jc w:val="both"/>
        <w:spacing w:before="0" w:after="0"/>
        <w:tabs>
          <w:tab w:val="left" w:pos="36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单位地址：</w:t>
      </w:r>
      <w:r>
        <w:rPr>
          <w:rFonts w:hint="eastAsia" w:ascii="宋体" w:hAnsi="宋体" w:eastAsia="宋体" w:cs="宋体"/>
          <w:color w:val="000000"/>
          <w:sz w:val="24"/>
          <w:highlight w:val="none"/>
          <w:u w:val="single"/>
        </w:rPr>
        <w:t xml:space="preserve">               </w:t>
      </w:r>
      <w:r/>
    </w:p>
    <w:p>
      <w:pPr>
        <w:ind w:left="0" w:right="0" w:firstLine="480"/>
        <w:jc w:val="both"/>
        <w:spacing w:before="0" w:after="0"/>
        <w:tabs>
          <w:tab w:val="left" w:pos="36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rPr>
          <w:rFonts w:hint="eastAsia" w:ascii="宋体" w:hAnsi="宋体" w:eastAsia="宋体" w:cs="宋体"/>
          <w:color w:val="000000"/>
          <w:sz w:val="24"/>
          <w:highlight w:val="none"/>
          <w:u w:val="single"/>
        </w:rPr>
        <w:t xml:space="preserve">               </w:t>
      </w:r>
      <w:r/>
    </w:p>
    <w:p>
      <w:pPr>
        <w:ind w:left="0" w:right="0" w:firstLine="0"/>
        <w:jc w:val="both"/>
        <w:spacing w:before="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center"/>
        <w:spacing w:before="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320"/>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32"/>
          <w:highlight w:val="none"/>
        </w:rPr>
        <w:t xml:space="preserve">五、中小（微）企业声明函（服务）</w:t>
      </w:r>
      <w:r/>
    </w:p>
    <w:p>
      <w:pPr>
        <w:ind w:left="0" w:right="0" w:firstLine="36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000000"/>
          <w:sz w:val="24"/>
          <w:highlight w:val="none"/>
          <w:u w:val="single"/>
        </w:rPr>
        <w:t xml:space="preserve">（单位名称）</w:t>
      </w:r>
      <w:r>
        <w:rPr>
          <w:rFonts w:hint="eastAsia" w:ascii="宋体" w:hAnsi="宋体" w:eastAsia="宋体" w:cs="宋体"/>
          <w:color w:val="000000"/>
          <w:sz w:val="24"/>
          <w:highlight w:val="none"/>
        </w:rPr>
        <w:t xml:space="preserve">采购编号为</w:t>
      </w:r>
      <w:r>
        <w:rPr>
          <w:rFonts w:hint="eastAsia" w:ascii="宋体" w:hAnsi="宋体" w:eastAsia="宋体" w:cs="宋体"/>
          <w:color w:val="000000"/>
          <w:sz w:val="24"/>
          <w:highlight w:val="none"/>
          <w:u w:val="single"/>
          <w:lang w:eastAsia="zh-CN"/>
        </w:rPr>
        <w:t xml:space="preserve">JSZC-321302-BHLW-C2026-0004</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（项目名称）（分包号：   ）</w:t>
      </w:r>
      <w:r>
        <w:rPr>
          <w:rFonts w:hint="eastAsia" w:ascii="宋体" w:hAnsi="宋体" w:eastAsia="宋体" w:cs="宋体"/>
          <w:color w:val="000000"/>
          <w:sz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left="0" w:right="0" w:firstLine="36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w:t>
      </w:r>
      <w:r>
        <w:rPr>
          <w:rFonts w:hint="eastAsia" w:ascii="宋体" w:hAnsi="宋体" w:eastAsia="宋体" w:cs="宋体"/>
          <w:color w:val="000000"/>
          <w:sz w:val="24"/>
          <w:highlight w:val="none"/>
          <w:u w:val="single"/>
        </w:rPr>
        <w:t xml:space="preserve">（标的名称）</w:t>
      </w:r>
      <w:r>
        <w:rPr>
          <w:rFonts w:hint="eastAsia" w:ascii="宋体" w:hAnsi="宋体" w:eastAsia="宋体" w:cs="宋体"/>
          <w:i/>
          <w:color w:val="000000"/>
          <w:sz w:val="24"/>
          <w:highlight w:val="none"/>
        </w:rPr>
        <w:t xml:space="preserve">，</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行业；承接企业为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vertAlign w:val="superscript"/>
        </w:rPr>
        <w:t xml:space="preserve">1</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2"/>
          <w:highlight w:val="none"/>
        </w:rPr>
        <w:t xml:space="preserve">中</w:t>
      </w:r>
      <w:r>
        <w:rPr>
          <w:rFonts w:hint="eastAsia" w:ascii="宋体" w:hAnsi="宋体" w:eastAsia="宋体" w:cs="宋体"/>
          <w:color w:val="000000"/>
          <w:sz w:val="24"/>
          <w:highlight w:val="none"/>
          <w:u w:val="single"/>
        </w:rPr>
        <w:t xml:space="preserve">小型企业、微型企业）；</w:t>
      </w:r>
      <w:r/>
    </w:p>
    <w:p>
      <w:pPr>
        <w:ind w:left="0" w:right="0" w:firstLine="36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u w:val="single"/>
        </w:rPr>
        <w:t xml:space="preserve">（标的名称）</w:t>
      </w:r>
      <w:r>
        <w:rPr>
          <w:rFonts w:hint="eastAsia" w:ascii="宋体" w:hAnsi="宋体" w:eastAsia="宋体" w:cs="宋体"/>
          <w:i/>
          <w:color w:val="000000"/>
          <w:sz w:val="24"/>
          <w:highlight w:val="none"/>
        </w:rPr>
        <w:t xml:space="preserve">，</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行业；承接企业为</w:t>
      </w:r>
      <w:r>
        <w:rPr>
          <w:rFonts w:hint="eastAsia" w:ascii="宋体" w:hAnsi="宋体" w:eastAsia="宋体" w:cs="宋体"/>
          <w:color w:val="000000"/>
          <w:sz w:val="24"/>
          <w:highlight w:val="none"/>
          <w:u w:val="single"/>
        </w:rPr>
        <w:t xml:space="preserve">（企业名称）</w:t>
      </w:r>
      <w:r>
        <w:rPr>
          <w:rFonts w:hint="eastAsia" w:ascii="宋体" w:hAnsi="宋体" w:eastAsia="宋体" w:cs="宋体"/>
          <w:color w:val="000000"/>
          <w:sz w:val="24"/>
          <w:highlight w:val="none"/>
        </w:rPr>
        <w:t xml:space="preserve">，从业人员</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人，营业收入为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万元，资产总额为</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万元</w:t>
      </w:r>
      <w:r>
        <w:rPr>
          <w:rFonts w:hint="eastAsia" w:ascii="宋体" w:hAnsi="宋体" w:eastAsia="宋体" w:cs="宋体"/>
          <w:color w:val="000000"/>
          <w:sz w:val="24"/>
          <w:highlight w:val="none"/>
          <w:vertAlign w:val="superscript"/>
        </w:rPr>
        <w:t xml:space="preserve">1</w:t>
      </w:r>
      <w:r>
        <w:rPr>
          <w:rFonts w:hint="eastAsia" w:ascii="宋体" w:hAnsi="宋体" w:eastAsia="宋体" w:cs="宋体"/>
          <w:color w:val="000000"/>
          <w:sz w:val="24"/>
          <w:highlight w:val="none"/>
        </w:rPr>
        <w:t xml:space="preserve">，属于</w:t>
      </w:r>
      <w:r>
        <w:rPr>
          <w:rFonts w:hint="eastAsia" w:ascii="宋体" w:hAnsi="宋体" w:eastAsia="宋体" w:cs="宋体"/>
          <w:color w:val="000000"/>
          <w:sz w:val="24"/>
          <w:highlight w:val="none"/>
          <w:u w:val="single"/>
        </w:rPr>
        <w:t xml:space="preserve">（</w:t>
      </w:r>
      <w:r>
        <w:rPr>
          <w:rFonts w:hint="eastAsia" w:ascii="宋体" w:hAnsi="宋体" w:eastAsia="宋体" w:cs="宋体"/>
          <w:color w:val="000000"/>
          <w:sz w:val="22"/>
          <w:highlight w:val="none"/>
        </w:rPr>
        <w:t xml:space="preserve">中</w:t>
      </w:r>
      <w:r>
        <w:rPr>
          <w:rFonts w:hint="eastAsia" w:ascii="宋体" w:hAnsi="宋体" w:eastAsia="宋体" w:cs="宋体"/>
          <w:color w:val="000000"/>
          <w:sz w:val="24"/>
          <w:highlight w:val="none"/>
          <w:u w:val="single"/>
        </w:rPr>
        <w:t xml:space="preserve">小型企业、微型企业）；</w:t>
      </w:r>
      <w:r/>
    </w:p>
    <w:p>
      <w:pPr>
        <w:ind w:left="0" w:right="0" w:firstLine="36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p>
    <w:p>
      <w:pPr>
        <w:ind w:left="0" w:right="0" w:firstLine="36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以上企业，不属于大企业的分支机构，不存在控股股东为大企业的情形，也不存在与大企业的负责人为同一人的情形。</w:t>
      </w:r>
      <w:r/>
    </w:p>
    <w:p>
      <w:pPr>
        <w:ind w:left="0" w:right="0" w:firstLine="36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本企业对上述声明内容的真实性负责。如有虚假，将依法承担相应责任</w:t>
      </w:r>
      <w:r/>
    </w:p>
    <w:p>
      <w:pPr>
        <w:ind w:left="0" w:right="720" w:firstLine="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180" w:firstLine="360"/>
        <w:jc w:val="right"/>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企业名称（加盖CA电子公章）：</w:t>
      </w:r>
      <w:r/>
    </w:p>
    <w:p>
      <w:pPr>
        <w:ind w:left="0" w:right="480" w:firstLine="540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0" w:right="0" w:firstLine="24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备注1：从业人员、营业收入、资产总额填报上一年度数据，无上一年度数据的新成立企业可不填报。</w:t>
      </w:r>
      <w:r/>
    </w:p>
    <w:p>
      <w:pPr>
        <w:ind w:left="0" w:right="0" w:firstLine="4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备注2：供应商如不提供此声明函，价格将不做相应扣除。</w:t>
      </w:r>
      <w:r/>
    </w:p>
    <w:p>
      <w:pPr>
        <w:ind w:left="0" w:right="0" w:firstLine="0"/>
        <w:jc w:val="both"/>
        <w:spacing w:before="0" w:after="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r>
      <w:r/>
    </w:p>
    <w:p>
      <w:pPr>
        <w:jc w:val="center"/>
        <w:rPr>
          <w:rFonts w:hint="eastAsia" w:ascii="宋体" w:hAnsi="宋体" w:eastAsia="宋体" w:cs="宋体"/>
          <w:highlight w:val="none"/>
        </w:rPr>
      </w:pPr>
      <w:r>
        <w:rPr>
          <w:rFonts w:hint="eastAsia" w:ascii="宋体" w:hAnsi="宋体" w:eastAsia="宋体" w:cs="宋体"/>
          <w:b/>
          <w:color w:val="000000"/>
          <w:sz w:val="32"/>
          <w:highlight w:val="none"/>
        </w:rPr>
        <w:t xml:space="preserve">残疾人福利性单位声明函</w:t>
      </w:r>
      <w:r/>
    </w:p>
    <w:p>
      <w:pPr>
        <w:ind w:left="0" w:right="0" w:firstLine="480"/>
        <w:jc w:val="both"/>
        <w:spacing w:before="0" w:after="0" w:line="587"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项目（分包号：     ）采购活动提供服务。</w:t>
      </w:r>
      <w:r/>
    </w:p>
    <w:p>
      <w:pPr>
        <w:ind w:left="0" w:right="0" w:firstLine="480"/>
        <w:jc w:val="both"/>
        <w:spacing w:before="0" w:after="0" w:line="587"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本单位对上述声明的真实性负责。如有虚假，将依法承担相应责任。</w:t>
      </w:r>
      <w:r/>
    </w:p>
    <w:p>
      <w:pPr>
        <w:ind w:left="0" w:right="0" w:firstLine="480"/>
        <w:jc w:val="both"/>
        <w:spacing w:before="0" w:after="0" w:line="587"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80"/>
        <w:jc w:val="both"/>
        <w:spacing w:before="0" w:after="0" w:line="587"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（备注：1、供应商如不提供此声明函，价格将不做相应扣除。2、成交供应商为残疾人福利单位的，此声明函将随成交结果同时公告，接受社会监督）</w:t>
      </w:r>
      <w:r/>
    </w:p>
    <w:p>
      <w:pPr>
        <w:ind w:left="0" w:right="0" w:firstLine="624"/>
        <w:jc w:val="both"/>
        <w:spacing w:before="0" w:after="0" w:line="587"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30"/>
          <w:highlight w:val="none"/>
        </w:rPr>
        <w:t xml:space="preserve"> </w:t>
      </w:r>
      <w:r/>
    </w:p>
    <w:p>
      <w:pPr>
        <w:ind w:left="0" w:right="1560" w:firstLine="624"/>
        <w:jc w:val="center"/>
        <w:spacing w:before="0" w:after="0" w:line="587" w:lineRule="atLeast"/>
        <w:tabs>
          <w:tab w:val="left" w:pos="486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pacing w:val="6"/>
          <w:sz w:val="30"/>
          <w:highlight w:val="none"/>
        </w:rPr>
        <w:t xml:space="preserve">         </w:t>
      </w:r>
      <w:r>
        <w:rPr>
          <w:rFonts w:hint="eastAsia" w:ascii="宋体" w:hAnsi="宋体" w:eastAsia="宋体" w:cs="宋体"/>
          <w:color w:val="000000"/>
          <w:spacing w:val="6"/>
          <w:sz w:val="30"/>
          <w:highlight w:val="none"/>
          <w:lang w:val="en-US" w:eastAsia="zh-CN"/>
        </w:rPr>
        <w:t xml:space="preserve">   </w:t>
      </w:r>
      <w:r>
        <w:rPr>
          <w:rFonts w:hint="eastAsia" w:ascii="宋体" w:hAnsi="宋体" w:eastAsia="宋体" w:cs="宋体"/>
          <w:color w:val="000000"/>
          <w:sz w:val="24"/>
          <w:highlight w:val="none"/>
        </w:rPr>
        <w:t xml:space="preserve">供应商全称（加盖CA电子公章）：</w:t>
      </w:r>
      <w:r/>
    </w:p>
    <w:p>
      <w:pPr>
        <w:ind w:left="0" w:right="1560" w:firstLine="480"/>
        <w:jc w:val="center"/>
        <w:spacing w:before="0" w:after="0" w:line="587" w:lineRule="atLeast"/>
        <w:tabs>
          <w:tab w:val="left" w:pos="4860" w:leader="none"/>
        </w:tabs>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日期：</w:t>
      </w:r>
      <w:r/>
    </w:p>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六、报价一览表</w:t>
      </w:r>
      <w:r/>
    </w:p>
    <w:p>
      <w:pPr>
        <w:ind w:left="0" w:right="0" w:firstLine="420"/>
        <w:jc w:val="both"/>
        <w:spacing w:before="0" w:after="0"/>
        <w:rPr>
          <w:rFonts w:hint="eastAsia" w:ascii="宋体" w:hAnsi="宋体" w:eastAsia="宋体" w:cs="宋体"/>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采购项目编号：</w:t>
      </w:r>
      <w:r>
        <w:rPr>
          <w:rFonts w:hint="eastAsia" w:ascii="宋体" w:hAnsi="宋体" w:eastAsia="宋体" w:cs="宋体"/>
          <w:color w:val="000000"/>
          <w:sz w:val="22"/>
          <w:highlight w:val="none"/>
          <w:lang w:eastAsia="zh-CN"/>
        </w:rPr>
        <w:t xml:space="preserve">JSZC-321302-BHLW-C2026-0004</w:t>
      </w:r>
      <w:r/>
    </w:p>
    <w:p>
      <w:pPr>
        <w:ind w:left="0" w:right="0" w:firstLine="42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采购项目名称：</w:t>
      </w:r>
      <w:r>
        <w:rPr>
          <w:rFonts w:hint="eastAsia" w:ascii="宋体" w:hAnsi="宋体" w:eastAsia="宋体" w:cs="宋体"/>
          <w:color w:val="000000"/>
          <w:sz w:val="22"/>
          <w:highlight w:val="none"/>
          <w:lang w:eastAsia="zh-CN"/>
        </w:rPr>
        <w:t xml:space="preserve">2026年度宿城区环境卫生综合服务中心绿化管养项目</w:t>
      </w:r>
      <w:r>
        <w:rPr>
          <w:rFonts w:hint="eastAsia" w:ascii="宋体" w:hAnsi="宋体" w:eastAsia="宋体" w:cs="宋体"/>
          <w:color w:val="000000"/>
          <w:sz w:val="22"/>
          <w:highlight w:val="none"/>
        </w:rPr>
        <w:t xml:space="preserve">（分包：     ）</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9"/>
        <w:gridCol w:w="4570"/>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标题</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内容</w:t>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总价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元</w:t>
            </w:r>
            <w:r/>
          </w:p>
        </w:tc>
      </w:tr>
      <w:tr>
        <w:trPr>
          <w:trHeight w:val="5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9"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服务期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0"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自合同签订之日起一年</w:t>
            </w:r>
            <w:r/>
          </w:p>
        </w:tc>
      </w:tr>
    </w:tbl>
    <w:p>
      <w:pPr>
        <w:ind w:left="0" w:right="0" w:firstLine="48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b/>
          <w:bCs/>
          <w:color w:val="000000"/>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center"/>
        <w:spacing w:before="0" w:after="0"/>
        <w:rPr>
          <w:rFonts w:hint="eastAsia" w:ascii="宋体" w:hAnsi="宋体" w:eastAsia="宋体" w:cs="宋体"/>
          <w:b/>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七、技术要求响应及偏离表</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技术要求和商务要求中的实质性要求（打“★”内容）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响应情况（填报“响应或完全响应”）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偏离（填报“正偏离、符合或负偏离”）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证明</w:t>
            </w:r>
            <w:r/>
          </w:p>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tc>
      </w:tr>
    </w:tbl>
    <w:p>
      <w:pPr>
        <w:ind w:left="0" w:right="0" w:firstLine="0"/>
        <w:jc w:val="both"/>
        <w:spacing w:before="0" w:after="0" w:line="587"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1.投标人必须对技术要求和商务要求中的实质性要求（打“★”内容）做出明确响应，否则作无效响应处理。</w:t>
      </w:r>
      <w:r/>
    </w:p>
    <w:p>
      <w:pPr>
        <w:ind w:left="0" w:right="0" w:firstLine="0"/>
        <w:jc w:val="both"/>
        <w:spacing w:before="0" w:after="0" w:line="587"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2.如果采购文件要求提供证明材料，投标人必须将证明材料列于该表之下。</w:t>
      </w:r>
      <w:r/>
    </w:p>
    <w:p>
      <w:pPr>
        <w:ind w:left="0" w:right="0" w:firstLine="0"/>
        <w:jc w:val="both"/>
        <w:spacing w:before="0" w:after="0" w:line="587"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3.投标人未对实质性要求作出明确响应的，或未按采购文件要求提供证明材料的，该分包作无效响应处理。</w:t>
      </w:r>
      <w:r/>
    </w:p>
    <w:p>
      <w:pPr>
        <w:ind w:left="0" w:right="0" w:firstLine="0"/>
        <w:jc w:val="both"/>
        <w:spacing w:before="0" w:after="0" w:line="587"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4.行数不够，可自行添加。</w:t>
      </w:r>
      <w:r/>
    </w:p>
    <w:p>
      <w:pPr>
        <w:ind w:left="0" w:right="0" w:firstLine="0"/>
        <w:jc w:val="both"/>
        <w:spacing w:before="0" w:after="0"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0" w:after="0" w:line="113"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0" w:after="0" w:line="113" w:lineRule="atLeast"/>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0" w:after="0" w:line="113"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2"/>
          <w:szCs w:val="22"/>
          <w:highlight w:val="none"/>
        </w:rPr>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八、项目组人员</w:t>
      </w:r>
      <w:r/>
    </w:p>
    <w:p>
      <w:pPr>
        <w:ind w:left="0" w:right="0" w:firstLine="0"/>
        <w:jc w:val="center"/>
        <w:spacing w:before="100" w:after="100" w:line="6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项目组成员</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56"/>
        <w:gridCol w:w="1843"/>
        <w:gridCol w:w="1056"/>
        <w:gridCol w:w="1984"/>
        <w:gridCol w:w="1702"/>
        <w:gridCol w:w="1056"/>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jc w:val="both"/>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280"/>
              <w:spacing w:before="100" w:after="1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line="240" w:lineRule="auto"/>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bl>
    <w:p>
      <w:pPr>
        <w:ind w:left="0" w:right="0" w:firstLine="398"/>
        <w:spacing w:before="100" w:after="100" w:line="46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注：如供应商成交，项目组成员必须按本表承诺人员操作，不得随意更换。按磋商文件要求附相关人员证书。</w:t>
      </w:r>
      <w:r/>
    </w:p>
    <w:p>
      <w:pPr>
        <w:ind w:left="0" w:right="0" w:firstLine="280"/>
        <w:spacing w:before="100" w:after="10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both"/>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九、企业业绩</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投标人承担类似项目业绩一览表</w:t>
      </w:r>
      <w:r/>
    </w:p>
    <w:tbl>
      <w:tblPr>
        <w:tblStyle w:val="81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7"/>
        <w:gridCol w:w="3782"/>
        <w:gridCol w:w="2406"/>
        <w:gridCol w:w="1381"/>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17" w:type="dxa"/>
            <w:vAlign w:val="top"/>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82"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06"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1" w:type="dxa"/>
            <w:vAlign w:val="center"/>
            <w:textDirection w:val="lrTb"/>
            <w:noWrap w:val="false"/>
          </w:tcPr>
          <w:p>
            <w:pPr>
              <w:ind w:left="0" w:right="0" w:firstLine="0"/>
              <w:jc w:val="center"/>
              <w:spacing w:before="0" w:after="0" w:line="55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 </w:t>
            </w:r>
            <w:r/>
          </w:p>
        </w:tc>
      </w:tr>
    </w:tbl>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注：请填写此表，并按要求上传业绩资料电子件。</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b/>
          <w:color w:val="000000"/>
          <w:sz w:val="32"/>
          <w:highlight w:val="none"/>
        </w:rPr>
      </w:pPr>
      <w:r>
        <w:rPr>
          <w:rFonts w:hint="eastAsia" w:ascii="宋体" w:hAnsi="宋体" w:eastAsia="宋体" w:cs="宋体"/>
          <w:b/>
          <w:color w:val="000000"/>
          <w:sz w:val="32"/>
          <w:highlight w:val="none"/>
        </w:rPr>
        <w:br w:type="page" w:clear="all"/>
      </w:r>
      <w:r/>
    </w:p>
    <w:p>
      <w:pPr>
        <w:ind w:left="0" w:right="0" w:firstLine="0"/>
        <w:jc w:val="both"/>
        <w:spacing w:before="0" w:after="0" w:line="499"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十、磋商所需其他材料</w:t>
      </w:r>
      <w:r/>
    </w:p>
    <w:p>
      <w:pPr>
        <w:ind w:left="0" w:right="0" w:firstLine="56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highlight w:val="none"/>
        </w:rPr>
        <w:t xml:space="preserve">请在此文档中增加磋商所需其他相关内容（包括资格要求、评分办法、采购需求中涉及的证件证明及其它投标人认为有必要提供的资料），如没有请将此空文档上传。</w:t>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highlight w:val="none"/>
        </w:rPr>
        <w:br w:type="page" w:clear="all"/>
      </w:r>
      <w:r/>
    </w:p>
    <w:p>
      <w:pPr>
        <w:ind w:left="0" w:right="0" w:firstLine="0"/>
        <w:jc w:val="center"/>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32"/>
          <w:highlight w:val="none"/>
        </w:rPr>
        <w:t xml:space="preserve">质疑函范本</w:t>
      </w:r>
      <w:r/>
    </w:p>
    <w:p>
      <w:pPr>
        <w:ind w:left="0" w:right="0" w:firstLine="0"/>
        <w:jc w:val="both"/>
        <w:spacing w:before="29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一、质疑供应商基本信息</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质疑供应商：</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邮编：</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联系人：</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p>
    <w:p>
      <w:pPr>
        <w:ind w:left="0" w:right="0" w:firstLine="0"/>
        <w:jc w:val="left"/>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授权代表：</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 </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邮编：</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二、质疑项目基本情况</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质疑项目的名称：</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质疑项目的编号：</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 xml:space="preserve">包号：</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采购人名称：</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采购文件获取日期：</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三、质疑事项具体内容</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质疑事项1：</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事实依据：</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w:t>
      </w:r>
      <w:r/>
    </w:p>
    <w:p>
      <w:pPr>
        <w:ind w:left="0" w:right="0" w:firstLine="0"/>
        <w:jc w:val="left"/>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法律依据：</w:t>
      </w: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rPr>
        <w:t xml:space="preserve">                                                                          </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质疑事项2</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四、与质疑事项相关的质疑请求</w:t>
      </w:r>
      <w:r/>
    </w:p>
    <w:p>
      <w:pPr>
        <w:ind w:left="0" w:right="0" w:firstLine="0"/>
        <w:jc w:val="both"/>
        <w:spacing w:before="0" w:after="0" w:line="85"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请求：</w:t>
      </w:r>
      <w:r>
        <w:rPr>
          <w:rFonts w:hint="eastAsia" w:ascii="宋体" w:hAnsi="宋体" w:eastAsia="宋体" w:cs="宋体"/>
          <w:color w:val="000000"/>
          <w:sz w:val="24"/>
          <w:highlight w:val="none"/>
          <w:u w:val="singl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签字(签章)：                   公章：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p>
    <w:p>
      <w:pPr>
        <w:ind w:left="0" w:right="0" w:firstLine="0"/>
        <w:jc w:val="both"/>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rPr>
        <w:t xml:space="preserve">质疑函制作说明：</w:t>
      </w:r>
      <w:r/>
    </w:p>
    <w:p>
      <w:pPr>
        <w:ind w:left="0" w:right="0" w:firstLine="48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1.供应商提出质疑时，应提交质疑函和必要的证明材料。</w:t>
      </w:r>
      <w:r/>
    </w:p>
    <w:p>
      <w:pPr>
        <w:ind w:left="0" w:right="0" w:firstLine="48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3.质疑供应商若对项目的某一分包进行质疑，质疑函中应列明具体分包号。</w:t>
      </w:r>
      <w:r/>
    </w:p>
    <w:p>
      <w:pPr>
        <w:ind w:left="0" w:right="0" w:firstLine="48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4.质疑函的质疑事项应具体、明确，并有必要的事实依据和法律依据。</w:t>
      </w:r>
      <w:r/>
    </w:p>
    <w:p>
      <w:pPr>
        <w:ind w:left="0" w:right="0" w:firstLine="48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5.质疑函的质疑请求应与质疑事项相关。</w:t>
      </w:r>
      <w:r/>
    </w:p>
    <w:p>
      <w:pPr>
        <w:ind w:left="0" w:right="0" w:firstLine="480"/>
        <w:spacing w:before="0" w:after="0" w:line="400" w:lineRule="atLeast"/>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42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ind w:left="0" w:right="0" w:firstLine="0"/>
        <w:jc w:val="both"/>
        <w:spacing w:before="0" w:after="0"/>
        <w:rPr>
          <w:rFonts w:hint="eastAsia" w:ascii="宋体" w:hAnsi="宋体" w:eastAsia="宋体" w:cs="宋体"/>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2"/>
          <w:highlight w:val="none"/>
        </w:rPr>
        <w:t xml:space="preserve"> </w:t>
      </w:r>
      <w:r/>
    </w:p>
    <w:p>
      <w:pPr>
        <w:rPr>
          <w:rFonts w:hint="eastAsia" w:ascii="宋体" w:hAnsi="宋体" w:eastAsia="宋体" w:cs="宋体"/>
          <w:highlight w:val="none"/>
        </w:rPr>
      </w:pPr>
      <w:r>
        <w:rPr>
          <w:rFonts w:hint="eastAsia" w:ascii="宋体" w:hAnsi="宋体" w:eastAsia="宋体" w:cs="宋体"/>
          <w:highlight w:val="none"/>
        </w:rPr>
      </w:r>
      <w:r/>
    </w:p>
    <w:sectPr>
      <w:footerReference w:type="default" r:id="rId14"/>
      <w:footerReference w:type="first" r:id="rId15"/>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宋体" w:hAnsi="宋体" w:eastAsia="宋体" w:cs="Times New Roman"/>
        <w:sz w:val="18"/>
        <w:szCs w:val="18"/>
        <w:lang w:val="en-US" w:eastAsia="zh-CN" w:bidi="ar-SA"/>
      </w:rPr>
      <w:framePr w:wrap="around" w:vAnchor="text" w:hAnchor="margin" w:xAlign="center" w:y="1"/>
    </w:pPr>
    <w:r>
      <w:rPr>
        <w:rFonts w:ascii="宋体" w:hAnsi="宋体" w:eastAsia="宋体" w:cs="Times New Roman"/>
        <w:sz w:val="18"/>
        <w:szCs w:val="18"/>
        <w:lang w:val="en-US" w:eastAsia="zh-CN" w:bidi="ar-SA"/>
      </w:rPr>
      <w:fldChar w:fldCharType="begin"/>
    </w:r>
    <w:r>
      <w:rPr>
        <w:rFonts w:ascii="宋体" w:hAnsi="宋体" w:eastAsia="宋体" w:cs="Times New Roman"/>
        <w:sz w:val="21"/>
        <w:szCs w:val="22"/>
        <w:lang w:val="en-US" w:eastAsia="zh-CN" w:bidi="ar-SA"/>
      </w:rPr>
      <w:instrText xml:space="preserve">PAGE  </w:instrText>
    </w:r>
    <w:r>
      <w:rPr>
        <w:rFonts w:ascii="宋体" w:hAnsi="宋体" w:eastAsia="宋体" w:cs="Times New Roman"/>
        <w:sz w:val="18"/>
        <w:szCs w:val="18"/>
        <w:lang w:val="en-US" w:eastAsia="zh-CN" w:bidi="ar-SA"/>
      </w:rPr>
      <w:fldChar w:fldCharType="separate"/>
    </w:r>
    <w:r>
      <w:rPr>
        <w:rFonts w:ascii="宋体" w:hAnsi="宋体" w:eastAsia="宋体" w:cs="Times New Roman"/>
        <w:sz w:val="21"/>
        <w:szCs w:val="22"/>
        <w:lang w:val="en-US" w:eastAsia="zh-CN" w:bidi="ar-SA"/>
      </w:rPr>
      <w:t xml:space="preserve">３９</w:t>
    </w:r>
    <w:r>
      <w:rPr>
        <w:rFonts w:ascii="宋体" w:hAnsi="宋体" w:eastAsia="宋体" w:cs="Times New Roman"/>
        <w:sz w:val="18"/>
        <w:szCs w:val="18"/>
        <w:lang w:val="en-US" w:eastAsia="zh-CN" w:bidi="ar-SA"/>
      </w:rPr>
      <w:fldChar w:fldCharType="end"/>
    </w:r>
    <w:r/>
  </w:p>
  <w:p>
    <w:pPr>
      <w:jc w:val="center"/>
      <w:widowControl w:val="off"/>
      <w:tabs>
        <w:tab w:val="center" w:pos="4153" w:leader="none"/>
        <w:tab w:val="right" w:pos="8306" w:leader="none"/>
      </w:tabs>
      <w:rPr>
        <w:rFonts w:hint="eastAsia" w:ascii="Times New Roman" w:hAnsi="Times New Roman" w:eastAsia="宋体" w:cs="Times New Roman"/>
        <w:b/>
        <w:i/>
        <w:sz w:val="18"/>
        <w:szCs w:val="18"/>
        <w:lang w:val="en-US" w:eastAsia="zh-CN" w:bidi="ar-SA"/>
      </w:rPr>
    </w:pPr>
    <w:r>
      <w:rPr>
        <w:rFonts w:ascii="Times New Roman" w:hAnsi="Times New Roman" w:eastAsia="宋体" w:cs="Times New Roman"/>
        <w:b/>
        <w:i/>
        <w:sz w:val="20"/>
        <w:szCs w:val="18"/>
        <w:lang w:val="en-US" w:eastAsia="zh-CN" w:bidi="ar-SA"/>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framePr w:wrap="around" w:vAnchor="text" w:hAnchor="margin" w:xAlign="center" w:y="1"/>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21"/>
        <w:szCs w:val="22"/>
        <w:lang w:val="en-US" w:eastAsia="zh-CN" w:bidi="ar-SA"/>
      </w:rPr>
      <w:instrText xml:space="preserve">PAGE  </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21"/>
        <w:szCs w:val="22"/>
        <w:lang w:val="en-US" w:eastAsia="zh-CN" w:bidi="ar-SA"/>
      </w:rPr>
      <w:t xml:space="preserve">1</w:t>
    </w:r>
    <w:r>
      <w:rPr>
        <w:rFonts w:ascii="Times New Roman" w:hAnsi="Times New Roman" w:eastAsia="宋体" w:cs="Times New Roman"/>
        <w:sz w:val="18"/>
        <w:szCs w:val="18"/>
        <w:lang w:val="en-US" w:eastAsia="zh-CN" w:bidi="ar-SA"/>
      </w:rPr>
      <w:fldChar w:fldCharType="end"/>
    </w:r>
    <w:r/>
  </w:p>
  <w:p>
    <w:pPr>
      <w:jc w:val="left"/>
      <w:widowControl w:val="off"/>
      <w:tabs>
        <w:tab w:val="center" w:pos="4153" w:leader="none"/>
        <w:tab w:val="right" w:pos="8306" w:leader="none"/>
      </w:tabs>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Times New Roman" w:hAnsi="Times New Roman" w:eastAsia="宋体" w:cs="Times New Roman"/>
        <w:b/>
        <w:i/>
        <w:sz w:val="18"/>
        <w:szCs w:val="18"/>
        <w:lang w:val="en-US" w:eastAsia="zh-CN" w:bidi="ar-SA"/>
      </w:rPr>
    </w:pPr>
    <w:r>
      <w:rPr>
        <w:rFonts w:ascii="Times New Roman" w:hAnsi="Times New Roman" w:eastAsia="宋体" w:cs="Times New Roman"/>
        <w:b/>
        <w:i/>
        <w:sz w:val="20"/>
        <w:szCs w:val="18"/>
        <w:lang w:val="en-US" w:eastAsia="zh-CN" w:bidi="ar-SA"/>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eastAsia" w:ascii="Times New Roman" w:hAnsi="Times New Roman" w:eastAsia="宋体" w:cs="Times New Roman"/>
        <w:b/>
        <w:i/>
        <w:sz w:val="18"/>
        <w:szCs w:val="18"/>
        <w:lang w:val="en-US" w:eastAsia="zh-CN" w:bidi="ar-SA"/>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rFonts w:ascii="Times New Roman" w:hAnsi="Times New Roman" w:eastAsia="宋体" w:cs="Times New Roman"/>
        <w:b/>
        <w:i/>
        <w:sz w:val="20"/>
        <w:szCs w:val="18"/>
        <w:lang w:val="en-US" w:eastAsia="zh-CN" w:bidi="ar-SA"/>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ind w:left="0" w:firstLine="0"/>
      </w:pPr>
    </w:lvl>
    <w:lvl w:ilvl="1">
      <w:start w:val="1"/>
      <w:numFmt w:val="decimal"/>
      <w:isLgl w:val="false"/>
      <w:suff w:val="tab"/>
      <w:lvlText w:val="%2."/>
      <w:lvlJc w:val="left"/>
      <w:pPr>
        <w:ind w:left="1440" w:hanging="360"/>
      </w:pPr>
    </w:lvl>
    <w:lvl w:ilvl="2">
      <w:start w:val="1"/>
      <w:numFmt w:val="decimal"/>
      <w:isLgl w:val="false"/>
      <w:suff w:val="tab"/>
      <w:lvlText w:val="%3."/>
      <w:lvlJc w:val="left"/>
      <w:pPr>
        <w:ind w:left="2160" w:hanging="360"/>
      </w:pPr>
    </w:lvl>
    <w:lvl w:ilvl="3">
      <w:start w:val="1"/>
      <w:numFmt w:val="decimal"/>
      <w:isLgl w:val="false"/>
      <w:suff w:val="tab"/>
      <w:lvlText w:val="%4."/>
      <w:lvlJc w:val="left"/>
      <w:pPr>
        <w:ind w:left="2880" w:hanging="360"/>
      </w:pPr>
    </w:lvl>
    <w:lvl w:ilvl="4">
      <w:start w:val="1"/>
      <w:numFmt w:val="decimal"/>
      <w:isLgl w:val="false"/>
      <w:suff w:val="tab"/>
      <w:lvlText w:val="%5."/>
      <w:lvlJc w:val="left"/>
      <w:pPr>
        <w:ind w:left="3600" w:hanging="360"/>
      </w:pPr>
    </w:lvl>
    <w:lvl w:ilvl="5">
      <w:start w:val="1"/>
      <w:numFmt w:val="decimal"/>
      <w:isLgl w:val="false"/>
      <w:suff w:val="tab"/>
      <w:lvlText w:val="%6."/>
      <w:lvlJc w:val="left"/>
      <w:pPr>
        <w:ind w:left="4320" w:hanging="360"/>
      </w:pPr>
    </w:lvl>
    <w:lvl w:ilvl="6">
      <w:start w:val="1"/>
      <w:numFmt w:val="decimal"/>
      <w:isLgl w:val="false"/>
      <w:suff w:val="tab"/>
      <w:lvlText w:val="%7."/>
      <w:lvlJc w:val="left"/>
      <w:pPr>
        <w:ind w:left="5040" w:hanging="360"/>
      </w:pPr>
    </w:lvl>
    <w:lvl w:ilvl="7">
      <w:start w:val="1"/>
      <w:numFmt w:val="decimal"/>
      <w:isLgl w:val="false"/>
      <w:suff w:val="tab"/>
      <w:lvlText w:val="%8."/>
      <w:lvlJc w:val="left"/>
      <w:pPr>
        <w:ind w:left="5760" w:hanging="360"/>
      </w:pPr>
    </w:lvl>
    <w:lvl w:ilvl="8">
      <w:start w:val="1"/>
      <w:numFmt w:val="decimal"/>
      <w:isLgl w:val="false"/>
      <w:suff w:val="tab"/>
      <w:lvlText w:val="%9."/>
      <w:lvlJc w:val="left"/>
      <w:pPr>
        <w:ind w:left="6480" w:hanging="360"/>
      </w:p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2"/>
  </w:num>
  <w:num w:numId="4">
    <w:abstractNumId w:val="0"/>
  </w:num>
  <w:num w:numId="5">
    <w:abstractNumId w:val="1"/>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5" w:default="1">
    <w:name w:val="Normal"/>
    <w:next w:val="787"/>
    <w:link w:val="968"/>
    <w:uiPriority w:val="0"/>
    <w:qFormat/>
    <w:pPr>
      <w:jc w:val="both"/>
      <w:widowControl w:val="off"/>
    </w:pPr>
    <w:rPr>
      <w:rFonts w:hint="default" w:ascii="Calibri" w:hAnsi="Calibri" w:eastAsia="宋体" w:cs="Times New Roman"/>
      <w:sz w:val="21"/>
      <w:szCs w:val="24"/>
      <w:lang w:val="en-US" w:eastAsia="zh-CN" w:bidi="ar-SA"/>
    </w:rPr>
  </w:style>
  <w:style w:type="paragraph" w:styleId="786">
    <w:name w:val="Heading 1"/>
    <w:basedOn w:val="785"/>
    <w:next w:val="785"/>
    <w:link w:val="820"/>
    <w:uiPriority w:val="9"/>
    <w:qFormat/>
    <w:pPr>
      <w:keepLines/>
      <w:keepNext/>
      <w:spacing w:before="480" w:after="200"/>
      <w:outlineLvl w:val="0"/>
    </w:pPr>
    <w:rPr>
      <w:rFonts w:ascii="Arial" w:hAnsi="Arial" w:eastAsia="Arial" w:cs="Arial"/>
      <w:sz w:val="40"/>
      <w:szCs w:val="40"/>
    </w:rPr>
  </w:style>
  <w:style w:type="paragraph" w:styleId="787">
    <w:name w:val="Heading 2"/>
    <w:basedOn w:val="785"/>
    <w:next w:val="785"/>
    <w:link w:val="821"/>
    <w:uiPriority w:val="9"/>
    <w:unhideWhenUsed/>
    <w:qFormat/>
    <w:pPr>
      <w:keepLines/>
      <w:keepNext/>
      <w:spacing w:before="360" w:after="200"/>
      <w:outlineLvl w:val="1"/>
    </w:pPr>
    <w:rPr>
      <w:rFonts w:ascii="Arial" w:hAnsi="Arial" w:eastAsia="Arial" w:cs="Arial"/>
      <w:sz w:val="34"/>
    </w:rPr>
  </w:style>
  <w:style w:type="paragraph" w:styleId="788">
    <w:name w:val="Heading 3"/>
    <w:basedOn w:val="785"/>
    <w:next w:val="785"/>
    <w:link w:val="822"/>
    <w:uiPriority w:val="9"/>
    <w:unhideWhenUsed/>
    <w:qFormat/>
    <w:pPr>
      <w:keepLines/>
      <w:keepNext/>
      <w:spacing w:before="320" w:after="200"/>
      <w:outlineLvl w:val="2"/>
    </w:pPr>
    <w:rPr>
      <w:rFonts w:ascii="Arial" w:hAnsi="Arial" w:eastAsia="Arial" w:cs="Arial"/>
      <w:sz w:val="30"/>
      <w:szCs w:val="30"/>
    </w:rPr>
  </w:style>
  <w:style w:type="paragraph" w:styleId="789">
    <w:name w:val="Heading 4"/>
    <w:basedOn w:val="785"/>
    <w:next w:val="785"/>
    <w:link w:val="823"/>
    <w:uiPriority w:val="9"/>
    <w:unhideWhenUsed/>
    <w:qFormat/>
    <w:pPr>
      <w:keepLines/>
      <w:keepNext/>
      <w:spacing w:before="320" w:after="200"/>
      <w:outlineLvl w:val="3"/>
    </w:pPr>
    <w:rPr>
      <w:rFonts w:ascii="Arial" w:hAnsi="Arial" w:eastAsia="Arial" w:cs="Arial"/>
      <w:b/>
      <w:bCs/>
      <w:sz w:val="26"/>
      <w:szCs w:val="26"/>
    </w:rPr>
  </w:style>
  <w:style w:type="paragraph" w:styleId="790">
    <w:name w:val="Heading 5"/>
    <w:basedOn w:val="785"/>
    <w:next w:val="785"/>
    <w:link w:val="824"/>
    <w:uiPriority w:val="9"/>
    <w:unhideWhenUsed/>
    <w:qFormat/>
    <w:pPr>
      <w:keepLines/>
      <w:keepNext/>
      <w:spacing w:before="320" w:after="200"/>
      <w:outlineLvl w:val="4"/>
    </w:pPr>
    <w:rPr>
      <w:rFonts w:ascii="Arial" w:hAnsi="Arial" w:eastAsia="Arial" w:cs="Arial"/>
      <w:b/>
      <w:bCs/>
      <w:sz w:val="24"/>
      <w:szCs w:val="24"/>
    </w:rPr>
  </w:style>
  <w:style w:type="paragraph" w:styleId="791">
    <w:name w:val="Heading 6"/>
    <w:basedOn w:val="785"/>
    <w:next w:val="785"/>
    <w:link w:val="825"/>
    <w:uiPriority w:val="9"/>
    <w:unhideWhenUsed/>
    <w:qFormat/>
    <w:pPr>
      <w:keepLines/>
      <w:keepNext/>
      <w:spacing w:before="320" w:after="200"/>
      <w:outlineLvl w:val="5"/>
    </w:pPr>
    <w:rPr>
      <w:rFonts w:ascii="Arial" w:hAnsi="Arial" w:eastAsia="Arial" w:cs="Arial"/>
      <w:b/>
      <w:bCs/>
      <w:sz w:val="22"/>
      <w:szCs w:val="22"/>
    </w:rPr>
  </w:style>
  <w:style w:type="paragraph" w:styleId="792">
    <w:name w:val="Heading 7"/>
    <w:basedOn w:val="785"/>
    <w:next w:val="785"/>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793">
    <w:name w:val="Heading 8"/>
    <w:basedOn w:val="785"/>
    <w:next w:val="785"/>
    <w:link w:val="827"/>
    <w:uiPriority w:val="9"/>
    <w:unhideWhenUsed/>
    <w:qFormat/>
    <w:pPr>
      <w:keepLines/>
      <w:keepNext/>
      <w:spacing w:before="320" w:after="200"/>
      <w:outlineLvl w:val="7"/>
    </w:pPr>
    <w:rPr>
      <w:rFonts w:ascii="Arial" w:hAnsi="Arial" w:eastAsia="Arial" w:cs="Arial"/>
      <w:i/>
      <w:iCs/>
      <w:sz w:val="22"/>
      <w:szCs w:val="22"/>
    </w:rPr>
  </w:style>
  <w:style w:type="paragraph" w:styleId="794">
    <w:name w:val="Heading 9"/>
    <w:basedOn w:val="785"/>
    <w:next w:val="785"/>
    <w:link w:val="828"/>
    <w:uiPriority w:val="9"/>
    <w:unhideWhenUsed/>
    <w:qFormat/>
    <w:pPr>
      <w:keepLines/>
      <w:keepNext/>
      <w:spacing w:before="320" w:after="200"/>
      <w:outlineLvl w:val="8"/>
    </w:pPr>
    <w:rPr>
      <w:rFonts w:ascii="Arial" w:hAnsi="Arial" w:eastAsia="Arial" w:cs="Arial"/>
      <w:i/>
      <w:iCs/>
      <w:sz w:val="21"/>
      <w:szCs w:val="21"/>
    </w:rPr>
  </w:style>
  <w:style w:type="character" w:styleId="795" w:default="1">
    <w:name w:val="Default Paragraph Font"/>
    <w:uiPriority w:val="1"/>
    <w:semiHidden/>
    <w:unhideWhenUsed/>
    <w:qFormat/>
  </w:style>
  <w:style w:type="table" w:styleId="796" w:default="1">
    <w:name w:val="Normal Table"/>
    <w:uiPriority w:val="99"/>
    <w:semiHidden/>
    <w:unhideWhenUsed/>
    <w:qFormat/>
    <w:tblPr>
      <w:tblCellMar>
        <w:left w:w="108" w:type="dxa"/>
        <w:top w:w="0" w:type="dxa"/>
        <w:right w:w="108" w:type="dxa"/>
        <w:bottom w:w="0" w:type="dxa"/>
      </w:tblCellMar>
    </w:tblPr>
  </w:style>
  <w:style w:type="paragraph" w:styleId="797">
    <w:name w:val="toc 7"/>
    <w:basedOn w:val="785"/>
    <w:next w:val="785"/>
    <w:uiPriority w:val="39"/>
    <w:unhideWhenUsed/>
    <w:qFormat/>
    <w:pPr>
      <w:ind w:left="1701" w:right="0" w:firstLine="0"/>
      <w:spacing w:after="57"/>
    </w:pPr>
  </w:style>
  <w:style w:type="paragraph" w:styleId="798">
    <w:name w:val="Caption"/>
    <w:basedOn w:val="785"/>
    <w:next w:val="785"/>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9">
    <w:name w:val="toc 5"/>
    <w:basedOn w:val="785"/>
    <w:next w:val="785"/>
    <w:uiPriority w:val="39"/>
    <w:unhideWhenUsed/>
    <w:qFormat/>
    <w:pPr>
      <w:ind w:left="1134" w:right="0" w:firstLine="0"/>
      <w:spacing w:after="57"/>
    </w:pPr>
  </w:style>
  <w:style w:type="paragraph" w:styleId="800">
    <w:name w:val="toc 3"/>
    <w:basedOn w:val="785"/>
    <w:next w:val="785"/>
    <w:uiPriority w:val="39"/>
    <w:unhideWhenUsed/>
    <w:qFormat/>
    <w:pPr>
      <w:ind w:left="567" w:right="0" w:firstLine="0"/>
      <w:spacing w:after="57"/>
    </w:pPr>
  </w:style>
  <w:style w:type="paragraph" w:styleId="801">
    <w:name w:val="toc 8"/>
    <w:basedOn w:val="785"/>
    <w:next w:val="785"/>
    <w:uiPriority w:val="39"/>
    <w:unhideWhenUsed/>
    <w:qFormat/>
    <w:pPr>
      <w:ind w:left="1984" w:right="0" w:firstLine="0"/>
      <w:spacing w:after="57"/>
    </w:pPr>
  </w:style>
  <w:style w:type="paragraph" w:styleId="802">
    <w:name w:val="Body Text Indent 2"/>
    <w:uiPriority w:val="0"/>
    <w:qFormat/>
    <w:pPr>
      <w:ind w:firstLine="225"/>
      <w:jc w:val="left"/>
      <w:spacing w:line="540" w:lineRule="exact"/>
      <w:widowControl w:val="off"/>
    </w:pPr>
    <w:rPr>
      <w:rFonts w:ascii="仿宋_GB2312" w:hAnsi="Calibri" w:eastAsia="仿宋_GB2312" w:cs="Times New Roman"/>
      <w:sz w:val="32"/>
      <w:szCs w:val="22"/>
      <w:lang w:val="en-US" w:eastAsia="zh-CN" w:bidi="ar-SA"/>
    </w:rPr>
  </w:style>
  <w:style w:type="paragraph" w:styleId="803">
    <w:name w:val="endnote text"/>
    <w:basedOn w:val="785"/>
    <w:link w:val="966"/>
    <w:uiPriority w:val="99"/>
    <w:semiHidden/>
    <w:unhideWhenUsed/>
    <w:qFormat/>
    <w:pPr>
      <w:spacing w:after="0" w:line="240" w:lineRule="auto"/>
    </w:pPr>
    <w:rPr>
      <w:sz w:val="20"/>
    </w:rPr>
  </w:style>
  <w:style w:type="paragraph" w:styleId="804">
    <w:name w:val="Footer"/>
    <w:basedOn w:val="785"/>
    <w:link w:val="839"/>
    <w:uiPriority w:val="99"/>
    <w:unhideWhenUsed/>
    <w:qFormat/>
    <w:pPr>
      <w:spacing w:after="0" w:line="240" w:lineRule="auto"/>
      <w:tabs>
        <w:tab w:val="center" w:pos="7143" w:leader="none"/>
        <w:tab w:val="right" w:pos="14287" w:leader="none"/>
      </w:tabs>
    </w:pPr>
  </w:style>
  <w:style w:type="paragraph" w:styleId="805">
    <w:name w:val="Header"/>
    <w:basedOn w:val="785"/>
    <w:link w:val="837"/>
    <w:uiPriority w:val="99"/>
    <w:unhideWhenUsed/>
    <w:qFormat/>
    <w:pPr>
      <w:spacing w:after="0" w:line="240" w:lineRule="auto"/>
      <w:tabs>
        <w:tab w:val="center" w:pos="7143" w:leader="none"/>
        <w:tab w:val="right" w:pos="14287" w:leader="none"/>
      </w:tabs>
    </w:pPr>
  </w:style>
  <w:style w:type="paragraph" w:styleId="806">
    <w:name w:val="toc 1"/>
    <w:basedOn w:val="785"/>
    <w:next w:val="785"/>
    <w:uiPriority w:val="39"/>
    <w:unhideWhenUsed/>
    <w:qFormat/>
    <w:pPr>
      <w:ind w:left="0" w:right="0" w:firstLine="0"/>
      <w:spacing w:after="57"/>
    </w:pPr>
  </w:style>
  <w:style w:type="paragraph" w:styleId="807">
    <w:name w:val="toc 4"/>
    <w:basedOn w:val="785"/>
    <w:next w:val="785"/>
    <w:uiPriority w:val="39"/>
    <w:unhideWhenUsed/>
    <w:qFormat/>
    <w:pPr>
      <w:ind w:left="850" w:right="0" w:firstLine="0"/>
      <w:spacing w:after="57"/>
    </w:pPr>
  </w:style>
  <w:style w:type="paragraph" w:styleId="808">
    <w:name w:val="Subtitle"/>
    <w:basedOn w:val="785"/>
    <w:next w:val="785"/>
    <w:link w:val="832"/>
    <w:uiPriority w:val="11"/>
    <w:qFormat/>
    <w:pPr>
      <w:spacing w:before="200" w:after="200"/>
    </w:pPr>
    <w:rPr>
      <w:sz w:val="24"/>
      <w:szCs w:val="24"/>
    </w:rPr>
  </w:style>
  <w:style w:type="paragraph" w:styleId="809">
    <w:name w:val="footnote text"/>
    <w:basedOn w:val="785"/>
    <w:link w:val="965"/>
    <w:uiPriority w:val="99"/>
    <w:semiHidden/>
    <w:unhideWhenUsed/>
    <w:qFormat/>
    <w:pPr>
      <w:spacing w:after="40" w:line="240" w:lineRule="auto"/>
    </w:pPr>
    <w:rPr>
      <w:sz w:val="18"/>
    </w:rPr>
  </w:style>
  <w:style w:type="paragraph" w:styleId="810">
    <w:name w:val="toc 6"/>
    <w:basedOn w:val="785"/>
    <w:next w:val="785"/>
    <w:uiPriority w:val="39"/>
    <w:unhideWhenUsed/>
    <w:qFormat/>
    <w:pPr>
      <w:ind w:left="1417" w:right="0" w:firstLine="0"/>
      <w:spacing w:after="57"/>
    </w:pPr>
  </w:style>
  <w:style w:type="paragraph" w:styleId="811">
    <w:name w:val="table of figures"/>
    <w:basedOn w:val="785"/>
    <w:next w:val="785"/>
    <w:uiPriority w:val="99"/>
    <w:unhideWhenUsed/>
    <w:qFormat/>
    <w:pPr>
      <w:spacing w:after="0" w:afterAutospacing="0"/>
    </w:pPr>
  </w:style>
  <w:style w:type="paragraph" w:styleId="812">
    <w:name w:val="toc 2"/>
    <w:basedOn w:val="785"/>
    <w:next w:val="785"/>
    <w:uiPriority w:val="39"/>
    <w:unhideWhenUsed/>
    <w:qFormat/>
    <w:pPr>
      <w:ind w:left="283" w:right="0" w:firstLine="0"/>
      <w:spacing w:after="57"/>
    </w:pPr>
  </w:style>
  <w:style w:type="paragraph" w:styleId="813">
    <w:name w:val="toc 9"/>
    <w:basedOn w:val="785"/>
    <w:next w:val="785"/>
    <w:uiPriority w:val="39"/>
    <w:unhideWhenUsed/>
    <w:qFormat/>
    <w:pPr>
      <w:ind w:left="2268" w:right="0" w:firstLine="0"/>
      <w:spacing w:after="57"/>
    </w:pPr>
  </w:style>
  <w:style w:type="paragraph" w:styleId="814">
    <w:name w:val="Normal (Web)"/>
    <w:basedOn w:val="785"/>
    <w:uiPriority w:val="99"/>
    <w:semiHidden/>
    <w:unhideWhenUsed/>
    <w:rPr>
      <w:sz w:val="24"/>
    </w:rPr>
  </w:style>
  <w:style w:type="paragraph" w:styleId="815">
    <w:name w:val="Title"/>
    <w:basedOn w:val="785"/>
    <w:next w:val="785"/>
    <w:link w:val="831"/>
    <w:uiPriority w:val="10"/>
    <w:qFormat/>
    <w:pPr>
      <w:contextualSpacing/>
      <w:spacing w:before="300" w:after="200"/>
    </w:pPr>
    <w:rPr>
      <w:sz w:val="48"/>
      <w:szCs w:val="48"/>
    </w:rPr>
  </w:style>
  <w:style w:type="table" w:styleId="81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7">
    <w:name w:val="endnote reference"/>
    <w:uiPriority w:val="99"/>
    <w:semiHidden/>
    <w:unhideWhenUsed/>
    <w:qFormat/>
    <w:rPr>
      <w:vertAlign w:val="superscript"/>
    </w:rPr>
  </w:style>
  <w:style w:type="character" w:styleId="818">
    <w:name w:val="Hyperlink"/>
    <w:uiPriority w:val="99"/>
    <w:unhideWhenUsed/>
    <w:qFormat/>
    <w:rPr>
      <w:color w:val="0000ff" w:themeColor="hyperlink"/>
      <w:u w:val="single"/>
      <w14:textFill>
        <w14:solidFill>
          <w14:schemeClr w14:val="hlink"/>
        </w14:solidFill>
      </w14:textFill>
    </w:rPr>
  </w:style>
  <w:style w:type="character" w:styleId="819">
    <w:name w:val="footnote reference"/>
    <w:uiPriority w:val="99"/>
    <w:unhideWhenUsed/>
    <w:qFormat/>
    <w:rPr>
      <w:vertAlign w:val="superscript"/>
    </w:rPr>
  </w:style>
  <w:style w:type="character" w:styleId="820" w:customStyle="1">
    <w:name w:val="Heading 1 Char"/>
    <w:link w:val="786"/>
    <w:uiPriority w:val="9"/>
    <w:qFormat/>
    <w:rPr>
      <w:rFonts w:ascii="Arial" w:hAnsi="Arial" w:eastAsia="Arial" w:cs="Arial"/>
      <w:sz w:val="40"/>
      <w:szCs w:val="40"/>
    </w:rPr>
  </w:style>
  <w:style w:type="character" w:styleId="821" w:customStyle="1">
    <w:name w:val="Heading 2 Char"/>
    <w:link w:val="787"/>
    <w:uiPriority w:val="9"/>
    <w:qFormat/>
    <w:rPr>
      <w:rFonts w:ascii="Arial" w:hAnsi="Arial" w:eastAsia="Arial" w:cs="Arial"/>
      <w:sz w:val="34"/>
    </w:rPr>
  </w:style>
  <w:style w:type="character" w:styleId="822" w:customStyle="1">
    <w:name w:val="Heading 3 Char"/>
    <w:link w:val="788"/>
    <w:uiPriority w:val="9"/>
    <w:qFormat/>
    <w:rPr>
      <w:rFonts w:ascii="Arial" w:hAnsi="Arial" w:eastAsia="Arial" w:cs="Arial"/>
      <w:sz w:val="30"/>
      <w:szCs w:val="30"/>
    </w:rPr>
  </w:style>
  <w:style w:type="character" w:styleId="823" w:customStyle="1">
    <w:name w:val="Heading 4 Char"/>
    <w:link w:val="789"/>
    <w:uiPriority w:val="9"/>
    <w:qFormat/>
    <w:rPr>
      <w:rFonts w:ascii="Arial" w:hAnsi="Arial" w:eastAsia="Arial" w:cs="Arial"/>
      <w:b/>
      <w:bCs/>
      <w:sz w:val="26"/>
      <w:szCs w:val="26"/>
    </w:rPr>
  </w:style>
  <w:style w:type="character" w:styleId="824" w:customStyle="1">
    <w:name w:val="Heading 5 Char"/>
    <w:link w:val="790"/>
    <w:uiPriority w:val="9"/>
    <w:qFormat/>
    <w:rPr>
      <w:rFonts w:ascii="Arial" w:hAnsi="Arial" w:eastAsia="Arial" w:cs="Arial"/>
      <w:b/>
      <w:bCs/>
      <w:sz w:val="24"/>
      <w:szCs w:val="24"/>
    </w:rPr>
  </w:style>
  <w:style w:type="character" w:styleId="825" w:customStyle="1">
    <w:name w:val="Heading 6 Char"/>
    <w:link w:val="791"/>
    <w:uiPriority w:val="9"/>
    <w:qFormat/>
    <w:rPr>
      <w:rFonts w:ascii="Arial" w:hAnsi="Arial" w:eastAsia="Arial" w:cs="Arial"/>
      <w:b/>
      <w:bCs/>
      <w:sz w:val="22"/>
      <w:szCs w:val="22"/>
    </w:rPr>
  </w:style>
  <w:style w:type="character" w:styleId="826" w:customStyle="1">
    <w:name w:val="Heading 7 Char"/>
    <w:link w:val="792"/>
    <w:uiPriority w:val="9"/>
    <w:qFormat/>
    <w:rPr>
      <w:rFonts w:ascii="Arial" w:hAnsi="Arial" w:eastAsia="Arial" w:cs="Arial"/>
      <w:b/>
      <w:bCs/>
      <w:i/>
      <w:iCs/>
      <w:sz w:val="22"/>
      <w:szCs w:val="22"/>
    </w:rPr>
  </w:style>
  <w:style w:type="character" w:styleId="827" w:customStyle="1">
    <w:name w:val="Heading 8 Char"/>
    <w:link w:val="793"/>
    <w:uiPriority w:val="9"/>
    <w:qFormat/>
    <w:rPr>
      <w:rFonts w:ascii="Arial" w:hAnsi="Arial" w:eastAsia="Arial" w:cs="Arial"/>
      <w:i/>
      <w:iCs/>
      <w:sz w:val="22"/>
      <w:szCs w:val="22"/>
    </w:rPr>
  </w:style>
  <w:style w:type="character" w:styleId="828" w:customStyle="1">
    <w:name w:val="Heading 9 Char"/>
    <w:link w:val="794"/>
    <w:uiPriority w:val="9"/>
    <w:qFormat/>
    <w:rPr>
      <w:rFonts w:ascii="Arial" w:hAnsi="Arial" w:eastAsia="Arial" w:cs="Arial"/>
      <w:i/>
      <w:iCs/>
      <w:sz w:val="21"/>
      <w:szCs w:val="21"/>
    </w:rPr>
  </w:style>
  <w:style w:type="paragraph" w:styleId="829">
    <w:name w:val="List Paragraph"/>
    <w:basedOn w:val="785"/>
    <w:uiPriority w:val="34"/>
    <w:qFormat/>
    <w:pPr>
      <w:contextualSpacing/>
      <w:ind w:left="720"/>
    </w:pPr>
  </w:style>
  <w:style w:type="paragraph" w:styleId="830">
    <w:name w:val="No Spacing"/>
    <w:uiPriority w:val="1"/>
    <w:qFormat/>
    <w:pPr>
      <w:spacing w:before="0" w:after="0" w:line="240" w:lineRule="auto"/>
    </w:pPr>
    <w:rPr>
      <w:rFonts w:hint="default" w:ascii="Times New Roman" w:hAnsi="Times New Roman" w:eastAsia="宋体" w:cs="Times New Roman"/>
    </w:rPr>
  </w:style>
  <w:style w:type="character" w:styleId="831" w:customStyle="1">
    <w:name w:val="Title Char"/>
    <w:link w:val="815"/>
    <w:uiPriority w:val="10"/>
    <w:qFormat/>
    <w:rPr>
      <w:sz w:val="48"/>
      <w:szCs w:val="48"/>
    </w:rPr>
  </w:style>
  <w:style w:type="character" w:styleId="832" w:customStyle="1">
    <w:name w:val="Subtitle Char"/>
    <w:link w:val="808"/>
    <w:uiPriority w:val="11"/>
    <w:qFormat/>
    <w:rPr>
      <w:sz w:val="24"/>
      <w:szCs w:val="24"/>
    </w:rPr>
  </w:style>
  <w:style w:type="paragraph" w:styleId="833">
    <w:name w:val="Quote"/>
    <w:basedOn w:val="785"/>
    <w:next w:val="785"/>
    <w:link w:val="834"/>
    <w:uiPriority w:val="29"/>
    <w:qFormat/>
    <w:pPr>
      <w:ind w:left="720" w:right="720"/>
    </w:pPr>
    <w:rPr>
      <w:i/>
    </w:rPr>
  </w:style>
  <w:style w:type="character" w:styleId="834" w:customStyle="1">
    <w:name w:val="Quote Char"/>
    <w:link w:val="833"/>
    <w:uiPriority w:val="29"/>
    <w:qFormat/>
    <w:rPr>
      <w:i/>
    </w:rPr>
  </w:style>
  <w:style w:type="paragraph" w:styleId="835">
    <w:name w:val="Intense Quote"/>
    <w:basedOn w:val="785"/>
    <w:next w:val="785"/>
    <w:link w:val="8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6" w:customStyle="1">
    <w:name w:val="Intense Quote Char"/>
    <w:link w:val="835"/>
    <w:uiPriority w:val="30"/>
    <w:qFormat/>
    <w:rPr>
      <w:i/>
    </w:rPr>
  </w:style>
  <w:style w:type="character" w:styleId="837" w:customStyle="1">
    <w:name w:val="Header Char"/>
    <w:link w:val="805"/>
    <w:uiPriority w:val="99"/>
    <w:qFormat/>
  </w:style>
  <w:style w:type="character" w:styleId="838" w:customStyle="1">
    <w:name w:val="Footer Char"/>
    <w:link w:val="804"/>
    <w:uiPriority w:val="99"/>
    <w:qFormat/>
  </w:style>
  <w:style w:type="character" w:styleId="839" w:customStyle="1">
    <w:name w:val="Caption Char"/>
    <w:link w:val="804"/>
    <w:uiPriority w:val="99"/>
    <w:qFormat/>
  </w:style>
  <w:style w:type="table" w:styleId="84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5" w:customStyle="1">
    <w:name w:val="Footnote Text Char"/>
    <w:link w:val="809"/>
    <w:uiPriority w:val="99"/>
    <w:qFormat/>
    <w:rPr>
      <w:sz w:val="18"/>
    </w:rPr>
  </w:style>
  <w:style w:type="character" w:styleId="966" w:customStyle="1">
    <w:name w:val="Endnote Text Char"/>
    <w:link w:val="803"/>
    <w:uiPriority w:val="99"/>
    <w:qFormat/>
    <w:rPr>
      <w:sz w:val="20"/>
    </w:rPr>
  </w:style>
  <w:style w:type="paragraph" w:styleId="967" w:customStyle="1">
    <w:name w:val="TOC Heading"/>
    <w:uiPriority w:val="39"/>
    <w:unhideWhenUsed/>
    <w:qFormat/>
    <w:rPr>
      <w:rFonts w:hint="default" w:ascii="Times New Roman" w:hAnsi="Times New Roman" w:eastAsia="宋体" w:cs="Times New Roman"/>
    </w:rPr>
  </w:style>
  <w:style w:type="character" w:styleId="968" w:customStyle="1">
    <w:name w:val="默认段落字体1"/>
    <w:link w:val="785"/>
    <w:uiPriority w:val="0"/>
    <w:semiHidden/>
    <w:qFormat/>
  </w:style>
  <w:style w:type="table" w:styleId="969" w:customStyle="1">
    <w:name w:val="普通表格1"/>
    <w:uiPriority w:val="0"/>
    <w:semiHidden/>
    <w:qFormat/>
    <w:tblPr/>
  </w:style>
  <w:style w:type="table" w:styleId="970" w:customStyle="1">
    <w:name w:val="网格型1"/>
    <w:uiPriority w:val="0"/>
    <w:qFormat/>
    <w:pPr>
      <w:jc w:val="both"/>
      <w:widowControl w:val="off"/>
    </w:pPr>
    <w:rPr>
      <w:rFonts w:ascii="Times New Roman" w:hAnsi="Times New Roman" w:eastAsia="宋体" w:cs="Times New Roman"/>
      <w:sz w:val="20"/>
      <w:szCs w:val="20"/>
    </w:rPr>
    <w:tblPr/>
  </w:style>
  <w:style w:type="table" w:styleId="971" w:customStyle="1">
    <w:name w:val="网格型_0"/>
    <w:uiPriority w:val="0"/>
    <w:qFormat/>
    <w:rPr>
      <w:rFonts w:ascii="Calibri" w:hAnsi="Calibri"/>
    </w:rPr>
    <w:tblPr/>
  </w:style>
  <w:style w:type="numbering" w:styleId="9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inkml:ink xmlns:inkml="http://www.w3.org/2003/InkML">
  <inkml:definitions>
    <inkml:context xml:id="ctx0">
      <inkml:inkSource xml:id="inkSrc0">
        <inkml:traceFormat>
          <inkml:channel name="X" type="integer" units="cm"/>
          <inkml:channel name="Y" type="integer" units="cm"/>
          <inkml:channel name="F" type="integer" max="1023" units="dev"/>
        </inkml:traceFormat>
        <inkml:channelProperties>
          <inkml:channelProperty channel="X" name="resolution" value="28.3464566929134" units="1/cm"/>
          <inkml:channelProperty channel="Y" name="resolution" value="28.3464566929134" units="1/cm"/>
          <inkml:channelProperty channel="F" name="resolution" value="0" units="1/dev"/>
        </inkml:channelProperties>
      </inkml:inkSource>
      <inkml:timestamp xml:id="ts0" timeString="2026-06-08T14:49:16"/>
    </inkml:context>
    <inkml:brush xml:id="br0">
      <inkml:brushProperty name="width" value="0.0529194456206428" units="cm"/>
      <inkml:brushProperty name="height" value="0.0529194456206428" units="cm"/>
      <inkml:brushProperty name="color" value="#f80600"/>
      <inkml:brushProperty name="ignorePressure" value="0"/>
    </inkml:brush>
  </inkml:definitions>
  <inkml:trace contextRef="#ctx0" brushRef="#br0">14877.000 123761.000 767</inkml:trace>
</inkml:ink>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1977F7D-205B-4081-913C-38D41E755F92}"/>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陆雯</cp:lastModifiedBy>
  <cp:revision>12</cp:revision>
  <dcterms:created xsi:type="dcterms:W3CDTF">2022-03-11T07:34:00Z</dcterms:created>
  <dcterms:modified xsi:type="dcterms:W3CDTF">2026-07-08T10:03:54Z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eyJoZGlkIjoiZTZlYWNlNTI3MTQ4ODEwOTQ5MzQ1NzFjYmNjMzcyOGIiLCJ1c2VySWQiOiI4NjU0MDA3MTAifQ==</vt:lpwstr>
  </property>
  <property fmtid="{D5CDD505-2E9C-101B-9397-08002B2CF9AE}" pid="3" name="KSOProductBuildVer">
    <vt:lpwstr>2052-12.1.0.26895</vt:lpwstr>
  </property>
  <property fmtid="{D5CDD505-2E9C-101B-9397-08002B2CF9AE}" pid="4" name="ICV">
    <vt:lpwstr>7E5227301146468BAC0A0430B73C8911_13</vt:lpwstr>
  </property>
</Properties>
</file>