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2026天目湖马拉松</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 xml:space="preserve">JSZC-320481-LTZB-G2026-0024</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溧阳市文体广电和旅游局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85"/>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8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209"/>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8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209"/>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8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209"/>
          <w:rFonts w:ascii="Times New Roman" w:hAnsi="Times New Roman"/>
          <w:color w:val="000000"/>
          <w:highlight w:val="none"/>
        </w:rPr>
        <w:t xml:space="preserve">第三章   资</w:t>
      </w:r>
      <w:bookmarkStart w:id="1" w:name="_Hlt100754117"/>
      <w:r>
        <w:rPr>
          <w:rStyle w:val="1209"/>
          <w:rFonts w:ascii="Times New Roman" w:hAnsi="Times New Roman"/>
          <w:color w:val="000000"/>
          <w:highlight w:val="none"/>
        </w:rPr>
        <w:t xml:space="preserve">格</w:t>
      </w:r>
      <w:bookmarkEnd w:id="1"/>
      <w:r>
        <w:rPr>
          <w:rStyle w:val="1209"/>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20</w:t>
      </w:r>
      <w:r>
        <w:rPr>
          <w:rFonts w:ascii="Times New Roman" w:hAnsi="Times New Roman"/>
          <w:highlight w:val="none"/>
        </w:rPr>
        <w:fldChar w:fldCharType="end"/>
      </w:r>
      <w:r>
        <w:rPr>
          <w:rFonts w:ascii="Times New Roman" w:hAnsi="Times New Roman"/>
          <w:highlight w:val="none"/>
        </w:rPr>
        <w:fldChar w:fldCharType="end"/>
      </w:r>
      <w:r/>
    </w:p>
    <w:p>
      <w:pPr>
        <w:pStyle w:val="118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209"/>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p>
    <w:p>
      <w:pPr>
        <w:pStyle w:val="118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209"/>
          <w:rFonts w:ascii="Times New Roman" w:hAnsi="Times New Roman"/>
          <w:color w:val="000000"/>
          <w:highlight w:val="none"/>
        </w:rPr>
        <w:t xml:space="preserve">第五章   采购</w:t>
      </w:r>
      <w:bookmarkStart w:id="2" w:name="_Hlt100754103"/>
      <w:r/>
      <w:bookmarkStart w:id="3" w:name="_Hlt100754102"/>
      <w:r>
        <w:rPr>
          <w:rStyle w:val="1209"/>
          <w:rFonts w:ascii="Times New Roman" w:hAnsi="Times New Roman"/>
          <w:color w:val="000000"/>
          <w:highlight w:val="none"/>
        </w:rPr>
        <w:t xml:space="preserve">需</w:t>
      </w:r>
      <w:bookmarkEnd w:id="2"/>
      <w:r/>
      <w:bookmarkEnd w:id="3"/>
      <w:r>
        <w:rPr>
          <w:rStyle w:val="1209"/>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36</w:t>
      </w:r>
      <w:r>
        <w:rPr>
          <w:rFonts w:ascii="Times New Roman" w:hAnsi="Times New Roman"/>
          <w:highlight w:val="none"/>
        </w:rPr>
        <w:fldChar w:fldCharType="end"/>
      </w:r>
      <w:r>
        <w:rPr>
          <w:rFonts w:ascii="Times New Roman" w:hAnsi="Times New Roman"/>
          <w:highlight w:val="none"/>
        </w:rPr>
        <w:fldChar w:fldCharType="end"/>
      </w:r>
      <w:r/>
    </w:p>
    <w:p>
      <w:pPr>
        <w:pStyle w:val="1185"/>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209"/>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85"/>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209"/>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85"/>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color w:val="auto"/>
          <w:sz w:val="36"/>
          <w:szCs w:val="36"/>
          <w:highlight w:val="none"/>
        </w:rPr>
        <w:outlineLvl w:val="0"/>
      </w:pPr>
      <w:r>
        <w:rPr>
          <w:b/>
          <w:color w:val="auto"/>
          <w:sz w:val="36"/>
          <w:szCs w:val="36"/>
          <w:highlight w:val="none"/>
        </w:rPr>
        <w:t xml:space="preserve">第一章   投标邀请</w:t>
      </w:r>
      <w:bookmarkEnd w:id="4"/>
      <w:r/>
      <w:r/>
    </w:p>
    <w:p>
      <w:pPr>
        <w:pStyle w:val="1132"/>
        <w:ind w:left="0"/>
        <w:jc w:val="left"/>
        <w:pageBreakBefore w:val="0"/>
        <w:spacing w:before="0" w:line="360" w:lineRule="auto"/>
        <w:widowControl w:val="off"/>
        <w:rPr>
          <w:rFonts w:ascii="Times New Roman" w:hAnsi="Times New Roman" w:eastAsia="宋体"/>
          <w:color w:val="auto"/>
          <w:sz w:val="24"/>
          <w:szCs w:val="24"/>
          <w:highlight w:val="none"/>
        </w:rPr>
      </w:pPr>
      <w:r/>
      <w:bookmarkStart w:id="5" w:name="_Toc35393621"/>
      <w:r/>
      <w:bookmarkStart w:id="6" w:name="_Toc35393790"/>
      <w:r/>
      <w:bookmarkStart w:id="7" w:name="_Toc28359002"/>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u w:val="single"/>
          <w:lang w:val="en-US" w:eastAsia="zh-CN"/>
        </w:rPr>
        <w:t xml:space="preserve">JSZC-320481-LTZB-G2026-0024</w:t>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2.项目名称：</w:t>
      </w:r>
      <w:r>
        <w:rPr>
          <w:rFonts w:hint="eastAsia"/>
          <w:color w:val="auto"/>
          <w:sz w:val="24"/>
          <w:highlight w:val="none"/>
          <w:u w:val="single"/>
          <w:lang w:val="en-US" w:eastAsia="zh-CN"/>
        </w:rPr>
        <w:t xml:space="preserve"> 2026天目湖马拉松 </w:t>
      </w:r>
      <w:bookmarkEnd w:id="9"/>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3.</w:t>
      </w:r>
      <w:r>
        <w:rPr>
          <w:rFonts w:hint="eastAsia"/>
          <w:color w:val="auto"/>
          <w:sz w:val="24"/>
          <w:highlight w:val="none"/>
        </w:rPr>
        <w:t xml:space="preserve">项目预算金额：</w:t>
      </w:r>
      <w:r>
        <w:rPr>
          <w:rFonts w:hint="eastAsia"/>
          <w:color w:val="auto"/>
          <w:sz w:val="24"/>
          <w:highlight w:val="none"/>
          <w:u w:val="single"/>
          <w:lang w:val="en-US" w:eastAsia="zh-CN"/>
        </w:rPr>
        <w:t xml:space="preserve">430万元</w:t>
      </w:r>
      <w:r>
        <w:rPr>
          <w:rFonts w:hint="eastAsia"/>
          <w:color w:val="auto"/>
          <w:sz w:val="24"/>
          <w:highlight w:val="none"/>
          <w:u w:val="none"/>
          <w:lang w:val="en-US" w:eastAsia="zh-CN"/>
        </w:rPr>
        <w:t xml:space="preserve">；</w:t>
      </w:r>
      <w:r>
        <w:rPr>
          <w:rFonts w:hint="eastAsia"/>
          <w:color w:val="auto"/>
          <w:sz w:val="24"/>
          <w:highlight w:val="none"/>
        </w:rPr>
        <w:t xml:space="preserve">项目最高限价：</w:t>
      </w:r>
      <w:r>
        <w:rPr>
          <w:rFonts w:hint="eastAsia"/>
          <w:color w:val="auto"/>
          <w:sz w:val="24"/>
          <w:highlight w:val="none"/>
          <w:u w:val="single"/>
          <w:lang w:val="en-US" w:eastAsia="zh-CN"/>
        </w:rPr>
        <w:t xml:space="preserve">425万元</w:t>
      </w:r>
      <w:r/>
    </w:p>
    <w:p>
      <w:pPr>
        <w:ind w:left="0" w:firstLine="480"/>
        <w:pageBreakBefore w:val="0"/>
        <w:spacing w:line="360" w:lineRule="auto"/>
        <w:widowControl w:val="off"/>
        <w:rPr>
          <w:color w:val="auto"/>
          <w:sz w:val="24"/>
          <w:highlight w:val="none"/>
        </w:rPr>
      </w:pPr>
      <w:r>
        <w:rPr>
          <w:color w:val="auto"/>
          <w:sz w:val="24"/>
          <w:highlight w:val="none"/>
        </w:rPr>
        <w:t xml:space="preserve">4.采购需求：</w:t>
      </w:r>
      <w:r/>
    </w:p>
    <w:tbl>
      <w:tblPr>
        <w:tblStyle w:val="953"/>
        <w:tblW w:w="52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3"/>
        <w:gridCol w:w="2893"/>
        <w:gridCol w:w="1826"/>
        <w:gridCol w:w="754"/>
        <w:gridCol w:w="3366"/>
      </w:tblGrid>
      <w:tr>
        <w:trPr>
          <w:jc w:val="center"/>
          <w:trHeight w:val="297"/>
        </w:trPr>
        <w:tc>
          <w:tcPr>
            <w:tcW w:w="713"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包号</w:t>
            </w:r>
            <w:r/>
          </w:p>
        </w:tc>
        <w:tc>
          <w:tcPr>
            <w:tcW w:w="2890"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标的名称</w:t>
            </w:r>
            <w:r/>
          </w:p>
        </w:tc>
        <w:tc>
          <w:tcPr>
            <w:tcW w:w="1824"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采购包预算金额（万元）</w:t>
            </w:r>
            <w:r/>
          </w:p>
        </w:tc>
        <w:tc>
          <w:tcPr>
            <w:tcW w:w="753" w:type="dxa"/>
            <w:vAlign w:val="top"/>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数量</w:t>
            </w:r>
            <w:r/>
          </w:p>
        </w:tc>
        <w:tc>
          <w:tcPr>
            <w:tcW w:w="3362"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297"/>
        </w:trPr>
        <w:tc>
          <w:tcPr>
            <w:tcW w:w="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rPr>
              <w:t xml:space="preserve">01</w:t>
            </w:r>
            <w:r/>
          </w:p>
        </w:tc>
        <w:tc>
          <w:tcPr>
            <w:tcW w:w="28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2026天目湖马拉松</w:t>
            </w:r>
            <w:r/>
          </w:p>
        </w:tc>
        <w:tc>
          <w:tcPr>
            <w:tcW w:w="1824" w:type="dxa"/>
            <w:vAlign w:val="center"/>
            <w:textDirection w:val="lrTb"/>
            <w:noWrap w:val="false"/>
          </w:tcPr>
          <w:p>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430</w:t>
            </w:r>
            <w:r/>
          </w:p>
        </w:tc>
        <w:tc>
          <w:tcPr>
            <w:tcW w:w="753" w:type="dxa"/>
            <w:vAlign w:val="center"/>
            <w:textDirection w:val="lrTb"/>
            <w:noWrap w:val="false"/>
          </w:tcPr>
          <w:p>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w:t>
            </w:r>
            <w:r/>
          </w:p>
        </w:tc>
        <w:tc>
          <w:tcPr>
            <w:tcW w:w="3362"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2026天目湖马拉松赛事执行工作，包括负责赛事总体策划、赛事认证、赛事报名、竞赛组织、宣传推广、赛事安保、医疗救援、赛事志愿者、后勤保障、赛道及场地布置、市场开发、应急预案等工作</w:t>
            </w:r>
            <w:r>
              <w:rPr>
                <w:rFonts w:hint="eastAsia" w:ascii="宋体" w:hAnsi="宋体" w:cs="宋体"/>
                <w:color w:val="auto"/>
                <w:sz w:val="24"/>
                <w:szCs w:val="24"/>
                <w:highlight w:val="none"/>
                <w:lang w:eastAsia="zh-CN"/>
              </w:rPr>
              <w:t xml:space="preserve">。</w:t>
            </w:r>
            <w:r/>
          </w:p>
        </w:tc>
      </w:tr>
    </w:tbl>
    <w:p>
      <w:pPr>
        <w:ind w:firstLine="480"/>
        <w:pageBreakBefore w:val="0"/>
        <w:spacing w:line="360" w:lineRule="auto"/>
        <w:widowControl w:val="off"/>
        <w:rPr>
          <w:rFonts w:hint="default" w:ascii="Times New Roman" w:hAnsi="Times New Roman" w:eastAsia="宋体" w:cs="Times New Roman"/>
          <w:color w:val="auto"/>
          <w:sz w:val="24"/>
          <w:highlight w:val="none"/>
          <w:u w:val="single"/>
          <w:lang w:val="en-US" w:eastAsia="zh-CN"/>
        </w:rPr>
      </w:pPr>
      <w:r>
        <w:rPr>
          <w:rFonts w:hint="eastAsia"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lang w:eastAsia="zh-CN"/>
        </w:rPr>
        <w:t xml:space="preserve">合同履行期限：</w:t>
      </w:r>
      <w:r>
        <w:rPr>
          <w:rFonts w:hint="eastAsia" w:cs="Times New Roman"/>
          <w:color w:val="auto"/>
          <w:sz w:val="24"/>
          <w:highlight w:val="none"/>
          <w:u w:val="single"/>
          <w:lang w:val="en-US" w:eastAsia="zh-CN"/>
        </w:rPr>
        <w:t xml:space="preserve">自本合同签署生效之日起至中标单位所承担的赛事全部工作结束止。</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6.本项目是否接受联合体投标：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7.本项目是否接受进口产品投标：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pStyle w:val="1132"/>
        <w:ind w:left="0"/>
        <w:jc w:val="left"/>
        <w:pageBreakBefore w:val="0"/>
        <w:spacing w:before="0" w:line="360" w:lineRule="auto"/>
        <w:widowControl w:val="off"/>
        <w:rPr>
          <w:rFonts w:ascii="Times New Roman" w:hAnsi="Times New Roman" w:eastAsia="宋体"/>
          <w:color w:val="auto"/>
          <w:sz w:val="24"/>
          <w:szCs w:val="24"/>
          <w:highlight w:val="none"/>
        </w:rPr>
      </w:pPr>
      <w:r/>
      <w:bookmarkStart w:id="10" w:name="_Toc28359003"/>
      <w:r/>
      <w:bookmarkStart w:id="11" w:name="_Toc35393622"/>
      <w:r/>
      <w:bookmarkStart w:id="12" w:name="_Toc35393791"/>
      <w:r/>
      <w:bookmarkStart w:id="13" w:name="_Toc28359080"/>
      <w:r>
        <w:rPr>
          <w:rFonts w:ascii="Times New Roman" w:hAnsi="Times New Roman" w:eastAsia="宋体"/>
          <w:color w:val="auto"/>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color w:val="auto"/>
          <w:sz w:val="24"/>
          <w:highlight w:val="none"/>
        </w:rPr>
      </w:pPr>
      <w:r/>
      <w:bookmarkStart w:id="14" w:name="_Toc28359004"/>
      <w:r/>
      <w:bookmarkStart w:id="15" w:name="_Toc28359081"/>
      <w:r>
        <w:rPr>
          <w:color w:val="auto"/>
          <w:sz w:val="24"/>
          <w:highlight w:val="none"/>
        </w:rPr>
        <w:t xml:space="preserve">2.落实政府采购政策需满足的资格要求：</w:t>
      </w:r>
      <w:r/>
    </w:p>
    <w:p>
      <w:pPr>
        <w:ind w:left="0" w:firstLine="480"/>
        <w:pageBreakBefore w:val="0"/>
        <w:spacing w:line="360" w:lineRule="auto"/>
        <w:widowControl w:val="off"/>
        <w:rPr>
          <w:color w:val="auto"/>
          <w:sz w:val="24"/>
          <w:highlight w:val="none"/>
        </w:rPr>
      </w:pPr>
      <w:r>
        <w:rPr>
          <w:color w:val="auto"/>
          <w:sz w:val="24"/>
          <w:highlight w:val="none"/>
        </w:rPr>
        <w:t xml:space="preserve">2.1 中小企业政策</w:t>
      </w:r>
      <w:r/>
    </w:p>
    <w:p>
      <w:pPr>
        <w:ind w:left="0" w:firstLine="480"/>
        <w:pageBreakBefore w:val="0"/>
        <w:spacing w:line="360" w:lineRule="auto"/>
        <w:widowControl w:val="off"/>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本项目不专门面向中小企业预留采购份额。</w:t>
      </w:r>
      <w:r/>
    </w:p>
    <w:p>
      <w:pPr>
        <w:ind w:left="0" w:firstLine="480"/>
        <w:pageBreakBefore w:val="0"/>
        <w:spacing w:line="360" w:lineRule="auto"/>
        <w:widowControl w:val="off"/>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 xml:space="preserve">□</w:t>
      </w:r>
      <w:r>
        <w:rPr>
          <w:color w:val="auto"/>
          <w:sz w:val="24"/>
          <w:highlight w:val="none"/>
        </w:rPr>
        <w:t xml:space="preserve">中小 </w:t>
      </w:r>
      <w:r>
        <w:rPr>
          <w:rFonts w:hint="eastAsia"/>
          <w:color w:val="auto"/>
          <w:sz w:val="24"/>
          <w:highlight w:val="none"/>
          <w:lang w:eastAsia="zh-CN"/>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color w:val="auto"/>
          <w:sz w:val="24"/>
          <w:highlight w:val="none"/>
        </w:rPr>
      </w:pPr>
      <w:r>
        <w:rPr>
          <w:rFonts w:hint="eastAsia" w:eastAsia="宋体"/>
          <w:b w:val="0"/>
          <w:bCs w:val="0"/>
          <w:color w:val="auto"/>
          <w:sz w:val="24"/>
          <w:highlight w:val="none"/>
          <w:lang w:eastAsia="zh-CN"/>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2.2 </w:t>
      </w:r>
      <w:r>
        <w:rPr>
          <w:rFonts w:hint="eastAsia"/>
          <w:color w:val="auto"/>
          <w:sz w:val="24"/>
          <w:highlight w:val="none"/>
        </w:rPr>
        <w:t xml:space="preserve">其他</w:t>
      </w:r>
      <w:r>
        <w:rPr>
          <w:color w:val="auto"/>
          <w:sz w:val="24"/>
          <w:highlight w:val="none"/>
        </w:rPr>
        <w:t xml:space="preserve">落实政府采购政策的资格要求（如有）：</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i/>
          <w:iCs/>
          <w:color w:val="auto"/>
          <w:sz w:val="24"/>
          <w:highlight w:val="none"/>
          <w:u w:val="single"/>
        </w:rPr>
      </w:pPr>
      <w:r>
        <w:rPr>
          <w:color w:val="auto"/>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b w:val="0"/>
          <w:bCs w:val="0"/>
          <w:color w:val="auto"/>
          <w:sz w:val="24"/>
          <w:highlight w:val="none"/>
        </w:rPr>
        <w:t xml:space="preserve">3.1本项目是否接受分支机构参与投标：</w:t>
      </w:r>
      <w:r>
        <w:rPr>
          <w:rFonts w:hint="eastAsia" w:eastAsia="宋体"/>
          <w:b w:val="0"/>
          <w:bCs w:val="0"/>
          <w:color w:val="auto"/>
          <w:sz w:val="24"/>
          <w:highlight w:val="none"/>
          <w:lang w:eastAsia="zh-CN"/>
        </w:rPr>
        <w:t xml:space="preserve">□</w:t>
      </w:r>
      <w:r>
        <w:rPr>
          <w:b w:val="0"/>
          <w:bCs w:val="0"/>
          <w:color w:val="auto"/>
          <w:sz w:val="24"/>
          <w:highlight w:val="none"/>
        </w:rPr>
        <w:t xml:space="preserve">是   </w:t>
      </w:r>
      <w:r>
        <w:rPr>
          <w:rFonts w:hint="eastAsia"/>
          <w:b w:val="0"/>
          <w:bCs w:val="0"/>
          <w:color w:val="auto"/>
          <w:sz w:val="24"/>
          <w:highlight w:val="none"/>
          <w:lang w:eastAsia="zh-CN"/>
        </w:rPr>
        <w:t xml:space="preserve">☑</w:t>
      </w:r>
      <w:r>
        <w:rPr>
          <w:b w:val="0"/>
          <w:bCs w:val="0"/>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color w:val="auto"/>
          <w:sz w:val="24"/>
          <w:highlight w:val="none"/>
          <w:u w:val="single"/>
          <w:lang w:val="en-US" w:eastAsia="zh-CN"/>
        </w:rPr>
      </w:pPr>
      <w:r>
        <w:rPr>
          <w:b w:val="0"/>
          <w:bCs w:val="0"/>
          <w:color w:val="auto"/>
          <w:sz w:val="24"/>
          <w:highlight w:val="none"/>
        </w:rPr>
        <w:t xml:space="preserve">3.3其他特定资格要求：</w:t>
      </w:r>
      <w:r>
        <w:rPr>
          <w:rFonts w:hint="eastAsia"/>
          <w:b w:val="0"/>
          <w:bCs w:val="0"/>
          <w:color w:val="auto"/>
          <w:sz w:val="24"/>
          <w:highlight w:val="none"/>
          <w:u w:val="single"/>
          <w:lang w:val="en-US" w:eastAsia="zh-CN"/>
        </w:rPr>
        <w:t xml:space="preserve"> </w:t>
      </w:r>
      <w:r>
        <w:rPr>
          <w:rFonts w:hint="eastAsia" w:eastAsia="宋体"/>
          <w:sz w:val="24"/>
          <w:highlight w:val="none"/>
          <w:u w:val="single"/>
          <w:lang w:val="en-US" w:eastAsia="zh-CN"/>
        </w:rPr>
        <w:t xml:space="preserve">   /    </w:t>
      </w:r>
      <w:r>
        <w:rPr>
          <w:rFonts w:hint="eastAsia"/>
          <w:b w:val="0"/>
          <w:bCs w:val="0"/>
          <w:color w:val="auto"/>
          <w:sz w:val="24"/>
          <w:highlight w:val="none"/>
          <w:lang w:eastAsia="zh-CN"/>
        </w:rPr>
        <w:t xml:space="preserve">。</w:t>
      </w:r>
      <w:bookmarkEnd w:id="14"/>
      <w:r/>
      <w:bookmarkEnd w:id="15"/>
      <w:r/>
      <w:r/>
    </w:p>
    <w:p>
      <w:pPr>
        <w:pStyle w:val="1132"/>
        <w:jc w:val="left"/>
        <w:spacing w:before="0" w:line="360" w:lineRule="auto"/>
        <w:widowControl/>
        <w:rPr>
          <w:rFonts w:ascii="Times New Roman" w:hAnsi="Times New Roman" w:eastAsia="宋体"/>
          <w:color w:val="auto"/>
          <w:sz w:val="24"/>
          <w:szCs w:val="24"/>
          <w:highlight w:val="none"/>
        </w:rPr>
      </w:pPr>
      <w:r/>
      <w:bookmarkStart w:id="16" w:name="_Toc35393623"/>
      <w:r/>
      <w:bookmarkStart w:id="17" w:name="_Toc35393792"/>
      <w:r>
        <w:rPr>
          <w:rFonts w:ascii="Times New Roman" w:hAnsi="Times New Roman" w:eastAsia="宋体"/>
          <w:color w:val="auto"/>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 xml:space="preserve">2.地点：政府采购一体化平台“苏采云”</w:t>
      </w:r>
      <w:r/>
    </w:p>
    <w:p>
      <w:pPr>
        <w:ind w:firstLine="480"/>
        <w:jc w:val="left"/>
        <w:spacing w:line="360" w:lineRule="auto"/>
        <w:widowControl/>
        <w:rPr>
          <w:color w:val="auto"/>
          <w:sz w:val="24"/>
          <w:highlight w:val="none"/>
          <w:lang w:bidi="ar"/>
        </w:rPr>
      </w:pPr>
      <w:r>
        <w:rPr>
          <w:color w:val="auto"/>
          <w:sz w:val="24"/>
          <w:highlight w:val="none"/>
          <w:lang w:bidi="ar"/>
        </w:rPr>
        <w:t xml:space="preserve">3.方式：</w:t>
      </w:r>
      <w:r>
        <w:rPr>
          <w:rFonts w:hint="eastAsia"/>
          <w:color w:val="auto"/>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pStyle w:val="1132"/>
        <w:jc w:val="left"/>
        <w:spacing w:before="0" w:line="360" w:lineRule="auto"/>
        <w:widowControl/>
        <w:rPr>
          <w:rFonts w:ascii="Times New Roman" w:hAnsi="Times New Roman" w:eastAsia="宋体"/>
          <w:color w:val="auto"/>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u w:val="single"/>
          <w:lang w:val="en-US" w:eastAsia="zh-CN"/>
        </w:rPr>
        <w:t xml:space="preserve">2026年07月28日14点00分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 xml:space="preserve">。</w:t>
      </w:r>
      <w:r/>
    </w:p>
    <w:p>
      <w:pPr>
        <w:pStyle w:val="1132"/>
        <w:jc w:val="left"/>
        <w:spacing w:before="0" w:line="360" w:lineRule="auto"/>
        <w:rPr>
          <w:rFonts w:ascii="Times New Roman" w:hAnsi="Times New Roman" w:eastAsia="宋体"/>
          <w:color w:val="auto"/>
          <w:sz w:val="24"/>
          <w:szCs w:val="24"/>
          <w:highlight w:val="none"/>
        </w:rPr>
      </w:pPr>
      <w:r/>
      <w:bookmarkStart w:id="22" w:name="_Toc35393794"/>
      <w:r/>
      <w:bookmarkStart w:id="23" w:name="_Toc35393625"/>
      <w:r/>
      <w:bookmarkStart w:id="24" w:name="_Toc28359007"/>
      <w:r/>
      <w:bookmarkStart w:id="25" w:name="_Toc28359084"/>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132"/>
        <w:jc w:val="left"/>
        <w:spacing w:before="0" w:line="360" w:lineRule="auto"/>
        <w:rPr>
          <w:rFonts w:ascii="Times New Roman" w:hAnsi="Times New Roman" w:eastAsia="宋体"/>
          <w:color w:val="auto"/>
          <w:sz w:val="24"/>
          <w:szCs w:val="24"/>
          <w:highlight w:val="none"/>
        </w:rPr>
      </w:pPr>
      <w:r/>
      <w:bookmarkStart w:id="26" w:name="_Toc35393626"/>
      <w:r/>
      <w:bookmarkStart w:id="27" w:name="_Toc35393795"/>
      <w:r>
        <w:rPr>
          <w:rFonts w:ascii="Times New Roman" w:hAnsi="Times New Roman" w:eastAsia="宋体"/>
          <w:color w:val="auto"/>
          <w:sz w:val="24"/>
          <w:szCs w:val="24"/>
          <w:highlight w:val="none"/>
        </w:rPr>
        <w:t xml:space="preserve">六、其他补充事宜</w:t>
      </w:r>
      <w:bookmarkEnd w:id="26"/>
      <w:r/>
      <w:bookmarkEnd w:id="27"/>
      <w:r/>
      <w:r/>
    </w:p>
    <w:p>
      <w:pPr>
        <w:ind w:firstLine="480"/>
        <w:jc w:val="left"/>
        <w:spacing w:line="360" w:lineRule="auto"/>
        <w:rPr>
          <w:rFonts w:hint="eastAsia"/>
          <w:color w:val="auto"/>
          <w:sz w:val="24"/>
          <w:highlight w:val="none"/>
          <w:lang w:bidi="ar"/>
        </w:rPr>
      </w:pPr>
      <w:r>
        <w:rPr>
          <w:color w:val="auto"/>
          <w:sz w:val="24"/>
          <w:highlight w:val="none"/>
        </w:rPr>
        <w:t xml:space="preserve">1.本项目需要落实的政府采购政策：</w:t>
      </w:r>
      <w:r>
        <w:rPr>
          <w:rFonts w:hint="eastAsia"/>
          <w:color w:val="auto"/>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2.1办理CA认证证书</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2.2注册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2.3控件、客户端下载</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2.4 获取电子招标文件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2.5编制电子投标文件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.6</w:t>
      </w:r>
      <w:r>
        <w:rPr>
          <w:rFonts w:hint="eastAsia" w:ascii="宋体" w:hAnsi="宋体" w:eastAsia="宋体" w:cs="宋体"/>
          <w:b w:val="0"/>
          <w:bCs/>
          <w:color w:val="auto"/>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7</w:t>
      </w:r>
      <w:r>
        <w:rPr>
          <w:rFonts w:hint="eastAsia" w:ascii="宋体" w:hAnsi="宋体" w:eastAsia="宋体" w:cs="宋体"/>
          <w:b w:val="0"/>
          <w:bCs/>
          <w:color w:val="auto"/>
          <w:sz w:val="24"/>
          <w:highlight w:val="none"/>
          <w:lang w:val="zh-TW" w:bidi="ar"/>
        </w:rPr>
        <w:t xml:space="preserve">电子开标</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投标人使用</w:t>
      </w:r>
      <w:r>
        <w:rPr>
          <w:rFonts w:hint="eastAsia" w:ascii="宋体" w:hAnsi="宋体" w:eastAsia="宋体" w:cs="宋体"/>
          <w:b w:val="0"/>
          <w:bCs/>
          <w:color w:val="auto"/>
          <w:sz w:val="24"/>
          <w:highlight w:val="none"/>
          <w:lang w:bidi="ar"/>
        </w:rPr>
        <w:t xml:space="preserve">CA认证证书</w:t>
      </w:r>
      <w:r>
        <w:rPr>
          <w:rFonts w:hint="eastAsia" w:ascii="宋体" w:hAnsi="宋体" w:eastAsia="宋体" w:cs="宋体"/>
          <w:b w:val="0"/>
          <w:bCs/>
          <w:color w:val="auto"/>
          <w:sz w:val="24"/>
          <w:highlight w:val="none"/>
          <w:lang w:val="zh-TW" w:bidi="ar"/>
        </w:rPr>
        <w:t xml:space="preserve">登录</w:t>
      </w:r>
      <w:r>
        <w:rPr>
          <w:rFonts w:hint="eastAsia" w:ascii="宋体" w:hAnsi="宋体" w:eastAsia="宋体" w:cs="宋体"/>
          <w:b w:val="0"/>
          <w:bCs/>
          <w:color w:val="auto"/>
          <w:sz w:val="24"/>
          <w:highlight w:val="none"/>
          <w:lang w:bidi="ar"/>
        </w:rPr>
        <w:t xml:space="preserve">政府采购一体化平台“苏采云”进行电子化不见面开标</w:t>
      </w:r>
      <w:r>
        <w:rPr>
          <w:rFonts w:hint="eastAsia" w:ascii="宋体" w:hAnsi="宋体" w:eastAsia="宋体" w:cs="宋体"/>
          <w:b w:val="0"/>
          <w:bCs/>
          <w:color w:val="auto"/>
          <w:sz w:val="24"/>
          <w:highlight w:val="none"/>
          <w:lang w:val="zh-TW" w:bidi="ar"/>
        </w:rPr>
        <w:t xml:space="preserve">。</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2.8注意事项</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 xml:space="preserve">投标人在开标前应当</w:t>
      </w:r>
      <w:r>
        <w:rPr>
          <w:rFonts w:hint="eastAsia" w:ascii="宋体" w:hAnsi="宋体" w:eastAsia="宋体" w:cs="宋体"/>
          <w:b w:val="0"/>
          <w:bCs/>
          <w:color w:val="auto"/>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 xml:space="preserve">3.</w:t>
      </w:r>
      <w:r>
        <w:rPr>
          <w:rFonts w:hint="eastAsia" w:ascii="宋体" w:hAnsi="宋体" w:eastAsia="宋体" w:cs="宋体"/>
          <w:b w:val="0"/>
          <w:bCs/>
          <w:color w:val="auto"/>
          <w:sz w:val="24"/>
          <w:highlight w:val="none"/>
          <w:lang w:val="zh-TW" w:bidi="ar"/>
        </w:rPr>
        <w:t xml:space="preserve">关于常州市中小企业政府采购信用融资：</w:t>
      </w:r>
      <w:r/>
    </w:p>
    <w:p>
      <w:pPr>
        <w:numPr>
          <w:ilvl w:val="0"/>
          <w:numId w:val="0"/>
        </w:numPr>
        <w:ind w:firstLine="480"/>
        <w:jc w:val="left"/>
        <w:spacing w:line="360" w:lineRule="auto"/>
        <w:rPr>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 xml:space="preserve">。</w:t>
      </w:r>
      <w:r/>
    </w:p>
    <w:p>
      <w:pPr>
        <w:pStyle w:val="1132"/>
        <w:jc w:val="left"/>
        <w:spacing w:before="0" w:line="360" w:lineRule="auto"/>
        <w:rPr>
          <w:rFonts w:hint="eastAsia" w:ascii="宋体" w:hAnsi="宋体" w:eastAsia="宋体" w:cs="宋体"/>
          <w:color w:val="auto"/>
          <w:sz w:val="24"/>
          <w:szCs w:val="24"/>
          <w:highlight w:val="none"/>
        </w:rPr>
      </w:pPr>
      <w:r/>
      <w:bookmarkStart w:id="28" w:name="_Toc28359008"/>
      <w:r/>
      <w:bookmarkStart w:id="29" w:name="_Toc28359085"/>
      <w:r/>
      <w:bookmarkStart w:id="30" w:name="_Toc35393796"/>
      <w:r/>
      <w:bookmarkStart w:id="31" w:name="_Toc35393627"/>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1.采购人信息</w:t>
      </w:r>
      <w:r/>
    </w:p>
    <w:p>
      <w:pPr>
        <w:ind w:left="1079" w:hanging="300"/>
        <w:jc w:val="left"/>
        <w:spacing w:line="360" w:lineRule="auto"/>
        <w:rPr>
          <w:rFonts w:hint="default" w:ascii="宋体" w:hAnsi="宋体" w:cs="宋体"/>
          <w:color w:val="auto"/>
          <w:sz w:val="24"/>
          <w:highlight w:val="none"/>
          <w:u w:val="single"/>
          <w:lang w:val="en-US" w:eastAsia="zh-CN"/>
        </w:rPr>
      </w:pPr>
      <w:r/>
      <w:bookmarkStart w:id="32" w:name="_Toc28359009"/>
      <w:r/>
      <w:bookmarkStart w:id="33" w:name="_Toc28359086"/>
      <w:r>
        <w:rPr>
          <w:rFonts w:hint="eastAsia" w:ascii="宋体" w:hAnsi="宋体" w:cs="宋体"/>
          <w:color w:val="auto"/>
          <w:sz w:val="24"/>
          <w:highlight w:val="none"/>
        </w:rPr>
        <w:t xml:space="preserve">名    称：</w:t>
      </w:r>
      <w:r>
        <w:rPr>
          <w:rFonts w:hint="eastAsia" w:ascii="宋体" w:hAnsi="宋体" w:cs="宋体"/>
          <w:color w:val="auto"/>
          <w:sz w:val="24"/>
          <w:highlight w:val="none"/>
          <w:u w:val="single"/>
          <w:lang w:val="en-US" w:eastAsia="zh-CN"/>
        </w:rPr>
        <w:t xml:space="preserve">溧阳市文体广电和旅游局</w:t>
      </w:r>
      <w:r/>
    </w:p>
    <w:p>
      <w:pPr>
        <w:ind w:left="1079" w:hanging="30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sz w:val="24"/>
          <w:highlight w:val="none"/>
          <w:u w:val="single"/>
          <w:lang w:val="en-US" w:eastAsia="zh-CN"/>
        </w:rPr>
        <w:t xml:space="preserve">溧阳市溧城街道育才路59号</w:t>
      </w:r>
      <w:r/>
    </w:p>
    <w:p>
      <w:pPr>
        <w:ind w:left="1076" w:hanging="297"/>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联系方式：</w:t>
      </w:r>
      <w:r>
        <w:rPr>
          <w:rFonts w:hint="eastAsia" w:ascii="宋体" w:hAnsi="宋体" w:eastAsia="宋体" w:cs="宋体"/>
          <w:sz w:val="24"/>
          <w:highlight w:val="none"/>
          <w:u w:val="single"/>
          <w:lang w:val="en-US" w:eastAsia="zh-CN"/>
        </w:rPr>
        <w:t xml:space="preserve">0519-87929728</w:t>
      </w:r>
      <w:r/>
    </w:p>
    <w:p>
      <w:pPr>
        <w:ind w:left="1078" w:hanging="299"/>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color w:val="auto"/>
          <w:sz w:val="24"/>
          <w:highlight w:val="none"/>
        </w:rPr>
      </w:pPr>
      <w:r/>
      <w:bookmarkStart w:id="34" w:name="_Toc28359087"/>
      <w:r/>
      <w:bookmarkStart w:id="35" w:name="_Toc28359010"/>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江苏溧投招标服务有限公司</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江苏省溧阳市溧城街道永定路108号嘉源广场2幢1单元5楼</w:t>
      </w:r>
      <w:r/>
    </w:p>
    <w:p>
      <w:pPr>
        <w:ind w:left="1076" w:hanging="297"/>
        <w:jc w:val="left"/>
        <w:spacing w:line="360" w:lineRule="auto"/>
        <w:rPr>
          <w:color w:val="auto"/>
          <w:sz w:val="24"/>
          <w:highlight w:val="none"/>
          <w:u w:val="singl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0519-87968552</w:t>
      </w:r>
      <w:r/>
    </w:p>
    <w:p>
      <w:pPr>
        <w:ind w:left="1078" w:hanging="299"/>
        <w:spacing w:line="360" w:lineRule="auto"/>
        <w:rPr>
          <w:b/>
          <w:color w:val="auto"/>
          <w:sz w:val="24"/>
          <w:highlight w:val="none"/>
          <w:u w:val="single"/>
        </w:rPr>
      </w:pPr>
      <w:r>
        <w:rPr>
          <w:b/>
          <w:color w:val="auto"/>
          <w:sz w:val="24"/>
          <w:highlight w:val="none"/>
        </w:rPr>
        <w:t xml:space="preserve">3.项目联系方式</w:t>
      </w:r>
      <w:r/>
    </w:p>
    <w:p>
      <w:pPr>
        <w:pStyle w:val="1171"/>
        <w:ind w:left="1076" w:hanging="297"/>
        <w:spacing w:line="360" w:lineRule="auto"/>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u w:val="single"/>
          <w:lang w:val="en-US" w:eastAsia="zh-CN"/>
        </w:rPr>
        <w:t xml:space="preserve">姜工 </w:t>
      </w:r>
      <w:r>
        <w:rPr>
          <w:rFonts w:hint="eastAsia" w:ascii="Times New Roman" w:hAnsi="Times New Roman"/>
          <w:color w:val="auto"/>
          <w:sz w:val="24"/>
          <w:szCs w:val="24"/>
          <w:highlight w:val="none"/>
          <w:u w:val="single"/>
          <w:lang w:val="en-US" w:eastAsia="zh-CN"/>
        </w:rPr>
        <w:t xml:space="preserve"> </w:t>
      </w:r>
      <w:r/>
    </w:p>
    <w:p>
      <w:pPr>
        <w:pStyle w:val="1171"/>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u w:val="single"/>
        </w:rPr>
        <w:t xml:space="preserve">0519-87968552</w:t>
      </w:r>
      <w:bookmarkEnd w:id="34"/>
      <w:r/>
      <w:bookmarkEnd w:id="35"/>
      <w:r/>
      <w:r/>
    </w:p>
    <w:p>
      <w:pPr>
        <w:ind w:left="1076" w:hanging="297"/>
        <w:jc w:val="left"/>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265228423"/>
      <w:r/>
      <w:bookmarkStart w:id="37" w:name="_Toc305158854"/>
      <w:r/>
      <w:bookmarkStart w:id="38" w:name="_Toc226965856"/>
      <w:r/>
      <w:bookmarkStart w:id="39" w:name="_Toc353825548"/>
      <w:r/>
      <w:bookmarkStart w:id="40" w:name="_Toc127151777"/>
      <w:r/>
      <w:bookmarkStart w:id="41" w:name="_Toc512937850"/>
      <w:r/>
      <w:bookmarkStart w:id="42" w:name="_Toc150774783"/>
      <w:r/>
      <w:bookmarkStart w:id="43" w:name="_Toc305158928"/>
      <w:r/>
      <w:bookmarkStart w:id="44" w:name="_Toc195842950"/>
      <w:r/>
      <w:bookmarkStart w:id="45" w:name="_Toc127161488"/>
      <w:r/>
      <w:bookmarkStart w:id="46" w:name="_Toc264969275"/>
      <w:r/>
      <w:bookmarkStart w:id="47" w:name="_Toc99301420"/>
      <w:r/>
      <w:bookmarkStart w:id="48" w:name="_Toc353873938"/>
      <w:r>
        <w:rPr>
          <w:rFonts w:ascii="Times New Roman" w:hAnsi="Times New Roman" w:eastAsia="宋体" w:cs="Times New Roman"/>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32"/>
        <w:spacing w:before="0" w:line="360" w:lineRule="auto"/>
        <w:tabs>
          <w:tab w:val="center" w:pos="4592" w:leader="none"/>
          <w:tab w:val="left" w:pos="7860" w:leader="none"/>
        </w:tabs>
        <w:rPr>
          <w:rFonts w:ascii="Times New Roman" w:hAnsi="Times New Roman" w:eastAsia="宋体"/>
          <w:color w:val="auto"/>
          <w:sz w:val="28"/>
          <w:highlight w:val="none"/>
        </w:rPr>
      </w:pPr>
      <w:r/>
      <w:bookmarkStart w:id="49" w:name="_Toc226309763"/>
      <w:r/>
      <w:bookmarkStart w:id="50" w:name="_Toc164608633"/>
      <w:r/>
      <w:bookmarkStart w:id="51" w:name="_Toc150509270"/>
      <w:r/>
      <w:bookmarkStart w:id="52" w:name="_Toc226965792"/>
      <w:r/>
      <w:bookmarkStart w:id="53" w:name="_Toc151193761"/>
      <w:r/>
      <w:bookmarkStart w:id="54" w:name="_Toc151190146"/>
      <w:r/>
      <w:bookmarkStart w:id="55" w:name="_Toc151193833"/>
      <w:r/>
      <w:bookmarkStart w:id="56" w:name="_Toc520356144"/>
      <w:r/>
      <w:bookmarkStart w:id="57" w:name="_Toc164351613"/>
      <w:r/>
      <w:bookmarkStart w:id="58" w:name="_Toc164608788"/>
      <w:r/>
      <w:bookmarkStart w:id="59" w:name="_Toc149720812"/>
      <w:r/>
      <w:bookmarkStart w:id="60" w:name="_Toc150774724"/>
      <w:r/>
      <w:bookmarkStart w:id="61" w:name="_Toc150774619"/>
      <w:r/>
      <w:bookmarkStart w:id="62" w:name="_Toc142311021"/>
      <w:r/>
      <w:bookmarkStart w:id="63" w:name="_Toc226337215"/>
      <w:r/>
      <w:bookmarkStart w:id="64" w:name="_Toc164229214"/>
      <w:r/>
      <w:bookmarkStart w:id="65" w:name="_Toc127151720"/>
      <w:r/>
      <w:bookmarkStart w:id="66" w:name="_Toc151193907"/>
      <w:r/>
      <w:bookmarkStart w:id="67" w:name="_Toc127161433"/>
      <w:r/>
      <w:bookmarkStart w:id="68" w:name="_Toc164229360"/>
      <w:r/>
      <w:bookmarkStart w:id="69" w:name="_Toc226965709"/>
      <w:r/>
      <w:bookmarkStart w:id="70" w:name="_Toc150480757"/>
      <w:r/>
      <w:bookmarkStart w:id="71" w:name="_Toc151193617"/>
      <w:r/>
      <w:bookmarkStart w:id="72" w:name="_Toc195842884"/>
      <w:r/>
      <w:bookmarkStart w:id="73" w:name="_Toc127151519"/>
      <w:r/>
      <w:bookmarkStart w:id="74" w:name="_Toc151193689"/>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rFonts w:hint="eastAsia"/>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5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cantSplit/>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b/>
                <w:color w:val="auto"/>
                <w:sz w:val="24"/>
              </w:rPr>
              <w:t xml:space="preserve">■</w:t>
            </w:r>
            <w:r>
              <w:rPr>
                <w:color w:val="auto"/>
                <w:sz w:val="24"/>
                <w:highlight w:val="none"/>
              </w:rPr>
              <w:t xml:space="preserve">服务</w:t>
            </w:r>
            <w:r/>
          </w:p>
          <w:p>
            <w:pPr>
              <w:jc w:val="left"/>
              <w:rPr>
                <w:color w:val="auto"/>
                <w:sz w:val="24"/>
                <w:highlight w:val="none"/>
                <w:u w:val="single"/>
              </w:rPr>
            </w:pPr>
            <w:r>
              <w:rPr>
                <w:rFonts w:hint="eastAsia" w:ascii="宋体" w:hAnsi="宋体" w:eastAsia="宋体" w:cs="宋体"/>
                <w:color w:val="auto"/>
                <w:sz w:val="24"/>
                <w:highlight w:val="none"/>
                <w:lang w:eastAsia="zh-CN"/>
              </w:rPr>
              <w:t xml:space="preserve">□</w:t>
            </w:r>
            <w:r>
              <w:rPr>
                <w:color w:val="auto"/>
                <w:sz w:val="24"/>
                <w:highlight w:val="none"/>
              </w:rPr>
              <w:t xml:space="preserve">货物</w:t>
            </w:r>
            <w:r/>
          </w:p>
        </w:tc>
      </w:tr>
      <w:tr>
        <w:trPr>
          <w:cantSplit/>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是</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否</w:t>
            </w:r>
            <w:r/>
          </w:p>
        </w:tc>
      </w:tr>
      <w:tr>
        <w:trPr>
          <w:cantSplit/>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1171"/>
              <w:rPr>
                <w:rFonts w:ascii="Times New Roman" w:hAnsi="Times New Roman"/>
                <w:color w:val="auto"/>
                <w:sz w:val="24"/>
                <w:szCs w:val="24"/>
                <w:highlight w:val="none"/>
              </w:rPr>
            </w:pPr>
            <w:r>
              <w:rPr>
                <w:rFonts w:hint="eastAsia" w:ascii="宋体" w:hAnsi="宋体" w:cs="宋体"/>
                <w:b/>
                <w:color w:val="auto"/>
                <w:sz w:val="24"/>
                <w:highlight w:val="none"/>
              </w:rPr>
              <w:t xml:space="preserve">■</w:t>
            </w:r>
            <w:r>
              <w:rPr>
                <w:rFonts w:ascii="Times New Roman" w:hAnsi="Times New Roman"/>
                <w:color w:val="auto"/>
                <w:sz w:val="24"/>
                <w:szCs w:val="24"/>
                <w:highlight w:val="none"/>
              </w:rPr>
              <w:t xml:space="preserve">关于核心产品本项目不适用。</w:t>
            </w:r>
            <w:r/>
          </w:p>
          <w:p>
            <w:pPr>
              <w:pStyle w:val="1171"/>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 xml:space="preserve">□</w:t>
            </w:r>
            <w:r>
              <w:rPr>
                <w:rFonts w:ascii="Times New Roman" w:hAnsi="Times New Roman"/>
                <w:color w:val="auto"/>
                <w:sz w:val="24"/>
                <w:szCs w:val="24"/>
                <w:highlight w:val="none"/>
              </w:rPr>
              <w:t xml:space="preserve">本项目__包为单一产品采购项目。</w:t>
            </w:r>
            <w:r/>
          </w:p>
          <w:p>
            <w:pPr>
              <w:spacing w:line="240" w:lineRule="auto"/>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ascii="宋体" w:hAnsi="宋体" w:cs="宋体"/>
                <w:b/>
                <w:color w:val="auto"/>
                <w:sz w:val="24"/>
                <w:highlight w:val="none"/>
              </w:rPr>
              <w:t xml:space="preserve">■</w:t>
            </w:r>
            <w:r>
              <w:rPr>
                <w:color w:val="auto"/>
                <w:sz w:val="24"/>
                <w:highlight w:val="none"/>
              </w:rPr>
              <w:t xml:space="preserve">不组织</w:t>
            </w:r>
            <w:r>
              <w:rPr>
                <w:rFonts w:hint="eastAsia"/>
                <w:color w:val="auto"/>
                <w:sz w:val="24"/>
                <w:highlight w:val="none"/>
                <w:lang w:eastAsia="zh-CN"/>
              </w:rPr>
              <w:t xml:space="preserve">。</w:t>
            </w:r>
            <w:r/>
          </w:p>
          <w:p>
            <w:pPr>
              <w:jc w:val="left"/>
              <w:rPr>
                <w:bCs/>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rFonts w:hint="eastAsia"/>
                <w:bCs/>
                <w:color w:val="auto"/>
                <w:sz w:val="24"/>
                <w:highlight w:val="none"/>
              </w:rPr>
            </w:pPr>
            <w:r>
              <w:rPr>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召开，召开时间：__年_月_日_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rPr>
                <w:rFonts w:hint="eastAsia"/>
                <w:color w:val="auto"/>
                <w:sz w:val="24"/>
                <w:highlight w:val="none"/>
              </w:rPr>
              <w:t xml:space="preserve">。</w:t>
            </w:r>
            <w:r/>
          </w:p>
        </w:tc>
      </w:tr>
      <w:tr>
        <w:trPr>
          <w:cantSplit/>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投标样品递交：</w:t>
            </w:r>
            <w:r/>
          </w:p>
          <w:p>
            <w:pPr>
              <w:jc w:val="left"/>
              <w:rPr>
                <w:rFonts w:hint="eastAsia"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eastAsia="宋体" w:cs="宋体"/>
                <w:color w:val="auto"/>
                <w:sz w:val="24"/>
                <w:highlight w:val="none"/>
              </w:rPr>
              <w:t xml:space="preserve">不需要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□需要，具体要求如下：</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（1）样品制作的标准和要求：_________；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（2）是否需要随样品提交相关检测报告：</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□不需要</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（3）样品递交要求：_________；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（4）未中标人样品退还：_________；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（5）中标人样品保管、封存及退还：_________；</w:t>
            </w:r>
            <w:r/>
          </w:p>
          <w:p>
            <w:pPr>
              <w:jc w:val="left"/>
              <w:rPr>
                <w:color w:val="auto"/>
                <w:sz w:val="24"/>
                <w:highlight w:val="none"/>
              </w:rPr>
            </w:pPr>
            <w:r>
              <w:rPr>
                <w:rFonts w:hint="eastAsia" w:ascii="宋体" w:hAnsi="宋体" w:eastAsia="宋体" w:cs="宋体"/>
                <w:color w:val="auto"/>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本项目采购标的对应的中小企业划分标准所属行业：</w:t>
            </w:r>
            <w:r>
              <w:rPr>
                <w:rFonts w:hint="eastAsia"/>
                <w:color w:val="auto"/>
                <w:sz w:val="24"/>
                <w:highlight w:val="none"/>
                <w:u w:val="single"/>
                <w:lang w:val="en-US" w:eastAsia="zh-CN"/>
              </w:rPr>
              <w:t xml:space="preserve"> 其他未列明行业  </w:t>
            </w:r>
            <w:r/>
          </w:p>
        </w:tc>
      </w:tr>
    </w:tbl>
    <w:p>
      <w:pPr>
        <w:rPr>
          <w:color w:val="auto"/>
          <w:highlight w:val="none"/>
        </w:rPr>
      </w:pPr>
      <w:r>
        <w:rPr>
          <w:color w:val="auto"/>
          <w:highlight w:val="none"/>
        </w:rPr>
        <w:br w:type="page" w:clear="all"/>
      </w:r>
      <w:r/>
    </w:p>
    <w:tbl>
      <w:tblPr>
        <w:tblStyle w:val="95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spacing w:line="240" w:lineRule="auto"/>
              <w:rPr>
                <w:color w:val="auto"/>
                <w:sz w:val="24"/>
                <w:highlight w:val="none"/>
              </w:rPr>
            </w:pPr>
            <w:r>
              <w:rPr>
                <w:rFonts w:hint="eastAsia"/>
                <w:color w:val="auto"/>
                <w:sz w:val="24"/>
                <w:highlight w:val="none"/>
              </w:rPr>
              <w:t xml:space="preserve">投标报价的特殊规定：</w:t>
            </w:r>
            <w:r/>
          </w:p>
          <w:p>
            <w:pPr>
              <w:jc w:val="left"/>
              <w:spacing w:line="240" w:lineRule="auto"/>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无</w:t>
            </w:r>
            <w:r/>
          </w:p>
          <w:p>
            <w:pPr>
              <w:jc w:val="left"/>
              <w:spacing w:line="240" w:lineRule="auto"/>
              <w:rPr>
                <w:color w:val="auto"/>
                <w:highlight w:val="none"/>
              </w:rPr>
            </w:pPr>
            <w:r>
              <w:rPr>
                <w:rFonts w:hint="eastAsia" w:ascii="宋体" w:hAnsi="宋体" w:eastAsia="宋体" w:cs="宋体"/>
                <w:color w:val="auto"/>
                <w:sz w:val="24"/>
                <w:highlight w:val="none"/>
              </w:rPr>
              <w:t xml:space="preserve">□</w:t>
            </w:r>
            <w:r>
              <w:rPr>
                <w:color w:val="auto"/>
                <w:sz w:val="24"/>
                <w:highlight w:val="none"/>
              </w:rPr>
              <w:t xml:space="preserve">有，具体情形：_____。</w:t>
            </w:r>
            <w:r/>
          </w:p>
        </w:tc>
      </w:tr>
      <w:tr>
        <w:trPr>
          <w:jc w:val="center"/>
          <w:trHeight w:val="488"/>
        </w:trPr>
        <w:tc>
          <w:tcPr>
            <w:tcW w:w="988" w:type="dxa"/>
            <w:vAlign w:val="center"/>
            <w:vMerge w:val="restart"/>
            <w:textDirection w:val="lrTb"/>
            <w:noWrap w:val="false"/>
          </w:tcPr>
          <w:p>
            <w:pPr>
              <w:pStyle w:val="1171"/>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vMerge w:val="continue"/>
            <w:textDirection w:val="lrTb"/>
            <w:noWrap w:val="false"/>
          </w:tcPr>
          <w:p>
            <w:pPr>
              <w:pStyle w:val="1171"/>
              <w:jc w:val="center"/>
              <w:rPr>
                <w:rFonts w:hint="default" w:ascii="Times New Roman" w:hAnsi="Times New Roman" w:eastAsia="宋体"/>
                <w:color w:val="auto"/>
                <w:sz w:val="24"/>
                <w:szCs w:val="24"/>
                <w:highlight w:val="none"/>
                <w:lang w:val="en-US" w:eastAsia="zh-CN"/>
              </w:rPr>
            </w:pPr>
            <w:r>
              <w:rPr>
                <w:rFonts w:hint="default" w:ascii="Times New Roman" w:hAnsi="Times New Roman" w:eastAsia="宋体"/>
                <w:color w:val="auto"/>
                <w:sz w:val="24"/>
                <w:szCs w:val="24"/>
                <w:highlight w:val="none"/>
                <w:lang w:val="en-US" w:eastAsia="zh-CN"/>
              </w:rPr>
            </w:r>
            <w:r/>
          </w:p>
        </w:tc>
        <w:tc>
          <w:tcPr>
            <w:tcW w:w="1701" w:type="dxa"/>
            <w:vAlign w:val="center"/>
            <w:textDirection w:val="lrTb"/>
            <w:noWrap w:val="false"/>
          </w:tcPr>
          <w:p>
            <w:pPr>
              <w:jc w:val="center"/>
              <w:rPr>
                <w:rFonts w:hint="eastAsia"/>
                <w:color w:val="auto"/>
                <w:sz w:val="24"/>
                <w:highlight w:val="none"/>
              </w:rPr>
            </w:pPr>
            <w:r>
              <w:rPr>
                <w:rFonts w:hint="eastAsia" w:eastAsia="宋体"/>
                <w:color w:val="000000"/>
                <w:sz w:val="24"/>
                <w:highlight w:val="none"/>
                <w:lang w:eastAsia="zh-CN"/>
              </w:rPr>
              <w:t xml:space="preserve">履约保证金</w:t>
            </w:r>
            <w:r/>
          </w:p>
        </w:tc>
        <w:tc>
          <w:tcPr>
            <w:tcW w:w="7540" w:type="dxa"/>
            <w:vAlign w:val="center"/>
            <w:textDirection w:val="lrTb"/>
            <w:noWrap w:val="false"/>
          </w:tcPr>
          <w:p>
            <w:pPr>
              <w:jc w:val="left"/>
              <w:rPr>
                <w:rFonts w:hint="eastAsia"/>
                <w:color w:val="auto"/>
                <w:sz w:val="24"/>
                <w:highlight w:val="none"/>
              </w:rPr>
            </w:pPr>
            <w:r>
              <w:rPr>
                <w:rFonts w:hint="eastAsia" w:ascii="Times New Roman" w:eastAsia="宋体"/>
                <w:b/>
                <w:bCs/>
                <w:color w:val="000000"/>
                <w:sz w:val="24"/>
                <w:highlight w:val="none"/>
                <w:lang w:val="en-US" w:eastAsia="zh-CN"/>
              </w:rPr>
              <w:t xml:space="preserve">履约保证金为预算金额的10%，中标人须在合同签订前</w:t>
            </w:r>
            <w:r>
              <w:rPr>
                <w:rFonts w:hint="eastAsia"/>
                <w:b/>
                <w:bCs/>
                <w:color w:val="000000"/>
                <w:sz w:val="24"/>
                <w:highlight w:val="none"/>
                <w:lang w:val="en-US" w:eastAsia="zh-CN"/>
              </w:rPr>
              <w:t xml:space="preserve">采用银行保函的形式缴纳</w:t>
            </w:r>
            <w:r>
              <w:rPr>
                <w:rFonts w:hint="eastAsia" w:ascii="Times New Roman" w:eastAsia="宋体"/>
                <w:b/>
                <w:bCs/>
                <w:color w:val="000000"/>
                <w:sz w:val="24"/>
                <w:highlight w:val="none"/>
                <w:lang w:val="en-US" w:eastAsia="zh-CN"/>
              </w:rPr>
              <w:t xml:space="preserve">；履约保证金将在</w:t>
            </w:r>
            <w:r>
              <w:rPr>
                <w:rFonts w:hint="eastAsia" w:ascii="宋体" w:hAnsi="宋体" w:eastAsia="宋体" w:cs="宋体"/>
                <w:b/>
                <w:bCs/>
                <w:color w:val="000000"/>
                <w:sz w:val="24"/>
                <w:szCs w:val="24"/>
                <w:highlight w:val="none"/>
              </w:rPr>
              <w:t xml:space="preserve">最终验收合格后15日</w:t>
            </w:r>
            <w:r>
              <w:rPr>
                <w:rFonts w:hint="eastAsia" w:ascii="宋体" w:hAnsi="宋体" w:cs="宋体"/>
                <w:b/>
                <w:bCs/>
                <w:color w:val="000000"/>
                <w:sz w:val="24"/>
                <w:szCs w:val="24"/>
                <w:highlight w:val="none"/>
                <w:lang w:eastAsia="zh-CN"/>
              </w:rPr>
              <w:t xml:space="preserve">内</w:t>
            </w:r>
            <w:r>
              <w:rPr>
                <w:rFonts w:hint="eastAsia" w:ascii="宋体" w:hAnsi="宋体" w:eastAsia="宋体" w:cs="宋体"/>
                <w:b/>
                <w:bCs/>
                <w:color w:val="000000"/>
                <w:sz w:val="24"/>
                <w:szCs w:val="24"/>
                <w:highlight w:val="none"/>
                <w:lang w:eastAsia="zh-CN"/>
              </w:rPr>
              <w:t xml:space="preserve">退回；合同签订后中标人违约，采购人有权没收履约保证金。</w:t>
            </w:r>
            <w:r/>
          </w:p>
        </w:tc>
      </w:tr>
      <w:tr>
        <w:trPr>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江苏溧投招标服务有限公司综合办</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0519-87968552</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江苏省溧阳市溧城街道南环西路（永定路）108号嘉源广场2幢1单元5楼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7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中标人</w:t>
            </w:r>
            <w:r/>
          </w:p>
          <w:p>
            <w:pPr>
              <w:jc w:val="left"/>
              <w:rPr>
                <w:color w:val="auto"/>
                <w:sz w:val="24"/>
                <w:highlight w:val="none"/>
              </w:rPr>
            </w:pPr>
            <w:r>
              <w:rPr>
                <w:rFonts w:hint="eastAsia" w:ascii="宋体" w:hAnsi="宋体" w:cs="宋体"/>
                <w:color w:val="auto"/>
                <w:sz w:val="24"/>
                <w:highlight w:val="none"/>
              </w:rPr>
              <w:t xml:space="preserve">收费标准：</w:t>
            </w:r>
            <w:r>
              <w:rPr>
                <w:rFonts w:hint="eastAsia" w:ascii="Times New Roman" w:hAnsi="Times New Roman" w:eastAsia="宋体" w:cs="Times New Roman"/>
                <w:sz w:val="24"/>
                <w:szCs w:val="24"/>
                <w:u w:val="single"/>
              </w:rPr>
              <w:t xml:space="preserve">按</w:t>
            </w:r>
            <w:r>
              <w:rPr>
                <w:rFonts w:hint="eastAsia" w:cs="Times New Roman"/>
                <w:sz w:val="24"/>
                <w:szCs w:val="24"/>
                <w:u w:val="single"/>
                <w:lang w:val="en-US" w:eastAsia="zh-CN"/>
              </w:rPr>
              <w:t xml:space="preserve">中标金额的0.4%</w:t>
            </w:r>
            <w:r>
              <w:rPr>
                <w:rFonts w:hint="eastAsia" w:ascii="Times New Roman" w:hAnsi="Times New Roman" w:eastAsia="宋体" w:cs="Times New Roman"/>
                <w:sz w:val="24"/>
                <w:szCs w:val="24"/>
                <w:u w:val="single"/>
              </w:rPr>
              <w:t xml:space="preserve">收取。</w:t>
            </w:r>
            <w:r/>
          </w:p>
        </w:tc>
      </w:tr>
    </w:tbl>
    <w:p>
      <w:pPr>
        <w:jc w:val="both"/>
        <w:spacing w:line="360" w:lineRule="auto"/>
        <w:tabs>
          <w:tab w:val="left" w:pos="5580" w:leader="none"/>
        </w:tabs>
        <w:rPr>
          <w:color w:val="auto"/>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bookmarkStart w:id="75" w:name="_Toc226337213"/>
      <w:r/>
      <w:bookmarkStart w:id="76" w:name="_Toc305158785"/>
      <w:r/>
      <w:bookmarkStart w:id="77" w:name="_Toc353873932"/>
      <w:r/>
      <w:bookmarkStart w:id="78" w:name="_Toc226965790"/>
      <w:r/>
      <w:bookmarkStart w:id="79" w:name="_Toc150774722"/>
      <w:r/>
      <w:bookmarkStart w:id="80" w:name="_Toc142311019"/>
      <w:r/>
      <w:bookmarkStart w:id="81" w:name="_Toc305158859"/>
      <w:r/>
      <w:bookmarkStart w:id="82" w:name="_Toc353825542"/>
      <w:r/>
      <w:bookmarkStart w:id="83" w:name="_Toc195842882"/>
      <w:r/>
      <w:bookmarkStart w:id="84" w:name="_Toc353873662"/>
      <w:r/>
      <w:bookmarkStart w:id="85" w:name="_Toc150480755"/>
      <w:r/>
      <w:bookmarkStart w:id="86" w:name="_Toc265228355"/>
      <w:r/>
      <w:bookmarkStart w:id="87" w:name="_Toc127151517"/>
      <w:r/>
      <w:bookmarkStart w:id="88" w:name="_Toc264969207"/>
      <w:r>
        <w:rPr>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3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520356143"/>
      <w:r/>
      <w:bookmarkStart w:id="90" w:name="_Toc127151518"/>
      <w:r>
        <w:rPr>
          <w:rFonts w:ascii="Times New Roman" w:hAnsi="Times New Roman" w:eastAsia="宋体"/>
          <w:color w:val="auto"/>
          <w:sz w:val="28"/>
          <w:highlight w:val="none"/>
        </w:rPr>
        <w:tab/>
      </w:r>
      <w:bookmarkStart w:id="91" w:name="_Toc150774618"/>
      <w:r/>
      <w:bookmarkStart w:id="92" w:name="_Toc150774723"/>
      <w:r/>
      <w:bookmarkStart w:id="93" w:name="_Toc226965791"/>
      <w:r/>
      <w:bookmarkStart w:id="94" w:name="_Toc150509269"/>
      <w:r/>
      <w:bookmarkStart w:id="95" w:name="_Toc151193688"/>
      <w:r/>
      <w:bookmarkStart w:id="96" w:name="_Toc265228356"/>
      <w:r/>
      <w:bookmarkStart w:id="97" w:name="_Toc226309762"/>
      <w:r/>
      <w:bookmarkStart w:id="98" w:name="_Toc151190145"/>
      <w:r/>
      <w:bookmarkStart w:id="99" w:name="_Toc142311020"/>
      <w:r/>
      <w:bookmarkStart w:id="100" w:name="_Toc226337214"/>
      <w:r/>
      <w:bookmarkStart w:id="101" w:name="_Toc195842883"/>
      <w:r/>
      <w:bookmarkStart w:id="102" w:name="_Toc150480756"/>
      <w:r/>
      <w:bookmarkStart w:id="103" w:name="_Toc151193832"/>
      <w:r/>
      <w:bookmarkStart w:id="104" w:name="_Toc226965708"/>
      <w:r/>
      <w:bookmarkStart w:id="105" w:name="_Toc151193760"/>
      <w:r/>
      <w:bookmarkStart w:id="106" w:name="_Toc305158786"/>
      <w:r/>
      <w:bookmarkStart w:id="107" w:name="_Toc151193906"/>
      <w:r/>
      <w:bookmarkStart w:id="108" w:name="_Toc151193616"/>
      <w:r/>
      <w:bookmarkStart w:id="109" w:name="_Toc305158860"/>
      <w:r/>
      <w:bookmarkStart w:id="110" w:name="_Toc264969208"/>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11" w:name="_Toc265228357"/>
      <w:r/>
      <w:bookmarkStart w:id="112" w:name="_Toc305158787"/>
      <w:r/>
      <w:bookmarkStart w:id="113" w:name="_Toc264969209"/>
      <w:r/>
      <w:bookmarkStart w:id="114" w:name="_Toc305158861"/>
      <w:r>
        <w:rPr>
          <w:color w:val="auto"/>
          <w:sz w:val="24"/>
          <w:highlight w:val="none"/>
        </w:rPr>
        <w:t xml:space="preserve">采购人、采购代理机构、投标人</w:t>
      </w:r>
      <w:bookmarkEnd w:id="111"/>
      <w:r/>
      <w:bookmarkEnd w:id="112"/>
      <w:r/>
      <w:bookmarkEnd w:id="113"/>
      <w:r/>
      <w:bookmarkEnd w:id="114"/>
      <w:r>
        <w:rPr>
          <w:rFonts w:hint="eastAsia"/>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5" w:name="_Toc164229215"/>
      <w:r/>
      <w:bookmarkStart w:id="116" w:name="_Toc150774725"/>
      <w:r/>
      <w:bookmarkStart w:id="117" w:name="_Toc195842885"/>
      <w:r/>
      <w:bookmarkStart w:id="118" w:name="_Toc149720813"/>
      <w:r/>
      <w:bookmarkStart w:id="119" w:name="_Toc164351614"/>
      <w:r/>
      <w:bookmarkStart w:id="120" w:name="_Toc305158862"/>
      <w:r/>
      <w:bookmarkStart w:id="121" w:name="_Toc127151721"/>
      <w:r/>
      <w:bookmarkStart w:id="122" w:name="_Toc150509271"/>
      <w:r/>
      <w:bookmarkStart w:id="123" w:name="_Toc164608789"/>
      <w:r/>
      <w:bookmarkStart w:id="124" w:name="_Toc226309764"/>
      <w:r/>
      <w:bookmarkStart w:id="125" w:name="_Toc226965710"/>
      <w:r/>
      <w:bookmarkStart w:id="126" w:name="_Toc151193908"/>
      <w:r/>
      <w:bookmarkStart w:id="127" w:name="_Toc150774620"/>
      <w:r/>
      <w:bookmarkStart w:id="128" w:name="_Toc305158788"/>
      <w:r/>
      <w:bookmarkStart w:id="129" w:name="_Toc127151520"/>
      <w:r/>
      <w:bookmarkStart w:id="130" w:name="_Toc226337216"/>
      <w:r/>
      <w:bookmarkStart w:id="131" w:name="_Toc226965793"/>
      <w:r/>
      <w:bookmarkStart w:id="132" w:name="_Toc264969210"/>
      <w:r/>
      <w:bookmarkStart w:id="133" w:name="_Toc164229361"/>
      <w:r/>
      <w:bookmarkStart w:id="134" w:name="_Toc151193618"/>
      <w:r/>
      <w:bookmarkStart w:id="135" w:name="_Toc151193690"/>
      <w:r/>
      <w:bookmarkStart w:id="136" w:name="_Toc151190147"/>
      <w:r/>
      <w:bookmarkStart w:id="137" w:name="_Toc265228358"/>
      <w:r/>
      <w:bookmarkStart w:id="138" w:name="_Toc151193834"/>
      <w:r/>
      <w:bookmarkStart w:id="139" w:name="_Toc151193762"/>
      <w:r/>
      <w:bookmarkStart w:id="140" w:name="_Toc142311022"/>
      <w:r/>
      <w:bookmarkStart w:id="141" w:name="_Toc150480758"/>
      <w:r/>
      <w:bookmarkStart w:id="142" w:name="_Toc127161434"/>
      <w:r/>
      <w:bookmarkStart w:id="143" w:name="_Toc164608634"/>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4" w:name="_Toc150509273"/>
      <w:r/>
      <w:bookmarkStart w:id="145" w:name="_Toc151193620"/>
      <w:r/>
      <w:bookmarkStart w:id="146" w:name="_Toc151193692"/>
      <w:r/>
      <w:bookmarkStart w:id="147" w:name="_Toc520356146"/>
      <w:r/>
      <w:bookmarkStart w:id="148" w:name="_Toc226965795"/>
      <w:r/>
      <w:bookmarkStart w:id="149" w:name="_Toc226965712"/>
      <w:r/>
      <w:bookmarkStart w:id="150" w:name="_Toc151193910"/>
      <w:r/>
      <w:bookmarkStart w:id="151" w:name="_Toc305158790"/>
      <w:r/>
      <w:bookmarkStart w:id="152" w:name="_Toc195842887"/>
      <w:r/>
      <w:bookmarkStart w:id="153" w:name="_Toc265228360"/>
      <w:r/>
      <w:bookmarkStart w:id="154" w:name="_Toc226337218"/>
      <w:r/>
      <w:bookmarkStart w:id="155" w:name="_Toc151190149"/>
      <w:r/>
      <w:bookmarkStart w:id="156" w:name="_Toc127151522"/>
      <w:r/>
      <w:bookmarkStart w:id="157" w:name="_Toc150774622"/>
      <w:r/>
      <w:bookmarkStart w:id="158" w:name="_Toc150480760"/>
      <w:r/>
      <w:bookmarkStart w:id="159" w:name="_Toc264969212"/>
      <w:r/>
      <w:bookmarkStart w:id="160" w:name="_Toc142311024"/>
      <w:r/>
      <w:bookmarkStart w:id="161" w:name="_Toc226309766"/>
      <w:r/>
      <w:bookmarkStart w:id="162" w:name="_Toc150774727"/>
      <w:r/>
      <w:bookmarkStart w:id="163" w:name="_Toc151193836"/>
      <w:r/>
      <w:bookmarkStart w:id="164" w:name="_Toc151193764"/>
      <w:r/>
      <w:bookmarkStart w:id="165" w:name="_Toc305158864"/>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 xml:space="preserve">》《</w:t>
      </w:r>
      <w:r>
        <w:rPr>
          <w:color w:val="auto"/>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230"/>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30"/>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spacing w:line="360" w:lineRule="auto"/>
        <w:rPr>
          <w:rFonts w:hint="eastAsia"/>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auto"/>
          <w:sz w:val="24"/>
          <w:highlight w:val="none"/>
          <w:lang w:eastAsia="zh-CN"/>
        </w:rPr>
        <w:t xml:space="preserve">中标供应商</w:t>
      </w:r>
      <w:r>
        <w:rPr>
          <w:rFonts w:hint="eastAsia"/>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rFonts w:hint="eastAsia"/>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113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color w:val="auto"/>
          <w:sz w:val="24"/>
          <w:highlight w:val="none"/>
        </w:rPr>
        <w:outlineLvl w:val="1"/>
      </w:pPr>
      <w:r/>
      <w:bookmarkStart w:id="167" w:name="_Toc151193837"/>
      <w:r/>
      <w:bookmarkStart w:id="168" w:name="_Toc305158865"/>
      <w:r/>
      <w:bookmarkStart w:id="169" w:name="_Toc127151724"/>
      <w:r/>
      <w:bookmarkStart w:id="170" w:name="_Toc164351617"/>
      <w:r/>
      <w:bookmarkStart w:id="171" w:name="_Toc226965713"/>
      <w:r/>
      <w:bookmarkStart w:id="172" w:name="_Toc151193621"/>
      <w:r/>
      <w:bookmarkStart w:id="173" w:name="_Toc305158791"/>
      <w:r/>
      <w:bookmarkStart w:id="174" w:name="_Toc264969213"/>
      <w:r/>
      <w:bookmarkStart w:id="175" w:name="_Toc142311025"/>
      <w:r/>
      <w:bookmarkStart w:id="176" w:name="_Toc151193765"/>
      <w:r/>
      <w:bookmarkStart w:id="177" w:name="_Toc226337219"/>
      <w:r/>
      <w:bookmarkStart w:id="178" w:name="_Toc195842888"/>
      <w:r/>
      <w:bookmarkStart w:id="179" w:name="_Toc164229218"/>
      <w:r/>
      <w:bookmarkStart w:id="180" w:name="_Toc150774623"/>
      <w:r/>
      <w:bookmarkStart w:id="181" w:name="_Toc149720816"/>
      <w:r/>
      <w:bookmarkStart w:id="182" w:name="_Toc265228361"/>
      <w:r/>
      <w:bookmarkStart w:id="183" w:name="_Toc127161437"/>
      <w:r/>
      <w:bookmarkStart w:id="184" w:name="_Toc226965796"/>
      <w:r/>
      <w:bookmarkStart w:id="185" w:name="_Toc150480761"/>
      <w:r/>
      <w:bookmarkStart w:id="186" w:name="_Toc520356147"/>
      <w:r/>
      <w:bookmarkStart w:id="187" w:name="_Toc164229364"/>
      <w:r/>
      <w:bookmarkStart w:id="188" w:name="_Toc164608792"/>
      <w:r/>
      <w:bookmarkStart w:id="189" w:name="_Toc151190150"/>
      <w:r/>
      <w:bookmarkStart w:id="190" w:name="_Toc226309767"/>
      <w:r/>
      <w:bookmarkStart w:id="191" w:name="_Toc150509274"/>
      <w:r/>
      <w:bookmarkStart w:id="192" w:name="_Toc164608637"/>
      <w:r/>
      <w:bookmarkStart w:id="193" w:name="_Toc127151523"/>
      <w:r/>
      <w:bookmarkStart w:id="194" w:name="_Toc151193911"/>
      <w:r/>
      <w:bookmarkStart w:id="195" w:name="_Toc150774728"/>
      <w:r/>
      <w:bookmarkStart w:id="196" w:name="_Toc151193693"/>
      <w:r>
        <w:rPr>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w:t>
      </w:r>
      <w:r>
        <w:rPr>
          <w:rFonts w:hint="eastAsia"/>
          <w:color w:val="auto"/>
          <w:sz w:val="24"/>
          <w:highlight w:val="none"/>
        </w:rPr>
        <w:t xml:space="preserve">作出</w:t>
      </w:r>
      <w:r>
        <w:rPr>
          <w:color w:val="auto"/>
          <w:sz w:val="24"/>
          <w:highlight w:val="none"/>
        </w:rPr>
        <w:t xml:space="preserve">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 xml:space="preserve">在采购公告发布媒体</w:t>
      </w:r>
      <w:r>
        <w:rPr>
          <w:b/>
          <w:bCs/>
          <w:color w:val="auto"/>
          <w:sz w:val="24"/>
          <w:highlight w:val="none"/>
        </w:rPr>
        <w:t xml:space="preserve">以更正公告形式通知所有获取招标文件的潜在投标人</w:t>
      </w:r>
      <w:r>
        <w:rPr>
          <w:rFonts w:hint="eastAsia"/>
          <w:b/>
          <w:bCs/>
          <w:color w:val="auto"/>
          <w:sz w:val="24"/>
          <w:highlight w:val="none"/>
        </w:rPr>
        <w:t xml:space="preserve">，请潜在投标人及时关注更正公告</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142311028"/>
      <w:r/>
      <w:bookmarkStart w:id="199" w:name="_Toc127151526"/>
      <w:r/>
      <w:bookmarkStart w:id="200" w:name="_Toc226965799"/>
      <w:r/>
      <w:bookmarkStart w:id="201" w:name="_Toc264969216"/>
      <w:r/>
      <w:bookmarkStart w:id="202" w:name="_Toc150774731"/>
      <w:r/>
      <w:bookmarkStart w:id="203" w:name="_Toc150480764"/>
      <w:r/>
      <w:bookmarkStart w:id="204" w:name="_Toc226337222"/>
      <w:r/>
      <w:bookmarkStart w:id="205" w:name="_Toc151193696"/>
      <w:r/>
      <w:bookmarkStart w:id="206" w:name="_Toc151193624"/>
      <w:r/>
      <w:bookmarkStart w:id="207" w:name="_Toc305158868"/>
      <w:r/>
      <w:bookmarkStart w:id="208" w:name="_Toc150774626"/>
      <w:r/>
      <w:bookmarkStart w:id="209" w:name="_Toc226965716"/>
      <w:r/>
      <w:bookmarkStart w:id="210" w:name="_Toc265228364"/>
      <w:r/>
      <w:bookmarkStart w:id="211" w:name="_Toc151193914"/>
      <w:r/>
      <w:bookmarkStart w:id="212" w:name="_Toc151193840"/>
      <w:r/>
      <w:bookmarkStart w:id="213" w:name="_Toc305158794"/>
      <w:r/>
      <w:bookmarkStart w:id="214" w:name="_Toc151190153"/>
      <w:r/>
      <w:bookmarkStart w:id="215" w:name="_Toc520356150"/>
      <w:r/>
      <w:bookmarkStart w:id="216" w:name="_Toc150509277"/>
      <w:r/>
      <w:bookmarkStart w:id="217" w:name="_Toc226309770"/>
      <w:r/>
      <w:bookmarkStart w:id="218" w:name="_Toc151193768"/>
      <w:r/>
      <w:bookmarkStart w:id="219" w:name="_Toc195842891"/>
      <w:r/>
      <w:r/>
    </w:p>
    <w:p>
      <w:pPr>
        <w:pStyle w:val="113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auto"/>
          <w:sz w:val="24"/>
          <w:highlight w:val="none"/>
        </w:rPr>
        <w:outlineLvl w:val="1"/>
      </w:pPr>
      <w:r/>
      <w:bookmarkStart w:id="220" w:name="_Toc150774732"/>
      <w:r/>
      <w:bookmarkStart w:id="221" w:name="_Toc151190154"/>
      <w:r/>
      <w:bookmarkStart w:id="222" w:name="_Toc127161441"/>
      <w:r/>
      <w:bookmarkStart w:id="223" w:name="_Toc516367021"/>
      <w:r/>
      <w:bookmarkStart w:id="224" w:name="_Toc151193625"/>
      <w:r/>
      <w:bookmarkStart w:id="225" w:name="_Toc150509278"/>
      <w:r/>
      <w:bookmarkStart w:id="226" w:name="_Toc150774627"/>
      <w:r/>
      <w:bookmarkStart w:id="227" w:name="_Toc226309771"/>
      <w:r/>
      <w:bookmarkStart w:id="228" w:name="_Toc142311029"/>
      <w:r/>
      <w:bookmarkStart w:id="229" w:name="_Toc164351621"/>
      <w:r/>
      <w:bookmarkStart w:id="230" w:name="_Toc305158795"/>
      <w:r/>
      <w:bookmarkStart w:id="231" w:name="_Toc149720820"/>
      <w:r/>
      <w:bookmarkStart w:id="232" w:name="_Toc305158869"/>
      <w:r/>
      <w:bookmarkStart w:id="233" w:name="_Toc164608641"/>
      <w:r/>
      <w:bookmarkStart w:id="234" w:name="_Toc127151527"/>
      <w:r/>
      <w:bookmarkStart w:id="235" w:name="_Toc164608796"/>
      <w:r/>
      <w:bookmarkStart w:id="236" w:name="_Toc265228365"/>
      <w:r/>
      <w:bookmarkStart w:id="237" w:name="_Toc151193769"/>
      <w:r/>
      <w:bookmarkStart w:id="238" w:name="_Toc195842892"/>
      <w:r/>
      <w:bookmarkStart w:id="239" w:name="_Toc264969217"/>
      <w:r/>
      <w:bookmarkStart w:id="240" w:name="_Toc151193915"/>
      <w:r/>
      <w:bookmarkStart w:id="241" w:name="_Toc226965717"/>
      <w:r/>
      <w:bookmarkStart w:id="242" w:name="_Toc150480765"/>
      <w:r/>
      <w:bookmarkStart w:id="243" w:name="_Toc151193841"/>
      <w:r/>
      <w:bookmarkStart w:id="244" w:name="_Toc520356151"/>
      <w:r/>
      <w:bookmarkStart w:id="245" w:name="_Toc164229222"/>
      <w:r/>
      <w:bookmarkStart w:id="246" w:name="_Toc127151728"/>
      <w:r/>
      <w:bookmarkStart w:id="247" w:name="_Toc151193697"/>
      <w:r/>
      <w:bookmarkStart w:id="248" w:name="_Toc226337223"/>
      <w:r/>
      <w:bookmarkStart w:id="249" w:name="_Toc226965800"/>
      <w:r/>
      <w:bookmarkStart w:id="250" w:name="_Toc164229368"/>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color w:val="auto"/>
          <w:sz w:val="24"/>
          <w:highlight w:val="none"/>
        </w:rPr>
        <w:outlineLvl w:val="1"/>
      </w:pPr>
      <w:r/>
      <w:bookmarkStart w:id="251" w:name="_Ref467306676"/>
      <w:r/>
      <w:bookmarkStart w:id="252" w:name="_Toc516367022"/>
      <w:r/>
      <w:bookmarkStart w:id="253" w:name="_Ref467306195"/>
      <w:r/>
      <w:bookmarkStart w:id="254" w:name="_Toc195842893"/>
      <w:r/>
      <w:bookmarkStart w:id="255" w:name="_Toc151193842"/>
      <w:r/>
      <w:bookmarkStart w:id="256" w:name="_Toc150774628"/>
      <w:r/>
      <w:bookmarkStart w:id="257" w:name="_Toc164608642"/>
      <w:r/>
      <w:bookmarkStart w:id="258" w:name="_Toc164608797"/>
      <w:r/>
      <w:bookmarkStart w:id="259" w:name="_Toc150774733"/>
      <w:r/>
      <w:bookmarkStart w:id="260" w:name="_Toc151193698"/>
      <w:r/>
      <w:bookmarkStart w:id="261" w:name="_Toc226965718"/>
      <w:r/>
      <w:bookmarkStart w:id="262" w:name="_Toc265228366"/>
      <w:r/>
      <w:bookmarkStart w:id="263" w:name="_Toc127151528"/>
      <w:r/>
      <w:bookmarkStart w:id="264" w:name="_Toc142311030"/>
      <w:r/>
      <w:bookmarkStart w:id="265" w:name="_Toc127161442"/>
      <w:r/>
      <w:bookmarkStart w:id="266" w:name="_Toc226337224"/>
      <w:r/>
      <w:bookmarkStart w:id="267" w:name="_Toc226965801"/>
      <w:r/>
      <w:bookmarkStart w:id="268" w:name="_Toc226309772"/>
      <w:r/>
      <w:bookmarkStart w:id="269" w:name="_Toc151190155"/>
      <w:r/>
      <w:bookmarkStart w:id="270" w:name="_Toc305158870"/>
      <w:r/>
      <w:bookmarkStart w:id="271" w:name="_Toc164229223"/>
      <w:r/>
      <w:bookmarkStart w:id="272" w:name="_Toc150480766"/>
      <w:r/>
      <w:bookmarkStart w:id="273" w:name="_Toc127151729"/>
      <w:r/>
      <w:bookmarkStart w:id="274" w:name="_Toc305158796"/>
      <w:r/>
      <w:bookmarkStart w:id="275" w:name="_Toc151193770"/>
      <w:r/>
      <w:bookmarkStart w:id="276" w:name="_Toc264969218"/>
      <w:r/>
      <w:bookmarkStart w:id="277" w:name="_Toc150509279"/>
      <w:r/>
      <w:bookmarkStart w:id="278" w:name="_Toc164229369"/>
      <w:r/>
      <w:bookmarkStart w:id="279" w:name="_Toc151193916"/>
      <w:r/>
      <w:bookmarkStart w:id="280" w:name="_Toc164351622"/>
      <w:r/>
      <w:bookmarkStart w:id="281" w:name="_Toc151193626"/>
      <w:r/>
      <w:bookmarkStart w:id="282" w:name="_Toc149720821"/>
      <w:r/>
      <w:bookmarkStart w:id="283" w:name="_Toc520356152"/>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color w:val="auto"/>
          <w:sz w:val="24"/>
          <w:highlight w:val="none"/>
        </w:rPr>
        <w:outlineLvl w:val="1"/>
      </w:pPr>
      <w:r/>
      <w:bookmarkStart w:id="285" w:name="_Toc127151731"/>
      <w:r/>
      <w:bookmarkStart w:id="286" w:name="_Toc195842895"/>
      <w:r/>
      <w:bookmarkStart w:id="287" w:name="_Toc151193918"/>
      <w:r/>
      <w:bookmarkStart w:id="288" w:name="_Toc164229371"/>
      <w:r/>
      <w:bookmarkStart w:id="289" w:name="_Toc151190157"/>
      <w:r/>
      <w:bookmarkStart w:id="290" w:name="_Toc150480768"/>
      <w:r/>
      <w:bookmarkStart w:id="291" w:name="_Toc150509281"/>
      <w:r/>
      <w:bookmarkStart w:id="292" w:name="_Toc149720823"/>
      <w:r/>
      <w:bookmarkStart w:id="293" w:name="_Toc150774630"/>
      <w:r/>
      <w:bookmarkStart w:id="294" w:name="_Toc150774735"/>
      <w:r/>
      <w:bookmarkStart w:id="295" w:name="_Toc164608644"/>
      <w:r/>
      <w:bookmarkStart w:id="296" w:name="_Toc142311032"/>
      <w:r/>
      <w:bookmarkStart w:id="297" w:name="_Toc151193844"/>
      <w:r/>
      <w:bookmarkStart w:id="298" w:name="_Toc127151530"/>
      <w:r/>
      <w:bookmarkStart w:id="299" w:name="_Toc520356155"/>
      <w:r/>
      <w:bookmarkStart w:id="300" w:name="_Toc151193772"/>
      <w:r/>
      <w:bookmarkStart w:id="301" w:name="_Toc164608799"/>
      <w:r/>
      <w:bookmarkStart w:id="302" w:name="_Toc127161444"/>
      <w:r/>
      <w:bookmarkStart w:id="303" w:name="_Toc164351624"/>
      <w:r/>
      <w:bookmarkStart w:id="304" w:name="_Toc151193700"/>
      <w:r/>
      <w:bookmarkStart w:id="305" w:name="_Toc164229225"/>
      <w:r/>
      <w:bookmarkStart w:id="306" w:name="_Toc151193628"/>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按照招标文件要求完成本项目的全部相关服务费用。</w:t>
      </w:r>
      <w:r/>
    </w:p>
    <w:p>
      <w:pPr>
        <w:numPr>
          <w:ilvl w:val="2"/>
          <w:numId w:val="8"/>
        </w:numPr>
        <w:spacing w:line="360" w:lineRule="auto"/>
        <w:rPr>
          <w:b/>
          <w:bCs/>
          <w:color w:val="auto"/>
          <w:sz w:val="24"/>
          <w:highlight w:val="none"/>
        </w:rPr>
      </w:pPr>
      <w:r>
        <w:rPr>
          <w:rFonts w:hint="eastAsia"/>
          <w:b/>
          <w:bCs/>
          <w:color w:val="auto"/>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rFonts w:hint="eastAsia"/>
          <w:color w:val="auto"/>
          <w:sz w:val="24"/>
          <w:highlight w:val="none"/>
        </w:rPr>
        <w:outlineLvl w:val="1"/>
      </w:pPr>
      <w:r/>
      <w:bookmarkStart w:id="307" w:name="_Ref467306513"/>
      <w:r/>
      <w:bookmarkStart w:id="308" w:name="_Toc150480769"/>
      <w:r/>
      <w:bookmarkStart w:id="309" w:name="_Toc265228369"/>
      <w:r/>
      <w:bookmarkStart w:id="310" w:name="_Toc127151732"/>
      <w:r/>
      <w:bookmarkStart w:id="311" w:name="_Toc151193629"/>
      <w:r/>
      <w:bookmarkStart w:id="312" w:name="_Toc151193919"/>
      <w:r/>
      <w:bookmarkStart w:id="313" w:name="_Toc264969221"/>
      <w:r/>
      <w:bookmarkStart w:id="314" w:name="_Toc164351625"/>
      <w:r/>
      <w:bookmarkStart w:id="315" w:name="_Toc164229226"/>
      <w:r/>
      <w:bookmarkStart w:id="316" w:name="_Toc305158873"/>
      <w:r/>
      <w:bookmarkStart w:id="317" w:name="_Toc127151531"/>
      <w:r/>
      <w:bookmarkStart w:id="318" w:name="_Toc150509282"/>
      <w:r/>
      <w:bookmarkStart w:id="319" w:name="_Toc164608645"/>
      <w:r/>
      <w:bookmarkStart w:id="320" w:name="_Toc151193701"/>
      <w:r/>
      <w:bookmarkStart w:id="321" w:name="_Toc164229372"/>
      <w:r/>
      <w:bookmarkStart w:id="322" w:name="_Toc142311033"/>
      <w:r/>
      <w:bookmarkStart w:id="323" w:name="_Toc151193773"/>
      <w:r/>
      <w:bookmarkStart w:id="324" w:name="_Toc149720824"/>
      <w:r/>
      <w:bookmarkStart w:id="325" w:name="_Toc150774736"/>
      <w:r/>
      <w:bookmarkStart w:id="326" w:name="_Toc195842896"/>
      <w:r/>
      <w:bookmarkStart w:id="327" w:name="_Toc151193845"/>
      <w:r/>
      <w:bookmarkStart w:id="328" w:name="_Toc164608800"/>
      <w:r/>
      <w:bookmarkStart w:id="329" w:name="_Toc226309775"/>
      <w:r/>
      <w:bookmarkStart w:id="330" w:name="_Toc127161445"/>
      <w:r/>
      <w:bookmarkStart w:id="331" w:name="_Toc226965804"/>
      <w:r/>
      <w:bookmarkStart w:id="332" w:name="_Toc520356156"/>
      <w:r/>
      <w:bookmarkStart w:id="333" w:name="_Toc305158799"/>
      <w:r/>
      <w:bookmarkStart w:id="334" w:name="_Toc226337227"/>
      <w:r/>
      <w:bookmarkStart w:id="335" w:name="_Toc226965721"/>
      <w:r/>
      <w:bookmarkStart w:id="336" w:name="_Toc150774631"/>
      <w:r/>
      <w:bookmarkStart w:id="337" w:name="_Toc151190158"/>
      <w:r>
        <w:rPr>
          <w:color w:val="auto"/>
          <w:sz w:val="24"/>
          <w:highlight w:val="none"/>
        </w:rPr>
        <w:t xml:space="preserve">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投标保证金：</w:t>
      </w:r>
      <w:r>
        <w:rPr>
          <w:rFonts w:hint="eastAsia" w:ascii="Times New Roman" w:hAnsi="Times New Roman" w:eastAsia="宋体" w:cs="Times New Roman"/>
          <w:color w:val="auto"/>
          <w:sz w:val="24"/>
          <w:highlight w:val="none"/>
        </w:rPr>
        <w:t xml:space="preserve">根据江苏省和常州市的相关文件规定，免收投标保证金。</w:t>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auto"/>
          <w:sz w:val="24"/>
          <w:highlight w:val="none"/>
          <w:lang w:eastAsia="zh-CN"/>
        </w:rPr>
      </w:pPr>
      <w:r>
        <w:rPr>
          <w:rFonts w:hint="eastAsia" w:cs="Times New Roman"/>
          <w:color w:val="auto"/>
          <w:sz w:val="24"/>
          <w:highlight w:val="none"/>
          <w:lang w:val="en-US" w:eastAsia="zh-CN"/>
        </w:rPr>
        <w:t xml:space="preserve">履约保证金：</w:t>
      </w:r>
      <w:r>
        <w:rPr>
          <w:rFonts w:hint="eastAsia" w:ascii="Times New Roman" w:hAnsi="Times New Roman" w:eastAsia="宋体" w:cs="Times New Roman"/>
          <w:color w:val="auto"/>
          <w:sz w:val="24"/>
          <w:highlight w:val="none"/>
          <w:lang w:val="en-US" w:eastAsia="zh-CN"/>
        </w:rPr>
        <w:t xml:space="preserve">履约保证金为预算金额的10%，中标人须在合同签订前采用银行保函的形式缴纳；履约保证金将在最终验收合格后15日内退回；合同签订后中标人违约，采购人有权没收履约保证金。</w:t>
      </w:r>
      <w:r/>
    </w:p>
    <w:p>
      <w:pPr>
        <w:numPr>
          <w:ilvl w:val="0"/>
          <w:numId w:val="8"/>
        </w:numPr>
        <w:ind w:left="357" w:hanging="357"/>
        <w:spacing w:line="360" w:lineRule="auto"/>
        <w:tabs>
          <w:tab w:val="left" w:pos="360" w:leader="none"/>
        </w:tabs>
        <w:rPr>
          <w:color w:val="auto"/>
          <w:sz w:val="24"/>
          <w:highlight w:val="none"/>
        </w:rPr>
        <w:outlineLvl w:val="1"/>
      </w:pPr>
      <w:r/>
      <w:bookmarkStart w:id="338" w:name="_Toc151190159"/>
      <w:r/>
      <w:bookmarkStart w:id="339" w:name="_Toc520356157"/>
      <w:r/>
      <w:bookmarkStart w:id="340" w:name="_Toc151193920"/>
      <w:r/>
      <w:bookmarkStart w:id="341" w:name="_Toc151193846"/>
      <w:r/>
      <w:bookmarkStart w:id="342" w:name="_Toc150774632"/>
      <w:r/>
      <w:bookmarkStart w:id="343" w:name="_Toc127161446"/>
      <w:r/>
      <w:bookmarkStart w:id="344" w:name="_Toc164608646"/>
      <w:r/>
      <w:bookmarkStart w:id="345" w:name="_Toc164229373"/>
      <w:r/>
      <w:bookmarkStart w:id="346" w:name="_Toc149720825"/>
      <w:r/>
      <w:bookmarkStart w:id="347" w:name="_Toc305158874"/>
      <w:r/>
      <w:bookmarkStart w:id="348" w:name="_Toc150480770"/>
      <w:r/>
      <w:bookmarkStart w:id="349" w:name="_Toc226309776"/>
      <w:r/>
      <w:bookmarkStart w:id="350" w:name="_Toc265228370"/>
      <w:r/>
      <w:bookmarkStart w:id="351" w:name="_Toc164229227"/>
      <w:r/>
      <w:bookmarkStart w:id="352" w:name="_Toc127151733"/>
      <w:r/>
      <w:bookmarkStart w:id="353" w:name="_Toc164608801"/>
      <w:r/>
      <w:bookmarkStart w:id="354" w:name="_Toc226965805"/>
      <w:r/>
      <w:bookmarkStart w:id="355" w:name="_Toc151193630"/>
      <w:r/>
      <w:bookmarkStart w:id="356" w:name="_Toc151193702"/>
      <w:r/>
      <w:bookmarkStart w:id="357" w:name="_Toc142311034"/>
      <w:r/>
      <w:bookmarkStart w:id="358" w:name="_Toc151193774"/>
      <w:r/>
      <w:bookmarkStart w:id="359" w:name="_Toc127151532"/>
      <w:r/>
      <w:bookmarkStart w:id="360" w:name="_Toc150509283"/>
      <w:r/>
      <w:bookmarkStart w:id="361" w:name="_Toc195842897"/>
      <w:r/>
      <w:bookmarkStart w:id="362" w:name="_Toc150774737"/>
      <w:r/>
      <w:bookmarkStart w:id="363" w:name="_Toc305158800"/>
      <w:r/>
      <w:bookmarkStart w:id="364" w:name="_Toc226965722"/>
      <w:r/>
      <w:bookmarkStart w:id="365" w:name="_Toc164351626"/>
      <w:r/>
      <w:bookmarkStart w:id="366" w:name="_Toc226337228"/>
      <w:r/>
      <w:bookmarkStart w:id="367" w:name="_Toc264969222"/>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8" w:name="_Toc195842898"/>
      <w:r/>
      <w:bookmarkStart w:id="369" w:name="_Toc226309777"/>
      <w:r/>
      <w:bookmarkStart w:id="370" w:name="_Toc164229228"/>
      <w:r/>
      <w:bookmarkStart w:id="371" w:name="_Toc150509284"/>
      <w:r/>
      <w:bookmarkStart w:id="372" w:name="_Toc127151734"/>
      <w:r/>
      <w:bookmarkStart w:id="373" w:name="_Toc151193631"/>
      <w:r/>
      <w:bookmarkStart w:id="374" w:name="_Toc164351627"/>
      <w:r/>
      <w:bookmarkStart w:id="375" w:name="_Toc226337229"/>
      <w:r/>
      <w:bookmarkStart w:id="376" w:name="_Toc520356158"/>
      <w:r/>
      <w:bookmarkStart w:id="377" w:name="_Toc264969223"/>
      <w:r/>
      <w:bookmarkStart w:id="378" w:name="_Toc305158875"/>
      <w:r/>
      <w:bookmarkStart w:id="379" w:name="_Toc151193775"/>
      <w:r/>
      <w:bookmarkStart w:id="380" w:name="_Toc142311035"/>
      <w:r/>
      <w:bookmarkStart w:id="381" w:name="_Toc150480771"/>
      <w:r/>
      <w:bookmarkStart w:id="382" w:name="_Toc164608647"/>
      <w:r/>
      <w:bookmarkStart w:id="383" w:name="_Toc164229374"/>
      <w:r/>
      <w:bookmarkStart w:id="384" w:name="_Toc265228371"/>
      <w:r/>
      <w:bookmarkStart w:id="385" w:name="_Toc226965806"/>
      <w:r/>
      <w:bookmarkStart w:id="386" w:name="_Toc164608802"/>
      <w:r/>
      <w:bookmarkStart w:id="387" w:name="_Toc151193921"/>
      <w:r/>
      <w:bookmarkStart w:id="388" w:name="_Toc151193847"/>
      <w:r/>
      <w:bookmarkStart w:id="389" w:name="_Toc151190160"/>
      <w:r/>
      <w:bookmarkStart w:id="390" w:name="_Toc149720826"/>
      <w:r/>
      <w:bookmarkStart w:id="391" w:name="_Toc305158801"/>
      <w:r/>
      <w:bookmarkStart w:id="392" w:name="_Toc127151533"/>
      <w:r/>
      <w:bookmarkStart w:id="393" w:name="_Toc150774633"/>
      <w:r/>
      <w:bookmarkStart w:id="394" w:name="_Toc226965723"/>
      <w:r/>
      <w:bookmarkStart w:id="395" w:name="_Toc127161447"/>
      <w:r/>
      <w:bookmarkStart w:id="396" w:name="_Toc151193703"/>
      <w:r/>
      <w:bookmarkStart w:id="397" w:name="_Toc150774738"/>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8" w:name="_Toc520356159"/>
      <w:r/>
      <w:bookmarkStart w:id="399" w:name="_Toc151193704"/>
      <w:r/>
      <w:bookmarkStart w:id="400" w:name="_Toc150509285"/>
      <w:r/>
      <w:bookmarkStart w:id="401" w:name="_Toc265228372"/>
      <w:r/>
      <w:bookmarkStart w:id="402" w:name="_Toc150774739"/>
      <w:r/>
      <w:bookmarkStart w:id="403" w:name="_Toc151193848"/>
      <w:r/>
      <w:bookmarkStart w:id="404" w:name="_Toc226965724"/>
      <w:r/>
      <w:bookmarkStart w:id="405" w:name="_Toc151193776"/>
      <w:r/>
      <w:bookmarkStart w:id="406" w:name="_Toc305158876"/>
      <w:r/>
      <w:bookmarkStart w:id="407" w:name="_Toc151193922"/>
      <w:r/>
      <w:bookmarkStart w:id="408" w:name="_Toc151193632"/>
      <w:r/>
      <w:bookmarkStart w:id="409" w:name="_Toc142311036"/>
      <w:r/>
      <w:bookmarkStart w:id="410" w:name="_Toc226965807"/>
      <w:r/>
      <w:bookmarkStart w:id="411" w:name="_Toc150774634"/>
      <w:r/>
      <w:bookmarkStart w:id="412" w:name="_Toc195842899"/>
      <w:r/>
      <w:bookmarkStart w:id="413" w:name="_Toc226337230"/>
      <w:r/>
      <w:bookmarkStart w:id="414" w:name="_Toc305158802"/>
      <w:r/>
      <w:bookmarkStart w:id="415" w:name="_Toc127151534"/>
      <w:r/>
      <w:bookmarkStart w:id="416" w:name="_Toc150480772"/>
      <w:r/>
      <w:bookmarkStart w:id="417" w:name="_Toc226309778"/>
      <w:r/>
      <w:bookmarkStart w:id="418" w:name="_Toc264969224"/>
      <w:r/>
      <w:bookmarkStart w:id="419" w:name="_Toc151190161"/>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3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auto"/>
          <w:sz w:val="24"/>
          <w:highlight w:val="none"/>
        </w:rPr>
        <w:outlineLvl w:val="1"/>
      </w:pPr>
      <w:r/>
      <w:bookmarkStart w:id="420" w:name="_Toc151193849"/>
      <w:r/>
      <w:bookmarkStart w:id="421" w:name="_Toc164229230"/>
      <w:r/>
      <w:bookmarkStart w:id="422" w:name="_Toc226309779"/>
      <w:r/>
      <w:bookmarkStart w:id="423" w:name="_Toc226965808"/>
      <w:r/>
      <w:bookmarkStart w:id="424" w:name="_Toc150774635"/>
      <w:r/>
      <w:bookmarkStart w:id="425" w:name="_Toc195842900"/>
      <w:r/>
      <w:bookmarkStart w:id="426" w:name="_Toc149720828"/>
      <w:r/>
      <w:bookmarkStart w:id="427" w:name="_Toc127151736"/>
      <w:r/>
      <w:bookmarkStart w:id="428" w:name="_Toc150509286"/>
      <w:r/>
      <w:bookmarkStart w:id="429" w:name="_Toc151193923"/>
      <w:r/>
      <w:bookmarkStart w:id="430" w:name="_Toc164608649"/>
      <w:r/>
      <w:bookmarkStart w:id="431" w:name="_Toc164229376"/>
      <w:r/>
      <w:bookmarkStart w:id="432" w:name="_Toc305158877"/>
      <w:r/>
      <w:bookmarkStart w:id="433" w:name="_Toc151193705"/>
      <w:r/>
      <w:bookmarkStart w:id="434" w:name="_Toc226965725"/>
      <w:r/>
      <w:bookmarkStart w:id="435" w:name="_Toc265228373"/>
      <w:r/>
      <w:bookmarkStart w:id="436" w:name="_Toc164608804"/>
      <w:r/>
      <w:bookmarkStart w:id="437" w:name="_Toc151193777"/>
      <w:r/>
      <w:bookmarkStart w:id="438" w:name="_Toc151193633"/>
      <w:r/>
      <w:bookmarkStart w:id="439" w:name="_Toc164351629"/>
      <w:r/>
      <w:bookmarkStart w:id="440" w:name="_Toc226337231"/>
      <w:r/>
      <w:bookmarkStart w:id="441" w:name="_Toc127151535"/>
      <w:r/>
      <w:bookmarkStart w:id="442" w:name="_Toc305158803"/>
      <w:r/>
      <w:bookmarkStart w:id="443" w:name="_Toc150774740"/>
      <w:r/>
      <w:bookmarkStart w:id="444" w:name="_Toc264969225"/>
      <w:r/>
      <w:bookmarkStart w:id="445" w:name="_Toc142311037"/>
      <w:r/>
      <w:bookmarkStart w:id="446" w:name="_Toc150480773"/>
      <w:r/>
      <w:bookmarkStart w:id="447" w:name="_Toc520356160"/>
      <w:r/>
      <w:bookmarkStart w:id="448" w:name="_Toc127161449"/>
      <w:r/>
      <w:bookmarkStart w:id="449" w:name="_Toc151190162"/>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政府采购一体化平台“苏采云”</w:t>
      </w:r>
      <w:r>
        <w:rPr>
          <w:color w:val="auto"/>
          <w:sz w:val="24"/>
          <w:highlight w:val="none"/>
        </w:rPr>
        <w:t xml:space="preserve">。投标人根据招标文件及</w:t>
      </w:r>
      <w:r>
        <w:rPr>
          <w:rFonts w:hint="eastAsia"/>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政府采购一体化平台“苏采云”</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50" w:name="_Toc142311038"/>
      <w:r/>
      <w:bookmarkStart w:id="451" w:name="_Toc151193778"/>
      <w:r/>
      <w:bookmarkStart w:id="452" w:name="_Toc151190163"/>
      <w:r/>
      <w:bookmarkStart w:id="453" w:name="_Toc305158804"/>
      <w:r/>
      <w:bookmarkStart w:id="454" w:name="_Toc127151536"/>
      <w:r/>
      <w:bookmarkStart w:id="455" w:name="_Toc149720829"/>
      <w:r/>
      <w:bookmarkStart w:id="456" w:name="_Toc151193706"/>
      <w:r/>
      <w:bookmarkStart w:id="457" w:name="_Toc520356161"/>
      <w:r/>
      <w:bookmarkStart w:id="458" w:name="_Toc164229377"/>
      <w:r/>
      <w:bookmarkStart w:id="459" w:name="_Toc151193634"/>
      <w:r/>
      <w:bookmarkStart w:id="460" w:name="_Toc150774636"/>
      <w:r/>
      <w:bookmarkStart w:id="461" w:name="_Toc164608805"/>
      <w:r/>
      <w:bookmarkStart w:id="462" w:name="_Toc127151737"/>
      <w:r/>
      <w:bookmarkStart w:id="463" w:name="_Toc150774741"/>
      <w:r/>
      <w:bookmarkStart w:id="464" w:name="_Toc164229231"/>
      <w:r/>
      <w:bookmarkStart w:id="465" w:name="_Toc265228374"/>
      <w:r/>
      <w:bookmarkStart w:id="466" w:name="_Toc150509287"/>
      <w:r/>
      <w:bookmarkStart w:id="467" w:name="_Toc226965809"/>
      <w:r/>
      <w:bookmarkStart w:id="468" w:name="_Toc151193924"/>
      <w:r/>
      <w:bookmarkStart w:id="469" w:name="_Toc226309780"/>
      <w:r/>
      <w:bookmarkStart w:id="470" w:name="_Toc151193850"/>
      <w:r/>
      <w:bookmarkStart w:id="471" w:name="_Toc150480774"/>
      <w:r/>
      <w:bookmarkStart w:id="472" w:name="_Toc226337232"/>
      <w:r/>
      <w:bookmarkStart w:id="473" w:name="_Toc195842901"/>
      <w:r/>
      <w:bookmarkStart w:id="474" w:name="_Toc264969226"/>
      <w:r/>
      <w:bookmarkStart w:id="475" w:name="_Toc305158878"/>
      <w:r/>
      <w:bookmarkStart w:id="476" w:name="_Toc164351630"/>
      <w:r/>
      <w:bookmarkStart w:id="477" w:name="_Toc164608650"/>
      <w:r/>
      <w:bookmarkStart w:id="478" w:name="_Toc226965726"/>
      <w:r/>
      <w:bookmarkStart w:id="479" w:name="_Toc127161450"/>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lang w:bidi="ar"/>
        </w:rPr>
        <w:t xml:space="preserve">政府采购一体化平台“苏采云”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80" w:name="_Toc164608806"/>
      <w:r/>
      <w:bookmarkStart w:id="481" w:name="_Toc151190164"/>
      <w:r/>
      <w:bookmarkStart w:id="482" w:name="_Toc226309781"/>
      <w:r/>
      <w:bookmarkStart w:id="483" w:name="_Toc305158805"/>
      <w:r/>
      <w:bookmarkStart w:id="484" w:name="_Toc265228375"/>
      <w:r/>
      <w:bookmarkStart w:id="485" w:name="_Toc142311039"/>
      <w:r/>
      <w:bookmarkStart w:id="486" w:name="_Toc127161451"/>
      <w:r/>
      <w:bookmarkStart w:id="487" w:name="_Toc150480775"/>
      <w:r/>
      <w:bookmarkStart w:id="488" w:name="_Toc226337233"/>
      <w:r/>
      <w:bookmarkStart w:id="489" w:name="_Toc164351631"/>
      <w:r/>
      <w:bookmarkStart w:id="490" w:name="_Toc226965727"/>
      <w:r/>
      <w:bookmarkStart w:id="491" w:name="_Toc127151537"/>
      <w:r/>
      <w:bookmarkStart w:id="492" w:name="_Toc150774742"/>
      <w:r/>
      <w:bookmarkStart w:id="493" w:name="_Toc151193851"/>
      <w:r/>
      <w:bookmarkStart w:id="494" w:name="_Toc226965810"/>
      <w:r/>
      <w:bookmarkStart w:id="495" w:name="_Toc164608651"/>
      <w:r/>
      <w:bookmarkStart w:id="496" w:name="_Toc520356162"/>
      <w:r/>
      <w:bookmarkStart w:id="497" w:name="_Toc150509288"/>
      <w:r/>
      <w:bookmarkStart w:id="498" w:name="_Toc150774637"/>
      <w:r/>
      <w:bookmarkStart w:id="499" w:name="_Toc164229378"/>
      <w:r/>
      <w:bookmarkStart w:id="500" w:name="_Toc151193635"/>
      <w:r/>
      <w:bookmarkStart w:id="501" w:name="_Toc151193779"/>
      <w:r/>
      <w:bookmarkStart w:id="502" w:name="_Toc127151738"/>
      <w:r/>
      <w:bookmarkStart w:id="503" w:name="_Toc151193925"/>
      <w:r/>
      <w:bookmarkStart w:id="504" w:name="_Toc264969227"/>
      <w:r/>
      <w:bookmarkStart w:id="505" w:name="_Toc195842902"/>
      <w:r/>
      <w:bookmarkStart w:id="506" w:name="_Toc164229232"/>
      <w:r/>
      <w:bookmarkStart w:id="507" w:name="_Toc151193707"/>
      <w:r/>
      <w:bookmarkStart w:id="508" w:name="_Toc149720830"/>
      <w:r/>
      <w:bookmarkStart w:id="509" w:name="_Toc305158879"/>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lang w:bidi="ar"/>
        </w:rPr>
        <w:t xml:space="preserve">政府采购一体化平台“苏采云”</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32"/>
        <w:spacing w:before="0" w:line="360" w:lineRule="auto"/>
        <w:rPr>
          <w:rFonts w:ascii="Times New Roman" w:hAnsi="Times New Roman" w:eastAsia="宋体"/>
          <w:color w:val="auto"/>
          <w:sz w:val="28"/>
          <w:highlight w:val="none"/>
        </w:rPr>
      </w:pPr>
      <w:r/>
      <w:bookmarkStart w:id="510" w:name="_Toc150509289"/>
      <w:r/>
      <w:bookmarkStart w:id="511" w:name="_Toc142311040"/>
      <w:r/>
      <w:bookmarkStart w:id="512" w:name="_Toc265228376"/>
      <w:r/>
      <w:bookmarkStart w:id="513" w:name="_Toc150774743"/>
      <w:r/>
      <w:bookmarkStart w:id="514" w:name="_Toc305158880"/>
      <w:r/>
      <w:bookmarkStart w:id="515" w:name="_Toc151193636"/>
      <w:r/>
      <w:bookmarkStart w:id="516" w:name="_Toc150774638"/>
      <w:r/>
      <w:bookmarkStart w:id="517" w:name="_Toc151193708"/>
      <w:r/>
      <w:bookmarkStart w:id="518" w:name="_Toc264969228"/>
      <w:r/>
      <w:bookmarkStart w:id="519" w:name="_Toc305158806"/>
      <w:r/>
      <w:bookmarkStart w:id="520" w:name="_Toc151193852"/>
      <w:r/>
      <w:bookmarkStart w:id="521" w:name="_Toc195842903"/>
      <w:r/>
      <w:bookmarkStart w:id="522" w:name="_Toc226965811"/>
      <w:r/>
      <w:bookmarkStart w:id="523" w:name="_Toc127151538"/>
      <w:r/>
      <w:bookmarkStart w:id="524" w:name="_Toc150480776"/>
      <w:r/>
      <w:bookmarkStart w:id="525" w:name="_Toc151193780"/>
      <w:r/>
      <w:bookmarkStart w:id="526" w:name="_Toc226965728"/>
      <w:r/>
      <w:bookmarkStart w:id="527" w:name="_Toc151193926"/>
      <w:r/>
      <w:bookmarkStart w:id="528" w:name="_Toc151190165"/>
      <w:r/>
      <w:bookmarkStart w:id="529" w:name="_Toc520356163"/>
      <w:r/>
      <w:bookmarkStart w:id="530" w:name="_Toc226309782"/>
      <w:r/>
      <w:bookmarkStart w:id="531" w:name="_Toc226337234"/>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auto"/>
          <w:sz w:val="24"/>
          <w:highlight w:val="none"/>
        </w:rPr>
        <w:outlineLvl w:val="1"/>
      </w:pPr>
      <w:r/>
      <w:bookmarkStart w:id="532" w:name="_Toc142311041"/>
      <w:r/>
      <w:bookmarkStart w:id="533" w:name="_Toc164608653"/>
      <w:r/>
      <w:bookmarkStart w:id="534" w:name="_Toc164229234"/>
      <w:r/>
      <w:bookmarkStart w:id="535" w:name="_Toc226965812"/>
      <w:r/>
      <w:bookmarkStart w:id="536" w:name="_Toc164229380"/>
      <w:r/>
      <w:bookmarkStart w:id="537" w:name="_Toc151190166"/>
      <w:r/>
      <w:bookmarkStart w:id="538" w:name="_Toc265228377"/>
      <w:r/>
      <w:bookmarkStart w:id="539" w:name="_Toc151193927"/>
      <w:r/>
      <w:bookmarkStart w:id="540" w:name="_Toc195842904"/>
      <w:r/>
      <w:bookmarkStart w:id="541" w:name="_Toc150480777"/>
      <w:r/>
      <w:bookmarkStart w:id="542" w:name="_Toc151193781"/>
      <w:r/>
      <w:bookmarkStart w:id="543" w:name="_Toc164351633"/>
      <w:r/>
      <w:bookmarkStart w:id="544" w:name="_Toc151193709"/>
      <w:r/>
      <w:bookmarkStart w:id="545" w:name="_Toc305158881"/>
      <w:r/>
      <w:bookmarkStart w:id="546" w:name="_Toc164608808"/>
      <w:r/>
      <w:bookmarkStart w:id="547" w:name="_Toc151193853"/>
      <w:r/>
      <w:bookmarkStart w:id="548" w:name="_Toc305158807"/>
      <w:r/>
      <w:bookmarkStart w:id="549" w:name="_Toc150774744"/>
      <w:r/>
      <w:bookmarkStart w:id="550" w:name="_Toc127161453"/>
      <w:r/>
      <w:bookmarkStart w:id="551" w:name="_Toc151193637"/>
      <w:r/>
      <w:bookmarkStart w:id="552" w:name="_Toc520356164"/>
      <w:r/>
      <w:bookmarkStart w:id="553" w:name="_Toc150774639"/>
      <w:r/>
      <w:bookmarkStart w:id="554" w:name="_Toc149720832"/>
      <w:r/>
      <w:bookmarkStart w:id="555" w:name="_Toc226337235"/>
      <w:r/>
      <w:bookmarkStart w:id="556" w:name="_Toc226309783"/>
      <w:r/>
      <w:bookmarkStart w:id="557" w:name="_Toc226965729"/>
      <w:r/>
      <w:bookmarkStart w:id="558" w:name="_Toc127151740"/>
      <w:r/>
      <w:bookmarkStart w:id="559" w:name="_Toc127151539"/>
      <w:r/>
      <w:bookmarkStart w:id="560" w:name="_Toc150509290"/>
      <w:r/>
      <w:bookmarkStart w:id="561" w:name="_Toc264969229"/>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政府采购一体化平台“苏采云”</w:t>
      </w:r>
      <w:r>
        <w:rPr>
          <w:rFonts w:hint="eastAsia"/>
          <w:color w:val="auto"/>
          <w:sz w:val="24"/>
          <w:highlight w:val="none"/>
        </w:rPr>
        <w:t xml:space="preserve">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政府采购一体化平台“苏采云”</w:t>
      </w:r>
      <w:r>
        <w:rPr>
          <w:rFonts w:hint="eastAsia"/>
          <w:color w:val="auto"/>
          <w:sz w:val="24"/>
          <w:highlight w:val="none"/>
        </w:rPr>
        <w:t xml:space="preserve">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。投标人超过规定时间未确认但是未提出异议的，系统将视同已确认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auto"/>
          <w:sz w:val="24"/>
          <w:highlight w:val="none"/>
        </w:rPr>
        <w:outlineLvl w:val="1"/>
      </w:pPr>
      <w:r/>
      <w:bookmarkStart w:id="563" w:name="_Toc164229235"/>
      <w:r/>
      <w:bookmarkStart w:id="564" w:name="_Toc150480778"/>
      <w:r/>
      <w:bookmarkStart w:id="565" w:name="_Toc151193782"/>
      <w:r/>
      <w:bookmarkStart w:id="566" w:name="_Toc151193710"/>
      <w:r/>
      <w:bookmarkStart w:id="567" w:name="_Toc264969230"/>
      <w:r/>
      <w:bookmarkStart w:id="568" w:name="_Toc164229381"/>
      <w:r/>
      <w:bookmarkStart w:id="569" w:name="_Toc226965813"/>
      <w:r/>
      <w:bookmarkStart w:id="570" w:name="_Toc164608654"/>
      <w:r/>
      <w:bookmarkStart w:id="571" w:name="_Toc226337236"/>
      <w:r/>
      <w:bookmarkStart w:id="572" w:name="_Toc142311042"/>
      <w:r/>
      <w:bookmarkStart w:id="573" w:name="_Toc150774745"/>
      <w:r/>
      <w:bookmarkStart w:id="574" w:name="_Toc149720833"/>
      <w:r/>
      <w:bookmarkStart w:id="575" w:name="_Toc150509291"/>
      <w:r/>
      <w:bookmarkStart w:id="576" w:name="_Toc265228378"/>
      <w:r/>
      <w:bookmarkStart w:id="577" w:name="_Toc150774640"/>
      <w:r/>
      <w:bookmarkStart w:id="578" w:name="_Toc151193638"/>
      <w:r/>
      <w:bookmarkStart w:id="579" w:name="_Toc226309784"/>
      <w:r/>
      <w:bookmarkStart w:id="580" w:name="_Toc164608809"/>
      <w:r/>
      <w:bookmarkStart w:id="581" w:name="_Toc226965730"/>
      <w:r/>
      <w:bookmarkStart w:id="582" w:name="_Toc305158882"/>
      <w:r/>
      <w:bookmarkStart w:id="583" w:name="_Toc164351634"/>
      <w:r/>
      <w:bookmarkStart w:id="584" w:name="_Toc127151741"/>
      <w:r/>
      <w:bookmarkStart w:id="585" w:name="_Toc127161454"/>
      <w:r/>
      <w:bookmarkStart w:id="586" w:name="_Toc151190167"/>
      <w:r/>
      <w:bookmarkStart w:id="587" w:name="_Toc305158808"/>
      <w:r/>
      <w:bookmarkStart w:id="588" w:name="_Toc127151540"/>
      <w:r/>
      <w:bookmarkStart w:id="589" w:name="_Toc151193854"/>
      <w:r/>
      <w:bookmarkStart w:id="590" w:name="_Toc195842905"/>
      <w:r/>
      <w:bookmarkStart w:id="591" w:name="_Toc151193928"/>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32"/>
        <w:spacing w:before="0" w:line="360" w:lineRule="auto"/>
        <w:rPr>
          <w:rFonts w:ascii="Times New Roman" w:hAnsi="Times New Roman" w:eastAsia="宋体"/>
          <w:color w:val="auto"/>
          <w:sz w:val="28"/>
          <w:highlight w:val="none"/>
        </w:rPr>
      </w:pPr>
      <w:r/>
      <w:bookmarkStart w:id="594" w:name="_Toc150509296"/>
      <w:r/>
      <w:bookmarkStart w:id="595" w:name="_Toc127151545"/>
      <w:r/>
      <w:bookmarkStart w:id="596" w:name="_Toc151190172"/>
      <w:r/>
      <w:bookmarkStart w:id="597" w:name="_Toc305158813"/>
      <w:r/>
      <w:bookmarkStart w:id="598" w:name="_Toc226337241"/>
      <w:r/>
      <w:bookmarkStart w:id="599" w:name="_Toc150774750"/>
      <w:r/>
      <w:bookmarkStart w:id="600" w:name="_Toc151193859"/>
      <w:r/>
      <w:bookmarkStart w:id="601" w:name="_Toc151193643"/>
      <w:r/>
      <w:bookmarkStart w:id="602" w:name="_Toc151193787"/>
      <w:r/>
      <w:bookmarkStart w:id="603" w:name="_Toc150480783"/>
      <w:r/>
      <w:bookmarkStart w:id="604" w:name="_Toc150774645"/>
      <w:r/>
      <w:bookmarkStart w:id="605" w:name="_Toc151193933"/>
      <w:r/>
      <w:bookmarkStart w:id="606" w:name="_Toc226965735"/>
      <w:r/>
      <w:bookmarkStart w:id="607" w:name="_Toc226309789"/>
      <w:r/>
      <w:bookmarkStart w:id="608" w:name="_Toc142311047"/>
      <w:r/>
      <w:bookmarkStart w:id="609" w:name="_Toc151193715"/>
      <w:r/>
      <w:bookmarkStart w:id="610" w:name="_Toc195842910"/>
      <w:r/>
      <w:bookmarkStart w:id="611" w:name="_Toc264969235"/>
      <w:r/>
      <w:bookmarkStart w:id="612" w:name="_Toc305158887"/>
      <w:r/>
      <w:bookmarkStart w:id="613" w:name="_Toc226965818"/>
      <w:r/>
      <w:bookmarkStart w:id="614" w:name="_Toc265228383"/>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164608816"/>
      <w:r/>
      <w:bookmarkStart w:id="617" w:name="_Toc305158815"/>
      <w:r/>
      <w:bookmarkStart w:id="618" w:name="_Toc305158889"/>
      <w:r/>
      <w:bookmarkStart w:id="619" w:name="_Toc226965820"/>
      <w:r/>
      <w:bookmarkStart w:id="620" w:name="_Toc151193717"/>
      <w:r/>
      <w:bookmarkStart w:id="621" w:name="_Toc226965737"/>
      <w:r/>
      <w:bookmarkStart w:id="622" w:name="_Toc150480785"/>
      <w:r/>
      <w:bookmarkStart w:id="623" w:name="_Toc150774647"/>
      <w:r/>
      <w:bookmarkStart w:id="624" w:name="_Toc151190174"/>
      <w:r/>
      <w:bookmarkStart w:id="625" w:name="_Toc151193789"/>
      <w:r/>
      <w:bookmarkStart w:id="626" w:name="_Toc149720840"/>
      <w:r/>
      <w:bookmarkStart w:id="627" w:name="_Toc151193935"/>
      <w:r/>
      <w:bookmarkStart w:id="628" w:name="_Toc195842912"/>
      <w:r/>
      <w:bookmarkStart w:id="629" w:name="_Toc127151547"/>
      <w:r/>
      <w:bookmarkStart w:id="630" w:name="_Toc164229388"/>
      <w:r/>
      <w:bookmarkStart w:id="631" w:name="_Toc264969237"/>
      <w:r/>
      <w:bookmarkStart w:id="632" w:name="_Toc164608661"/>
      <w:r/>
      <w:bookmarkStart w:id="633" w:name="_Toc127161461"/>
      <w:r/>
      <w:bookmarkStart w:id="634" w:name="_Toc142311049"/>
      <w:r/>
      <w:bookmarkStart w:id="635" w:name="_Toc150774752"/>
      <w:r/>
      <w:bookmarkStart w:id="636" w:name="_Toc226337243"/>
      <w:r/>
      <w:bookmarkStart w:id="637" w:name="_Toc127151748"/>
      <w:r/>
      <w:bookmarkStart w:id="638" w:name="_Toc226309791"/>
      <w:r/>
      <w:bookmarkStart w:id="639" w:name="_Toc164229242"/>
      <w:r/>
      <w:bookmarkStart w:id="640" w:name="_Toc151193645"/>
      <w:r/>
      <w:bookmarkStart w:id="641" w:name="_Toc151193861"/>
      <w:r/>
      <w:bookmarkStart w:id="642" w:name="_Toc150509298"/>
      <w:r/>
      <w:bookmarkStart w:id="643" w:name="_Toc26522838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4" w:name="_Toc305158817"/>
      <w:r/>
      <w:bookmarkStart w:id="645" w:name="_Toc305158891"/>
      <w:r/>
      <w:bookmarkStart w:id="646" w:name="_Toc226309793"/>
      <w:r/>
      <w:bookmarkStart w:id="647" w:name="_Toc151193863"/>
      <w:r/>
      <w:bookmarkStart w:id="648" w:name="_Toc265228387"/>
      <w:r/>
      <w:bookmarkStart w:id="649" w:name="_Toc164229390"/>
      <w:r/>
      <w:bookmarkStart w:id="650" w:name="_Toc127151549"/>
      <w:r/>
      <w:bookmarkStart w:id="651" w:name="_Toc195842914"/>
      <w:r/>
      <w:bookmarkStart w:id="652" w:name="_Toc151193719"/>
      <w:r/>
      <w:bookmarkStart w:id="653" w:name="_Toc164229244"/>
      <w:r/>
      <w:bookmarkStart w:id="654" w:name="_Toc150774649"/>
      <w:r/>
      <w:bookmarkStart w:id="655" w:name="_Toc127161463"/>
      <w:r/>
      <w:bookmarkStart w:id="656" w:name="_Toc151193937"/>
      <w:r/>
      <w:bookmarkStart w:id="657" w:name="_Toc150480787"/>
      <w:r/>
      <w:bookmarkStart w:id="658" w:name="_Toc226965822"/>
      <w:r/>
      <w:bookmarkStart w:id="659" w:name="_Toc149720842"/>
      <w:r/>
      <w:bookmarkStart w:id="660" w:name="_Toc150774754"/>
      <w:r/>
      <w:bookmarkStart w:id="661" w:name="_Toc226965739"/>
      <w:r/>
      <w:bookmarkStart w:id="662" w:name="_Toc142311051"/>
      <w:r/>
      <w:bookmarkStart w:id="663" w:name="_Toc164608818"/>
      <w:r/>
      <w:bookmarkStart w:id="664" w:name="_Toc151193647"/>
      <w:r/>
      <w:bookmarkStart w:id="665" w:name="_Toc150509300"/>
      <w:r/>
      <w:bookmarkStart w:id="666" w:name="_Toc151193791"/>
      <w:r/>
      <w:bookmarkStart w:id="667" w:name="_Toc264969239"/>
      <w:r/>
      <w:bookmarkStart w:id="668" w:name="_Toc164608663"/>
      <w:r/>
      <w:bookmarkStart w:id="669" w:name="_Toc164351643"/>
      <w:r/>
      <w:bookmarkStart w:id="670" w:name="_Toc127151750"/>
      <w:r/>
      <w:bookmarkStart w:id="671" w:name="_Toc226337245"/>
      <w:r/>
      <w:bookmarkStart w:id="672" w:name="_Toc151190176"/>
      <w:r/>
      <w:bookmarkStart w:id="673" w:name="_Ref467307090"/>
      <w:r/>
      <w:bookmarkStart w:id="674" w:name="_Ref467306425"/>
      <w:r/>
      <w:bookmarkStart w:id="675" w:name="_Toc520356176"/>
      <w:r>
        <w:rPr>
          <w:color w:val="auto"/>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spacing w:line="360" w:lineRule="auto"/>
        <w:rPr>
          <w:rFonts w:hint="eastAsia"/>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auto"/>
          <w:sz w:val="24"/>
          <w:highlight w:val="none"/>
        </w:rPr>
        <w:outlineLvl w:val="1"/>
      </w:pPr>
      <w:r/>
      <w:bookmarkStart w:id="676" w:name="_Toc164608664"/>
      <w:r/>
      <w:bookmarkStart w:id="677" w:name="_Toc150509301"/>
      <w:r/>
      <w:bookmarkStart w:id="678" w:name="_Toc127151550"/>
      <w:r/>
      <w:bookmarkStart w:id="679" w:name="_Toc265228388"/>
      <w:r/>
      <w:bookmarkStart w:id="680" w:name="_Toc151193648"/>
      <w:r/>
      <w:bookmarkStart w:id="681" w:name="_Toc226337246"/>
      <w:r/>
      <w:bookmarkStart w:id="682" w:name="_Toc164351644"/>
      <w:r/>
      <w:bookmarkStart w:id="683" w:name="_Toc151193720"/>
      <w:r/>
      <w:bookmarkStart w:id="684" w:name="_Toc150774755"/>
      <w:r/>
      <w:bookmarkStart w:id="685" w:name="_Toc127151751"/>
      <w:r/>
      <w:bookmarkStart w:id="686" w:name="_Toc226965823"/>
      <w:r/>
      <w:bookmarkStart w:id="687" w:name="_Toc520356175"/>
      <w:r/>
      <w:bookmarkStart w:id="688" w:name="_Toc226965740"/>
      <w:r/>
      <w:bookmarkStart w:id="689" w:name="_Toc142311052"/>
      <w:r/>
      <w:bookmarkStart w:id="690" w:name="_Ref467307204"/>
      <w:r/>
      <w:bookmarkStart w:id="691" w:name="_Toc264969240"/>
      <w:r/>
      <w:bookmarkStart w:id="692" w:name="_Toc151190177"/>
      <w:r/>
      <w:bookmarkStart w:id="693" w:name="_Toc151193792"/>
      <w:r/>
      <w:bookmarkStart w:id="694" w:name="_Toc127161464"/>
      <w:r/>
      <w:bookmarkStart w:id="695" w:name="_Toc149720843"/>
      <w:r/>
      <w:bookmarkStart w:id="696" w:name="_Ref467306978"/>
      <w:r/>
      <w:bookmarkStart w:id="697" w:name="_Toc151193864"/>
      <w:r/>
      <w:bookmarkStart w:id="698" w:name="_Ref467307062"/>
      <w:r/>
      <w:bookmarkStart w:id="699" w:name="_Toc164608819"/>
      <w:r/>
      <w:bookmarkStart w:id="700" w:name="_Toc305158818"/>
      <w:r/>
      <w:bookmarkStart w:id="701" w:name="_Toc164229391"/>
      <w:r/>
      <w:bookmarkStart w:id="702" w:name="_Toc150480788"/>
      <w:r/>
      <w:bookmarkStart w:id="703" w:name="_Toc151193938"/>
      <w:r/>
      <w:bookmarkStart w:id="704" w:name="_Toc305158892"/>
      <w:r/>
      <w:bookmarkStart w:id="705" w:name="_Toc226309794"/>
      <w:r/>
      <w:bookmarkStart w:id="706" w:name="_Toc164229245"/>
      <w:r/>
      <w:bookmarkStart w:id="707" w:name="_Toc195842915"/>
      <w:r/>
      <w:bookmarkStart w:id="708" w:name="_Toc150774650"/>
      <w:r/>
      <w:bookmarkStart w:id="709" w:name="_Ref467306377"/>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rFonts w:hint="eastAsia"/>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209"/>
          <w:color w:val="auto"/>
          <w:highlight w:val="none"/>
        </w:rPr>
        <w:t xml:space="preserve">http://gk</w:t>
      </w:r>
      <w:bookmarkStart w:id="710" w:name="_Hlt100654014"/>
      <w:r>
        <w:rPr>
          <w:rStyle w:val="1209"/>
          <w:color w:val="auto"/>
          <w:highlight w:val="none"/>
        </w:rPr>
        <w:t xml:space="preserve">s</w:t>
      </w:r>
      <w:bookmarkEnd w:id="710"/>
      <w:r>
        <w:rPr>
          <w:rStyle w:val="1209"/>
          <w:color w:val="auto"/>
          <w:highlight w:val="none"/>
        </w:rPr>
        <w:t xml:space="preserve">.m</w:t>
      </w:r>
      <w:bookmarkStart w:id="711" w:name="_Hlt100653994"/>
      <w:r/>
      <w:bookmarkStart w:id="712" w:name="_Hlt100653993"/>
      <w:r>
        <w:rPr>
          <w:rStyle w:val="1209"/>
          <w:color w:val="auto"/>
          <w:highlight w:val="none"/>
        </w:rPr>
        <w:t xml:space="preserve">o</w:t>
      </w:r>
      <w:bookmarkEnd w:id="711"/>
      <w:r/>
      <w:bookmarkEnd w:id="712"/>
      <w:r>
        <w:rPr>
          <w:rStyle w:val="1209"/>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采购代理服务费开票方式：江苏增值税普通发票。</w:t>
      </w:r>
      <w:r/>
    </w:p>
    <w:p>
      <w:pPr>
        <w:jc w:val="center"/>
        <w:spacing w:line="360" w:lineRule="auto"/>
        <w:rPr>
          <w:b/>
          <w:color w:val="auto"/>
          <w:sz w:val="36"/>
          <w:szCs w:val="36"/>
          <w:highlight w:val="none"/>
        </w:rPr>
        <w:outlineLvl w:val="0"/>
      </w:pPr>
      <w:r/>
      <w:bookmarkStart w:id="713" w:name="_Toc353873664"/>
      <w:r/>
      <w:bookmarkStart w:id="714" w:name="_Toc264969244"/>
      <w:r/>
      <w:bookmarkStart w:id="715" w:name="_Toc226965827"/>
      <w:r/>
      <w:bookmarkStart w:id="716" w:name="_Toc150774759"/>
      <w:r/>
      <w:bookmarkStart w:id="717" w:name="_Toc305158896"/>
      <w:r/>
      <w:bookmarkStart w:id="718" w:name="_Toc142311056"/>
      <w:r/>
      <w:bookmarkStart w:id="719" w:name="_Toc150480792"/>
      <w:r/>
      <w:bookmarkStart w:id="720" w:name="_Toc226337250"/>
      <w:r/>
      <w:bookmarkStart w:id="721" w:name="_Toc353873934"/>
      <w:r/>
      <w:bookmarkStart w:id="722" w:name="_Toc305158822"/>
      <w:r/>
      <w:bookmarkStart w:id="723" w:name="_Toc353825544"/>
      <w:r/>
      <w:bookmarkStart w:id="724" w:name="_Toc127151554"/>
      <w:r/>
      <w:bookmarkStart w:id="725" w:name="_Toc265228392"/>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5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color w:val="auto"/>
                <w:sz w:val="24"/>
                <w:highlight w:val="none"/>
              </w:rPr>
            </w:pPr>
            <w:r/>
            <w:bookmarkStart w:id="729" w:name="_Hlt487972895"/>
            <w:r/>
            <w:bookmarkEnd w:id="729"/>
            <w:r>
              <w:rPr>
                <w:b/>
                <w:color w:val="auto"/>
                <w:sz w:val="24"/>
                <w:highlight w:val="none"/>
              </w:rPr>
              <w:t xml:space="preserve">序号</w:t>
            </w:r>
            <w:r/>
          </w:p>
        </w:tc>
        <w:tc>
          <w:tcPr>
            <w:tcW w:w="106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5"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其他</w:t>
            </w:r>
            <w:r>
              <w:rPr>
                <w:color w:val="auto"/>
                <w:sz w:val="24"/>
                <w:highlight w:val="none"/>
              </w:rPr>
              <w:t xml:space="preserve">落实政府采购政策的资格要求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color w:val="auto"/>
          <w:sz w:val="24"/>
          <w:highlight w:val="none"/>
        </w:rPr>
      </w:pPr>
      <w:r/>
      <w:bookmarkStart w:id="730" w:name="_Toc127151779"/>
      <w:r/>
      <w:bookmarkStart w:id="731" w:name="_Toc226965858"/>
      <w:r/>
      <w:bookmarkStart w:id="732" w:name="_Toc127161490"/>
      <w:r/>
      <w:bookmarkStart w:id="733" w:name="_Toc353825550"/>
      <w:r/>
      <w:bookmarkStart w:id="734" w:name="_Toc353873940"/>
      <w:r>
        <w:rPr>
          <w:color w:val="auto"/>
          <w:sz w:val="24"/>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735" w:name="_Toc99301423"/>
      <w:r>
        <w:rPr>
          <w:rFonts w:ascii="Times New Roman" w:hAnsi="Times New Roman" w:eastAsia="宋体" w:cs="Times New Roman"/>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outlineLvl w:val="1"/>
      </w:pPr>
      <w:r/>
      <w:bookmarkStart w:id="737" w:name="_Toc142311043"/>
      <w:r/>
      <w:bookmarkStart w:id="738" w:name="_Toc305158883"/>
      <w:r/>
      <w:bookmarkStart w:id="739" w:name="_Toc127161455"/>
      <w:r/>
      <w:bookmarkStart w:id="740" w:name="_Toc151190168"/>
      <w:r/>
      <w:bookmarkStart w:id="741" w:name="_Toc151193929"/>
      <w:r/>
      <w:bookmarkStart w:id="742" w:name="_Toc164608655"/>
      <w:r/>
      <w:bookmarkStart w:id="743" w:name="_Toc164229382"/>
      <w:r/>
      <w:bookmarkStart w:id="744" w:name="_Toc226337237"/>
      <w:r/>
      <w:bookmarkStart w:id="745" w:name="_Toc151193855"/>
      <w:r/>
      <w:bookmarkStart w:id="746" w:name="_Toc305158809"/>
      <w:r/>
      <w:bookmarkStart w:id="747" w:name="_Toc226965731"/>
      <w:r/>
      <w:bookmarkStart w:id="748" w:name="_Toc149720834"/>
      <w:r/>
      <w:bookmarkStart w:id="749" w:name="_Toc127151541"/>
      <w:r/>
      <w:bookmarkStart w:id="750" w:name="_Toc226965814"/>
      <w:r/>
      <w:bookmarkStart w:id="751" w:name="_Toc150509292"/>
      <w:r/>
      <w:bookmarkStart w:id="752" w:name="_Toc151193639"/>
      <w:r/>
      <w:bookmarkStart w:id="753" w:name="_Toc151193783"/>
      <w:r/>
      <w:bookmarkStart w:id="754" w:name="_Toc265228379"/>
      <w:r/>
      <w:bookmarkStart w:id="755" w:name="_Toc164351635"/>
      <w:r/>
      <w:bookmarkStart w:id="756" w:name="_Toc264969231"/>
      <w:r/>
      <w:bookmarkStart w:id="757" w:name="_Toc164229236"/>
      <w:r/>
      <w:bookmarkStart w:id="758" w:name="_Toc226309785"/>
      <w:r/>
      <w:bookmarkStart w:id="759" w:name="_Toc150774746"/>
      <w:r/>
      <w:bookmarkStart w:id="760" w:name="_Toc151193711"/>
      <w:r/>
      <w:bookmarkStart w:id="761" w:name="_Toc127151742"/>
      <w:r/>
      <w:bookmarkStart w:id="762" w:name="_Toc164608810"/>
      <w:r/>
      <w:bookmarkStart w:id="763" w:name="_Toc150480779"/>
      <w:r/>
      <w:bookmarkStart w:id="764" w:name="_Toc195842906"/>
      <w:r/>
      <w:bookmarkStart w:id="765" w:name="_Toc150774641"/>
      <w:r/>
      <w:bookmarkStart w:id="766" w:name="_Toc353825551"/>
      <w:r/>
      <w:bookmarkStart w:id="767" w:name="_Toc353873941"/>
      <w:r/>
      <w:bookmarkStart w:id="768" w:name="_Toc142311057"/>
      <w:r/>
      <w:bookmarkStart w:id="769" w:name="_Toc353873665"/>
      <w:r/>
      <w:bookmarkStart w:id="770" w:name="_Toc150480793"/>
      <w:r/>
      <w:bookmarkStart w:id="771" w:name="_Toc305158897"/>
      <w:r/>
      <w:bookmarkStart w:id="772" w:name="_Toc127151555"/>
      <w:r/>
      <w:bookmarkStart w:id="773" w:name="_Toc264969245"/>
      <w:r/>
      <w:bookmarkStart w:id="774" w:name="_Toc353825545"/>
      <w:r/>
      <w:bookmarkStart w:id="775" w:name="_Toc150774760"/>
      <w:r/>
      <w:bookmarkStart w:id="776" w:name="_Toc195842920"/>
      <w:r/>
      <w:bookmarkStart w:id="777" w:name="_Toc265228393"/>
      <w:r/>
      <w:bookmarkStart w:id="778" w:name="_Toc226965828"/>
      <w:r/>
      <w:bookmarkStart w:id="779" w:name="_Toc353873935"/>
      <w:r/>
      <w:bookmarkStart w:id="780" w:name="_Toc226337251"/>
      <w:r/>
      <w:bookmarkStart w:id="781" w:name="_Toc305158823"/>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jc w:val="center"/>
          <w:trHeight w:val="300"/>
        </w:trPr>
        <w:tc>
          <w:tcPr>
            <w:tcW w:w="403" w:type="pct"/>
            <w:vAlign w:val="center"/>
            <w:textDirection w:val="lrTb"/>
            <w:noWrap w:val="false"/>
          </w:tcPr>
          <w:p>
            <w:pPr>
              <w:jc w:val="center"/>
              <w:widowControl/>
              <w:rPr>
                <w:rFonts w:hint="default"/>
                <w:b/>
                <w:color w:val="auto"/>
                <w:sz w:val="24"/>
              </w:rPr>
            </w:pPr>
            <w:r>
              <w:rPr>
                <w:rFonts w:hint="default"/>
                <w:b/>
                <w:color w:val="auto"/>
                <w:sz w:val="24"/>
              </w:rPr>
              <w:t xml:space="preserve">序号</w:t>
            </w:r>
            <w:r/>
          </w:p>
        </w:tc>
        <w:tc>
          <w:tcPr>
            <w:tcW w:w="975" w:type="pct"/>
            <w:vAlign w:val="center"/>
            <w:textDirection w:val="lrTb"/>
            <w:noWrap w:val="false"/>
          </w:tcPr>
          <w:p>
            <w:pPr>
              <w:jc w:val="center"/>
              <w:widowControl/>
              <w:rPr>
                <w:rFonts w:hint="default"/>
                <w:b/>
                <w:color w:val="auto"/>
                <w:sz w:val="24"/>
              </w:rPr>
            </w:pPr>
            <w:r>
              <w:rPr>
                <w:rFonts w:hint="default"/>
                <w:b/>
                <w:color w:val="auto"/>
                <w:sz w:val="24"/>
              </w:rPr>
              <w:t xml:space="preserve">审查因素</w:t>
            </w:r>
            <w:r/>
          </w:p>
        </w:tc>
        <w:tc>
          <w:tcPr>
            <w:tcW w:w="3620" w:type="pct"/>
            <w:vAlign w:val="center"/>
            <w:textDirection w:val="lrTb"/>
            <w:noWrap w:val="false"/>
          </w:tcPr>
          <w:p>
            <w:pPr>
              <w:jc w:val="center"/>
              <w:widowControl/>
              <w:rPr>
                <w:rFonts w:hint="default"/>
                <w:b/>
                <w:color w:val="auto"/>
                <w:sz w:val="24"/>
              </w:rPr>
            </w:pPr>
            <w:r>
              <w:rPr>
                <w:rFonts w:hint="default"/>
                <w:b/>
                <w:color w:val="auto"/>
                <w:sz w:val="24"/>
              </w:rPr>
              <w:t xml:space="preserve">审查内容</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w:t>
            </w:r>
            <w:r/>
          </w:p>
        </w:tc>
        <w:tc>
          <w:tcPr>
            <w:tcW w:w="975" w:type="pct"/>
            <w:vAlign w:val="center"/>
            <w:textDirection w:val="lrTb"/>
            <w:noWrap w:val="false"/>
          </w:tcPr>
          <w:p>
            <w:pPr>
              <w:jc w:val="left"/>
              <w:widowControl/>
              <w:rPr>
                <w:rFonts w:hint="default"/>
                <w:color w:val="auto"/>
                <w:sz w:val="24"/>
              </w:rPr>
            </w:pPr>
            <w:r>
              <w:rPr>
                <w:rFonts w:hint="eastAsia"/>
                <w:color w:val="auto"/>
                <w:sz w:val="24"/>
              </w:rPr>
              <w:t xml:space="preserve">投标函、法定代表人资格证明书和政府采购供应商信用承诺书</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按招标文件要求提供</w:t>
            </w:r>
            <w:r>
              <w:rPr>
                <w:rFonts w:hint="eastAsia"/>
                <w:color w:val="auto"/>
                <w:sz w:val="24"/>
              </w:rPr>
              <w:t xml:space="preserve">投标函、法定代表人资格证明书和政府采购供应商信用承诺书</w:t>
            </w:r>
            <w:r>
              <w:rPr>
                <w:rFonts w:hint="default"/>
                <w:color w:val="auto"/>
                <w:sz w:val="24"/>
              </w:rPr>
              <w:t xml:space="preserve">；</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2</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投标完整性</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未</w:t>
            </w:r>
            <w:r>
              <w:rPr>
                <w:rFonts w:hint="default"/>
                <w:color w:val="auto"/>
                <w:sz w:val="24"/>
              </w:rPr>
              <w:t xml:space="preserve">将一个采购包中的内容拆开投标；</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3</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投标报价</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投标报价</w:t>
            </w:r>
            <w:r>
              <w:rPr>
                <w:rFonts w:hint="eastAsia"/>
                <w:color w:val="auto"/>
                <w:sz w:val="24"/>
              </w:rPr>
              <w:t xml:space="preserve">未</w:t>
            </w:r>
            <w:r>
              <w:rPr>
                <w:rFonts w:hint="default"/>
                <w:color w:val="auto"/>
                <w:sz w:val="24"/>
              </w:rPr>
              <w:t xml:space="preserve">超过招标文件中规定的项目/采购包预算金额或者项目/采购包最高限价；</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4</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报价唯一性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未出现可选择性或可调整的报价（招标文件另有规定的除外）</w:t>
            </w:r>
            <w:r>
              <w:rPr>
                <w:rFonts w:hint="default"/>
                <w:color w:val="auto"/>
                <w:sz w:val="24"/>
              </w:rPr>
              <w:t xml:space="preserve">；</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5</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投标有效期</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投标文件中承诺的投标有效期</w:t>
            </w:r>
            <w:r>
              <w:rPr>
                <w:rFonts w:hint="eastAsia"/>
                <w:color w:val="auto"/>
                <w:sz w:val="24"/>
              </w:rPr>
              <w:t xml:space="preserve">满足</w:t>
            </w:r>
            <w:r>
              <w:rPr>
                <w:rFonts w:hint="default"/>
                <w:color w:val="auto"/>
                <w:sz w:val="24"/>
              </w:rPr>
              <w:t xml:space="preserve">招标文件中载明的投标有效期的；</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6</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签署、加盖公章</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按照招标文件要求签署、加盖公章的；</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eastAsia"/>
                <w:color w:val="auto"/>
                <w:sz w:val="24"/>
              </w:rPr>
              <w:t xml:space="preserve">7</w:t>
            </w:r>
            <w:r/>
          </w:p>
        </w:tc>
        <w:tc>
          <w:tcPr>
            <w:tcW w:w="975" w:type="pct"/>
            <w:vAlign w:val="center"/>
            <w:textDirection w:val="lrTb"/>
            <w:noWrap w:val="false"/>
          </w:tcPr>
          <w:p>
            <w:pPr>
              <w:jc w:val="left"/>
              <w:widowControl/>
              <w:rPr>
                <w:rFonts w:hint="default"/>
                <w:color w:val="auto"/>
                <w:sz w:val="24"/>
              </w:rPr>
            </w:pPr>
            <w:r>
              <w:rPr>
                <w:rFonts w:hint="eastAsia"/>
                <w:color w:val="auto"/>
                <w:sz w:val="24"/>
              </w:rPr>
              <w:t xml:space="preserve">实质性格式</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标记为</w:t>
            </w:r>
            <w:r>
              <w:rPr>
                <w:rFonts w:hint="default"/>
                <w:color w:val="auto"/>
                <w:sz w:val="24"/>
              </w:rPr>
              <w:t xml:space="preserve">“实质性格式”的</w:t>
            </w:r>
            <w:r>
              <w:rPr>
                <w:rFonts w:hint="eastAsia"/>
                <w:color w:val="auto"/>
                <w:sz w:val="24"/>
              </w:rPr>
              <w:t xml:space="preserve">文件均按</w:t>
            </w:r>
            <w:r>
              <w:rPr>
                <w:rFonts w:hint="default"/>
                <w:color w:val="auto"/>
                <w:sz w:val="24"/>
              </w:rPr>
              <w:t xml:space="preserve">招标文件</w:t>
            </w:r>
            <w:r>
              <w:rPr>
                <w:rFonts w:hint="eastAsia"/>
                <w:color w:val="auto"/>
                <w:sz w:val="24"/>
              </w:rPr>
              <w:t xml:space="preserve">要求提供；</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8</w:t>
            </w:r>
            <w:r/>
          </w:p>
        </w:tc>
        <w:tc>
          <w:tcPr>
            <w:tcW w:w="975" w:type="pct"/>
            <w:vAlign w:val="center"/>
            <w:textDirection w:val="lrTb"/>
            <w:noWrap w:val="false"/>
          </w:tcPr>
          <w:p>
            <w:pPr>
              <w:jc w:val="left"/>
              <w:widowControl/>
              <w:rPr>
                <w:rFonts w:hint="default"/>
                <w:color w:val="auto"/>
                <w:sz w:val="24"/>
              </w:rPr>
            </w:pPr>
            <w:r>
              <w:rPr>
                <w:rFonts w:hint="default" w:ascii="Segoe UI Symbol" w:hAnsi="Segoe UI Symbol" w:cs="Segoe UI Symbol"/>
                <w:color w:val="auto"/>
                <w:sz w:val="24"/>
              </w:rPr>
              <w:t xml:space="preserve">★</w:t>
            </w:r>
            <w:r>
              <w:rPr>
                <w:rFonts w:hint="default"/>
                <w:color w:val="auto"/>
                <w:sz w:val="24"/>
              </w:rPr>
              <w:t xml:space="preserve">号条款响应</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投标文件满足招标文件第五章《采购需求》中</w:t>
            </w:r>
            <w:r>
              <w:rPr>
                <w:rFonts w:hint="default" w:ascii="Segoe UI Symbol" w:hAnsi="Segoe UI Symbol" w:cs="Segoe UI Symbol"/>
                <w:color w:val="auto"/>
                <w:sz w:val="24"/>
              </w:rPr>
              <w:t xml:space="preserve">★</w:t>
            </w:r>
            <w:r>
              <w:rPr>
                <w:rFonts w:hint="default"/>
                <w:color w:val="auto"/>
                <w:sz w:val="24"/>
              </w:rPr>
              <w:t xml:space="preserve">号条款要求的；</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9</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分包承担主体资质（如有）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分包承担主体具备《投标人须知资料表》载明的资质条件</w:t>
            </w:r>
            <w:r>
              <w:rPr>
                <w:rFonts w:hint="eastAsia"/>
                <w:color w:val="auto"/>
                <w:sz w:val="24"/>
              </w:rPr>
              <w:t xml:space="preserve">且</w:t>
            </w:r>
            <w:r>
              <w:rPr>
                <w:rFonts w:hint="default"/>
                <w:color w:val="auto"/>
                <w:sz w:val="24"/>
              </w:rPr>
              <w:t xml:space="preserve">提供</w:t>
            </w:r>
            <w:r>
              <w:rPr>
                <w:rFonts w:hint="eastAsia"/>
                <w:color w:val="auto"/>
                <w:sz w:val="24"/>
              </w:rPr>
              <w:t xml:space="preserve">了</w:t>
            </w:r>
            <w:r>
              <w:rPr>
                <w:rFonts w:hint="default"/>
                <w:color w:val="auto"/>
                <w:sz w:val="24"/>
              </w:rPr>
              <w:t xml:space="preserve">资质证书电子件</w:t>
            </w:r>
            <w:r>
              <w:rPr>
                <w:rFonts w:hint="eastAsia"/>
                <w:color w:val="auto"/>
                <w:sz w:val="24"/>
              </w:rPr>
              <w:t xml:space="preserve">（如有）</w:t>
            </w:r>
            <w:r>
              <w:rPr>
                <w:rFonts w:hint="default"/>
                <w:color w:val="auto"/>
                <w:sz w:val="24"/>
              </w:rPr>
              <w:t xml:space="preserve">；</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10</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分包意向协议</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按招标文件规定签订并提供分包意向协议原件的电子件的；</w:t>
            </w:r>
            <w:r>
              <w:rPr>
                <w:rFonts w:hint="eastAsia"/>
                <w:color w:val="auto"/>
                <w:sz w:val="24"/>
              </w:rPr>
              <w:t xml:space="preserve">（如有）</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11</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报价的修正（如有）</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不涉及报价修正</w:t>
            </w:r>
            <w:r>
              <w:rPr>
                <w:rFonts w:hint="default"/>
                <w:color w:val="auto"/>
                <w:sz w:val="24"/>
              </w:rPr>
              <w:t xml:space="preserve">，或投标文件报价出现前后不一致</w:t>
            </w:r>
            <w:r>
              <w:rPr>
                <w:rFonts w:hint="eastAsia"/>
                <w:color w:val="auto"/>
                <w:sz w:val="24"/>
              </w:rPr>
              <w:t xml:space="preserve">时</w:t>
            </w:r>
            <w:r>
              <w:rPr>
                <w:rFonts w:hint="default"/>
                <w:color w:val="auto"/>
                <w:sz w:val="24"/>
              </w:rPr>
              <w:t xml:space="preserve">，投标人对修正后的报价予</w:t>
            </w:r>
            <w:r>
              <w:rPr>
                <w:rFonts w:hint="eastAsia"/>
                <w:color w:val="auto"/>
                <w:sz w:val="24"/>
              </w:rPr>
              <w:t xml:space="preserve">以</w:t>
            </w:r>
            <w:r>
              <w:rPr>
                <w:rFonts w:hint="default"/>
                <w:color w:val="auto"/>
                <w:sz w:val="24"/>
              </w:rPr>
              <w:t xml:space="preserve">确认；（如有）</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12</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报价合理性</w:t>
            </w:r>
            <w:r/>
          </w:p>
        </w:tc>
        <w:tc>
          <w:tcPr>
            <w:tcW w:w="3620" w:type="pct"/>
            <w:vAlign w:val="center"/>
            <w:textDirection w:val="lrTb"/>
            <w:noWrap w:val="false"/>
          </w:tcPr>
          <w:p>
            <w:pPr>
              <w:jc w:val="left"/>
              <w:widowControl/>
              <w:rPr>
                <w:rFonts w:hint="eastAsia" w:ascii="宋体" w:hAnsi="宋体" w:eastAsia="宋体" w:cs="Times New Roman"/>
                <w:sz w:val="24"/>
              </w:rPr>
            </w:pPr>
            <w:r>
              <w:rPr>
                <w:rFonts w:hint="eastAsia" w:ascii="宋体" w:hAnsi="宋体" w:eastAsia="宋体" w:cs="宋体"/>
                <w:color w:val="000000"/>
                <w:sz w:val="24"/>
              </w:rPr>
              <w:t xml:space="preserve">根据《江苏省财政厅转发财政部关于推动解决政府采购异常低价问题的通知》（苏财购〔2026〕36号）文件之规定</w:t>
            </w:r>
            <w:r>
              <w:rPr>
                <w:rFonts w:hint="eastAsia" w:ascii="宋体" w:hAnsi="宋体" w:eastAsia="宋体" w:cs="Times New Roman"/>
                <w:sz w:val="24"/>
              </w:rPr>
              <w:t xml:space="preserve">：当评审过程中出现下列情形之一的，评审委员会应当启动异常低价投标（响应）审查程序： </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1.投标（响应）报价低于全部通过符合性审查供应商投标（响应）报价平均值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%的，即投标（响应）报价&lt;全部通过符合性审查供应商投标（响应）报价平均值×</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2.投标（响应）报价低于通过符合性审查的次低报价供应商投标（响应）报价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%的，即投标（响应）报价&lt;通过符合性审查的次低报价供应商投标（响应）报价×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3.投标（响应）报价低于采购项目最高限价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%的，即投标（响应）报价&lt;采购项目最高限价×</w:t>
            </w:r>
            <w:r>
              <w:rPr>
                <w:rFonts w:hint="eastAsia" w:ascii="宋体" w:hAnsi="宋体" w:eastAsia="宋体" w:cs="Times New Roman"/>
                <w:sz w:val="24"/>
                <w:lang w:val="en-US" w:eastAsia="zh-CN"/>
              </w:rPr>
              <w:t xml:space="preserve">65</w:t>
            </w:r>
            <w:r>
              <w:rPr>
                <w:rFonts w:hint="eastAsia" w:ascii="宋体" w:hAnsi="宋体" w:eastAsia="宋体" w:cs="Times New Roman"/>
                <w:sz w:val="24"/>
              </w:rPr>
              <w:t xml:space="preserve">%；</w:t>
            </w:r>
            <w:r/>
          </w:p>
          <w:p>
            <w:pPr>
              <w:jc w:val="left"/>
              <w:widowControl/>
              <w:rPr>
                <w:rFonts w:hint="eastAsia" w:ascii="宋体" w:hAnsi="宋体" w:eastAsia="宋体" w:cs="Times New Roman"/>
                <w:sz w:val="24"/>
              </w:rPr>
            </w:pPr>
            <w:r>
              <w:rPr>
                <w:rFonts w:hint="eastAsia" w:ascii="宋体" w:hAnsi="宋体" w:eastAsia="宋体" w:cs="Times New Roman"/>
                <w:sz w:val="24"/>
              </w:rPr>
              <w:t xml:space="preserve">4.评审委员会基于专业判断，认为供应商报价过低，有可能影响产品质量或者不能诚信履约的其他情形。</w:t>
            </w:r>
            <w:r/>
          </w:p>
          <w:p>
            <w:pPr>
              <w:jc w:val="left"/>
              <w:widowControl/>
              <w:rPr>
                <w:rFonts w:hint="default"/>
                <w:color w:val="auto"/>
                <w:sz w:val="24"/>
              </w:rPr>
            </w:pPr>
            <w:r>
              <w:rPr>
                <w:rFonts w:hint="eastAsia" w:ascii="宋体" w:hAnsi="宋体" w:eastAsia="宋体" w:cs="Times New Roman"/>
                <w:sz w:val="24"/>
              </w:rPr>
              <w:t xml:space="preserve">相关法律法规对供应商报价有规定的，从其规定。</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13</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进口产品</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eastAsia" w:ascii="宋体" w:hAnsi="宋体"/>
                <w:color w:val="auto"/>
                <w:sz w:val="24"/>
              </w:rPr>
              <w:t xml:space="preserve">招标文件</w:t>
            </w:r>
            <w:r>
              <w:rPr>
                <w:rFonts w:hint="default" w:ascii="宋体" w:hAnsi="宋体"/>
                <w:color w:val="auto"/>
                <w:sz w:val="24"/>
              </w:rPr>
              <w:t xml:space="preserve">不接受进口产品投标</w:t>
            </w:r>
            <w:r>
              <w:rPr>
                <w:rFonts w:hint="eastAsia" w:ascii="宋体" w:hAnsi="宋体"/>
                <w:color w:val="auto"/>
                <w:sz w:val="24"/>
              </w:rPr>
              <w:t xml:space="preserve">的内容时</w:t>
            </w:r>
            <w:r>
              <w:rPr>
                <w:rFonts w:hint="default"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14</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rFonts w:hint="default"/>
                <w:color w:val="auto"/>
                <w:sz w:val="24"/>
              </w:rPr>
              <w:t xml:space="preserve">符合相应规定或要求</w:t>
            </w:r>
            <w:r>
              <w:rPr>
                <w:rFonts w:hint="eastAsia"/>
                <w:color w:val="auto"/>
                <w:sz w:val="24"/>
              </w:rPr>
              <w:t xml:space="preserve">，并提供证明文件电子件：</w:t>
            </w:r>
            <w:r/>
          </w:p>
          <w:p>
            <w:pPr>
              <w:jc w:val="left"/>
              <w:widowControl/>
              <w:rPr>
                <w:rFonts w:hint="default"/>
                <w:color w:val="auto"/>
                <w:sz w:val="24"/>
              </w:rPr>
            </w:pPr>
            <w:r>
              <w:rPr>
                <w:rFonts w:hint="eastAsia"/>
                <w:color w:val="auto"/>
                <w:sz w:val="24"/>
              </w:rPr>
              <w:t xml:space="preserve">1）</w:t>
            </w:r>
            <w:r>
              <w:rPr>
                <w:rFonts w:hint="default"/>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auto"/>
                <w:sz w:val="24"/>
              </w:rPr>
            </w:pPr>
            <w:r>
              <w:rPr>
                <w:rFonts w:hint="eastAsia"/>
                <w:color w:val="auto"/>
                <w:sz w:val="24"/>
              </w:rPr>
              <w:t xml:space="preserve">2）</w:t>
            </w:r>
            <w:r>
              <w:rPr>
                <w:rFonts w:hint="default"/>
                <w:color w:val="auto"/>
                <w:sz w:val="24"/>
              </w:rPr>
              <w:t xml:space="preserve">投标产品如涉及计算机信息系统安全专用产品的，须</w:t>
            </w:r>
            <w:r>
              <w:rPr>
                <w:rFonts w:hint="eastAsia"/>
                <w:color w:val="auto"/>
                <w:sz w:val="24"/>
              </w:rPr>
              <w:t xml:space="preserve">提供</w:t>
            </w:r>
            <w:r>
              <w:rPr>
                <w:rFonts w:hint="default"/>
                <w:color w:val="auto"/>
                <w:sz w:val="24"/>
              </w:rPr>
              <w:t xml:space="preserve">公安部颁发的计算机信息系统安全专用产品销售许可证；</w:t>
            </w:r>
            <w:r/>
          </w:p>
          <w:p>
            <w:pPr>
              <w:jc w:val="left"/>
              <w:widowControl/>
              <w:rPr>
                <w:rFonts w:hint="default"/>
                <w:color w:val="auto"/>
                <w:sz w:val="24"/>
              </w:rPr>
            </w:pPr>
            <w:r>
              <w:rPr>
                <w:rFonts w:hint="default"/>
                <w:color w:val="auto"/>
                <w:sz w:val="24"/>
              </w:rPr>
              <w:t xml:space="preserve">3</w:t>
            </w:r>
            <w:r>
              <w:rPr>
                <w:rFonts w:hint="eastAsia"/>
                <w:color w:val="auto"/>
                <w:sz w:val="24"/>
              </w:rPr>
              <w:t xml:space="preserve">）</w:t>
            </w:r>
            <w:r>
              <w:rPr>
                <w:rFonts w:hint="default"/>
                <w:color w:val="auto"/>
                <w:sz w:val="24"/>
              </w:rPr>
              <w:t xml:space="preserve">投标产品如有属于开展国家信息安全产品认证产品范围的，须</w:t>
            </w:r>
            <w:r>
              <w:rPr>
                <w:rFonts w:hint="eastAsia"/>
                <w:color w:val="auto"/>
                <w:sz w:val="24"/>
              </w:rPr>
              <w:t xml:space="preserve">提供</w:t>
            </w:r>
            <w:r>
              <w:rPr>
                <w:rFonts w:hint="default"/>
                <w:color w:val="auto"/>
                <w:sz w:val="24"/>
              </w:rPr>
              <w:t xml:space="preserve">由中国网络安全审查技术与认证中心（原中国信息安全认证中心）按国家标准认证颁发的有效认证证书等）；</w:t>
            </w:r>
            <w:r/>
          </w:p>
          <w:p>
            <w:pPr>
              <w:jc w:val="left"/>
              <w:widowControl/>
              <w:rPr>
                <w:rFonts w:hint="default"/>
                <w:color w:val="auto"/>
                <w:sz w:val="24"/>
              </w:rPr>
            </w:pPr>
            <w:r>
              <w:rPr>
                <w:rFonts w:hint="eastAsia"/>
                <w:color w:val="auto"/>
                <w:sz w:val="24"/>
              </w:rPr>
              <w:t xml:space="preserve">4）</w:t>
            </w:r>
            <w:r>
              <w:rPr>
                <w:rFonts w:hint="default"/>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15</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公平竞争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16</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串通投标</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 w:val="24"/>
              </w:rPr>
              <w:t xml:space="preserve">；</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default"/>
                <w:color w:val="auto"/>
                <w:sz w:val="24"/>
              </w:rPr>
              <w:t xml:space="preserve">17</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附加条件</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w:t>
            </w:r>
            <w:r>
              <w:rPr>
                <w:rFonts w:hint="default"/>
                <w:color w:val="auto"/>
                <w:sz w:val="24"/>
              </w:rPr>
              <w:t xml:space="preserve">含有采购人不能接受的附加条件的；</w:t>
            </w:r>
            <w:r/>
          </w:p>
        </w:tc>
      </w:tr>
      <w:tr>
        <w:trPr>
          <w:jc w:val="center"/>
          <w:trHeight w:val="685"/>
        </w:trPr>
        <w:tc>
          <w:tcPr>
            <w:tcW w:w="403" w:type="pct"/>
            <w:vAlign w:val="center"/>
            <w:textDirection w:val="lrTb"/>
            <w:noWrap w:val="false"/>
          </w:tcPr>
          <w:p>
            <w:pPr>
              <w:jc w:val="center"/>
              <w:widowControl/>
              <w:rPr>
                <w:rFonts w:hint="default"/>
                <w:color w:val="auto"/>
                <w:sz w:val="24"/>
              </w:rPr>
            </w:pPr>
            <w:r>
              <w:rPr>
                <w:rFonts w:hint="eastAsia"/>
                <w:color w:val="auto"/>
                <w:sz w:val="24"/>
              </w:rPr>
              <w:t xml:space="preserve">1</w:t>
            </w:r>
            <w:r>
              <w:rPr>
                <w:rFonts w:hint="default"/>
                <w:color w:val="auto"/>
                <w:sz w:val="24"/>
              </w:rPr>
              <w:t xml:space="preserve">8</w:t>
            </w:r>
            <w:r/>
          </w:p>
        </w:tc>
        <w:tc>
          <w:tcPr>
            <w:tcW w:w="975" w:type="pct"/>
            <w:vAlign w:val="center"/>
            <w:textDirection w:val="lrTb"/>
            <w:noWrap w:val="false"/>
          </w:tcPr>
          <w:p>
            <w:pPr>
              <w:jc w:val="left"/>
              <w:widowControl/>
              <w:rPr>
                <w:rFonts w:hint="default"/>
                <w:color w:val="auto"/>
                <w:sz w:val="24"/>
              </w:rPr>
            </w:pPr>
            <w:r>
              <w:rPr>
                <w:rFonts w:hint="default"/>
                <w:color w:val="auto"/>
                <w:sz w:val="24"/>
              </w:rPr>
              <w:t xml:space="preserve">其他无效情形</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投标人、投标文件</w:t>
            </w:r>
            <w:r>
              <w:rPr>
                <w:rFonts w:hint="eastAsia"/>
                <w:color w:val="auto"/>
                <w:sz w:val="24"/>
              </w:rPr>
              <w:t xml:space="preserve">不存在</w:t>
            </w:r>
            <w:r>
              <w:rPr>
                <w:rFonts w:hint="default"/>
                <w:color w:val="auto"/>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color w:val="auto"/>
          <w:sz w:val="24"/>
          <w:highlight w:val="none"/>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szCs w:val="24"/>
          <w:highlight w:val="none"/>
          <w:lang w:eastAsia="zh-CN"/>
        </w:rPr>
        <w:t xml:space="preserve">□</w:t>
      </w: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szCs w:val="24"/>
          <w:highlight w:val="none"/>
          <w:lang w:eastAsia="zh-CN"/>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3" w:name="_Toc226309790"/>
      <w:r/>
      <w:bookmarkStart w:id="784" w:name="_Toc164608815"/>
      <w:r/>
      <w:bookmarkStart w:id="785" w:name="_Toc305158814"/>
      <w:r/>
      <w:bookmarkStart w:id="786" w:name="_Toc305158888"/>
      <w:r/>
      <w:bookmarkStart w:id="787" w:name="_Toc142311048"/>
      <w:r/>
      <w:bookmarkStart w:id="788" w:name="_Toc127161460"/>
      <w:r/>
      <w:bookmarkStart w:id="789" w:name="_Toc265228384"/>
      <w:r/>
      <w:bookmarkStart w:id="790" w:name="_Toc151193934"/>
      <w:r/>
      <w:bookmarkStart w:id="791" w:name="_Toc195842911"/>
      <w:r/>
      <w:bookmarkStart w:id="792" w:name="_Toc151193716"/>
      <w:r/>
      <w:bookmarkStart w:id="793" w:name="_Toc226965819"/>
      <w:r/>
      <w:bookmarkStart w:id="794" w:name="_Toc150774646"/>
      <w:r/>
      <w:bookmarkStart w:id="795" w:name="_Toc150480784"/>
      <w:r/>
      <w:bookmarkStart w:id="796" w:name="_Toc150509297"/>
      <w:r/>
      <w:bookmarkStart w:id="797" w:name="_Ref467307010"/>
      <w:r/>
      <w:bookmarkStart w:id="798" w:name="_Toc151193644"/>
      <w:r/>
      <w:bookmarkStart w:id="799" w:name="_Toc151190173"/>
      <w:r/>
      <w:bookmarkStart w:id="800" w:name="_Toc149720839"/>
      <w:r/>
      <w:bookmarkStart w:id="801" w:name="_Toc127151747"/>
      <w:r/>
      <w:bookmarkStart w:id="802" w:name="_Toc151193788"/>
      <w:r/>
      <w:bookmarkStart w:id="803" w:name="_Toc151193860"/>
      <w:r/>
      <w:bookmarkStart w:id="804" w:name="_Toc264969236"/>
      <w:r/>
      <w:bookmarkStart w:id="805" w:name="_Toc226337242"/>
      <w:r/>
      <w:bookmarkStart w:id="806" w:name="_Toc226965736"/>
      <w:r/>
      <w:bookmarkStart w:id="807" w:name="_Toc164608660"/>
      <w:r/>
      <w:bookmarkStart w:id="808" w:name="_Toc150774751"/>
      <w:r/>
      <w:bookmarkStart w:id="809" w:name="_Toc164229241"/>
      <w:r/>
      <w:bookmarkStart w:id="810" w:name="_Toc164351640"/>
      <w:r/>
      <w:bookmarkStart w:id="811" w:name="_Toc164229387"/>
      <w:r/>
      <w:bookmarkStart w:id="812" w:name="_Toc127151546"/>
      <w:r/>
      <w:bookmarkStart w:id="813" w:name="_Toc520356170"/>
      <w:r>
        <w:rPr>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71"/>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□随机抽取</w:t>
      </w:r>
      <w:r/>
    </w:p>
    <w:p>
      <w:pPr>
        <w:pStyle w:val="1171"/>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其他方式，具体要求：</w:t>
      </w:r>
      <w:r>
        <w:rPr>
          <w:rFonts w:ascii="Times New Roman" w:hAnsi="Times New Roman"/>
          <w:color w:val="auto"/>
          <w:sz w:val="24"/>
          <w:szCs w:val="24"/>
          <w:highlight w:val="none"/>
          <w:u w:val="single"/>
        </w:rPr>
        <w:t xml:space="preserve">投标评标价最低的供应商获得中标人推荐资格。</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color w:val="auto"/>
          <w:sz w:val="24"/>
          <w:highlight w:val="none"/>
        </w:rPr>
      </w:r>
      <w:r/>
    </w:p>
    <w:p>
      <w:pPr>
        <w:jc w:val="center"/>
        <w:spacing w:line="360" w:lineRule="auto"/>
        <w:tabs>
          <w:tab w:val="left" w:pos="360" w:leader="none"/>
          <w:tab w:val="left" w:pos="900" w:leader="none"/>
        </w:tabs>
        <w:rPr>
          <w:rFonts w:hint="default" w:eastAsia="宋体"/>
          <w:b/>
          <w:color w:val="auto"/>
          <w:highlight w:val="none"/>
          <w:lang w:val="en-US" w:eastAsia="zh-CN"/>
        </w:rPr>
        <w:outlineLvl w:val="1"/>
      </w:pPr>
      <w:r>
        <w:rPr>
          <w:b/>
          <w:color w:val="auto"/>
          <w:sz w:val="24"/>
          <w:highlight w:val="none"/>
        </w:rPr>
        <w:t xml:space="preserve">二、评标标准</w:t>
      </w:r>
      <w:r/>
    </w:p>
    <w:tbl>
      <w:tblPr>
        <w:tblStyle w:val="953"/>
        <w:tblW w:w="14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455"/>
        <w:gridCol w:w="1166"/>
        <w:gridCol w:w="7929"/>
        <w:gridCol w:w="2938"/>
      </w:tblGrid>
      <w:tr>
        <w:trPr>
          <w:jc w:val="center"/>
          <w:trHeight w:val="212"/>
        </w:trPr>
        <w:tc>
          <w:tcPr>
            <w:tcW w:w="729" w:type="dxa"/>
            <w:vAlign w:val="center"/>
            <w:textDirection w:val="lrTb"/>
            <w:noWrap w:val="false"/>
          </w:tcPr>
          <w:p>
            <w:pPr>
              <w:ind w:firstLine="28"/>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455" w:type="dxa"/>
            <w:vAlign w:val="center"/>
            <w:textDirection w:val="lrTb"/>
            <w:noWrap w:val="false"/>
          </w:tcPr>
          <w:p>
            <w:pPr>
              <w:ind w:firstLine="28"/>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p>
        </w:tc>
        <w:tc>
          <w:tcPr>
            <w:tcW w:w="1166" w:type="dxa"/>
            <w:vAlign w:val="center"/>
            <w:textDirection w:val="lrTb"/>
            <w:noWrap w:val="false"/>
          </w:tcPr>
          <w:p>
            <w:pPr>
              <w:ind w:firstLine="28"/>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c>
          <w:tcPr>
            <w:tcW w:w="7929" w:type="dxa"/>
            <w:vAlign w:val="center"/>
            <w:textDirection w:val="lrTb"/>
            <w:noWrap w:val="false"/>
          </w:tcPr>
          <w:p>
            <w:pPr>
              <w:ind w:firstLine="28"/>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p>
        </w:tc>
        <w:tc>
          <w:tcPr>
            <w:tcW w:w="2938" w:type="dxa"/>
            <w:vAlign w:val="center"/>
            <w:textDirection w:val="lrTb"/>
            <w:noWrap w:val="false"/>
          </w:tcPr>
          <w:p>
            <w:pPr>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说明</w:t>
            </w:r>
            <w:r/>
          </w:p>
        </w:tc>
      </w:tr>
      <w:tr>
        <w:trPr>
          <w:jc w:val="center"/>
          <w:trHeight w:val="1061"/>
        </w:trPr>
        <w:tc>
          <w:tcPr>
            <w:tcW w:w="7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455"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p>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6"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p>
        </w:tc>
        <w:tc>
          <w:tcPr>
            <w:tcW w:w="7929" w:type="dxa"/>
            <w:vAlign w:val="center"/>
            <w:textDirection w:val="lrTb"/>
            <w:noWrap w:val="false"/>
          </w:tcPr>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t xml:space="preserve">文件要求且最终报价最低的报价为评标基准价，其价格分为满分。其他供应商的价格分统一按照下列公式计算：</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价格分得分＝（评标基准价/最终报价）×分值。</w:t>
            </w:r>
            <w:r/>
          </w:p>
        </w:tc>
        <w:tc>
          <w:tcPr>
            <w:tcW w:w="2938" w:type="dxa"/>
            <w:vAlign w:val="center"/>
            <w:textDirection w:val="lrTb"/>
            <w:noWrap w:val="false"/>
          </w:tcPr>
          <w:p>
            <w:pPr>
              <w:ind w:firstLine="2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此处最终报价指经过报价修正，及因落实政府采购政策进行价格调整后的最终报价，详见第三章《评审程序、评审方法和评审标准》3。</w:t>
            </w:r>
            <w:r/>
          </w:p>
        </w:tc>
      </w:tr>
      <w:tr>
        <w:trPr>
          <w:jc w:val="center"/>
          <w:trHeight w:val="212"/>
        </w:trPr>
        <w:tc>
          <w:tcPr>
            <w:tcW w:w="7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p>
        </w:tc>
        <w:tc>
          <w:tcPr>
            <w:tcW w:w="1166" w:type="dxa"/>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61</w:t>
            </w:r>
            <w:r/>
          </w:p>
        </w:tc>
        <w:tc>
          <w:tcPr>
            <w:tcW w:w="7929" w:type="dxa"/>
            <w:vAlign w:val="top"/>
            <w:textDirection w:val="lrTb"/>
            <w:noWrap w:val="false"/>
          </w:tcPr>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p>
        </w:tc>
        <w:tc>
          <w:tcPr>
            <w:tcW w:w="1455" w:type="dxa"/>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赛事总体策划</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bookmarkStart w:id="909" w:name="_GoBack"/>
            <w:r>
              <w:rPr>
                <w:rFonts w:hint="eastAsia" w:ascii="宋体" w:hAnsi="宋体" w:eastAsia="宋体" w:cs="宋体"/>
                <w:sz w:val="24"/>
                <w:szCs w:val="24"/>
                <w:highlight w:val="none"/>
                <w:lang w:val="en-US" w:eastAsia="zh-CN" w:bidi="ar-SA"/>
              </w:rPr>
              <w:t xml:space="preserve">根据投标</w:t>
            </w:r>
            <w:r>
              <w:rPr>
                <w:rFonts w:hint="eastAsia" w:ascii="宋体" w:hAnsi="宋体" w:eastAsia="宋体" w:cs="宋体"/>
                <w:b w:val="0"/>
                <w:bCs w:val="0"/>
                <w:sz w:val="24"/>
                <w:szCs w:val="24"/>
                <w:highlight w:val="none"/>
                <w:lang w:val="en-US" w:eastAsia="zh-CN" w:bidi="ar-SA"/>
              </w:rPr>
              <w:t xml:space="preserve">单位的</w:t>
            </w:r>
            <w:r>
              <w:rPr>
                <w:rFonts w:hint="eastAsia" w:ascii="宋体" w:hAnsi="宋体" w:eastAsia="宋体" w:cs="宋体"/>
                <w:color w:val="000000"/>
                <w:sz w:val="24"/>
                <w:szCs w:val="24"/>
                <w:highlight w:val="none"/>
                <w:lang w:val="en-US" w:eastAsia="zh-CN"/>
              </w:rPr>
              <w:t xml:space="preserve">赛事总体策划</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t xml:space="preserve">：①竞赛组织、竞赛规程及赛事报名、②路线设计（包含起送点车辆路线规划、摆渡方案等）、③器材保障、④赛事工作人员落实、⑤场地落实、⑥竞赛计时保障、⑦裁判员竞赛保障、⑧物料布置执行、⑨人员投保、⑩实施进度计划等，</w:t>
            </w:r>
            <w:r>
              <w:rPr>
                <w:rFonts w:hint="eastAsia" w:ascii="宋体" w:hAnsi="宋体" w:eastAsia="宋体" w:cs="宋体"/>
                <w:b w:val="0"/>
                <w:bCs w:val="0"/>
                <w:color w:val="000000"/>
                <w:sz w:val="24"/>
                <w:szCs w:val="24"/>
                <w:highlight w:val="none"/>
                <w:lang w:val="en-US" w:eastAsia="zh-CN"/>
              </w:rPr>
              <w:t xml:space="preserve">根据以上内容进行综合评审，上述内容满足采购文件及采购需求的得10分，每缺失一项内容扣1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未提供方案不得分。</w:t>
            </w:r>
            <w:bookmarkEnd w:id="909"/>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赛事整体设计方案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7</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lang w:val="en-US" w:eastAsia="zh-CN"/>
              </w:rPr>
              <w:t xml:space="preserve">赛事整体设计方案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赛事主题设计</w:t>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32"/>
                <w:highlight w:val="none"/>
                <w:u w:val="none"/>
                <w:lang w:val="en-US" w:eastAsia="zh-CN" w:bidi="ar-SA"/>
              </w:rPr>
              <w:t xml:space="preserve">赛事形象设计</w:t>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32"/>
                <w:highlight w:val="none"/>
                <w:u w:val="none"/>
                <w:lang w:val="en-US" w:eastAsia="zh-CN" w:bidi="ar-SA"/>
              </w:rPr>
              <w:t xml:space="preserve">现场氛围物料设计</w:t>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赛事logo设计</w:t>
            </w:r>
            <w:r>
              <w:rPr>
                <w:rFonts w:hint="eastAsia" w:ascii="宋体" w:hAnsi="宋体" w:eastAsia="宋体" w:cs="宋体"/>
                <w:sz w:val="24"/>
                <w:szCs w:val="24"/>
                <w:highlight w:val="none"/>
                <w:lang w:val="en-US" w:eastAsia="zh-CN" w:bidi="ar-SA"/>
              </w:rPr>
              <w:t xml:space="preserve">、⑤完赛纪念奖牌设计、⑥印刷证件设计</w:t>
            </w:r>
            <w:r>
              <w:rPr>
                <w:rFonts w:hint="eastAsia" w:ascii="宋体" w:hAnsi="宋体" w:cs="宋体"/>
                <w:sz w:val="24"/>
                <w:szCs w:val="24"/>
                <w:highlight w:val="none"/>
                <w:lang w:val="en-US" w:eastAsia="zh-CN" w:bidi="ar-SA"/>
              </w:rPr>
              <w:t xml:space="preserve">、⑦文创纪念类设计</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rPr>
              <w:t xml:space="preserve">根据以上内容进行综合评审，上述内容、设计方案符合溧阳城市气质、历史文脉、旅游资源和“天马”人文风格，特点鲜明与赛事主题匹配且满足采购文件及采购需求的得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w:t>
            </w:r>
            <w:r>
              <w:rPr>
                <w:rFonts w:hint="eastAsia" w:ascii="宋体" w:hAnsi="宋体" w:eastAsia="宋体" w:cs="宋体"/>
                <w:b w:val="0"/>
                <w:bCs w:val="0"/>
                <w:color w:val="000000"/>
                <w:sz w:val="24"/>
                <w:szCs w:val="24"/>
                <w:highlight w:val="none"/>
                <w:lang w:val="en-US" w:eastAsia="zh-CN"/>
              </w:rPr>
              <w:t xml:space="preserve">等）未提供方案不得分。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医疗保障方案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5</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医疗保障方案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rPr>
              <w:t xml:space="preserve">医疗点设置</w:t>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24"/>
                <w:highlight w:val="none"/>
                <w:lang w:val="en-US" w:eastAsia="zh-CN"/>
              </w:rPr>
              <w:t xml:space="preserve">现场处置方案</w:t>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rPr>
              <w:t xml:space="preserve">各部门任务分工设置</w:t>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eastAsia="zh-CN"/>
              </w:rPr>
              <w:t xml:space="preserve">培训与演练</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val="en-US" w:eastAsia="zh-CN" w:bidi="ar-SA"/>
              </w:rPr>
              <w:t xml:space="preserve">、⑤</w:t>
            </w:r>
            <w:r>
              <w:rPr>
                <w:rFonts w:hint="eastAsia" w:ascii="宋体" w:hAnsi="宋体" w:eastAsia="宋体" w:cs="宋体"/>
                <w:sz w:val="24"/>
                <w:szCs w:val="24"/>
                <w:highlight w:val="none"/>
                <w:lang w:val="en-US" w:eastAsia="zh-CN"/>
              </w:rPr>
              <w:t xml:space="preserve">医疗保障用品、赛事保险及伤员保险理赔方案</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5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w:t>
            </w:r>
            <w:r>
              <w:rPr>
                <w:rFonts w:hint="eastAsia" w:ascii="宋体" w:hAnsi="宋体" w:cs="宋体"/>
                <w:color w:val="000000"/>
                <w:sz w:val="24"/>
                <w:szCs w:val="24"/>
                <w:highlight w:val="none"/>
                <w:lang w:val="en-US" w:eastAsia="zh-CN"/>
              </w:rPr>
              <w:t xml:space="preserve">保障</w:t>
            </w:r>
            <w:r>
              <w:rPr>
                <w:rFonts w:hint="eastAsia" w:ascii="宋体" w:hAnsi="宋体" w:eastAsia="宋体" w:cs="宋体"/>
                <w:color w:val="000000"/>
                <w:sz w:val="24"/>
                <w:szCs w:val="24"/>
                <w:highlight w:val="none"/>
              </w:rPr>
              <w:t xml:space="preserve">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安全</w:t>
            </w:r>
            <w:r>
              <w:rPr>
                <w:rFonts w:hint="eastAsia" w:ascii="宋体" w:hAnsi="宋体" w:cs="宋体"/>
                <w:color w:val="000000"/>
                <w:sz w:val="24"/>
                <w:szCs w:val="24"/>
                <w:highlight w:val="none"/>
                <w:lang w:val="en-US" w:eastAsia="zh-CN"/>
              </w:rPr>
              <w:t xml:space="preserve">保障</w:t>
            </w:r>
            <w:r>
              <w:rPr>
                <w:rFonts w:hint="eastAsia" w:ascii="宋体" w:hAnsi="宋体" w:eastAsia="宋体" w:cs="宋体"/>
                <w:color w:val="000000"/>
                <w:sz w:val="24"/>
                <w:szCs w:val="24"/>
                <w:highlight w:val="none"/>
              </w:rPr>
              <w:t xml:space="preserve">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：①公共安全（含防恐防爆）、②交通管制（含车证分类及通行区域）、③赛场起终点封闭与解封、④</w:t>
            </w:r>
            <w:r>
              <w:rPr>
                <w:rFonts w:hint="eastAsia" w:ascii="宋体" w:hAnsi="宋体" w:eastAsia="宋体" w:cs="宋体"/>
                <w:color w:val="000000"/>
                <w:sz w:val="24"/>
                <w:szCs w:val="24"/>
                <w:highlight w:val="none"/>
                <w:lang w:val="en-US" w:eastAsia="zh-CN"/>
              </w:rPr>
              <w:t xml:space="preserve">赛事证件管理与发放</w:t>
            </w:r>
            <w:r>
              <w:rPr>
                <w:rFonts w:hint="eastAsia" w:ascii="宋体" w:hAnsi="宋体" w:eastAsia="宋体" w:cs="宋体"/>
                <w:sz w:val="24"/>
                <w:szCs w:val="24"/>
                <w:highlight w:val="none"/>
                <w:lang w:val="en-US" w:eastAsia="zh-CN" w:bidi="ar-SA"/>
              </w:rPr>
              <w:t xml:space="preserve">、⑤风险评估等，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5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志愿者招募管理与服务方案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lang w:eastAsia="zh-CN"/>
              </w:rPr>
              <w:t xml:space="preserve">志愿者招募管理与服务方案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rPr>
              <w:t xml:space="preserve">志愿者招募标准</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rPr>
              <w:t xml:space="preserve">志愿者培训</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rPr>
              <w:t xml:space="preserve">岗位分配</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rPr>
              <w:t xml:space="preserve">比赛期间的集结投放安排</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jc w:val="both"/>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2.6</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后勤保障方案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后勤保障方案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w:t>
            </w:r>
            <w:r>
              <w:rPr>
                <w:rFonts w:hint="eastAsia" w:ascii="宋体" w:hAnsi="宋体" w:eastAsia="宋体" w:cs="宋体"/>
                <w:color w:val="000000"/>
                <w:sz w:val="24"/>
                <w:szCs w:val="24"/>
                <w:highlight w:val="none"/>
                <w:lang w:val="en-US" w:eastAsia="zh-CN"/>
              </w:rPr>
              <w:t xml:space="preserve">下内容：①工作人员、志愿者、裁判等</w:t>
            </w:r>
            <w:r>
              <w:rPr>
                <w:rFonts w:hint="eastAsia" w:ascii="宋体" w:hAnsi="宋体" w:eastAsia="宋体" w:cs="宋体"/>
                <w:color w:val="000000"/>
                <w:sz w:val="24"/>
                <w:szCs w:val="24"/>
                <w:highlight w:val="none"/>
                <w:lang w:val="en-US" w:eastAsia="zh-CN"/>
              </w:rPr>
              <w:t xml:space="preserve">物资、②参赛配套物资、③产品质量承诺、④后勤保障车辆等，根据以上内容进行综合评审，上述内容满足采购文件及采购需求的得4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jc w:val="both"/>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赛道和场地布置方案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lang w:eastAsia="zh-CN"/>
              </w:rPr>
              <w:t xml:space="preserve">赛道和场地布置方案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：①赛道丈量、②</w:t>
            </w:r>
            <w:r>
              <w:rPr>
                <w:rFonts w:hint="eastAsia" w:ascii="Times New Roman" w:hAnsi="Times New Roman" w:eastAsia="宋体" w:cs="Times New Roman"/>
                <w:sz w:val="24"/>
                <w:szCs w:val="32"/>
                <w:highlight w:val="none"/>
                <w:u w:val="none"/>
                <w:lang w:val="en-US" w:eastAsia="zh-CN"/>
              </w:rPr>
              <w:t xml:space="preserve">赛道及</w:t>
            </w:r>
            <w:r>
              <w:rPr>
                <w:rFonts w:hint="eastAsia" w:ascii="Times New Roman" w:hAnsi="Times New Roman" w:eastAsia="宋体" w:cs="Times New Roman"/>
                <w:sz w:val="24"/>
                <w:szCs w:val="32"/>
                <w:highlight w:val="none"/>
                <w:u w:val="none"/>
                <w:lang w:eastAsia="zh-CN"/>
              </w:rPr>
              <w:t xml:space="preserve">场地、器材、设施和设备</w:t>
            </w:r>
            <w:r>
              <w:rPr>
                <w:rFonts w:hint="eastAsia" w:ascii="Times New Roman" w:hAnsi="Times New Roman" w:eastAsia="宋体" w:cs="Times New Roman"/>
                <w:sz w:val="24"/>
                <w:szCs w:val="32"/>
                <w:highlight w:val="none"/>
                <w:u w:val="none"/>
                <w:lang w:val="en-US" w:eastAsia="zh-CN"/>
              </w:rPr>
              <w:t xml:space="preserve">的数量</w:t>
            </w:r>
            <w:r>
              <w:rPr>
                <w:rFonts w:hint="eastAsia" w:ascii="宋体" w:hAnsi="宋体" w:eastAsia="宋体" w:cs="宋体"/>
                <w:sz w:val="24"/>
                <w:szCs w:val="24"/>
                <w:highlight w:val="none"/>
                <w:lang w:val="en-US" w:eastAsia="zh-CN" w:bidi="ar-SA"/>
              </w:rPr>
              <w:t xml:space="preserve">、③</w:t>
            </w:r>
            <w:r>
              <w:rPr>
                <w:rFonts w:hint="eastAsia" w:ascii="Times New Roman" w:hAnsi="Times New Roman" w:eastAsia="宋体" w:cs="Times New Roman"/>
                <w:sz w:val="24"/>
                <w:szCs w:val="32"/>
                <w:highlight w:val="none"/>
                <w:u w:val="none"/>
                <w:lang w:val="en-US" w:eastAsia="zh-CN"/>
              </w:rPr>
              <w:t xml:space="preserve">总体施工计划安排</w:t>
            </w:r>
            <w:r>
              <w:rPr>
                <w:rFonts w:hint="eastAsia" w:ascii="宋体" w:hAnsi="宋体" w:eastAsia="宋体" w:cs="宋体"/>
                <w:sz w:val="24"/>
                <w:szCs w:val="24"/>
                <w:highlight w:val="none"/>
                <w:lang w:val="en-US" w:eastAsia="zh-CN" w:bidi="ar-SA"/>
              </w:rPr>
              <w:t xml:space="preserve">、④</w:t>
            </w:r>
            <w:r>
              <w:rPr>
                <w:rFonts w:hint="eastAsia" w:ascii="Times New Roman" w:hAnsi="Times New Roman" w:eastAsia="宋体" w:cs="Times New Roman"/>
                <w:sz w:val="24"/>
                <w:szCs w:val="32"/>
                <w:highlight w:val="none"/>
                <w:u w:val="none"/>
                <w:lang w:val="en-US" w:eastAsia="zh-CN"/>
              </w:rPr>
              <w:t xml:space="preserve">赛道指示</w:t>
            </w:r>
            <w:r>
              <w:rPr>
                <w:rFonts w:hint="eastAsia" w:ascii="宋体" w:hAnsi="宋体" w:eastAsia="宋体" w:cs="宋体"/>
                <w:sz w:val="24"/>
                <w:szCs w:val="24"/>
                <w:highlight w:val="none"/>
                <w:lang w:val="en-US" w:eastAsia="zh-CN" w:bidi="ar-SA"/>
              </w:rPr>
              <w:t xml:space="preserve">、⑤</w:t>
            </w:r>
            <w:r>
              <w:rPr>
                <w:rFonts w:hint="eastAsia" w:ascii="Times New Roman" w:hAnsi="Times New Roman" w:eastAsia="宋体" w:cs="Times New Roman"/>
                <w:sz w:val="24"/>
                <w:szCs w:val="32"/>
                <w:highlight w:val="none"/>
                <w:u w:val="none"/>
                <w:lang w:val="en-US" w:eastAsia="zh-CN"/>
              </w:rPr>
              <w:t xml:space="preserve">场地分区</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5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jc w:val="both"/>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2.8</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ascii="Segoe UI Emoji" w:hAnsi="Segoe UI Emoji" w:eastAsia="Segoe UI Emoji" w:cs="Segoe UI Emoji"/>
                <w:i w:val="0"/>
                <w:iCs w:val="0"/>
                <w:caps w:val="0"/>
                <w:spacing w:val="0"/>
                <w:sz w:val="24"/>
                <w:szCs w:val="24"/>
              </w:rPr>
              <w:t xml:space="preserve">赛事精神文明与文化建设实施方案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根据投标单位的</w:t>
            </w:r>
            <w:r>
              <w:rPr>
                <w:rFonts w:ascii="Segoe UI Emoji" w:hAnsi="Segoe UI Emoji" w:eastAsia="Segoe UI Emoji" w:cs="Segoe UI Emoji"/>
                <w:i w:val="0"/>
                <w:iCs w:val="0"/>
                <w:caps w:val="0"/>
                <w:spacing w:val="0"/>
                <w:sz w:val="24"/>
                <w:szCs w:val="24"/>
              </w:rPr>
              <w:t xml:space="preserve">赛事精神文明与文化建设实施方案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val="en-US" w:eastAsia="zh-CN"/>
              </w:rPr>
              <w:t xml:space="preserve">，包括但不限于以下内容：①参赛选手文明参赛管理措施、②志愿者、裁判、工作人员等文明服务建设方案、</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沿线观众、市民文明观赛方案等，根据以上内容进行综合评审，上述内容满足采购文件及采购需求的得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宣传推广方案</w:t>
            </w:r>
            <w:r/>
          </w:p>
        </w:tc>
        <w:tc>
          <w:tcPr>
            <w:tcW w:w="1166"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宣传推广方案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：①网络直播与现场视频、②新闻宣传与媒体报道、③官网官博及自媒体宣传、④后期平台运营维护与舆情应对、⑤摄影拍摄及制作等，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5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应急</w:t>
            </w:r>
            <w:r>
              <w:rPr>
                <w:rFonts w:hint="eastAsia" w:ascii="宋体" w:hAnsi="宋体" w:cs="宋体"/>
                <w:color w:val="000000"/>
                <w:sz w:val="24"/>
                <w:szCs w:val="24"/>
                <w:highlight w:val="none"/>
                <w:lang w:val="en-US" w:eastAsia="zh-CN"/>
              </w:rPr>
              <w:t xml:space="preserve">预案</w:t>
            </w:r>
            <w:r/>
          </w:p>
        </w:tc>
        <w:tc>
          <w:tcPr>
            <w:tcW w:w="1166" w:type="dxa"/>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pacing w:val="-5"/>
                <w:sz w:val="24"/>
                <w:szCs w:val="24"/>
                <w:highlight w:val="none"/>
                <w:lang w:val="en-US" w:eastAsia="zh-CN"/>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应急</w:t>
            </w:r>
            <w:r>
              <w:rPr>
                <w:rFonts w:hint="eastAsia" w:ascii="宋体" w:hAnsi="宋体" w:cs="宋体"/>
                <w:color w:val="000000"/>
                <w:sz w:val="24"/>
                <w:szCs w:val="24"/>
                <w:highlight w:val="none"/>
                <w:lang w:val="en-US" w:eastAsia="zh-CN"/>
              </w:rPr>
              <w:t xml:space="preserve">预案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color w:val="000000"/>
                <w:sz w:val="24"/>
                <w:szCs w:val="24"/>
                <w:highlight w:val="none"/>
                <w:lang w:eastAsia="zh-CN"/>
              </w:rPr>
              <w:t xml:space="preserve">多维风险评估体系</w:t>
            </w:r>
            <w:r>
              <w:rPr>
                <w:rFonts w:hint="eastAsia" w:ascii="宋体" w:hAnsi="宋体" w:eastAsia="宋体" w:cs="宋体"/>
                <w:b w:val="0"/>
                <w:bCs w:val="0"/>
                <w:sz w:val="24"/>
                <w:szCs w:val="24"/>
                <w:highlight w:val="none"/>
                <w:lang w:val="en-US" w:eastAsia="zh-CN" w:bidi="ar-SA"/>
              </w:rPr>
              <w:t xml:space="preserve">、②应急组织架构与响应流程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sz w:val="24"/>
                <w:szCs w:val="24"/>
                <w:highlight w:val="none"/>
                <w:lang w:val="en-US" w:eastAsia="zh-CN" w:bidi="ar-SA"/>
              </w:rPr>
              <w:t xml:space="preserve">③各类</w:t>
            </w:r>
            <w:r>
              <w:rPr>
                <w:rFonts w:hint="eastAsia" w:ascii="宋体" w:hAnsi="宋体" w:eastAsia="宋体" w:cs="宋体"/>
                <w:color w:val="000000"/>
                <w:sz w:val="24"/>
                <w:szCs w:val="24"/>
                <w:highlight w:val="none"/>
              </w:rPr>
              <w:t xml:space="preserve">突发事件应急措施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rPr>
              <w:t xml:space="preserve">竞赛和器材保障</w:t>
            </w:r>
            <w:r>
              <w:rPr>
                <w:rFonts w:hint="eastAsia" w:ascii="宋体" w:hAnsi="宋体" w:eastAsia="宋体" w:cs="宋体"/>
                <w:color w:val="000000"/>
                <w:sz w:val="24"/>
                <w:szCs w:val="24"/>
                <w:highlight w:val="none"/>
                <w:lang w:eastAsia="zh-CN"/>
              </w:rPr>
              <w:t xml:space="preserve">、媒体宣传推广、后勤保障、赛道和场地布置、医疗救援</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eastAsia="宋体" w:cs="宋体"/>
                <w:color w:val="000000"/>
                <w:sz w:val="24"/>
                <w:szCs w:val="24"/>
                <w:highlight w:val="none"/>
                <w:lang w:val="en-US" w:eastAsia="zh-CN"/>
              </w:rPr>
              <w:t xml:space="preserve">以上内容进行综合评审，上述内容满足采购文件及采购需求的得3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市场招商方案</w:t>
            </w:r>
            <w:r/>
          </w:p>
        </w:tc>
        <w:tc>
          <w:tcPr>
            <w:tcW w:w="1166" w:type="dxa"/>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pacing w:val="-5"/>
                <w:sz w:val="24"/>
                <w:szCs w:val="24"/>
                <w:highlight w:val="none"/>
                <w:lang w:val="en-US" w:eastAsia="zh-CN"/>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市场招商方案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sz w:val="24"/>
                <w:szCs w:val="24"/>
                <w:highlight w:val="none"/>
                <w:lang w:eastAsia="zh-CN"/>
              </w:rPr>
              <w:t xml:space="preserve">定制化合作方案</w:t>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sz w:val="24"/>
                <w:szCs w:val="24"/>
                <w:highlight w:val="none"/>
                <w:lang w:eastAsia="zh-CN"/>
              </w:rPr>
              <w:t xml:space="preserve">赞助结构规划（</w:t>
            </w:r>
            <w:r>
              <w:rPr>
                <w:rFonts w:hint="eastAsia" w:ascii="宋体" w:hAnsi="宋体" w:eastAsia="宋体" w:cs="宋体"/>
                <w:sz w:val="24"/>
                <w:szCs w:val="24"/>
                <w:highlight w:val="none"/>
                <w:lang w:val="en-US" w:eastAsia="zh-CN"/>
              </w:rPr>
              <w:t xml:space="preserve">包含独家赞助商、官方合作伙伴、其他赞助商等，涵盖礼品包、运动服饰、能量饮料、保险、餐饮等</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eastAsia="宋体" w:cs="宋体"/>
                <w:color w:val="000000"/>
                <w:sz w:val="24"/>
                <w:szCs w:val="24"/>
                <w:highlight w:val="none"/>
                <w:lang w:val="en-US" w:eastAsia="zh-CN"/>
              </w:rPr>
              <w:t xml:space="preserve">以上内容进行综合评审，上述内容满足采购文件及采购需求的得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分，每缺失一项内容扣</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t xml:space="preserve">分，方案每有一处存在错误或瑕疵的扣</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跑者服务方案</w:t>
            </w:r>
            <w:r/>
          </w:p>
        </w:tc>
        <w:tc>
          <w:tcPr>
            <w:tcW w:w="1166" w:type="dxa"/>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7929" w:type="dxa"/>
            <w:vAlign w:val="top"/>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pacing w:val="-5"/>
                <w:sz w:val="24"/>
                <w:szCs w:val="24"/>
                <w:highlight w:val="none"/>
                <w:lang w:val="en-US" w:eastAsia="zh-CN"/>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lang w:eastAsia="zh-CN"/>
              </w:rPr>
              <w:t xml:space="preserve">跑</w:t>
            </w:r>
            <w:r>
              <w:rPr>
                <w:rFonts w:hint="eastAsia" w:ascii="宋体" w:hAnsi="宋体" w:eastAsia="宋体" w:cs="宋体"/>
                <w:b w:val="0"/>
                <w:bCs w:val="0"/>
                <w:color w:val="000000"/>
                <w:sz w:val="24"/>
                <w:szCs w:val="24"/>
                <w:highlight w:val="none"/>
                <w:lang w:eastAsia="zh-CN"/>
              </w:rPr>
              <w:t xml:space="preserve">者服务方案</w:t>
            </w:r>
            <w:r>
              <w:rPr>
                <w:rFonts w:hint="eastAsia" w:ascii="宋体" w:hAnsi="宋体" w:eastAsia="宋体" w:cs="宋体"/>
                <w:b w:val="0"/>
                <w:bCs w:val="0"/>
                <w:sz w:val="24"/>
                <w:szCs w:val="24"/>
                <w:highlight w:val="none"/>
                <w:lang w:val="en-US" w:eastAsia="zh-CN" w:bidi="ar-SA"/>
              </w:rPr>
              <w:t xml:space="preserve">进行评分，</w:t>
            </w:r>
            <w:r>
              <w:rPr>
                <w:rFonts w:hint="eastAsia" w:ascii="宋体" w:hAnsi="宋体" w:eastAsia="宋体" w:cs="宋体"/>
                <w:b w:val="0"/>
                <w:bCs w:val="0"/>
                <w:color w:val="000000"/>
                <w:sz w:val="24"/>
                <w:szCs w:val="24"/>
                <w:highlight w:val="none"/>
                <w:lang w:eastAsia="zh-CN"/>
              </w:rPr>
              <w:t xml:space="preserve">包括但不限于以下内容</w:t>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color w:val="000000"/>
                <w:sz w:val="24"/>
                <w:szCs w:val="24"/>
                <w:highlight w:val="none"/>
                <w:lang w:val="en-US" w:eastAsia="zh-CN"/>
              </w:rPr>
              <w:t xml:space="preserve">精准需求分析、</w:t>
            </w:r>
            <w:r>
              <w:rPr>
                <w:rFonts w:hint="eastAsia" w:ascii="Times New Roman" w:hAnsi="Times New Roman" w:eastAsia="宋体" w:cs="Times New Roman"/>
                <w:b w:val="0"/>
                <w:bCs w:val="0"/>
                <w:color w:val="000000"/>
                <w:sz w:val="24"/>
                <w:szCs w:val="32"/>
                <w:highlight w:val="none"/>
                <w:u w:val="none"/>
              </w:rPr>
              <w:t xml:space="preserve">全周期跑者服务流程规划</w:t>
            </w:r>
            <w:r>
              <w:rPr>
                <w:rFonts w:hint="eastAsia" w:ascii="宋体" w:hAnsi="宋体" w:eastAsia="宋体" w:cs="宋体"/>
                <w:b w:val="0"/>
                <w:bCs w:val="0"/>
                <w:sz w:val="24"/>
                <w:szCs w:val="24"/>
                <w:highlight w:val="none"/>
                <w:lang w:val="en-US" w:eastAsia="zh-CN" w:bidi="ar-SA"/>
              </w:rPr>
              <w:t xml:space="preserve">、②个性化装备与服务创新等，</w:t>
            </w:r>
            <w:r>
              <w:rPr>
                <w:rFonts w:hint="eastAsia" w:ascii="宋体" w:hAnsi="宋体" w:eastAsia="宋体" w:cs="宋体"/>
                <w:b w:val="0"/>
                <w:bCs w:val="0"/>
                <w:color w:val="000000"/>
                <w:sz w:val="24"/>
                <w:szCs w:val="24"/>
                <w:highlight w:val="none"/>
                <w:lang w:val="en-US" w:eastAsia="zh-CN"/>
              </w:rPr>
              <w:t xml:space="preserve">根</w:t>
            </w:r>
            <w:r>
              <w:rPr>
                <w:rFonts w:hint="eastAsia" w:ascii="宋体" w:hAnsi="宋体" w:eastAsia="宋体" w:cs="宋体"/>
                <w:color w:val="000000"/>
                <w:sz w:val="24"/>
                <w:szCs w:val="24"/>
                <w:highlight w:val="none"/>
                <w:lang w:val="en-US" w:eastAsia="zh-CN"/>
              </w:rPr>
              <w:t xml:space="preserve">据以上内容进行综合评审，上述内容满足采购文件及采购需求的得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分，每缺失一项内容扣</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w:t>
            </w:r>
            <w:r/>
          </w:p>
        </w:tc>
        <w:tc>
          <w:tcPr>
            <w:tcW w:w="1455"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配套活动</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氛围营造</w:t>
            </w:r>
            <w:r>
              <w:rPr>
                <w:rFonts w:hint="eastAsia" w:ascii="宋体" w:hAnsi="宋体" w:eastAsia="宋体" w:cs="宋体"/>
                <w:color w:val="000000"/>
                <w:sz w:val="24"/>
                <w:szCs w:val="24"/>
                <w:highlight w:val="none"/>
              </w:rPr>
              <w:t xml:space="preserve">方案</w:t>
            </w:r>
            <w:r/>
          </w:p>
        </w:tc>
        <w:tc>
          <w:tcPr>
            <w:tcW w:w="1166" w:type="dxa"/>
            <w:vAlign w:val="center"/>
            <w:textDirection w:val="lrTb"/>
            <w:noWrap w:val="false"/>
          </w:tcPr>
          <w:p>
            <w:pPr>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pacing w:val="-5"/>
                <w:sz w:val="24"/>
                <w:szCs w:val="24"/>
                <w:highlight w:val="none"/>
                <w:lang w:val="en-US" w:eastAsia="zh-CN"/>
              </w:rPr>
            </w:pPr>
            <w:r>
              <w:rPr>
                <w:rFonts w:hint="eastAsia" w:ascii="宋体" w:hAnsi="宋体" w:eastAsia="宋体" w:cs="宋体"/>
                <w:sz w:val="24"/>
                <w:szCs w:val="24"/>
                <w:highlight w:val="none"/>
                <w:lang w:val="en-US" w:eastAsia="zh-CN" w:bidi="ar-SA"/>
              </w:rPr>
              <w:t xml:space="preserve">根据投标单位的</w:t>
            </w:r>
            <w:r>
              <w:rPr>
                <w:rFonts w:hint="eastAsia" w:ascii="宋体" w:hAnsi="宋体" w:eastAsia="宋体" w:cs="宋体"/>
                <w:color w:val="000000"/>
                <w:sz w:val="24"/>
                <w:szCs w:val="24"/>
                <w:highlight w:val="none"/>
              </w:rPr>
              <w:t xml:space="preserve">配套活动</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氛围营造</w:t>
            </w:r>
            <w:r>
              <w:rPr>
                <w:rFonts w:hint="eastAsia" w:ascii="宋体" w:hAnsi="宋体" w:eastAsia="宋体" w:cs="宋体"/>
                <w:color w:val="000000"/>
                <w:sz w:val="24"/>
                <w:szCs w:val="24"/>
                <w:highlight w:val="none"/>
              </w:rPr>
              <w:t xml:space="preserve">方案</w:t>
            </w:r>
            <w:r>
              <w:rPr>
                <w:rFonts w:hint="eastAsia" w:ascii="宋体" w:hAnsi="宋体" w:eastAsia="宋体" w:cs="宋体"/>
                <w:sz w:val="24"/>
                <w:szCs w:val="24"/>
                <w:highlight w:val="none"/>
                <w:lang w:val="en-US" w:eastAsia="zh-CN" w:bidi="ar-SA"/>
              </w:rPr>
              <w:t xml:space="preserve">进行评分，</w:t>
            </w:r>
            <w:r>
              <w:rPr>
                <w:rFonts w:hint="eastAsia" w:ascii="宋体" w:hAnsi="宋体" w:eastAsia="宋体" w:cs="宋体"/>
                <w:color w:val="000000"/>
                <w:sz w:val="24"/>
                <w:szCs w:val="24"/>
                <w:highlight w:val="none"/>
                <w:lang w:eastAsia="zh-CN"/>
              </w:rPr>
              <w:t xml:space="preserve">包括但不限于以下内容</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①</w:t>
            </w:r>
            <w:r>
              <w:rPr>
                <w:rFonts w:hint="eastAsia" w:ascii="宋体" w:hAnsi="宋体" w:eastAsia="宋体" w:cs="宋体"/>
                <w:b w:val="0"/>
                <w:bCs w:val="0"/>
                <w:color w:val="000000"/>
                <w:sz w:val="24"/>
                <w:szCs w:val="24"/>
                <w:highlight w:val="none"/>
                <w:lang w:eastAsia="zh-CN"/>
              </w:rPr>
              <w:t xml:space="preserve">开闭幕式方案</w:t>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color w:val="000000"/>
                <w:sz w:val="24"/>
                <w:szCs w:val="24"/>
                <w:highlight w:val="none"/>
                <w:lang w:eastAsia="zh-CN"/>
              </w:rPr>
              <w:t xml:space="preserve">颁奖仪式及其他</w:t>
            </w:r>
            <w:r>
              <w:rPr>
                <w:rFonts w:hint="eastAsia" w:ascii="宋体" w:hAnsi="宋体" w:eastAsia="宋体" w:cs="宋体"/>
                <w:b w:val="0"/>
                <w:bCs w:val="0"/>
                <w:color w:val="000000"/>
                <w:sz w:val="24"/>
                <w:szCs w:val="24"/>
                <w:highlight w:val="none"/>
              </w:rPr>
              <w:t xml:space="preserve">赛前、赛中、赛后各类溧阳马拉松配套活动</w:t>
            </w:r>
            <w:r>
              <w:rPr>
                <w:rFonts w:hint="eastAsia" w:ascii="宋体" w:hAnsi="宋体" w:eastAsia="宋体" w:cs="宋体"/>
                <w:b w:val="0"/>
                <w:bCs w:val="0"/>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rPr>
              <w:t xml:space="preserve">根据以上内容进行综合评审，上述内容完整详细且满足采购文件及采购需求的得2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rPr>
              <w:t xml:space="preserve">未提供方案不得分。</w:t>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2"/>
        </w:trPr>
        <w:tc>
          <w:tcPr>
            <w:tcW w:w="7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455"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p>
        </w:tc>
        <w:tc>
          <w:tcPr>
            <w:tcW w:w="1166"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w:t>
            </w:r>
            <w:r/>
          </w:p>
        </w:tc>
        <w:tc>
          <w:tcPr>
            <w:tcW w:w="7929" w:type="dxa"/>
            <w:vAlign w:val="center"/>
            <w:textDirection w:val="lrTb"/>
            <w:noWrap w:val="false"/>
          </w:tcPr>
          <w:p>
            <w:pPr>
              <w:ind w:firstLine="2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38"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48"/>
        </w:trPr>
        <w:tc>
          <w:tcPr>
            <w:tcW w:w="7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p>
        </w:tc>
        <w:tc>
          <w:tcPr>
            <w:tcW w:w="1455"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业绩</w:t>
            </w:r>
            <w:r/>
          </w:p>
        </w:tc>
        <w:tc>
          <w:tcPr>
            <w:tcW w:w="1166"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7929"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根据供应商2023年06月01日以来（时间以</w:t>
            </w:r>
            <w:r>
              <w:rPr>
                <w:rFonts w:hint="eastAsia" w:ascii="宋体" w:hAnsi="宋体" w:cs="宋体"/>
                <w:color w:val="000000"/>
                <w:sz w:val="24"/>
                <w:szCs w:val="24"/>
                <w:highlight w:val="none"/>
                <w:lang w:val="en-US" w:eastAsia="zh-CN"/>
              </w:rPr>
              <w:t xml:space="preserve">合同签订</w:t>
            </w:r>
            <w:r>
              <w:rPr>
                <w:rFonts w:hint="eastAsia" w:ascii="宋体" w:hAnsi="宋体" w:eastAsia="宋体" w:cs="宋体"/>
                <w:color w:val="000000"/>
                <w:sz w:val="24"/>
                <w:szCs w:val="24"/>
                <w:highlight w:val="none"/>
                <w:lang w:val="en-US" w:eastAsia="zh-CN"/>
              </w:rPr>
              <w:t xml:space="preserve">时间为准）运营赛事情况评分：</w:t>
            </w:r>
            <w:r/>
          </w:p>
          <w:p>
            <w:pPr>
              <w:numPr>
                <w:ilvl w:val="0"/>
                <w:numId w:val="0"/>
              </w:numPr>
              <w:jc w:val="both"/>
              <w:keepLines w:val="0"/>
              <w:keepNext w:val="0"/>
              <w:pageBreakBefore w:val="0"/>
              <w:spacing w:line="240" w:lineRule="auto"/>
              <w:widowControl w:val="off"/>
              <w:rPr>
                <w:rFonts w:hint="default"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运营过世界田联白金标赛事的</w:t>
            </w:r>
            <w:r>
              <w:rPr>
                <w:rFonts w:hint="eastAsia" w:ascii="宋体" w:hAnsi="宋体" w:cs="宋体"/>
                <w:color w:val="000000"/>
                <w:sz w:val="24"/>
                <w:szCs w:val="24"/>
                <w:highlight w:val="none"/>
                <w:lang w:val="en-US" w:eastAsia="zh-CN"/>
              </w:rPr>
              <w:t xml:space="preserve">，每提供一份</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分；运营过世界田联金标赛事的</w:t>
            </w:r>
            <w:r>
              <w:rPr>
                <w:rFonts w:hint="eastAsia" w:ascii="宋体" w:hAnsi="宋体" w:cs="宋体"/>
                <w:color w:val="000000"/>
                <w:sz w:val="24"/>
                <w:szCs w:val="24"/>
                <w:highlight w:val="none"/>
                <w:lang w:val="en-US" w:eastAsia="zh-CN"/>
              </w:rPr>
              <w:t xml:space="preserve">，每提供一份</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分；运营过世界田联精英标牌或标牌赛事的</w:t>
            </w:r>
            <w:r>
              <w:rPr>
                <w:rFonts w:hint="eastAsia" w:ascii="宋体" w:hAnsi="宋体" w:cs="宋体"/>
                <w:color w:val="000000"/>
                <w:sz w:val="24"/>
                <w:szCs w:val="24"/>
                <w:highlight w:val="none"/>
                <w:lang w:val="en-US" w:eastAsia="zh-CN"/>
              </w:rPr>
              <w:t xml:space="preserve">，每提供一份</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以上赛事可累计得分，最高得10分。</w:t>
            </w:r>
            <w:r/>
          </w:p>
          <w:p>
            <w:pPr>
              <w:numPr>
                <w:ilvl w:val="0"/>
                <w:numId w:val="0"/>
              </w:numPr>
              <w:jc w:val="both"/>
              <w:keepLines w:val="0"/>
              <w:keepNext w:val="0"/>
              <w:pageBreakBefore w:val="0"/>
              <w:spacing w:line="24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运营过</w:t>
            </w:r>
            <w:r>
              <w:rPr>
                <w:color w:val="000000"/>
                <w:sz w:val="24"/>
                <w:szCs w:val="24"/>
                <w:highlight w:val="none"/>
              </w:rPr>
              <w:t xml:space="preserve">中国田径协会</w:t>
            </w:r>
            <w:r>
              <w:rPr>
                <w:rFonts w:hint="eastAsia" w:ascii="Times New Roman" w:eastAsia="宋体"/>
                <w:color w:val="000000"/>
                <w:sz w:val="24"/>
                <w:szCs w:val="24"/>
                <w:highlight w:val="none"/>
                <w:lang w:val="en-US" w:eastAsia="zh-CN"/>
              </w:rPr>
              <w:t xml:space="preserve">认证的</w:t>
            </w:r>
            <w:r>
              <w:rPr>
                <w:rFonts w:hint="eastAsia"/>
                <w:color w:val="000000"/>
                <w:sz w:val="24"/>
                <w:szCs w:val="24"/>
                <w:highlight w:val="none"/>
                <w:lang w:val="en-US" w:eastAsia="zh-CN"/>
              </w:rPr>
              <w:t xml:space="preserve">A类（2023年金牌）</w:t>
            </w:r>
            <w:r>
              <w:rPr>
                <w:rFonts w:hint="eastAsia" w:ascii="Times New Roman" w:eastAsia="宋体"/>
                <w:color w:val="000000"/>
                <w:sz w:val="24"/>
                <w:szCs w:val="24"/>
                <w:highlight w:val="none"/>
                <w:lang w:val="en-US" w:eastAsia="zh-CN"/>
              </w:rPr>
              <w:t xml:space="preserve">马拉松</w:t>
            </w:r>
            <w:r>
              <w:rPr>
                <w:color w:val="000000"/>
                <w:sz w:val="24"/>
                <w:szCs w:val="24"/>
                <w:highlight w:val="none"/>
              </w:rPr>
              <w:t xml:space="preserve">赛事</w:t>
            </w:r>
            <w:r>
              <w:rPr>
                <w:rFonts w:hint="eastAsia" w:ascii="Times New Roman" w:eastAsia="宋体"/>
                <w:color w:val="000000"/>
                <w:sz w:val="24"/>
                <w:szCs w:val="24"/>
                <w:highlight w:val="none"/>
                <w:lang w:val="en-US" w:eastAsia="zh-CN"/>
              </w:rPr>
              <w:t xml:space="preserve">的</w:t>
            </w:r>
            <w:r>
              <w:rPr>
                <w:rFonts w:hint="eastAsia" w:eastAsia="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每提供一份</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，最多得5分。</w:t>
            </w:r>
            <w:r/>
          </w:p>
          <w:p>
            <w:pPr>
              <w:ind w:left="0" w:firstLine="0"/>
              <w:jc w:val="both"/>
              <w:keepLines w:val="0"/>
              <w:keepNext w:val="0"/>
              <w:pageBreakBefore w:val="0"/>
              <w:spacing w:line="24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本项最高得15分。</w:t>
            </w:r>
            <w:r/>
          </w:p>
        </w:tc>
        <w:tc>
          <w:tcPr>
            <w:tcW w:w="2938" w:type="dxa"/>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提供赛事运营协议扫描件。注</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如赛事运营协议中无法体现赛事主办、批准或指导单位，供应商需另行提供主办方盖章证明或官方媒体新闻发稿截图等证明材料。</w:t>
            </w:r>
            <w:r/>
          </w:p>
        </w:tc>
      </w:tr>
      <w:tr>
        <w:trPr>
          <w:jc w:val="center"/>
          <w:trHeight w:val="90"/>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p>
        </w:tc>
        <w:tc>
          <w:tcPr>
            <w:tcW w:w="1455"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项目团队</w:t>
            </w:r>
            <w:r/>
          </w:p>
        </w:tc>
        <w:tc>
          <w:tcPr>
            <w:tcW w:w="1166"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tcW w:w="7929"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团队成员具备中国田径协会颁发的“竞赛组织管理培训”、“比赛监督培训”、“路跑赛事医疗体系构建与急救管理”、“路跑赛事媒体传播专题培训”、“公路丈量员培训”结业培训证书，每提供1种得1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p>
            <w:pPr>
              <w:numPr>
                <w:ilvl w:val="0"/>
                <w:numId w:val="0"/>
              </w:numPr>
              <w:jc w:val="both"/>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注：同一人员获得多个证书的，不重复计分。</w:t>
            </w:r>
            <w:r/>
          </w:p>
        </w:tc>
        <w:tc>
          <w:tcPr>
            <w:tcW w:w="2938" w:type="dxa"/>
            <w:vAlign w:val="center"/>
            <w:textDirection w:val="lrTb"/>
            <w:noWrap w:val="false"/>
          </w:tcPr>
          <w:p>
            <w:pPr>
              <w:ind w:left="0"/>
              <w:jc w:val="both"/>
              <w:keepLines w:val="0"/>
              <w:keepNext w:val="0"/>
              <w:pageBreakBefore w:val="0"/>
              <w:spacing w:line="24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提供相关人员证书扫描件，以及投标单位为其缴纳的近六个月中任意一个月的社保缴纳证明</w:t>
            </w:r>
            <w:r>
              <w:rPr>
                <w:rFonts w:hint="eastAsia" w:ascii="宋体" w:hAnsi="宋体" w:cs="宋体"/>
                <w:b/>
                <w:bCs/>
                <w:color w:val="000000"/>
                <w:sz w:val="24"/>
                <w:szCs w:val="24"/>
                <w:highlight w:val="none"/>
                <w:lang w:val="en-US" w:eastAsia="zh-CN"/>
              </w:rPr>
              <w:t xml:space="preserve">。</w:t>
            </w:r>
            <w:r/>
          </w:p>
        </w:tc>
      </w:tr>
      <w:tr>
        <w:trPr>
          <w:jc w:val="center"/>
          <w:trHeight w:val="90"/>
        </w:trPr>
        <w:tc>
          <w:tcPr>
            <w:tcW w:w="7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w:t>
            </w:r>
            <w:r/>
          </w:p>
        </w:tc>
        <w:tc>
          <w:tcPr>
            <w:tcW w:w="1455"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网络安全</w:t>
            </w:r>
            <w:r/>
          </w:p>
        </w:tc>
        <w:tc>
          <w:tcPr>
            <w:tcW w:w="1166" w:type="dxa"/>
            <w:vAlign w:val="center"/>
            <w:textDirection w:val="lrTb"/>
            <w:noWrap w:val="false"/>
          </w:tcPr>
          <w:p>
            <w:pPr>
              <w:ind w:firstLine="28"/>
              <w:jc w:val="center"/>
              <w:spacing w:line="24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W w:w="7929"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自有报名平台或授权使用的报名平台完成三级及以上等保认证的得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w:t>
            </w:r>
            <w:r/>
          </w:p>
        </w:tc>
        <w:tc>
          <w:tcPr>
            <w:tcW w:w="2938" w:type="dxa"/>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提供自有报名平台证明材料或其他平台使用授权证明、三级及以上等保认证材料。</w:t>
            </w:r>
            <w:r/>
          </w:p>
        </w:tc>
      </w:tr>
      <w:tr>
        <w:trPr>
          <w:jc w:val="center"/>
          <w:trHeight w:val="218"/>
        </w:trPr>
        <w:tc>
          <w:tcPr>
            <w:gridSpan w:val="2"/>
            <w:tcW w:w="2184"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1166"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2"/>
            <w:tcW w:w="10867"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center"/>
        <w:spacing w:line="360" w:lineRule="auto"/>
        <w:rPr>
          <w:b/>
          <w:color w:val="auto"/>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814" w:name="_Toc99301424"/>
      <w:r>
        <w:rPr>
          <w:rFonts w:ascii="Times New Roman" w:hAnsi="Times New Roman" w:eastAsia="宋体" w:cs="Times New Roman"/>
          <w:b/>
          <w:color w:val="auto"/>
          <w:sz w:val="36"/>
          <w:szCs w:val="36"/>
          <w:highlight w:val="none"/>
        </w:rPr>
        <w:t xml:space="preserve">第五章   采购需求</w:t>
      </w:r>
      <w:bookmarkEnd w:id="814"/>
      <w:r/>
      <w:r/>
    </w:p>
    <w:p>
      <w:pPr>
        <w:jc w:val="left"/>
        <w:spacing w:line="400" w:lineRule="exact"/>
        <w:rPr>
          <w:rFonts w:ascii="宋体" w:hAnsi="宋体" w:eastAsia="宋体" w:cs="宋体"/>
          <w:color w:val="auto"/>
          <w:spacing w:val="-4"/>
          <w:sz w:val="24"/>
          <w:szCs w:val="24"/>
          <w:highlight w:val="none"/>
        </w:rPr>
      </w:pPr>
      <w:r/>
      <w:bookmarkStart w:id="815" w:name="_Toc99301425"/>
      <w:r>
        <w:rPr>
          <w:rFonts w:hint="eastAsia" w:ascii="宋体" w:hAnsi="宋体" w:eastAsia="宋体" w:cs="宋体"/>
          <w:b/>
          <w:color w:val="auto"/>
          <w:spacing w:val="-4"/>
          <w:sz w:val="24"/>
          <w:szCs w:val="24"/>
          <w:highlight w:val="none"/>
        </w:rPr>
        <w:t xml:space="preserve">一、采购清单</w:t>
      </w:r>
      <w:r/>
    </w:p>
    <w:tbl>
      <w:tblPr>
        <w:tblStyle w:val="953"/>
        <w:tblW w:w="7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196"/>
        <w:gridCol w:w="2209"/>
        <w:gridCol w:w="1336"/>
        <w:gridCol w:w="1378"/>
      </w:tblGrid>
      <w:tr>
        <w:trPr>
          <w:jc w:val="center"/>
          <w:trHeight w:val="54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赛事时间</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w:t>
            </w:r>
            <w:r/>
          </w:p>
        </w:tc>
      </w:tr>
      <w:tr>
        <w:trPr>
          <w:jc w:val="center"/>
          <w:trHeight w:val="484"/>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spacing w:line="40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2026天目湖马拉松</w:t>
            </w:r>
            <w:r/>
          </w:p>
        </w:tc>
        <w:tc>
          <w:tcPr>
            <w:tcBorders>
              <w:top w:val="single" w:color="auto" w:sz="4" w:space="0"/>
              <w:left w:val="single" w:color="auto" w:sz="4" w:space="0"/>
              <w:bottom w:val="single" w:color="auto" w:sz="4" w:space="0"/>
              <w:right w:val="single" w:color="auto" w:sz="4" w:space="0"/>
            </w:tcBorders>
            <w:tcW w:w="2209" w:type="dxa"/>
            <w:vAlign w:val="center"/>
            <w:textDirection w:val="lrTb"/>
            <w:noWrap w:val="false"/>
          </w:tcPr>
          <w:p>
            <w:pPr>
              <w:jc w:val="center"/>
              <w:spacing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2026年11月</w:t>
            </w:r>
            <w:r>
              <w:rPr>
                <w:rFonts w:hint="eastAsia" w:ascii="宋体" w:hAnsi="宋体" w:eastAsia="宋体" w:cs="宋体"/>
                <w:b w:val="0"/>
                <w:bCs w:val="0"/>
                <w:color w:val="auto"/>
                <w:sz w:val="24"/>
                <w:szCs w:val="24"/>
                <w:highlight w:val="none"/>
                <w:lang w:val="en-US" w:eastAsia="zh-CN"/>
              </w:rPr>
              <w:t xml:space="preserve">15日</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400" w:lineRule="exac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430</w:t>
            </w:r>
            <w:r>
              <w:rPr>
                <w:rFonts w:hint="eastAsia" w:ascii="宋体" w:hAnsi="宋体" w:eastAsia="宋体" w:cs="宋体"/>
                <w:b w:val="0"/>
                <w:bCs w:val="0"/>
                <w:color w:val="auto"/>
                <w:sz w:val="24"/>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spacing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425万元</w:t>
            </w:r>
            <w:r/>
          </w:p>
        </w:tc>
      </w:tr>
    </w:tbl>
    <w:p>
      <w:pPr>
        <w:contextualSpacing/>
        <w:jc w:val="left"/>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二、</w:t>
      </w:r>
      <w:r>
        <w:rPr>
          <w:rFonts w:hint="eastAsia" w:ascii="宋体" w:hAnsi="宋体" w:eastAsia="宋体" w:cs="宋体"/>
          <w:b/>
          <w:bCs/>
          <w:color w:val="auto"/>
          <w:sz w:val="24"/>
          <w:szCs w:val="24"/>
          <w:highlight w:val="none"/>
        </w:rPr>
        <w:t xml:space="preserve">基本情况</w:t>
      </w:r>
      <w:r/>
    </w:p>
    <w:p>
      <w:pPr>
        <w:contextualSpacing/>
        <w:ind w:firstLine="480"/>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1.赛事名称：</w:t>
      </w:r>
      <w:r>
        <w:rPr>
          <w:rFonts w:hint="eastAsia" w:ascii="宋体" w:hAnsi="宋体" w:eastAsia="宋体" w:cs="宋体"/>
          <w:b w:val="0"/>
          <w:bCs w:val="0"/>
          <w:color w:val="auto"/>
          <w:sz w:val="24"/>
          <w:szCs w:val="24"/>
          <w:highlight w:val="none"/>
        </w:rPr>
        <w:t xml:space="preserve">2026天目湖马拉松</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szCs w:val="24"/>
          <w:highlight w:val="none"/>
        </w:rPr>
        <w:t xml:space="preserve">2.比赛时间：</w:t>
      </w:r>
      <w:r>
        <w:rPr>
          <w:rFonts w:hint="eastAsia" w:ascii="宋体" w:hAnsi="宋体" w:eastAsia="宋体" w:cs="宋体"/>
          <w:b w:val="0"/>
          <w:bCs w:val="0"/>
          <w:color w:val="auto"/>
          <w:sz w:val="24"/>
          <w:szCs w:val="24"/>
          <w:highlight w:val="none"/>
        </w:rPr>
        <w:t xml:space="preserve">2026年11月</w:t>
      </w:r>
      <w:r>
        <w:rPr>
          <w:rFonts w:hint="eastAsia" w:ascii="宋体" w:hAnsi="宋体" w:eastAsia="宋体" w:cs="宋体"/>
          <w:b w:val="0"/>
          <w:bCs w:val="0"/>
          <w:color w:val="auto"/>
          <w:sz w:val="24"/>
          <w:szCs w:val="24"/>
          <w:highlight w:val="none"/>
          <w:lang w:val="en-US" w:eastAsia="zh-CN"/>
        </w:rPr>
        <w:t xml:space="preserve">15日</w:t>
      </w:r>
      <w:r/>
    </w:p>
    <w:p>
      <w:pPr>
        <w:contextualSpacing/>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三、总体要求及</w:t>
      </w:r>
      <w:r>
        <w:rPr>
          <w:rFonts w:hint="eastAsia" w:ascii="宋体" w:hAnsi="宋体" w:eastAsia="宋体" w:cs="宋体"/>
          <w:b/>
          <w:bCs/>
          <w:color w:val="auto"/>
          <w:sz w:val="24"/>
          <w:szCs w:val="24"/>
          <w:highlight w:val="none"/>
        </w:rPr>
        <w:t xml:space="preserve">服务内容</w:t>
      </w:r>
      <w:r/>
    </w:p>
    <w:p>
      <w:pPr>
        <w:contextualSpacing/>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一）总体要求</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pPr>
      <w:r>
        <w:rPr>
          <w:rFonts w:hint="eastAsia" w:ascii="宋体" w:hAnsi="宋体" w:eastAsia="宋体" w:cs="宋体"/>
          <w:b w:val="0"/>
          <w:bCs w:val="0"/>
          <w:color w:val="auto"/>
          <w:sz w:val="24"/>
          <w:szCs w:val="24"/>
          <w:highlight w:val="none"/>
        </w:rPr>
        <w:t xml:space="preserve">2026天目湖马拉松</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lang w:val="en-US" w:eastAsia="zh-CN"/>
        </w:rPr>
        <w:t xml:space="preserve">溧阳</w:t>
      </w:r>
      <w:r>
        <w:rPr>
          <w:rFonts w:hint="eastAsia" w:ascii="宋体" w:hAnsi="宋体" w:eastAsia="宋体" w:cs="宋体"/>
          <w:bCs/>
          <w:color w:val="auto"/>
          <w:sz w:val="24"/>
          <w:szCs w:val="24"/>
          <w:highlight w:val="none"/>
        </w:rPr>
        <w:t xml:space="preserve">市人民政府主办，</w:t>
      </w:r>
      <w:r>
        <w:rPr>
          <w:rFonts w:hint="eastAsia" w:ascii="宋体" w:hAnsi="宋体" w:eastAsia="宋体" w:cs="宋体"/>
          <w:bCs/>
          <w:color w:val="auto"/>
          <w:sz w:val="24"/>
          <w:szCs w:val="24"/>
          <w:highlight w:val="none"/>
          <w:lang w:val="en-US" w:eastAsia="zh-CN"/>
        </w:rPr>
        <w:t xml:space="preserve">溧阳市文体广电和旅游局</w:t>
      </w:r>
      <w:r>
        <w:rPr>
          <w:rFonts w:hint="eastAsia" w:ascii="宋体" w:hAnsi="宋体" w:eastAsia="宋体" w:cs="宋体"/>
          <w:bCs/>
          <w:color w:val="auto"/>
          <w:sz w:val="24"/>
          <w:szCs w:val="24"/>
          <w:highlight w:val="none"/>
        </w:rPr>
        <w:t xml:space="preserve">承办，按照中国田径协会A</w:t>
      </w:r>
      <w:r>
        <w:rPr>
          <w:rFonts w:hint="eastAsia" w:ascii="宋体" w:hAnsi="宋体" w:eastAsia="宋体" w:cs="宋体"/>
          <w:bCs/>
          <w:color w:val="auto"/>
          <w:sz w:val="24"/>
          <w:szCs w:val="24"/>
          <w:highlight w:val="none"/>
          <w:lang w:val="en-US" w:eastAsia="zh-CN"/>
        </w:rPr>
        <w:t xml:space="preserve">类</w:t>
      </w:r>
      <w:r>
        <w:rPr>
          <w:rFonts w:hint="eastAsia" w:ascii="宋体" w:hAnsi="宋体" w:eastAsia="宋体" w:cs="宋体"/>
          <w:bCs/>
          <w:color w:val="auto"/>
          <w:sz w:val="24"/>
          <w:szCs w:val="24"/>
          <w:highlight w:val="none"/>
        </w:rPr>
        <w:t xml:space="preserve">赛事标准执行。本届马拉松赛，包括市内、省内、国内高水平运动员和马拉松爱好者，参与人数设定在</w:t>
      </w:r>
      <w:r>
        <w:rPr>
          <w:rFonts w:hint="eastAsia" w:ascii="宋体" w:hAnsi="宋体" w:eastAsia="宋体" w:cs="宋体"/>
          <w:bCs/>
          <w:color w:val="auto"/>
          <w:sz w:val="24"/>
          <w:szCs w:val="24"/>
          <w:highlight w:val="none"/>
          <w:lang w:val="en-US" w:eastAsia="zh-CN"/>
        </w:rPr>
        <w:t xml:space="preserve">15000</w:t>
      </w:r>
      <w:r>
        <w:rPr>
          <w:rFonts w:hint="eastAsia" w:ascii="宋体" w:hAnsi="宋体" w:eastAsia="宋体" w:cs="宋体"/>
          <w:bCs/>
          <w:color w:val="auto"/>
          <w:sz w:val="24"/>
          <w:szCs w:val="24"/>
          <w:highlight w:val="none"/>
        </w:rPr>
        <w:t xml:space="preserve">人，其中全程</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000人、半程1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000人</w:t>
      </w:r>
      <w:r>
        <w:rPr>
          <w:rFonts w:hint="eastAsia" w:ascii="宋体" w:hAnsi="宋体" w:eastAsia="宋体" w:cs="宋体"/>
          <w:bCs/>
          <w:color w:val="auto"/>
          <w:sz w:val="24"/>
          <w:szCs w:val="24"/>
          <w:highlight w:val="none"/>
          <w:lang w:eastAsia="zh-CN"/>
        </w:rPr>
        <w:t xml:space="preserve">。</w:t>
      </w:r>
      <w:r/>
    </w:p>
    <w:p>
      <w:pPr>
        <w:contextualSpacing/>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（二）服务内容</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马拉松赛总体策划、赛事运营及市场开发等方案的制定及实施（包括但不限于：赛事总体策划方案、赛事整体设计方案、赛事保障方案、医疗保障方案、应急处理方案、安全风险防控方案、赛事精神文明与文化建设实施方案、赛事宣传方案及赛事市场开发工作相关方案，进行赛事风险评估等），保障赛事顺利进行；</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负责为安保工作提供赛事技术服务支持和本次比赛所有安保工作的费用，负责赛事当天公安人员早午餐；负责赛事当天现场所有工作人员午餐；负责为医疗工作提供技术服务支持，邀请并承担第三方赛道流动救援机构费用，并负责赛事当天赛道医疗人员早午餐；负责为志愿者工作提供技术服务支持，并负责赛事当天志愿者装备、交通及早午餐；负责参赛运动员、裁判员等工作人员的意外保险及赛事责任保险等工作；</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3.负责官方网站及网站报名系统的建设和日常维护，负责统筹所有报名工作等，并收取相应报名费用，报名收入由赛事运营公司支配。</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4.负责赛事商业宣传工作：赛事媒体合作，组织新闻发布会，负责赛事期间媒体邀请、接待等（含赛事直播）；</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5.负责比赛服装、完赛包的设计采购，并负责制作完赛奖牌、电子证书等；</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6.负责赛事的物资采购、设计、制作、摆放和回收，并负责运动员比赛奖金；</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7.负责赛事招商，招商收入由赛事公司支配；</w:t>
      </w:r>
      <w:r/>
    </w:p>
    <w:p>
      <w:pPr>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8.其他竞赛组织工作。</w:t>
      </w:r>
      <w:r/>
    </w:p>
    <w:p>
      <w:pPr>
        <w:contextualSpacing/>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四、具体服务要求</w:t>
      </w:r>
      <w:r/>
    </w:p>
    <w:p>
      <w:pPr>
        <w:contextualSpacing/>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（一）赛事整体设计</w:t>
      </w:r>
      <w:r/>
    </w:p>
    <w:p>
      <w:pPr>
        <w:contextualSpacing/>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含且不限于赛事主题设计、赛事形象设计、视觉设计、赛事logo设计、完赛纪念奖牌设计、赛事服装设计、赛事物资整体设计、印刷证件设计等。设计符合溧阳城市气质、历史文脉、旅游资源和“天马”人文风格的视觉识别系统，形成特点鲜明、风格独特的主视觉应用（包括但不限于舞台、证件、指示牌等），同时确保美观、独特、与赛事主题匹配。参照赛事主视觉效果，根据组委会需求，设计制作奖牌、参赛选手号码簿、赛道指示牌、成绩证书、志愿者证书、工作人员证件、车辆证件、赛事周边等赛事相关物料。</w:t>
      </w:r>
      <w:r/>
    </w:p>
    <w:p>
      <w:pPr>
        <w:contextualSpacing/>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（二）赛事保障要求</w:t>
      </w:r>
      <w:r/>
    </w:p>
    <w:p>
      <w:pPr>
        <w:ind w:firstLine="482"/>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1.人员配置</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为确保赛事项目顺利实施，“赛事筹备及运营保障”阶段（赛前3个月至赛前1个月），工作团队配置人员数量不得低于</w:t>
      </w:r>
      <w:r>
        <w:rPr>
          <w:rFonts w:hint="eastAsia" w:ascii="宋体" w:hAnsi="宋体" w:eastAsia="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rPr>
        <w:t xml:space="preserve">人，其中赛前1个月至比赛结束的时间段内人员数量不得低于</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eastAsia="宋体" w:cs="宋体"/>
          <w:b w:val="0"/>
          <w:bCs w:val="0"/>
          <w:color w:val="auto"/>
          <w:sz w:val="24"/>
          <w:szCs w:val="24"/>
          <w:highlight w:val="none"/>
          <w:u w:val="none"/>
        </w:rPr>
        <w:t xml:space="preserve">人</w:t>
      </w:r>
      <w:r>
        <w:rPr>
          <w:rFonts w:hint="eastAsia" w:ascii="宋体" w:hAnsi="宋体" w:eastAsia="宋体" w:cs="宋体"/>
          <w:b/>
          <w:bCs/>
          <w:color w:val="auto"/>
          <w:sz w:val="24"/>
          <w:szCs w:val="24"/>
          <w:highlight w:val="none"/>
          <w:u w:val="none"/>
        </w:rPr>
        <w:t xml:space="preserve">（提供承诺函加盖公章，格式自拟）</w:t>
      </w:r>
      <w:r>
        <w:rPr>
          <w:rFonts w:hint="eastAsia" w:ascii="宋体" w:hAnsi="宋体" w:eastAsia="宋体" w:cs="宋体"/>
          <w:b w:val="0"/>
          <w:bCs w:val="0"/>
          <w:color w:val="auto"/>
          <w:sz w:val="24"/>
          <w:szCs w:val="24"/>
          <w:highlight w:val="none"/>
          <w:u w:val="none"/>
        </w:rPr>
        <w:t xml:space="preserve">。</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Cs/>
          <w:color w:val="auto"/>
          <w:sz w:val="24"/>
          <w:szCs w:val="24"/>
          <w:highlight w:val="none"/>
          <w:u w:val="none"/>
          <w:lang w:val="en-US"/>
        </w:rPr>
      </w:pPr>
      <w:r>
        <w:rPr>
          <w:rFonts w:hint="eastAsia" w:ascii="宋体" w:hAnsi="宋体" w:eastAsia="宋体" w:cs="宋体"/>
          <w:b/>
          <w:bCs w:val="0"/>
          <w:color w:val="auto"/>
          <w:sz w:val="24"/>
          <w:szCs w:val="24"/>
          <w:highlight w:val="none"/>
          <w:u w:val="none"/>
          <w:lang w:val="en-US" w:eastAsia="zh-CN"/>
        </w:rPr>
        <w:t xml:space="preserve">2.</w:t>
      </w:r>
      <w:r>
        <w:rPr>
          <w:rFonts w:hint="eastAsia" w:ascii="宋体" w:hAnsi="宋体" w:eastAsia="宋体" w:cs="宋体"/>
          <w:b/>
          <w:bCs w:val="0"/>
          <w:color w:val="auto"/>
          <w:sz w:val="24"/>
          <w:szCs w:val="24"/>
          <w:highlight w:val="none"/>
          <w:u w:val="none"/>
        </w:rPr>
        <w:t xml:space="preserve">竞赛</w:t>
      </w:r>
      <w:r>
        <w:rPr>
          <w:rFonts w:hint="eastAsia" w:ascii="宋体" w:hAnsi="宋体" w:eastAsia="宋体" w:cs="宋体"/>
          <w:b/>
          <w:bCs w:val="0"/>
          <w:color w:val="auto"/>
          <w:sz w:val="24"/>
          <w:szCs w:val="24"/>
          <w:highlight w:val="none"/>
          <w:u w:val="none"/>
          <w:lang w:val="en-US" w:eastAsia="zh-CN"/>
        </w:rPr>
        <w:t xml:space="preserve">组织</w:t>
      </w:r>
      <w:r/>
    </w:p>
    <w:p>
      <w:pPr>
        <w:ind w:firstLine="480"/>
        <w:jc w:val="left"/>
        <w:keepLines w:val="0"/>
        <w:keepNext w:val="0"/>
        <w:pageBreakBefore w:val="0"/>
        <w:spacing w:line="360" w:lineRule="auto"/>
        <w:widowControl w:val="off"/>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none"/>
        </w:rPr>
        <w:t xml:space="preserve">负责赛事技术人员、裁判员等人员的落实</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承担赛事技术人员、裁判员及相关赛事工作人员比赛期间的差旅费、劳务费，以及工作期间的食宿接待。</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2）</w:t>
      </w:r>
      <w:r>
        <w:rPr>
          <w:rFonts w:hint="eastAsia" w:ascii="宋体" w:hAnsi="宋体" w:eastAsia="宋体" w:cs="宋体"/>
          <w:bCs/>
          <w:color w:val="auto"/>
          <w:sz w:val="24"/>
          <w:szCs w:val="24"/>
          <w:highlight w:val="none"/>
          <w:u w:val="none"/>
        </w:rPr>
        <w:t xml:space="preserve">配速员及医疗跑者的招募及管理</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招募专业选手配速员5名、大众选手配速员50名，男女各占50%</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医疗跑者不少于40人，做好配速员与医疗跑者的赛前培训工作，并承担配速员与医疗跑者的服装装备、住宿、医疗保障用品等相关费用。</w:t>
      </w:r>
      <w:r/>
    </w:p>
    <w:p>
      <w:pPr>
        <w:ind w:firstLine="480"/>
        <w:jc w:val="left"/>
        <w:keepLines w:val="0"/>
        <w:keepNext w:val="0"/>
        <w:pageBreakBefore w:val="0"/>
        <w:spacing w:line="360" w:lineRule="auto"/>
        <w:widowControl w:val="off"/>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3）</w:t>
      </w:r>
      <w:r>
        <w:rPr>
          <w:rFonts w:hint="eastAsia" w:ascii="宋体" w:hAnsi="宋体" w:eastAsia="宋体" w:cs="宋体"/>
          <w:bCs/>
          <w:color w:val="auto"/>
          <w:sz w:val="24"/>
          <w:szCs w:val="24"/>
          <w:highlight w:val="none"/>
          <w:u w:val="none"/>
        </w:rPr>
        <w:t xml:space="preserve">提供获奖运动员的奖杯（男女前三）、奖牌、证书（完赛电子证书）。</w:t>
      </w:r>
      <w:r/>
    </w:p>
    <w:p>
      <w:pPr>
        <w:ind w:firstLine="480"/>
        <w:jc w:val="left"/>
        <w:keepLines w:val="0"/>
        <w:keepNext w:val="0"/>
        <w:pageBreakBefore w:val="0"/>
        <w:spacing w:line="360" w:lineRule="auto"/>
        <w:widowControl w:val="off"/>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4）</w:t>
      </w:r>
      <w:r>
        <w:rPr>
          <w:rFonts w:hint="eastAsia" w:ascii="宋体" w:hAnsi="宋体" w:eastAsia="宋体" w:cs="宋体"/>
          <w:bCs/>
          <w:color w:val="auto"/>
          <w:sz w:val="24"/>
          <w:szCs w:val="24"/>
          <w:highlight w:val="none"/>
          <w:u w:val="none"/>
        </w:rPr>
        <w:t xml:space="preserve">提供足够数量（与赛事规模相匹配）的参赛选手号码布、完赛纪念牌、存放衣物袋、参赛运动T恤，要求优质精美、设计体现地方特色，其中服装要求为速干透气面料。</w:t>
      </w:r>
      <w:r/>
    </w:p>
    <w:p>
      <w:pPr>
        <w:ind w:firstLine="480"/>
        <w:jc w:val="left"/>
        <w:keepLines w:val="0"/>
        <w:keepNext w:val="0"/>
        <w:pageBreakBefore w:val="0"/>
        <w:spacing w:line="360" w:lineRule="auto"/>
        <w:widowControl w:val="off"/>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lang w:val="en-US" w:eastAsia="zh-CN"/>
        </w:rPr>
        <w:t xml:space="preserve">5）</w:t>
      </w:r>
      <w:r>
        <w:rPr>
          <w:rFonts w:hint="eastAsia" w:ascii="宋体" w:hAnsi="宋体" w:eastAsia="宋体" w:cs="宋体"/>
          <w:bCs/>
          <w:color w:val="auto"/>
          <w:sz w:val="24"/>
          <w:szCs w:val="24"/>
          <w:highlight w:val="none"/>
          <w:u w:val="none"/>
        </w:rPr>
        <w:t xml:space="preserve">提供符合比赛要求的感应器计时系统（按中田协标准设置计时钟及赛道摄像等相关设备）和足够数量的感应计时芯片；提供满足比赛要求的裁判员、后勤保障人员无线通讯系统和设备；提供所需的电脑、打印机和相应耗材。</w:t>
      </w:r>
      <w:r/>
    </w:p>
    <w:p>
      <w:pPr>
        <w:pStyle w:val="957"/>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为所有参赛选手、赛事技术人员、裁判员、工作人员、赛事志愿者投保人身意外险。（含突发性死亡保险赔付金额不低于人民币150万元）；为赛事购买赛事公众责任险（公众责任险最低赔付金额不低于人民币1000万元）；</w:t>
      </w:r>
      <w:r/>
    </w:p>
    <w:p>
      <w:pPr>
        <w:pStyle w:val="957"/>
        <w:ind w:firstLine="480"/>
        <w:keepLines w:val="0"/>
        <w:keepNext w:val="0"/>
        <w:pageBreakBefore w:val="0"/>
        <w:spacing w:line="360" w:lineRule="auto"/>
        <w:widowControl w:val="off"/>
        <w:rPr>
          <w:rFonts w:hint="default"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（7）高水平运动员要求</w:t>
      </w:r>
      <w:r/>
    </w:p>
    <w:p>
      <w:pPr>
        <w:pStyle w:val="957"/>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国内高水平男女运动员分别不少于2名选手且近3年最好成绩应优于天目湖马拉松（全马及半马）赛会记录。</w:t>
      </w:r>
      <w:r/>
    </w:p>
    <w:p>
      <w:pPr>
        <w:numPr>
          <w:ilvl w:val="0"/>
          <w:numId w:val="0"/>
        </w:numPr>
        <w:jc w:val="center"/>
        <w:keepLines w:val="0"/>
        <w:keepNext w:val="0"/>
        <w:pageBreakBefore w:val="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天目湖马拉松赛会记录</w:t>
      </w:r>
      <w:r/>
    </w:p>
    <w:tbl>
      <w:tblPr>
        <w:tblStyle w:val="978"/>
        <w:tblW w:w="8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8"/>
        <w:gridCol w:w="2104"/>
        <w:gridCol w:w="2106"/>
        <w:gridCol w:w="2660"/>
      </w:tblGrid>
      <w:tr>
        <w:trPr>
          <w:trHeight w:val="302"/>
        </w:trPr>
        <w:tc>
          <w:tcPr>
            <w:tcW w:w="2068"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t xml:space="preserve">类别</w:t>
            </w:r>
            <w:r/>
          </w:p>
        </w:tc>
        <w:tc>
          <w:tcPr>
            <w:tcW w:w="2104"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t xml:space="preserve">组别</w:t>
            </w:r>
            <w:r/>
          </w:p>
        </w:tc>
        <w:tc>
          <w:tcPr>
            <w:tcW w:w="2106"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t xml:space="preserve">成绩</w:t>
            </w:r>
            <w:r/>
          </w:p>
        </w:tc>
        <w:tc>
          <w:tcPr>
            <w:tcW w:w="2660" w:type="dxa"/>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color w:val="auto"/>
                <w:sz w:val="24"/>
                <w:szCs w:val="24"/>
                <w:highlight w:val="none"/>
                <w:u w:val="none"/>
                <w:lang w:val="en-US" w:eastAsia="zh-CN"/>
              </w:rPr>
              <w:t xml:space="preserve">国内高水平男女运动员</w:t>
            </w:r>
            <w:r/>
          </w:p>
        </w:tc>
      </w:tr>
      <w:tr>
        <w:trPr>
          <w:trHeight w:val="353"/>
        </w:trPr>
        <w:tc>
          <w:tcPr>
            <w:tcW w:w="2068"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t xml:space="preserve">全马</w:t>
            </w:r>
            <w:r/>
          </w:p>
        </w:tc>
        <w:tc>
          <w:tcPr>
            <w:tcW w:w="2104"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男子组</w:t>
            </w:r>
            <w:r/>
          </w:p>
        </w:tc>
        <w:tc>
          <w:tcPr>
            <w:tcW w:w="2106"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2小时18分24秒</w:t>
            </w:r>
            <w:r/>
          </w:p>
        </w:tc>
        <w:tc>
          <w:tcPr>
            <w:tcW w:w="2660" w:type="dxa"/>
            <w:vAlign w:val="center"/>
            <w:textDirection w:val="lrTb"/>
            <w:noWrap w:val="false"/>
          </w:tcPr>
          <w:p>
            <w:pPr>
              <w:ind w:firstLine="0"/>
              <w:jc w:val="center"/>
              <w:keepLines w:val="0"/>
              <w:keepNext w:val="0"/>
              <w:pageBreakBefore w:val="0"/>
              <w:spacing w:after="0" w:line="240" w:lineRule="auto"/>
              <w:widowControl w:val="off"/>
              <w:rPr>
                <w:rFonts w:hint="default" w:ascii="宋体" w:hAnsi="宋体" w:eastAsia="宋体" w:cs="宋体"/>
                <w:b w:val="0"/>
                <w:bCs w:val="0"/>
                <w:i w:val="0"/>
                <w:iCs w:val="0"/>
                <w:caps w:val="0"/>
                <w:spacing w:val="0"/>
                <w:sz w:val="24"/>
                <w:szCs w:val="24"/>
                <w:highlight w:val="none"/>
                <w:shd w:val="clear" w:color="auto" w:fill="ffffff"/>
                <w:lang w:val="en-US" w:eastAsia="zh-CN"/>
              </w:rPr>
            </w:pP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≥2名</w:t>
            </w:r>
            <w:r/>
          </w:p>
        </w:tc>
      </w:tr>
      <w:tr>
        <w:trPr>
          <w:trHeight w:val="353"/>
        </w:trPr>
        <w:tc>
          <w:tcPr>
            <w:tcW w:w="2068"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r>
            <w:r/>
          </w:p>
        </w:tc>
        <w:tc>
          <w:tcPr>
            <w:tcW w:w="2104"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女子组</w:t>
            </w:r>
            <w:r/>
          </w:p>
        </w:tc>
        <w:tc>
          <w:tcPr>
            <w:tcW w:w="2106"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2小时</w:t>
            </w: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40</w:t>
            </w:r>
            <w:r>
              <w:rPr>
                <w:rFonts w:hint="eastAsia" w:ascii="宋体" w:hAnsi="宋体" w:eastAsia="宋体" w:cs="宋体"/>
                <w:b w:val="0"/>
                <w:bCs w:val="0"/>
                <w:i w:val="0"/>
                <w:iCs w:val="0"/>
                <w:caps w:val="0"/>
                <w:spacing w:val="0"/>
                <w:sz w:val="24"/>
                <w:szCs w:val="24"/>
                <w:highlight w:val="none"/>
                <w:shd w:val="clear" w:color="auto" w:fill="ffffff"/>
              </w:rPr>
              <w:t xml:space="preserve">分</w:t>
            </w: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01</w:t>
            </w:r>
            <w:r>
              <w:rPr>
                <w:rFonts w:hint="eastAsia" w:ascii="宋体" w:hAnsi="宋体" w:eastAsia="宋体" w:cs="宋体"/>
                <w:b w:val="0"/>
                <w:bCs w:val="0"/>
                <w:i w:val="0"/>
                <w:iCs w:val="0"/>
                <w:caps w:val="0"/>
                <w:spacing w:val="0"/>
                <w:sz w:val="24"/>
                <w:szCs w:val="24"/>
                <w:highlight w:val="none"/>
                <w:shd w:val="clear" w:color="auto" w:fill="ffffff"/>
              </w:rPr>
              <w:t xml:space="preserve">秒</w:t>
            </w:r>
            <w:r/>
          </w:p>
        </w:tc>
        <w:tc>
          <w:tcPr>
            <w:tcW w:w="266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i w:val="0"/>
                <w:iCs w:val="0"/>
                <w:caps w:val="0"/>
                <w:spacing w:val="0"/>
                <w:sz w:val="24"/>
                <w:szCs w:val="24"/>
                <w:highlight w:val="none"/>
                <w:shd w:val="clear" w:color="auto" w:fill="ffffff"/>
                <w:lang w:val="en-US" w:eastAsia="zh-CN"/>
              </w:rPr>
            </w:pP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≥2名</w:t>
            </w:r>
            <w:r/>
          </w:p>
        </w:tc>
      </w:tr>
      <w:tr>
        <w:trPr>
          <w:trHeight w:val="353"/>
        </w:trPr>
        <w:tc>
          <w:tcPr>
            <w:tcW w:w="2068"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t xml:space="preserve">半马</w:t>
            </w:r>
            <w:r/>
          </w:p>
        </w:tc>
        <w:tc>
          <w:tcPr>
            <w:tcW w:w="2104"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男子组</w:t>
            </w:r>
            <w:r/>
          </w:p>
        </w:tc>
        <w:tc>
          <w:tcPr>
            <w:tcW w:w="2106"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1小时</w:t>
            </w: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08</w:t>
            </w:r>
            <w:r>
              <w:rPr>
                <w:rFonts w:hint="eastAsia" w:ascii="宋体" w:hAnsi="宋体" w:eastAsia="宋体" w:cs="宋体"/>
                <w:b w:val="0"/>
                <w:bCs w:val="0"/>
                <w:i w:val="0"/>
                <w:iCs w:val="0"/>
                <w:caps w:val="0"/>
                <w:spacing w:val="0"/>
                <w:sz w:val="24"/>
                <w:szCs w:val="24"/>
                <w:highlight w:val="none"/>
                <w:shd w:val="clear" w:color="auto" w:fill="ffffff"/>
              </w:rPr>
              <w:t xml:space="preserve">分</w:t>
            </w: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12</w:t>
            </w:r>
            <w:r>
              <w:rPr>
                <w:rFonts w:hint="eastAsia" w:ascii="宋体" w:hAnsi="宋体" w:eastAsia="宋体" w:cs="宋体"/>
                <w:b w:val="0"/>
                <w:bCs w:val="0"/>
                <w:i w:val="0"/>
                <w:iCs w:val="0"/>
                <w:caps w:val="0"/>
                <w:spacing w:val="0"/>
                <w:sz w:val="24"/>
                <w:szCs w:val="24"/>
                <w:highlight w:val="none"/>
                <w:shd w:val="clear" w:color="auto" w:fill="ffffff"/>
              </w:rPr>
              <w:t xml:space="preserve">秒</w:t>
            </w:r>
            <w:r/>
          </w:p>
        </w:tc>
        <w:tc>
          <w:tcPr>
            <w:tcW w:w="266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i w:val="0"/>
                <w:iCs w:val="0"/>
                <w:caps w:val="0"/>
                <w:spacing w:val="0"/>
                <w:sz w:val="24"/>
                <w:szCs w:val="24"/>
                <w:highlight w:val="none"/>
                <w:shd w:val="clear" w:color="auto" w:fill="ffffff"/>
                <w:lang w:val="en-US" w:eastAsia="zh-CN"/>
              </w:rPr>
            </w:pP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≥2名</w:t>
            </w:r>
            <w:r/>
          </w:p>
        </w:tc>
      </w:tr>
      <w:tr>
        <w:trPr>
          <w:trHeight w:val="366"/>
        </w:trPr>
        <w:tc>
          <w:tcPr>
            <w:tcW w:w="2068"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color w:val="000000"/>
                <w:sz w:val="24"/>
                <w:szCs w:val="24"/>
                <w:highlight w:val="none"/>
                <w:u w:val="none"/>
                <w:vertAlign w:val="baseline"/>
                <w:lang w:val="en-US" w:eastAsia="zh-CN"/>
              </w:rPr>
            </w:r>
            <w:r/>
          </w:p>
        </w:tc>
        <w:tc>
          <w:tcPr>
            <w:tcW w:w="2104"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女子组</w:t>
            </w:r>
            <w:r/>
          </w:p>
        </w:tc>
        <w:tc>
          <w:tcPr>
            <w:tcW w:w="2106"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u w:val="none"/>
                <w:vertAlign w:val="baseline"/>
                <w:lang w:val="en-US" w:eastAsia="zh-CN"/>
              </w:rPr>
            </w:pPr>
            <w:r>
              <w:rPr>
                <w:rFonts w:hint="eastAsia" w:ascii="宋体" w:hAnsi="宋体" w:eastAsia="宋体" w:cs="宋体"/>
                <w:b w:val="0"/>
                <w:bCs w:val="0"/>
                <w:i w:val="0"/>
                <w:iCs w:val="0"/>
                <w:caps w:val="0"/>
                <w:spacing w:val="0"/>
                <w:sz w:val="24"/>
                <w:szCs w:val="24"/>
                <w:highlight w:val="none"/>
                <w:shd w:val="clear" w:color="auto" w:fill="ffffff"/>
              </w:rPr>
              <w:t xml:space="preserve">1小时17分23秒</w:t>
            </w:r>
            <w:r/>
          </w:p>
        </w:tc>
        <w:tc>
          <w:tcPr>
            <w:tcW w:w="2660"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b w:val="0"/>
                <w:bCs w:val="0"/>
                <w:i w:val="0"/>
                <w:iCs w:val="0"/>
                <w:caps w:val="0"/>
                <w:spacing w:val="0"/>
                <w:sz w:val="24"/>
                <w:szCs w:val="24"/>
                <w:highlight w:val="none"/>
                <w:shd w:val="clear" w:color="auto" w:fill="ffffff"/>
                <w:lang w:val="en-US" w:eastAsia="zh-CN"/>
              </w:rPr>
            </w:pPr>
            <w:r>
              <w:rPr>
                <w:rFonts w:hint="eastAsia" w:ascii="宋体" w:hAnsi="宋体" w:eastAsia="宋体" w:cs="宋体"/>
                <w:b w:val="0"/>
                <w:bCs w:val="0"/>
                <w:i w:val="0"/>
                <w:iCs w:val="0"/>
                <w:caps w:val="0"/>
                <w:spacing w:val="0"/>
                <w:sz w:val="24"/>
                <w:szCs w:val="24"/>
                <w:highlight w:val="none"/>
                <w:shd w:val="clear" w:color="auto" w:fill="ffffff"/>
                <w:lang w:val="en-US" w:eastAsia="zh-CN"/>
              </w:rPr>
              <w:t xml:space="preserve">≥2名</w:t>
            </w:r>
            <w:r/>
          </w:p>
        </w:tc>
      </w:tr>
    </w:tbl>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须</w:t>
      </w:r>
      <w:r>
        <w:rPr>
          <w:rFonts w:hint="eastAsia" w:ascii="宋体" w:hAnsi="宋体" w:eastAsia="宋体" w:cs="宋体"/>
          <w:b/>
          <w:bCs w:val="0"/>
          <w:color w:val="auto"/>
          <w:sz w:val="24"/>
          <w:szCs w:val="24"/>
          <w:highlight w:val="none"/>
          <w:u w:val="none"/>
        </w:rPr>
        <w:t xml:space="preserve">按照上述需求制订竞赛</w:t>
      </w:r>
      <w:r>
        <w:rPr>
          <w:rFonts w:hint="eastAsia" w:ascii="宋体" w:hAnsi="宋体" w:eastAsia="宋体" w:cs="宋体"/>
          <w:b/>
          <w:bCs w:val="0"/>
          <w:color w:val="auto"/>
          <w:sz w:val="24"/>
          <w:szCs w:val="24"/>
          <w:highlight w:val="none"/>
          <w:u w:val="none"/>
          <w:lang w:val="en-US" w:eastAsia="zh-CN"/>
        </w:rPr>
        <w:t xml:space="preserve">组织</w:t>
      </w:r>
      <w:r>
        <w:rPr>
          <w:rFonts w:hint="eastAsia" w:ascii="宋体" w:hAnsi="宋体" w:eastAsia="宋体" w:cs="宋体"/>
          <w:b/>
          <w:bCs w:val="0"/>
          <w:color w:val="auto"/>
          <w:sz w:val="24"/>
          <w:szCs w:val="24"/>
          <w:highlight w:val="none"/>
          <w:u w:val="none"/>
        </w:rPr>
        <w:t xml:space="preserve">方案，并根据比赛时间节点明确倒计时实施进度计划，以及配备相应的工作人员。</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3.医疗保障</w:t>
      </w:r>
      <w:r/>
    </w:p>
    <w:p>
      <w:p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rPr>
        <w:t xml:space="preserve">提供合理专业</w:t>
      </w:r>
      <w:r>
        <w:rPr>
          <w:rFonts w:hint="eastAsia" w:ascii="宋体" w:hAnsi="宋体" w:eastAsia="宋体" w:cs="宋体"/>
          <w:bCs/>
          <w:color w:val="auto"/>
          <w:sz w:val="24"/>
          <w:szCs w:val="24"/>
          <w:highlight w:val="none"/>
          <w:u w:val="none"/>
          <w:lang w:val="en-US" w:eastAsia="zh-CN"/>
        </w:rPr>
        <w:t xml:space="preserve">的</w:t>
      </w:r>
      <w:r>
        <w:rPr>
          <w:rFonts w:hint="eastAsia" w:ascii="宋体" w:hAnsi="宋体" w:eastAsia="宋体" w:cs="宋体"/>
          <w:bCs/>
          <w:color w:val="auto"/>
          <w:sz w:val="24"/>
          <w:szCs w:val="24"/>
          <w:highlight w:val="none"/>
          <w:u w:val="none"/>
        </w:rPr>
        <w:t xml:space="preserve">医疗急救团队及设备，</w:t>
      </w:r>
      <w:r>
        <w:rPr>
          <w:rFonts w:hint="eastAsia" w:ascii="宋体" w:hAnsi="宋体" w:eastAsia="宋体" w:cs="宋体"/>
          <w:bCs/>
          <w:color w:val="auto"/>
          <w:sz w:val="24"/>
          <w:szCs w:val="24"/>
          <w:highlight w:val="none"/>
          <w:u w:val="none"/>
          <w:lang w:val="en-US" w:eastAsia="zh-CN"/>
        </w:rPr>
        <w:t xml:space="preserve">加强沿途医疗流动监控，包括但不限于</w:t>
      </w:r>
      <w:r>
        <w:rPr>
          <w:rFonts w:hint="eastAsia" w:ascii="宋体" w:hAnsi="宋体" w:eastAsia="宋体" w:cs="宋体"/>
          <w:bCs/>
          <w:color w:val="auto"/>
          <w:sz w:val="24"/>
          <w:szCs w:val="24"/>
          <w:highlight w:val="none"/>
          <w:u w:val="none"/>
        </w:rPr>
        <w:t xml:space="preserve">医疗观察志愿者</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移动AED</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救护车</w:t>
      </w:r>
      <w:r>
        <w:rPr>
          <w:rFonts w:hint="eastAsia" w:ascii="宋体" w:hAnsi="宋体" w:eastAsia="宋体" w:cs="宋体"/>
          <w:bCs/>
          <w:color w:val="auto"/>
          <w:sz w:val="24"/>
          <w:szCs w:val="24"/>
          <w:highlight w:val="none"/>
          <w:u w:val="none"/>
          <w:lang w:val="en-US" w:eastAsia="zh-CN"/>
        </w:rPr>
        <w:t xml:space="preserve">等</w:t>
      </w:r>
      <w:r>
        <w:rPr>
          <w:rFonts w:hint="eastAsia" w:ascii="宋体" w:hAnsi="宋体" w:eastAsia="宋体" w:cs="宋体"/>
          <w:bCs/>
          <w:color w:val="auto"/>
          <w:sz w:val="24"/>
          <w:szCs w:val="24"/>
          <w:highlight w:val="none"/>
          <w:u w:val="none"/>
        </w:rPr>
        <w:t xml:space="preserve">，确保赛事医疗救助快速响应，负责承担赛事医疗保障服务所发生的费用。</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（1）制定赛事医疗保障及救援工作方案</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①医疗点：根据赛事要求规划设立医疗救护点（每</w:t>
      </w:r>
      <w:r>
        <w:rPr>
          <w:rFonts w:hint="eastAsia" w:ascii="宋体" w:hAnsi="宋体" w:cs="宋体"/>
          <w:bCs/>
          <w:color w:val="auto"/>
          <w:sz w:val="24"/>
          <w:szCs w:val="24"/>
          <w:highlight w:val="none"/>
          <w:u w:val="none"/>
          <w:lang w:val="en-US" w:eastAsia="zh-CN"/>
        </w:rPr>
        <w:t xml:space="preserve">2</w:t>
      </w:r>
      <w:r>
        <w:rPr>
          <w:rFonts w:hint="eastAsia" w:ascii="宋体" w:hAnsi="宋体" w:eastAsia="宋体" w:cs="宋体"/>
          <w:bCs/>
          <w:color w:val="auto"/>
          <w:sz w:val="24"/>
          <w:szCs w:val="24"/>
          <w:highlight w:val="none"/>
          <w:u w:val="none"/>
          <w:lang w:val="en-US" w:eastAsia="zh-CN"/>
        </w:rPr>
        <w:t xml:space="preserve">公里</w:t>
      </w:r>
      <w:r>
        <w:rPr>
          <w:rFonts w:hint="eastAsia" w:ascii="宋体" w:hAnsi="宋体" w:eastAsia="宋体" w:cs="宋体"/>
          <w:bCs/>
          <w:color w:val="auto"/>
          <w:sz w:val="24"/>
          <w:szCs w:val="24"/>
          <w:highlight w:val="none"/>
          <w:u w:val="none"/>
        </w:rPr>
        <w:t xml:space="preserve">1个</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eastAsia="zh-CN"/>
        </w:rPr>
        <w:t xml:space="preserve">每个医疗点</w:t>
      </w:r>
      <w:r>
        <w:rPr>
          <w:rFonts w:hint="eastAsia" w:ascii="宋体" w:hAnsi="宋体" w:eastAsia="宋体" w:cs="宋体"/>
          <w:bCs/>
          <w:color w:val="auto"/>
          <w:sz w:val="24"/>
          <w:szCs w:val="24"/>
          <w:highlight w:val="none"/>
          <w:u w:val="none"/>
          <w:lang w:val="en-US" w:eastAsia="zh-CN"/>
        </w:rPr>
        <w:t xml:space="preserve">配备医疗人员和1个急救单元，每个急救单元至少包括但不限于：心电监护仪、软担架、轮椅、10L/瓶氧气瓶、氧气袋、止血带、绷带、纱布、冰袋、20ml/支50%葡萄糖溶液、250ml/支5%葡萄糖溶液、50ml碘伏、速效救心丸</w:t>
      </w:r>
      <w:r>
        <w:rPr>
          <w:rFonts w:hint="eastAsia" w:ascii="宋体" w:hAnsi="宋体" w:cs="宋体"/>
          <w:bCs/>
          <w:color w:val="auto"/>
          <w:sz w:val="24"/>
          <w:szCs w:val="24"/>
          <w:highlight w:val="none"/>
          <w:u w:val="none"/>
          <w:lang w:val="en-US" w:eastAsia="zh-CN"/>
        </w:rPr>
        <w:t xml:space="preserve">等</w:t>
      </w:r>
      <w:r>
        <w:rPr>
          <w:rFonts w:hint="eastAsia" w:ascii="宋体" w:hAnsi="宋体" w:eastAsia="宋体" w:cs="宋体"/>
          <w:bCs/>
          <w:color w:val="auto"/>
          <w:sz w:val="24"/>
          <w:szCs w:val="24"/>
          <w:highlight w:val="none"/>
          <w:u w:val="none"/>
          <w:lang w:val="en-US" w:eastAsia="zh-CN"/>
        </w:rPr>
        <w:t xml:space="preserve">；明确医疗点的位置和其提供的医疗服务（急救、健康护理、救护车服务、电话联络等）；</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②救护车：≥20辆；</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③医院绿色通道：定点医院开通；</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④AED跑者：配备电动自行车、对讲机，每个分区由专人负责，AED数量不少于100部；</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b w:val="0"/>
          <w:sz w:val="24"/>
          <w:szCs w:val="24"/>
          <w:highlight w:val="none"/>
          <w:u w:val="none"/>
          <w:lang w:val="en-US" w:eastAsia="zh-CN" w:bidi="ar-SA"/>
        </w:rPr>
        <w:t xml:space="preserve">⑤赛事当天配备</w:t>
      </w:r>
      <w:r>
        <w:rPr>
          <w:rFonts w:hint="eastAsia" w:ascii="宋体" w:hAnsi="宋体" w:eastAsia="宋体" w:cs="宋体"/>
          <w:b w:val="0"/>
          <w:color w:val="auto"/>
          <w:sz w:val="24"/>
          <w:szCs w:val="24"/>
          <w:highlight w:val="none"/>
          <w:u w:val="none"/>
          <w:lang w:val="en-US" w:eastAsia="zh-CN" w:bidi="ar-SA"/>
        </w:rPr>
        <w:t xml:space="preserve">≥400人</w:t>
      </w:r>
      <w:r>
        <w:rPr>
          <w:rFonts w:hint="eastAsia" w:ascii="宋体" w:hAnsi="宋体" w:eastAsia="宋体" w:cs="宋体"/>
          <w:b w:val="0"/>
          <w:sz w:val="24"/>
          <w:szCs w:val="24"/>
          <w:highlight w:val="none"/>
          <w:u w:val="none"/>
          <w:lang w:val="en-US" w:eastAsia="zh-CN" w:bidi="ar-SA"/>
        </w:rPr>
        <w:t xml:space="preserve">的具有专业人员的医疗救援队，</w:t>
      </w:r>
      <w:r>
        <w:rPr>
          <w:rFonts w:hint="eastAsia" w:ascii="宋体" w:hAnsi="宋体" w:eastAsia="宋体" w:cs="宋体"/>
          <w:sz w:val="24"/>
          <w:szCs w:val="24"/>
          <w:highlight w:val="none"/>
        </w:rPr>
        <w:t xml:space="preserve">其中医疗专业人员占比约</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0%（约</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0名医生、100名护士）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具有医师执业证、其他急救证书（美国心脏协会AHA-CPR AED急救证书、红十字救护证、急救中心初级救护员证）或经过专业培训并取得相关证书的医疗志愿者占比约70%</w:t>
      </w:r>
      <w:r>
        <w:rPr>
          <w:rFonts w:hint="eastAsia" w:ascii="宋体" w:hAnsi="宋体" w:eastAsia="宋体" w:cs="宋体"/>
          <w:sz w:val="24"/>
          <w:szCs w:val="24"/>
          <w:highlight w:val="none"/>
          <w:lang w:eastAsia="zh-CN"/>
        </w:rPr>
        <w:t xml:space="preserve">；</w:t>
      </w:r>
      <w:r>
        <w:rPr>
          <w:rFonts w:hint="eastAsia" w:ascii="宋体" w:hAnsi="宋体" w:eastAsia="宋体" w:cs="宋体"/>
          <w:b w:val="0"/>
          <w:sz w:val="24"/>
          <w:szCs w:val="24"/>
          <w:highlight w:val="none"/>
          <w:u w:val="none"/>
          <w:lang w:val="en-US" w:eastAsia="zh-CN" w:bidi="ar-SA"/>
        </w:rPr>
        <w:t xml:space="preserve">配备专业医疗救护设备进行医疗救护；</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lang w:val="en-US" w:eastAsia="zh-CN"/>
        </w:rPr>
        <w:t xml:space="preserve">2</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设置赛前训练指导、运动前防护、运动损伤救治、急救知识普及等活动；负责承担医疗救援队在赛事期间的差旅费、劳务费和食宿接待；</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（3）</w:t>
      </w:r>
      <w:r>
        <w:rPr>
          <w:rFonts w:hint="eastAsia" w:ascii="宋体" w:hAnsi="宋体" w:eastAsia="宋体" w:cs="宋体"/>
          <w:sz w:val="24"/>
          <w:szCs w:val="24"/>
          <w:highlight w:val="none"/>
          <w:u w:val="none"/>
        </w:rPr>
        <w:t xml:space="preserve">承担医疗救援队所需救援包、药品等设备设施购置费用</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lang w:val="en-US" w:eastAsia="zh-CN"/>
        </w:rPr>
        <w:t xml:space="preserve">投标时须详细列明品种、数量及单价）。</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须提供不低于以上要求的医疗保障方案，如与最新中国田径协会路跑赛事管理制度文件冲突，以最新文件标准为准，</w:t>
      </w:r>
      <w:r>
        <w:rPr>
          <w:rFonts w:hint="eastAsia" w:ascii="宋体" w:hAnsi="宋体" w:eastAsia="宋体" w:cs="宋体"/>
          <w:b/>
          <w:color w:val="auto"/>
          <w:sz w:val="24"/>
          <w:szCs w:val="24"/>
          <w:highlight w:val="none"/>
          <w:u w:val="none"/>
          <w:lang w:eastAsia="zh-CN"/>
        </w:rPr>
        <w:t xml:space="preserve">最终数量须按主办方及卫健部门结合实际</w:t>
      </w:r>
      <w:r>
        <w:rPr>
          <w:rFonts w:hint="eastAsia" w:ascii="宋体" w:hAnsi="宋体" w:eastAsia="宋体" w:cs="宋体"/>
          <w:b/>
          <w:color w:val="auto"/>
          <w:sz w:val="24"/>
          <w:szCs w:val="24"/>
          <w:highlight w:val="none"/>
          <w:u w:val="none"/>
          <w:lang w:val="en-US" w:eastAsia="zh-CN"/>
        </w:rPr>
        <w:t xml:space="preserve">情况</w:t>
      </w:r>
      <w:r>
        <w:rPr>
          <w:rFonts w:hint="eastAsia" w:ascii="宋体" w:hAnsi="宋体" w:eastAsia="宋体" w:cs="宋体"/>
          <w:b/>
          <w:color w:val="auto"/>
          <w:sz w:val="24"/>
          <w:szCs w:val="24"/>
          <w:highlight w:val="none"/>
          <w:u w:val="none"/>
          <w:lang w:eastAsia="zh-CN"/>
        </w:rPr>
        <w:t xml:space="preserve">确定。</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4.安全保障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采购</w:t>
      </w:r>
      <w:r>
        <w:rPr>
          <w:rFonts w:hint="eastAsia" w:ascii="宋体" w:hAnsi="宋体" w:eastAsia="宋体" w:cs="宋体"/>
          <w:bCs/>
          <w:color w:val="auto"/>
          <w:sz w:val="24"/>
          <w:szCs w:val="24"/>
          <w:highlight w:val="none"/>
          <w:u w:val="none"/>
          <w:lang w:eastAsia="zh-CN"/>
        </w:rPr>
        <w:t xml:space="preserve">符合规定的</w:t>
      </w:r>
      <w:r>
        <w:rPr>
          <w:rFonts w:hint="eastAsia" w:ascii="宋体" w:hAnsi="宋体" w:eastAsia="宋体" w:cs="宋体"/>
          <w:bCs/>
          <w:color w:val="auto"/>
          <w:sz w:val="24"/>
          <w:szCs w:val="24"/>
          <w:highlight w:val="none"/>
          <w:u w:val="none"/>
        </w:rPr>
        <w:t xml:space="preserve">安保服务（</w:t>
      </w:r>
      <w:r>
        <w:rPr>
          <w:rFonts w:hint="eastAsia" w:ascii="宋体" w:hAnsi="宋体" w:eastAsia="宋体" w:cs="宋体"/>
          <w:bCs/>
          <w:color w:val="auto"/>
          <w:sz w:val="24"/>
          <w:szCs w:val="24"/>
          <w:highlight w:val="none"/>
          <w:u w:val="none"/>
          <w:lang w:eastAsia="zh-CN"/>
        </w:rPr>
        <w:t xml:space="preserve">含安保人员及</w:t>
      </w:r>
      <w:r>
        <w:rPr>
          <w:rFonts w:hint="eastAsia" w:ascii="宋体" w:hAnsi="宋体" w:eastAsia="宋体" w:cs="宋体"/>
          <w:bCs/>
          <w:color w:val="auto"/>
          <w:sz w:val="24"/>
          <w:szCs w:val="24"/>
          <w:highlight w:val="none"/>
          <w:u w:val="none"/>
        </w:rPr>
        <w:t xml:space="preserve">赛道用铁马</w:t>
      </w:r>
      <w:r>
        <w:rPr>
          <w:rFonts w:hint="eastAsia" w:ascii="宋体" w:hAnsi="宋体" w:eastAsia="宋体" w:cs="宋体"/>
          <w:bCs/>
          <w:color w:val="auto"/>
          <w:sz w:val="24"/>
          <w:szCs w:val="24"/>
          <w:highlight w:val="none"/>
          <w:u w:val="none"/>
          <w:lang w:val="en-US" w:eastAsia="zh-CN"/>
        </w:rPr>
        <w:t xml:space="preserve">等</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，提供安检门、X光机等安检设备并承担相关人员、设备费用。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（1）协助公安部门制定赛事安保工作方案、应急处置工作方案和交通管制工作方案；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①起点安保：交通保障、集结流线管控、现场管控；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②终点安保：交通保障、现场管控、疏散流线管控；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③赛道安保：赛道管控、交通保障、赛道巡查、赛道周围城管巡逻；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④直播点安保：直播点管控、转播车、直播机位安全；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⑤无人机反制：比赛现场配备无人机反制系统；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⑥其他安保：反恐防爆、住地保卫、协调保障、机动应急；</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⑦根据主管部门及组委会要求，赛事当天总体安保力量配备不少于2600人。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（2）负责竞赛路线的隔离，安检门以及铁马、锥形筒、隔离带、隔离指示牌等相关隔离设施、设备的购置或租赁所有费用，数量符合赛事安全要求；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lang w:eastAsia="zh-CN"/>
        </w:rPr>
        <w:t xml:space="preserve">（3）负责做好重大决策、社会稳定风险评估工作，社会风险评估费用由中标人承担；</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须提供不低于以上要求的安全保障方案，如与最新中国田径协会路跑赛事管理制度文件冲突，以最新文件标准为准，</w:t>
      </w:r>
      <w:r>
        <w:rPr>
          <w:rFonts w:hint="eastAsia" w:ascii="宋体" w:hAnsi="宋体" w:eastAsia="宋体" w:cs="宋体"/>
          <w:b/>
          <w:color w:val="auto"/>
          <w:sz w:val="24"/>
          <w:szCs w:val="24"/>
          <w:highlight w:val="none"/>
          <w:u w:val="none"/>
          <w:lang w:eastAsia="zh-CN"/>
        </w:rPr>
        <w:t xml:space="preserve">最终数量须按主办方及</w:t>
      </w:r>
      <w:r>
        <w:rPr>
          <w:rFonts w:hint="eastAsia" w:ascii="宋体" w:hAnsi="宋体" w:eastAsia="宋体" w:cs="宋体"/>
          <w:b/>
          <w:color w:val="auto"/>
          <w:sz w:val="24"/>
          <w:szCs w:val="24"/>
          <w:highlight w:val="none"/>
          <w:u w:val="none"/>
          <w:lang w:val="en-US" w:eastAsia="zh-CN"/>
        </w:rPr>
        <w:t xml:space="preserve">公安</w:t>
      </w:r>
      <w:r>
        <w:rPr>
          <w:rFonts w:hint="eastAsia" w:ascii="宋体" w:hAnsi="宋体" w:eastAsia="宋体" w:cs="宋体"/>
          <w:b/>
          <w:color w:val="auto"/>
          <w:sz w:val="24"/>
          <w:szCs w:val="24"/>
          <w:highlight w:val="none"/>
          <w:u w:val="none"/>
          <w:lang w:eastAsia="zh-CN"/>
        </w:rPr>
        <w:t xml:space="preserve">部门结合实际</w:t>
      </w:r>
      <w:r>
        <w:rPr>
          <w:rFonts w:hint="eastAsia" w:ascii="宋体" w:hAnsi="宋体" w:eastAsia="宋体" w:cs="宋体"/>
          <w:b/>
          <w:color w:val="auto"/>
          <w:sz w:val="24"/>
          <w:szCs w:val="24"/>
          <w:highlight w:val="none"/>
          <w:u w:val="none"/>
          <w:lang w:val="en-US" w:eastAsia="zh-CN"/>
        </w:rPr>
        <w:t xml:space="preserve">情况</w:t>
      </w:r>
      <w:r>
        <w:rPr>
          <w:rFonts w:hint="eastAsia" w:ascii="宋体" w:hAnsi="宋体" w:eastAsia="宋体" w:cs="宋体"/>
          <w:b/>
          <w:color w:val="auto"/>
          <w:sz w:val="24"/>
          <w:szCs w:val="24"/>
          <w:highlight w:val="none"/>
          <w:u w:val="none"/>
          <w:lang w:eastAsia="zh-CN"/>
        </w:rPr>
        <w:t xml:space="preserve">确定。</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5.志愿者招募</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u w:val="none"/>
          <w:lang w:val="en-US" w:eastAsia="zh-CN"/>
        </w:rPr>
      </w:pPr>
      <w:r>
        <w:rPr>
          <w:rFonts w:hint="eastAsia" w:ascii="宋体" w:hAnsi="宋体" w:eastAsia="宋体" w:cs="宋体"/>
          <w:bCs/>
          <w:color w:val="auto"/>
          <w:sz w:val="24"/>
          <w:szCs w:val="24"/>
          <w:highlight w:val="none"/>
          <w:u w:val="none"/>
        </w:rPr>
        <w:t xml:space="preserve">协助组委会做好一般志愿者的招募工作。招募志愿者总人数不少于</w:t>
      </w:r>
      <w:r>
        <w:rPr>
          <w:rFonts w:hint="eastAsia" w:ascii="宋体" w:hAnsi="宋体" w:eastAsia="宋体" w:cs="宋体"/>
          <w:bCs/>
          <w:color w:val="auto"/>
          <w:sz w:val="24"/>
          <w:szCs w:val="24"/>
          <w:highlight w:val="none"/>
          <w:u w:val="none"/>
          <w:lang w:val="en-US" w:eastAsia="zh-CN"/>
        </w:rPr>
        <w:t xml:space="preserve">2500</w:t>
      </w:r>
      <w:r>
        <w:rPr>
          <w:rFonts w:hint="eastAsia" w:ascii="宋体" w:hAnsi="宋体" w:eastAsia="宋体" w:cs="宋体"/>
          <w:bCs/>
          <w:color w:val="auto"/>
          <w:sz w:val="24"/>
          <w:szCs w:val="24"/>
          <w:highlight w:val="none"/>
          <w:u w:val="none"/>
        </w:rPr>
        <w:t xml:space="preserve">人，根据组委会的要求做好志愿者的培训工作、岗位分配等。</w:t>
      </w:r>
      <w:r>
        <w:rPr>
          <w:rFonts w:hint="eastAsia" w:ascii="宋体" w:hAnsi="宋体" w:eastAsia="宋体" w:cs="宋体"/>
          <w:b/>
          <w:color w:val="auto"/>
          <w:sz w:val="24"/>
          <w:szCs w:val="24"/>
          <w:highlight w:val="none"/>
          <w:u w:val="none"/>
          <w:lang w:val="en-US" w:eastAsia="zh-CN"/>
        </w:rPr>
        <w:t xml:space="preserve"> </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u w:val="none"/>
          <w:lang w:eastAsia="zh-CN"/>
        </w:rPr>
      </w:pPr>
      <w:r>
        <w:rPr>
          <w:rFonts w:hint="eastAsia" w:ascii="宋体" w:hAnsi="宋体" w:eastAsia="宋体" w:cs="宋体"/>
          <w:b/>
          <w:color w:val="auto"/>
          <w:sz w:val="24"/>
          <w:szCs w:val="24"/>
          <w:highlight w:val="none"/>
          <w:u w:val="none"/>
          <w:lang w:val="en-US" w:eastAsia="zh-CN"/>
        </w:rPr>
        <w:t xml:space="preserve">须提供不低于以上要求的志愿者方案，如与最新中国田径协会路跑赛事管理制度文件冲突，以最新文件标准为准，</w:t>
      </w:r>
      <w:r>
        <w:rPr>
          <w:rFonts w:hint="eastAsia" w:ascii="宋体" w:hAnsi="宋体" w:eastAsia="宋体" w:cs="宋体"/>
          <w:b/>
          <w:color w:val="auto"/>
          <w:sz w:val="24"/>
          <w:szCs w:val="24"/>
          <w:highlight w:val="none"/>
          <w:u w:val="none"/>
          <w:lang w:eastAsia="zh-CN"/>
        </w:rPr>
        <w:t xml:space="preserve">最终数量须按主办方及</w:t>
      </w:r>
      <w:r>
        <w:rPr>
          <w:rFonts w:hint="eastAsia" w:ascii="宋体" w:hAnsi="宋体" w:eastAsia="宋体" w:cs="宋体"/>
          <w:b/>
          <w:color w:val="auto"/>
          <w:sz w:val="24"/>
          <w:szCs w:val="24"/>
          <w:highlight w:val="none"/>
          <w:u w:val="none"/>
          <w:lang w:val="en-US" w:eastAsia="zh-CN"/>
        </w:rPr>
        <w:t xml:space="preserve">团市委</w:t>
      </w:r>
      <w:r>
        <w:rPr>
          <w:rFonts w:hint="eastAsia" w:ascii="宋体" w:hAnsi="宋体" w:eastAsia="宋体" w:cs="宋体"/>
          <w:b/>
          <w:color w:val="auto"/>
          <w:sz w:val="24"/>
          <w:szCs w:val="24"/>
          <w:highlight w:val="none"/>
          <w:u w:val="none"/>
          <w:lang w:eastAsia="zh-CN"/>
        </w:rPr>
        <w:t xml:space="preserve">结合实际</w:t>
      </w:r>
      <w:r>
        <w:rPr>
          <w:rFonts w:hint="eastAsia" w:ascii="宋体" w:hAnsi="宋体" w:eastAsia="宋体" w:cs="宋体"/>
          <w:b/>
          <w:color w:val="auto"/>
          <w:sz w:val="24"/>
          <w:szCs w:val="24"/>
          <w:highlight w:val="none"/>
          <w:u w:val="none"/>
          <w:lang w:val="en-US" w:eastAsia="zh-CN"/>
        </w:rPr>
        <w:t xml:space="preserve">情况</w:t>
      </w:r>
      <w:r>
        <w:rPr>
          <w:rFonts w:hint="eastAsia" w:ascii="宋体" w:hAnsi="宋体" w:eastAsia="宋体" w:cs="宋体"/>
          <w:b/>
          <w:color w:val="auto"/>
          <w:sz w:val="24"/>
          <w:szCs w:val="24"/>
          <w:highlight w:val="none"/>
          <w:u w:val="none"/>
          <w:lang w:eastAsia="zh-CN"/>
        </w:rPr>
        <w:t xml:space="preserve">确定。</w:t>
      </w:r>
      <w:r/>
    </w:p>
    <w:p>
      <w:pPr>
        <w:numPr>
          <w:ilvl w:val="0"/>
          <w:numId w:val="0"/>
        </w:numPr>
        <w:ind w:firstLine="482"/>
        <w:jc w:val="both"/>
        <w:keepLines w:val="0"/>
        <w:keepNext w:val="0"/>
        <w:pageBreakBefore w:val="0"/>
        <w:spacing w:line="360" w:lineRule="auto"/>
        <w:widowControl w:val="off"/>
        <w:rPr>
          <w:rFonts w:hint="default"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6.后勤保障</w:t>
      </w:r>
      <w:r/>
    </w:p>
    <w:p>
      <w:p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（1）饮水/用水站、饮料站</w:t>
      </w:r>
      <w:r>
        <w:rPr>
          <w:rFonts w:hint="eastAsia" w:ascii="宋体" w:hAnsi="宋体" w:cs="宋体"/>
          <w:bCs/>
          <w:color w:val="auto"/>
          <w:sz w:val="24"/>
          <w:szCs w:val="24"/>
          <w:highlight w:val="none"/>
          <w:u w:val="none"/>
          <w:lang w:val="en-US" w:eastAsia="zh-CN"/>
        </w:rPr>
        <w:t xml:space="preserve">、</w:t>
      </w:r>
      <w:r>
        <w:rPr>
          <w:rFonts w:hint="eastAsia" w:ascii="宋体" w:hAnsi="宋体" w:eastAsia="宋体" w:cs="宋体"/>
          <w:bCs/>
          <w:color w:val="auto"/>
          <w:sz w:val="24"/>
          <w:szCs w:val="24"/>
          <w:highlight w:val="none"/>
          <w:u w:val="none"/>
          <w:lang w:val="en-US" w:eastAsia="zh-CN"/>
        </w:rPr>
        <w:t xml:space="preserve">能量补给站设置：</w:t>
      </w:r>
      <w:r>
        <w:rPr>
          <w:rFonts w:hint="eastAsia" w:ascii="宋体" w:hAnsi="宋体" w:cs="宋体"/>
          <w:bCs/>
          <w:color w:val="auto"/>
          <w:sz w:val="24"/>
          <w:szCs w:val="24"/>
          <w:highlight w:val="none"/>
          <w:u w:val="none"/>
          <w:lang w:val="en-US" w:eastAsia="zh-CN"/>
        </w:rPr>
        <w:t xml:space="preserve">根据最新版</w:t>
      </w:r>
      <w:r>
        <w:rPr>
          <w:rFonts w:hint="eastAsia" w:ascii="宋体" w:hAnsi="宋体" w:eastAsia="宋体" w:cs="宋体"/>
          <w:bCs/>
          <w:color w:val="auto"/>
          <w:sz w:val="24"/>
          <w:szCs w:val="24"/>
          <w:highlight w:val="none"/>
          <w:u w:val="none"/>
          <w:lang w:val="en-US" w:eastAsia="zh-CN"/>
        </w:rPr>
        <w:t xml:space="preserve">中国田径协会《路跑赛事组织标准》</w:t>
      </w:r>
      <w:r>
        <w:rPr>
          <w:rFonts w:hint="eastAsia" w:ascii="宋体" w:hAnsi="宋体" w:cs="宋体"/>
          <w:bCs/>
          <w:color w:val="auto"/>
          <w:sz w:val="24"/>
          <w:szCs w:val="24"/>
          <w:highlight w:val="none"/>
          <w:u w:val="none"/>
          <w:lang w:val="en-US" w:eastAsia="zh-CN"/>
        </w:rPr>
        <w:t xml:space="preserve">设置。</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具体</w:t>
      </w:r>
      <w:r>
        <w:rPr>
          <w:rFonts w:hint="eastAsia" w:ascii="宋体" w:hAnsi="宋体" w:cs="宋体"/>
          <w:bCs/>
          <w:color w:val="auto"/>
          <w:sz w:val="24"/>
          <w:szCs w:val="24"/>
          <w:highlight w:val="none"/>
          <w:u w:val="none"/>
          <w:lang w:val="en-US" w:eastAsia="zh-CN"/>
        </w:rPr>
        <w:t xml:space="preserve">配置</w:t>
      </w:r>
      <w:r>
        <w:rPr>
          <w:rFonts w:hint="eastAsia" w:ascii="宋体" w:hAnsi="宋体" w:eastAsia="宋体" w:cs="宋体"/>
          <w:bCs/>
          <w:color w:val="auto"/>
          <w:sz w:val="24"/>
          <w:szCs w:val="24"/>
          <w:highlight w:val="none"/>
          <w:u w:val="none"/>
          <w:lang w:val="en-US" w:eastAsia="zh-CN"/>
        </w:rPr>
        <w:t xml:space="preserve">如下：</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 xml:space="preserve">①</w:t>
      </w:r>
      <w:r>
        <w:rPr>
          <w:rFonts w:hint="eastAsia" w:ascii="宋体" w:hAnsi="宋体" w:eastAsia="宋体" w:cs="宋体"/>
          <w:bCs/>
          <w:color w:val="auto"/>
          <w:sz w:val="24"/>
          <w:szCs w:val="24"/>
          <w:highlight w:val="none"/>
          <w:u w:val="none"/>
          <w:lang w:val="en-US" w:eastAsia="zh-CN"/>
        </w:rPr>
        <w:t xml:space="preserve">瓶装饮用水≥100000瓶（市场价≥2元/瓶，规格≥500ml）；饮料站不少于7个，瓶装功能性饮料≥55000瓶（市场价≥4元/瓶，规格≥500ml）、一次性杯子≥100000个（规格：高≥8.4cm，上口直径≥7.7cm，下口直径≥5.3cm，容量9.5盎司≥270ml，≥300克纯木浆淋膜纸材质并须加印赛事相关logo）；根据路线实际情况及跑者需求，按照组委会要求可适量增加；</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 xml:space="preserve">②</w:t>
      </w:r>
      <w:r>
        <w:rPr>
          <w:rFonts w:hint="eastAsia" w:ascii="宋体" w:hAnsi="宋体" w:eastAsia="宋体" w:cs="宋体"/>
          <w:bCs/>
          <w:color w:val="auto"/>
          <w:sz w:val="24"/>
          <w:szCs w:val="24"/>
          <w:highlight w:val="none"/>
          <w:u w:val="none"/>
          <w:lang w:val="en-US" w:eastAsia="zh-CN"/>
        </w:rPr>
        <w:t xml:space="preserve">能量补给站设置：能量站不少于7个，能量胶总数不少于40000支，盐丸总数不少于40000个（根据路线实际情况及跑者需求，按照组委会要求可适量增加品种）；</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2</w:t>
      </w:r>
      <w:r>
        <w:rPr>
          <w:rFonts w:hint="eastAsia" w:ascii="宋体" w:hAnsi="宋体" w:eastAsia="宋体" w:cs="宋体"/>
          <w:bCs/>
          <w:color w:val="auto"/>
          <w:sz w:val="24"/>
          <w:szCs w:val="24"/>
          <w:highlight w:val="none"/>
          <w:u w:val="none"/>
          <w:lang w:val="en-US" w:eastAsia="zh-CN"/>
        </w:rPr>
        <w:t xml:space="preserve">）工作人员及志愿者工作餐：根据比赛当天的志愿者、技术官员、裁判员、工作人员等岗位总人数，配备早餐及午餐餐包，1份/餐/人，每顿餐标必须包括真空包装面包2个（克重≥120g）、纯牛奶1瓶（盒装、规格≥250ml）、火腿肠1根（克重≥50g）、巧克力1条（克重≥20g）等）等必备后勤保障物资（需在投标时提供赛道物品清单、参赛选手餐包清单、工作人员餐包清单，拒绝三无产品）；</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3</w:t>
      </w: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厕所：根据最新版</w:t>
      </w:r>
      <w:r>
        <w:rPr>
          <w:rFonts w:hint="eastAsia" w:ascii="宋体" w:hAnsi="宋体" w:eastAsia="宋体" w:cs="宋体"/>
          <w:bCs/>
          <w:color w:val="auto"/>
          <w:sz w:val="24"/>
          <w:szCs w:val="24"/>
          <w:highlight w:val="none"/>
          <w:u w:val="none"/>
          <w:lang w:val="en-US" w:eastAsia="zh-CN"/>
        </w:rPr>
        <w:t xml:space="preserve">中国田径协会《路跑赛事组织标准》</w:t>
      </w:r>
      <w:r>
        <w:rPr>
          <w:rFonts w:hint="eastAsia" w:ascii="宋体" w:hAnsi="宋体" w:cs="宋体"/>
          <w:bCs/>
          <w:color w:val="auto"/>
          <w:sz w:val="24"/>
          <w:szCs w:val="24"/>
          <w:highlight w:val="none"/>
          <w:u w:val="none"/>
          <w:lang w:val="en-US" w:eastAsia="zh-CN"/>
        </w:rPr>
        <w:t xml:space="preserve">设置。</w:t>
      </w:r>
      <w:r>
        <w:rPr>
          <w:rFonts w:hint="eastAsia" w:ascii="宋体" w:hAnsi="宋体" w:eastAsia="宋体" w:cs="宋体"/>
          <w:bCs/>
          <w:color w:val="auto"/>
          <w:sz w:val="24"/>
          <w:szCs w:val="24"/>
          <w:highlight w:val="none"/>
          <w:u w:val="none"/>
          <w:lang w:val="en-US" w:eastAsia="zh-CN"/>
        </w:rPr>
        <w:t xml:space="preserve">提供通用移动公厕(租赁）≥600个，小便池（厕位5-8个）≥10个。</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4</w:t>
      </w:r>
      <w:r>
        <w:rPr>
          <w:rFonts w:hint="eastAsia" w:ascii="宋体" w:hAnsi="宋体" w:eastAsia="宋体" w:cs="宋体"/>
          <w:bCs/>
          <w:color w:val="auto"/>
          <w:sz w:val="24"/>
          <w:szCs w:val="24"/>
          <w:highlight w:val="none"/>
          <w:u w:val="none"/>
          <w:lang w:val="en-US" w:eastAsia="zh-CN"/>
        </w:rPr>
        <w:t xml:space="preserve">）根据赛事需求提供足够数量的篷房； </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5</w:t>
      </w:r>
      <w:r>
        <w:rPr>
          <w:rFonts w:hint="eastAsia" w:ascii="宋体" w:hAnsi="宋体" w:eastAsia="宋体" w:cs="宋体"/>
          <w:bCs/>
          <w:color w:val="auto"/>
          <w:sz w:val="24"/>
          <w:szCs w:val="24"/>
          <w:highlight w:val="none"/>
          <w:u w:val="none"/>
          <w:lang w:val="en-US" w:eastAsia="zh-CN"/>
        </w:rPr>
        <w:t xml:space="preserve">）交通接驳：根据组委会要求制定专项方案并执行，包括但不限于观摩车、接送站车、起终点转场车、接驳车、运输车、收容车等，其中厢式货车≥50辆（长度≥4.2米），裁判员接送、运动员收容大客车16辆（座位≥45座），运动员专用接驳车≥160辆，商务车（座位≥7座）或小轿车≥15辆。制定参赛选手领物、参赛和赛后摆渡方案并提供摆渡车辆，车辆产生的所有费用由中标供应商承担。</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lang w:val="en-US" w:eastAsia="zh-CN"/>
        </w:rPr>
        <w:t xml:space="preserve">）保障赛事物资，包含但不限于参赛选手号码布、完赛纪念奖牌（需提供奖牌设计方案及奖牌图片）、参赛包（需加印赛事名称及logo</w:t>
      </w:r>
      <w:r>
        <w:rPr>
          <w:rFonts w:hint="eastAsia" w:ascii="宋体" w:hAnsi="宋体" w:cs="宋体"/>
          <w:bCs/>
          <w:color w:val="auto"/>
          <w:sz w:val="24"/>
          <w:szCs w:val="24"/>
          <w:highlight w:val="none"/>
          <w:u w:val="none"/>
          <w:lang w:val="en-US" w:eastAsia="zh-CN"/>
        </w:rPr>
        <w:t xml:space="preserve">，</w:t>
      </w:r>
      <w:r>
        <w:rPr>
          <w:rFonts w:hint="eastAsia" w:ascii="宋体" w:hAnsi="宋体" w:eastAsia="宋体" w:cs="宋体"/>
          <w:sz w:val="24"/>
          <w:szCs w:val="24"/>
          <w:highlight w:val="none"/>
        </w:rPr>
        <w:t xml:space="preserve">包括但不限于盐丸、能量棒、保温毯、一次性雨衣</w:t>
      </w:r>
      <w:r>
        <w:rPr>
          <w:rFonts w:hint="eastAsia" w:ascii="宋体" w:hAnsi="宋体" w:cs="宋体"/>
          <w:sz w:val="24"/>
          <w:szCs w:val="24"/>
          <w:highlight w:val="none"/>
          <w:lang w:val="en-US" w:eastAsia="zh-CN"/>
        </w:rPr>
        <w:t xml:space="preserve">等</w:t>
      </w:r>
      <w:r>
        <w:rPr>
          <w:rFonts w:hint="eastAsia" w:ascii="宋体" w:hAnsi="宋体" w:eastAsia="宋体" w:cs="宋体"/>
          <w:bCs/>
          <w:color w:val="auto"/>
          <w:sz w:val="24"/>
          <w:szCs w:val="24"/>
          <w:highlight w:val="none"/>
          <w:u w:val="none"/>
          <w:lang w:val="en-US" w:eastAsia="zh-CN"/>
        </w:rPr>
        <w:t xml:space="preserve">）、完赛包（需加印赛事名称及logo，包括但不限于完赛奖牌、完赛食品、毛巾等）、参赛服（须是国内一线品牌，速干）、完赛服（纯棉材质，需舒适、轻盈、结实、透气，并加印赛事名称及logo）、完赛浴巾（需加印赛事名称及logo）、完赛拖鞋等其他必备的选手参赛和完赛物资；</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7</w:t>
      </w:r>
      <w:r>
        <w:rPr>
          <w:rFonts w:hint="eastAsia" w:ascii="宋体" w:hAnsi="宋体" w:eastAsia="宋体" w:cs="宋体"/>
          <w:bCs/>
          <w:color w:val="auto"/>
          <w:sz w:val="24"/>
          <w:szCs w:val="24"/>
          <w:highlight w:val="none"/>
          <w:u w:val="none"/>
          <w:lang w:val="en-US" w:eastAsia="zh-CN"/>
        </w:rPr>
        <w:t xml:space="preserve">）赛事保洁：做好赛事保洁工作（比赛前三天至比赛当天），包括但不限于参赛装备发放、嘉年华、赛道、完赛装备发放、赛后拉伸、赛后展示等区域。在确保不影响运动员参赛的情况下，及时迅速清理赛道起终点及补给点垃圾，在各站点设置垃圾箱，站点实行不间断循环保洁（比赛当天不少于4次），专人对道路、人行道进行不间断循环保洁（比赛当天不少于4次）；</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8</w:t>
      </w:r>
      <w:r>
        <w:rPr>
          <w:rFonts w:hint="eastAsia" w:ascii="宋体" w:hAnsi="宋体" w:eastAsia="宋体" w:cs="宋体"/>
          <w:bCs/>
          <w:color w:val="auto"/>
          <w:sz w:val="24"/>
          <w:szCs w:val="24"/>
          <w:highlight w:val="none"/>
          <w:u w:val="none"/>
          <w:lang w:val="en-US" w:eastAsia="zh-CN"/>
        </w:rPr>
        <w:t xml:space="preserve">）硬隔离：赛道全程须采取硬隔离方式，确保赛道安全有序； </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9</w:t>
      </w:r>
      <w:r>
        <w:rPr>
          <w:rFonts w:hint="eastAsia" w:ascii="宋体" w:hAnsi="宋体" w:eastAsia="宋体" w:cs="宋体"/>
          <w:bCs/>
          <w:color w:val="auto"/>
          <w:sz w:val="24"/>
          <w:szCs w:val="24"/>
          <w:highlight w:val="none"/>
          <w:u w:val="none"/>
          <w:lang w:val="en-US" w:eastAsia="zh-CN"/>
        </w:rPr>
        <w:t xml:space="preserve">）指示牌：高度不低于2.5米，核心内容信息位置高度不低于2米，数量不少于90个，根据组委会要求设计、制作、搭建；</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w:t>
      </w:r>
      <w:r>
        <w:rPr>
          <w:rFonts w:hint="eastAsia" w:ascii="宋体" w:hAnsi="宋体" w:cs="宋体"/>
          <w:bCs/>
          <w:color w:val="auto"/>
          <w:sz w:val="24"/>
          <w:szCs w:val="24"/>
          <w:highlight w:val="none"/>
          <w:u w:val="none"/>
          <w:lang w:val="en-US" w:eastAsia="zh-CN"/>
        </w:rPr>
        <w:t xml:space="preserve">10</w:t>
      </w:r>
      <w:r>
        <w:rPr>
          <w:rFonts w:hint="eastAsia" w:ascii="宋体" w:hAnsi="宋体" w:eastAsia="宋体" w:cs="宋体"/>
          <w:bCs/>
          <w:color w:val="auto"/>
          <w:sz w:val="24"/>
          <w:szCs w:val="24"/>
          <w:highlight w:val="none"/>
          <w:u w:val="none"/>
          <w:lang w:val="en-US" w:eastAsia="zh-CN"/>
        </w:rPr>
        <w:t xml:space="preserve">）直播信号塔：根据直播需要在沿途搭建满足直播的信号塔；</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（1</w:t>
      </w:r>
      <w:r>
        <w:rPr>
          <w:rFonts w:hint="eastAsia" w:ascii="宋体" w:hAnsi="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none"/>
          <w:lang w:val="en-US" w:eastAsia="zh-CN"/>
        </w:rPr>
        <w:t xml:space="preserve">）设备看护：所有临建设备、物资等需配备安保力量进行</w:t>
      </w:r>
      <w:r>
        <w:rPr>
          <w:rFonts w:hint="eastAsia" w:ascii="宋体" w:hAnsi="宋体" w:eastAsia="宋体" w:cs="宋体"/>
          <w:b w:val="0"/>
          <w:bCs w:val="0"/>
          <w:sz w:val="24"/>
          <w:szCs w:val="24"/>
          <w:highlight w:val="none"/>
          <w:u w:val="none"/>
          <w:lang w:val="en-US" w:eastAsia="zh-CN"/>
        </w:rPr>
        <w:t xml:space="preserve">看护，包括但不限于赛前装备物资、赛道补给物资、转播车设备、完赛物资等存放区域。</w:t>
      </w:r>
      <w:r/>
    </w:p>
    <w:p>
      <w:pPr>
        <w:ind w:firstLine="482"/>
        <w:jc w:val="left"/>
        <w:keepLines w:val="0"/>
        <w:keepNext w:val="0"/>
        <w:pageBreakBefore w:val="0"/>
        <w:spacing w:line="360" w:lineRule="auto"/>
        <w:widowControl w:val="off"/>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按照田协马拉松举办办法规定制定后勤保障方案，确保饮用水、饮料</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食品</w:t>
      </w:r>
      <w:r>
        <w:rPr>
          <w:rFonts w:hint="eastAsia" w:ascii="宋体" w:hAnsi="宋体" w:cs="宋体"/>
          <w:b/>
          <w:bCs w:val="0"/>
          <w:color w:val="auto"/>
          <w:sz w:val="24"/>
          <w:szCs w:val="24"/>
          <w:highlight w:val="none"/>
          <w:lang w:val="en-US" w:eastAsia="zh-CN"/>
        </w:rPr>
        <w:t xml:space="preserve">等其他物资的数量和</w:t>
      </w:r>
      <w:r>
        <w:rPr>
          <w:rFonts w:hint="eastAsia" w:ascii="宋体" w:hAnsi="宋体" w:eastAsia="宋体" w:cs="宋体"/>
          <w:b/>
          <w:bCs w:val="0"/>
          <w:color w:val="auto"/>
          <w:sz w:val="24"/>
          <w:szCs w:val="24"/>
          <w:highlight w:val="none"/>
        </w:rPr>
        <w:t xml:space="preserve">质量安全，明确各类食品发放流程、各类车辆分配和运输线路安排等，并根据比赛时间节点明确倒计时实施进度计划，以及相应的工作人员、运输车辆配备。</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赛道和场地布置</w:t>
      </w:r>
      <w:r/>
    </w:p>
    <w:p>
      <w:pPr>
        <w:numPr>
          <w:ilvl w:val="0"/>
          <w:numId w:val="0"/>
        </w:numPr>
        <w:ind w:firstLine="480"/>
        <w:jc w:val="both"/>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马拉松比赛的标准进行赛道和场地布置，具体包括但不限于主背景墙、起点拱门、终点拱门、主席台和颁奖台、音响、起点检录区、终点成绩统计区、终点物品发放区、终点衣物领取区、里程提示牌、补给提示牌、导引提示牌、地贴指示、沿线饮用水和饮料食品补给站、工作帐篷、A字板、冲刺带、活动桌椅、各类宣传广告牌和道旗、注水旗等，并落实赛事解说嘉宾、现场主持人以及礼仪服务人员。应制订赛道和场地布置方案，包含形象设计、各类平面布置图、效果图，以及各类物品的数量和总体施工计划安排。赛道和场地布置方案须经招标人和组委会同意后组织实施。</w:t>
      </w:r>
      <w:r/>
    </w:p>
    <w:p>
      <w:pPr>
        <w:jc w:val="left"/>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三）赛事精神文明与文化建设</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落实文明办赛规范，普及公平竞赛、诚信参赛准则，严管替跑、赛道不文明摆拍、随地丢弃垃圾等行为。引导选手尊重对手、有序取用补给、理性完赛；倡导市民文明观赛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发挥志愿者文明引导作用。深度融合城市历史、非遗民俗打造特色赛事文化。强化正面舆论引导，推动赛事文明与城市精神共建。</w:t>
      </w:r>
      <w:r/>
    </w:p>
    <w:p>
      <w:pPr>
        <w:jc w:val="left"/>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四）宣传推广</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none"/>
        </w:rPr>
        <w:t xml:space="preserve">宣传媒介：与国、省、市级主流媒体及网络自媒体合作，进行赛事宣传推广、赛事直播、舆情处置等宣传服务工作：国省级主流媒体不少于</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bCs/>
          <w:color w:val="auto"/>
          <w:sz w:val="24"/>
          <w:szCs w:val="24"/>
          <w:highlight w:val="none"/>
          <w:u w:val="none"/>
        </w:rPr>
        <w:t xml:space="preserve">家；网络自媒体用户不少于</w:t>
      </w:r>
      <w:r>
        <w:rPr>
          <w:rFonts w:hint="eastAsia" w:ascii="宋体" w:hAnsi="宋体" w:eastAsia="宋体" w:cs="宋体"/>
          <w:bCs/>
          <w:color w:val="auto"/>
          <w:sz w:val="24"/>
          <w:szCs w:val="24"/>
          <w:highlight w:val="none"/>
          <w:u w:val="none"/>
          <w:lang w:val="en-US" w:eastAsia="zh-CN"/>
        </w:rPr>
        <w:t xml:space="preserve">50</w:t>
      </w:r>
      <w:r>
        <w:rPr>
          <w:rFonts w:hint="eastAsia" w:ascii="宋体" w:hAnsi="宋体" w:eastAsia="宋体" w:cs="宋体"/>
          <w:bCs/>
          <w:color w:val="auto"/>
          <w:sz w:val="24"/>
          <w:szCs w:val="24"/>
          <w:highlight w:val="none"/>
          <w:u w:val="none"/>
        </w:rPr>
        <w:t xml:space="preserve">个，须涉及跑步、健身、文旅等多领域，邀请来</w:t>
      </w:r>
      <w:r>
        <w:rPr>
          <w:rFonts w:hint="eastAsia" w:ascii="宋体" w:hAnsi="宋体" w:eastAsia="宋体" w:cs="宋体"/>
          <w:bCs/>
          <w:color w:val="auto"/>
          <w:sz w:val="24"/>
          <w:szCs w:val="24"/>
          <w:highlight w:val="none"/>
          <w:u w:val="none"/>
          <w:lang w:val="en-US" w:eastAsia="zh-CN"/>
        </w:rPr>
        <w:t xml:space="preserve">溧</w:t>
      </w:r>
      <w:r>
        <w:rPr>
          <w:rFonts w:hint="eastAsia" w:ascii="宋体" w:hAnsi="宋体" w:eastAsia="宋体" w:cs="宋体"/>
          <w:bCs/>
          <w:color w:val="auto"/>
          <w:sz w:val="24"/>
          <w:szCs w:val="24"/>
          <w:highlight w:val="none"/>
          <w:u w:val="none"/>
        </w:rPr>
        <w:t xml:space="preserve">参赛或现场报道的不少于</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bCs/>
          <w:color w:val="auto"/>
          <w:sz w:val="24"/>
          <w:szCs w:val="24"/>
          <w:highlight w:val="none"/>
          <w:u w:val="none"/>
        </w:rPr>
        <w:t xml:space="preserve">个；市级媒体合作包括但不限于纸媒、电视、电台、城市户外大屏等平台。</w:t>
      </w:r>
      <w:r/>
    </w:p>
    <w:p>
      <w:pPr>
        <w:ind w:firstLine="480"/>
        <w:jc w:val="left"/>
        <w:keepLines w:val="0"/>
        <w:keepNext w:val="0"/>
        <w:pageBreakBefore w:val="0"/>
        <w:spacing w:line="360" w:lineRule="auto"/>
        <w:widowControl w:val="off"/>
        <w:rPr>
          <w:rFonts w:ascii="宋体" w:hAnsi="宋体" w:eastAsia="宋体" w:cs="宋体"/>
          <w:b w:val="0"/>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lang w:val="en-US" w:eastAsia="zh-CN"/>
        </w:rPr>
        <w:t xml:space="preserve">.</w:t>
      </w:r>
      <w:r>
        <w:rPr>
          <w:rFonts w:hint="eastAsia" w:ascii="宋体" w:hAnsi="宋体" w:eastAsia="宋体" w:cs="宋体"/>
          <w:b w:val="0"/>
          <w:bCs/>
          <w:color w:val="auto"/>
          <w:sz w:val="24"/>
          <w:szCs w:val="24"/>
          <w:highlight w:val="none"/>
          <w:u w:val="none"/>
        </w:rPr>
        <w:t xml:space="preserve">赛事直播及转播</w:t>
      </w:r>
      <w:r/>
    </w:p>
    <w:p>
      <w:pPr>
        <w:ind w:firstLine="480"/>
        <w:jc w:val="left"/>
        <w:keepLines w:val="0"/>
        <w:keepNext w:val="0"/>
        <w:pageBreakBefore w:val="0"/>
        <w:spacing w:line="360" w:lineRule="auto"/>
        <w:widowControl w:val="off"/>
        <w:rPr>
          <w:rFonts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信号制作：引进专业直播团队制作高清直播信号，供多平台同步直播、转播；</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rPr>
        <w:t xml:space="preserve">平台直播：市级以上直播平台不少于</w:t>
      </w:r>
      <w:r>
        <w:rPr>
          <w:rFonts w:hint="eastAsia" w:ascii="宋体" w:hAnsi="宋体" w:eastAsia="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个，在微信、抖音等平台网络直播。</w:t>
      </w:r>
      <w:r/>
    </w:p>
    <w:p>
      <w:pPr>
        <w:numPr>
          <w:ilvl w:val="0"/>
          <w:numId w:val="0"/>
        </w:num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应急预案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需针对竞赛和器材保障、医疗救助志愿者招募管理、媒体宣传推广、后勤保障、赛道和场地布置等工作可能遇到的突发性情况制定应急预案。</w:t>
      </w:r>
      <w:r/>
    </w:p>
    <w:p>
      <w:pPr>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）市场招商</w:t>
      </w:r>
      <w:r/>
    </w:p>
    <w:p>
      <w:p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做好赛事相关的商业运作和市场开发，扩大赛事品牌知名度。但在确定赛事冠名赞助商前须征求采购人和赛事组委会意见。</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所有赞助单位需经采购单位和赛事组委会审核确认，赞助费用、物资及权益归中标单位赛事运营使用；</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赛事相关市场开发方案报组委会审定，市场开发过程中不可更换尚在“天马”赛事合同、协议期内的赞助商，并遵守原赞助合同、协议中所涉及的排他条款约定；</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须明确赛事赞助商享有的权益与承担的责任，任何赞助商不得直接或间接干预比赛与竞赛组织工作；中标人须对赞助商渠道名额严格规范管理，按照竞赛规程审核参赛人员资格、管控名额用途、严格报名流程，禁止转售和倒卖名额；</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赛事禁止接受烟草品牌赞助，任何酒类产品不能作为赛事冠名赞助商，且比赛过程中不得提供20度以上的酒类产品。</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赛事报名系统具体运营管理</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做好赛事报名系统开发与维护，做好报名人员的注册登记，做好运动员安全协议、参赛声明等文字材料的起草和签订，确保赛事报名工作安全顺利。选手报名费用由中标单位统一收取并用于本次赛事活动运营。</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报名费：马拉松：</w:t>
      </w:r>
      <w:r>
        <w:rPr>
          <w:rFonts w:hint="eastAsia" w:ascii="宋体" w:hAnsi="宋体" w:cs="宋体"/>
          <w:bCs/>
          <w:color w:val="auto"/>
          <w:sz w:val="24"/>
          <w:szCs w:val="24"/>
          <w:highlight w:val="none"/>
          <w:lang w:val="en-US" w:eastAsia="zh-CN"/>
        </w:rPr>
        <w:t xml:space="preserve">160</w:t>
      </w:r>
      <w:r>
        <w:rPr>
          <w:rFonts w:hint="eastAsia" w:ascii="宋体" w:hAnsi="宋体" w:eastAsia="宋体" w:cs="宋体"/>
          <w:bCs/>
          <w:color w:val="auto"/>
          <w:sz w:val="24"/>
          <w:szCs w:val="24"/>
          <w:highlight w:val="none"/>
          <w:lang w:val="en-US" w:eastAsia="zh-CN"/>
        </w:rPr>
        <w:t xml:space="preserve">元/人；半程马拉松：</w:t>
      </w:r>
      <w:r>
        <w:rPr>
          <w:rFonts w:hint="eastAsia" w:ascii="宋体" w:hAnsi="宋体" w:cs="宋体"/>
          <w:bCs/>
          <w:color w:val="auto"/>
          <w:sz w:val="24"/>
          <w:szCs w:val="24"/>
          <w:highlight w:val="none"/>
          <w:lang w:val="en-US" w:eastAsia="zh-CN"/>
        </w:rPr>
        <w:t xml:space="preserve">130</w:t>
      </w:r>
      <w:r>
        <w:rPr>
          <w:rFonts w:hint="eastAsia" w:ascii="宋体" w:hAnsi="宋体" w:eastAsia="宋体" w:cs="宋体"/>
          <w:bCs/>
          <w:color w:val="auto"/>
          <w:sz w:val="24"/>
          <w:szCs w:val="24"/>
          <w:highlight w:val="none"/>
          <w:lang w:val="en-US" w:eastAsia="zh-CN"/>
        </w:rPr>
        <w:t xml:space="preserve">元/人。</w:t>
      </w:r>
      <w:r/>
    </w:p>
    <w:p>
      <w:pPr>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八</w:t>
      </w:r>
      <w:r>
        <w:rPr>
          <w:rFonts w:hint="eastAsia" w:ascii="宋体" w:hAnsi="宋体" w:eastAsia="宋体" w:cs="宋体"/>
          <w:b/>
          <w:bCs/>
          <w:color w:val="000000"/>
          <w:sz w:val="24"/>
          <w:szCs w:val="24"/>
          <w:highlight w:val="none"/>
          <w:lang w:val="en-US" w:eastAsia="zh-CN" w:bidi="ar-SA"/>
        </w:rPr>
        <w:t xml:space="preserve">）跑者服务</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中标供应商应在赛事报名、赛前领物、赛道补给、完赛包物资、赛后疏散等方面优化跑者服务。经有关主管部门审查通过后，报组委会审定后执行。</w:t>
      </w:r>
      <w:r/>
    </w:p>
    <w:p>
      <w:pPr>
        <w:numPr>
          <w:ilvl w:val="0"/>
          <w:numId w:val="0"/>
        </w:numPr>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九</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配套活动及氛围营造</w:t>
      </w:r>
      <w:r/>
    </w:p>
    <w:p>
      <w:p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1.配套活动：</w:t>
      </w:r>
      <w:r>
        <w:rPr>
          <w:rFonts w:hint="eastAsia" w:ascii="宋体" w:hAnsi="宋体" w:cs="宋体"/>
          <w:bCs/>
          <w:color w:val="auto"/>
          <w:sz w:val="24"/>
          <w:szCs w:val="24"/>
          <w:highlight w:val="none"/>
          <w:lang w:val="en-US" w:eastAsia="zh-CN"/>
        </w:rPr>
        <w:t xml:space="preserve">策划多元配套活动，举办开闭幕式、官方训练营、精英选手见面会、赛事嘉年华、城市特色文化展演等系列活动。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2.氛围营造：</w:t>
      </w:r>
      <w:r>
        <w:rPr>
          <w:rFonts w:hint="eastAsia" w:ascii="宋体" w:hAnsi="宋体" w:cs="宋体"/>
          <w:bCs/>
          <w:color w:val="auto"/>
          <w:sz w:val="24"/>
          <w:szCs w:val="24"/>
          <w:highlight w:val="none"/>
          <w:lang w:val="en-US" w:eastAsia="zh-CN"/>
        </w:rPr>
        <w:t xml:space="preserve">设置大型楼宇、星级宾馆、户外大屏、客运枢纽广告位；“天马”起终点及市区重点公交站台广告位；“天马”主题巴士等。结合溧阳本土文化设计特色内容，沿路设置表演点位和加油助威团，为参赛跑者打造差异化、有记忆点的参赛体验。</w:t>
      </w:r>
      <w:r/>
    </w:p>
    <w:p>
      <w:pPr>
        <w:numPr>
          <w:ilvl w:val="0"/>
          <w:numId w:val="0"/>
        </w:numPr>
        <w:jc w:val="left"/>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lang w:val="en-US" w:eastAsia="zh-CN"/>
        </w:rPr>
        <w:t xml:space="preserve">）赛事奖金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本次赛事总奖金额不少于人民币30万元，由中标人承担赛事奖金支出（个人所得税由获奖者自理）；供应商中标后须提供详细奖金分配方案，获得组委会认同后才可以实施。</w:t>
      </w:r>
      <w:r/>
    </w:p>
    <w:p>
      <w:pPr>
        <w:contextualSpacing/>
        <w:jc w:val="left"/>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特别约定内容</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1.赛事赞助及冠名等招商由</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统一负责</w:t>
      </w:r>
      <w:r>
        <w:rPr>
          <w:rFonts w:hint="eastAsia" w:ascii="宋体" w:hAnsi="宋体" w:eastAsia="宋体" w:cs="宋体"/>
          <w:bCs/>
          <w:color w:val="auto"/>
          <w:sz w:val="24"/>
          <w:szCs w:val="24"/>
          <w:highlight w:val="none"/>
          <w:lang w:eastAsia="zh-CN"/>
        </w:rPr>
        <w:t xml:space="preserve">，冠名须征得主办方同意。</w:t>
      </w:r>
      <w:r/>
    </w:p>
    <w:p>
      <w:pPr>
        <w:ind w:firstLine="480"/>
        <w:jc w:val="left"/>
        <w:keepLines w:val="0"/>
        <w:keepNext w:val="0"/>
        <w:pageBreakBefore w:val="0"/>
        <w:spacing w:line="360" w:lineRule="auto"/>
        <w:widowControl w:val="off"/>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2.中标单位</w:t>
      </w:r>
      <w:r>
        <w:rPr>
          <w:rFonts w:hint="eastAsia" w:ascii="宋体" w:hAnsi="宋体" w:eastAsia="宋体" w:cs="宋体"/>
          <w:bCs/>
          <w:color w:val="auto"/>
          <w:sz w:val="24"/>
          <w:szCs w:val="24"/>
          <w:highlight w:val="none"/>
        </w:rPr>
        <w:t xml:space="preserve">自行承担在组织赛事服务过程中因侵犯他人知识产权或自身原因产生的法律纠纷和责任并妥善处理，采购人不承担任何责任。</w:t>
      </w:r>
      <w:r/>
    </w:p>
    <w:p>
      <w:pPr>
        <w:ind w:firstLine="480"/>
        <w:jc w:val="left"/>
        <w:keepLines w:val="0"/>
        <w:keepNext w:val="0"/>
        <w:pageBreakBefore w:val="0"/>
        <w:spacing w:line="360" w:lineRule="auto"/>
        <w:widowControl w:val="off"/>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.服务期限内如发生任何财产损失、人身意外伤亡事故，</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以投保范围为限承担责任，采购人不承担任何责任。</w:t>
      </w:r>
      <w:r/>
    </w:p>
    <w:p>
      <w:p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u w:val="none"/>
          <w:lang w:val="en-US" w:eastAsia="zh-CN"/>
        </w:rPr>
        <w:outlineLvl w:val="0"/>
      </w:pPr>
      <w:r>
        <w:rPr>
          <w:rFonts w:hint="eastAsia" w:ascii="宋体" w:hAnsi="宋体" w:eastAsia="宋体" w:cs="宋体"/>
          <w:bCs/>
          <w:color w:val="auto"/>
          <w:sz w:val="24"/>
          <w:szCs w:val="24"/>
          <w:highlight w:val="none"/>
          <w:u w:val="none"/>
          <w:lang w:val="en-US" w:eastAsia="zh-CN"/>
        </w:rPr>
        <w:t xml:space="preserve">4.马拉松赛结束60天内，做好本次赛事活动全过程的资料归档：包含所有纸质、电子、影像资料，进行分类装订和归档，交至采购单位。</w:t>
      </w:r>
      <w:r/>
    </w:p>
    <w:p>
      <w:pPr>
        <w:jc w:val="left"/>
        <w:keepLines w:val="0"/>
        <w:keepNext w:val="0"/>
        <w:pageBreakBefore w:val="0"/>
        <w:spacing w:line="360" w:lineRule="auto"/>
        <w:widowControl w:val="off"/>
        <w:rPr>
          <w:rFonts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付款方式</w:t>
      </w:r>
      <w:r/>
    </w:p>
    <w:p>
      <w:pPr>
        <w:numPr>
          <w:ilvl w:val="0"/>
          <w:numId w:val="0"/>
        </w:numPr>
        <w:ind w:right="0" w:firstLine="480"/>
        <w:jc w:val="both"/>
        <w:keepLines w:val="0"/>
        <w:keepNext w:val="0"/>
        <w:pageBreakBefore w:val="0"/>
        <w:spacing w:before="0" w:line="360" w:lineRule="auto"/>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bidi="ar-SA"/>
        </w:rPr>
        <w:t xml:space="preserve">1. 合同履行期限：</w:t>
      </w:r>
      <w:r>
        <w:rPr>
          <w:rFonts w:hint="eastAsia" w:ascii="Symbol" w:hAnsi="Symbol" w:eastAsia="宋体" w:cs="Times New Roman"/>
          <w:color w:val="auto"/>
          <w:sz w:val="24"/>
          <w:szCs w:val="24"/>
          <w:highlight w:val="none"/>
          <w:u w:val="none"/>
          <w:lang w:val="en-US" w:eastAsia="zh-CN" w:bidi="ar-SA"/>
        </w:rPr>
        <w:t xml:space="preserve">自本合同签署生效之日起至中标单位所承担的赛事全部工作结束止。</w:t>
      </w:r>
      <w:r/>
    </w:p>
    <w:p>
      <w:p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 付款条件</w:t>
      </w:r>
      <w:r>
        <w:rPr>
          <w:rFonts w:hint="eastAsia" w:ascii="宋体" w:hAnsi="宋体" w:eastAsia="宋体" w:cs="宋体"/>
          <w:sz w:val="24"/>
          <w:szCs w:val="24"/>
          <w:highlight w:val="none"/>
          <w:lang w:eastAsia="zh-CN"/>
        </w:rPr>
        <w:t xml:space="preserve">：</w:t>
      </w:r>
      <w:r/>
    </w:p>
    <w:p>
      <w:pPr>
        <w:ind w:right="0" w:firstLine="480"/>
        <w:keepLines w:val="0"/>
        <w:keepNext w:val="0"/>
        <w:pageBreakBefore w:val="0"/>
        <w:spacing w:line="360" w:lineRule="auto"/>
        <w:widowControl w:val="off"/>
        <w:rPr>
          <w:rFonts w:hint="default"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合同签订一个月内，支付合同价的30%；</w:t>
      </w:r>
      <w:r/>
    </w:p>
    <w:p>
      <w:pPr>
        <w:ind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赛前支付</w:t>
      </w:r>
      <w:r>
        <w:rPr>
          <w:rFonts w:hint="eastAsia" w:ascii="宋体" w:hAnsi="宋体" w:eastAsia="宋体" w:cs="宋体"/>
          <w:bCs/>
          <w:color w:val="000000"/>
          <w:sz w:val="24"/>
          <w:szCs w:val="24"/>
          <w:highlight w:val="none"/>
          <w:lang w:val="en-US" w:eastAsia="zh-CN"/>
        </w:rPr>
        <w:t xml:space="preserve">至</w:t>
      </w:r>
      <w:r>
        <w:rPr>
          <w:rFonts w:hint="eastAsia" w:ascii="宋体" w:hAnsi="宋体" w:eastAsia="宋体" w:cs="宋体"/>
          <w:bCs/>
          <w:color w:val="000000"/>
          <w:sz w:val="24"/>
          <w:szCs w:val="24"/>
          <w:highlight w:val="none"/>
        </w:rPr>
        <w:t xml:space="preserve">合同价的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赛后提交赛事总结报告及赛事媒体简报</w:t>
      </w:r>
      <w:r>
        <w:rPr>
          <w:rFonts w:hint="eastAsia" w:ascii="宋体" w:hAnsi="宋体" w:eastAsia="宋体" w:cs="宋体"/>
          <w:bCs/>
          <w:color w:val="000000"/>
          <w:sz w:val="24"/>
          <w:szCs w:val="24"/>
          <w:highlight w:val="none"/>
          <w:lang w:eastAsia="zh-CN"/>
        </w:rPr>
        <w:t xml:space="preserve">后</w:t>
      </w:r>
      <w:r>
        <w:rPr>
          <w:rFonts w:hint="eastAsia" w:ascii="宋体" w:hAnsi="宋体" w:eastAsia="宋体" w:cs="宋体"/>
          <w:bCs/>
          <w:color w:val="000000"/>
          <w:sz w:val="24"/>
          <w:szCs w:val="24"/>
          <w:highlight w:val="none"/>
        </w:rPr>
        <w:t xml:space="preserve">，确认</w:t>
      </w:r>
      <w:r>
        <w:rPr>
          <w:rFonts w:hint="eastAsia" w:ascii="宋体" w:hAnsi="宋体" w:eastAsia="宋体" w:cs="宋体"/>
          <w:bCs/>
          <w:color w:val="000000"/>
          <w:sz w:val="24"/>
          <w:szCs w:val="24"/>
          <w:highlight w:val="none"/>
          <w:lang w:val="en-US" w:eastAsia="zh-CN"/>
        </w:rPr>
        <w:t xml:space="preserve">已</w:t>
      </w:r>
      <w:r>
        <w:rPr>
          <w:rFonts w:hint="eastAsia" w:ascii="宋体" w:hAnsi="宋体" w:eastAsia="宋体" w:cs="宋体"/>
          <w:bCs/>
          <w:color w:val="000000"/>
          <w:sz w:val="24"/>
          <w:szCs w:val="24"/>
          <w:highlight w:val="none"/>
        </w:rPr>
        <w:t xml:space="preserve">保质保量完成合同约定业务</w:t>
      </w:r>
      <w:r>
        <w:rPr>
          <w:rFonts w:hint="eastAsia" w:ascii="宋体" w:hAnsi="宋体" w:eastAsia="宋体" w:cs="宋体"/>
          <w:bCs/>
          <w:color w:val="auto"/>
          <w:sz w:val="24"/>
          <w:szCs w:val="24"/>
          <w:highlight w:val="none"/>
          <w:lang w:val="en-US" w:eastAsia="zh-CN"/>
        </w:rPr>
        <w:t xml:space="preserve">后，</w:t>
      </w:r>
      <w:r>
        <w:rPr>
          <w:rFonts w:hint="eastAsia" w:ascii="宋体" w:hAnsi="宋体" w:eastAsia="宋体" w:cs="宋体"/>
          <w:bCs/>
          <w:color w:val="auto"/>
          <w:sz w:val="24"/>
          <w:szCs w:val="24"/>
          <w:highlight w:val="none"/>
        </w:rPr>
        <w:t xml:space="preserve">支付</w:t>
      </w:r>
      <w:r>
        <w:rPr>
          <w:rFonts w:hint="eastAsia" w:ascii="宋体" w:hAnsi="宋体" w:eastAsia="宋体" w:cs="宋体"/>
          <w:bCs/>
          <w:color w:val="000000"/>
          <w:sz w:val="24"/>
          <w:szCs w:val="24"/>
          <w:highlight w:val="none"/>
          <w:lang w:val="en-US" w:eastAsia="zh-CN"/>
        </w:rPr>
        <w:t xml:space="preserve">剩余价款。</w:t>
      </w:r>
      <w:r>
        <w:rPr>
          <w:rFonts w:hint="eastAsia" w:ascii="宋体" w:hAnsi="宋体" w:eastAsia="宋体" w:cs="宋体"/>
          <w:bCs/>
          <w:color w:val="000000"/>
          <w:sz w:val="24"/>
          <w:szCs w:val="24"/>
          <w:highlight w:val="none"/>
        </w:rPr>
        <w:t xml:space="preserve">（如中标人在履约期间未能保质保量完成合同约定</w:t>
      </w:r>
      <w:r>
        <w:rPr>
          <w:rFonts w:hint="eastAsia" w:ascii="宋体" w:hAnsi="宋体" w:eastAsia="宋体" w:cs="宋体"/>
          <w:bCs/>
          <w:color w:val="000000"/>
          <w:sz w:val="24"/>
          <w:szCs w:val="24"/>
          <w:highlight w:val="none"/>
          <w:lang w:val="en-US" w:eastAsia="zh-CN"/>
        </w:rPr>
        <w:t xml:space="preserve">义</w:t>
      </w:r>
      <w:r>
        <w:rPr>
          <w:rFonts w:hint="eastAsia" w:ascii="宋体" w:hAnsi="宋体" w:eastAsia="宋体" w:cs="宋体"/>
          <w:bCs/>
          <w:color w:val="000000"/>
          <w:sz w:val="24"/>
          <w:szCs w:val="24"/>
          <w:highlight w:val="none"/>
        </w:rPr>
        <w:t xml:space="preserve">务，除承担相关责任外，</w:t>
      </w:r>
      <w:r>
        <w:rPr>
          <w:rFonts w:hint="eastAsia" w:ascii="宋体" w:hAnsi="宋体" w:eastAsia="宋体" w:cs="宋体"/>
          <w:bCs/>
          <w:color w:val="000000"/>
          <w:sz w:val="24"/>
          <w:szCs w:val="24"/>
          <w:highlight w:val="none"/>
          <w:lang w:val="en-US" w:eastAsia="zh-CN"/>
        </w:rPr>
        <w:t xml:space="preserve">采购人有权</w:t>
      </w:r>
      <w:r>
        <w:rPr>
          <w:rFonts w:hint="eastAsia" w:ascii="宋体" w:hAnsi="宋体" w:eastAsia="宋体" w:cs="宋体"/>
          <w:bCs/>
          <w:color w:val="000000"/>
          <w:sz w:val="24"/>
          <w:szCs w:val="24"/>
          <w:highlight w:val="none"/>
        </w:rPr>
        <w:t xml:space="preserve">取消</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后续</w:t>
      </w:r>
      <w:r>
        <w:rPr>
          <w:rFonts w:hint="eastAsia" w:ascii="宋体" w:hAnsi="宋体" w:eastAsia="宋体" w:cs="宋体"/>
          <w:bCs/>
          <w:color w:val="000000"/>
          <w:sz w:val="24"/>
          <w:szCs w:val="24"/>
          <w:highlight w:val="none"/>
          <w:lang w:val="en-US" w:eastAsia="zh-CN"/>
        </w:rPr>
        <w:t xml:space="preserve">3年</w:t>
      </w:r>
      <w:r>
        <w:rPr>
          <w:rFonts w:hint="eastAsia" w:ascii="宋体" w:hAnsi="宋体" w:eastAsia="宋体" w:cs="宋体"/>
          <w:bCs/>
          <w:color w:val="000000"/>
          <w:sz w:val="24"/>
          <w:szCs w:val="24"/>
          <w:highlight w:val="none"/>
        </w:rPr>
        <w:t xml:space="preserve">赛事运营</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资格</w:t>
      </w:r>
      <w:r>
        <w:rPr>
          <w:rFonts w:hint="eastAsia" w:ascii="宋体" w:hAnsi="宋体" w:eastAsia="宋体" w:cs="宋体"/>
          <w:bCs/>
          <w:color w:val="000000"/>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中标人按照采购人要求并根据支付进度开具发票</w:t>
      </w:r>
      <w:r>
        <w:rPr>
          <w:rFonts w:hint="eastAsia" w:ascii="宋体" w:hAnsi="宋体" w:eastAsia="宋体" w:cs="Times New Roman"/>
          <w:bCs/>
          <w:color w:val="000000"/>
          <w:sz w:val="24"/>
          <w:szCs w:val="24"/>
          <w:highlight w:val="none"/>
          <w:lang w:eastAsia="zh-CN"/>
        </w:rPr>
        <w:t xml:space="preserve">。</w:t>
      </w:r>
      <w:r/>
    </w:p>
    <w:p>
      <w:pPr>
        <w:ind w:right="0"/>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知识产权要求</w:t>
      </w:r>
      <w:r/>
    </w:p>
    <w:p>
      <w:pPr>
        <w:ind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赛事运营商应当充分尊重</w:t>
      </w:r>
      <w:r>
        <w:rPr>
          <w:rFonts w:hint="eastAsia" w:ascii="宋体" w:hAnsi="宋体" w:eastAsia="宋体" w:cs="宋体"/>
          <w:bCs/>
          <w:color w:val="000000"/>
          <w:sz w:val="24"/>
          <w:szCs w:val="24"/>
          <w:highlight w:val="none"/>
          <w:lang w:eastAsia="zh-CN"/>
        </w:rPr>
        <w:t xml:space="preserve">溧阳</w:t>
      </w:r>
      <w:r>
        <w:rPr>
          <w:rFonts w:hint="eastAsia" w:ascii="宋体" w:hAnsi="宋体" w:eastAsia="宋体" w:cs="宋体"/>
          <w:bCs/>
          <w:color w:val="000000"/>
          <w:sz w:val="24"/>
          <w:szCs w:val="24"/>
          <w:highlight w:val="none"/>
        </w:rPr>
        <w:t xml:space="preserve">市人民政府对赛事的所有权和一切知识产权，并在采购人的指导下共同做好赛事的品牌保护和知识管理</w:t>
      </w:r>
      <w:r>
        <w:rPr>
          <w:rFonts w:hint="eastAsia" w:ascii="宋体" w:hAnsi="宋体" w:eastAsia="宋体" w:cs="宋体"/>
          <w:bCs/>
          <w:color w:val="000000"/>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赛事</w:t>
      </w:r>
      <w:r>
        <w:rPr>
          <w:rFonts w:hint="eastAsia" w:ascii="宋体" w:hAnsi="宋体" w:eastAsia="宋体" w:cs="宋体"/>
          <w:bCs/>
          <w:color w:val="000000"/>
          <w:sz w:val="24"/>
          <w:szCs w:val="24"/>
          <w:highlight w:val="none"/>
          <w:lang w:val="en-US" w:eastAsia="zh-CN"/>
        </w:rPr>
        <w:t xml:space="preserve">运营</w:t>
      </w:r>
      <w:r>
        <w:rPr>
          <w:rFonts w:hint="eastAsia" w:ascii="宋体" w:hAnsi="宋体" w:eastAsia="宋体" w:cs="宋体"/>
          <w:bCs/>
          <w:color w:val="000000"/>
          <w:sz w:val="24"/>
          <w:szCs w:val="24"/>
          <w:highlight w:val="none"/>
        </w:rPr>
        <w:t xml:space="preserve">商在赛事筹备和组织期间产生的所有知识成果，包括但不限于文件、图片、视频、图案、标识、实物、互联网知识产权等各类材料，都应当按照采购人的知识转移清单在比赛结束之后 30 日内全部移交给采购人，未经书面许可不得用于其他任何单位或个人的商业目的</w:t>
      </w:r>
      <w:r>
        <w:rPr>
          <w:rFonts w:hint="eastAsia" w:ascii="宋体" w:hAnsi="宋体" w:eastAsia="宋体" w:cs="宋体"/>
          <w:bCs/>
          <w:color w:val="000000"/>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由赛事运营商举办的各类系列活动，也作为赛事的组成部分，其所有权归属于</w:t>
      </w:r>
      <w:r>
        <w:rPr>
          <w:rFonts w:hint="eastAsia" w:ascii="宋体" w:hAnsi="宋体" w:eastAsia="宋体" w:cs="宋体"/>
          <w:bCs/>
          <w:color w:val="000000"/>
          <w:sz w:val="24"/>
          <w:szCs w:val="24"/>
          <w:highlight w:val="none"/>
          <w:lang w:eastAsia="zh-CN"/>
        </w:rPr>
        <w:t xml:space="preserve">溧阳</w:t>
      </w:r>
      <w:r>
        <w:rPr>
          <w:rFonts w:hint="eastAsia" w:ascii="宋体" w:hAnsi="宋体" w:eastAsia="宋体" w:cs="宋体"/>
          <w:bCs/>
          <w:color w:val="000000"/>
          <w:sz w:val="24"/>
          <w:szCs w:val="24"/>
          <w:highlight w:val="none"/>
        </w:rPr>
        <w:t xml:space="preserve">市人民政府</w:t>
      </w:r>
      <w:r>
        <w:rPr>
          <w:rFonts w:hint="eastAsia" w:ascii="宋体" w:hAnsi="宋体" w:eastAsia="宋体" w:cs="宋体"/>
          <w:bCs/>
          <w:color w:val="000000"/>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赛事运营商</w:t>
      </w:r>
      <w:r>
        <w:rPr>
          <w:rFonts w:hint="eastAsia" w:ascii="宋体" w:hAnsi="宋体" w:eastAsia="宋体" w:cs="宋体"/>
          <w:bCs/>
          <w:color w:val="000000"/>
          <w:sz w:val="24"/>
          <w:szCs w:val="24"/>
          <w:highlight w:val="none"/>
          <w:lang w:eastAsia="zh-CN"/>
        </w:rPr>
        <w:t xml:space="preserve">不得</w:t>
      </w:r>
      <w:r>
        <w:rPr>
          <w:rFonts w:hint="eastAsia" w:ascii="宋体" w:hAnsi="宋体" w:eastAsia="宋体" w:cs="宋体"/>
          <w:bCs/>
          <w:color w:val="000000"/>
          <w:sz w:val="24"/>
          <w:szCs w:val="24"/>
          <w:highlight w:val="none"/>
        </w:rPr>
        <w:t xml:space="preserve">自行注册任何与赛事相关的商标或申请拥有相关知识产权。</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ind w:firstLine="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jc w:val="center"/>
        <w:spacing w:line="360" w:lineRule="auto"/>
        <w:rPr>
          <w:rFonts w:hint="eastAsia" w:ascii="Times New Roman" w:hAnsi="Times New Roman" w:eastAsia="宋体" w:cs="Times New Roman"/>
          <w:b/>
          <w:color w:val="auto"/>
          <w:sz w:val="36"/>
          <w:szCs w:val="36"/>
          <w:highlight w:val="none"/>
        </w:rPr>
        <w:outlineLvl w:val="0"/>
      </w:pPr>
      <w:r>
        <w:rPr>
          <w:rFonts w:hint="eastAsia" w:ascii="Times New Roman" w:hAnsi="Times New Roman" w:eastAsia="宋体" w:cs="Times New Roman"/>
          <w:b/>
          <w:color w:val="auto"/>
          <w:sz w:val="36"/>
          <w:szCs w:val="36"/>
          <w:highlight w:val="none"/>
        </w:rPr>
      </w:r>
      <w:r/>
    </w:p>
    <w:p>
      <w:pPr>
        <w:rPr>
          <w:rFonts w:hint="eastAsia"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br w:type="page" w:clear="all"/>
      </w:r>
      <w:r/>
    </w:p>
    <w:p>
      <w:pPr>
        <w:jc w:val="center"/>
        <w:spacing w:line="360" w:lineRule="auto"/>
        <w:rPr>
          <w:b/>
          <w:color w:val="auto"/>
          <w:sz w:val="36"/>
          <w:szCs w:val="36"/>
          <w:highlight w:val="none"/>
        </w:rPr>
        <w:outlineLvl w:val="0"/>
      </w:pPr>
      <w:r>
        <w:rPr>
          <w:rFonts w:hint="eastAsia" w:ascii="Times New Roman" w:hAnsi="Times New Roman" w:eastAsia="宋体" w:cs="Times New Roman"/>
          <w:b/>
          <w:color w:val="auto"/>
          <w:sz w:val="36"/>
          <w:szCs w:val="36"/>
          <w:highlight w:val="none"/>
        </w:rPr>
        <w:t xml:space="preserve">第</w:t>
      </w:r>
      <w:r>
        <w:rPr>
          <w:rFonts w:hint="eastAsia" w:ascii="Times New Roman" w:hAnsi="Times New Roman" w:eastAsia="宋体" w:cs="Times New Roman"/>
          <w:b/>
          <w:color w:val="auto"/>
          <w:sz w:val="36"/>
          <w:szCs w:val="36"/>
          <w:highlight w:val="none"/>
          <w:lang w:val="en-US" w:eastAsia="zh-CN"/>
        </w:rPr>
        <w:t xml:space="preserve">六</w:t>
      </w:r>
      <w:r>
        <w:rPr>
          <w:rFonts w:hint="eastAsia" w:ascii="Times New Roman" w:hAnsi="Times New Roman" w:eastAsia="宋体" w:cs="Times New Roman"/>
          <w:b/>
          <w:color w:val="auto"/>
          <w:sz w:val="36"/>
          <w:szCs w:val="36"/>
          <w:highlight w:val="none"/>
        </w:rPr>
        <w:t xml:space="preserve">章   拟签订的合同文本</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15"/>
      <w:r/>
      <w:r/>
    </w:p>
    <w:p>
      <w:pPr>
        <w:ind w:right="0" w:firstLine="240"/>
        <w:jc w:val="center"/>
        <w:keepLines w:val="0"/>
        <w:keepNext w:val="0"/>
        <w:pageBreakBefore w:val="0"/>
        <w:spacing w:line="360" w:lineRule="auto"/>
        <w:widowControl w:val="off"/>
        <w:rPr>
          <w:rFonts w:hint="eastAsia" w:ascii="宋体" w:hAnsi="宋体" w:eastAsia="宋体" w:cs="宋体"/>
          <w:bCs/>
          <w:sz w:val="24"/>
          <w:szCs w:val="24"/>
          <w:highlight w:val="none"/>
          <w:shd w:val="clear" w:color="auto" w:fill="ffffff"/>
          <w:lang w:val="en-US" w:eastAsia="zh-CN" w:bidi="ar-SA"/>
        </w:rPr>
      </w:pPr>
      <w:r/>
      <w:bookmarkStart w:id="816" w:name="_Toc99301426"/>
      <w:r>
        <w:rPr>
          <w:rFonts w:hint="eastAsia" w:ascii="宋体" w:hAnsi="宋体" w:eastAsia="宋体" w:cs="宋体"/>
          <w:bCs/>
          <w:sz w:val="24"/>
          <w:szCs w:val="24"/>
          <w:highlight w:val="none"/>
          <w:shd w:val="clear" w:color="auto" w:fill="ffffff"/>
          <w:lang w:val="en-US" w:eastAsia="zh-CN" w:bidi="ar-SA"/>
        </w:rPr>
        <w:t xml:space="preserve">（主要合同条款）</w:t>
      </w:r>
      <w:r/>
    </w:p>
    <w:p>
      <w:pPr>
        <w:ind w:right="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合同编号：</w:t>
      </w:r>
      <w:r/>
    </w:p>
    <w:p>
      <w:pPr>
        <w:ind w:right="0" w:firstLine="22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签订地点：</w:t>
      </w:r>
      <w:r/>
    </w:p>
    <w:p>
      <w:pPr>
        <w:ind w:right="0"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根据________的采购结果，按照《中华人民共和国政府采购法》、《中华人民共和国民法典》的规定，经买卖双方协商，本着平等互利和诚实信用的原则，一致同意签订本合同。</w:t>
      </w:r>
      <w:r/>
    </w:p>
    <w:p>
      <w:pPr>
        <w:ind w:right="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第一条 项目概况</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1.赛事名称：2026天目湖马拉松</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2.比赛时间：2026年11月15日</w:t>
      </w:r>
      <w:r/>
    </w:p>
    <w:p>
      <w:pPr>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天目湖马拉松是溧阳市人民政府主办，溧阳市文体广电和旅游局承办，按照中国田径协会A类赛事标准执行。本届马拉松赛，包括市内、省内、国内高水平运动员和马拉松爱好者，参与人数设定在15000人，其中全程5000人、半程10000人。</w:t>
      </w:r>
      <w:r/>
    </w:p>
    <w:p>
      <w:pPr>
        <w:ind w:right="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第二条 合同总价及付款方式</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1.合同总价：（大写）__________；（小写）_________。</w:t>
      </w:r>
      <w:r/>
    </w:p>
    <w:p>
      <w:pPr>
        <w:ind w:left="0" w:right="0" w:firstLine="42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2.付款方式：</w:t>
      </w:r>
      <w:r/>
    </w:p>
    <w:p>
      <w:pPr>
        <w:ind w:right="0" w:firstLine="480"/>
        <w:keepLines w:val="0"/>
        <w:keepNext w:val="0"/>
        <w:pageBreakBefore w:val="0"/>
        <w:spacing w:line="360" w:lineRule="auto"/>
        <w:widowControl w:val="off"/>
        <w:rPr>
          <w:rFonts w:hint="default"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2.1</w:t>
      </w:r>
      <w:r>
        <w:rPr>
          <w:rFonts w:hint="eastAsia" w:ascii="宋体" w:hAnsi="宋体" w:eastAsia="宋体" w:cs="宋体"/>
          <w:bCs/>
          <w:color w:val="000000"/>
          <w:sz w:val="24"/>
          <w:szCs w:val="24"/>
          <w:highlight w:val="none"/>
        </w:rPr>
        <w:t xml:space="preserve">合同签订一个月内，支付合同价的30%；</w:t>
      </w:r>
      <w:r/>
    </w:p>
    <w:p>
      <w:pPr>
        <w:ind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highlight w:val="none"/>
          <w:lang w:val="en-US" w:eastAsia="zh-CN"/>
        </w:rPr>
        <w:t xml:space="preserve">2.2</w:t>
      </w:r>
      <w:r>
        <w:rPr>
          <w:rFonts w:hint="eastAsia" w:ascii="宋体" w:hAnsi="宋体" w:eastAsia="宋体" w:cs="宋体"/>
          <w:bCs/>
          <w:color w:val="000000"/>
          <w:sz w:val="24"/>
          <w:szCs w:val="24"/>
          <w:highlight w:val="none"/>
        </w:rPr>
        <w:t xml:space="preserve">赛前支付</w:t>
      </w:r>
      <w:r>
        <w:rPr>
          <w:rFonts w:hint="eastAsia" w:ascii="宋体" w:hAnsi="宋体" w:eastAsia="宋体" w:cs="宋体"/>
          <w:bCs/>
          <w:color w:val="000000"/>
          <w:sz w:val="24"/>
          <w:szCs w:val="24"/>
          <w:highlight w:val="none"/>
          <w:lang w:val="en-US" w:eastAsia="zh-CN"/>
        </w:rPr>
        <w:t xml:space="preserve">至</w:t>
      </w:r>
      <w:r>
        <w:rPr>
          <w:rFonts w:hint="eastAsia" w:ascii="宋体" w:hAnsi="宋体" w:eastAsia="宋体" w:cs="宋体"/>
          <w:bCs/>
          <w:color w:val="000000"/>
          <w:sz w:val="24"/>
          <w:szCs w:val="24"/>
          <w:highlight w:val="none"/>
        </w:rPr>
        <w:t xml:space="preserve">合同价的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2.3</w:t>
      </w:r>
      <w:r>
        <w:rPr>
          <w:rFonts w:hint="eastAsia" w:ascii="宋体" w:hAnsi="宋体" w:eastAsia="宋体" w:cs="宋体"/>
          <w:bCs/>
          <w:color w:val="auto"/>
          <w:sz w:val="24"/>
          <w:szCs w:val="24"/>
          <w:highlight w:val="none"/>
        </w:rPr>
        <w:t xml:space="preserve">赛后提交赛事总结报告及赛事媒体简报</w:t>
      </w:r>
      <w:r>
        <w:rPr>
          <w:rFonts w:hint="eastAsia" w:ascii="宋体" w:hAnsi="宋体" w:eastAsia="宋体" w:cs="宋体"/>
          <w:bCs/>
          <w:color w:val="auto"/>
          <w:sz w:val="24"/>
          <w:szCs w:val="24"/>
          <w:highlight w:val="none"/>
          <w:lang w:eastAsia="zh-CN"/>
        </w:rPr>
        <w:t xml:space="preserve">后</w:t>
      </w:r>
      <w:r>
        <w:rPr>
          <w:rFonts w:hint="eastAsia" w:ascii="宋体" w:hAnsi="宋体" w:eastAsia="宋体" w:cs="宋体"/>
          <w:bCs/>
          <w:color w:val="auto"/>
          <w:sz w:val="24"/>
          <w:szCs w:val="24"/>
          <w:highlight w:val="none"/>
        </w:rPr>
        <w:t xml:space="preserve">，并经</w:t>
      </w:r>
      <w:r>
        <w:rPr>
          <w:rFonts w:hint="eastAsia" w:ascii="宋体" w:hAnsi="宋体" w:eastAsia="宋体" w:cs="宋体"/>
          <w:bCs/>
          <w:color w:val="auto"/>
          <w:sz w:val="24"/>
          <w:szCs w:val="24"/>
          <w:highlight w:val="none"/>
          <w:lang w:val="en-US" w:eastAsia="zh-CN"/>
        </w:rPr>
        <w:t xml:space="preserve">甲方书面</w:t>
      </w:r>
      <w:r>
        <w:rPr>
          <w:rFonts w:hint="eastAsia" w:ascii="宋体" w:hAnsi="宋体" w:eastAsia="宋体" w:cs="宋体"/>
          <w:bCs/>
          <w:color w:val="auto"/>
          <w:sz w:val="24"/>
          <w:szCs w:val="24"/>
          <w:highlight w:val="none"/>
        </w:rPr>
        <w:t xml:space="preserve">确认</w:t>
      </w:r>
      <w:r>
        <w:rPr>
          <w:rFonts w:hint="eastAsia" w:ascii="宋体" w:hAnsi="宋体" w:eastAsia="宋体" w:cs="宋体"/>
          <w:bCs/>
          <w:color w:val="auto"/>
          <w:sz w:val="24"/>
          <w:szCs w:val="24"/>
          <w:highlight w:val="none"/>
          <w:lang w:val="en-US" w:eastAsia="zh-CN"/>
        </w:rPr>
        <w:t xml:space="preserve">已</w:t>
      </w:r>
      <w:r>
        <w:rPr>
          <w:rFonts w:hint="eastAsia" w:ascii="宋体" w:hAnsi="宋体" w:eastAsia="宋体" w:cs="宋体"/>
          <w:bCs/>
          <w:color w:val="auto"/>
          <w:sz w:val="24"/>
          <w:szCs w:val="24"/>
          <w:highlight w:val="none"/>
        </w:rPr>
        <w:t xml:space="preserve">保质保量完成合同约定业务</w:t>
      </w:r>
      <w:r>
        <w:rPr>
          <w:rFonts w:hint="eastAsia" w:ascii="宋体" w:hAnsi="宋体" w:eastAsia="宋体" w:cs="宋体"/>
          <w:bCs/>
          <w:color w:val="auto"/>
          <w:sz w:val="24"/>
          <w:szCs w:val="24"/>
          <w:highlight w:val="none"/>
          <w:lang w:val="en-US" w:eastAsia="zh-CN"/>
        </w:rPr>
        <w:t xml:space="preserve">后，</w:t>
      </w:r>
      <w:r>
        <w:rPr>
          <w:rFonts w:hint="eastAsia" w:ascii="宋体" w:hAnsi="宋体" w:eastAsia="宋体" w:cs="宋体"/>
          <w:bCs/>
          <w:color w:val="auto"/>
          <w:sz w:val="24"/>
          <w:szCs w:val="24"/>
          <w:highlight w:val="none"/>
        </w:rPr>
        <w:t xml:space="preserve">支付</w:t>
      </w:r>
      <w:r>
        <w:rPr>
          <w:rFonts w:hint="eastAsia" w:ascii="宋体" w:hAnsi="宋体" w:eastAsia="宋体" w:cs="宋体"/>
          <w:bCs/>
          <w:color w:val="auto"/>
          <w:sz w:val="24"/>
          <w:szCs w:val="24"/>
          <w:highlight w:val="none"/>
          <w:lang w:val="en-US" w:eastAsia="zh-CN"/>
        </w:rPr>
        <w:t xml:space="preserve">剩余价款。</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在履约期间未能保质保量完成合同约定</w:t>
      </w:r>
      <w:r>
        <w:rPr>
          <w:rFonts w:hint="eastAsia" w:ascii="宋体" w:hAnsi="宋体" w:eastAsia="宋体" w:cs="宋体"/>
          <w:bCs/>
          <w:color w:val="auto"/>
          <w:sz w:val="24"/>
          <w:szCs w:val="24"/>
          <w:highlight w:val="none"/>
          <w:lang w:val="en-US" w:eastAsia="zh-CN"/>
        </w:rPr>
        <w:t xml:space="preserve">义</w:t>
      </w:r>
      <w:r>
        <w:rPr>
          <w:rFonts w:hint="eastAsia" w:ascii="宋体" w:hAnsi="宋体" w:eastAsia="宋体" w:cs="宋体"/>
          <w:bCs/>
          <w:color w:val="auto"/>
          <w:sz w:val="24"/>
          <w:szCs w:val="24"/>
          <w:highlight w:val="none"/>
        </w:rPr>
        <w:t xml:space="preserve">务，除承担相关责任外，</w:t>
      </w:r>
      <w:r>
        <w:rPr>
          <w:rFonts w:hint="eastAsia" w:ascii="宋体" w:hAnsi="宋体" w:eastAsia="宋体" w:cs="宋体"/>
          <w:bCs/>
          <w:color w:val="auto"/>
          <w:sz w:val="24"/>
          <w:szCs w:val="24"/>
          <w:highlight w:val="none"/>
          <w:lang w:val="en-US" w:eastAsia="zh-CN"/>
        </w:rPr>
        <w:t xml:space="preserve">甲方有权</w:t>
      </w:r>
      <w:r>
        <w:rPr>
          <w:rFonts w:hint="eastAsia" w:ascii="宋体" w:hAnsi="宋体" w:eastAsia="宋体" w:cs="宋体"/>
          <w:bCs/>
          <w:color w:val="auto"/>
          <w:sz w:val="24"/>
          <w:szCs w:val="24"/>
          <w:highlight w:val="none"/>
        </w:rPr>
        <w:t xml:space="preserve">取消</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后续</w:t>
      </w:r>
      <w:r>
        <w:rPr>
          <w:rFonts w:hint="eastAsia" w:ascii="宋体" w:hAnsi="宋体" w:eastAsia="宋体" w:cs="宋体"/>
          <w:bCs/>
          <w:color w:val="auto"/>
          <w:sz w:val="24"/>
          <w:szCs w:val="24"/>
          <w:highlight w:val="none"/>
          <w:lang w:val="en-US" w:eastAsia="zh-CN"/>
        </w:rPr>
        <w:t xml:space="preserve">3年</w:t>
      </w:r>
      <w:r>
        <w:rPr>
          <w:rFonts w:hint="eastAsia" w:ascii="宋体" w:hAnsi="宋体" w:eastAsia="宋体" w:cs="宋体"/>
          <w:bCs/>
          <w:color w:val="auto"/>
          <w:sz w:val="24"/>
          <w:szCs w:val="24"/>
          <w:highlight w:val="none"/>
        </w:rPr>
        <w:t xml:space="preserve">赛事运营</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资格</w:t>
      </w:r>
      <w:r>
        <w:rPr>
          <w:rFonts w:hint="eastAsia" w:ascii="宋体" w:hAnsi="宋体" w:eastAsia="宋体" w:cs="宋体"/>
          <w:bCs/>
          <w:color w:val="auto"/>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2.4</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eastAsia="zh-CN"/>
        </w:rPr>
        <w:t xml:space="preserve">要求并根据支付进度开具发票</w:t>
      </w:r>
      <w:r>
        <w:rPr>
          <w:rFonts w:hint="eastAsia" w:ascii="宋体" w:hAnsi="宋体" w:eastAsia="宋体" w:cs="Times New Roman"/>
          <w:bCs/>
          <w:color w:val="auto"/>
          <w:sz w:val="24"/>
          <w:highlight w:val="none"/>
          <w:lang w:eastAsia="zh-CN"/>
        </w:rPr>
        <w:t xml:space="preserve">。若因乙方未提交合规发票或验收未通过导致付款延迟，甲方不承担</w:t>
      </w:r>
      <w:r>
        <w:rPr>
          <w:rFonts w:hint="eastAsia" w:ascii="宋体" w:hAnsi="宋体" w:eastAsia="宋体" w:cs="Times New Roman"/>
          <w:bCs/>
          <w:color w:val="auto"/>
          <w:sz w:val="24"/>
          <w:highlight w:val="none"/>
          <w:lang w:val="en-US" w:eastAsia="zh-CN"/>
        </w:rPr>
        <w:t xml:space="preserve">任何</w:t>
      </w:r>
      <w:r>
        <w:rPr>
          <w:rFonts w:hint="eastAsia" w:ascii="宋体" w:hAnsi="宋体" w:eastAsia="宋体" w:cs="Times New Roman"/>
          <w:bCs/>
          <w:color w:val="auto"/>
          <w:sz w:val="24"/>
          <w:highlight w:val="none"/>
          <w:lang w:eastAsia="zh-CN"/>
        </w:rPr>
        <w:t xml:space="preserve">责任。</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3.乙方银行账户信息为：</w:t>
      </w:r>
      <w:r/>
    </w:p>
    <w:p>
      <w:pPr>
        <w:ind w:left="0" w:right="0" w:firstLine="42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账户名称：</w:t>
      </w:r>
      <w:r/>
    </w:p>
    <w:p>
      <w:pPr>
        <w:ind w:left="0" w:right="0" w:firstLine="42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开户行：</w:t>
      </w:r>
      <w:r/>
    </w:p>
    <w:p>
      <w:pPr>
        <w:ind w:left="0" w:right="0" w:firstLine="42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银行账号：</w:t>
      </w:r>
      <w:r/>
    </w:p>
    <w:p>
      <w:pPr>
        <w:ind w:right="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第三条 合同期限</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自本合同签署生效之日起至乙方所承担的赛事全部工作结束止；但根据本协议约定提前解除或终止的除外。</w:t>
      </w:r>
      <w:r/>
    </w:p>
    <w:p>
      <w:pPr>
        <w:ind w:right="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第四条 乙方承担的赛事运营内容及范围</w:t>
      </w:r>
      <w:r/>
    </w:p>
    <w:p>
      <w:pPr>
        <w:ind w:right="0" w:firstLine="480"/>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cs="宋体"/>
          <w:b w:val="0"/>
          <w:bCs w:val="0"/>
          <w:sz w:val="24"/>
          <w:szCs w:val="24"/>
          <w:highlight w:val="none"/>
          <w:lang w:val="en-US" w:eastAsia="zh-CN"/>
        </w:rPr>
        <w:t xml:space="preserve">招标文件“第五章 采购需求”所有内容</w:t>
      </w:r>
      <w:r/>
    </w:p>
    <w:p>
      <w:pPr>
        <w:ind w:righ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条 权利和义务</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1.甲方权利与义务</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1.1、甲方有权要求乙方全面、高效、优质的履行合同规定的要求（包括招标文件的要求及履约过程中甲方交待的事项）以及乙方承诺的义务（包括投标文件的承诺）。乙方未能如期</w:t>
      </w:r>
      <w:r>
        <w:rPr>
          <w:rFonts w:hint="eastAsia" w:ascii="宋体" w:hAnsi="宋体" w:eastAsia="宋体" w:cs="宋体"/>
          <w:color w:val="auto"/>
          <w:sz w:val="24"/>
          <w:szCs w:val="24"/>
          <w:highlight w:val="none"/>
          <w:lang w:val="en-US" w:eastAsia="zh-CN"/>
        </w:rPr>
        <w:t xml:space="preserve">履行</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，甲方有权解除本合同，除没收履约保证金外，乙方应赔偿甲方相应的损失。</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1.2、甲方有权对乙方的合同履约和实施情况、质量、效果进行全面的技术指导、检查、管理和监督，对发现的问题及时向乙方提出书面或口头改进意见，乙方应按照甲方的要求在</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日内整改，由此产生的费用和损失由乙方承担</w:t>
      </w:r>
      <w:r>
        <w:rPr>
          <w:rFonts w:hint="eastAsia" w:ascii="宋体" w:hAnsi="宋体" w:eastAsia="宋体" w:cs="宋体"/>
          <w:color w:val="auto"/>
          <w:sz w:val="24"/>
          <w:szCs w:val="24"/>
          <w:highlight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1.3、甲方有权对乙方不履行合同义务及其投标承诺的行为进行合同款项扣罚及经济处罚。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验收合格后，</w:t>
      </w:r>
      <w:r>
        <w:rPr>
          <w:rFonts w:hint="eastAsia" w:ascii="宋体" w:hAnsi="宋体" w:eastAsia="宋体" w:cs="宋体"/>
          <w:color w:val="auto"/>
          <w:sz w:val="24"/>
          <w:szCs w:val="24"/>
          <w:highlight w:val="none"/>
        </w:rPr>
        <w:t xml:space="preserve">甲方应按时向乙方支付合同款项，如出现有合同款项扣罚或经济处罚的情况，将在扣罚相关金额后进行余额的支付。</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甲方可要求乙方调整不合格项目组成员及员工，乙方应自接到甲方通知后  日内予以更换，更换后的人员条件不得低于更换前的人员</w:t>
      </w:r>
      <w:r>
        <w:rPr>
          <w:rFonts w:hint="eastAsia" w:ascii="宋体" w:hAnsi="宋体" w:eastAsia="宋体" w:cs="宋体"/>
          <w:color w:val="auto"/>
          <w:sz w:val="24"/>
          <w:szCs w:val="24"/>
          <w:highlight w:val="none"/>
          <w:lang w:eastAsia="zh-CN"/>
        </w:rPr>
        <w:t xml:space="preserve">。</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1.6、赛事名称、LOGO、影像资料著作权归甲方所有，乙方仅限合同期内使用。</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2.乙方权利和义务</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乙方有权根据本合同约定获得合同款项、赛事商业运作和市场开发收益、赛事报名费。</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乙方应全面、高效、优质的履行合同约定的各项要求（包括招标文件的要求及履约过程中甲方交待的事项）以及己方承诺的义务（包括投标文件的承诺）。</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乙方应按甲方和赛事组委会的要求开展工作，如在合同履约过程中出现计划或方案变更情况时，应及时向甲方提出，并在征得甲方</w:t>
      </w:r>
      <w:r>
        <w:rPr>
          <w:rFonts w:hint="eastAsia" w:ascii="宋体" w:hAnsi="宋体" w:eastAsia="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同意后方可实施。</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乙方应按照赛事组委会办公室要求设立</w:t>
      </w:r>
      <w:r>
        <w:rPr>
          <w:rFonts w:hint="eastAsia" w:ascii="宋体" w:hAnsi="宋体" w:eastAsia="宋体" w:cs="宋体"/>
          <w:color w:val="auto"/>
          <w:sz w:val="24"/>
          <w:szCs w:val="24"/>
          <w:highlight w:val="none"/>
          <w:lang w:val="en-US" w:eastAsia="zh-CN"/>
        </w:rPr>
        <w:t xml:space="preserve">相应的</w:t>
      </w:r>
      <w:r>
        <w:rPr>
          <w:rFonts w:hint="eastAsia" w:ascii="宋体" w:hAnsi="宋体" w:eastAsia="宋体" w:cs="宋体"/>
          <w:color w:val="auto"/>
          <w:sz w:val="24"/>
          <w:szCs w:val="24"/>
          <w:highlight w:val="none"/>
        </w:rPr>
        <w:t xml:space="preserve">项目组，每个项目组应的相对独立的，应合理确定各项目组的工作人员，全程参与组委会各工作机构的工作，积极配合赛事保障工作有关职能部门，做好赛事的各项筹备和保障工作，确保赛事安全、成功举办。</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2.5、乙方授权一名代表人员负责与甲方联系（代表人员：     联系方式：     ）。乙方不得随意更换核心人员，如有人员调动需求应在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日内向甲方提出申请，经甲方书面允许后方可更换，更换后的人员条件不得低于更换前的人员。</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乙方应接受甲方的管理、监督、检查及指导，在项目实施过程中出现问题应及时的纠正并向甲方进行通报。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乙方应维护赛事组委会及甲方的声誉和利益，服从甲方的统一安排。</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甲方不承担乙方在合同履行过程中因其责任引起的一切事故、法律纠纷和经济责任</w:t>
      </w:r>
      <w:r>
        <w:rPr>
          <w:rFonts w:hint="eastAsia" w:ascii="宋体" w:hAnsi="宋体" w:eastAsia="宋体" w:cs="宋体"/>
          <w:color w:val="auto"/>
          <w:sz w:val="24"/>
          <w:szCs w:val="24"/>
          <w:highlight w:val="none"/>
          <w:lang w:val="en-US" w:eastAsia="zh-CN"/>
        </w:rPr>
        <w:t xml:space="preserve">的连带责任</w:t>
      </w:r>
      <w:r>
        <w:rPr>
          <w:rFonts w:hint="eastAsia" w:ascii="宋体" w:hAnsi="宋体" w:eastAsia="宋体" w:cs="宋体"/>
          <w:color w:val="auto"/>
          <w:sz w:val="24"/>
          <w:szCs w:val="24"/>
          <w:highlight w:val="none"/>
        </w:rPr>
        <w:t xml:space="preserve">，乙方须自行负责并处理合同履行过程中与第三方发生的所有事故、法律纠纷及一切费用。若导致甲方被追责，乙方需赔偿甲方</w:t>
      </w:r>
      <w:r>
        <w:rPr>
          <w:rFonts w:hint="eastAsia" w:ascii="宋体" w:hAnsi="宋体" w:eastAsia="宋体" w:cs="宋体"/>
          <w:color w:val="auto"/>
          <w:sz w:val="24"/>
          <w:szCs w:val="24"/>
          <w:highlight w:val="none"/>
          <w:lang w:val="en-US" w:eastAsia="zh-CN"/>
        </w:rPr>
        <w:t xml:space="preserve">全部损失</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乙方应严格遵守国家有关法律、法规，若有违反，由此造成的一切后果由乙方承担。乙方如因上述原因使合同性质发生改变，甲方不负赔偿责任。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乙方在制作、运输及安装施工过程中，应严格按照国家有关操作规程和施工规范进行作业。任何由乙方的原因造成的事故及赔偿均由乙方负责承担。</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乙方应做好赛事的各类文书资料的收集整理工作，赛事结束后统一移交给甲方立卷、归档。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本合同执行中相关的一切税费均由乙方负担。</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2.13、乙方负责乙方人员的人身安全和财产安全，负责为其购买社会保险、工伤保险、人身意外伤害保险等相关保险，采取必要的安全保护措施。</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合同履行期间，乙方对从甲方获取或者接触到的文件资料、信息数据、图片文字、音频视频等负有保密义务，未经甲方书面同意，乙方不得以任何方式提供给第三人或者用于本合同以外的其他目的，否则，由此造成甲方损失的，由乙方予以赔偿。乙方根据本合同承担的保密义务不因合同的解除或者终止而失效。</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2.15、未经甲方书面同意，乙方不得将本合同约定的的服务全部转包或者部分分包给他人。</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2.16、赛后的垃圾清理由乙方负责，由甲方验收完成并书面确认后支付剩余款项。</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2.17、乙方乙方及其关联人员不得以赛事筹备或执行为由，利用赛事资源牟利，索取、收受贿赂、回扣或不当利益等。</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条 履约保证金</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1、履约保证金为预算金额的10%，中标人须在合同签订前采用银行保函的形式缴纳；履约保证金将在最终验收合格后15日内退回；合同签订后中标人违约，采购人有权没收履约保证金。</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 违约责任</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除因不可抗力，如自然灾害，重大灾难或政府法令的原因以外，双方不得违背合同，如有一方违约，另一方可要求赔偿损失。</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Times New Roman" w:hAnsi="宋体" w:eastAsia="宋体" w:cs="Times New Roman"/>
          <w:bCs/>
          <w:sz w:val="24"/>
          <w:szCs w:val="24"/>
        </w:rPr>
        <w:t xml:space="preserve">甲乙双方需按本合同的各项条款履行义务或提供服务，若其中一方违反本合同约定的内容，应对相关事宜负责，对违约所造成的后果负责，并负相关法律责任，且承担由此而造成的经济损失。</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如果甲、乙双方任意一方不能够遵守和执行本合同条款，守约方保留终止合同的权利，违约方还应赔偿给守约方因为不能执行合同而带来的损失。因乙方违约造成</w:t>
      </w:r>
      <w:r>
        <w:rPr>
          <w:rFonts w:hint="eastAsia" w:ascii="宋体" w:hAnsi="宋体" w:eastAsia="宋体" w:cs="宋体"/>
          <w:color w:val="auto"/>
          <w:sz w:val="24"/>
          <w:szCs w:val="24"/>
          <w:highlight w:val="none"/>
        </w:rPr>
        <w:t xml:space="preserve">甲方损失的，甲方从乙方</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的履约保证金中扣除，履约保证金不足以弥补损失的，甲方有权向乙方追加赔偿。</w:t>
      </w:r>
      <w:r/>
    </w:p>
    <w:p>
      <w:pPr>
        <w:ind w:right="0" w:firstLine="480"/>
        <w:jc w:val="both"/>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如乙方在履约期间未能保质保量完成合同约定义务，除承担相关责任外，甲方有权取消乙方后续3年赛事运营投标资格。</w:t>
      </w:r>
      <w:r/>
    </w:p>
    <w:p>
      <w:pPr>
        <w:ind w:right="0" w:firstLine="468"/>
        <w:jc w:val="both"/>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5.若实际参赛人数未达约定，甲方有权按缺少人数比例扣除相应的履约保证金。</w:t>
      </w:r>
      <w:r/>
    </w:p>
    <w:p>
      <w:pPr>
        <w:ind w:right="0" w:firstLine="468"/>
        <w:jc w:val="both"/>
        <w:keepLines w:val="0"/>
        <w:keepNext w:val="0"/>
        <w:pageBreakBefore w:val="0"/>
        <w:spacing w:line="360" w:lineRule="auto"/>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6.未经甲方书面同意，乙方擅自将合同约定的服务全部转包或者部分分包给他人的，甲方有权解除合同，并扣除相应的履约保证金，若履约保证金不足以弥补损失的，甲方有权向乙方追加赔偿。</w:t>
      </w:r>
      <w:r/>
    </w:p>
    <w:p>
      <w:pPr>
        <w:ind w:right="0" w:firstLine="468"/>
        <w:jc w:val="both"/>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yellow"/>
          <w:lang w:val="en-US" w:eastAsia="zh-CN" w:bidi="ar-SA"/>
        </w:rPr>
      </w:pPr>
      <w:r>
        <w:rPr>
          <w:rFonts w:hint="eastAsia" w:ascii="宋体" w:hAnsi="宋体" w:eastAsia="宋体" w:cs="宋体"/>
          <w:bCs/>
          <w:color w:val="auto"/>
          <w:sz w:val="24"/>
          <w:szCs w:val="24"/>
          <w:highlight w:val="none"/>
          <w:lang w:val="en-US" w:eastAsia="zh-CN" w:bidi="ar-SA"/>
        </w:rPr>
        <w:t xml:space="preserve">7.乙方提供的服务如存在虚假行为、违反相关法律法规规定、造成社会不良影响、影响甲方声誉，造成甲方严重损失等情况，甲方有权解除合同，要求乙方退还已收取的费用，并扣除全部履约保证金，若</w:t>
      </w:r>
      <w:r>
        <w:rPr>
          <w:rFonts w:hint="eastAsia" w:ascii="宋体" w:hAnsi="宋体" w:eastAsia="宋体" w:cs="宋体"/>
          <w:color w:val="auto"/>
          <w:sz w:val="24"/>
          <w:szCs w:val="24"/>
          <w:highlight w:val="none"/>
        </w:rPr>
        <w:t xml:space="preserve">履约保证金不足以弥补损失的，甲方有权向乙方追加赔偿。</w:t>
      </w:r>
      <w:r/>
    </w:p>
    <w:p>
      <w:pPr>
        <w:ind w:right="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eastAsia="zh-CN"/>
        </w:rPr>
        <w:t xml:space="preserve">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不可抗力</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在合同有效期间发生不可抗力，导致合同不能或不能全部履行，双方互不承担因不可抗力造成合同不能正常履行的责任，但不影响任何一方对在不可抗力事件发生前已经存在的违约行为合法追偿。</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遇国家政策性调整，影响合同履行，双方协商解决。</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 合同终止</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如果一方严重违反合同，并在收到对方违约通知书后在30天内仍未能改正违约的，另一方可立即终止本合同。</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 争议的解决</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因执行本合同所发生的或者与本合同有关的一切争议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由合同双方友好协商解决。不能协商解决的，可向甲方所在地人民法院进行起诉。由此产生的律师费、诉讼费、保全费、差旅费、鉴定费以及其他必要费用由责任方承担。</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适用法律</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本合同的执行和争议的解决应适用中华人民共和国的法律并按中华人民共和国的法律进行解释。</w:t>
      </w:r>
      <w:r/>
    </w:p>
    <w:p>
      <w:pPr>
        <w:ind w:righ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条 本合同组成部分及解释顺序</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中标通知书</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投标文件及附件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招标文件、书面答疑及其它补充、更正文件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标准、规范、图纸及有关技术文件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其他</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双方有关的洽商、变更等书面协议或文件均为合同的组成部分。</w:t>
      </w:r>
      <w:r/>
    </w:p>
    <w:p>
      <w:pPr>
        <w:ind w:right="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条 合同生效</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本合同自买卖双方签字盖章后生效。</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本合同一式</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份，甲方二份，乙方一份，招标代理机构一份，具有同等法律效应。</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合同执行期内，买卖双方均不得随意变更或解除合同。合同如有未尽事宜，须经双方共同协商，做出补充规定，补充规定与本合同具有同等效力，也可按照《中华人民共和国民法典》的规定执行</w:t>
      </w:r>
      <w:r>
        <w:rPr>
          <w:rFonts w:hint="eastAsia" w:ascii="宋体" w:hAnsi="宋体" w:eastAsia="宋体" w:cs="宋体"/>
          <w:sz w:val="24"/>
          <w:szCs w:val="24"/>
          <w:highlight w:val="none"/>
          <w:lang w:eastAsia="zh-CN"/>
        </w:rPr>
        <w:t xml:space="preserve">。</w:t>
      </w:r>
      <w:r/>
    </w:p>
    <w:p>
      <w:pPr>
        <w:ind w:right="0" w:firstLine="7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甲方（公章）：                     乙方（公章）：</w:t>
      </w:r>
      <w:r/>
    </w:p>
    <w:p>
      <w:pPr>
        <w:ind w:right="0" w:firstLine="7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w:t>
      </w:r>
      <w:r/>
    </w:p>
    <w:p>
      <w:pPr>
        <w:ind w:right="0" w:firstLine="7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w:t>
      </w:r>
      <w:r/>
    </w:p>
    <w:p>
      <w:pPr>
        <w:ind w:right="0" w:firstLine="7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委托代理人：</w:t>
      </w:r>
      <w:r/>
    </w:p>
    <w:p>
      <w:pPr>
        <w:ind w:right="0" w:firstLine="7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p>
    <w:p>
      <w:pPr>
        <w:jc w:val="center"/>
        <w:spacing w:line="360" w:lineRule="auto"/>
        <w:rPr>
          <w:rFonts w:hint="eastAsia" w:ascii="Times New Roman" w:hAnsi="Times New Roman" w:eastAsia="宋体" w:cs="Times New Roman"/>
          <w:b/>
          <w:sz w:val="36"/>
          <w:szCs w:val="36"/>
          <w:highlight w:val="none"/>
        </w:rPr>
        <w:sectPr>
          <w:headerReference w:type="default" r:id="rId13"/>
          <w:footerReference w:type="default" r:id="rId23"/>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sz w:val="24"/>
          <w:szCs w:val="24"/>
          <w:highlight w:val="none"/>
        </w:rPr>
        <w:t xml:space="preserve">年    月   日                      年    月    日</w:t>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16"/>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33"/>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53"/>
        <w:ind w:firstLine="480"/>
        <w:spacing w:line="460" w:lineRule="exact"/>
        <w:rPr>
          <w:highlight w:val="none"/>
        </w:rPr>
      </w:pPr>
      <w:r>
        <w:rPr>
          <w:highlight w:val="none"/>
        </w:rPr>
      </w:r>
      <w:r/>
    </w:p>
    <w:p>
      <w:pPr>
        <w:pStyle w:val="1153"/>
        <w:ind w:firstLine="480"/>
        <w:spacing w:line="460" w:lineRule="exact"/>
        <w:rPr>
          <w:highlight w:val="none"/>
        </w:rPr>
      </w:pPr>
      <w:r>
        <w:rPr>
          <w:rFonts w:hint="eastAsia"/>
          <w:highlight w:val="none"/>
        </w:rPr>
        <w:t xml:space="preserve">致：江苏溧投招标服务有限公司</w:t>
      </w:r>
      <w:r/>
    </w:p>
    <w:p>
      <w:pPr>
        <w:pStyle w:val="1153"/>
        <w:ind w:firstLine="960"/>
        <w:spacing w:line="460" w:lineRule="exact"/>
        <w:rPr>
          <w:highlight w:val="none"/>
          <w:u w:val="single"/>
        </w:rPr>
      </w:pPr>
      <w:r>
        <w:rPr>
          <w:rFonts w:hint="eastAsia"/>
          <w:highlight w:val="none"/>
          <w:u w:val="single"/>
        </w:rPr>
        <w:t xml:space="preserve">（采购人名称）</w:t>
      </w:r>
      <w:r/>
    </w:p>
    <w:p>
      <w:pPr>
        <w:pStyle w:val="1153"/>
        <w:ind w:firstLine="480"/>
        <w:spacing w:line="460" w:lineRule="exact"/>
        <w:rPr>
          <w:highlight w:val="none"/>
        </w:rPr>
      </w:pPr>
      <w:r>
        <w:rPr>
          <w:highlight w:val="none"/>
        </w:rPr>
      </w:r>
      <w:r/>
    </w:p>
    <w:p>
      <w:pPr>
        <w:pStyle w:val="115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5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5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53"/>
        <w:ind w:firstLine="480"/>
        <w:spacing w:line="460" w:lineRule="exact"/>
        <w:rPr>
          <w:highlight w:val="none"/>
        </w:rPr>
      </w:pPr>
      <w:r>
        <w:rPr>
          <w:rFonts w:hint="eastAsia"/>
          <w:highlight w:val="none"/>
        </w:rPr>
        <w:t xml:space="preserve">三、我单位依法进行纳税和社会保险申报并实际履行了义务。</w:t>
      </w:r>
      <w:r/>
    </w:p>
    <w:p>
      <w:pPr>
        <w:pStyle w:val="115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53"/>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5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5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3"/>
        <w:ind w:firstLine="480"/>
        <w:spacing w:line="460" w:lineRule="exact"/>
        <w:rPr>
          <w:highlight w:val="none"/>
        </w:rPr>
      </w:pPr>
      <w:r>
        <w:rPr>
          <w:rFonts w:hint="eastAsia"/>
          <w:highlight w:val="none"/>
        </w:rPr>
        <w:t xml:space="preserve">六、我单位具备法律、行政法规规定的其他条件。</w:t>
      </w:r>
      <w:r/>
    </w:p>
    <w:p>
      <w:pPr>
        <w:pStyle w:val="115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5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5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5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5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53"/>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5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5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5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53"/>
        <w:ind w:firstLine="480"/>
        <w:spacing w:line="460" w:lineRule="exact"/>
        <w:rPr>
          <w:highlight w:val="none"/>
        </w:rPr>
      </w:pPr>
      <w:r>
        <w:rPr>
          <w:highlight w:val="none"/>
        </w:rPr>
      </w:r>
      <w:r/>
    </w:p>
    <w:p>
      <w:pPr>
        <w:pStyle w:val="115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53"/>
        <w:ind w:firstLine="480"/>
        <w:spacing w:line="460" w:lineRule="exact"/>
        <w:rPr>
          <w:highlight w:val="none"/>
        </w:rPr>
      </w:pPr>
      <w:r>
        <w:rPr>
          <w:highlight w:val="none"/>
        </w:rPr>
      </w:r>
      <w:r/>
    </w:p>
    <w:p>
      <w:pPr>
        <w:pStyle w:val="1153"/>
        <w:ind w:firstLine="480"/>
        <w:spacing w:line="460" w:lineRule="exact"/>
        <w:rPr>
          <w:highlight w:val="none"/>
        </w:rPr>
      </w:pPr>
      <w:r>
        <w:rPr>
          <w:highlight w:val="none"/>
        </w:rPr>
      </w:r>
      <w:r/>
    </w:p>
    <w:p>
      <w:pPr>
        <w:pStyle w:val="1153"/>
        <w:ind w:firstLine="480"/>
        <w:spacing w:line="460" w:lineRule="exact"/>
        <w:rPr>
          <w:highlight w:val="none"/>
        </w:rPr>
      </w:pPr>
      <w:r>
        <w:rPr>
          <w:rFonts w:hint="eastAsia"/>
          <w:highlight w:val="none"/>
        </w:rPr>
        <w:t xml:space="preserve">                                            投标人：（加盖公章）</w:t>
      </w:r>
      <w:r/>
    </w:p>
    <w:p>
      <w:pPr>
        <w:pStyle w:val="1153"/>
        <w:ind w:firstLine="480"/>
        <w:spacing w:line="460" w:lineRule="exact"/>
        <w:rPr>
          <w:highlight w:val="none"/>
        </w:rPr>
      </w:pPr>
      <w:r>
        <w:rPr>
          <w:rFonts w:hint="eastAsia"/>
          <w:highlight w:val="none"/>
        </w:rPr>
        <w:t xml:space="preserve">                                           法定代表人（或单位负责人）签字或盖章：</w:t>
      </w:r>
      <w:r/>
    </w:p>
    <w:p>
      <w:pPr>
        <w:pStyle w:val="1153"/>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393"/>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93"/>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color w:val="000000"/>
          <w:sz w:val="24"/>
          <w:szCs w:val="21"/>
          <w:highlight w:val="none"/>
        </w:rPr>
      </w:pPr>
      <w:r>
        <w:rPr>
          <w:color w:val="000000"/>
          <w:sz w:val="24"/>
          <w:szCs w:val="21"/>
          <w:highlight w:val="none"/>
        </w:rPr>
      </w:r>
      <w:r/>
    </w:p>
    <w:tbl>
      <w:tblPr>
        <w:tblStyle w:val="95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226965746"/>
      <w:r/>
      <w:bookmarkStart w:id="818" w:name="_Toc480942349"/>
      <w:r/>
      <w:bookmarkStart w:id="819" w:name="_Toc127151556"/>
      <w:r/>
      <w:bookmarkStart w:id="820" w:name="_Toc226337252"/>
      <w:r/>
      <w:bookmarkStart w:id="821" w:name="_Toc520356217"/>
      <w:r/>
      <w:bookmarkStart w:id="822" w:name="_Ref467988698"/>
      <w:r/>
      <w:bookmarkStart w:id="823" w:name="_Toc150774761"/>
      <w:r/>
      <w:bookmarkStart w:id="824" w:name="_Toc150480794"/>
      <w:r/>
      <w:bookmarkStart w:id="825" w:name="_Toc142311058"/>
      <w:r/>
      <w:bookmarkStart w:id="826" w:name="_Toc226309800"/>
      <w:r/>
      <w:bookmarkStart w:id="827" w:name="_Toc226965829"/>
      <w:r/>
      <w:bookmarkStart w:id="828" w:name="_Toc195842921"/>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6243"/>
      <w:r/>
      <w:bookmarkEnd w:id="829"/>
      <w:r/>
      <w:bookmarkStart w:id="830" w:name="_Hlt520355938"/>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6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5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82"/>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274393"/>
      <w:r/>
      <w:bookmarkEnd w:id="831"/>
      <w:r/>
      <w:bookmarkStart w:id="832" w:name="_Hlt520343000"/>
      <w:r/>
      <w:bookmarkEnd w:id="832"/>
      <w:r/>
      <w:bookmarkStart w:id="833" w:name="_Hlt520273711"/>
      <w:r/>
      <w:bookmarkEnd w:id="833"/>
      <w:r/>
      <w:bookmarkStart w:id="834" w:name="_Hlt520355504"/>
      <w:r/>
      <w:bookmarkEnd w:id="834"/>
      <w:r/>
      <w:bookmarkStart w:id="835" w:name="_Hlt520274065"/>
      <w:r/>
      <w:bookmarkEnd w:id="835"/>
      <w:r/>
      <w:bookmarkStart w:id="836" w:name="_Hlt520343392"/>
      <w:r/>
      <w:bookmarkEnd w:id="836"/>
      <w:r/>
      <w:bookmarkStart w:id="837" w:name="_Hlt520350918"/>
      <w:r/>
      <w:bookmarkEnd w:id="837"/>
      <w:r/>
      <w:bookmarkStart w:id="838" w:name="_Hlt520274407"/>
      <w:r/>
      <w:bookmarkEnd w:id="838"/>
      <w:r/>
      <w:bookmarkStart w:id="839" w:name="_Hlt520274121"/>
      <w:r/>
      <w:bookmarkEnd w:id="839"/>
      <w:r/>
      <w:bookmarkStart w:id="840" w:name="_Hlt520271212"/>
      <w:r/>
      <w:bookmarkEnd w:id="840"/>
      <w:r/>
      <w:bookmarkStart w:id="841" w:name="_Toc142311059"/>
      <w:r/>
      <w:bookmarkStart w:id="842" w:name="_Toc305158899"/>
      <w:r/>
      <w:bookmarkStart w:id="843" w:name="_Toc264969247"/>
      <w:r/>
      <w:bookmarkStart w:id="844" w:name="_Ref467988705"/>
      <w:r/>
      <w:bookmarkStart w:id="845" w:name="_Toc226337253"/>
      <w:r/>
      <w:bookmarkStart w:id="846" w:name="_Toc150774762"/>
      <w:r/>
      <w:bookmarkStart w:id="847" w:name="_Toc226965747"/>
      <w:r/>
      <w:bookmarkStart w:id="848" w:name="_Toc480942350"/>
      <w:r/>
      <w:bookmarkStart w:id="849" w:name="_Toc127151557"/>
      <w:r/>
      <w:bookmarkStart w:id="850" w:name="_Toc226309801"/>
      <w:r/>
      <w:bookmarkStart w:id="851" w:name="_Toc195842922"/>
      <w:r/>
      <w:bookmarkStart w:id="852" w:name="_Toc226965830"/>
      <w:r/>
      <w:bookmarkStart w:id="853" w:name="_Toc305158825"/>
      <w:r/>
      <w:bookmarkStart w:id="854" w:name="_Toc150480795"/>
      <w:r/>
      <w:bookmarkStart w:id="855" w:name="_Toc520356218"/>
      <w:r/>
      <w:bookmarkStart w:id="856" w:name="_Toc265228395"/>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226337254"/>
      <w:r/>
      <w:bookmarkStart w:id="858" w:name="_Toc305158826"/>
      <w:r/>
      <w:bookmarkStart w:id="859" w:name="_Toc195842923"/>
      <w:r/>
      <w:bookmarkStart w:id="860" w:name="_Toc264969248"/>
      <w:r/>
      <w:bookmarkStart w:id="861" w:name="_Toc226965831"/>
      <w:r/>
      <w:bookmarkStart w:id="862" w:name="_Toc164608672"/>
      <w:r/>
      <w:bookmarkStart w:id="863" w:name="_Toc164608827"/>
      <w:r/>
      <w:bookmarkStart w:id="864" w:name="_Toc226965748"/>
      <w:r/>
      <w:bookmarkStart w:id="865" w:name="_Toc305158900"/>
      <w:r/>
      <w:bookmarkStart w:id="866" w:name="_Toc265228396"/>
      <w:r/>
      <w:bookmarkStart w:id="867" w:name="_Toc226309802"/>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53"/>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68" w:name="_Toc226965832"/>
      <w:r/>
      <w:bookmarkStart w:id="869" w:name="_Toc305158901"/>
      <w:r/>
      <w:bookmarkStart w:id="870" w:name="_Toc195842924"/>
      <w:r/>
      <w:bookmarkStart w:id="871" w:name="_Toc265228397"/>
      <w:r/>
      <w:bookmarkStart w:id="872" w:name="_Toc142311060"/>
      <w:r/>
      <w:bookmarkStart w:id="873" w:name="_Toc150774763"/>
      <w:r/>
      <w:bookmarkStart w:id="874" w:name="_Toc305158827"/>
      <w:r/>
      <w:bookmarkStart w:id="875" w:name="_Toc226337255"/>
      <w:r/>
      <w:bookmarkStart w:id="876" w:name="_Toc226965749"/>
      <w:r/>
      <w:bookmarkStart w:id="877" w:name="_Toc226309803"/>
      <w:r/>
      <w:bookmarkStart w:id="878" w:name="_Toc264969249"/>
      <w:r/>
      <w:bookmarkStart w:id="879" w:name="_Toc150480796"/>
      <w:r/>
      <w:bookmarkStart w:id="880" w:name="_Toc127151558"/>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42311062"/>
      <w:r/>
      <w:bookmarkStart w:id="882" w:name="_Toc265228400"/>
      <w:r/>
      <w:bookmarkStart w:id="883" w:name="_Toc195842927"/>
      <w:r/>
      <w:bookmarkStart w:id="884" w:name="_Toc127151562"/>
      <w:r/>
      <w:bookmarkStart w:id="885" w:name="_Toc305158904"/>
      <w:r/>
      <w:bookmarkStart w:id="886" w:name="_Toc150480798"/>
      <w:r/>
      <w:bookmarkStart w:id="887" w:name="_Toc264969252"/>
      <w:r/>
      <w:bookmarkStart w:id="888" w:name="_Toc305158830"/>
      <w:r/>
      <w:bookmarkStart w:id="889" w:name="_Toc226965752"/>
      <w:r/>
      <w:bookmarkStart w:id="890" w:name="_Toc226337258"/>
      <w:r/>
      <w:bookmarkStart w:id="891" w:name="_Toc226965835"/>
      <w:r/>
      <w:bookmarkStart w:id="892" w:name="_Toc226309806"/>
      <w:r/>
      <w:bookmarkStart w:id="893" w:name="_Toc150774765"/>
      <w:r/>
      <w:bookmarkStart w:id="894" w:name="_Toc150480797"/>
      <w:r/>
      <w:bookmarkStart w:id="895" w:name="_Toc150774764"/>
      <w:r/>
      <w:bookmarkStart w:id="896" w:name="_Toc195842926"/>
      <w:r/>
      <w:bookmarkStart w:id="897" w:name="_Toc226965834"/>
      <w:r/>
      <w:bookmarkStart w:id="898" w:name="_Toc265228399"/>
      <w:r/>
      <w:bookmarkStart w:id="899" w:name="_Toc305158829"/>
      <w:r/>
      <w:bookmarkStart w:id="900" w:name="_Toc226337257"/>
      <w:r/>
      <w:bookmarkStart w:id="901" w:name="_Toc226965751"/>
      <w:r/>
      <w:bookmarkStart w:id="902" w:name="_Toc226309805"/>
      <w:r/>
      <w:bookmarkStart w:id="903" w:name="_Toc127151561"/>
      <w:r/>
      <w:bookmarkStart w:id="904" w:name="_Toc305158903"/>
      <w:r/>
      <w:bookmarkStart w:id="905" w:name="_Toc264969251"/>
      <w:r/>
      <w:bookmarkStart w:id="906" w:name="_Toc14231106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tabs>
          <w:tab w:val="left" w:pos="1800" w:leader="none"/>
          <w:tab w:val="left" w:pos="5580" w:leader="none"/>
        </w:tabs>
        <w:rPr>
          <w:rFonts w:hint="eastAsia" w:cs="Times New Roman"/>
          <w:b/>
          <w:i/>
          <w:color w:val="ff0000"/>
          <w:sz w:val="24"/>
          <w:highlight w:val="none"/>
          <w:lang w:eastAsia="zh-CN"/>
        </w:rPr>
      </w:pPr>
      <w:r>
        <w:rPr>
          <w:rFonts w:hint="eastAsia" w:cs="Times New Roman"/>
          <w:b/>
          <w:i/>
          <w:color w:val="ff0000"/>
          <w:sz w:val="24"/>
          <w:highlight w:val="none"/>
          <w:lang w:eastAsia="zh-CN"/>
        </w:rPr>
      </w:r>
      <w:r/>
    </w:p>
    <w:p>
      <w:pPr>
        <w:tabs>
          <w:tab w:val="left" w:pos="1800" w:leader="none"/>
          <w:tab w:val="left" w:pos="5580" w:leader="none"/>
        </w:tabs>
        <w:rPr>
          <w:rFonts w:hint="eastAsia" w:cs="Times New Roman"/>
          <w:b/>
          <w:i/>
          <w:color w:val="ff0000"/>
          <w:sz w:val="24"/>
          <w:highlight w:val="yellow"/>
          <w:lang w:eastAsia="zh-CN"/>
        </w:rPr>
      </w:pPr>
      <w:r>
        <w:rPr>
          <w:rFonts w:hint="eastAsia" w:cs="Times New Roman"/>
          <w:b/>
          <w:i/>
          <w:color w:val="ff0000"/>
          <w:sz w:val="24"/>
          <w:highlight w:val="yellow"/>
          <w:lang w:eastAsia="zh-CN"/>
        </w:rPr>
        <w:t xml:space="preserve">（</w:t>
      </w:r>
      <w:r>
        <w:rPr>
          <w:rFonts w:ascii="Times New Roman" w:hAnsi="Times New Roman" w:eastAsia="宋体" w:cs="Times New Roman"/>
          <w:b/>
          <w:i/>
          <w:color w:val="ff0000"/>
          <w:sz w:val="24"/>
          <w:highlight w:val="yellow"/>
        </w:rPr>
        <w:t xml:space="preserve">适用于服务类项目</w:t>
      </w:r>
      <w:r>
        <w:rPr>
          <w:rFonts w:hint="eastAsia" w:ascii="Times New Roman" w:hAnsi="Times New Roman" w:eastAsia="宋体" w:cs="Times New Roman"/>
          <w:b/>
          <w:i/>
          <w:color w:val="ff0000"/>
          <w:sz w:val="24"/>
          <w:highlight w:val="yellow"/>
        </w:rPr>
        <w:t xml:space="preserve">，可以根据项目实际情况调整</w:t>
      </w:r>
      <w:r>
        <w:rPr>
          <w:rFonts w:hint="eastAsia" w:cs="Times New Roman"/>
          <w:b/>
          <w:i/>
          <w:color w:val="ff0000"/>
          <w:sz w:val="24"/>
          <w:highlight w:val="yellow"/>
          <w:lang w:eastAsia="zh-CN"/>
        </w:rPr>
        <w:t xml:space="preserve">）</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53"/>
        <w:tblW w:w="87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2100"/>
        <w:gridCol w:w="1997"/>
        <w:gridCol w:w="1042"/>
        <w:gridCol w:w="992"/>
        <w:gridCol w:w="919"/>
        <w:gridCol w:w="1072"/>
      </w:tblGrid>
      <w:tr>
        <w:trPr>
          <w:cantSplit/>
          <w:jc w:val="center"/>
          <w:trHeight w:val="285"/>
        </w:trPr>
        <w:tc>
          <w:tcPr>
            <w:tcW w:w="656"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210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1997"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56"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10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997"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1</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default" w:ascii="宋体" w:hAnsi="宋体" w:eastAsia="宋体" w:cs="Arial"/>
                <w:sz w:val="24"/>
                <w:highlight w:val="none"/>
                <w:lang w:val="en-US" w:eastAsia="zh-CN"/>
              </w:rPr>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2</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default" w:ascii="宋体" w:hAnsi="宋体" w:eastAsia="宋体" w:cs="Arial"/>
                <w:sz w:val="24"/>
                <w:highlight w:val="none"/>
                <w:lang w:val="en-US" w:eastAsia="zh-CN"/>
              </w:rPr>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3</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default" w:ascii="宋体" w:hAnsi="宋体" w:eastAsia="宋体" w:cs="Arial"/>
                <w:sz w:val="24"/>
                <w:highlight w:val="none"/>
                <w:lang w:val="en-US" w:eastAsia="zh-CN"/>
              </w:rPr>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4</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default" w:ascii="宋体" w:hAnsi="宋体" w:eastAsia="宋体" w:cs="Arial"/>
                <w:sz w:val="24"/>
                <w:highlight w:val="none"/>
                <w:lang w:val="en-US" w:eastAsia="zh-CN"/>
              </w:rPr>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5</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default" w:ascii="宋体" w:hAnsi="宋体" w:eastAsia="宋体" w:cs="Arial"/>
                <w:sz w:val="24"/>
                <w:highlight w:val="none"/>
                <w:lang w:val="en-US" w:eastAsia="zh-CN"/>
              </w:rPr>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6</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default" w:ascii="宋体" w:hAnsi="宋体" w:eastAsia="宋体" w:cs="Arial"/>
                <w:sz w:val="24"/>
                <w:highlight w:val="none"/>
                <w:lang w:val="en-US" w:eastAsia="zh-CN"/>
              </w:rPr>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shd w:val="clear" w:color="auto" w:fill="auto"/>
            <w:tcW w:w="656" w:type="dxa"/>
            <w:vAlign w:val="center"/>
            <w:textDirection w:val="lrTb"/>
            <w:noWrap w:val="false"/>
          </w:tcPr>
          <w:p>
            <w:pPr>
              <w:jc w:val="center"/>
              <w:spacing w:line="240" w:lineRule="auto"/>
              <w:widowControl/>
              <w:rPr>
                <w:rFonts w:hint="eastAsia" w:ascii="宋体" w:hAnsi="宋体" w:eastAsia="宋体" w:cs="Arial"/>
                <w:sz w:val="24"/>
                <w:szCs w:val="24"/>
                <w:highlight w:val="none"/>
                <w:lang w:val="en-US" w:eastAsia="zh-CN" w:bidi="ar-SA"/>
              </w:rPr>
            </w:pPr>
            <w:r>
              <w:rPr>
                <w:rFonts w:hint="eastAsia" w:ascii="宋体" w:hAnsi="宋体" w:eastAsia="宋体" w:cs="Arial"/>
                <w:sz w:val="24"/>
                <w:highlight w:val="none"/>
              </w:rPr>
              <w:t xml:space="preserve">……</w:t>
            </w:r>
            <w:r/>
          </w:p>
        </w:tc>
        <w:tc>
          <w:tcPr>
            <w:shd w:val="clear" w:color="auto" w:fill="auto"/>
            <w:tcW w:w="2100" w:type="dxa"/>
            <w:vAlign w:val="center"/>
            <w:textDirection w:val="lrTb"/>
            <w:noWrap w:val="false"/>
          </w:tcPr>
          <w:p>
            <w:pPr>
              <w:jc w:val="center"/>
              <w:spacing w:line="360" w:lineRule="auto"/>
              <w:widowControl/>
              <w:rPr>
                <w:rFonts w:hint="eastAsia" w:ascii="宋体" w:hAnsi="宋体" w:eastAsia="宋体" w:cs="Arial"/>
                <w:b/>
                <w:bCs/>
                <w:sz w:val="24"/>
                <w:szCs w:val="24"/>
                <w:highlight w:val="none"/>
                <w:lang w:val="en-US" w:eastAsia="zh-CN" w:bidi="ar-SA"/>
              </w:rPr>
            </w:pPr>
            <w:r>
              <w:rPr>
                <w:rFonts w:hint="eastAsia" w:ascii="宋体" w:hAnsi="宋体" w:eastAsia="宋体" w:cs="Arial"/>
                <w:b/>
                <w:bCs/>
                <w:sz w:val="24"/>
                <w:szCs w:val="24"/>
                <w:highlight w:val="none"/>
                <w:lang w:val="en-US" w:eastAsia="zh-CN" w:bidi="ar-SA"/>
              </w:rPr>
            </w:r>
            <w:r/>
          </w:p>
        </w:tc>
        <w:tc>
          <w:tcPr>
            <w:shd w:val="clear" w:color="auto" w:fill="auto"/>
            <w:tcW w:w="1997"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1042"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992"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919"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1072"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r>
      <w:tr>
        <w:trPr>
          <w:jc w:val="center"/>
          <w:trHeight w:val="480"/>
        </w:trPr>
        <w:tc>
          <w:tcPr>
            <w:gridSpan w:val="3"/>
            <w:tcW w:w="4753"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ind w:firstLine="0"/>
        <w:jc w:val="left"/>
        <w:keepLines w:val="0"/>
        <w:keepNext w:val="0"/>
        <w:pageBreakBefore w:val="0"/>
        <w:spacing w:line="240" w:lineRule="auto"/>
        <w:widowControl w:val="off"/>
        <w:rPr>
          <w:rFonts w:hint="default" w:ascii="宋体" w:hAnsi="宋体" w:eastAsia="宋体" w:cs="Times New Roman"/>
          <w:b w:val="0"/>
          <w:bCs w:val="0"/>
          <w:color w:val="c00000"/>
          <w:sz w:val="24"/>
          <w:szCs w:val="22"/>
          <w:highlight w:val="none"/>
          <w:lang w:val="en-US" w:eastAsia="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5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5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839"/>
      <w:r/>
      <w:bookmarkStart w:id="908"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5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33"/>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Segoe UI Emoji">
    <w:panose1 w:val="020B0502040204020203"/>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rPr>
        <w:rStyle w:val="1206"/>
      </w:rPr>
    </w:pPr>
    <w:r/>
    <w:r/>
  </w:p>
  <w:p>
    <w:pPr>
      <w:pStyle w:val="118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rPr>
        <w:rStyle w:val="120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80"/>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rPr>
        <w:rStyle w:val="1206"/>
      </w:rPr>
      <w:framePr w:wrap="around" w:vAnchor="text" w:hAnchor="margin" w:xAlign="right" w:y="1"/>
    </w:pPr>
    <w:r>
      <w:rPr>
        <w:rStyle w:val="1206"/>
      </w:rPr>
      <w:fldChar w:fldCharType="begin"/>
    </w:r>
    <w:r>
      <w:rPr>
        <w:rStyle w:val="1206"/>
      </w:rPr>
      <w:instrText xml:space="preserve">PAGE  </w:instrText>
    </w:r>
    <w:r>
      <w:rPr>
        <w:rStyle w:val="1206"/>
      </w:rPr>
      <w:fldChar w:fldCharType="end"/>
    </w:r>
    <w:r/>
  </w:p>
  <w:p>
    <w:pPr>
      <w:pStyle w:val="118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rPr>
        <w:rStyle w:val="1206"/>
      </w:rPr>
      <w:framePr w:wrap="around" w:vAnchor="text" w:hAnchor="margin" w:xAlign="right" w:y="1"/>
    </w:pPr>
    <w:r>
      <w:rPr>
        <w:rStyle w:val="1206"/>
      </w:rPr>
      <w:fldChar w:fldCharType="begin"/>
    </w:r>
    <w:r>
      <w:rPr>
        <w:rStyle w:val="1206"/>
      </w:rPr>
      <w:instrText xml:space="preserve">PAGE  </w:instrText>
    </w:r>
    <w:r>
      <w:rPr>
        <w:rStyle w:val="1206"/>
      </w:rPr>
      <w:fldChar w:fldCharType="end"/>
    </w:r>
    <w:r/>
  </w:p>
  <w:p>
    <w:pPr>
      <w:pStyle w:val="1180"/>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spacing w:line="44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4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3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2"/>
      <w:isLgl w:val="false"/>
      <w:suff w:val="nothing"/>
      <w:lvlText w:val="%1.%2.%3.%4.%5.%6　"/>
      <w:lvlJc w:val="left"/>
      <w:pPr>
        <w:ind w:left="-25" w:firstLine="0"/>
      </w:pPr>
      <w:rPr>
        <w:rFonts w:ascii="Times New Roman" w:hAnsi="Times New Roman" w:eastAsia="宋体"/>
        <w:b/>
        <w:i w:val="0"/>
        <w:sz w:val="28"/>
      </w:rPr>
    </w:lvl>
    <w:lvl w:ilvl="6">
      <w:start w:val="1"/>
      <w:numFmt w:val="lowerLetter"/>
      <w:pStyle w:val="12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31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43"/>
      <w:isLgl w:val="false"/>
      <w:suff w:val="tab"/>
      <w:lvlText w:val="%1"/>
      <w:lvlJc w:val="left"/>
      <w:pPr>
        <w:ind w:left="680" w:hanging="680"/>
      </w:pPr>
      <w:rPr>
        <w:rFonts w:hint="eastAsia" w:ascii="宋体" w:hAnsi="宋体" w:eastAsia="宋体"/>
      </w:rPr>
    </w:lvl>
    <w:lvl w:ilvl="1">
      <w:start w:val="1"/>
      <w:numFmt w:val="decimal"/>
      <w:pStyle w:val="1344"/>
      <w:isLgl w:val="false"/>
      <w:suff w:val="tab"/>
      <w:lvlText w:val="%1.%2"/>
      <w:lvlJc w:val="left"/>
      <w:pPr>
        <w:ind w:left="851" w:hanging="851"/>
      </w:pPr>
      <w:rPr>
        <w:rFonts w:hint="eastAsia" w:ascii="宋体" w:hAnsi="宋体" w:eastAsia="宋体"/>
        <w:color w:val="000000"/>
      </w:rPr>
    </w:lvl>
    <w:lvl w:ilvl="2">
      <w:start w:val="1"/>
      <w:numFmt w:val="decimal"/>
      <w:pStyle w:val="13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24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default="1">
    <w:name w:val="Normal"/>
    <w:link w:val="13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name w:val="Heading 1"/>
    <w:basedOn w:val="942"/>
    <w:next w:val="942"/>
    <w:link w:val="983"/>
    <w:uiPriority w:val="9"/>
    <w:qFormat/>
    <w:pPr>
      <w:keepLines/>
      <w:keepNext/>
      <w:spacing w:before="480" w:after="200"/>
      <w:outlineLvl w:val="0"/>
    </w:pPr>
    <w:rPr>
      <w:rFonts w:ascii="Arial" w:hAnsi="Arial" w:eastAsia="Arial" w:cs="Arial"/>
      <w:sz w:val="40"/>
      <w:szCs w:val="40"/>
    </w:rPr>
  </w:style>
  <w:style w:type="paragraph" w:styleId="944">
    <w:name w:val="Heading 2"/>
    <w:basedOn w:val="942"/>
    <w:next w:val="942"/>
    <w:link w:val="984"/>
    <w:uiPriority w:val="9"/>
    <w:unhideWhenUsed/>
    <w:qFormat/>
    <w:pPr>
      <w:keepLines/>
      <w:keepNext/>
      <w:spacing w:before="360" w:after="200"/>
      <w:outlineLvl w:val="1"/>
    </w:pPr>
    <w:rPr>
      <w:rFonts w:ascii="Arial" w:hAnsi="Arial" w:eastAsia="Arial" w:cs="Arial"/>
      <w:sz w:val="34"/>
    </w:rPr>
  </w:style>
  <w:style w:type="paragraph" w:styleId="945">
    <w:name w:val="Heading 3"/>
    <w:basedOn w:val="942"/>
    <w:next w:val="942"/>
    <w:link w:val="985"/>
    <w:uiPriority w:val="9"/>
    <w:unhideWhenUsed/>
    <w:qFormat/>
    <w:pPr>
      <w:keepLines/>
      <w:keepNext/>
      <w:spacing w:before="320" w:after="200"/>
      <w:outlineLvl w:val="2"/>
    </w:pPr>
    <w:rPr>
      <w:rFonts w:ascii="Arial" w:hAnsi="Arial" w:eastAsia="Arial" w:cs="Arial"/>
      <w:sz w:val="30"/>
      <w:szCs w:val="30"/>
    </w:rPr>
  </w:style>
  <w:style w:type="paragraph" w:styleId="946">
    <w:name w:val="Heading 4"/>
    <w:basedOn w:val="942"/>
    <w:next w:val="942"/>
    <w:link w:val="986"/>
    <w:uiPriority w:val="9"/>
    <w:unhideWhenUsed/>
    <w:qFormat/>
    <w:pPr>
      <w:keepLines/>
      <w:keepNext/>
      <w:spacing w:before="320" w:after="200"/>
      <w:outlineLvl w:val="3"/>
    </w:pPr>
    <w:rPr>
      <w:rFonts w:ascii="Arial" w:hAnsi="Arial" w:eastAsia="Arial" w:cs="Arial"/>
      <w:b/>
      <w:bCs/>
      <w:sz w:val="26"/>
      <w:szCs w:val="26"/>
    </w:rPr>
  </w:style>
  <w:style w:type="paragraph" w:styleId="947">
    <w:name w:val="Heading 5"/>
    <w:basedOn w:val="942"/>
    <w:next w:val="942"/>
    <w:link w:val="987"/>
    <w:uiPriority w:val="9"/>
    <w:unhideWhenUsed/>
    <w:qFormat/>
    <w:pPr>
      <w:keepLines/>
      <w:keepNext/>
      <w:spacing w:before="320" w:after="200"/>
      <w:outlineLvl w:val="4"/>
    </w:pPr>
    <w:rPr>
      <w:rFonts w:ascii="Arial" w:hAnsi="Arial" w:eastAsia="Arial" w:cs="Arial"/>
      <w:b/>
      <w:bCs/>
      <w:sz w:val="24"/>
      <w:szCs w:val="24"/>
    </w:rPr>
  </w:style>
  <w:style w:type="paragraph" w:styleId="948">
    <w:name w:val="Heading 6"/>
    <w:basedOn w:val="942"/>
    <w:next w:val="942"/>
    <w:link w:val="988"/>
    <w:uiPriority w:val="9"/>
    <w:unhideWhenUsed/>
    <w:qFormat/>
    <w:pPr>
      <w:keepLines/>
      <w:keepNext/>
      <w:spacing w:before="320" w:after="200"/>
      <w:outlineLvl w:val="5"/>
    </w:pPr>
    <w:rPr>
      <w:rFonts w:ascii="Arial" w:hAnsi="Arial" w:eastAsia="Arial" w:cs="Arial"/>
      <w:b/>
      <w:bCs/>
      <w:sz w:val="22"/>
      <w:szCs w:val="22"/>
    </w:rPr>
  </w:style>
  <w:style w:type="paragraph" w:styleId="949">
    <w:name w:val="Heading 7"/>
    <w:basedOn w:val="942"/>
    <w:next w:val="942"/>
    <w:link w:val="989"/>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Heading 8"/>
    <w:basedOn w:val="942"/>
    <w:next w:val="942"/>
    <w:link w:val="990"/>
    <w:uiPriority w:val="9"/>
    <w:unhideWhenUsed/>
    <w:qFormat/>
    <w:pPr>
      <w:keepLines/>
      <w:keepNext/>
      <w:spacing w:before="320" w:after="200"/>
      <w:outlineLvl w:val="7"/>
    </w:pPr>
    <w:rPr>
      <w:rFonts w:ascii="Arial" w:hAnsi="Arial" w:eastAsia="Arial" w:cs="Arial"/>
      <w:i/>
      <w:iCs/>
      <w:sz w:val="22"/>
      <w:szCs w:val="22"/>
    </w:rPr>
  </w:style>
  <w:style w:type="paragraph" w:styleId="951">
    <w:name w:val="Heading 9"/>
    <w:basedOn w:val="942"/>
    <w:next w:val="942"/>
    <w:link w:val="991"/>
    <w:uiPriority w:val="9"/>
    <w:unhideWhenUsed/>
    <w:qFormat/>
    <w:pPr>
      <w:keepLines/>
      <w:keepNext/>
      <w:spacing w:before="320" w:after="200"/>
      <w:outlineLvl w:val="8"/>
    </w:pPr>
    <w:rPr>
      <w:rFonts w:ascii="Arial" w:hAnsi="Arial" w:eastAsia="Arial" w:cs="Arial"/>
      <w:i/>
      <w:iCs/>
      <w:sz w:val="21"/>
      <w:szCs w:val="21"/>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toc 7"/>
    <w:basedOn w:val="942"/>
    <w:next w:val="942"/>
    <w:uiPriority w:val="39"/>
    <w:unhideWhenUsed/>
    <w:qFormat/>
    <w:pPr>
      <w:ind w:left="1701" w:right="0" w:firstLine="0"/>
      <w:spacing w:after="57"/>
    </w:pPr>
  </w:style>
  <w:style w:type="paragraph" w:styleId="955">
    <w:name w:val="Normal Indent"/>
    <w:basedOn w:val="942"/>
    <w:uiPriority w:val="0"/>
    <w:qFormat/>
    <w:pPr>
      <w:ind w:firstLine="420"/>
    </w:pPr>
    <w:rPr>
      <w:b/>
      <w:sz w:val="24"/>
    </w:rPr>
  </w:style>
  <w:style w:type="paragraph" w:styleId="956">
    <w:name w:val="Caption"/>
    <w:basedOn w:val="942"/>
    <w:next w:val="9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annotation text"/>
    <w:basedOn w:val="942"/>
    <w:uiPriority w:val="0"/>
    <w:qFormat/>
    <w:pPr>
      <w:jc w:val="left"/>
    </w:pPr>
  </w:style>
  <w:style w:type="paragraph" w:styleId="958">
    <w:name w:val="Body Text"/>
    <w:basedOn w:val="942"/>
    <w:next w:val="942"/>
    <w:uiPriority w:val="0"/>
    <w:qFormat/>
    <w:pPr>
      <w:spacing w:before="120" w:line="22" w:lineRule="atLeast"/>
      <w:tabs>
        <w:tab w:val="left" w:pos="567" w:leader="none"/>
      </w:tabs>
    </w:pPr>
    <w:rPr>
      <w:rFonts w:ascii="宋体" w:hAnsi="宋体"/>
      <w:sz w:val="24"/>
    </w:rPr>
  </w:style>
  <w:style w:type="paragraph" w:styleId="959">
    <w:name w:val="Body Text Indent"/>
    <w:basedOn w:val="942"/>
    <w:next w:val="942"/>
    <w:uiPriority w:val="0"/>
    <w:qFormat/>
    <w:pPr>
      <w:ind w:firstLine="196"/>
      <w:jc w:val="both"/>
      <w:spacing w:line="440" w:lineRule="exact"/>
    </w:pPr>
    <w:rPr>
      <w:rFonts w:cs="Century"/>
      <w:spacing w:val="2"/>
      <w:sz w:val="21"/>
      <w:szCs w:val="24"/>
      <w:lang w:val="en-US" w:bidi="ar-SA"/>
    </w:rPr>
  </w:style>
  <w:style w:type="paragraph" w:styleId="960">
    <w:name w:val="toc 5"/>
    <w:basedOn w:val="942"/>
    <w:next w:val="942"/>
    <w:uiPriority w:val="39"/>
    <w:unhideWhenUsed/>
    <w:qFormat/>
    <w:pPr>
      <w:ind w:left="1134" w:right="0" w:firstLine="0"/>
      <w:spacing w:after="57"/>
    </w:pPr>
  </w:style>
  <w:style w:type="paragraph" w:styleId="961">
    <w:name w:val="toc 3"/>
    <w:basedOn w:val="942"/>
    <w:next w:val="942"/>
    <w:uiPriority w:val="39"/>
    <w:unhideWhenUsed/>
    <w:qFormat/>
    <w:pPr>
      <w:ind w:left="567" w:right="0" w:firstLine="0"/>
      <w:spacing w:after="57"/>
    </w:pPr>
  </w:style>
  <w:style w:type="paragraph" w:styleId="962">
    <w:name w:val="Plain Text"/>
    <w:basedOn w:val="942"/>
    <w:next w:val="955"/>
    <w:uiPriority w:val="0"/>
    <w:qFormat/>
    <w:rPr>
      <w:rFonts w:hAnsi="Courier New"/>
      <w:szCs w:val="20"/>
    </w:rPr>
  </w:style>
  <w:style w:type="paragraph" w:styleId="963">
    <w:name w:val="toc 8"/>
    <w:basedOn w:val="942"/>
    <w:next w:val="942"/>
    <w:uiPriority w:val="39"/>
    <w:unhideWhenUsed/>
    <w:qFormat/>
    <w:pPr>
      <w:ind w:left="1984" w:right="0" w:firstLine="0"/>
      <w:spacing w:after="57"/>
    </w:pPr>
  </w:style>
  <w:style w:type="paragraph" w:styleId="964">
    <w:name w:val="endnote text"/>
    <w:basedOn w:val="942"/>
    <w:link w:val="1129"/>
    <w:uiPriority w:val="99"/>
    <w:semiHidden/>
    <w:unhideWhenUsed/>
    <w:qFormat/>
    <w:pPr>
      <w:spacing w:after="0" w:line="240" w:lineRule="auto"/>
    </w:pPr>
    <w:rPr>
      <w:sz w:val="20"/>
    </w:rPr>
  </w:style>
  <w:style w:type="paragraph" w:styleId="965">
    <w:name w:val="Balloon Text"/>
    <w:basedOn w:val="942"/>
    <w:uiPriority w:val="0"/>
    <w:semiHidden/>
    <w:qFormat/>
    <w:rPr>
      <w:sz w:val="18"/>
      <w:szCs w:val="18"/>
    </w:rPr>
  </w:style>
  <w:style w:type="paragraph" w:styleId="966">
    <w:name w:val="Footer"/>
    <w:basedOn w:val="942"/>
    <w:link w:val="1002"/>
    <w:uiPriority w:val="99"/>
    <w:unhideWhenUsed/>
    <w:qFormat/>
    <w:pPr>
      <w:spacing w:after="0" w:line="240" w:lineRule="auto"/>
      <w:tabs>
        <w:tab w:val="center" w:pos="7143" w:leader="none"/>
        <w:tab w:val="right" w:pos="14287" w:leader="none"/>
      </w:tabs>
    </w:pPr>
  </w:style>
  <w:style w:type="paragraph" w:styleId="967">
    <w:name w:val="Header"/>
    <w:basedOn w:val="942"/>
    <w:link w:val="1000"/>
    <w:uiPriority w:val="99"/>
    <w:unhideWhenUsed/>
    <w:qFormat/>
    <w:pPr>
      <w:spacing w:after="0" w:line="240" w:lineRule="auto"/>
      <w:tabs>
        <w:tab w:val="center" w:pos="7143" w:leader="none"/>
        <w:tab w:val="right" w:pos="14287" w:leader="none"/>
      </w:tabs>
    </w:pPr>
  </w:style>
  <w:style w:type="paragraph" w:styleId="968">
    <w:name w:val="toc 1"/>
    <w:basedOn w:val="942"/>
    <w:next w:val="942"/>
    <w:uiPriority w:val="39"/>
    <w:unhideWhenUsed/>
    <w:qFormat/>
    <w:pPr>
      <w:ind w:left="0" w:right="0" w:firstLine="0"/>
      <w:spacing w:after="57"/>
    </w:pPr>
  </w:style>
  <w:style w:type="paragraph" w:styleId="969">
    <w:name w:val="toc 4"/>
    <w:basedOn w:val="942"/>
    <w:next w:val="942"/>
    <w:uiPriority w:val="39"/>
    <w:unhideWhenUsed/>
    <w:qFormat/>
    <w:pPr>
      <w:ind w:left="850" w:right="0" w:firstLine="0"/>
      <w:spacing w:after="57"/>
    </w:pPr>
  </w:style>
  <w:style w:type="paragraph" w:styleId="970">
    <w:name w:val="Subtitle"/>
    <w:basedOn w:val="942"/>
    <w:next w:val="942"/>
    <w:link w:val="995"/>
    <w:uiPriority w:val="11"/>
    <w:qFormat/>
    <w:pPr>
      <w:spacing w:before="200" w:after="200"/>
    </w:pPr>
    <w:rPr>
      <w:sz w:val="24"/>
      <w:szCs w:val="24"/>
    </w:rPr>
  </w:style>
  <w:style w:type="paragraph" w:styleId="971">
    <w:name w:val="footnote text"/>
    <w:basedOn w:val="942"/>
    <w:link w:val="1128"/>
    <w:uiPriority w:val="99"/>
    <w:semiHidden/>
    <w:unhideWhenUsed/>
    <w:qFormat/>
    <w:pPr>
      <w:spacing w:after="40" w:line="240" w:lineRule="auto"/>
    </w:pPr>
    <w:rPr>
      <w:sz w:val="18"/>
    </w:rPr>
  </w:style>
  <w:style w:type="paragraph" w:styleId="972">
    <w:name w:val="toc 6"/>
    <w:basedOn w:val="942"/>
    <w:next w:val="942"/>
    <w:uiPriority w:val="39"/>
    <w:unhideWhenUsed/>
    <w:qFormat/>
    <w:pPr>
      <w:ind w:left="1417" w:right="0" w:firstLine="0"/>
      <w:spacing w:after="57"/>
    </w:pPr>
  </w:style>
  <w:style w:type="paragraph" w:styleId="973">
    <w:name w:val="table of figures"/>
    <w:basedOn w:val="942"/>
    <w:next w:val="942"/>
    <w:uiPriority w:val="99"/>
    <w:unhideWhenUsed/>
    <w:qFormat/>
    <w:pPr>
      <w:spacing w:after="0" w:afterAutospacing="0"/>
    </w:pPr>
  </w:style>
  <w:style w:type="paragraph" w:styleId="974">
    <w:name w:val="toc 2"/>
    <w:basedOn w:val="942"/>
    <w:next w:val="942"/>
    <w:uiPriority w:val="39"/>
    <w:unhideWhenUsed/>
    <w:qFormat/>
    <w:pPr>
      <w:ind w:left="283" w:right="0" w:firstLine="0"/>
      <w:spacing w:after="57"/>
    </w:pPr>
  </w:style>
  <w:style w:type="paragraph" w:styleId="975">
    <w:name w:val="toc 9"/>
    <w:basedOn w:val="942"/>
    <w:next w:val="942"/>
    <w:uiPriority w:val="39"/>
    <w:unhideWhenUsed/>
    <w:qFormat/>
    <w:pPr>
      <w:ind w:left="2268" w:right="0" w:firstLine="0"/>
      <w:spacing w:after="57"/>
    </w:pPr>
  </w:style>
  <w:style w:type="paragraph" w:styleId="976">
    <w:name w:val="Title"/>
    <w:basedOn w:val="942"/>
    <w:next w:val="942"/>
    <w:link w:val="994"/>
    <w:uiPriority w:val="10"/>
    <w:qFormat/>
    <w:pPr>
      <w:contextualSpacing/>
      <w:spacing w:before="300" w:after="200"/>
    </w:pPr>
    <w:rPr>
      <w:sz w:val="48"/>
      <w:szCs w:val="48"/>
    </w:rPr>
  </w:style>
  <w:style w:type="paragraph" w:styleId="977">
    <w:name w:val="Body Text First Indent 2"/>
    <w:basedOn w:val="959"/>
    <w:next w:val="942"/>
    <w:uiPriority w:val="99"/>
    <w:qFormat/>
    <w:pPr>
      <w:ind w:left="420" w:firstLine="420"/>
      <w:spacing w:after="120" w:line="360" w:lineRule="auto"/>
      <w:tabs>
        <w:tab w:val="left" w:pos="0" w:leader="none"/>
        <w:tab w:val="left" w:pos="993" w:leader="none"/>
        <w:tab w:val="left" w:pos="1134" w:leader="none"/>
      </w:tabs>
    </w:pPr>
    <w:rPr>
      <w:color w:val="000000"/>
      <w:sz w:val="20"/>
    </w:rPr>
  </w:style>
  <w:style w:type="table" w:styleId="9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Strong"/>
    <w:uiPriority w:val="22"/>
    <w:qFormat/>
    <w:rPr>
      <w:b/>
    </w:rPr>
  </w:style>
  <w:style w:type="character" w:styleId="980">
    <w:name w:val="endnote reference"/>
    <w:uiPriority w:val="99"/>
    <w:semiHidden/>
    <w:unhideWhenUsed/>
    <w:qFormat/>
    <w:rPr>
      <w:vertAlign w:val="superscript"/>
    </w:rPr>
  </w:style>
  <w:style w:type="character" w:styleId="981">
    <w:name w:val="Hyperlink"/>
    <w:uiPriority w:val="99"/>
    <w:unhideWhenUsed/>
    <w:qFormat/>
    <w:rPr>
      <w:color w:val="0000ff" w:themeColor="hyperlink"/>
      <w:u w:val="single"/>
      <w14:textFill>
        <w14:solidFill>
          <w14:schemeClr w14:val="hlink"/>
        </w14:solidFill>
      </w14:textFill>
    </w:rPr>
  </w:style>
  <w:style w:type="character" w:styleId="982">
    <w:name w:val="footnote reference"/>
    <w:uiPriority w:val="99"/>
    <w:unhideWhenUsed/>
    <w:qFormat/>
    <w:rPr>
      <w:vertAlign w:val="superscript"/>
    </w:rPr>
  </w:style>
  <w:style w:type="character" w:styleId="983" w:customStyle="1">
    <w:name w:val="Heading 1 Char"/>
    <w:link w:val="943"/>
    <w:uiPriority w:val="9"/>
    <w:qFormat/>
    <w:rPr>
      <w:rFonts w:ascii="Arial" w:hAnsi="Arial" w:eastAsia="Arial" w:cs="Arial"/>
      <w:sz w:val="40"/>
      <w:szCs w:val="40"/>
    </w:rPr>
  </w:style>
  <w:style w:type="character" w:styleId="984" w:customStyle="1">
    <w:name w:val="Heading 2 Char"/>
    <w:link w:val="944"/>
    <w:uiPriority w:val="9"/>
    <w:qFormat/>
    <w:rPr>
      <w:rFonts w:ascii="Arial" w:hAnsi="Arial" w:eastAsia="Arial" w:cs="Arial"/>
      <w:sz w:val="34"/>
    </w:rPr>
  </w:style>
  <w:style w:type="character" w:styleId="985" w:customStyle="1">
    <w:name w:val="Heading 3 Char"/>
    <w:link w:val="945"/>
    <w:uiPriority w:val="9"/>
    <w:qFormat/>
    <w:rPr>
      <w:rFonts w:ascii="Arial" w:hAnsi="Arial" w:eastAsia="Arial" w:cs="Arial"/>
      <w:sz w:val="30"/>
      <w:szCs w:val="30"/>
    </w:rPr>
  </w:style>
  <w:style w:type="character" w:styleId="986" w:customStyle="1">
    <w:name w:val="Heading 4 Char"/>
    <w:link w:val="946"/>
    <w:uiPriority w:val="9"/>
    <w:qFormat/>
    <w:rPr>
      <w:rFonts w:ascii="Arial" w:hAnsi="Arial" w:eastAsia="Arial" w:cs="Arial"/>
      <w:b/>
      <w:bCs/>
      <w:sz w:val="26"/>
      <w:szCs w:val="26"/>
    </w:rPr>
  </w:style>
  <w:style w:type="character" w:styleId="987" w:customStyle="1">
    <w:name w:val="Heading 5 Char"/>
    <w:link w:val="947"/>
    <w:uiPriority w:val="9"/>
    <w:qFormat/>
    <w:rPr>
      <w:rFonts w:ascii="Arial" w:hAnsi="Arial" w:eastAsia="Arial" w:cs="Arial"/>
      <w:b/>
      <w:bCs/>
      <w:sz w:val="24"/>
      <w:szCs w:val="24"/>
    </w:rPr>
  </w:style>
  <w:style w:type="character" w:styleId="988" w:customStyle="1">
    <w:name w:val="Heading 6 Char"/>
    <w:link w:val="948"/>
    <w:uiPriority w:val="9"/>
    <w:qFormat/>
    <w:rPr>
      <w:rFonts w:ascii="Arial" w:hAnsi="Arial" w:eastAsia="Arial" w:cs="Arial"/>
      <w:b/>
      <w:bCs/>
      <w:sz w:val="22"/>
      <w:szCs w:val="22"/>
    </w:rPr>
  </w:style>
  <w:style w:type="character" w:styleId="989" w:customStyle="1">
    <w:name w:val="Heading 7 Char"/>
    <w:link w:val="949"/>
    <w:uiPriority w:val="9"/>
    <w:qFormat/>
    <w:rPr>
      <w:rFonts w:ascii="Arial" w:hAnsi="Arial" w:eastAsia="Arial" w:cs="Arial"/>
      <w:b/>
      <w:bCs/>
      <w:i/>
      <w:iCs/>
      <w:sz w:val="22"/>
      <w:szCs w:val="22"/>
    </w:rPr>
  </w:style>
  <w:style w:type="character" w:styleId="990" w:customStyle="1">
    <w:name w:val="Heading 8 Char"/>
    <w:link w:val="950"/>
    <w:uiPriority w:val="9"/>
    <w:qFormat/>
    <w:rPr>
      <w:rFonts w:ascii="Arial" w:hAnsi="Arial" w:eastAsia="Arial" w:cs="Arial"/>
      <w:i/>
      <w:iCs/>
      <w:sz w:val="22"/>
      <w:szCs w:val="22"/>
    </w:rPr>
  </w:style>
  <w:style w:type="character" w:styleId="991" w:customStyle="1">
    <w:name w:val="Heading 9 Char"/>
    <w:link w:val="951"/>
    <w:uiPriority w:val="9"/>
    <w:qFormat/>
    <w:rPr>
      <w:rFonts w:ascii="Arial" w:hAnsi="Arial" w:eastAsia="Arial" w:cs="Arial"/>
      <w:i/>
      <w:iCs/>
      <w:sz w:val="21"/>
      <w:szCs w:val="21"/>
    </w:rPr>
  </w:style>
  <w:style w:type="paragraph" w:styleId="992">
    <w:name w:val="List Paragraph"/>
    <w:basedOn w:val="942"/>
    <w:uiPriority w:val="34"/>
    <w:qFormat/>
    <w:pPr>
      <w:contextualSpacing/>
      <w:ind w:left="720"/>
    </w:pPr>
  </w:style>
  <w:style w:type="paragraph" w:styleId="993">
    <w:name w:val="No Spacing"/>
    <w:uiPriority w:val="1"/>
    <w:qFormat/>
    <w:pPr>
      <w:spacing w:before="0" w:after="0" w:line="240" w:lineRule="auto"/>
    </w:pPr>
    <w:rPr>
      <w:rFonts w:hint="default" w:ascii="Times New Roman" w:hAnsi="Times New Roman" w:eastAsia="宋体" w:cs="Times New Roman"/>
    </w:rPr>
  </w:style>
  <w:style w:type="character" w:styleId="994" w:customStyle="1">
    <w:name w:val="Title Char"/>
    <w:link w:val="976"/>
    <w:uiPriority w:val="10"/>
    <w:qFormat/>
    <w:rPr>
      <w:sz w:val="48"/>
      <w:szCs w:val="48"/>
    </w:rPr>
  </w:style>
  <w:style w:type="character" w:styleId="995" w:customStyle="1">
    <w:name w:val="Subtitle Char"/>
    <w:link w:val="970"/>
    <w:uiPriority w:val="11"/>
    <w:qFormat/>
    <w:rPr>
      <w:sz w:val="24"/>
      <w:szCs w:val="24"/>
    </w:rPr>
  </w:style>
  <w:style w:type="paragraph" w:styleId="996">
    <w:name w:val="Quote"/>
    <w:basedOn w:val="942"/>
    <w:next w:val="942"/>
    <w:link w:val="997"/>
    <w:uiPriority w:val="29"/>
    <w:qFormat/>
    <w:pPr>
      <w:ind w:left="720" w:right="720"/>
    </w:pPr>
    <w:rPr>
      <w:i/>
    </w:rPr>
  </w:style>
  <w:style w:type="character" w:styleId="997" w:customStyle="1">
    <w:name w:val="Quote Char"/>
    <w:link w:val="996"/>
    <w:uiPriority w:val="29"/>
    <w:qFormat/>
    <w:rPr>
      <w:i/>
    </w:rPr>
  </w:style>
  <w:style w:type="paragraph" w:styleId="998">
    <w:name w:val="Intense Quote"/>
    <w:basedOn w:val="942"/>
    <w:next w:val="942"/>
    <w:link w:val="9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Intense Quote Char"/>
    <w:link w:val="998"/>
    <w:uiPriority w:val="30"/>
    <w:qFormat/>
    <w:rPr>
      <w:i/>
    </w:rPr>
  </w:style>
  <w:style w:type="character" w:styleId="1000" w:customStyle="1">
    <w:name w:val="Header Char"/>
    <w:link w:val="967"/>
    <w:uiPriority w:val="99"/>
    <w:qFormat/>
  </w:style>
  <w:style w:type="character" w:styleId="1001" w:customStyle="1">
    <w:name w:val="Footer Char"/>
    <w:link w:val="966"/>
    <w:uiPriority w:val="99"/>
    <w:qFormat/>
  </w:style>
  <w:style w:type="character" w:styleId="1002" w:customStyle="1">
    <w:name w:val="Caption Char"/>
    <w:link w:val="966"/>
    <w:uiPriority w:val="99"/>
    <w:qFormat/>
  </w:style>
  <w:style w:type="table" w:styleId="10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8" w:customStyle="1">
    <w:name w:val="Footnote Text Char"/>
    <w:link w:val="971"/>
    <w:uiPriority w:val="99"/>
    <w:qFormat/>
    <w:rPr>
      <w:sz w:val="18"/>
    </w:rPr>
  </w:style>
  <w:style w:type="character" w:styleId="1129" w:customStyle="1">
    <w:name w:val="Endnote Text Char"/>
    <w:link w:val="964"/>
    <w:uiPriority w:val="99"/>
    <w:qFormat/>
    <w:rPr>
      <w:sz w:val="20"/>
    </w:rPr>
  </w:style>
  <w:style w:type="paragraph" w:styleId="1130" w:customStyle="1">
    <w:name w:val="TOC Heading"/>
    <w:uiPriority w:val="39"/>
    <w:unhideWhenUsed/>
    <w:qFormat/>
    <w:rPr>
      <w:rFonts w:hint="default" w:ascii="Times New Roman" w:hAnsi="Times New Roman" w:eastAsia="宋体" w:cs="Times New Roman"/>
    </w:rPr>
  </w:style>
  <w:style w:type="paragraph" w:styleId="1131" w:customStyle="1">
    <w:name w:val="标题 11"/>
    <w:basedOn w:val="942"/>
    <w:next w:val="942"/>
    <w:link w:val="1143"/>
    <w:uiPriority w:val="0"/>
    <w:qFormat/>
    <w:pPr>
      <w:jc w:val="center"/>
      <w:keepLines/>
      <w:keepNext/>
      <w:spacing w:before="240" w:after="120" w:line="300" w:lineRule="auto"/>
      <w:outlineLvl w:val="0"/>
    </w:pPr>
    <w:rPr>
      <w:rFonts w:ascii="宋体"/>
      <w:b/>
      <w:sz w:val="32"/>
      <w:szCs w:val="20"/>
    </w:rPr>
  </w:style>
  <w:style w:type="paragraph" w:styleId="1132" w:customStyle="1">
    <w:name w:val="标题 21"/>
    <w:basedOn w:val="942"/>
    <w:next w:val="942"/>
    <w:link w:val="1144"/>
    <w:uiPriority w:val="0"/>
    <w:qFormat/>
    <w:pPr>
      <w:jc w:val="center"/>
      <w:keepLines/>
      <w:keepNext/>
      <w:spacing w:before="120" w:line="300" w:lineRule="auto"/>
      <w:outlineLvl w:val="1"/>
    </w:pPr>
    <w:rPr>
      <w:rFonts w:ascii="Arial" w:hAnsi="Arial" w:eastAsia="黑体"/>
      <w:b/>
      <w:sz w:val="30"/>
      <w:szCs w:val="20"/>
    </w:rPr>
  </w:style>
  <w:style w:type="paragraph" w:styleId="1133" w:customStyle="1">
    <w:name w:val="标题 31"/>
    <w:basedOn w:val="942"/>
    <w:next w:val="942"/>
    <w:link w:val="1142"/>
    <w:uiPriority w:val="0"/>
    <w:qFormat/>
    <w:pPr>
      <w:jc w:val="left"/>
      <w:keepLines/>
      <w:keepNext/>
      <w:spacing w:before="360" w:after="120"/>
      <w:outlineLvl w:val="2"/>
    </w:pPr>
    <w:rPr>
      <w:rFonts w:ascii="宋体"/>
      <w:b/>
      <w:sz w:val="24"/>
      <w:szCs w:val="20"/>
      <w:u w:val="single"/>
    </w:rPr>
  </w:style>
  <w:style w:type="paragraph" w:styleId="1134" w:customStyle="1">
    <w:name w:val="标题 41"/>
    <w:basedOn w:val="942"/>
    <w:next w:val="942"/>
    <w:link w:val="1145"/>
    <w:uiPriority w:val="0"/>
    <w:qFormat/>
    <w:pPr>
      <w:keepLines/>
      <w:keepNext/>
      <w:spacing w:before="280" w:after="290" w:line="376" w:lineRule="atLeast"/>
      <w:outlineLvl w:val="3"/>
    </w:pPr>
    <w:rPr>
      <w:rFonts w:ascii="Arial" w:hAnsi="Arial" w:eastAsia="黑体"/>
      <w:b/>
      <w:sz w:val="28"/>
      <w:szCs w:val="20"/>
    </w:rPr>
  </w:style>
  <w:style w:type="paragraph" w:styleId="1135" w:customStyle="1">
    <w:name w:val="标题 51"/>
    <w:basedOn w:val="942"/>
    <w:next w:val="942"/>
    <w:link w:val="1146"/>
    <w:uiPriority w:val="0"/>
    <w:qFormat/>
    <w:pPr>
      <w:keepLines/>
      <w:keepNext/>
      <w:spacing w:before="280" w:after="290" w:line="376" w:lineRule="atLeast"/>
      <w:outlineLvl w:val="4"/>
    </w:pPr>
    <w:rPr>
      <w:b/>
      <w:sz w:val="28"/>
      <w:szCs w:val="20"/>
    </w:rPr>
  </w:style>
  <w:style w:type="paragraph" w:styleId="1136" w:customStyle="1">
    <w:name w:val="标题 61"/>
    <w:basedOn w:val="942"/>
    <w:next w:val="942"/>
    <w:link w:val="1147"/>
    <w:uiPriority w:val="0"/>
    <w:qFormat/>
    <w:pPr>
      <w:keepLines/>
      <w:keepNext/>
      <w:spacing w:before="240" w:after="64" w:line="320" w:lineRule="atLeast"/>
      <w:outlineLvl w:val="5"/>
    </w:pPr>
    <w:rPr>
      <w:rFonts w:ascii="Arial" w:hAnsi="Arial" w:eastAsia="黑体"/>
      <w:b/>
      <w:sz w:val="24"/>
      <w:szCs w:val="20"/>
    </w:rPr>
  </w:style>
  <w:style w:type="paragraph" w:styleId="1137" w:customStyle="1">
    <w:name w:val="标题 71"/>
    <w:basedOn w:val="942"/>
    <w:next w:val="942"/>
    <w:link w:val="1148"/>
    <w:uiPriority w:val="0"/>
    <w:qFormat/>
    <w:pPr>
      <w:keepLines/>
      <w:keepNext/>
      <w:spacing w:before="240" w:after="64" w:line="320" w:lineRule="atLeast"/>
      <w:outlineLvl w:val="6"/>
    </w:pPr>
    <w:rPr>
      <w:b/>
      <w:sz w:val="24"/>
      <w:szCs w:val="20"/>
    </w:rPr>
  </w:style>
  <w:style w:type="paragraph" w:styleId="1138" w:customStyle="1">
    <w:name w:val="标题 81"/>
    <w:basedOn w:val="942"/>
    <w:next w:val="942"/>
    <w:link w:val="1149"/>
    <w:uiPriority w:val="0"/>
    <w:qFormat/>
    <w:pPr>
      <w:keepLines/>
      <w:keepNext/>
      <w:spacing w:before="240" w:after="64" w:line="320" w:lineRule="atLeast"/>
      <w:outlineLvl w:val="7"/>
    </w:pPr>
    <w:rPr>
      <w:rFonts w:ascii="Arial" w:hAnsi="Arial" w:eastAsia="黑体"/>
      <w:sz w:val="24"/>
      <w:szCs w:val="20"/>
    </w:rPr>
  </w:style>
  <w:style w:type="paragraph" w:styleId="1139" w:customStyle="1">
    <w:name w:val="标题 91"/>
    <w:basedOn w:val="942"/>
    <w:next w:val="942"/>
    <w:link w:val="1150"/>
    <w:uiPriority w:val="0"/>
    <w:qFormat/>
    <w:pPr>
      <w:keepLines/>
      <w:keepNext/>
      <w:spacing w:before="240" w:after="64" w:line="320" w:lineRule="atLeast"/>
      <w:outlineLvl w:val="8"/>
    </w:pPr>
    <w:rPr>
      <w:rFonts w:ascii="Arial" w:hAnsi="Arial" w:eastAsia="黑体"/>
      <w:szCs w:val="20"/>
    </w:rPr>
  </w:style>
  <w:style w:type="character" w:styleId="1140" w:customStyle="1">
    <w:name w:val="默认段落字体1"/>
    <w:link w:val="942"/>
    <w:uiPriority w:val="1"/>
    <w:unhideWhenUsed/>
    <w:qFormat/>
  </w:style>
  <w:style w:type="table" w:styleId="1141" w:customStyle="1">
    <w:name w:val="普通表格1"/>
    <w:uiPriority w:val="99"/>
    <w:unhideWhenUsed/>
    <w:qFormat/>
    <w:tblPr/>
  </w:style>
  <w:style w:type="character" w:styleId="1142" w:customStyle="1">
    <w:name w:val="标题 3 字符"/>
    <w:link w:val="1133"/>
    <w:uiPriority w:val="0"/>
    <w:qFormat/>
    <w:rPr>
      <w:rFonts w:ascii="宋体" w:eastAsia="宋体"/>
      <w:b/>
      <w:sz w:val="24"/>
      <w:u w:val="single"/>
      <w:lang w:val="en-US" w:eastAsia="zh-CN" w:bidi="ar-SA"/>
    </w:rPr>
  </w:style>
  <w:style w:type="character" w:styleId="1143" w:customStyle="1">
    <w:name w:val="标题 1 字符"/>
    <w:link w:val="1131"/>
    <w:uiPriority w:val="0"/>
    <w:qFormat/>
    <w:rPr>
      <w:rFonts w:ascii="宋体"/>
      <w:b/>
      <w:sz w:val="32"/>
    </w:rPr>
  </w:style>
  <w:style w:type="character" w:styleId="1144" w:customStyle="1">
    <w:name w:val="标题 2 字符"/>
    <w:link w:val="1132"/>
    <w:uiPriority w:val="0"/>
    <w:qFormat/>
    <w:rPr>
      <w:rFonts w:ascii="Arial" w:hAnsi="Arial" w:eastAsia="黑体"/>
      <w:b/>
      <w:sz w:val="30"/>
      <w:lang w:val="en-US" w:eastAsia="zh-CN" w:bidi="ar-SA"/>
    </w:rPr>
  </w:style>
  <w:style w:type="character" w:styleId="1145" w:customStyle="1">
    <w:name w:val="标题 4 字符"/>
    <w:link w:val="1134"/>
    <w:uiPriority w:val="0"/>
    <w:qFormat/>
    <w:rPr>
      <w:rFonts w:ascii="Arial" w:hAnsi="Arial" w:eastAsia="黑体"/>
      <w:b/>
      <w:sz w:val="28"/>
    </w:rPr>
  </w:style>
  <w:style w:type="character" w:styleId="1146" w:customStyle="1">
    <w:name w:val="标题 5 字符"/>
    <w:link w:val="1135"/>
    <w:uiPriority w:val="0"/>
    <w:qFormat/>
    <w:rPr>
      <w:b/>
      <w:sz w:val="28"/>
    </w:rPr>
  </w:style>
  <w:style w:type="character" w:styleId="1147" w:customStyle="1">
    <w:name w:val="标题 6 字符"/>
    <w:link w:val="1136"/>
    <w:uiPriority w:val="0"/>
    <w:qFormat/>
    <w:rPr>
      <w:rFonts w:ascii="Arial" w:hAnsi="Arial" w:eastAsia="黑体"/>
      <w:b/>
      <w:sz w:val="24"/>
    </w:rPr>
  </w:style>
  <w:style w:type="character" w:styleId="1148" w:customStyle="1">
    <w:name w:val="标题 7 字符"/>
    <w:link w:val="1137"/>
    <w:uiPriority w:val="0"/>
    <w:qFormat/>
    <w:rPr>
      <w:b/>
      <w:sz w:val="24"/>
    </w:rPr>
  </w:style>
  <w:style w:type="character" w:styleId="1149" w:customStyle="1">
    <w:name w:val="标题 8 字符"/>
    <w:link w:val="1138"/>
    <w:uiPriority w:val="0"/>
    <w:qFormat/>
    <w:rPr>
      <w:rFonts w:ascii="Arial" w:hAnsi="Arial" w:eastAsia="黑体"/>
      <w:sz w:val="24"/>
    </w:rPr>
  </w:style>
  <w:style w:type="character" w:styleId="1150" w:customStyle="1">
    <w:name w:val="标题 9 字符"/>
    <w:link w:val="1139"/>
    <w:uiPriority w:val="0"/>
    <w:qFormat/>
    <w:rPr>
      <w:rFonts w:ascii="Arial" w:hAnsi="Arial" w:eastAsia="黑体"/>
      <w:sz w:val="21"/>
    </w:rPr>
  </w:style>
  <w:style w:type="paragraph" w:styleId="1151" w:customStyle="1">
    <w:name w:val="目录 71"/>
    <w:basedOn w:val="942"/>
    <w:next w:val="942"/>
    <w:uiPriority w:val="0"/>
    <w:qFormat/>
    <w:pPr>
      <w:ind w:left="2520"/>
    </w:pPr>
  </w:style>
  <w:style w:type="paragraph" w:styleId="1152" w:customStyle="1">
    <w:name w:val="引文目录1"/>
    <w:next w:val="942"/>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53" w:customStyle="1">
    <w:name w:val="正文缩进11"/>
    <w:basedOn w:val="942"/>
    <w:link w:val="1154"/>
    <w:uiPriority w:val="0"/>
    <w:qFormat/>
    <w:pPr>
      <w:ind w:firstLine="420"/>
      <w:jc w:val="left"/>
    </w:pPr>
    <w:rPr>
      <w:rFonts w:ascii="宋体"/>
      <w:sz w:val="24"/>
    </w:rPr>
  </w:style>
  <w:style w:type="character" w:styleId="1154" w:customStyle="1">
    <w:name w:val="正文缩进 字符"/>
    <w:link w:val="1153"/>
    <w:uiPriority w:val="0"/>
    <w:qFormat/>
    <w:rPr>
      <w:rFonts w:ascii="宋体" w:eastAsia="宋体"/>
      <w:sz w:val="24"/>
      <w:szCs w:val="24"/>
      <w:lang w:val="en-US" w:eastAsia="zh-CN" w:bidi="ar-SA"/>
    </w:rPr>
  </w:style>
  <w:style w:type="paragraph" w:styleId="1155" w:customStyle="1">
    <w:name w:val="题注1"/>
    <w:basedOn w:val="942"/>
    <w:next w:val="942"/>
    <w:uiPriority w:val="0"/>
    <w:qFormat/>
    <w:pPr>
      <w:spacing w:line="480" w:lineRule="auto"/>
    </w:pPr>
    <w:rPr>
      <w:rFonts w:ascii="华文中宋" w:hAnsi="华文中宋" w:eastAsia="华文中宋"/>
      <w:sz w:val="36"/>
      <w:szCs w:val="20"/>
    </w:rPr>
  </w:style>
  <w:style w:type="paragraph" w:styleId="1156" w:customStyle="1">
    <w:name w:val="文档结构图1"/>
    <w:basedOn w:val="942"/>
    <w:link w:val="1157"/>
    <w:uiPriority w:val="0"/>
    <w:qFormat/>
    <w:pPr>
      <w:shd w:val="clear" w:color="auto" w:fill="000080"/>
    </w:pPr>
  </w:style>
  <w:style w:type="character" w:styleId="1157" w:customStyle="1">
    <w:name w:val="文档结构图 字符"/>
    <w:link w:val="1156"/>
    <w:uiPriority w:val="0"/>
    <w:qFormat/>
    <w:rPr>
      <w:sz w:val="21"/>
      <w:szCs w:val="24"/>
      <w:shd w:val="clear" w:color="auto" w:fill="000080"/>
    </w:rPr>
  </w:style>
  <w:style w:type="paragraph" w:styleId="1158" w:customStyle="1">
    <w:name w:val="批注文字1"/>
    <w:basedOn w:val="942"/>
    <w:link w:val="1159"/>
    <w:uiPriority w:val="99"/>
    <w:qFormat/>
    <w:pPr>
      <w:jc w:val="left"/>
    </w:pPr>
  </w:style>
  <w:style w:type="character" w:styleId="1159" w:customStyle="1">
    <w:name w:val="批注文字 字符1"/>
    <w:link w:val="1158"/>
    <w:uiPriority w:val="99"/>
    <w:qFormat/>
    <w:rPr>
      <w:sz w:val="21"/>
      <w:szCs w:val="24"/>
    </w:rPr>
  </w:style>
  <w:style w:type="paragraph" w:styleId="1160" w:customStyle="1">
    <w:name w:val="正文文本 31"/>
    <w:basedOn w:val="942"/>
    <w:link w:val="1161"/>
    <w:uiPriority w:val="0"/>
    <w:qFormat/>
    <w:pPr>
      <w:spacing w:after="120"/>
    </w:pPr>
    <w:rPr>
      <w:sz w:val="16"/>
      <w:szCs w:val="16"/>
    </w:rPr>
  </w:style>
  <w:style w:type="character" w:styleId="1161" w:customStyle="1">
    <w:name w:val="正文文本 3 字符"/>
    <w:link w:val="1160"/>
    <w:uiPriority w:val="0"/>
    <w:qFormat/>
    <w:rPr>
      <w:sz w:val="16"/>
      <w:szCs w:val="16"/>
    </w:rPr>
  </w:style>
  <w:style w:type="paragraph" w:styleId="1162" w:customStyle="1">
    <w:name w:val="正文文本1"/>
    <w:basedOn w:val="942"/>
    <w:next w:val="1163"/>
    <w:link w:val="1164"/>
    <w:uiPriority w:val="0"/>
    <w:qFormat/>
    <w:pPr>
      <w:spacing w:before="120" w:line="22" w:lineRule="atLeast"/>
      <w:tabs>
        <w:tab w:val="left" w:pos="567" w:leader="none"/>
      </w:tabs>
    </w:pPr>
    <w:rPr>
      <w:rFonts w:ascii="宋体" w:hAnsi="宋体"/>
      <w:sz w:val="24"/>
    </w:rPr>
  </w:style>
  <w:style w:type="paragraph" w:styleId="1163" w:customStyle="1">
    <w:name w:val="正文文本 21"/>
    <w:uiPriority w:val="0"/>
    <w:qFormat/>
    <w:pPr>
      <w:jc w:val="both"/>
      <w:spacing w:after="120" w:line="480" w:lineRule="auto"/>
      <w:widowControl w:val="off"/>
    </w:pPr>
    <w:rPr>
      <w:rFonts w:hint="default" w:ascii="Times New Roman" w:hAnsi="Times New Roman" w:eastAsia="宋体" w:cs="Times New Roman"/>
      <w:sz w:val="21"/>
      <w:szCs w:val="24"/>
      <w:lang w:val="en-US" w:eastAsia="zh-CN" w:bidi="ar-SA"/>
    </w:rPr>
  </w:style>
  <w:style w:type="character" w:styleId="1164" w:customStyle="1">
    <w:name w:val="正文文本 字符"/>
    <w:link w:val="1162"/>
    <w:uiPriority w:val="0"/>
    <w:qFormat/>
    <w:rPr>
      <w:rFonts w:ascii="宋体" w:hAnsi="宋体"/>
      <w:sz w:val="24"/>
      <w:szCs w:val="24"/>
    </w:rPr>
  </w:style>
  <w:style w:type="paragraph" w:styleId="1165" w:customStyle="1">
    <w:name w:val="正文文本缩进11"/>
    <w:basedOn w:val="942"/>
    <w:link w:val="1166"/>
    <w:uiPriority w:val="0"/>
    <w:qFormat/>
    <w:pPr>
      <w:ind w:firstLine="570"/>
      <w:spacing w:line="360" w:lineRule="auto"/>
    </w:pPr>
    <w:rPr>
      <w:sz w:val="24"/>
    </w:rPr>
  </w:style>
  <w:style w:type="character" w:styleId="1166" w:customStyle="1">
    <w:name w:val="正文文本缩进 字符"/>
    <w:link w:val="1165"/>
    <w:uiPriority w:val="0"/>
    <w:qFormat/>
    <w:rPr>
      <w:rFonts w:eastAsia="宋体"/>
      <w:sz w:val="24"/>
      <w:szCs w:val="24"/>
      <w:lang w:val="en-US" w:eastAsia="zh-CN" w:bidi="ar-SA"/>
    </w:rPr>
  </w:style>
  <w:style w:type="paragraph" w:styleId="1167" w:customStyle="1">
    <w:name w:val="列表 21"/>
    <w:basedOn w:val="942"/>
    <w:uiPriority w:val="0"/>
    <w:qFormat/>
    <w:pPr>
      <w:ind w:left="100" w:hanging="200"/>
    </w:pPr>
  </w:style>
  <w:style w:type="paragraph" w:styleId="1168" w:customStyle="1">
    <w:name w:val="文本块1"/>
    <w:basedOn w:val="942"/>
    <w:uiPriority w:val="0"/>
    <w:qFormat/>
    <w:pPr>
      <w:ind w:left="480" w:right="-341" w:firstLine="513"/>
      <w:widowControl/>
    </w:pPr>
    <w:rPr>
      <w:sz w:val="24"/>
      <w:szCs w:val="20"/>
    </w:rPr>
  </w:style>
  <w:style w:type="paragraph" w:styleId="1169" w:customStyle="1">
    <w:name w:val="目录 51"/>
    <w:basedOn w:val="942"/>
    <w:next w:val="942"/>
    <w:uiPriority w:val="0"/>
    <w:qFormat/>
    <w:pPr>
      <w:ind w:left="1680"/>
    </w:pPr>
  </w:style>
  <w:style w:type="paragraph" w:styleId="1170" w:customStyle="1">
    <w:name w:val="目录 31"/>
    <w:basedOn w:val="942"/>
    <w:next w:val="942"/>
    <w:uiPriority w:val="39"/>
    <w:qFormat/>
    <w:pPr>
      <w:ind w:left="840"/>
    </w:pPr>
  </w:style>
  <w:style w:type="paragraph" w:styleId="1171" w:customStyle="1">
    <w:name w:val="纯文本1"/>
    <w:basedOn w:val="942"/>
    <w:link w:val="1172"/>
    <w:uiPriority w:val="0"/>
    <w:qFormat/>
    <w:rPr>
      <w:rFonts w:hint="eastAsia" w:ascii="宋体" w:hAnsi="Courier New"/>
      <w:szCs w:val="20"/>
    </w:rPr>
  </w:style>
  <w:style w:type="character" w:styleId="1172" w:customStyle="1">
    <w:name w:val="纯文本 字符2"/>
    <w:link w:val="1171"/>
    <w:uiPriority w:val="0"/>
    <w:qFormat/>
    <w:rPr>
      <w:rFonts w:hint="eastAsia" w:ascii="宋体" w:hAnsi="Courier New" w:eastAsia="宋体" w:cs="宋体"/>
      <w:sz w:val="21"/>
    </w:rPr>
  </w:style>
  <w:style w:type="paragraph" w:styleId="1173" w:customStyle="1">
    <w:name w:val="目录 81"/>
    <w:basedOn w:val="942"/>
    <w:next w:val="942"/>
    <w:uiPriority w:val="0"/>
    <w:qFormat/>
    <w:pPr>
      <w:ind w:left="2940"/>
    </w:pPr>
  </w:style>
  <w:style w:type="paragraph" w:styleId="1174" w:customStyle="1">
    <w:name w:val="日期1"/>
    <w:basedOn w:val="942"/>
    <w:next w:val="942"/>
    <w:link w:val="1175"/>
    <w:uiPriority w:val="0"/>
    <w:qFormat/>
    <w:pPr>
      <w:ind w:left="100"/>
    </w:pPr>
    <w:rPr>
      <w:rFonts w:ascii="仿宋_GB2312" w:hAnsi="宋体" w:eastAsia="仿宋_GB2312"/>
      <w:color w:val="000000"/>
      <w:sz w:val="24"/>
    </w:rPr>
  </w:style>
  <w:style w:type="character" w:styleId="1175" w:customStyle="1">
    <w:name w:val="日期 字符"/>
    <w:link w:val="1174"/>
    <w:uiPriority w:val="0"/>
    <w:qFormat/>
    <w:rPr>
      <w:rFonts w:ascii="仿宋_GB2312" w:hAnsi="宋体" w:eastAsia="仿宋_GB2312"/>
      <w:color w:val="000000"/>
      <w:sz w:val="24"/>
      <w:szCs w:val="24"/>
    </w:rPr>
  </w:style>
  <w:style w:type="paragraph" w:styleId="1176" w:customStyle="1">
    <w:name w:val="正文文本缩进 21"/>
    <w:basedOn w:val="942"/>
    <w:link w:val="1177"/>
    <w:uiPriority w:val="0"/>
    <w:qFormat/>
    <w:pPr>
      <w:ind w:firstLine="480"/>
    </w:pPr>
    <w:rPr>
      <w:rFonts w:ascii="仿宋_GB2312" w:eastAsia="仿宋_GB2312"/>
      <w:sz w:val="24"/>
    </w:rPr>
  </w:style>
  <w:style w:type="character" w:styleId="1177" w:customStyle="1">
    <w:name w:val="正文文本缩进 2 字符"/>
    <w:link w:val="1176"/>
    <w:uiPriority w:val="0"/>
    <w:qFormat/>
    <w:rPr>
      <w:rFonts w:ascii="仿宋_GB2312" w:eastAsia="仿宋_GB2312"/>
      <w:sz w:val="24"/>
      <w:szCs w:val="24"/>
    </w:rPr>
  </w:style>
  <w:style w:type="paragraph" w:styleId="1178" w:customStyle="1">
    <w:name w:val="批注框文本1"/>
    <w:basedOn w:val="942"/>
    <w:link w:val="1179"/>
    <w:uiPriority w:val="0"/>
    <w:qFormat/>
    <w:rPr>
      <w:sz w:val="18"/>
      <w:szCs w:val="18"/>
    </w:rPr>
  </w:style>
  <w:style w:type="character" w:styleId="1179" w:customStyle="1">
    <w:name w:val="批注框文本 字符"/>
    <w:link w:val="1178"/>
    <w:uiPriority w:val="0"/>
    <w:qFormat/>
    <w:rPr>
      <w:sz w:val="18"/>
      <w:szCs w:val="18"/>
    </w:rPr>
  </w:style>
  <w:style w:type="paragraph" w:styleId="1180" w:customStyle="1">
    <w:name w:val="页脚1"/>
    <w:basedOn w:val="942"/>
    <w:link w:val="1181"/>
    <w:uiPriority w:val="99"/>
    <w:qFormat/>
    <w:pPr>
      <w:jc w:val="left"/>
      <w:tabs>
        <w:tab w:val="center" w:pos="4153" w:leader="none"/>
        <w:tab w:val="right" w:pos="8306" w:leader="none"/>
      </w:tabs>
    </w:pPr>
    <w:rPr>
      <w:rFonts w:ascii="宋体"/>
      <w:sz w:val="18"/>
      <w:szCs w:val="20"/>
    </w:rPr>
  </w:style>
  <w:style w:type="character" w:styleId="1181" w:customStyle="1">
    <w:name w:val="页脚 字符"/>
    <w:link w:val="1180"/>
    <w:uiPriority w:val="99"/>
    <w:qFormat/>
    <w:rPr>
      <w:rFonts w:ascii="宋体" w:eastAsia="宋体"/>
      <w:sz w:val="18"/>
      <w:lang w:val="en-US" w:eastAsia="zh-CN" w:bidi="ar-SA"/>
    </w:rPr>
  </w:style>
  <w:style w:type="paragraph" w:styleId="1182" w:customStyle="1">
    <w:name w:val="寄信人地址1"/>
    <w:basedOn w:val="942"/>
    <w:uiPriority w:val="0"/>
    <w:qFormat/>
    <w:rPr>
      <w:rFonts w:ascii="Arial" w:hAnsi="Arial" w:eastAsia="宋体" w:cs="Times New Roman"/>
    </w:rPr>
  </w:style>
  <w:style w:type="paragraph" w:styleId="1183" w:customStyle="1">
    <w:name w:val="页眉1"/>
    <w:basedOn w:val="942"/>
    <w:link w:val="1184"/>
    <w:uiPriority w:val="0"/>
    <w:qFormat/>
    <w:pPr>
      <w:jc w:val="center"/>
      <w:tabs>
        <w:tab w:val="center" w:pos="4153" w:leader="none"/>
        <w:tab w:val="right" w:pos="8306" w:leader="none"/>
      </w:tabs>
      <w:pBdr>
        <w:bottom w:val="single" w:color="000000" w:sz="6" w:space="1"/>
      </w:pBdr>
    </w:pPr>
    <w:rPr>
      <w:sz w:val="18"/>
      <w:szCs w:val="18"/>
    </w:rPr>
  </w:style>
  <w:style w:type="character" w:styleId="1184" w:customStyle="1">
    <w:name w:val="页眉 字符"/>
    <w:link w:val="1183"/>
    <w:uiPriority w:val="0"/>
    <w:qFormat/>
    <w:rPr>
      <w:rFonts w:eastAsia="宋体"/>
      <w:sz w:val="18"/>
      <w:szCs w:val="18"/>
      <w:lang w:val="en-US" w:eastAsia="zh-CN" w:bidi="ar-SA"/>
    </w:rPr>
  </w:style>
  <w:style w:type="paragraph" w:styleId="1185" w:customStyle="1">
    <w:name w:val="目录 11"/>
    <w:basedOn w:val="942"/>
    <w:next w:val="942"/>
    <w:uiPriority w:val="39"/>
    <w:qFormat/>
    <w:pPr>
      <w:spacing w:line="300" w:lineRule="auto"/>
      <w:tabs>
        <w:tab w:val="left" w:pos="1050" w:leader="none"/>
        <w:tab w:val="right" w:pos="8937" w:leader="dot"/>
      </w:tabs>
    </w:pPr>
    <w:rPr>
      <w:rFonts w:ascii="宋体" w:hAnsi="宋体"/>
      <w:b/>
      <w:sz w:val="24"/>
    </w:rPr>
  </w:style>
  <w:style w:type="paragraph" w:styleId="1186" w:customStyle="1">
    <w:name w:val="目录 41"/>
    <w:basedOn w:val="942"/>
    <w:next w:val="942"/>
    <w:uiPriority w:val="0"/>
    <w:qFormat/>
    <w:pPr>
      <w:ind w:left="1260"/>
    </w:pPr>
  </w:style>
  <w:style w:type="paragraph" w:styleId="1187" w:customStyle="1">
    <w:name w:val="目录 61"/>
    <w:basedOn w:val="942"/>
    <w:next w:val="942"/>
    <w:uiPriority w:val="0"/>
    <w:qFormat/>
    <w:pPr>
      <w:ind w:left="2100"/>
    </w:pPr>
  </w:style>
  <w:style w:type="paragraph" w:styleId="1188" w:customStyle="1">
    <w:name w:val="正文文本缩进 31"/>
    <w:basedOn w:val="942"/>
    <w:link w:val="1189"/>
    <w:uiPriority w:val="0"/>
    <w:qFormat/>
    <w:pPr>
      <w:ind w:left="720" w:firstLine="480"/>
      <w:jc w:val="left"/>
      <w:spacing w:before="120" w:line="22" w:lineRule="atLeast"/>
    </w:pPr>
    <w:rPr>
      <w:rFonts w:ascii="宋体"/>
      <w:sz w:val="24"/>
      <w:szCs w:val="20"/>
    </w:rPr>
  </w:style>
  <w:style w:type="character" w:styleId="1189" w:customStyle="1">
    <w:name w:val="正文文本缩进 3 字符"/>
    <w:link w:val="1188"/>
    <w:uiPriority w:val="0"/>
    <w:qFormat/>
    <w:rPr>
      <w:rFonts w:ascii="宋体"/>
      <w:sz w:val="24"/>
    </w:rPr>
  </w:style>
  <w:style w:type="paragraph" w:styleId="1190" w:customStyle="1">
    <w:name w:val="目录 21"/>
    <w:basedOn w:val="942"/>
    <w:next w:val="942"/>
    <w:uiPriority w:val="39"/>
    <w:qFormat/>
    <w:pPr>
      <w:ind w:left="420"/>
      <w:spacing w:line="312" w:lineRule="auto"/>
      <w:tabs>
        <w:tab w:val="right" w:pos="8937" w:leader="dot"/>
      </w:tabs>
    </w:pPr>
  </w:style>
  <w:style w:type="paragraph" w:styleId="1191" w:customStyle="1">
    <w:name w:val="目录 91"/>
    <w:basedOn w:val="942"/>
    <w:next w:val="942"/>
    <w:uiPriority w:val="0"/>
    <w:qFormat/>
    <w:pPr>
      <w:ind w:left="3360"/>
    </w:pPr>
  </w:style>
  <w:style w:type="paragraph" w:styleId="1192" w:customStyle="1">
    <w:name w:val="HTML 预设格式1"/>
    <w:basedOn w:val="942"/>
    <w:link w:val="11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3" w:customStyle="1">
    <w:name w:val="HTML 预设格式 字符"/>
    <w:link w:val="1192"/>
    <w:uiPriority w:val="0"/>
    <w:qFormat/>
    <w:rPr>
      <w:rFonts w:ascii="宋体" w:hAnsi="宋体" w:cs="宋体"/>
      <w:sz w:val="24"/>
      <w:szCs w:val="24"/>
    </w:rPr>
  </w:style>
  <w:style w:type="paragraph" w:styleId="1194" w:customStyle="1">
    <w:name w:val="普通(网站)1"/>
    <w:basedOn w:val="942"/>
    <w:uiPriority w:val="99"/>
    <w:unhideWhenUsed/>
    <w:qFormat/>
    <w:pPr>
      <w:jc w:val="left"/>
      <w:spacing w:before="100" w:beforeAutospacing="1" w:after="100" w:afterAutospacing="1"/>
      <w:widowControl/>
    </w:pPr>
    <w:rPr>
      <w:rFonts w:ascii="宋体" w:hAnsi="宋体" w:cs="宋体"/>
      <w:sz w:val="24"/>
    </w:rPr>
  </w:style>
  <w:style w:type="paragraph" w:styleId="1195" w:customStyle="1">
    <w:name w:val="索引 11"/>
    <w:basedOn w:val="942"/>
    <w:next w:val="942"/>
    <w:uiPriority w:val="0"/>
    <w:qFormat/>
    <w:rPr>
      <w:szCs w:val="20"/>
    </w:rPr>
  </w:style>
  <w:style w:type="paragraph" w:styleId="1196" w:customStyle="1">
    <w:name w:val="标题1"/>
    <w:basedOn w:val="942"/>
    <w:link w:val="1197"/>
    <w:uiPriority w:val="0"/>
    <w:qFormat/>
    <w:pPr>
      <w:jc w:val="center"/>
      <w:outlineLvl w:val="0"/>
    </w:pPr>
    <w:rPr>
      <w:b/>
      <w:sz w:val="32"/>
      <w:szCs w:val="20"/>
    </w:rPr>
  </w:style>
  <w:style w:type="character" w:styleId="1197" w:customStyle="1">
    <w:name w:val="标题 字符"/>
    <w:link w:val="1196"/>
    <w:uiPriority w:val="0"/>
    <w:qFormat/>
    <w:rPr>
      <w:b/>
      <w:sz w:val="32"/>
    </w:rPr>
  </w:style>
  <w:style w:type="paragraph" w:styleId="1198" w:customStyle="1">
    <w:name w:val="批注主题1"/>
    <w:basedOn w:val="1158"/>
    <w:next w:val="1158"/>
    <w:link w:val="1199"/>
    <w:uiPriority w:val="0"/>
    <w:qFormat/>
    <w:rPr>
      <w:b/>
      <w:bCs/>
    </w:rPr>
  </w:style>
  <w:style w:type="character" w:styleId="1199" w:customStyle="1">
    <w:name w:val="批注主题 字符"/>
    <w:link w:val="1198"/>
    <w:uiPriority w:val="0"/>
    <w:qFormat/>
    <w:rPr>
      <w:rFonts w:ascii="Times New Roman" w:hAnsi="Times New Roman" w:eastAsia="宋体" w:cs="Times New Roman"/>
      <w:b/>
      <w:bCs/>
      <w:sz w:val="21"/>
      <w:szCs w:val="24"/>
      <w:lang w:val="en-US" w:eastAsia="zh-CN" w:bidi="ar-SA"/>
    </w:rPr>
  </w:style>
  <w:style w:type="paragraph" w:styleId="1200" w:customStyle="1">
    <w:name w:val="正文首行缩进1"/>
    <w:basedOn w:val="1162"/>
    <w:uiPriority w:val="99"/>
    <w:unhideWhenUsed/>
    <w:qFormat/>
    <w:pPr>
      <w:ind w:firstLine="420"/>
    </w:pPr>
  </w:style>
  <w:style w:type="paragraph" w:styleId="1201" w:customStyle="1">
    <w:name w:val="正文首行缩进 21"/>
    <w:basedOn w:val="1165"/>
    <w:link w:val="1202"/>
    <w:uiPriority w:val="0"/>
    <w:qFormat/>
    <w:pPr>
      <w:ind w:left="420" w:firstLine="420"/>
      <w:spacing w:after="120" w:line="480" w:lineRule="exact"/>
    </w:pPr>
    <w:rPr>
      <w:szCs w:val="20"/>
    </w:rPr>
  </w:style>
  <w:style w:type="character" w:styleId="1202" w:customStyle="1">
    <w:name w:val="正文文本首行缩进 2 字符"/>
    <w:link w:val="1201"/>
    <w:uiPriority w:val="0"/>
    <w:qFormat/>
    <w:rPr>
      <w:rFonts w:eastAsia="宋体"/>
      <w:sz w:val="24"/>
      <w:szCs w:val="24"/>
      <w:lang w:val="en-US" w:eastAsia="zh-CN" w:bidi="ar-SA"/>
    </w:rPr>
  </w:style>
  <w:style w:type="table" w:styleId="1203" w:customStyle="1">
    <w:name w:val="网格型1"/>
    <w:basedOn w:val="1141"/>
    <w:uiPriority w:val="39"/>
    <w:qFormat/>
    <w:tblPr/>
  </w:style>
  <w:style w:type="table" w:styleId="1204" w:customStyle="1">
    <w:name w:val="中等深浅网格 1 - 强调文字颜色 21"/>
    <w:basedOn w:val="1141"/>
    <w:uiPriority w:val="0"/>
    <w:qFormat/>
    <w:rPr>
      <w:sz w:val="21"/>
      <w:szCs w:val="24"/>
    </w:rPr>
    <w:tblPr/>
  </w:style>
  <w:style w:type="character" w:styleId="1205" w:customStyle="1">
    <w:name w:val="要点1"/>
    <w:link w:val="942"/>
    <w:uiPriority w:val="0"/>
    <w:qFormat/>
    <w:rPr>
      <w:b/>
      <w:bCs/>
    </w:rPr>
  </w:style>
  <w:style w:type="character" w:styleId="1206" w:customStyle="1">
    <w:name w:val="页码1"/>
    <w:link w:val="942"/>
    <w:uiPriority w:val="0"/>
    <w:qFormat/>
  </w:style>
  <w:style w:type="character" w:styleId="1207" w:customStyle="1">
    <w:name w:val="已访问的超链接1"/>
    <w:link w:val="942"/>
    <w:uiPriority w:val="0"/>
    <w:qFormat/>
    <w:rPr>
      <w:color w:val="800080"/>
      <w:u w:val="single"/>
    </w:rPr>
  </w:style>
  <w:style w:type="character" w:styleId="1208" w:customStyle="1">
    <w:name w:val="强调1"/>
    <w:link w:val="942"/>
    <w:uiPriority w:val="0"/>
    <w:qFormat/>
    <w:rPr>
      <w:color w:val="cc0033"/>
    </w:rPr>
  </w:style>
  <w:style w:type="character" w:styleId="1209" w:customStyle="1">
    <w:name w:val="超链接1"/>
    <w:link w:val="942"/>
    <w:uiPriority w:val="99"/>
    <w:qFormat/>
    <w:rPr>
      <w:color w:val="0000ff"/>
      <w:u w:val="single"/>
    </w:rPr>
  </w:style>
  <w:style w:type="character" w:styleId="1210" w:customStyle="1">
    <w:name w:val="批注引用1"/>
    <w:link w:val="942"/>
    <w:uiPriority w:val="99"/>
    <w:qFormat/>
    <w:rPr>
      <w:sz w:val="21"/>
      <w:szCs w:val="21"/>
    </w:rPr>
  </w:style>
  <w:style w:type="character" w:styleId="1211" w:customStyle="1">
    <w:name w:val="HTML 引文1"/>
    <w:link w:val="942"/>
    <w:uiPriority w:val="0"/>
    <w:qFormat/>
    <w:rPr>
      <w:i/>
      <w:iCs/>
    </w:rPr>
  </w:style>
  <w:style w:type="paragraph" w:styleId="1212" w:customStyle="1">
    <w:name w:val="首行缩进"/>
    <w:basedOn w:val="942"/>
    <w:uiPriority w:val="0"/>
    <w:qFormat/>
    <w:pPr>
      <w:ind w:firstLine="420"/>
      <w:spacing w:line="360" w:lineRule="auto"/>
    </w:pPr>
    <w:rPr>
      <w:sz w:val="20"/>
    </w:rPr>
  </w:style>
  <w:style w:type="paragraph" w:styleId="121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14" w:customStyle="1">
    <w:name w:val="批注文字 字符"/>
    <w:link w:val="942"/>
    <w:uiPriority w:val="99"/>
    <w:qFormat/>
    <w:rPr>
      <w:rFonts w:ascii="Times New Roman" w:hAnsi="Times New Roman" w:eastAsia="宋体" w:cs="Times New Roman"/>
      <w:sz w:val="24"/>
      <w:lang w:val="en-US" w:eastAsia="zh-CN" w:bidi="ar-SA"/>
    </w:rPr>
  </w:style>
  <w:style w:type="character" w:styleId="1215" w:customStyle="1">
    <w:name w:val="c21"/>
    <w:link w:val="942"/>
    <w:uiPriority w:val="0"/>
    <w:qFormat/>
    <w:rPr>
      <w:rFonts w:ascii="ˎ̥" w:hAnsi="ˎ̥"/>
      <w:color w:val="000000"/>
      <w:sz w:val="20"/>
      <w:szCs w:val="20"/>
      <w:u w:val="none"/>
    </w:rPr>
  </w:style>
  <w:style w:type="character" w:styleId="1216" w:customStyle="1">
    <w:name w:val="title4"/>
    <w:link w:val="942"/>
    <w:uiPriority w:val="0"/>
    <w:qFormat/>
    <w:rPr>
      <w:b/>
      <w:bCs/>
      <w:color w:val="1d87b3"/>
      <w:sz w:val="15"/>
      <w:szCs w:val="15"/>
    </w:rPr>
  </w:style>
  <w:style w:type="character" w:styleId="1217" w:customStyle="1">
    <w:name w:val="标题 2 Char Char"/>
    <w:link w:val="942"/>
    <w:uiPriority w:val="0"/>
    <w:qFormat/>
    <w:rPr>
      <w:rFonts w:ascii="Arial" w:hAnsi="Arial" w:eastAsia="黑体"/>
      <w:b/>
      <w:bCs/>
      <w:sz w:val="32"/>
      <w:szCs w:val="32"/>
      <w:lang w:val="en-US" w:eastAsia="zh-CN" w:bidi="ar-SA"/>
    </w:rPr>
  </w:style>
  <w:style w:type="character" w:styleId="1218" w:customStyle="1">
    <w:name w:val="black1"/>
    <w:link w:val="942"/>
    <w:uiPriority w:val="0"/>
    <w:qFormat/>
    <w:rPr>
      <w:color w:val="000000"/>
    </w:rPr>
  </w:style>
  <w:style w:type="character" w:styleId="1219" w:customStyle="1">
    <w:name w:val="street-address"/>
    <w:link w:val="942"/>
    <w:uiPriority w:val="0"/>
    <w:qFormat/>
  </w:style>
  <w:style w:type="character" w:styleId="1220" w:customStyle="1">
    <w:name w:val="locality"/>
    <w:link w:val="942"/>
    <w:uiPriority w:val="0"/>
    <w:qFormat/>
  </w:style>
  <w:style w:type="character" w:styleId="1221" w:customStyle="1">
    <w:name w:val="正文文本缩进 Char1"/>
    <w:link w:val="1222"/>
    <w:uiPriority w:val="0"/>
    <w:qFormat/>
    <w:rPr>
      <w:rFonts w:ascii="宋体" w:hAnsi="宋体" w:eastAsia="宋体"/>
      <w:sz w:val="24"/>
      <w:szCs w:val="24"/>
      <w:lang w:bidi="ar-SA"/>
    </w:rPr>
  </w:style>
  <w:style w:type="paragraph" w:styleId="1222" w:customStyle="1">
    <w:name w:val="正文文本缩进1"/>
    <w:basedOn w:val="942"/>
    <w:link w:val="1221"/>
    <w:uiPriority w:val="0"/>
    <w:qFormat/>
    <w:pPr>
      <w:ind w:firstLine="480"/>
      <w:spacing w:line="480" w:lineRule="exact"/>
    </w:pPr>
    <w:rPr>
      <w:rFonts w:ascii="宋体" w:hAnsi="宋体"/>
      <w:sz w:val="24"/>
    </w:rPr>
  </w:style>
  <w:style w:type="character" w:styleId="1223" w:customStyle="1">
    <w:name w:val="Char Char11"/>
    <w:link w:val="942"/>
    <w:uiPriority w:val="0"/>
    <w:qFormat/>
    <w:rPr>
      <w:rFonts w:ascii="宋体" w:eastAsia="宋体"/>
      <w:b/>
      <w:sz w:val="24"/>
      <w:u w:val="single"/>
      <w:lang w:val="en-US" w:eastAsia="zh-CN" w:bidi="ar-SA"/>
    </w:rPr>
  </w:style>
  <w:style w:type="character" w:styleId="1224" w:customStyle="1">
    <w:name w:val="txt"/>
    <w:link w:val="942"/>
    <w:uiPriority w:val="0"/>
    <w:qFormat/>
  </w:style>
  <w:style w:type="character" w:styleId="1225" w:customStyle="1">
    <w:name w:val="正文缩进 Char Char"/>
    <w:link w:val="1226"/>
    <w:uiPriority w:val="0"/>
    <w:qFormat/>
    <w:rPr>
      <w:rFonts w:ascii="宋体" w:eastAsia="宋体"/>
      <w:color w:val="000000"/>
      <w:sz w:val="28"/>
      <w:lang w:bidi="ar-SA"/>
    </w:rPr>
  </w:style>
  <w:style w:type="paragraph" w:styleId="1226" w:customStyle="1">
    <w:name w:val="正文缩进1"/>
    <w:basedOn w:val="942"/>
    <w:link w:val="1225"/>
    <w:uiPriority w:val="0"/>
    <w:qFormat/>
    <w:pPr>
      <w:ind w:firstLine="567"/>
      <w:spacing w:line="480" w:lineRule="exact"/>
      <w:widowControl/>
    </w:pPr>
    <w:rPr>
      <w:rFonts w:ascii="宋体"/>
      <w:color w:val="000000"/>
      <w:sz w:val="28"/>
      <w:szCs w:val="20"/>
    </w:rPr>
  </w:style>
  <w:style w:type="character" w:styleId="1227" w:customStyle="1">
    <w:name w:val="普通文字1 Char1"/>
    <w:link w:val="942"/>
    <w:uiPriority w:val="0"/>
    <w:qFormat/>
    <w:rPr>
      <w:rFonts w:ascii="宋体" w:hAnsi="Courier New" w:eastAsia="宋体"/>
      <w:sz w:val="21"/>
      <w:lang w:val="en-US" w:eastAsia="zh-CN" w:bidi="ar-SA"/>
    </w:rPr>
  </w:style>
  <w:style w:type="character" w:styleId="1228" w:customStyle="1">
    <w:name w:val="chanpin1"/>
    <w:link w:val="942"/>
    <w:uiPriority w:val="0"/>
    <w:qFormat/>
    <w:rPr>
      <w:rFonts w:ascii="ˎ̥" w:hAnsi="ˎ̥"/>
      <w:color w:val="000000"/>
      <w:sz w:val="20"/>
      <w:szCs w:val="20"/>
      <w:u w:val="none"/>
    </w:rPr>
  </w:style>
  <w:style w:type="character" w:styleId="1229" w:customStyle="1">
    <w:name w:val="列表段落 字符"/>
    <w:link w:val="1230"/>
    <w:uiPriority w:val="34"/>
    <w:qFormat/>
    <w:rPr>
      <w:rFonts w:ascii="Calibri" w:hAnsi="Calibri" w:eastAsia="宋体"/>
      <w:sz w:val="21"/>
      <w:szCs w:val="22"/>
      <w:lang w:val="en-US" w:eastAsia="zh-CN" w:bidi="ar-SA"/>
    </w:rPr>
  </w:style>
  <w:style w:type="paragraph" w:styleId="1230" w:customStyle="1">
    <w:name w:val="列表段落"/>
    <w:basedOn w:val="942"/>
    <w:link w:val="1229"/>
    <w:uiPriority w:val="34"/>
    <w:qFormat/>
    <w:pPr>
      <w:ind w:firstLine="420"/>
    </w:pPr>
    <w:rPr>
      <w:rFonts w:ascii="Calibri" w:hAnsi="Calibri"/>
      <w:szCs w:val="22"/>
    </w:rPr>
  </w:style>
  <w:style w:type="character" w:styleId="1231" w:customStyle="1">
    <w:name w:val="标题 3 Char Char"/>
    <w:link w:val="942"/>
    <w:uiPriority w:val="0"/>
    <w:qFormat/>
    <w:rPr>
      <w:rFonts w:eastAsia="宋体"/>
      <w:b/>
      <w:bCs/>
      <w:sz w:val="32"/>
      <w:szCs w:val="32"/>
      <w:lang w:val="en-US" w:eastAsia="zh-CN" w:bidi="ar-SA"/>
    </w:rPr>
  </w:style>
  <w:style w:type="character" w:styleId="1232" w:customStyle="1">
    <w:name w:val="段1 Char"/>
    <w:link w:val="942"/>
    <w:uiPriority w:val="0"/>
    <w:qFormat/>
    <w:rPr>
      <w:rFonts w:ascii="宋体" w:eastAsia="宋体"/>
      <w:sz w:val="24"/>
      <w:lang w:val="en-US" w:eastAsia="zh-CN" w:bidi="ar-SA"/>
    </w:rPr>
  </w:style>
  <w:style w:type="character" w:styleId="1233" w:customStyle="1">
    <w:name w:val="chanpin拷贝"/>
    <w:link w:val="942"/>
    <w:uiPriority w:val="0"/>
    <w:qFormat/>
  </w:style>
  <w:style w:type="character" w:styleId="1234" w:customStyle="1">
    <w:name w:val="纯文本 Char1"/>
    <w:link w:val="942"/>
    <w:uiPriority w:val="0"/>
    <w:qFormat/>
    <w:rPr>
      <w:rFonts w:ascii="宋体" w:hAnsi="Courier New" w:eastAsia="宋体"/>
      <w:sz w:val="21"/>
      <w:lang w:val="en-US" w:eastAsia="zh-CN" w:bidi="ar-SA"/>
    </w:rPr>
  </w:style>
  <w:style w:type="character" w:styleId="1235" w:customStyle="1">
    <w:name w:val="apple-style-span"/>
    <w:link w:val="942"/>
    <w:uiPriority w:val="0"/>
    <w:qFormat/>
    <w:rPr>
      <w:rFonts w:cs="Times New Roman"/>
    </w:rPr>
  </w:style>
  <w:style w:type="paragraph" w:styleId="1236" w:customStyle="1">
    <w:name w:val="二级条标题"/>
    <w:basedOn w:val="1237"/>
    <w:next w:val="94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37" w:customStyle="1">
    <w:name w:val="一级条标题"/>
    <w:basedOn w:val="1238"/>
    <w:next w:val="942"/>
    <w:uiPriority w:val="0"/>
    <w:qFormat/>
    <w:pPr>
      <w:numPr>
        <w:ilvl w:val="1"/>
      </w:numPr>
      <w:ind w:left="0" w:hanging="840"/>
      <w:tabs>
        <w:tab w:val="left" w:pos="360" w:leader="none"/>
        <w:tab w:val="left" w:pos="840" w:leader="none"/>
      </w:tabs>
      <w:outlineLvl w:val="1"/>
    </w:pPr>
  </w:style>
  <w:style w:type="paragraph" w:styleId="1238" w:customStyle="1">
    <w:name w:val="章标题"/>
    <w:next w:val="94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39" w:customStyle="1">
    <w:name w:val="font7"/>
    <w:basedOn w:val="942"/>
    <w:uiPriority w:val="0"/>
    <w:qFormat/>
    <w:pPr>
      <w:jc w:val="left"/>
      <w:spacing w:before="100" w:beforeAutospacing="1" w:after="100" w:afterAutospacing="1"/>
      <w:widowControl/>
    </w:pPr>
    <w:rPr>
      <w:rFonts w:eastAsia="Arial Unicode MS"/>
      <w:b/>
      <w:bCs/>
      <w:color w:val="000000"/>
      <w:sz w:val="20"/>
      <w:szCs w:val="20"/>
    </w:rPr>
  </w:style>
  <w:style w:type="paragraph" w:styleId="1240" w:customStyle="1">
    <w:name w:val="字元 字元"/>
    <w:basedOn w:val="942"/>
    <w:uiPriority w:val="0"/>
    <w:qFormat/>
    <w:rPr>
      <w:rFonts w:ascii="Tahoma" w:hAnsi="Tahoma"/>
      <w:sz w:val="24"/>
      <w:szCs w:val="20"/>
    </w:rPr>
  </w:style>
  <w:style w:type="paragraph" w:styleId="1241" w:customStyle="1">
    <w:name w:val="Char3 Char Char Char"/>
    <w:basedOn w:val="942"/>
    <w:uiPriority w:val="0"/>
    <w:qFormat/>
    <w:rPr>
      <w:rFonts w:ascii="Tahoma" w:hAnsi="Tahoma"/>
      <w:sz w:val="24"/>
      <w:szCs w:val="20"/>
    </w:rPr>
  </w:style>
  <w:style w:type="paragraph" w:styleId="1242" w:customStyle="1">
    <w:name w:val="font6"/>
    <w:basedOn w:val="942"/>
    <w:uiPriority w:val="0"/>
    <w:qFormat/>
    <w:pPr>
      <w:jc w:val="left"/>
      <w:spacing w:before="100" w:beforeAutospacing="1" w:after="100" w:afterAutospacing="1"/>
      <w:widowControl/>
    </w:pPr>
    <w:rPr>
      <w:rFonts w:ascii="宋体" w:hAnsi="宋体" w:cs="宋体"/>
      <w:sz w:val="20"/>
      <w:szCs w:val="20"/>
    </w:rPr>
  </w:style>
  <w:style w:type="paragraph" w:styleId="1243" w:customStyle="1">
    <w:name w:val="项目编号2"/>
    <w:basedOn w:val="1244"/>
    <w:uiPriority w:val="0"/>
    <w:qFormat/>
    <w:pPr>
      <w:numPr>
        <w:numId w:val="2"/>
      </w:numPr>
    </w:pPr>
  </w:style>
  <w:style w:type="paragraph" w:styleId="1244" w:customStyle="1">
    <w:name w:val="项目编号1"/>
    <w:basedOn w:val="942"/>
    <w:uiPriority w:val="0"/>
    <w:qFormat/>
    <w:pPr>
      <w:numPr>
        <w:ilvl w:val="0"/>
        <w:numId w:val="3"/>
      </w:numPr>
      <w:spacing w:before="100" w:beforeAutospacing="1" w:after="100" w:afterAutospacing="1" w:line="360" w:lineRule="auto"/>
    </w:pPr>
    <w:rPr>
      <w:sz w:val="24"/>
    </w:rPr>
  </w:style>
  <w:style w:type="paragraph" w:styleId="1245" w:customStyle="1">
    <w:name w:val="图中文字"/>
    <w:basedOn w:val="942"/>
    <w:uiPriority w:val="0"/>
    <w:qFormat/>
    <w:pPr>
      <w:jc w:val="center"/>
      <w:spacing w:line="0" w:lineRule="atLeast"/>
    </w:pPr>
    <w:rPr>
      <w:sz w:val="24"/>
      <w:szCs w:val="20"/>
    </w:rPr>
  </w:style>
  <w:style w:type="paragraph" w:styleId="1246" w:customStyle="1">
    <w:name w:val="xl46"/>
    <w:basedOn w:val="94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7" w:customStyle="1">
    <w:name w:val="xl25"/>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Char2"/>
    <w:basedOn w:val="942"/>
    <w:uiPriority w:val="0"/>
    <w:qFormat/>
    <w:rPr>
      <w:rFonts w:ascii="Tahoma" w:hAnsi="Tahoma"/>
      <w:sz w:val="24"/>
      <w:szCs w:val="20"/>
    </w:rPr>
  </w:style>
  <w:style w:type="paragraph" w:styleId="1249" w:customStyle="1">
    <w:name w:val="xl35"/>
    <w:basedOn w:val="9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customStyle="1">
    <w:name w:val="xl40"/>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customStyle="1">
    <w:name w:val="xl52"/>
    <w:basedOn w:val="9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2" w:customStyle="1">
    <w:name w:val="xl43"/>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3" w:customStyle="1">
    <w:name w:val="background1"/>
    <w:basedOn w:val="942"/>
    <w:uiPriority w:val="0"/>
    <w:qFormat/>
    <w:pPr>
      <w:jc w:val="left"/>
      <w:spacing w:before="100" w:beforeAutospacing="1" w:after="100" w:afterAutospacing="1"/>
      <w:widowControl/>
    </w:pPr>
    <w:rPr>
      <w:rFonts w:ascii="宋体" w:hAnsi="宋体" w:cs="宋体"/>
      <w:sz w:val="24"/>
    </w:rPr>
  </w:style>
  <w:style w:type="paragraph" w:styleId="1254" w:customStyle="1">
    <w:name w:val="Char Char Char Char Char Char Char"/>
    <w:basedOn w:val="942"/>
    <w:uiPriority w:val="0"/>
    <w:qFormat/>
    <w:pPr>
      <w:ind w:firstLine="200"/>
      <w:spacing w:line="360" w:lineRule="auto"/>
    </w:pPr>
    <w:rPr>
      <w:rFonts w:eastAsia="仿宋_GB2312"/>
      <w:sz w:val="24"/>
    </w:rPr>
  </w:style>
  <w:style w:type="paragraph" w:styleId="1255" w:customStyle="1">
    <w:name w:val="xl38"/>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6" w:customStyle="1">
    <w:name w:val="xl36"/>
    <w:basedOn w:val="94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customStyle="1">
    <w:name w:val="正文 + 宋体"/>
    <w:basedOn w:val="942"/>
    <w:uiPriority w:val="0"/>
    <w:qFormat/>
    <w:pPr>
      <w:ind w:left="360" w:hanging="360"/>
      <w:jc w:val="left"/>
      <w:widowControl/>
    </w:pPr>
    <w:rPr>
      <w:rFonts w:ascii="宋体" w:hAnsi="宋体" w:cs="宋体"/>
      <w:b/>
      <w:bCs/>
      <w:color w:val="000000"/>
      <w:sz w:val="18"/>
      <w:szCs w:val="18"/>
    </w:rPr>
  </w:style>
  <w:style w:type="paragraph" w:styleId="1258" w:customStyle="1">
    <w:name w:val="正文列项_数字"/>
    <w:basedOn w:val="94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59" w:customStyle="1">
    <w:name w:val="xl39"/>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customStyle="1">
    <w:name w:val="xl37"/>
    <w:basedOn w:val="9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xl32"/>
    <w:basedOn w:val="9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customStyle="1">
    <w:name w:val="font8"/>
    <w:basedOn w:val="942"/>
    <w:uiPriority w:val="0"/>
    <w:qFormat/>
    <w:pPr>
      <w:jc w:val="left"/>
      <w:spacing w:before="100" w:beforeAutospacing="1" w:after="100" w:afterAutospacing="1"/>
      <w:widowControl/>
    </w:pPr>
    <w:rPr>
      <w:sz w:val="36"/>
      <w:szCs w:val="36"/>
    </w:rPr>
  </w:style>
  <w:style w:type="paragraph" w:styleId="1263" w:customStyle="1">
    <w:name w:val="Char"/>
    <w:basedOn w:val="942"/>
    <w:uiPriority w:val="0"/>
    <w:qFormat/>
    <w:pPr>
      <w:tabs>
        <w:tab w:val="left" w:pos="360" w:leader="none"/>
      </w:tabs>
    </w:pPr>
    <w:rPr>
      <w:sz w:val="24"/>
    </w:rPr>
  </w:style>
  <w:style w:type="paragraph" w:styleId="1264" w:customStyle="1">
    <w:name w:val="Char Char Char Char Char Char Char Char Char Char Char Char Char Char Char Char"/>
    <w:basedOn w:val="942"/>
    <w:uiPriority w:val="0"/>
    <w:qFormat/>
    <w:pPr>
      <w:jc w:val="center"/>
      <w:spacing w:after="160" w:line="240" w:lineRule="exact"/>
      <w:widowControl/>
    </w:pPr>
    <w:rPr>
      <w:rFonts w:ascii="宋体" w:hAnsi="宋体"/>
      <w:b/>
      <w:sz w:val="30"/>
      <w:szCs w:val="30"/>
      <w:lang w:eastAsia="en-US"/>
    </w:rPr>
  </w:style>
  <w:style w:type="paragraph" w:styleId="1265" w:customStyle="1">
    <w:name w:val="xl45"/>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6" w:customStyle="1">
    <w:name w:val="Char Char1 Char Char Char Char Char Char"/>
    <w:basedOn w:val="942"/>
    <w:uiPriority w:val="0"/>
    <w:qFormat/>
    <w:pPr>
      <w:jc w:val="left"/>
      <w:spacing w:after="160" w:line="240" w:lineRule="exact"/>
      <w:widowControl/>
    </w:pPr>
    <w:rPr>
      <w:rFonts w:ascii="Verdana" w:hAnsi="Verdana" w:eastAsia="仿宋_GB2312"/>
      <w:sz w:val="24"/>
      <w:szCs w:val="20"/>
      <w:lang w:eastAsia="en-US"/>
    </w:rPr>
  </w:style>
  <w:style w:type="paragraph" w:styleId="1267" w:customStyle="1">
    <w:name w:val="Char Char1"/>
    <w:basedOn w:val="1156"/>
    <w:uiPriority w:val="0"/>
    <w:qFormat/>
    <w:rPr>
      <w:rFonts w:ascii="Tahoma" w:hAnsi="Tahoma"/>
      <w:sz w:val="24"/>
    </w:rPr>
  </w:style>
  <w:style w:type="paragraph" w:styleId="1268" w:customStyle="1">
    <w:name w:val="xl26"/>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9" w:customStyle="1">
    <w:name w:val="xl30"/>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customStyle="1">
    <w:name w:val="xl41"/>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1" w:customStyle="1">
    <w:name w:val="样式 宋体 五号 行距: 单倍行距"/>
    <w:basedOn w:val="942"/>
    <w:uiPriority w:val="0"/>
    <w:qFormat/>
    <w:pPr>
      <w:jc w:val="left"/>
    </w:pPr>
    <w:rPr>
      <w:rFonts w:ascii="宋体" w:hAnsi="宋体"/>
      <w:szCs w:val="20"/>
    </w:rPr>
  </w:style>
  <w:style w:type="paragraph" w:styleId="1272" w:customStyle="1">
    <w:name w:val="Char1 Char Char Char1"/>
    <w:basedOn w:val="942"/>
    <w:uiPriority w:val="0"/>
    <w:qFormat/>
    <w:rPr>
      <w:rFonts w:ascii="Tahoma" w:hAnsi="Tahoma" w:cs="仿宋_GB2312"/>
      <w:sz w:val="24"/>
      <w:szCs w:val="28"/>
    </w:rPr>
  </w:style>
  <w:style w:type="paragraph" w:styleId="1273" w:customStyle="1">
    <w:name w:val="四级条标题"/>
    <w:basedOn w:val="1274"/>
    <w:next w:val="942"/>
    <w:uiPriority w:val="0"/>
    <w:qFormat/>
    <w:pPr>
      <w:numPr>
        <w:ilvl w:val="4"/>
      </w:numPr>
      <w:ind w:left="0" w:hanging="840"/>
      <w:tabs>
        <w:tab w:val="left" w:pos="360" w:leader="none"/>
        <w:tab w:val="left" w:pos="840" w:leader="none"/>
      </w:tabs>
      <w:outlineLvl w:val="4"/>
    </w:pPr>
  </w:style>
  <w:style w:type="paragraph" w:styleId="1274" w:customStyle="1">
    <w:name w:val="三级条标题"/>
    <w:basedOn w:val="1236"/>
    <w:next w:val="942"/>
    <w:uiPriority w:val="0"/>
    <w:qFormat/>
    <w:pPr>
      <w:numPr>
        <w:ilvl w:val="3"/>
        <w:numId w:val="1"/>
      </w:numPr>
      <w:ind w:left="0" w:hanging="840"/>
      <w:outlineLvl w:val="3"/>
    </w:pPr>
  </w:style>
  <w:style w:type="paragraph" w:styleId="127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76" w:customStyle="1">
    <w:name w:val="样式 标题 2 + 宋体 五号 行距: 单倍行距"/>
    <w:basedOn w:val="1132"/>
    <w:uiPriority w:val="0"/>
    <w:qFormat/>
    <w:pPr>
      <w:numPr>
        <w:ilvl w:val="1"/>
        <w:numId w:val="4"/>
      </w:numPr>
      <w:jc w:val="left"/>
      <w:spacing w:before="260" w:after="260" w:line="240" w:lineRule="auto"/>
    </w:pPr>
    <w:rPr>
      <w:rFonts w:ascii="宋体" w:hAnsi="宋体" w:eastAsia="宋体"/>
      <w:bCs/>
      <w:sz w:val="21"/>
    </w:rPr>
  </w:style>
  <w:style w:type="paragraph" w:styleId="1277" w:customStyle="1">
    <w:name w:val="List Paragraph1"/>
    <w:basedOn w:val="942"/>
    <w:uiPriority w:val="0"/>
    <w:qFormat/>
    <w:pPr>
      <w:ind w:firstLine="420"/>
    </w:pPr>
    <w:rPr>
      <w:rFonts w:ascii="Calibri" w:hAnsi="Calibri"/>
      <w:szCs w:val="22"/>
    </w:rPr>
  </w:style>
  <w:style w:type="paragraph" w:styleId="1278" w:customStyle="1">
    <w:name w:val="项目符号1"/>
    <w:basedOn w:val="1279"/>
    <w:uiPriority w:val="0"/>
    <w:qFormat/>
    <w:pPr>
      <w:ind w:left="-25" w:firstLine="0"/>
    </w:pPr>
  </w:style>
  <w:style w:type="paragraph" w:styleId="1279" w:customStyle="1">
    <w:name w:val="正文文本样式"/>
    <w:basedOn w:val="942"/>
    <w:uiPriority w:val="0"/>
    <w:qFormat/>
    <w:pPr>
      <w:ind w:firstLine="482"/>
      <w:spacing w:line="360" w:lineRule="auto"/>
    </w:pPr>
    <w:rPr>
      <w:rFonts w:cs="宋体"/>
      <w:sz w:val="24"/>
      <w:szCs w:val="20"/>
    </w:rPr>
  </w:style>
  <w:style w:type="paragraph" w:styleId="1280" w:customStyle="1">
    <w:name w:val="xl27"/>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1" w:customStyle="1">
    <w:name w:val="font5"/>
    <w:basedOn w:val="942"/>
    <w:uiPriority w:val="0"/>
    <w:qFormat/>
    <w:pPr>
      <w:jc w:val="left"/>
      <w:spacing w:before="100" w:beforeAutospacing="1" w:after="100" w:afterAutospacing="1"/>
      <w:widowControl/>
    </w:pPr>
    <w:rPr>
      <w:rFonts w:ascii="宋体" w:hAnsi="宋体" w:cs="宋体"/>
      <w:sz w:val="18"/>
      <w:szCs w:val="18"/>
    </w:rPr>
  </w:style>
  <w:style w:type="paragraph" w:styleId="1282" w:customStyle="1">
    <w:name w:val="五级条标题"/>
    <w:basedOn w:val="1273"/>
    <w:next w:val="942"/>
    <w:uiPriority w:val="0"/>
    <w:qFormat/>
    <w:pPr>
      <w:numPr>
        <w:ilvl w:val="5"/>
      </w:numPr>
      <w:ind w:left="0" w:hanging="840"/>
      <w:outlineLvl w:val="5"/>
    </w:pPr>
  </w:style>
  <w:style w:type="paragraph" w:styleId="1283" w:customStyle="1">
    <w:name w:val="xl49"/>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4" w:customStyle="1">
    <w:name w:val="文档正文"/>
    <w:basedOn w:val="942"/>
    <w:uiPriority w:val="0"/>
    <w:qFormat/>
    <w:pPr>
      <w:spacing w:before="120" w:after="120" w:line="180" w:lineRule="auto"/>
    </w:pPr>
    <w:rPr>
      <w:rFonts w:ascii="Arial" w:hAnsi="Arial"/>
      <w:szCs w:val="20"/>
    </w:rPr>
  </w:style>
  <w:style w:type="paragraph" w:styleId="1285" w:customStyle="1">
    <w:name w:val="xl33"/>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6" w:customStyle="1">
    <w:name w:val="xl42"/>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7" w:customStyle="1">
    <w:name w:val="Char Char Char1 Char"/>
    <w:basedOn w:val="942"/>
    <w:uiPriority w:val="0"/>
    <w:qFormat/>
    <w:rPr>
      <w:rFonts w:ascii="Tahoma" w:hAnsi="Tahoma"/>
      <w:sz w:val="24"/>
      <w:szCs w:val="20"/>
    </w:rPr>
  </w:style>
  <w:style w:type="paragraph" w:styleId="1288" w:customStyle="1">
    <w:name w:val="xl44"/>
    <w:basedOn w:val="9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9" w:customStyle="1">
    <w:name w:val="1名"/>
    <w:basedOn w:val="942"/>
    <w:uiPriority w:val="0"/>
    <w:qFormat/>
    <w:pPr>
      <w:numPr>
        <w:ilvl w:val="0"/>
        <w:numId w:val="5"/>
      </w:numPr>
      <w:spacing w:before="120"/>
    </w:pPr>
    <w:rPr>
      <w:rFonts w:ascii="宋体"/>
      <w:sz w:val="28"/>
      <w:szCs w:val="20"/>
    </w:rPr>
  </w:style>
  <w:style w:type="paragraph" w:styleId="1290" w:customStyle="1">
    <w:name w:val="font9"/>
    <w:basedOn w:val="94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1" w:customStyle="1">
    <w:name w:val="Char Char Char1 Char1"/>
    <w:basedOn w:val="942"/>
    <w:uiPriority w:val="0"/>
    <w:qFormat/>
    <w:rPr>
      <w:rFonts w:ascii="Tahoma" w:hAnsi="Tahoma"/>
      <w:sz w:val="24"/>
      <w:szCs w:val="20"/>
    </w:rPr>
  </w:style>
  <w:style w:type="paragraph" w:styleId="1292" w:customStyle="1">
    <w:name w:val="Char Char Char Char Char Char Char Char Char Char"/>
    <w:basedOn w:val="942"/>
    <w:uiPriority w:val="0"/>
    <w:qFormat/>
  </w:style>
  <w:style w:type="paragraph" w:styleId="1293" w:customStyle="1">
    <w:name w:val="Char Char1 Char Char Char Char Char Char Char Char"/>
    <w:basedOn w:val="942"/>
    <w:uiPriority w:val="0"/>
    <w:qFormat/>
    <w:pPr>
      <w:jc w:val="left"/>
      <w:spacing w:after="160" w:line="240" w:lineRule="exact"/>
      <w:widowControl/>
    </w:pPr>
    <w:rPr>
      <w:rFonts w:ascii="Verdana" w:hAnsi="Verdana"/>
      <w:sz w:val="20"/>
      <w:szCs w:val="20"/>
      <w:lang w:eastAsia="en-US"/>
    </w:rPr>
  </w:style>
  <w:style w:type="paragraph" w:styleId="1294" w:customStyle="1">
    <w:name w:val="Char1"/>
    <w:basedOn w:val="942"/>
    <w:uiPriority w:val="0"/>
    <w:qFormat/>
    <w:pPr>
      <w:tabs>
        <w:tab w:val="left" w:pos="360" w:leader="none"/>
      </w:tabs>
    </w:pPr>
    <w:rPr>
      <w:sz w:val="24"/>
    </w:rPr>
  </w:style>
  <w:style w:type="paragraph" w:styleId="1295" w:customStyle="1">
    <w:name w:val="正文列项_字母"/>
    <w:basedOn w:val="94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96" w:customStyle="1">
    <w:name w:val="xl28"/>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7" w:customStyle="1">
    <w:name w:val="xl47"/>
    <w:basedOn w:val="9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customStyle="1">
    <w:name w:val="默认段落字体 Para Char Char Char Char"/>
    <w:basedOn w:val="942"/>
    <w:uiPriority w:val="0"/>
    <w:qFormat/>
    <w:rPr>
      <w:rFonts w:ascii="Arial" w:hAnsi="Arial" w:cs="Arial"/>
      <w:szCs w:val="21"/>
    </w:rPr>
  </w:style>
  <w:style w:type="paragraph" w:styleId="1299" w:customStyle="1">
    <w:name w:val="xl48"/>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0" w:customStyle="1">
    <w:name w:val="xl31"/>
    <w:basedOn w:val="9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customStyle="1">
    <w:name w:val="xl53"/>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customStyle="1">
    <w:name w:val="Char Char Char"/>
    <w:basedOn w:val="942"/>
    <w:uiPriority w:val="0"/>
    <w:qFormat/>
    <w:rPr>
      <w:rFonts w:ascii="Tahoma" w:hAnsi="Tahoma"/>
      <w:sz w:val="24"/>
      <w:szCs w:val="20"/>
    </w:rPr>
  </w:style>
  <w:style w:type="paragraph" w:styleId="1303" w:customStyle="1">
    <w:name w:val="xl50"/>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4" w:customStyle="1">
    <w:name w:val="缺省文本"/>
    <w:basedOn w:val="942"/>
    <w:uiPriority w:val="0"/>
    <w:qFormat/>
    <w:pPr>
      <w:jc w:val="left"/>
    </w:pPr>
    <w:rPr>
      <w:sz w:val="24"/>
    </w:rPr>
  </w:style>
  <w:style w:type="paragraph" w:styleId="1305" w:customStyle="1">
    <w:name w:val="Char Char Char1"/>
    <w:basedOn w:val="942"/>
    <w:uiPriority w:val="0"/>
    <w:qFormat/>
    <w:rPr>
      <w:rFonts w:ascii="Tahoma" w:hAnsi="Tahoma"/>
      <w:sz w:val="24"/>
      <w:szCs w:val="20"/>
    </w:rPr>
  </w:style>
  <w:style w:type="paragraph" w:styleId="1306" w:customStyle="1">
    <w:name w:val="Char Char Char Char Char Char Char1"/>
    <w:basedOn w:val="942"/>
    <w:uiPriority w:val="0"/>
    <w:qFormat/>
    <w:pPr>
      <w:ind w:firstLine="200"/>
      <w:spacing w:line="360" w:lineRule="auto"/>
    </w:pPr>
    <w:rPr>
      <w:rFonts w:eastAsia="仿宋_GB2312"/>
      <w:sz w:val="24"/>
    </w:rPr>
  </w:style>
  <w:style w:type="paragraph" w:styleId="1307" w:customStyle="1">
    <w:name w:val="xl51"/>
    <w:basedOn w:val="94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customStyle="1">
    <w:name w:val="样式2"/>
    <w:basedOn w:val="1195"/>
    <w:uiPriority w:val="0"/>
    <w:qFormat/>
    <w:pPr>
      <w:jc w:val="center"/>
      <w:spacing w:line="360" w:lineRule="auto"/>
    </w:pPr>
    <w:rPr>
      <w:sz w:val="24"/>
    </w:rPr>
  </w:style>
  <w:style w:type="paragraph" w:styleId="1309" w:customStyle="1">
    <w:name w:val="xl24"/>
    <w:basedOn w:val="9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0" w:customStyle="1">
    <w:name w:val="xl29"/>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1" w:customStyle="1">
    <w:name w:val="正文 + 楷体_GB2312"/>
    <w:basedOn w:val="942"/>
    <w:uiPriority w:val="0"/>
    <w:qFormat/>
    <w:pPr>
      <w:jc w:val="left"/>
      <w:widowControl/>
    </w:pPr>
    <w:rPr>
      <w:rFonts w:ascii="楷体_GB2312" w:eastAsia="楷体_GB2312" w:cs="Arial"/>
      <w:sz w:val="24"/>
    </w:rPr>
  </w:style>
  <w:style w:type="paragraph" w:styleId="1312" w:customStyle="1">
    <w:name w:val="xl34"/>
    <w:basedOn w:val="9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3" w:customStyle="1">
    <w:name w:val="1 Char Char Char Char"/>
    <w:basedOn w:val="942"/>
    <w:uiPriority w:val="0"/>
    <w:qFormat/>
    <w:rPr>
      <w:rFonts w:ascii="Tahoma" w:hAnsi="Tahoma"/>
      <w:sz w:val="24"/>
      <w:szCs w:val="20"/>
    </w:rPr>
  </w:style>
  <w:style w:type="paragraph" w:styleId="1314" w:customStyle="1">
    <w:name w:val="列出段落1"/>
    <w:basedOn w:val="942"/>
    <w:uiPriority w:val="0"/>
    <w:qFormat/>
    <w:pPr>
      <w:ind w:firstLine="420"/>
    </w:pPr>
    <w:rPr>
      <w:rFonts w:ascii="Calibri" w:hAnsi="Calibri"/>
      <w:szCs w:val="22"/>
    </w:rPr>
  </w:style>
  <w:style w:type="paragraph" w:styleId="1315" w:customStyle="1">
    <w:name w:val="default"/>
    <w:basedOn w:val="942"/>
    <w:uiPriority w:val="0"/>
    <w:qFormat/>
    <w:pPr>
      <w:jc w:val="left"/>
      <w:spacing w:before="100" w:beforeAutospacing="1" w:after="100" w:afterAutospacing="1"/>
      <w:widowControl/>
    </w:pPr>
    <w:rPr>
      <w:rFonts w:ascii="宋体" w:hAnsi="宋体" w:cs="宋体"/>
      <w:sz w:val="24"/>
    </w:rPr>
  </w:style>
  <w:style w:type="paragraph" w:styleId="1316" w:customStyle="1">
    <w:name w:val="字元 字元1"/>
    <w:basedOn w:val="942"/>
    <w:uiPriority w:val="0"/>
    <w:qFormat/>
    <w:rPr>
      <w:rFonts w:ascii="Tahoma" w:hAnsi="Tahoma"/>
      <w:sz w:val="24"/>
      <w:szCs w:val="20"/>
    </w:rPr>
  </w:style>
  <w:style w:type="paragraph" w:styleId="1317" w:customStyle="1">
    <w:name w:val="_Style 160"/>
    <w:uiPriority w:val="0"/>
    <w:qFormat/>
    <w:rPr>
      <w:rFonts w:hint="default" w:ascii="Times New Roman" w:hAnsi="Times New Roman" w:eastAsia="宋体" w:cs="Times New Roman"/>
      <w:sz w:val="21"/>
      <w:szCs w:val="24"/>
      <w:lang w:val="en-US" w:eastAsia="zh-CN" w:bidi="ar-SA"/>
    </w:rPr>
  </w:style>
  <w:style w:type="paragraph" w:styleId="1318" w:customStyle="1">
    <w:name w:val="项目编号3"/>
    <w:basedOn w:val="1279"/>
    <w:uiPriority w:val="0"/>
    <w:qFormat/>
    <w:pPr>
      <w:numPr>
        <w:ilvl w:val="0"/>
        <w:numId w:val="6"/>
      </w:numPr>
    </w:pPr>
  </w:style>
  <w:style w:type="paragraph" w:styleId="1319" w:customStyle="1">
    <w:name w:val="Char21"/>
    <w:basedOn w:val="942"/>
    <w:uiPriority w:val="0"/>
    <w:qFormat/>
    <w:rPr>
      <w:rFonts w:ascii="Tahoma" w:hAnsi="Tahoma"/>
      <w:sz w:val="24"/>
      <w:szCs w:val="20"/>
    </w:rPr>
  </w:style>
  <w:style w:type="paragraph" w:styleId="1320" w:customStyle="1">
    <w:name w:val="表格文字"/>
    <w:basedOn w:val="1165"/>
    <w:uiPriority w:val="0"/>
    <w:qFormat/>
    <w:pPr>
      <w:ind w:firstLine="0"/>
      <w:spacing w:before="20" w:after="20" w:line="240" w:lineRule="auto"/>
    </w:pPr>
    <w:rPr>
      <w:rFonts w:ascii="Century Gothic" w:hAnsi="Century Gothic"/>
      <w:sz w:val="20"/>
      <w:szCs w:val="20"/>
    </w:rPr>
  </w:style>
  <w:style w:type="paragraph" w:styleId="1321" w:customStyle="1">
    <w:name w:val="Char Char Char Char Char Char Char Char Char Char1"/>
    <w:basedOn w:val="942"/>
    <w:uiPriority w:val="0"/>
    <w:qFormat/>
    <w:rPr>
      <w:rFonts w:ascii="宋体" w:hAnsi="宋体" w:cs="Courier New"/>
      <w:sz w:val="32"/>
      <w:szCs w:val="32"/>
    </w:rPr>
  </w:style>
  <w:style w:type="paragraph" w:styleId="1322" w:customStyle="1">
    <w:name w:val="正文文本样式 加粗"/>
    <w:basedOn w:val="1279"/>
    <w:uiPriority w:val="0"/>
    <w:qFormat/>
    <w:rPr>
      <w:b/>
    </w:rPr>
  </w:style>
  <w:style w:type="paragraph" w:styleId="1323" w:customStyle="1">
    <w:name w:val="Char2 Char Char Char Char Char Char"/>
    <w:basedOn w:val="942"/>
    <w:uiPriority w:val="0"/>
    <w:qFormat/>
    <w:pPr>
      <w:jc w:val="center"/>
      <w:spacing w:line="400" w:lineRule="exact"/>
      <w:widowControl/>
    </w:pPr>
  </w:style>
  <w:style w:type="paragraph" w:styleId="1324" w:customStyle="1">
    <w:name w:val="Char Char4"/>
    <w:basedOn w:val="942"/>
    <w:uiPriority w:val="0"/>
    <w:qFormat/>
    <w:pPr>
      <w:jc w:val="center"/>
      <w:spacing w:line="400" w:lineRule="exact"/>
      <w:widowControl/>
    </w:pPr>
  </w:style>
  <w:style w:type="paragraph" w:styleId="1325" w:customStyle="1">
    <w:name w:val="Char3 Char Char Char1"/>
    <w:basedOn w:val="942"/>
    <w:uiPriority w:val="0"/>
    <w:qFormat/>
    <w:rPr>
      <w:rFonts w:ascii="Tahoma" w:hAnsi="Tahoma"/>
      <w:sz w:val="24"/>
      <w:szCs w:val="20"/>
    </w:rPr>
  </w:style>
  <w:style w:type="paragraph" w:styleId="132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22222222222222"/>
    <w:basedOn w:val="942"/>
    <w:uiPriority w:val="0"/>
    <w:qFormat/>
    <w:pPr>
      <w:ind w:firstLine="480"/>
      <w:jc w:val="left"/>
      <w:spacing w:line="360" w:lineRule="auto"/>
      <w:widowControl/>
    </w:pPr>
    <w:rPr>
      <w:color w:val="ff0000"/>
      <w:sz w:val="24"/>
      <w:szCs w:val="20"/>
    </w:rPr>
  </w:style>
  <w:style w:type="character" w:styleId="1328" w:customStyle="1">
    <w:name w:val="中等深浅网格 1 - 强调文字颜色 2 Char"/>
    <w:link w:val="1329"/>
    <w:uiPriority w:val="0"/>
    <w:qFormat/>
    <w:rPr>
      <w:sz w:val="21"/>
      <w:szCs w:val="24"/>
      <w:lang w:val="zh-CN" w:eastAsia="zh-CN" w:bidi="ar-SA"/>
    </w:rPr>
  </w:style>
  <w:style w:type="paragraph" w:styleId="1329" w:customStyle="1">
    <w:name w:val="1"/>
    <w:link w:val="1328"/>
    <w:uiPriority w:val="0"/>
    <w:qFormat/>
    <w:rPr>
      <w:rFonts w:hint="default" w:ascii="Times New Roman" w:hAnsi="Times New Roman" w:eastAsia="宋体" w:cs="Times New Roman"/>
      <w:sz w:val="21"/>
      <w:szCs w:val="24"/>
      <w:lang w:val="zh-CN" w:eastAsia="zh-CN" w:bidi="ar-SA"/>
    </w:rPr>
  </w:style>
  <w:style w:type="paragraph" w:styleId="1330" w:customStyle="1">
    <w:name w:val="图文"/>
    <w:basedOn w:val="942"/>
    <w:uiPriority w:val="0"/>
    <w:qFormat/>
    <w:pPr>
      <w:spacing w:after="50" w:line="360" w:lineRule="auto"/>
    </w:pPr>
    <w:rPr>
      <w:sz w:val="24"/>
    </w:rPr>
  </w:style>
  <w:style w:type="paragraph" w:styleId="1331" w:customStyle="1">
    <w:name w:val="xl23"/>
    <w:basedOn w:val="942"/>
    <w:uiPriority w:val="0"/>
    <w:qFormat/>
    <w:pPr>
      <w:spacing w:before="100" w:beforeAutospacing="1" w:after="100" w:afterAutospacing="1" w:line="360" w:lineRule="auto"/>
      <w:widowControl/>
    </w:pPr>
    <w:rPr>
      <w:sz w:val="24"/>
      <w:szCs w:val="20"/>
    </w:rPr>
  </w:style>
  <w:style w:type="paragraph" w:styleId="1332" w:customStyle="1">
    <w:name w:val="正文表格"/>
    <w:basedOn w:val="942"/>
    <w:link w:val="1333"/>
    <w:uiPriority w:val="0"/>
    <w:qFormat/>
    <w:pPr>
      <w:jc w:val="left"/>
    </w:pPr>
    <w:rPr>
      <w:rFonts w:ascii="宋体" w:hAnsi="宋体"/>
      <w:color w:val="000000"/>
      <w:szCs w:val="21"/>
    </w:rPr>
  </w:style>
  <w:style w:type="character" w:styleId="1333" w:customStyle="1">
    <w:name w:val="正文表格 Char"/>
    <w:link w:val="1332"/>
    <w:uiPriority w:val="0"/>
    <w:qFormat/>
    <w:rPr>
      <w:rFonts w:ascii="宋体" w:hAnsi="宋体"/>
      <w:color w:val="000000"/>
      <w:sz w:val="21"/>
      <w:szCs w:val="21"/>
    </w:rPr>
  </w:style>
  <w:style w:type="paragraph" w:styleId="1334" w:customStyle="1">
    <w:name w:val="正文重点"/>
    <w:basedOn w:val="942"/>
    <w:link w:val="1335"/>
    <w:uiPriority w:val="0"/>
    <w:qFormat/>
    <w:pPr>
      <w:ind w:firstLine="482"/>
      <w:jc w:val="left"/>
      <w:spacing w:line="360" w:lineRule="auto"/>
    </w:pPr>
    <w:rPr>
      <w:b/>
      <w:sz w:val="24"/>
      <w:szCs w:val="20"/>
    </w:rPr>
  </w:style>
  <w:style w:type="character" w:styleId="1335" w:customStyle="1">
    <w:name w:val="正文重点 Char"/>
    <w:link w:val="1334"/>
    <w:uiPriority w:val="0"/>
    <w:qFormat/>
    <w:rPr>
      <w:b/>
      <w:sz w:val="24"/>
    </w:rPr>
  </w:style>
  <w:style w:type="paragraph" w:styleId="1336" w:customStyle="1">
    <w:name w:val="标题1-附件"/>
    <w:basedOn w:val="1131"/>
    <w:uiPriority w:val="0"/>
    <w:qFormat/>
    <w:pPr>
      <w:jc w:val="left"/>
    </w:pPr>
    <w:rPr>
      <w:sz w:val="24"/>
      <w:szCs w:val="24"/>
    </w:rPr>
  </w:style>
  <w:style w:type="paragraph" w:styleId="1337" w:customStyle="1">
    <w:name w:val="正文小标题"/>
    <w:basedOn w:val="942"/>
    <w:next w:val="1153"/>
    <w:link w:val="1338"/>
    <w:uiPriority w:val="0"/>
    <w:qFormat/>
    <w:pPr>
      <w:ind w:firstLine="482"/>
      <w:jc w:val="left"/>
      <w:spacing w:before="312" w:after="312"/>
    </w:pPr>
    <w:rPr>
      <w:rFonts w:ascii="宋体" w:hAnsi="宋体"/>
      <w:b/>
      <w:i/>
      <w:color w:val="ff0000"/>
      <w:sz w:val="24"/>
      <w:szCs w:val="20"/>
    </w:rPr>
  </w:style>
  <w:style w:type="character" w:styleId="1338" w:customStyle="1">
    <w:name w:val="正文小标题 Char"/>
    <w:link w:val="1337"/>
    <w:uiPriority w:val="0"/>
    <w:qFormat/>
    <w:rPr>
      <w:rFonts w:ascii="宋体" w:hAnsi="宋体"/>
      <w:b/>
      <w:i/>
      <w:color w:val="ff0000"/>
      <w:sz w:val="24"/>
    </w:rPr>
  </w:style>
  <w:style w:type="paragraph" w:styleId="1339" w:customStyle="1">
    <w:name w:val="正文大标题"/>
    <w:basedOn w:val="1337"/>
    <w:next w:val="1153"/>
    <w:link w:val="1340"/>
    <w:uiPriority w:val="0"/>
    <w:qFormat/>
    <w:pPr>
      <w:jc w:val="center"/>
    </w:pPr>
    <w:rPr>
      <w:i w:val="0"/>
      <w:color w:val="000000"/>
      <w:sz w:val="28"/>
      <w:szCs w:val="21"/>
    </w:rPr>
  </w:style>
  <w:style w:type="character" w:styleId="1340" w:customStyle="1">
    <w:name w:val="正文大标题 Char"/>
    <w:link w:val="1339"/>
    <w:uiPriority w:val="0"/>
    <w:qFormat/>
    <w:rPr>
      <w:rFonts w:ascii="宋体" w:hAnsi="宋体"/>
      <w:b/>
      <w:color w:val="000000"/>
      <w:sz w:val="28"/>
      <w:szCs w:val="21"/>
    </w:rPr>
  </w:style>
  <w:style w:type="paragraph" w:styleId="1341" w:customStyle="1">
    <w:name w:val="注释"/>
    <w:basedOn w:val="942"/>
    <w:link w:val="1342"/>
    <w:uiPriority w:val="0"/>
    <w:qFormat/>
    <w:pPr>
      <w:ind w:left="420" w:hanging="420"/>
      <w:jc w:val="left"/>
    </w:pPr>
    <w:rPr>
      <w:rFonts w:ascii="宋体" w:hAnsi="宋体"/>
      <w:szCs w:val="21"/>
    </w:rPr>
  </w:style>
  <w:style w:type="character" w:styleId="1342" w:customStyle="1">
    <w:name w:val="注释 Char"/>
    <w:link w:val="1341"/>
    <w:uiPriority w:val="0"/>
    <w:qFormat/>
    <w:rPr>
      <w:rFonts w:ascii="宋体" w:hAnsi="宋体"/>
      <w:sz w:val="21"/>
      <w:szCs w:val="21"/>
    </w:rPr>
  </w:style>
  <w:style w:type="paragraph" w:styleId="1343" w:customStyle="1">
    <w:name w:val="正文须知-1级"/>
    <w:basedOn w:val="942"/>
    <w:next w:val="942"/>
    <w:uiPriority w:val="0"/>
    <w:qFormat/>
    <w:pPr>
      <w:numPr>
        <w:ilvl w:val="0"/>
        <w:numId w:val="7"/>
      </w:numPr>
      <w:spacing w:line="300" w:lineRule="auto"/>
    </w:pPr>
    <w:rPr>
      <w:rFonts w:ascii="宋体" w:hAnsi="Calibri"/>
      <w:sz w:val="24"/>
      <w:szCs w:val="21"/>
    </w:rPr>
  </w:style>
  <w:style w:type="paragraph" w:styleId="1344" w:customStyle="1">
    <w:name w:val="正文须知-2级"/>
    <w:basedOn w:val="942"/>
    <w:uiPriority w:val="0"/>
    <w:qFormat/>
    <w:pPr>
      <w:numPr>
        <w:ilvl w:val="1"/>
        <w:numId w:val="7"/>
      </w:numPr>
      <w:spacing w:line="300" w:lineRule="auto"/>
    </w:pPr>
    <w:rPr>
      <w:rFonts w:ascii="宋体" w:hAnsi="Calibri"/>
      <w:sz w:val="24"/>
      <w:szCs w:val="21"/>
    </w:rPr>
  </w:style>
  <w:style w:type="paragraph" w:styleId="1345" w:customStyle="1">
    <w:name w:val="正文须知-3级"/>
    <w:basedOn w:val="942"/>
    <w:uiPriority w:val="0"/>
    <w:qFormat/>
    <w:pPr>
      <w:numPr>
        <w:ilvl w:val="2"/>
        <w:numId w:val="7"/>
      </w:numPr>
      <w:ind w:hanging="355"/>
      <w:spacing w:line="300" w:lineRule="auto"/>
    </w:pPr>
    <w:rPr>
      <w:rFonts w:ascii="宋体" w:hAnsi="Calibri"/>
      <w:sz w:val="24"/>
      <w:szCs w:val="21"/>
    </w:rPr>
  </w:style>
  <w:style w:type="character" w:styleId="1346" w:customStyle="1">
    <w:name w:val="纯文本 字符"/>
    <w:link w:val="942"/>
    <w:uiPriority w:val="99"/>
    <w:qFormat/>
    <w:rPr>
      <w:rFonts w:ascii="宋体" w:hAnsi="Courier New" w:eastAsia="宋体" w:cs="Times New Roman"/>
      <w:sz w:val="21"/>
      <w:szCs w:val="21"/>
      <w:lang w:val="en-US" w:eastAsia="zh-CN" w:bidi="ar-SA"/>
    </w:rPr>
  </w:style>
  <w:style w:type="paragraph" w:styleId="1347" w:customStyle="1">
    <w:name w:val="表格1"/>
    <w:basedOn w:val="942"/>
    <w:uiPriority w:val="0"/>
    <w:qFormat/>
    <w:pPr>
      <w:ind w:firstLine="480"/>
      <w:jc w:val="center"/>
    </w:pPr>
    <w:rPr>
      <w:sz w:val="24"/>
      <w:szCs w:val="20"/>
    </w:rPr>
  </w:style>
  <w:style w:type="character" w:styleId="1348" w:customStyle="1">
    <w:name w:val="纯文本 字符1"/>
    <w:link w:val="942"/>
    <w:uiPriority w:val="0"/>
    <w:qFormat/>
    <w:rPr>
      <w:rFonts w:ascii="宋体" w:hAnsi="Courier New"/>
    </w:rPr>
  </w:style>
  <w:style w:type="character" w:styleId="1349" w:customStyle="1">
    <w:name w:val="bjh-p"/>
    <w:link w:val="942"/>
    <w:uiPriority w:val="0"/>
    <w:qFormat/>
  </w:style>
  <w:style w:type="paragraph" w:styleId="1350" w:customStyle="1">
    <w:name w:val="无标题条"/>
    <w:next w:val="942"/>
    <w:uiPriority w:val="0"/>
    <w:qFormat/>
    <w:pPr>
      <w:jc w:val="both"/>
    </w:pPr>
    <w:rPr>
      <w:rFonts w:hint="default" w:ascii="Times New Roman" w:hAnsi="Times New Roman" w:eastAsia="宋体" w:cs="Times New Roman"/>
      <w:sz w:val="21"/>
      <w:lang w:val="en-US" w:eastAsia="zh-CN" w:bidi="ar-SA"/>
    </w:rPr>
  </w:style>
  <w:style w:type="character" w:styleId="1351" w:customStyle="1">
    <w:name w:val="正文格式 Char"/>
    <w:link w:val="1352"/>
    <w:uiPriority w:val="0"/>
    <w:qFormat/>
    <w:rPr>
      <w:rFonts w:ascii="宋体" w:hAnsi="宋体"/>
      <w:sz w:val="24"/>
      <w:szCs w:val="24"/>
      <w:lang w:val="en-GB"/>
    </w:rPr>
  </w:style>
  <w:style w:type="paragraph" w:styleId="1352" w:customStyle="1">
    <w:name w:val="正文格式"/>
    <w:basedOn w:val="942"/>
    <w:link w:val="1351"/>
    <w:uiPriority w:val="0"/>
    <w:qFormat/>
    <w:pPr>
      <w:ind w:firstLine="480"/>
      <w:spacing w:line="360" w:lineRule="auto"/>
    </w:pPr>
    <w:rPr>
      <w:rFonts w:ascii="宋体" w:hAnsi="宋体"/>
      <w:sz w:val="24"/>
      <w:lang w:val="en-GB"/>
    </w:rPr>
  </w:style>
  <w:style w:type="character" w:styleId="1353" w:customStyle="1">
    <w:name w:val="标题 3 Char"/>
    <w:link w:val="942"/>
    <w:uiPriority w:val="0"/>
    <w:qFormat/>
    <w:rPr>
      <w:rFonts w:ascii="宋体" w:eastAsia="宋体"/>
      <w:b/>
      <w:sz w:val="24"/>
      <w:u w:val="single"/>
      <w:lang w:val="en-US" w:eastAsia="zh-CN" w:bidi="ar-SA"/>
    </w:rPr>
  </w:style>
  <w:style w:type="character" w:styleId="1354" w:customStyle="1">
    <w:name w:val="正文缩进 Char"/>
    <w:link w:val="942"/>
    <w:uiPriority w:val="0"/>
    <w:qFormat/>
    <w:rPr>
      <w:rFonts w:ascii="宋体" w:eastAsia="宋体"/>
      <w:sz w:val="24"/>
      <w:szCs w:val="24"/>
      <w:lang w:val="en-US" w:eastAsia="zh-CN" w:bidi="ar-SA"/>
    </w:rPr>
  </w:style>
  <w:style w:type="character" w:styleId="1355" w:customStyle="1">
    <w:name w:val="Char Char111"/>
    <w:link w:val="942"/>
    <w:uiPriority w:val="0"/>
    <w:qFormat/>
    <w:rPr>
      <w:rFonts w:ascii="宋体" w:eastAsia="宋体"/>
      <w:b/>
      <w:sz w:val="24"/>
      <w:u w:val="single"/>
      <w:lang w:val="en-US" w:eastAsia="zh-CN" w:bidi="ar-SA"/>
    </w:rPr>
  </w:style>
  <w:style w:type="character" w:styleId="1356" w:customStyle="1">
    <w:name w:val="正文文本缩进 Char"/>
    <w:link w:val="942"/>
    <w:uiPriority w:val="0"/>
    <w:qFormat/>
    <w:rPr>
      <w:rFonts w:eastAsia="宋体"/>
      <w:sz w:val="24"/>
      <w:szCs w:val="24"/>
      <w:lang w:val="en-US" w:eastAsia="zh-CN" w:bidi="ar-SA"/>
    </w:rPr>
  </w:style>
  <w:style w:type="character" w:styleId="1357" w:customStyle="1">
    <w:name w:val="列出段落 Char"/>
    <w:link w:val="942"/>
    <w:uiPriority w:val="0"/>
    <w:qFormat/>
    <w:rPr>
      <w:rFonts w:ascii="Calibri" w:hAnsi="Calibri" w:eastAsia="宋体"/>
      <w:sz w:val="21"/>
      <w:szCs w:val="22"/>
      <w:lang w:val="en-US" w:eastAsia="zh-CN" w:bidi="ar-SA"/>
    </w:rPr>
  </w:style>
  <w:style w:type="character" w:styleId="1358" w:customStyle="1">
    <w:name w:val="页眉 Char"/>
    <w:link w:val="942"/>
    <w:uiPriority w:val="0"/>
    <w:qFormat/>
    <w:rPr>
      <w:rFonts w:eastAsia="宋体"/>
      <w:sz w:val="18"/>
      <w:szCs w:val="18"/>
      <w:lang w:val="en-US" w:eastAsia="zh-CN" w:bidi="ar-SA"/>
    </w:rPr>
  </w:style>
  <w:style w:type="character" w:styleId="1359" w:customStyle="1">
    <w:name w:val="标题 2 Char"/>
    <w:link w:val="942"/>
    <w:uiPriority w:val="0"/>
    <w:qFormat/>
    <w:rPr>
      <w:rFonts w:ascii="Arial" w:hAnsi="Arial" w:eastAsia="黑体"/>
      <w:b/>
      <w:sz w:val="30"/>
      <w:lang w:val="en-US" w:eastAsia="zh-CN" w:bidi="ar-SA"/>
    </w:rPr>
  </w:style>
  <w:style w:type="paragraph" w:styleId="1360" w:customStyle="1">
    <w:name w:val="字元 字元2"/>
    <w:basedOn w:val="942"/>
    <w:uiPriority w:val="0"/>
    <w:qFormat/>
    <w:rPr>
      <w:rFonts w:ascii="Tahoma" w:hAnsi="Tahoma"/>
      <w:sz w:val="24"/>
      <w:szCs w:val="20"/>
    </w:rPr>
  </w:style>
  <w:style w:type="paragraph" w:styleId="1361" w:customStyle="1">
    <w:name w:val="Char3 Char Char Char2"/>
    <w:basedOn w:val="942"/>
    <w:uiPriority w:val="0"/>
    <w:qFormat/>
    <w:rPr>
      <w:rFonts w:ascii="Tahoma" w:hAnsi="Tahoma"/>
      <w:sz w:val="24"/>
      <w:szCs w:val="20"/>
    </w:rPr>
  </w:style>
  <w:style w:type="paragraph" w:styleId="1362" w:customStyle="1">
    <w:name w:val="正文文本缩进2"/>
    <w:basedOn w:val="942"/>
    <w:uiPriority w:val="0"/>
    <w:qFormat/>
    <w:pPr>
      <w:ind w:firstLine="480"/>
      <w:spacing w:line="480" w:lineRule="exact"/>
    </w:pPr>
    <w:rPr>
      <w:rFonts w:ascii="宋体" w:hAnsi="宋体"/>
      <w:sz w:val="24"/>
      <w:lang w:val="zh-CN" w:eastAsia="zh-CN"/>
    </w:rPr>
  </w:style>
  <w:style w:type="paragraph" w:styleId="1363" w:customStyle="1">
    <w:name w:val="Char3"/>
    <w:basedOn w:val="942"/>
    <w:uiPriority w:val="0"/>
    <w:qFormat/>
    <w:pPr>
      <w:tabs>
        <w:tab w:val="left" w:pos="360" w:leader="none"/>
      </w:tabs>
    </w:pPr>
    <w:rPr>
      <w:sz w:val="24"/>
    </w:rPr>
  </w:style>
  <w:style w:type="paragraph" w:styleId="1364" w:customStyle="1">
    <w:name w:val="Char Char Char Char Char Char Char Char Char Char Char Char Char Char Char Char1"/>
    <w:basedOn w:val="942"/>
    <w:uiPriority w:val="0"/>
    <w:qFormat/>
    <w:pPr>
      <w:jc w:val="center"/>
      <w:spacing w:after="160" w:line="240" w:lineRule="exact"/>
      <w:widowControl/>
    </w:pPr>
    <w:rPr>
      <w:rFonts w:ascii="宋体" w:hAnsi="宋体"/>
      <w:b/>
      <w:sz w:val="30"/>
      <w:szCs w:val="30"/>
      <w:lang w:eastAsia="en-US"/>
    </w:rPr>
  </w:style>
  <w:style w:type="paragraph" w:styleId="1365" w:customStyle="1">
    <w:name w:val="Char Char1 Char Char Char Char Char Char1"/>
    <w:basedOn w:val="942"/>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列出段落2"/>
    <w:basedOn w:val="942"/>
    <w:uiPriority w:val="0"/>
    <w:qFormat/>
    <w:pPr>
      <w:ind w:firstLine="420"/>
    </w:pPr>
    <w:rPr>
      <w:rFonts w:ascii="Calibri" w:hAnsi="Calibri"/>
      <w:szCs w:val="22"/>
    </w:rPr>
  </w:style>
  <w:style w:type="paragraph" w:styleId="1367" w:customStyle="1">
    <w:name w:val="Char Char Char1 Char2"/>
    <w:basedOn w:val="942"/>
    <w:uiPriority w:val="0"/>
    <w:qFormat/>
    <w:rPr>
      <w:rFonts w:ascii="Tahoma" w:hAnsi="Tahoma"/>
      <w:sz w:val="24"/>
      <w:szCs w:val="20"/>
    </w:rPr>
  </w:style>
  <w:style w:type="paragraph" w:styleId="1368" w:customStyle="1">
    <w:name w:val="Char Char Char2"/>
    <w:basedOn w:val="942"/>
    <w:uiPriority w:val="0"/>
    <w:qFormat/>
    <w:rPr>
      <w:rFonts w:ascii="Tahoma" w:hAnsi="Tahoma"/>
      <w:sz w:val="24"/>
      <w:szCs w:val="20"/>
    </w:rPr>
  </w:style>
  <w:style w:type="paragraph" w:styleId="1369" w:customStyle="1">
    <w:name w:val="Char Char Char Char Char Char Char2"/>
    <w:basedOn w:val="942"/>
    <w:uiPriority w:val="0"/>
    <w:qFormat/>
    <w:pPr>
      <w:ind w:firstLine="200"/>
      <w:spacing w:line="360" w:lineRule="auto"/>
    </w:pPr>
    <w:rPr>
      <w:rFonts w:eastAsia="仿宋_GB2312"/>
      <w:sz w:val="24"/>
    </w:rPr>
  </w:style>
  <w:style w:type="paragraph" w:styleId="1370" w:customStyle="1">
    <w:name w:val="正文缩进2"/>
    <w:basedOn w:val="942"/>
    <w:uiPriority w:val="0"/>
    <w:qFormat/>
    <w:pPr>
      <w:ind w:firstLine="567"/>
      <w:spacing w:line="480" w:lineRule="exact"/>
      <w:widowControl/>
    </w:pPr>
    <w:rPr>
      <w:rFonts w:ascii="宋体"/>
      <w:color w:val="000000"/>
      <w:sz w:val="28"/>
      <w:szCs w:val="20"/>
      <w:lang w:val="zh-CN" w:eastAsia="zh-CN"/>
    </w:rPr>
  </w:style>
  <w:style w:type="paragraph" w:styleId="1371" w:customStyle="1">
    <w:name w:val="Revision"/>
    <w:uiPriority w:val="0"/>
    <w:qFormat/>
    <w:rPr>
      <w:rFonts w:hint="default" w:ascii="Times New Roman" w:hAnsi="Times New Roman" w:eastAsia="宋体" w:cs="Times New Roman"/>
      <w:sz w:val="21"/>
      <w:szCs w:val="24"/>
      <w:lang w:val="en-US" w:eastAsia="zh-CN" w:bidi="ar-SA"/>
    </w:rPr>
  </w:style>
  <w:style w:type="paragraph" w:styleId="1372" w:customStyle="1">
    <w:name w:val="Char22"/>
    <w:basedOn w:val="942"/>
    <w:uiPriority w:val="0"/>
    <w:qFormat/>
    <w:rPr>
      <w:rFonts w:ascii="Tahoma" w:hAnsi="Tahoma"/>
      <w:sz w:val="24"/>
      <w:szCs w:val="20"/>
    </w:rPr>
  </w:style>
  <w:style w:type="paragraph" w:styleId="1373" w:customStyle="1">
    <w:name w:val="Char Char Char Char Char Char Char Char Char Char2"/>
    <w:basedOn w:val="942"/>
    <w:uiPriority w:val="0"/>
    <w:qFormat/>
    <w:rPr>
      <w:rFonts w:ascii="宋体" w:hAnsi="宋体" w:cs="Courier New"/>
      <w:sz w:val="32"/>
      <w:szCs w:val="32"/>
    </w:rPr>
  </w:style>
  <w:style w:type="paragraph" w:styleId="1374" w:customStyle="1">
    <w:name w:val="Char2 Char Char Char Char Char Char1"/>
    <w:basedOn w:val="942"/>
    <w:uiPriority w:val="0"/>
    <w:qFormat/>
    <w:pPr>
      <w:jc w:val="center"/>
      <w:spacing w:line="400" w:lineRule="exact"/>
      <w:widowControl/>
    </w:pPr>
  </w:style>
  <w:style w:type="character" w:styleId="1375" w:customStyle="1">
    <w:name w:val="页脚 Char"/>
    <w:link w:val="942"/>
    <w:uiPriority w:val="0"/>
    <w:qFormat/>
    <w:rPr>
      <w:rFonts w:ascii="宋体" w:eastAsia="宋体"/>
      <w:sz w:val="18"/>
      <w:lang w:val="en-US" w:eastAsia="zh-CN" w:bidi="ar-SA"/>
    </w:rPr>
  </w:style>
  <w:style w:type="paragraph" w:styleId="1376" w:customStyle="1">
    <w:name w:val="Char Char41"/>
    <w:basedOn w:val="942"/>
    <w:uiPriority w:val="0"/>
    <w:qFormat/>
    <w:pPr>
      <w:jc w:val="center"/>
      <w:spacing w:line="400" w:lineRule="exact"/>
      <w:widowControl/>
    </w:pPr>
  </w:style>
  <w:style w:type="character" w:styleId="1377" w:customStyle="1">
    <w:name w:val="批注文字 Char"/>
    <w:link w:val="942"/>
    <w:uiPriority w:val="99"/>
    <w:qFormat/>
    <w:rPr>
      <w:sz w:val="21"/>
      <w:szCs w:val="24"/>
    </w:rPr>
  </w:style>
  <w:style w:type="character" w:styleId="1378" w:customStyle="1">
    <w:name w:val="标题 Char"/>
    <w:link w:val="942"/>
    <w:uiPriority w:val="0"/>
    <w:qFormat/>
    <w:rPr>
      <w:b/>
      <w:sz w:val="32"/>
    </w:rPr>
  </w:style>
  <w:style w:type="paragraph" w:styleId="1379" w:customStyle="1">
    <w:name w:val="图例"/>
    <w:basedOn w:val="942"/>
    <w:uiPriority w:val="0"/>
    <w:qFormat/>
    <w:pPr>
      <w:jc w:val="center"/>
      <w:spacing w:before="120" w:after="120" w:line="360" w:lineRule="auto"/>
    </w:pPr>
    <w:rPr>
      <w:rFonts w:eastAsia="仿宋_GB2312"/>
      <w:b/>
      <w:sz w:val="24"/>
      <w:szCs w:val="20"/>
    </w:rPr>
  </w:style>
  <w:style w:type="table" w:styleId="1380" w:customStyle="1">
    <w:name w:val="Table Normal"/>
    <w:uiPriority w:val="2"/>
    <w:unhideWhenUsed/>
    <w:qFormat/>
    <w:pPr>
      <w:widowControl w:val="off"/>
    </w:pPr>
    <w:rPr>
      <w:rFonts w:ascii="Calibri" w:hAnsi="Calibri"/>
      <w:sz w:val="22"/>
      <w:szCs w:val="22"/>
      <w:lang w:val="en-US" w:eastAsia="en-US" w:bidi="ar-SA"/>
    </w:rPr>
    <w:tblPr/>
  </w:style>
  <w:style w:type="paragraph" w:styleId="1381" w:customStyle="1">
    <w:name w:val="Table Paragraph"/>
    <w:basedOn w:val="942"/>
    <w:uiPriority w:val="1"/>
    <w:qFormat/>
    <w:pPr>
      <w:jc w:val="left"/>
    </w:pPr>
    <w:rPr>
      <w:rFonts w:ascii="宋体" w:hAnsi="宋体" w:cs="宋体"/>
      <w:sz w:val="22"/>
      <w:szCs w:val="22"/>
      <w:lang w:eastAsia="en-US"/>
    </w:rPr>
  </w:style>
  <w:style w:type="paragraph" w:styleId="1382" w:customStyle="1">
    <w:name w:val="成文日期"/>
    <w:basedOn w:val="942"/>
    <w:link w:val="1383"/>
    <w:uiPriority w:val="0"/>
    <w:qFormat/>
    <w:pPr>
      <w:ind w:right="400" w:firstLine="200"/>
      <w:jc w:val="right"/>
      <w:spacing w:line="570" w:lineRule="exact"/>
    </w:pPr>
    <w:rPr>
      <w:rFonts w:ascii="仿宋_GB2312" w:eastAsia="仿宋_GB2312"/>
      <w:sz w:val="32"/>
      <w:szCs w:val="20"/>
    </w:rPr>
  </w:style>
  <w:style w:type="character" w:styleId="1383" w:customStyle="1">
    <w:name w:val="成文日期 Char"/>
    <w:link w:val="1382"/>
    <w:uiPriority w:val="0"/>
    <w:qFormat/>
    <w:rPr>
      <w:rFonts w:ascii="仿宋_GB2312" w:eastAsia="仿宋_GB2312"/>
      <w:sz w:val="32"/>
    </w:rPr>
  </w:style>
  <w:style w:type="paragraph" w:styleId="138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85" w:customStyle="1">
    <w:name w:val="段"/>
    <w:basedOn w:val="942"/>
    <w:next w:val="942"/>
    <w:uiPriority w:val="0"/>
    <w:qFormat/>
    <w:pPr>
      <w:ind w:firstLine="200"/>
      <w:widowControl/>
    </w:pPr>
    <w:rPr>
      <w:rFonts w:hint="eastAsia" w:ascii="宋体"/>
    </w:rPr>
  </w:style>
  <w:style w:type="paragraph" w:styleId="1386" w:customStyle="1">
    <w:name w:val="Body text|1"/>
    <w:basedOn w:val="942"/>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87" w:customStyle="1">
    <w:name w:val="Other|1"/>
    <w:basedOn w:val="942"/>
    <w:uiPriority w:val="0"/>
    <w:qFormat/>
    <w:pPr>
      <w:jc w:val="center"/>
    </w:pPr>
    <w:rPr>
      <w:sz w:val="19"/>
      <w:szCs w:val="19"/>
      <w:lang w:val="zh-TW" w:eastAsia="zh-TW" w:bidi="zh-TW"/>
    </w:rPr>
  </w:style>
  <w:style w:type="paragraph" w:styleId="1388" w:customStyle="1">
    <w:name w:val="_Style 4"/>
    <w:basedOn w:val="942"/>
    <w:next w:val="1230"/>
    <w:uiPriority w:val="34"/>
    <w:qFormat/>
    <w:pPr>
      <w:ind w:firstLine="420"/>
    </w:pPr>
    <w:rPr>
      <w:rFonts w:ascii="Calibri" w:hAnsi="Calibri"/>
      <w:szCs w:val="22"/>
    </w:rPr>
  </w:style>
  <w:style w:type="character" w:styleId="1389" w:customStyle="1">
    <w:name w:val="font01"/>
    <w:basedOn w:val="1140"/>
    <w:link w:val="942"/>
    <w:uiPriority w:val="0"/>
    <w:qFormat/>
    <w:rPr>
      <w:rFonts w:hint="eastAsia" w:ascii="宋体" w:hAnsi="宋体" w:eastAsia="宋体" w:cs="宋体"/>
      <w:color w:val="000000"/>
      <w:sz w:val="24"/>
      <w:szCs w:val="24"/>
      <w:u w:val="none"/>
    </w:rPr>
  </w:style>
  <w:style w:type="paragraph" w:styleId="1390" w:customStyle="1">
    <w:name w:val="正文1"/>
    <w:basedOn w:val="942"/>
    <w:next w:val="942"/>
    <w:uiPriority w:val="0"/>
    <w:qFormat/>
    <w:pPr>
      <w:ind w:left="420" w:firstLine="527"/>
      <w:spacing w:before="120" w:line="360" w:lineRule="auto"/>
    </w:pPr>
    <w:rPr>
      <w:rFonts w:ascii="宋体" w:hAnsi="宋体" w:eastAsia="宋体"/>
      <w:sz w:val="21"/>
      <w:szCs w:val="24"/>
    </w:rPr>
  </w:style>
  <w:style w:type="paragraph" w:styleId="13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2"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93" w:customStyle="1">
    <w:name w:val="null3"/>
    <w:uiPriority w:val="0"/>
    <w:qFormat/>
    <w:rPr>
      <w:rFonts w:hint="eastAsia" w:ascii="Calibri" w:hAnsi="Calibri" w:eastAsia="宋体" w:cs="Times New Roman"/>
      <w:lang w:val="en-US" w:eastAsia="zh-CN" w:bidi="ar-SA"/>
    </w:rPr>
  </w:style>
  <w:style w:type="paragraph" w:styleId="1394"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列出段落"/>
    <w:uiPriority w:val="34"/>
    <w:qFormat/>
    <w:pPr>
      <w:ind w:firstLine="420"/>
      <w:jc w:val="both"/>
      <w:widowControl w:val="off"/>
    </w:pPr>
    <w:rPr>
      <w:rFonts w:hint="default" w:ascii="Calibri" w:hAnsi="Calibri" w:eastAsia="宋体" w:cs="Times New Roman"/>
      <w:sz w:val="21"/>
      <w:szCs w:val="22"/>
      <w:lang w:val="en-US" w:eastAsia="zh-CN" w:bidi="ar-SA"/>
    </w:rPr>
  </w:style>
  <w:style w:type="paragraph" w:styleId="1396"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numbering" w:styleId="1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6</cp:revision>
  <dcterms:created xsi:type="dcterms:W3CDTF">2022-05-30T08:08:00Z</dcterms:created>
  <dcterms:modified xsi:type="dcterms:W3CDTF">2026-07-07T05:37:45Z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7E4C01CBCF9D46EB999B9FACBA097787_13</vt:lpwstr>
  </property>
</Properties>
</file>