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3"/>
        <w:ind w:left="0" w:firstLine="0"/>
        <w:jc w:val="center"/>
        <w:spacing w:line="360" w:lineRule="auto"/>
        <w:rPr>
          <w:rFonts w:ascii="Times New Roman" w:eastAsia="宋体" w:cs="宋体"/>
          <w:b/>
          <w:color w:val="000000"/>
          <w:sz w:val="48"/>
          <w:szCs w:val="48"/>
          <w:highlight w:val="none"/>
        </w:rPr>
      </w:pPr>
      <w:r>
        <w:rPr>
          <w:rFonts w:ascii="Times New Roman" w:eastAsia="宋体" w:cs="宋体"/>
          <w:b/>
          <w:color w:val="000000"/>
          <w:sz w:val="48"/>
          <w:szCs w:val="48"/>
          <w:highlight w:val="none"/>
        </w:rPr>
      </w:r>
      <w:r/>
    </w:p>
    <w:p>
      <w:pPr>
        <w:pStyle w:val="1243"/>
        <w:ind w:left="0" w:firstLine="0"/>
        <w:jc w:val="center"/>
        <w:spacing w:line="360" w:lineRule="auto"/>
        <w:rPr>
          <w:rFonts w:ascii="Times New Roman" w:eastAsia="宋体" w:cs="宋体"/>
          <w:b/>
          <w:color w:val="000000"/>
          <w:sz w:val="52"/>
          <w:szCs w:val="48"/>
          <w:highlight w:val="none"/>
        </w:rPr>
      </w:pPr>
      <w:r/>
      <w:bookmarkStart w:id="0" w:name="_Hlk104983306"/>
      <w:r/>
      <w:bookmarkEnd w:id="0"/>
      <w:r>
        <w:rPr>
          <w:rFonts w:ascii="Times New Roman" w:eastAsia="宋体" w:cs="宋体"/>
          <w:b/>
          <w:color w:val="000000"/>
          <w:sz w:val="52"/>
          <w:szCs w:val="48"/>
          <w:highlight w:val="none"/>
        </w:rPr>
      </w:r>
      <w:r/>
    </w:p>
    <w:p>
      <w:pPr>
        <w:pStyle w:val="1243"/>
        <w:ind w:left="0" w:firstLine="0"/>
        <w:jc w:val="center"/>
        <w:spacing w:line="360" w:lineRule="auto"/>
        <w:rPr>
          <w:rFonts w:ascii="Times New Roman" w:eastAsia="宋体" w:cs="宋体"/>
          <w:b/>
          <w:color w:val="000000"/>
          <w:sz w:val="56"/>
          <w:szCs w:val="72"/>
          <w:highlight w:val="none"/>
        </w:rPr>
      </w:pPr>
      <w:r>
        <w:rPr>
          <w:rFonts w:ascii="Times New Roman" w:eastAsia="宋体" w:cs="宋体"/>
          <w:b/>
          <w:color w:val="000000"/>
          <w:sz w:val="56"/>
          <w:szCs w:val="72"/>
          <w:highlight w:val="none"/>
        </w:rPr>
        <w:t xml:space="preserve">南通市第三人民医院</w:t>
      </w:r>
      <w:r>
        <w:rPr>
          <w:rFonts w:ascii="Times New Roman" w:eastAsia="宋体" w:cs="宋体"/>
          <w:b/>
          <w:color w:val="000000"/>
          <w:sz w:val="56"/>
          <w:szCs w:val="72"/>
          <w:highlight w:val="none"/>
        </w:rPr>
      </w:r>
      <w:r/>
    </w:p>
    <w:p>
      <w:pPr>
        <w:pStyle w:val="1243"/>
        <w:ind w:left="0" w:firstLine="0"/>
        <w:jc w:val="center"/>
        <w:spacing w:line="360" w:lineRule="auto"/>
        <w:rPr>
          <w:rFonts w:hint="eastAsia" w:ascii="Times New Roman" w:eastAsia="宋体" w:cs="宋体"/>
          <w:color w:val="000000"/>
          <w:sz w:val="56"/>
          <w:szCs w:val="72"/>
          <w:highlight w:val="none"/>
          <w:lang w:eastAsia="zh-CN"/>
        </w:rPr>
      </w:pPr>
      <w:r>
        <w:rPr>
          <w:rFonts w:hint="eastAsia" w:ascii="Times New Roman" w:eastAsia="宋体" w:cs="宋体"/>
          <w:b/>
          <w:color w:val="000000"/>
          <w:sz w:val="56"/>
          <w:szCs w:val="72"/>
          <w:highlight w:val="none"/>
          <w:lang w:eastAsia="zh-CN"/>
        </w:rPr>
        <w:t xml:space="preserve">2号楼智慧病房建设项目</w:t>
      </w:r>
      <w:r>
        <w:rPr>
          <w:rFonts w:hint="eastAsia" w:ascii="Times New Roman" w:eastAsia="宋体" w:cs="宋体"/>
          <w:color w:val="000000"/>
          <w:sz w:val="56"/>
          <w:szCs w:val="72"/>
          <w:highlight w:val="none"/>
          <w:lang w:eastAsia="zh-CN"/>
        </w:rPr>
      </w:r>
      <w:r/>
    </w:p>
    <w:p>
      <w:pPr>
        <w:pStyle w:val="1243"/>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1243"/>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1243"/>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1243"/>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1015"/>
        <w:jc w:val="center"/>
        <w:spacing w:line="360" w:lineRule="auto"/>
        <w:rPr>
          <w:rFonts w:eastAsia="宋体" w:cs="宋体"/>
          <w:b/>
          <w:color w:val="000000"/>
          <w:sz w:val="72"/>
          <w:szCs w:val="72"/>
          <w:highlight w:val="none"/>
        </w:rPr>
      </w:pPr>
      <w:r/>
      <w:bookmarkStart w:id="1" w:name="_Toc30582"/>
      <w:r>
        <w:rPr>
          <w:rFonts w:hint="eastAsia" w:eastAsia="宋体" w:cs="宋体"/>
          <w:b/>
          <w:color w:val="000000"/>
          <w:sz w:val="72"/>
          <w:szCs w:val="72"/>
          <w:highlight w:val="none"/>
        </w:rPr>
        <w:t xml:space="preserve">公开招标文件</w:t>
      </w:r>
      <w:bookmarkEnd w:id="1"/>
      <w:r>
        <w:rPr>
          <w:rFonts w:eastAsia="宋体" w:cs="宋体"/>
          <w:b/>
          <w:color w:val="000000"/>
          <w:sz w:val="72"/>
          <w:szCs w:val="72"/>
          <w:highlight w:val="none"/>
        </w:rPr>
      </w:r>
      <w:r/>
    </w:p>
    <w:p>
      <w:pPr>
        <w:pStyle w:val="1015"/>
        <w:jc w:val="center"/>
        <w:spacing w:line="360" w:lineRule="auto"/>
        <w:rPr>
          <w:rFonts w:eastAsia="宋体" w:cs="宋体"/>
          <w:b/>
          <w:color w:val="000000"/>
          <w:sz w:val="44"/>
          <w:szCs w:val="44"/>
          <w:highlight w:val="none"/>
        </w:rPr>
      </w:pPr>
      <w:r/>
      <w:bookmarkStart w:id="2" w:name="_Toc1434"/>
      <w:r>
        <w:rPr>
          <w:rFonts w:hint="eastAsia" w:eastAsia="宋体" w:cs="宋体"/>
          <w:b/>
          <w:color w:val="000000"/>
          <w:sz w:val="44"/>
          <w:szCs w:val="44"/>
          <w:highlight w:val="none"/>
        </w:rPr>
        <w:t xml:space="preserve">（资格后审）</w:t>
      </w:r>
      <w:bookmarkEnd w:id="2"/>
      <w:r>
        <w:rPr>
          <w:rFonts w:eastAsia="宋体" w:cs="宋体"/>
          <w:b/>
          <w:color w:val="000000"/>
          <w:sz w:val="44"/>
          <w:szCs w:val="44"/>
          <w:highlight w:val="none"/>
        </w:rPr>
      </w:r>
      <w:r/>
    </w:p>
    <w:p>
      <w:pPr>
        <w:pStyle w:val="1243"/>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1015"/>
        <w:jc w:val="center"/>
        <w:spacing w:line="360" w:lineRule="auto"/>
        <w:rPr>
          <w:rFonts w:eastAsia="宋体" w:cs="宋体"/>
          <w:b/>
          <w:color w:val="000000"/>
          <w:sz w:val="36"/>
          <w:highlight w:val="none"/>
        </w:rPr>
      </w:pPr>
      <w:r>
        <w:rPr>
          <w:rFonts w:eastAsia="宋体" w:cs="宋体"/>
          <w:b/>
          <w:color w:val="000000"/>
          <w:sz w:val="36"/>
          <w:highlight w:val="none"/>
        </w:rPr>
      </w:r>
      <w:r/>
    </w:p>
    <w:p>
      <w:pPr>
        <w:pStyle w:val="1195"/>
        <w:spacing w:line="360" w:lineRule="auto"/>
        <w:rPr>
          <w:rFonts w:ascii="Times New Roman" w:eastAsia="宋体" w:cs="宋体"/>
          <w:color w:val="000000"/>
          <w:highlight w:val="none"/>
        </w:rPr>
      </w:pPr>
      <w:r>
        <w:rPr>
          <w:rFonts w:ascii="Times New Roman" w:eastAsia="宋体" w:cs="宋体"/>
          <w:color w:val="000000"/>
          <w:highlight w:val="none"/>
        </w:rPr>
      </w:r>
      <w:r/>
    </w:p>
    <w:p>
      <w:pPr>
        <w:pStyle w:val="1195"/>
        <w:spacing w:line="360" w:lineRule="auto"/>
        <w:rPr>
          <w:rFonts w:ascii="Times New Roman" w:eastAsia="宋体" w:cs="宋体"/>
          <w:color w:val="000000"/>
          <w:highlight w:val="none"/>
        </w:rPr>
      </w:pPr>
      <w:r>
        <w:rPr>
          <w:rFonts w:ascii="Times New Roman" w:eastAsia="宋体" w:cs="宋体"/>
          <w:color w:val="000000"/>
          <w:highlight w:val="none"/>
        </w:rPr>
      </w:r>
      <w:r/>
    </w:p>
    <w:p>
      <w:pPr>
        <w:pStyle w:val="1195"/>
        <w:spacing w:line="360" w:lineRule="auto"/>
        <w:rPr>
          <w:rFonts w:ascii="Times New Roman" w:eastAsia="宋体" w:cs="宋体"/>
          <w:color w:val="000000"/>
          <w:highlight w:val="none"/>
        </w:rPr>
      </w:pPr>
      <w:r>
        <w:rPr>
          <w:rFonts w:ascii="Times New Roman" w:eastAsia="宋体" w:cs="宋体"/>
          <w:color w:val="000000"/>
          <w:highlight w:val="none"/>
        </w:rPr>
      </w:r>
      <w:r/>
    </w:p>
    <w:p>
      <w:pPr>
        <w:pStyle w:val="1015"/>
        <w:spacing w:line="360" w:lineRule="auto"/>
        <w:tabs>
          <w:tab w:val="left" w:pos="6336" w:leader="none"/>
        </w:tabs>
        <w:rPr>
          <w:rFonts w:eastAsia="宋体" w:cs="宋体"/>
          <w:b/>
          <w:color w:val="000000"/>
          <w:sz w:val="32"/>
          <w:szCs w:val="32"/>
          <w:highlight w:val="none"/>
        </w:rPr>
      </w:pPr>
      <w:r>
        <w:rPr>
          <w:rFonts w:hint="eastAsia" w:eastAsia="宋体" w:cs="宋体"/>
          <w:b/>
          <w:color w:val="000000"/>
          <w:sz w:val="36"/>
          <w:highlight w:val="none"/>
        </w:rPr>
        <w:tab/>
      </w:r>
      <w:r>
        <w:rPr>
          <w:rFonts w:eastAsia="宋体" w:cs="宋体"/>
          <w:b/>
          <w:color w:val="000000"/>
          <w:sz w:val="32"/>
          <w:szCs w:val="32"/>
          <w:highlight w:val="none"/>
        </w:rPr>
      </w:r>
      <w:r/>
    </w:p>
    <w:p>
      <w:pPr>
        <w:pStyle w:val="1195"/>
        <w:jc w:val="center"/>
        <w:spacing w:line="360" w:lineRule="auto"/>
        <w:rPr>
          <w:rFonts w:ascii="Times New Roman" w:eastAsia="宋体" w:cs="宋体"/>
          <w:b/>
          <w:color w:val="000000"/>
          <w:sz w:val="32"/>
          <w:szCs w:val="32"/>
          <w:highlight w:val="none"/>
        </w:rPr>
      </w:pPr>
      <w:r/>
      <w:bookmarkStart w:id="3" w:name="_Toc18809"/>
      <w:r>
        <w:rPr>
          <w:rFonts w:hint="eastAsia" w:ascii="Times New Roman" w:eastAsia="宋体" w:cs="宋体"/>
          <w:b/>
          <w:color w:val="000000"/>
          <w:sz w:val="32"/>
          <w:szCs w:val="32"/>
          <w:highlight w:val="none"/>
        </w:rPr>
        <w:t xml:space="preserve">招标人：</w:t>
      </w:r>
      <w:bookmarkEnd w:id="3"/>
      <w:r>
        <w:rPr>
          <w:rFonts w:hint="eastAsia" w:ascii="Times New Roman" w:eastAsia="宋体" w:cs="宋体"/>
          <w:b/>
          <w:color w:val="000000"/>
          <w:sz w:val="32"/>
          <w:szCs w:val="32"/>
          <w:highlight w:val="none"/>
        </w:rPr>
        <w:t xml:space="preserve">南通市第三人民医院</w:t>
      </w:r>
      <w:r>
        <w:rPr>
          <w:rFonts w:ascii="Times New Roman" w:eastAsia="宋体" w:cs="宋体"/>
          <w:b/>
          <w:color w:val="000000"/>
          <w:sz w:val="32"/>
          <w:szCs w:val="32"/>
          <w:highlight w:val="none"/>
        </w:rPr>
      </w:r>
      <w:r/>
    </w:p>
    <w:p>
      <w:pPr>
        <w:pStyle w:val="1015"/>
        <w:jc w:val="center"/>
        <w:spacing w:line="360" w:lineRule="auto"/>
        <w:rPr>
          <w:rFonts w:eastAsia="宋体" w:cs="宋体"/>
          <w:b/>
          <w:color w:val="000000"/>
          <w:sz w:val="32"/>
          <w:szCs w:val="32"/>
          <w:highlight w:val="none"/>
        </w:rPr>
      </w:pPr>
      <w:r/>
      <w:bookmarkStart w:id="4" w:name="_Toc24678"/>
      <w:r>
        <w:rPr>
          <w:rFonts w:hint="eastAsia" w:eastAsia="宋体" w:cs="宋体"/>
          <w:b/>
          <w:color w:val="000000"/>
          <w:sz w:val="32"/>
          <w:szCs w:val="32"/>
          <w:highlight w:val="none"/>
        </w:rPr>
        <w:t xml:space="preserve">代理机构：宏信天德工程顾问有限公司</w:t>
      </w:r>
      <w:bookmarkEnd w:id="4"/>
      <w:r>
        <w:rPr>
          <w:rFonts w:eastAsia="宋体" w:cs="宋体"/>
          <w:b/>
          <w:color w:val="000000"/>
          <w:sz w:val="32"/>
          <w:szCs w:val="32"/>
          <w:highlight w:val="none"/>
        </w:rPr>
      </w:r>
      <w:r/>
    </w:p>
    <w:p>
      <w:pPr>
        <w:pStyle w:val="1015"/>
        <w:jc w:val="center"/>
        <w:spacing w:line="360" w:lineRule="auto"/>
        <w:rPr>
          <w:rFonts w:eastAsia="宋体" w:cs="宋体"/>
          <w:b/>
          <w:color w:val="000000"/>
          <w:sz w:val="32"/>
          <w:szCs w:val="32"/>
          <w:highlight w:val="none"/>
        </w:rPr>
        <w:sectPr>
          <w:headerReference w:type="default" r:id="rId9"/>
          <w:headerReference w:type="first" r:id="rId10"/>
          <w:footerReference w:type="even" r:id="rId15"/>
          <w:footerReference w:type="first" r:id="rId16"/>
          <w:footnotePr/>
          <w:endnotePr/>
          <w:type w:val="nextPage"/>
          <w:pgSz w:w="11905" w:h="16838" w:orient="portrait"/>
          <w:pgMar w:top="1417" w:right="1701" w:bottom="1587" w:left="1701" w:header="850" w:footer="992" w:gutter="0"/>
          <w:pgNumType w:start="1"/>
          <w:cols w:num="1" w:sep="0" w:space="1701" w:equalWidth="1"/>
          <w:docGrid w:linePitch="360"/>
        </w:sectPr>
      </w:pPr>
      <w:r>
        <w:rPr>
          <w:rFonts w:hint="eastAsia" w:eastAsia="宋体" w:cs="宋体"/>
          <w:b/>
          <w:color w:val="000000"/>
          <w:sz w:val="32"/>
          <w:szCs w:val="32"/>
          <w:highlight w:val="none"/>
        </w:rPr>
        <w:t xml:space="preserve">二○二</w:t>
      </w:r>
      <w:r>
        <w:rPr>
          <w:rFonts w:hint="eastAsia" w:eastAsia="宋体" w:cs="宋体"/>
          <w:b/>
          <w:color w:val="000000"/>
          <w:sz w:val="32"/>
          <w:szCs w:val="32"/>
          <w:highlight w:val="none"/>
          <w:lang w:val="en-US" w:eastAsia="zh-CN"/>
        </w:rPr>
        <w:t xml:space="preserve">六</w:t>
      </w:r>
      <w:r>
        <w:rPr>
          <w:rFonts w:hint="eastAsia" w:eastAsia="宋体" w:cs="宋体"/>
          <w:b/>
          <w:color w:val="000000"/>
          <w:sz w:val="32"/>
          <w:szCs w:val="32"/>
          <w:highlight w:val="none"/>
        </w:rPr>
        <w:t xml:space="preserve">年</w:t>
      </w:r>
      <w:r>
        <w:rPr>
          <w:rFonts w:hint="eastAsia" w:eastAsia="宋体" w:cs="宋体"/>
          <w:b/>
          <w:color w:val="000000"/>
          <w:sz w:val="32"/>
          <w:szCs w:val="32"/>
          <w:highlight w:val="none"/>
          <w:lang w:val="en-US" w:eastAsia="zh-CN"/>
        </w:rPr>
        <w:t xml:space="preserve">六</w:t>
      </w:r>
      <w:r>
        <w:rPr>
          <w:rFonts w:hint="eastAsia" w:eastAsia="宋体" w:cs="宋体"/>
          <w:b/>
          <w:color w:val="000000"/>
          <w:sz w:val="32"/>
          <w:szCs w:val="32"/>
          <w:highlight w:val="none"/>
        </w:rPr>
        <w:t xml:space="preserve">月</w:t>
      </w:r>
      <w:r>
        <w:rPr>
          <w:rFonts w:eastAsia="宋体" w:cs="宋体"/>
          <w:b/>
          <w:color w:val="000000"/>
          <w:sz w:val="32"/>
          <w:szCs w:val="32"/>
          <w:highlight w:val="none"/>
        </w:rPr>
      </w:r>
      <w:r/>
    </w:p>
    <w:p>
      <w:pPr>
        <w:pStyle w:val="1015"/>
        <w:jc w:val="center"/>
        <w:spacing w:line="360" w:lineRule="auto"/>
        <w:rPr>
          <w:rFonts w:eastAsia="宋体" w:cs="宋体"/>
          <w:b/>
          <w:bCs/>
          <w:color w:val="000000"/>
          <w:sz w:val="36"/>
          <w:szCs w:val="36"/>
          <w:highlight w:val="none"/>
        </w:rPr>
      </w:pPr>
      <w:r/>
      <w:bookmarkStart w:id="5" w:name="_Toc363573853"/>
      <w:r>
        <w:rPr>
          <w:rFonts w:hint="eastAsia" w:eastAsia="宋体" w:cs="宋体"/>
          <w:b/>
          <w:bCs/>
          <w:color w:val="000000"/>
          <w:sz w:val="36"/>
          <w:szCs w:val="36"/>
          <w:highlight w:val="none"/>
        </w:rPr>
        <w:t xml:space="preserve">目录</w:t>
      </w:r>
      <w:r>
        <w:rPr>
          <w:rFonts w:eastAsia="宋体" w:cs="宋体"/>
          <w:b/>
          <w:bCs/>
          <w:color w:val="000000"/>
          <w:sz w:val="36"/>
          <w:szCs w:val="36"/>
          <w:highlight w:val="none"/>
        </w:rPr>
      </w:r>
      <w:r/>
    </w:p>
    <w:p>
      <w:pPr>
        <w:pStyle w:val="1152"/>
        <w:spacing w:after="0" w:line="360" w:lineRule="auto"/>
        <w:tabs>
          <w:tab w:val="right" w:pos="8867" w:leader="dot"/>
        </w:tabs>
        <w:rPr>
          <w:rFonts w:eastAsia="宋体" w:cs="宋体"/>
          <w:color w:val="000000"/>
          <w:highlight w:val="none"/>
        </w:rPr>
      </w:pPr>
      <w:r>
        <w:rPr>
          <w:rFonts w:hint="eastAsia" w:eastAsia="宋体" w:cs="宋体"/>
          <w:b/>
          <w:color w:val="000000"/>
          <w:szCs w:val="36"/>
          <w:highlight w:val="none"/>
        </w:rPr>
        <w:fldChar w:fldCharType="begin"/>
      </w:r>
      <w:r>
        <w:rPr>
          <w:rFonts w:hint="eastAsia" w:eastAsia="宋体" w:cs="宋体"/>
          <w:b/>
          <w:color w:val="000000"/>
          <w:szCs w:val="36"/>
          <w:highlight w:val="none"/>
        </w:rPr>
        <w:instrText xml:space="preserve">TOC \o "1-1" \h \u </w:instrText>
      </w:r>
      <w:r>
        <w:rPr>
          <w:rFonts w:hint="eastAsia" w:eastAsia="宋体" w:cs="宋体"/>
          <w:b/>
          <w:color w:val="000000"/>
          <w:szCs w:val="36"/>
          <w:highlight w:val="none"/>
        </w:rPr>
        <w:fldChar w:fldCharType="separate"/>
      </w:r>
      <w:r>
        <w:rPr>
          <w:color w:val="000000"/>
          <w:highlight w:val="none"/>
        </w:rPr>
        <w:fldChar w:fldCharType="begin"/>
      </w:r>
      <w:r>
        <w:rPr>
          <w:color w:val="000000"/>
          <w:highlight w:val="none"/>
        </w:rPr>
        <w:instrText xml:space="preserve"> HYPERLINK \l "_Toc22769" </w:instrText>
      </w:r>
      <w:r>
        <w:rPr>
          <w:color w:val="000000"/>
          <w:highlight w:val="none"/>
        </w:rPr>
        <w:fldChar w:fldCharType="separate"/>
      </w:r>
      <w:r>
        <w:rPr>
          <w:rFonts w:hint="eastAsia" w:eastAsia="宋体" w:cs="宋体"/>
          <w:color w:val="000000"/>
          <w:szCs w:val="36"/>
          <w:highlight w:val="none"/>
        </w:rPr>
        <w:t xml:space="preserve">第一章 招标公告</w:t>
      </w:r>
      <w:r>
        <w:rPr>
          <w:rFonts w:hint="eastAsia" w:eastAsia="宋体" w:cs="宋体"/>
          <w:color w:val="000000"/>
          <w:highlight w:val="none"/>
        </w:rPr>
        <w:tab/>
      </w:r>
      <w:r>
        <w:rPr>
          <w:rFonts w:hint="eastAsia" w:eastAsia="宋体" w:cs="宋体"/>
          <w:color w:val="000000"/>
          <w:highlight w:val="none"/>
        </w:rPr>
        <w:fldChar w:fldCharType="begin"/>
      </w:r>
      <w:r>
        <w:rPr>
          <w:rFonts w:hint="eastAsia" w:eastAsia="宋体" w:cs="宋体"/>
          <w:color w:val="000000"/>
          <w:highlight w:val="none"/>
        </w:rPr>
        <w:instrText xml:space="preserve"> PAGEREF _Toc22769 \h </w:instrText>
      </w:r>
      <w:r>
        <w:rPr>
          <w:rFonts w:hint="eastAsia" w:eastAsia="宋体" w:cs="宋体"/>
          <w:color w:val="000000"/>
          <w:highlight w:val="none"/>
        </w:rPr>
        <w:fldChar w:fldCharType="separate"/>
      </w:r>
      <w:r>
        <w:rPr>
          <w:rFonts w:hint="eastAsia" w:eastAsia="宋体" w:cs="宋体"/>
          <w:color w:val="000000"/>
          <w:highlight w:val="none"/>
        </w:rPr>
        <w:t xml:space="preserve">1</w:t>
      </w:r>
      <w:r>
        <w:rPr>
          <w:rFonts w:hint="eastAsia" w:eastAsia="宋体" w:cs="宋体"/>
          <w:color w:val="000000"/>
          <w:highlight w:val="none"/>
        </w:rPr>
        <w:fldChar w:fldCharType="end"/>
      </w:r>
      <w:r>
        <w:rPr>
          <w:rFonts w:hint="eastAsia" w:eastAsia="宋体" w:cs="宋体"/>
          <w:color w:val="000000"/>
          <w:highlight w:val="none"/>
        </w:rPr>
        <w:fldChar w:fldCharType="end"/>
      </w:r>
      <w:r>
        <w:rPr>
          <w:rFonts w:eastAsia="宋体" w:cs="宋体"/>
          <w:color w:val="000000"/>
          <w:highlight w:val="none"/>
        </w:rPr>
      </w:r>
      <w:r/>
    </w:p>
    <w:p>
      <w:pPr>
        <w:pStyle w:val="1152"/>
        <w:spacing w:after="0" w:line="360" w:lineRule="auto"/>
        <w:tabs>
          <w:tab w:val="right" w:pos="8867" w:leader="dot"/>
        </w:tabs>
        <w:rPr>
          <w:rFonts w:eastAsia="宋体" w:cs="宋体"/>
          <w:color w:val="000000"/>
          <w:highlight w:val="none"/>
        </w:rPr>
      </w:pPr>
      <w:r>
        <w:rPr>
          <w:color w:val="000000"/>
          <w:highlight w:val="none"/>
        </w:rPr>
        <w:fldChar w:fldCharType="begin"/>
      </w:r>
      <w:r>
        <w:rPr>
          <w:color w:val="000000"/>
          <w:highlight w:val="none"/>
        </w:rPr>
        <w:instrText xml:space="preserve"> HYPERLINK \l "_Toc7477" </w:instrText>
      </w:r>
      <w:r>
        <w:rPr>
          <w:color w:val="000000"/>
          <w:highlight w:val="none"/>
        </w:rPr>
        <w:fldChar w:fldCharType="separate"/>
      </w:r>
      <w:r>
        <w:rPr>
          <w:rFonts w:hint="eastAsia" w:eastAsia="宋体" w:cs="宋体"/>
          <w:color w:val="000000"/>
          <w:szCs w:val="36"/>
          <w:highlight w:val="none"/>
        </w:rPr>
        <w:t xml:space="preserve">第二章 投标人须知</w:t>
      </w:r>
      <w:r>
        <w:rPr>
          <w:rFonts w:hint="eastAsia" w:eastAsia="宋体" w:cs="宋体"/>
          <w:color w:val="000000"/>
          <w:highlight w:val="none"/>
        </w:rPr>
        <w:tab/>
      </w:r>
      <w:r>
        <w:rPr>
          <w:rFonts w:hint="eastAsia" w:eastAsia="宋体" w:cs="宋体"/>
          <w:color w:val="000000"/>
          <w:highlight w:val="none"/>
        </w:rPr>
        <w:fldChar w:fldCharType="begin"/>
      </w:r>
      <w:r>
        <w:rPr>
          <w:rFonts w:hint="eastAsia" w:eastAsia="宋体" w:cs="宋体"/>
          <w:color w:val="000000"/>
          <w:highlight w:val="none"/>
        </w:rPr>
        <w:instrText xml:space="preserve"> PAGEREF _Toc7477 \h </w:instrText>
      </w:r>
      <w:r>
        <w:rPr>
          <w:rFonts w:hint="eastAsia" w:eastAsia="宋体" w:cs="宋体"/>
          <w:color w:val="000000"/>
          <w:highlight w:val="none"/>
        </w:rPr>
        <w:fldChar w:fldCharType="separate"/>
      </w:r>
      <w:r>
        <w:rPr>
          <w:rFonts w:hint="eastAsia" w:eastAsia="宋体" w:cs="宋体"/>
          <w:color w:val="000000"/>
          <w:highlight w:val="none"/>
        </w:rPr>
        <w:t xml:space="preserve">6</w:t>
      </w:r>
      <w:r>
        <w:rPr>
          <w:rFonts w:hint="eastAsia" w:eastAsia="宋体" w:cs="宋体"/>
          <w:color w:val="000000"/>
          <w:highlight w:val="none"/>
        </w:rPr>
        <w:fldChar w:fldCharType="end"/>
      </w:r>
      <w:r>
        <w:rPr>
          <w:rFonts w:hint="eastAsia" w:eastAsia="宋体" w:cs="宋体"/>
          <w:color w:val="000000"/>
          <w:highlight w:val="none"/>
        </w:rPr>
        <w:fldChar w:fldCharType="end"/>
      </w:r>
      <w:r>
        <w:rPr>
          <w:rFonts w:eastAsia="宋体" w:cs="宋体"/>
          <w:color w:val="000000"/>
          <w:highlight w:val="none"/>
        </w:rPr>
      </w:r>
      <w:r/>
    </w:p>
    <w:p>
      <w:pPr>
        <w:pStyle w:val="1152"/>
        <w:spacing w:after="0" w:line="360" w:lineRule="auto"/>
        <w:tabs>
          <w:tab w:val="right" w:pos="8867" w:leader="dot"/>
        </w:tabs>
        <w:rPr>
          <w:rFonts w:eastAsia="宋体" w:cs="宋体"/>
          <w:color w:val="000000"/>
          <w:highlight w:val="none"/>
        </w:rPr>
      </w:pPr>
      <w:r>
        <w:rPr>
          <w:color w:val="000000"/>
          <w:highlight w:val="none"/>
        </w:rPr>
        <w:fldChar w:fldCharType="begin"/>
      </w:r>
      <w:r>
        <w:rPr>
          <w:color w:val="000000"/>
          <w:highlight w:val="none"/>
        </w:rPr>
        <w:instrText xml:space="preserve"> HYPERLINK \l "_Toc16382" </w:instrText>
      </w:r>
      <w:r>
        <w:rPr>
          <w:color w:val="000000"/>
          <w:highlight w:val="none"/>
        </w:rPr>
        <w:fldChar w:fldCharType="separate"/>
      </w:r>
      <w:r>
        <w:rPr>
          <w:rFonts w:hint="eastAsia" w:eastAsia="宋体" w:cs="宋体"/>
          <w:color w:val="000000"/>
          <w:szCs w:val="36"/>
          <w:highlight w:val="none"/>
        </w:rPr>
        <w:t xml:space="preserve">第三章 项目需求</w:t>
      </w:r>
      <w:r>
        <w:rPr>
          <w:rFonts w:hint="eastAsia" w:eastAsia="宋体" w:cs="宋体"/>
          <w:color w:val="000000"/>
          <w:highlight w:val="none"/>
        </w:rPr>
        <w:tab/>
      </w:r>
      <w:r>
        <w:rPr>
          <w:rFonts w:hint="eastAsia" w:eastAsia="宋体" w:cs="宋体"/>
          <w:color w:val="000000"/>
          <w:highlight w:val="none"/>
        </w:rPr>
        <w:t xml:space="preserve">2</w:t>
      </w:r>
      <w:r>
        <w:rPr>
          <w:rFonts w:hint="eastAsia" w:eastAsia="宋体" w:cs="宋体"/>
          <w:color w:val="000000"/>
          <w:highlight w:val="none"/>
        </w:rPr>
        <w:fldChar w:fldCharType="end"/>
      </w:r>
      <w:r>
        <w:rPr>
          <w:rFonts w:hint="eastAsia" w:eastAsia="宋体" w:cs="宋体"/>
          <w:color w:val="000000"/>
          <w:highlight w:val="none"/>
        </w:rPr>
        <w:t xml:space="preserve">1</w:t>
      </w:r>
      <w:r>
        <w:rPr>
          <w:rFonts w:eastAsia="宋体" w:cs="宋体"/>
          <w:color w:val="000000"/>
          <w:highlight w:val="none"/>
        </w:rPr>
      </w:r>
      <w:r/>
    </w:p>
    <w:p>
      <w:pPr>
        <w:pStyle w:val="1152"/>
        <w:spacing w:after="0" w:line="360" w:lineRule="auto"/>
        <w:tabs>
          <w:tab w:val="right" w:pos="8867" w:leader="dot"/>
        </w:tabs>
        <w:rPr>
          <w:rFonts w:eastAsia="宋体" w:cs="宋体"/>
          <w:color w:val="000000"/>
          <w:highlight w:val="none"/>
        </w:rPr>
      </w:pPr>
      <w:r>
        <w:rPr>
          <w:color w:val="000000"/>
          <w:highlight w:val="none"/>
        </w:rPr>
        <w:fldChar w:fldCharType="begin"/>
      </w:r>
      <w:r>
        <w:rPr>
          <w:color w:val="000000"/>
          <w:highlight w:val="none"/>
        </w:rPr>
        <w:instrText xml:space="preserve"> HYPERLINK \l "_Toc28760" </w:instrText>
      </w:r>
      <w:r>
        <w:rPr>
          <w:color w:val="000000"/>
          <w:highlight w:val="none"/>
        </w:rPr>
        <w:fldChar w:fldCharType="separate"/>
      </w:r>
      <w:r>
        <w:rPr>
          <w:rFonts w:hint="eastAsia" w:eastAsia="宋体" w:cs="宋体"/>
          <w:color w:val="000000"/>
          <w:szCs w:val="36"/>
          <w:highlight w:val="none"/>
        </w:rPr>
        <w:t xml:space="preserve">第四章 评审方法和程序</w:t>
      </w:r>
      <w:r>
        <w:rPr>
          <w:rFonts w:hint="eastAsia" w:eastAsia="宋体" w:cs="宋体"/>
          <w:color w:val="000000"/>
          <w:highlight w:val="none"/>
        </w:rPr>
        <w:tab/>
      </w:r>
      <w:r>
        <w:rPr>
          <w:rFonts w:hint="eastAsia" w:eastAsia="宋体" w:cs="宋体"/>
          <w:color w:val="000000"/>
          <w:highlight w:val="none"/>
        </w:rPr>
        <w:t xml:space="preserve">2</w:t>
      </w:r>
      <w:r>
        <w:rPr>
          <w:rFonts w:hint="eastAsia" w:eastAsia="宋体" w:cs="宋体"/>
          <w:color w:val="000000"/>
          <w:highlight w:val="none"/>
        </w:rPr>
        <w:fldChar w:fldCharType="end"/>
      </w:r>
      <w:r>
        <w:rPr>
          <w:rFonts w:hint="eastAsia" w:eastAsia="宋体" w:cs="宋体"/>
          <w:color w:val="000000"/>
          <w:highlight w:val="none"/>
        </w:rPr>
        <w:t xml:space="preserve">4</w:t>
      </w:r>
      <w:r>
        <w:rPr>
          <w:rFonts w:eastAsia="宋体" w:cs="宋体"/>
          <w:color w:val="000000"/>
          <w:highlight w:val="none"/>
        </w:rPr>
      </w:r>
      <w:r/>
    </w:p>
    <w:p>
      <w:pPr>
        <w:pStyle w:val="1152"/>
        <w:spacing w:after="0" w:line="360" w:lineRule="auto"/>
        <w:tabs>
          <w:tab w:val="right" w:pos="8867" w:leader="dot"/>
        </w:tabs>
        <w:rPr>
          <w:rFonts w:eastAsia="宋体" w:cs="宋体"/>
          <w:color w:val="000000"/>
          <w:highlight w:val="none"/>
        </w:rPr>
      </w:pPr>
      <w:r>
        <w:rPr>
          <w:color w:val="000000"/>
          <w:highlight w:val="none"/>
        </w:rPr>
        <w:fldChar w:fldCharType="begin"/>
      </w:r>
      <w:r>
        <w:rPr>
          <w:color w:val="000000"/>
          <w:highlight w:val="none"/>
        </w:rPr>
        <w:instrText xml:space="preserve"> HYPERLINK \l "_Toc7894" </w:instrText>
      </w:r>
      <w:r>
        <w:rPr>
          <w:color w:val="000000"/>
          <w:highlight w:val="none"/>
        </w:rPr>
        <w:fldChar w:fldCharType="separate"/>
      </w:r>
      <w:r>
        <w:rPr>
          <w:rFonts w:hint="eastAsia" w:eastAsia="宋体" w:cs="宋体"/>
          <w:color w:val="000000"/>
          <w:szCs w:val="36"/>
          <w:highlight w:val="none"/>
        </w:rPr>
        <w:t xml:space="preserve">第五章 合同主要条款</w:t>
      </w:r>
      <w:r>
        <w:rPr>
          <w:rFonts w:hint="eastAsia" w:eastAsia="宋体" w:cs="宋体"/>
          <w:color w:val="000000"/>
          <w:highlight w:val="none"/>
        </w:rPr>
        <w:tab/>
      </w:r>
      <w:r>
        <w:rPr>
          <w:rFonts w:hint="eastAsia" w:eastAsia="宋体" w:cs="宋体"/>
          <w:color w:val="000000"/>
          <w:highlight w:val="none"/>
        </w:rPr>
        <w:t xml:space="preserve">3</w:t>
      </w:r>
      <w:r>
        <w:rPr>
          <w:rFonts w:hint="eastAsia" w:eastAsia="宋体" w:cs="宋体"/>
          <w:color w:val="000000"/>
          <w:highlight w:val="none"/>
        </w:rPr>
        <w:fldChar w:fldCharType="end"/>
      </w:r>
      <w:r>
        <w:rPr>
          <w:rFonts w:hint="eastAsia" w:eastAsia="宋体" w:cs="宋体"/>
          <w:color w:val="000000"/>
          <w:highlight w:val="none"/>
        </w:rPr>
        <w:t xml:space="preserve">2</w:t>
      </w:r>
      <w:r>
        <w:rPr>
          <w:rFonts w:eastAsia="宋体" w:cs="宋体"/>
          <w:color w:val="000000"/>
          <w:highlight w:val="none"/>
        </w:rPr>
      </w:r>
      <w:r/>
    </w:p>
    <w:p>
      <w:pPr>
        <w:pStyle w:val="1152"/>
        <w:spacing w:after="0" w:line="360" w:lineRule="auto"/>
        <w:tabs>
          <w:tab w:val="right" w:pos="8867" w:leader="dot"/>
        </w:tabs>
        <w:rPr>
          <w:rFonts w:eastAsia="宋体" w:cs="宋体"/>
          <w:color w:val="000000"/>
          <w:highlight w:val="none"/>
        </w:rPr>
      </w:pPr>
      <w:r>
        <w:rPr>
          <w:color w:val="000000"/>
          <w:highlight w:val="none"/>
        </w:rPr>
        <w:fldChar w:fldCharType="begin"/>
      </w:r>
      <w:r>
        <w:rPr>
          <w:color w:val="000000"/>
          <w:highlight w:val="none"/>
        </w:rPr>
        <w:instrText xml:space="preserve"> HYPERLINK \l "_Toc30633" </w:instrText>
      </w:r>
      <w:r>
        <w:rPr>
          <w:color w:val="000000"/>
          <w:highlight w:val="none"/>
        </w:rPr>
        <w:fldChar w:fldCharType="separate"/>
      </w:r>
      <w:r>
        <w:rPr>
          <w:rFonts w:hint="eastAsia" w:eastAsia="宋体" w:cs="宋体"/>
          <w:color w:val="000000"/>
          <w:szCs w:val="36"/>
          <w:highlight w:val="none"/>
        </w:rPr>
        <w:t xml:space="preserve">第六章 合同授予</w:t>
      </w:r>
      <w:r>
        <w:rPr>
          <w:rFonts w:hint="eastAsia" w:eastAsia="宋体" w:cs="宋体"/>
          <w:color w:val="000000"/>
          <w:highlight w:val="none"/>
        </w:rPr>
        <w:tab/>
      </w:r>
      <w:r>
        <w:rPr>
          <w:rFonts w:hint="eastAsia" w:eastAsia="宋体" w:cs="宋体"/>
          <w:color w:val="000000"/>
          <w:highlight w:val="none"/>
        </w:rPr>
        <w:t xml:space="preserve">4</w:t>
      </w:r>
      <w:r>
        <w:rPr>
          <w:rFonts w:hint="eastAsia" w:eastAsia="宋体" w:cs="宋体"/>
          <w:color w:val="000000"/>
          <w:highlight w:val="none"/>
        </w:rPr>
        <w:fldChar w:fldCharType="end"/>
      </w:r>
      <w:r>
        <w:rPr>
          <w:rFonts w:hint="eastAsia" w:eastAsia="宋体" w:cs="宋体"/>
          <w:color w:val="000000"/>
          <w:highlight w:val="none"/>
        </w:rPr>
        <w:t xml:space="preserve">1</w:t>
      </w:r>
      <w:r>
        <w:rPr>
          <w:rFonts w:eastAsia="宋体" w:cs="宋体"/>
          <w:color w:val="000000"/>
          <w:highlight w:val="none"/>
        </w:rPr>
      </w:r>
      <w:r/>
    </w:p>
    <w:p>
      <w:pPr>
        <w:pStyle w:val="1152"/>
        <w:spacing w:after="0" w:line="360" w:lineRule="auto"/>
        <w:tabs>
          <w:tab w:val="right" w:pos="8867" w:leader="dot"/>
        </w:tabs>
        <w:rPr>
          <w:rFonts w:eastAsia="宋体" w:cs="宋体"/>
          <w:color w:val="000000"/>
          <w:highlight w:val="none"/>
        </w:rPr>
      </w:pPr>
      <w:r>
        <w:rPr>
          <w:color w:val="000000"/>
          <w:highlight w:val="none"/>
        </w:rPr>
        <w:fldChar w:fldCharType="begin"/>
      </w:r>
      <w:r>
        <w:rPr>
          <w:color w:val="000000"/>
          <w:highlight w:val="none"/>
        </w:rPr>
        <w:instrText xml:space="preserve"> HYPERLINK \l "_Toc6012" </w:instrText>
      </w:r>
      <w:r>
        <w:rPr>
          <w:color w:val="000000"/>
          <w:highlight w:val="none"/>
        </w:rPr>
        <w:fldChar w:fldCharType="separate"/>
      </w:r>
      <w:r>
        <w:rPr>
          <w:rFonts w:hint="eastAsia" w:eastAsia="宋体" w:cs="宋体"/>
          <w:color w:val="000000"/>
          <w:szCs w:val="36"/>
          <w:highlight w:val="none"/>
        </w:rPr>
        <w:t xml:space="preserve">第七章 质疑与投诉</w:t>
      </w:r>
      <w:r>
        <w:rPr>
          <w:rFonts w:hint="eastAsia" w:eastAsia="宋体" w:cs="宋体"/>
          <w:color w:val="000000"/>
          <w:highlight w:val="none"/>
        </w:rPr>
        <w:tab/>
      </w:r>
      <w:r>
        <w:rPr>
          <w:rFonts w:hint="eastAsia" w:eastAsia="宋体" w:cs="宋体"/>
          <w:color w:val="000000"/>
          <w:highlight w:val="none"/>
        </w:rPr>
        <w:t xml:space="preserve">4</w:t>
      </w:r>
      <w:r>
        <w:rPr>
          <w:rFonts w:hint="eastAsia" w:eastAsia="宋体" w:cs="宋体"/>
          <w:color w:val="000000"/>
          <w:highlight w:val="none"/>
        </w:rPr>
        <w:fldChar w:fldCharType="end"/>
      </w:r>
      <w:r>
        <w:rPr>
          <w:rFonts w:hint="eastAsia" w:eastAsia="宋体" w:cs="宋体"/>
          <w:color w:val="000000"/>
          <w:highlight w:val="none"/>
        </w:rPr>
        <w:t xml:space="preserve">1</w:t>
      </w:r>
      <w:r>
        <w:rPr>
          <w:rFonts w:eastAsia="宋体" w:cs="宋体"/>
          <w:color w:val="000000"/>
          <w:highlight w:val="none"/>
        </w:rPr>
      </w:r>
      <w:r/>
    </w:p>
    <w:p>
      <w:pPr>
        <w:pStyle w:val="1152"/>
        <w:spacing w:after="0" w:line="360" w:lineRule="auto"/>
        <w:tabs>
          <w:tab w:val="right" w:pos="8867" w:leader="dot"/>
        </w:tabs>
        <w:rPr>
          <w:rFonts w:eastAsia="宋体" w:cs="宋体"/>
          <w:color w:val="000000"/>
          <w:highlight w:val="none"/>
        </w:rPr>
      </w:pPr>
      <w:r>
        <w:rPr>
          <w:color w:val="000000"/>
          <w:highlight w:val="none"/>
        </w:rPr>
        <w:fldChar w:fldCharType="begin"/>
      </w:r>
      <w:r>
        <w:rPr>
          <w:color w:val="000000"/>
          <w:highlight w:val="none"/>
        </w:rPr>
        <w:instrText xml:space="preserve"> HYPERLINK \l "_Toc29584" </w:instrText>
      </w:r>
      <w:r>
        <w:rPr>
          <w:color w:val="000000"/>
          <w:highlight w:val="none"/>
        </w:rPr>
        <w:fldChar w:fldCharType="separate"/>
      </w:r>
      <w:r>
        <w:rPr>
          <w:rFonts w:hint="eastAsia" w:eastAsia="宋体" w:cs="宋体"/>
          <w:color w:val="000000"/>
          <w:szCs w:val="36"/>
          <w:highlight w:val="none"/>
        </w:rPr>
        <w:t xml:space="preserve">第八章 投标文件组成及格式</w:t>
      </w:r>
      <w:r>
        <w:rPr>
          <w:rFonts w:hint="eastAsia" w:eastAsia="宋体" w:cs="宋体"/>
          <w:color w:val="000000"/>
          <w:highlight w:val="none"/>
        </w:rPr>
        <w:tab/>
      </w:r>
      <w:r>
        <w:rPr>
          <w:rFonts w:hint="eastAsia" w:eastAsia="宋体" w:cs="宋体"/>
          <w:color w:val="000000"/>
          <w:highlight w:val="none"/>
        </w:rPr>
        <w:t xml:space="preserve">4</w:t>
      </w:r>
      <w:r>
        <w:rPr>
          <w:rFonts w:hint="eastAsia" w:eastAsia="宋体" w:cs="宋体"/>
          <w:color w:val="000000"/>
          <w:highlight w:val="none"/>
        </w:rPr>
        <w:fldChar w:fldCharType="end"/>
      </w:r>
      <w:r>
        <w:rPr>
          <w:rFonts w:hint="eastAsia" w:eastAsia="宋体" w:cs="宋体"/>
          <w:color w:val="000000"/>
          <w:highlight w:val="none"/>
        </w:rPr>
        <w:t xml:space="preserve">5</w:t>
      </w:r>
      <w:r>
        <w:rPr>
          <w:rFonts w:eastAsia="宋体" w:cs="宋体"/>
          <w:color w:val="000000"/>
          <w:highlight w:val="none"/>
        </w:rPr>
      </w:r>
      <w:r/>
    </w:p>
    <w:p>
      <w:pPr>
        <w:pStyle w:val="1015"/>
        <w:jc w:val="center"/>
        <w:spacing w:line="360" w:lineRule="auto"/>
        <w:tabs>
          <w:tab w:val="left" w:pos="1050" w:leader="none"/>
          <w:tab w:val="right" w:pos="9402" w:leader="dot"/>
        </w:tabs>
        <w:rPr>
          <w:rFonts w:eastAsia="宋体" w:cs="宋体"/>
          <w:b/>
          <w:color w:val="000000"/>
          <w:szCs w:val="36"/>
          <w:highlight w:val="none"/>
        </w:rPr>
      </w:pPr>
      <w:r>
        <w:rPr>
          <w:rFonts w:hint="eastAsia" w:eastAsia="宋体" w:cs="宋体"/>
          <w:color w:val="000000"/>
          <w:szCs w:val="36"/>
          <w:highlight w:val="none"/>
        </w:rPr>
        <w:fldChar w:fldCharType="end"/>
      </w:r>
      <w:r>
        <w:rPr>
          <w:rFonts w:eastAsia="宋体" w:cs="宋体"/>
          <w:b/>
          <w:color w:val="000000"/>
          <w:szCs w:val="36"/>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sectPr>
          <w:headerReference w:type="default" r:id="rId11"/>
          <w:footerReference w:type="default" r:id="rId17"/>
          <w:footnotePr/>
          <w:endnotePr/>
          <w:type w:val="nextPage"/>
          <w:pgSz w:w="11905" w:h="16838" w:orient="portrait"/>
          <w:pgMar w:top="1417" w:right="1701" w:bottom="1587" w:left="1701" w:header="850" w:footer="992" w:gutter="0"/>
          <w:pgNumType w:start="1"/>
          <w:cols w:num="1" w:sep="0" w:space="1701" w:equalWidth="1"/>
          <w:docGrid w:linePitch="360"/>
        </w:sectPr>
      </w:pPr>
      <w:r>
        <w:rPr>
          <w:rFonts w:eastAsia="宋体" w:cs="宋体"/>
          <w:color w:val="000000"/>
          <w:highlight w:val="none"/>
        </w:rPr>
      </w:r>
      <w:r/>
    </w:p>
    <w:p>
      <w:pPr>
        <w:pStyle w:val="1015"/>
        <w:jc w:val="center"/>
        <w:spacing w:line="360" w:lineRule="auto"/>
        <w:tabs>
          <w:tab w:val="left" w:pos="1050" w:leader="none"/>
          <w:tab w:val="right" w:pos="9402" w:leader="dot"/>
        </w:tabs>
        <w:rPr>
          <w:rFonts w:eastAsia="宋体" w:cs="宋体"/>
          <w:b/>
          <w:color w:val="000000"/>
          <w:sz w:val="36"/>
          <w:szCs w:val="36"/>
          <w:highlight w:val="none"/>
        </w:rPr>
        <w:outlineLvl w:val="0"/>
      </w:pPr>
      <w:r/>
      <w:bookmarkStart w:id="6" w:name="_Toc30374"/>
      <w:r/>
      <w:bookmarkStart w:id="7" w:name="_Toc22769"/>
      <w:r>
        <w:rPr>
          <w:rFonts w:hint="eastAsia" w:eastAsia="宋体" w:cs="宋体"/>
          <w:b/>
          <w:color w:val="000000"/>
          <w:sz w:val="36"/>
          <w:szCs w:val="36"/>
          <w:highlight w:val="none"/>
        </w:rPr>
        <w:t xml:space="preserve">第一章 招标公告</w:t>
      </w:r>
      <w:bookmarkEnd w:id="5"/>
      <w:r/>
      <w:bookmarkEnd w:id="6"/>
      <w:r/>
      <w:bookmarkEnd w:id="7"/>
      <w:r>
        <w:rPr>
          <w:rFonts w:eastAsia="宋体" w:cs="宋体"/>
          <w:b/>
          <w:color w:val="000000"/>
          <w:sz w:val="36"/>
          <w:szCs w:val="36"/>
          <w:highlight w:val="none"/>
        </w:rPr>
      </w:r>
      <w:r/>
    </w:p>
    <w:p>
      <w:pPr>
        <w:pStyle w:val="1015"/>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rPr>
        <w:t xml:space="preserve">项目概况</w:t>
      </w:r>
      <w:r>
        <w:rPr>
          <w:rFonts w:eastAsia="宋体" w:cs="宋体"/>
          <w:bCs/>
          <w:color w:val="000000"/>
          <w:sz w:val="24"/>
          <w:szCs w:val="24"/>
          <w:highlight w:val="none"/>
        </w:rPr>
      </w:r>
      <w:r/>
    </w:p>
    <w:p>
      <w:pPr>
        <w:pStyle w:val="1015"/>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u w:val="single"/>
        </w:rPr>
        <w:t xml:space="preserve">南通市第三人民医院</w:t>
      </w:r>
      <w:r>
        <w:rPr>
          <w:rFonts w:hint="eastAsia" w:eastAsia="宋体" w:cs="宋体"/>
          <w:bCs/>
          <w:color w:val="000000"/>
          <w:sz w:val="24"/>
          <w:szCs w:val="24"/>
          <w:highlight w:val="none"/>
          <w:u w:val="single"/>
          <w:lang w:eastAsia="zh-CN"/>
        </w:rPr>
        <w:t xml:space="preserve">2号楼智慧病房建设项目</w:t>
      </w:r>
      <w:r>
        <w:rPr>
          <w:rFonts w:hint="eastAsia" w:eastAsia="宋体" w:cs="宋体"/>
          <w:bCs/>
          <w:color w:val="000000"/>
          <w:sz w:val="24"/>
          <w:szCs w:val="24"/>
          <w:highlight w:val="none"/>
        </w:rPr>
        <w:t xml:space="preserve">的潜在投标人应在</w:t>
      </w:r>
      <w:r>
        <w:rPr>
          <w:rFonts w:hint="eastAsia" w:eastAsia="宋体" w:cs="宋体"/>
          <w:bCs/>
          <w:color w:val="000000"/>
          <w:sz w:val="24"/>
          <w:szCs w:val="24"/>
          <w:highlight w:val="none"/>
          <w:u w:val="single"/>
        </w:rPr>
        <w:t xml:space="preserve">江苏政府采购网苏采云系统内</w:t>
      </w:r>
      <w:r>
        <w:rPr>
          <w:rFonts w:hint="eastAsia" w:eastAsia="宋体" w:cs="宋体"/>
          <w:bCs/>
          <w:color w:val="000000"/>
          <w:sz w:val="24"/>
          <w:szCs w:val="24"/>
          <w:highlight w:val="none"/>
        </w:rPr>
        <w:t xml:space="preserve">获取招标文件，并于</w:t>
      </w:r>
      <w:r>
        <w:rPr>
          <w:rFonts w:hint="eastAsia" w:eastAsia="宋体" w:cs="宋体"/>
          <w:bCs/>
          <w:color w:val="000000"/>
          <w:sz w:val="24"/>
          <w:szCs w:val="24"/>
          <w:highlight w:val="none"/>
          <w:u w:val="single"/>
        </w:rPr>
        <w:t xml:space="preserve">202</w:t>
      </w:r>
      <w:r>
        <w:rPr>
          <w:rFonts w:hint="eastAsia" w:eastAsia="宋体" w:cs="宋体"/>
          <w:bCs/>
          <w:color w:val="000000"/>
          <w:sz w:val="24"/>
          <w:szCs w:val="24"/>
          <w:highlight w:val="none"/>
          <w:u w:val="single"/>
          <w:lang w:val="en-US" w:eastAsia="zh-CN"/>
        </w:rPr>
        <w:t xml:space="preserve">6</w:t>
      </w:r>
      <w:r>
        <w:rPr>
          <w:rFonts w:hint="eastAsia" w:eastAsia="宋体" w:cs="宋体"/>
          <w:bCs/>
          <w:color w:val="000000"/>
          <w:sz w:val="24"/>
          <w:szCs w:val="24"/>
          <w:highlight w:val="none"/>
          <w:u w:val="single"/>
        </w:rPr>
        <w:t xml:space="preserve">年</w:t>
      </w:r>
      <w:r>
        <w:rPr>
          <w:rFonts w:hint="eastAsia" w:eastAsia="宋体" w:cs="宋体"/>
          <w:bCs/>
          <w:color w:val="000000"/>
          <w:sz w:val="24"/>
          <w:szCs w:val="24"/>
          <w:highlight w:val="none"/>
          <w:u w:val="single"/>
          <w:lang w:val="en-US" w:eastAsia="zh-CN"/>
        </w:rPr>
        <w:t xml:space="preserve">6月30</w:t>
      </w:r>
      <w:r>
        <w:rPr>
          <w:rFonts w:hint="eastAsia" w:eastAsia="宋体" w:cs="宋体"/>
          <w:bCs/>
          <w:color w:val="000000"/>
          <w:sz w:val="24"/>
          <w:szCs w:val="24"/>
          <w:highlight w:val="none"/>
          <w:u w:val="single"/>
        </w:rPr>
        <w:t xml:space="preserve">日</w:t>
      </w:r>
      <w:r>
        <w:rPr>
          <w:rFonts w:hint="eastAsia" w:eastAsia="宋体" w:cs="宋体"/>
          <w:bCs/>
          <w:color w:val="000000"/>
          <w:sz w:val="24"/>
          <w:szCs w:val="24"/>
          <w:highlight w:val="none"/>
          <w:u w:val="single"/>
          <w:lang w:val="en-US" w:eastAsia="zh-CN"/>
        </w:rPr>
        <w:t xml:space="preserve">14</w:t>
      </w:r>
      <w:r>
        <w:rPr>
          <w:rFonts w:hint="eastAsia" w:eastAsia="宋体" w:cs="宋体"/>
          <w:bCs/>
          <w:color w:val="000000"/>
          <w:sz w:val="24"/>
          <w:szCs w:val="24"/>
          <w:highlight w:val="none"/>
          <w:u w:val="single"/>
        </w:rPr>
        <w:t xml:space="preserve">时00分</w:t>
      </w:r>
      <w:r>
        <w:rPr>
          <w:rFonts w:hint="eastAsia" w:eastAsia="宋体" w:cs="宋体"/>
          <w:bCs/>
          <w:color w:val="000000"/>
          <w:sz w:val="24"/>
          <w:szCs w:val="24"/>
          <w:highlight w:val="none"/>
        </w:rPr>
        <w:t xml:space="preserve">（北京时间）前递交投标文件。</w:t>
      </w:r>
      <w:r>
        <w:rPr>
          <w:rFonts w:eastAsia="宋体" w:cs="宋体"/>
          <w:bCs/>
          <w:color w:val="000000"/>
          <w:sz w:val="24"/>
          <w:szCs w:val="24"/>
          <w:highlight w:val="none"/>
        </w:rPr>
      </w:r>
      <w:r/>
    </w:p>
    <w:p>
      <w:pPr>
        <w:pStyle w:val="1015"/>
        <w:numPr>
          <w:ilvl w:val="0"/>
          <w:numId w:val="2"/>
        </w:numPr>
        <w:contextualSpacing/>
        <w:ind w:firstLine="482"/>
        <w:spacing w:line="360" w:lineRule="auto"/>
        <w:rPr>
          <w:rFonts w:eastAsia="宋体" w:cs="宋体"/>
          <w:bCs/>
          <w:color w:val="000000"/>
          <w:sz w:val="24"/>
          <w:szCs w:val="24"/>
          <w:highlight w:val="none"/>
        </w:rPr>
        <w:outlineLvl w:val="1"/>
      </w:pPr>
      <w:r/>
      <w:bookmarkStart w:id="8" w:name="_Toc3838"/>
      <w:r>
        <w:rPr>
          <w:rFonts w:hint="eastAsia" w:eastAsia="宋体" w:cs="宋体"/>
          <w:b/>
          <w:bCs/>
          <w:color w:val="000000"/>
          <w:sz w:val="24"/>
          <w:szCs w:val="24"/>
          <w:highlight w:val="none"/>
        </w:rPr>
        <w:t xml:space="preserve">项目基本情况</w:t>
      </w:r>
      <w:bookmarkEnd w:id="8"/>
      <w:r>
        <w:rPr>
          <w:rFonts w:eastAsia="宋体" w:cs="宋体"/>
          <w:bCs/>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1、项目编号：JSZC-320600-TDGW-G2026-0019</w:t>
      </w:r>
      <w:r>
        <w:rPr>
          <w:rFonts w:eastAsia="宋体" w:cs="宋体"/>
          <w:color w:val="000000"/>
          <w:sz w:val="24"/>
          <w:szCs w:val="24"/>
          <w:highlight w:val="none"/>
        </w:rPr>
      </w:r>
      <w:r/>
    </w:p>
    <w:p>
      <w:pPr>
        <w:pStyle w:val="1015"/>
        <w:ind w:firstLine="480"/>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2、项目名称：</w:t>
      </w:r>
      <w:bookmarkStart w:id="9" w:name="OLE_LINK1"/>
      <w:r/>
      <w:bookmarkStart w:id="10" w:name="OLE_LINK13"/>
      <w:r>
        <w:rPr>
          <w:rFonts w:hint="eastAsia" w:eastAsia="宋体" w:cs="宋体"/>
          <w:color w:val="000000"/>
          <w:sz w:val="24"/>
          <w:szCs w:val="24"/>
          <w:highlight w:val="none"/>
        </w:rPr>
        <w:t xml:space="preserve">南通市第三人民医院</w:t>
      </w:r>
      <w:bookmarkEnd w:id="9"/>
      <w:r>
        <w:rPr>
          <w:rFonts w:hint="eastAsia" w:eastAsia="宋体" w:cs="宋体"/>
          <w:color w:val="000000"/>
          <w:sz w:val="24"/>
          <w:szCs w:val="24"/>
          <w:highlight w:val="none"/>
          <w:lang w:eastAsia="zh-CN"/>
        </w:rPr>
        <w:t xml:space="preserve">2号楼智慧病房建设项目</w:t>
      </w:r>
      <w:bookmarkEnd w:id="10"/>
      <w:r>
        <w:rPr>
          <w:rFonts w:hint="eastAsia" w:eastAsia="宋体" w:cs="宋体"/>
          <w:color w:val="000000"/>
          <w:sz w:val="24"/>
          <w:szCs w:val="24"/>
          <w:highlight w:val="none"/>
          <w:lang w:eastAsia="zh-CN"/>
        </w:rPr>
      </w:r>
      <w:r/>
    </w:p>
    <w:p>
      <w:pPr>
        <w:pStyle w:val="1015"/>
        <w:ind w:firstLine="480"/>
        <w:spacing w:line="360" w:lineRule="auto"/>
        <w:rPr>
          <w:rFonts w:eastAsia="宋体" w:cs="宋体"/>
          <w:color w:val="000000"/>
          <w:sz w:val="24"/>
          <w:szCs w:val="24"/>
          <w:highlight w:val="none"/>
        </w:rPr>
      </w:pPr>
      <w:r/>
      <w:bookmarkStart w:id="11" w:name="_Toc387526273"/>
      <w:r/>
      <w:bookmarkStart w:id="12" w:name="_Toc387526365"/>
      <w:r/>
      <w:bookmarkStart w:id="13" w:name="_Toc387526169"/>
      <w:r/>
      <w:bookmarkStart w:id="14" w:name="_Toc20597"/>
      <w:r>
        <w:rPr>
          <w:rFonts w:hint="eastAsia" w:eastAsia="宋体" w:cs="宋体"/>
          <w:color w:val="000000"/>
          <w:sz w:val="24"/>
          <w:szCs w:val="24"/>
          <w:highlight w:val="none"/>
        </w:rPr>
        <w:t xml:space="preserve">3、项目类型：服务</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4、预算金额：</w:t>
      </w:r>
      <w:r>
        <w:rPr>
          <w:rFonts w:hint="eastAsia" w:eastAsia="宋体" w:cs="宋体"/>
          <w:color w:val="000000"/>
          <w:sz w:val="24"/>
          <w:szCs w:val="24"/>
          <w:highlight w:val="none"/>
          <w:lang w:val="en-US" w:eastAsia="zh-CN"/>
        </w:rPr>
        <w:t xml:space="preserve">145万元</w:t>
      </w:r>
      <w:r>
        <w:rPr>
          <w:rFonts w:eastAsia="宋体" w:cs="宋体"/>
          <w:color w:val="000000"/>
          <w:sz w:val="24"/>
          <w:szCs w:val="24"/>
          <w:highlight w:val="none"/>
        </w:rPr>
      </w:r>
      <w:r/>
    </w:p>
    <w:p>
      <w:pPr>
        <w:pStyle w:val="1015"/>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5、最高限价：</w:t>
      </w:r>
      <w:r>
        <w:rPr>
          <w:rFonts w:hint="eastAsia" w:eastAsia="宋体" w:cs="宋体"/>
          <w:b/>
          <w:bCs/>
          <w:color w:val="000000"/>
          <w:sz w:val="24"/>
          <w:szCs w:val="24"/>
          <w:highlight w:val="none"/>
          <w:lang w:val="en-US" w:eastAsia="zh-CN"/>
        </w:rPr>
        <w:t xml:space="preserve">145万元</w:t>
      </w:r>
      <w:r>
        <w:rPr>
          <w:rFonts w:hint="eastAsia" w:eastAsia="宋体" w:cs="宋体"/>
          <w:b/>
          <w:bCs/>
          <w:color w:val="000000"/>
          <w:sz w:val="24"/>
          <w:szCs w:val="24"/>
          <w:highlight w:val="none"/>
        </w:rPr>
        <w:t xml:space="preserve">。投标报价超过最高限价为无效投标。</w:t>
      </w:r>
      <w:r>
        <w:rPr>
          <w:rFonts w:eastAsia="宋体" w:cs="宋体"/>
          <w:b/>
          <w:bCs/>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6、项目需求：具体详见采购文</w:t>
      </w:r>
      <w:r>
        <w:rPr>
          <w:rFonts w:hint="eastAsia" w:eastAsia="宋体" w:cs="宋体"/>
          <w:color w:val="000000"/>
          <w:sz w:val="24"/>
          <w:szCs w:val="24"/>
          <w:highlight w:val="none"/>
        </w:rPr>
        <w:t xml:space="preserve">件第三部分采购需求，请仔细研究。</w:t>
      </w:r>
      <w:r>
        <w:rPr>
          <w:rFonts w:eastAsia="宋体" w:cs="宋体"/>
          <w:color w:val="000000"/>
          <w:sz w:val="24"/>
          <w:szCs w:val="24"/>
          <w:highlight w:val="none"/>
        </w:rPr>
      </w:r>
      <w:r/>
    </w:p>
    <w:p>
      <w:pPr>
        <w:pStyle w:val="1015"/>
        <w:ind w:firstLine="480"/>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7、</w:t>
      </w:r>
      <w:r>
        <w:rPr>
          <w:rFonts w:hint="eastAsia" w:eastAsia="宋体" w:cs="宋体"/>
          <w:b/>
          <w:bCs/>
          <w:color w:val="000000"/>
          <w:sz w:val="24"/>
          <w:szCs w:val="24"/>
          <w:highlight w:val="none"/>
        </w:rPr>
        <w:t xml:space="preserve">合同履行期限：</w:t>
      </w:r>
      <w:r>
        <w:rPr>
          <w:rFonts w:hint="eastAsia" w:ascii="Times New Roman" w:hAnsi="Times New Roman" w:eastAsia="宋体" w:cs="宋体"/>
          <w:b/>
          <w:bCs/>
          <w:color w:val="000000"/>
          <w:sz w:val="24"/>
          <w:szCs w:val="24"/>
          <w:highlight w:val="none"/>
        </w:rPr>
        <w:t xml:space="preserve">配合基建改造，按楼层实施交付</w:t>
      </w:r>
      <w:r>
        <w:rPr>
          <w:rFonts w:hint="eastAsia" w:eastAsia="宋体" w:cs="宋体"/>
          <w:b/>
          <w:bCs/>
          <w:color w:val="000000"/>
          <w:sz w:val="24"/>
          <w:szCs w:val="24"/>
          <w:highlight w:val="none"/>
        </w:rPr>
        <w:t xml:space="preserve">。</w:t>
      </w:r>
      <w:bookmarkEnd w:id="11"/>
      <w:r/>
      <w:bookmarkEnd w:id="12"/>
      <w:r/>
      <w:bookmarkEnd w:id="13"/>
      <w:r/>
      <w:bookmarkEnd w:id="14"/>
      <w:r>
        <w:rPr>
          <w:rFonts w:eastAsia="宋体" w:cs="宋体"/>
          <w:b/>
          <w:bCs/>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8、本项目（是/否）接受联合体：否。</w:t>
      </w:r>
      <w:r>
        <w:rPr>
          <w:rFonts w:eastAsia="宋体" w:cs="宋体"/>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outlineLvl w:val="1"/>
      </w:pPr>
      <w:r/>
      <w:bookmarkStart w:id="15" w:name="_Toc28765"/>
      <w:r>
        <w:rPr>
          <w:rFonts w:hint="eastAsia" w:eastAsia="宋体" w:cs="宋体"/>
          <w:b/>
          <w:bCs/>
          <w:color w:val="000000"/>
          <w:sz w:val="24"/>
          <w:szCs w:val="24"/>
          <w:highlight w:val="none"/>
        </w:rPr>
        <w:t xml:space="preserve">二、申请人的资格要求：</w:t>
      </w:r>
      <w:bookmarkEnd w:id="15"/>
      <w:r>
        <w:rPr>
          <w:rFonts w:eastAsia="宋体" w:cs="宋体"/>
          <w:b/>
          <w:bCs/>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1、满足《中华人民共和国政府采购法》第二十二条规定，提供</w:t>
      </w:r>
      <w:r>
        <w:rPr>
          <w:rFonts w:hint="eastAsia" w:eastAsia="宋体" w:cs="宋体"/>
          <w:bCs/>
          <w:color w:val="000000"/>
          <w:sz w:val="24"/>
          <w:szCs w:val="24"/>
          <w:highlight w:val="none"/>
        </w:rPr>
        <w:t xml:space="preserve">声明函</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（1）具有独立承担民事责任的能力；</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（2）具有良好的商业信誉和健全的财务会计制度；</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（3）具有履行合同所必需的设备和专业技术能力；</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（4）有依法缴纳税收和社会保障资金的良好记录；</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（5）参加政府采购活动前三年内，在经营活动中没有重大违法记录；</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（6）法律、行政法规规定的其他条件。</w:t>
      </w:r>
      <w:r>
        <w:rPr>
          <w:rFonts w:eastAsia="宋体" w:cs="宋体"/>
          <w:color w:val="000000"/>
          <w:sz w:val="24"/>
          <w:szCs w:val="24"/>
          <w:highlight w:val="none"/>
        </w:rPr>
      </w:r>
      <w:r/>
    </w:p>
    <w:p>
      <w:pPr>
        <w:pStyle w:val="1015"/>
        <w:ind w:firstLine="480"/>
        <w:spacing w:line="360" w:lineRule="auto"/>
        <w:rPr>
          <w:rFonts w:eastAsia="宋体" w:cs="宋体"/>
          <w:b/>
          <w:color w:val="000000"/>
          <w:sz w:val="24"/>
          <w:szCs w:val="24"/>
          <w:highlight w:val="none"/>
          <w:u w:val="single"/>
        </w:rPr>
      </w:pPr>
      <w:r>
        <w:rPr>
          <w:rFonts w:hint="eastAsia" w:eastAsia="宋体" w:cs="宋体"/>
          <w:bCs/>
          <w:color w:val="000000"/>
          <w:sz w:val="24"/>
          <w:szCs w:val="24"/>
          <w:highlight w:val="none"/>
        </w:rPr>
        <w:t xml:space="preserve">2、落实政府采购政策需满足的资格要求：</w:t>
      </w:r>
      <w:bookmarkStart w:id="16" w:name="OLE_LINK2"/>
      <w:r>
        <w:rPr>
          <w:rFonts w:hint="eastAsia" w:eastAsia="宋体" w:cs="宋体"/>
          <w:b/>
          <w:color w:val="000000"/>
          <w:sz w:val="24"/>
          <w:szCs w:val="24"/>
          <w:highlight w:val="none"/>
          <w:u w:val="single"/>
        </w:rPr>
        <w:t xml:space="preserve">根据《政府采购促进中小企业发展管理办法》（财库【2020】46号）要求，本项目属于专门面向中小企业采购的项目。</w:t>
      </w:r>
      <w:r>
        <w:rPr>
          <w:rFonts w:eastAsia="宋体" w:cs="宋体"/>
          <w:b/>
          <w:color w:val="000000"/>
          <w:sz w:val="24"/>
          <w:szCs w:val="24"/>
          <w:highlight w:val="none"/>
          <w:u w:val="single"/>
        </w:rPr>
      </w:r>
      <w:r/>
    </w:p>
    <w:p>
      <w:pPr>
        <w:pStyle w:val="1015"/>
        <w:ind w:firstLine="480"/>
        <w:spacing w:line="360" w:lineRule="auto"/>
        <w:rPr>
          <w:rFonts w:eastAsia="宋体" w:cs="宋体"/>
          <w:b/>
          <w:color w:val="000000"/>
          <w:sz w:val="24"/>
          <w:szCs w:val="24"/>
          <w:highlight w:val="none"/>
          <w:u w:val="single"/>
        </w:rPr>
      </w:pPr>
      <w:r>
        <w:rPr>
          <w:rFonts w:hint="eastAsia" w:eastAsia="宋体" w:cs="宋体"/>
          <w:b/>
          <w:color w:val="000000"/>
          <w:sz w:val="24"/>
          <w:szCs w:val="24"/>
          <w:highlight w:val="none"/>
          <w:u w:val="single"/>
        </w:rPr>
        <w:t xml:space="preserve">（1）本项目属于服务类采购。即采购服务全部由中小企业承接。（供应商必须提供中小企业声明函（见格式）或《残疾人福利性单位声明函》或监狱和戒毒企业证明材料）</w:t>
      </w:r>
      <w:r>
        <w:rPr>
          <w:rFonts w:eastAsia="宋体" w:cs="宋体"/>
          <w:b/>
          <w:color w:val="000000"/>
          <w:sz w:val="24"/>
          <w:szCs w:val="24"/>
          <w:highlight w:val="none"/>
          <w:u w:val="single"/>
        </w:rPr>
      </w:r>
      <w:r/>
    </w:p>
    <w:p>
      <w:pPr>
        <w:pStyle w:val="1015"/>
        <w:ind w:firstLine="480"/>
        <w:spacing w:line="360" w:lineRule="auto"/>
        <w:rPr>
          <w:rFonts w:eastAsia="宋体" w:cs="宋体"/>
          <w:b/>
          <w:color w:val="000000"/>
          <w:sz w:val="24"/>
          <w:szCs w:val="24"/>
          <w:highlight w:val="none"/>
          <w:u w:val="single"/>
        </w:rPr>
      </w:pPr>
      <w:r>
        <w:rPr>
          <w:rFonts w:hint="eastAsia" w:eastAsia="宋体" w:cs="宋体"/>
          <w:b/>
          <w:color w:val="000000"/>
          <w:sz w:val="24"/>
          <w:szCs w:val="24"/>
          <w:highlight w:val="none"/>
          <w:u w:val="single"/>
        </w:rPr>
        <w:t xml:space="preserve">（2）中小微企业划型标准请对照《关于印发中小企业划型标准规定的通知》（工信部联企业〔2011〕300号）（详见附件）。本项目采购标的对应的中小企业划分标准所属行业为：</w:t>
      </w:r>
      <w:r>
        <w:rPr>
          <w:rFonts w:hint="eastAsia" w:eastAsia="宋体" w:cs="宋体"/>
          <w:b/>
          <w:color w:val="000000"/>
          <w:sz w:val="24"/>
          <w:szCs w:val="24"/>
          <w:highlight w:val="none"/>
          <w:u w:val="single"/>
        </w:rPr>
        <w:t xml:space="preserve">软件和信息技术服务业</w:t>
      </w:r>
      <w:r>
        <w:rPr>
          <w:rFonts w:hint="eastAsia" w:eastAsia="宋体" w:cs="宋体"/>
          <w:b/>
          <w:color w:val="000000"/>
          <w:sz w:val="24"/>
          <w:szCs w:val="24"/>
          <w:highlight w:val="none"/>
          <w:u w:val="single"/>
        </w:rPr>
        <w:t xml:space="preserve">。</w:t>
      </w:r>
      <w:r>
        <w:rPr>
          <w:rFonts w:eastAsia="宋体" w:cs="宋体"/>
          <w:b/>
          <w:color w:val="000000"/>
          <w:sz w:val="24"/>
          <w:szCs w:val="24"/>
          <w:highlight w:val="none"/>
          <w:u w:val="single"/>
        </w:rPr>
      </w:r>
      <w:r/>
    </w:p>
    <w:p>
      <w:pPr>
        <w:pStyle w:val="1015"/>
        <w:ind w:firstLine="480"/>
        <w:spacing w:line="360" w:lineRule="auto"/>
        <w:rPr>
          <w:rFonts w:eastAsia="宋体" w:cs="宋体"/>
          <w:b/>
          <w:color w:val="000000"/>
          <w:sz w:val="24"/>
          <w:szCs w:val="24"/>
          <w:highlight w:val="none"/>
          <w:u w:val="single"/>
        </w:rPr>
      </w:pPr>
      <w:r>
        <w:rPr>
          <w:rFonts w:hint="eastAsia" w:eastAsia="宋体" w:cs="宋体"/>
          <w:b/>
          <w:color w:val="000000"/>
          <w:sz w:val="24"/>
          <w:szCs w:val="24"/>
          <w:highlight w:val="none"/>
          <w:u w:val="single"/>
        </w:rPr>
        <w:t xml:space="preserve">备注：本项目专门面向中小企业，不享受价格扣除优惠政策。</w:t>
      </w:r>
      <w:bookmarkEnd w:id="16"/>
      <w:r>
        <w:rPr>
          <w:rFonts w:eastAsia="宋体" w:cs="宋体"/>
          <w:b/>
          <w:color w:val="000000"/>
          <w:sz w:val="24"/>
          <w:szCs w:val="24"/>
          <w:highlight w:val="none"/>
          <w:u w:val="singl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3、本项目的特定资格要求：</w:t>
      </w:r>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（1）投标供应商具有独立承担民事责任能力，提供法人或者其他组织的营业执照等证明文件。</w:t>
      </w:r>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投标人法定代表人参加投标的，必须提供法定代表人身份证明及法定代表人本人身份证复印件；非法定代表人参加投标的，必须提供法定代表人签名或盖章的授权委托书及法定代表人和被授权人两个人的身份证复印件（格式参见第八章）。</w:t>
      </w:r>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4、未被“信用中国”网站（www.creditchina.gov.cn）列入失信被执行人、重大税收违法案件当事人名单、政府采购严重失信行为记录名单；</w:t>
      </w:r>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5、拒绝下述投标人参加本次采购活动：</w:t>
      </w:r>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（1）投标人单位负责人为同一人或者存在直接控股、管理关系的不同投标人，不得参加同一合同项下的政府采购活动。</w:t>
      </w:r>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（2）凡为采购项目提供整体设计、规范编制或者项目管理、监理、检测等服务的投标人，不得再参加本项目的采购活动。</w:t>
      </w:r>
      <w:r>
        <w:rPr>
          <w:rFonts w:eastAsia="宋体" w:cs="宋体"/>
          <w:bCs/>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具体资格要求详见第八章中的“资格审查文件”。</w:t>
      </w:r>
      <w:r>
        <w:rPr>
          <w:rFonts w:eastAsia="宋体" w:cs="宋体"/>
          <w:b/>
          <w:bCs/>
          <w:color w:val="000000"/>
          <w:sz w:val="24"/>
          <w:szCs w:val="24"/>
          <w:highlight w:val="none"/>
        </w:rPr>
      </w:r>
      <w:r/>
    </w:p>
    <w:p>
      <w:pPr>
        <w:pStyle w:val="1015"/>
        <w:ind w:firstLine="482"/>
        <w:spacing w:line="360" w:lineRule="auto"/>
        <w:rPr>
          <w:rFonts w:eastAsia="宋体" w:cs="宋体"/>
          <w:b/>
          <w:color w:val="000000"/>
          <w:sz w:val="24"/>
          <w:szCs w:val="24"/>
          <w:highlight w:val="none"/>
        </w:rPr>
        <w:outlineLvl w:val="1"/>
      </w:pPr>
      <w:r/>
      <w:bookmarkStart w:id="17" w:name="_Toc23225"/>
      <w:r>
        <w:rPr>
          <w:rFonts w:hint="eastAsia" w:eastAsia="宋体" w:cs="宋体"/>
          <w:b/>
          <w:color w:val="000000"/>
          <w:sz w:val="24"/>
          <w:szCs w:val="24"/>
          <w:highlight w:val="none"/>
        </w:rPr>
        <w:t xml:space="preserve">三、获取招标文件</w:t>
      </w:r>
      <w:bookmarkEnd w:id="17"/>
      <w:r>
        <w:rPr>
          <w:rFonts w:eastAsia="宋体" w:cs="宋体"/>
          <w:b/>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1、时间：</w:t>
      </w:r>
      <w:r>
        <w:rPr>
          <w:rFonts w:hint="eastAsia" w:eastAsia="宋体" w:cs="宋体"/>
          <w:bCs/>
          <w:color w:val="000000"/>
          <w:sz w:val="24"/>
          <w:szCs w:val="24"/>
          <w:highlight w:val="none"/>
        </w:rPr>
        <w:t xml:space="preserve">自招标文件公告发布之日起5个工作日</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1015"/>
        <w:ind w:firstLine="480"/>
        <w:spacing w:line="360" w:lineRule="auto"/>
        <w:rPr>
          <w:rFonts w:eastAsia="宋体" w:cs="宋体"/>
          <w:bCs/>
          <w:color w:val="000000"/>
          <w:sz w:val="24"/>
          <w:szCs w:val="24"/>
          <w:highlight w:val="none"/>
        </w:rPr>
      </w:pPr>
      <w:r>
        <w:rPr>
          <w:rFonts w:hint="eastAsia" w:eastAsia="宋体" w:cs="宋体"/>
          <w:color w:val="000000"/>
          <w:sz w:val="24"/>
          <w:szCs w:val="24"/>
          <w:highlight w:val="none"/>
        </w:rPr>
        <w:t xml:space="preserve">2、地点：</w:t>
      </w:r>
      <w:r>
        <w:rPr>
          <w:rFonts w:hint="eastAsia" w:eastAsia="宋体" w:cs="宋体"/>
          <w:bCs/>
          <w:color w:val="000000"/>
          <w:sz w:val="24"/>
          <w:szCs w:val="24"/>
          <w:highlight w:val="none"/>
        </w:rPr>
        <w:t xml:space="preserve">网上注册登记成功后系统内下载。</w:t>
      </w:r>
      <w:r>
        <w:rPr>
          <w:rFonts w:eastAsia="宋体" w:cs="宋体"/>
          <w:bCs/>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3、获取方式：本项目采用网上注册登记方式。</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3.1潜在供应商访问电子招标响应交易平台的网络地址和方法：</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3.2潜在供应商访问“苏采云”系统的网络地址和方法：“苏采云”系统的网址：http://jszfcg.jsczt.cn/。</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3.3“CA数字证书”的获取：</w:t>
      </w:r>
      <w:r>
        <w:rPr>
          <w:rFonts w:eastAsia="宋体" w:cs="宋体"/>
          <w:color w:val="000000"/>
          <w:sz w:val="24"/>
          <w:szCs w:val="24"/>
          <w:highlight w:val="none"/>
        </w:rPr>
      </w:r>
      <w:r/>
    </w:p>
    <w:p>
      <w:pPr>
        <w:pStyle w:val="1015"/>
        <w:ind w:firstLine="480"/>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供应商需办理</w:t>
      </w:r>
      <w:r>
        <w:rPr>
          <w:rFonts w:hint="eastAsia" w:eastAsia="宋体" w:cs="宋体"/>
          <w:bCs/>
          <w:color w:val="000000"/>
          <w:sz w:val="24"/>
          <w:szCs w:val="24"/>
          <w:highlight w:val="none"/>
        </w:rPr>
        <w:t xml:space="preserve">“CA 数字证书”</w:t>
      </w:r>
      <w:r>
        <w:rPr>
          <w:rFonts w:hint="eastAsia" w:eastAsia="宋体" w:cs="宋体"/>
          <w:color w:val="000000"/>
          <w:sz w:val="24"/>
          <w:szCs w:val="24"/>
          <w:highlight w:val="none"/>
        </w:rPr>
        <w:t xml:space="preserve">。“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eastAsia="宋体" w:cs="宋体"/>
          <w:b/>
          <w:bCs/>
          <w:color w:val="000000"/>
          <w:sz w:val="24"/>
          <w:szCs w:val="24"/>
          <w:highlight w:val="none"/>
        </w:rPr>
      </w:r>
      <w:r/>
    </w:p>
    <w:p>
      <w:pPr>
        <w:pStyle w:val="1015"/>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rPr>
          <w:rFonts w:eastAsia="宋体" w:cs="宋体"/>
          <w:bCs/>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3.4采购文件（后缀名为“.kedt”）、供应商操作手册及政府采购客户端工具可通过“苏采云”系统--已报名项目--报名详情页面内相应链接进行下载。</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3.5招标人或招标代理机构（采购代理机构）将数据电文形式的采购文件加载至“苏采云”系统，供潜在供应商下载或者查阅。</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eastAsia="宋体" w:cs="宋体"/>
          <w:color w:val="000000"/>
          <w:sz w:val="24"/>
          <w:szCs w:val="24"/>
          <w:highlight w:val="none"/>
        </w:rPr>
      </w:r>
      <w:r/>
    </w:p>
    <w:p>
      <w:pPr>
        <w:pStyle w:val="1015"/>
        <w:ind w:firstLine="480"/>
        <w:spacing w:line="360" w:lineRule="auto"/>
        <w:rPr>
          <w:rFonts w:eastAsia="宋体" w:cs="宋体"/>
          <w:bCs/>
          <w:color w:val="000000"/>
          <w:sz w:val="24"/>
          <w:szCs w:val="24"/>
          <w:highlight w:val="none"/>
        </w:rPr>
      </w:pPr>
      <w:r>
        <w:rPr>
          <w:rFonts w:hint="eastAsia" w:eastAsia="宋体" w:cs="宋体"/>
          <w:color w:val="000000"/>
          <w:sz w:val="24"/>
          <w:szCs w:val="24"/>
          <w:highlight w:val="none"/>
        </w:rPr>
        <w:t xml:space="preserve">3.7</w:t>
      </w:r>
      <w:r>
        <w:rPr>
          <w:rFonts w:hint="eastAsia" w:eastAsia="宋体" w:cs="宋体"/>
          <w:bCs/>
          <w:color w:val="000000"/>
          <w:sz w:val="24"/>
          <w:szCs w:val="24"/>
          <w:highlight w:val="none"/>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eastAsia="宋体" w:cs="宋体"/>
          <w:bCs/>
          <w:color w:val="000000"/>
          <w:sz w:val="24"/>
          <w:szCs w:val="24"/>
          <w:highlight w:val="none"/>
        </w:rPr>
      </w:r>
      <w:r/>
    </w:p>
    <w:p>
      <w:pPr>
        <w:pStyle w:val="1015"/>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注：如潜在供应商未按上述要求操作，将自行承担所产生的风险。</w:t>
      </w:r>
      <w:r>
        <w:rPr>
          <w:rFonts w:eastAsia="宋体" w:cs="宋体"/>
          <w:b/>
          <w:color w:val="000000"/>
          <w:sz w:val="24"/>
          <w:szCs w:val="24"/>
          <w:highlight w:val="none"/>
        </w:rPr>
      </w:r>
      <w:r/>
    </w:p>
    <w:p>
      <w:pPr>
        <w:pStyle w:val="1015"/>
        <w:ind w:firstLine="482"/>
        <w:spacing w:line="360" w:lineRule="auto"/>
        <w:rPr>
          <w:rFonts w:eastAsia="宋体" w:cs="宋体"/>
          <w:color w:val="000000"/>
          <w:sz w:val="24"/>
          <w:szCs w:val="24"/>
          <w:highlight w:val="none"/>
        </w:rPr>
        <w:outlineLvl w:val="1"/>
      </w:pPr>
      <w:r/>
      <w:bookmarkStart w:id="18" w:name="_Toc1834"/>
      <w:r>
        <w:rPr>
          <w:rFonts w:hint="eastAsia" w:eastAsia="宋体" w:cs="宋体"/>
          <w:b/>
          <w:color w:val="000000"/>
          <w:sz w:val="24"/>
          <w:szCs w:val="24"/>
          <w:highlight w:val="none"/>
        </w:rPr>
        <w:t xml:space="preserve">四、提交投标文件截止时间、开标时间和地点</w:t>
      </w:r>
      <w:bookmarkEnd w:id="18"/>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1、投标文件提交截止时间：</w:t>
      </w:r>
      <w:r>
        <w:rPr>
          <w:rFonts w:hint="eastAsia" w:eastAsia="宋体" w:cs="宋体"/>
          <w:bCs/>
          <w:color w:val="000000"/>
          <w:sz w:val="24"/>
          <w:szCs w:val="24"/>
          <w:highlight w:val="none"/>
          <w:u w:val="single"/>
        </w:rPr>
        <w:t xml:space="preserve">202</w:t>
      </w:r>
      <w:r>
        <w:rPr>
          <w:rFonts w:hint="eastAsia" w:eastAsia="宋体" w:cs="宋体"/>
          <w:bCs/>
          <w:color w:val="000000"/>
          <w:sz w:val="24"/>
          <w:szCs w:val="24"/>
          <w:highlight w:val="none"/>
          <w:u w:val="single"/>
          <w:lang w:val="en-US" w:eastAsia="zh-CN"/>
        </w:rPr>
        <w:t xml:space="preserve">6</w:t>
      </w:r>
      <w:r>
        <w:rPr>
          <w:rFonts w:hint="eastAsia" w:eastAsia="宋体" w:cs="宋体"/>
          <w:bCs/>
          <w:color w:val="000000"/>
          <w:sz w:val="24"/>
          <w:szCs w:val="24"/>
          <w:highlight w:val="none"/>
          <w:u w:val="single"/>
        </w:rPr>
        <w:t xml:space="preserve">年</w:t>
      </w:r>
      <w:r>
        <w:rPr>
          <w:rFonts w:hint="eastAsia" w:eastAsia="宋体" w:cs="宋体"/>
          <w:bCs/>
          <w:color w:val="000000"/>
          <w:sz w:val="24"/>
          <w:szCs w:val="24"/>
          <w:highlight w:val="none"/>
          <w:u w:val="single"/>
          <w:lang w:val="en-US" w:eastAsia="zh-CN"/>
        </w:rPr>
        <w:t xml:space="preserve">6月30</w:t>
      </w:r>
      <w:r>
        <w:rPr>
          <w:rFonts w:hint="eastAsia" w:eastAsia="宋体" w:cs="宋体"/>
          <w:bCs/>
          <w:color w:val="000000"/>
          <w:sz w:val="24"/>
          <w:szCs w:val="24"/>
          <w:highlight w:val="none"/>
          <w:u w:val="single"/>
        </w:rPr>
        <w:t xml:space="preserve">日</w:t>
      </w:r>
      <w:r>
        <w:rPr>
          <w:rFonts w:hint="eastAsia" w:eastAsia="宋体" w:cs="宋体"/>
          <w:bCs/>
          <w:color w:val="000000"/>
          <w:sz w:val="24"/>
          <w:szCs w:val="24"/>
          <w:highlight w:val="none"/>
          <w:u w:val="single"/>
          <w:lang w:val="en-US" w:eastAsia="zh-CN"/>
        </w:rPr>
        <w:t xml:space="preserve">14</w:t>
      </w:r>
      <w:r>
        <w:rPr>
          <w:rFonts w:hint="eastAsia" w:eastAsia="宋体" w:cs="宋体"/>
          <w:bCs/>
          <w:color w:val="000000"/>
          <w:sz w:val="24"/>
          <w:szCs w:val="24"/>
          <w:highlight w:val="none"/>
          <w:u w:val="single"/>
        </w:rPr>
        <w:t xml:space="preserve">时00分</w:t>
      </w:r>
      <w:r>
        <w:rPr>
          <w:rFonts w:hint="eastAsia" w:eastAsia="宋体" w:cs="宋体"/>
          <w:color w:val="000000"/>
          <w:sz w:val="24"/>
          <w:szCs w:val="24"/>
          <w:highlight w:val="none"/>
        </w:rPr>
        <w:t xml:space="preserve">（北京时间）。逾时，“苏采云”系统将拒绝接受上传响应文件电子文档。</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2、线上开标地点：“苏采云”系统（网址：http://jszfcg.jsczt.cn/）“开标大厅”。</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3、响应文件的解密：开标当天各供应商及时登录不见面开标大厅，响应文件递交截止时间后，招标人将在系统内公布投标供应商名单，然后通过开标会议区发出响应文件解密的指令，投标供应商在开标室按规定时间自行实施远程解密，</w:t>
      </w:r>
      <w:r>
        <w:rPr>
          <w:rFonts w:hint="eastAsia" w:eastAsia="宋体" w:cs="宋体"/>
          <w:b/>
          <w:color w:val="000000"/>
          <w:sz w:val="24"/>
          <w:szCs w:val="24"/>
          <w:highlight w:val="none"/>
        </w:rPr>
        <w:t xml:space="preserve">投标供应商解密限定在开标后30分钟之内完成</w:t>
      </w:r>
      <w:r>
        <w:rPr>
          <w:rFonts w:hint="eastAsia" w:eastAsia="宋体" w:cs="宋体"/>
          <w:color w:val="000000"/>
          <w:sz w:val="24"/>
          <w:szCs w:val="24"/>
          <w:highlight w:val="none"/>
        </w:rPr>
        <w:t xml:space="preserve">。</w:t>
      </w:r>
      <w:r>
        <w:rPr>
          <w:rFonts w:hint="eastAsia" w:eastAsia="宋体" w:cs="宋体"/>
          <w:color w:val="000000"/>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招标人（或采购代理机构）原因或网上招投标平台发生故障，导致无法按时完成响应文件解密或开、评标工作无法进行的，可根据实际情况相应延迟解密时间或调整开、评标时间。</w:t>
      </w:r>
      <w:r>
        <w:rPr>
          <w:rFonts w:eastAsia="宋体" w:cs="宋体"/>
          <w:color w:val="000000"/>
          <w:sz w:val="24"/>
          <w:szCs w:val="24"/>
          <w:highlight w:val="none"/>
          <w:u w:val="single"/>
        </w:rPr>
      </w:r>
      <w:r/>
    </w:p>
    <w:p>
      <w:pPr>
        <w:pStyle w:val="1015"/>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注：各供应商请关注开标大厅交流区，在开标结束后，请勿离开开标大厅。</w:t>
      </w:r>
      <w:r>
        <w:rPr>
          <w:rFonts w:eastAsia="宋体" w:cs="宋体"/>
          <w:b/>
          <w:color w:val="000000"/>
          <w:sz w:val="24"/>
          <w:szCs w:val="24"/>
          <w:highlight w:val="none"/>
        </w:rPr>
      </w:r>
      <w:r/>
    </w:p>
    <w:p>
      <w:pPr>
        <w:pStyle w:val="1015"/>
        <w:ind w:firstLine="482"/>
        <w:spacing w:line="360" w:lineRule="auto"/>
        <w:rPr>
          <w:rFonts w:eastAsia="宋体" w:cs="宋体"/>
          <w:b/>
          <w:color w:val="000000"/>
          <w:sz w:val="24"/>
          <w:szCs w:val="24"/>
          <w:highlight w:val="none"/>
        </w:rPr>
        <w:outlineLvl w:val="1"/>
      </w:pPr>
      <w:r/>
      <w:bookmarkStart w:id="19" w:name="_Toc14969"/>
      <w:r>
        <w:rPr>
          <w:rFonts w:hint="eastAsia" w:eastAsia="宋体" w:cs="宋体"/>
          <w:b/>
          <w:color w:val="000000"/>
          <w:sz w:val="24"/>
          <w:szCs w:val="24"/>
          <w:highlight w:val="none"/>
        </w:rPr>
        <w:t xml:space="preserve">五、公告期限</w:t>
      </w:r>
      <w:bookmarkEnd w:id="19"/>
      <w:r>
        <w:rPr>
          <w:rFonts w:eastAsia="宋体" w:cs="宋体"/>
          <w:b/>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自本公告发布之日起5个工作日。</w:t>
      </w:r>
      <w:r>
        <w:rPr>
          <w:rFonts w:eastAsia="宋体" w:cs="宋体"/>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outlineLvl w:val="1"/>
      </w:pPr>
      <w:r/>
      <w:bookmarkStart w:id="20" w:name="_Toc17689"/>
      <w:r>
        <w:rPr>
          <w:rFonts w:hint="eastAsia" w:eastAsia="宋体" w:cs="宋体"/>
          <w:b/>
          <w:color w:val="000000"/>
          <w:sz w:val="24"/>
          <w:szCs w:val="24"/>
          <w:highlight w:val="none"/>
        </w:rPr>
        <w:t xml:space="preserve">六、其他补充事宜</w:t>
      </w:r>
      <w:bookmarkEnd w:id="20"/>
      <w:r>
        <w:rPr>
          <w:rFonts w:eastAsia="宋体" w:cs="宋体"/>
          <w:b/>
          <w:bCs/>
          <w:color w:val="000000"/>
          <w:sz w:val="24"/>
          <w:szCs w:val="24"/>
          <w:highlight w:val="none"/>
        </w:rPr>
      </w:r>
      <w:r/>
    </w:p>
    <w:p>
      <w:pPr>
        <w:pStyle w:val="1015"/>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1、投标保证金：免收；本项目招标文件中涉及投标保证金的事项，均按免收投标保证金执行。</w:t>
      </w:r>
      <w:r>
        <w:rPr>
          <w:rFonts w:eastAsia="宋体" w:cs="宋体"/>
          <w:bCs/>
          <w:color w:val="000000"/>
          <w:sz w:val="24"/>
          <w:szCs w:val="24"/>
          <w:highlight w:val="none"/>
        </w:rPr>
      </w:r>
      <w:r/>
    </w:p>
    <w:p>
      <w:pPr>
        <w:pStyle w:val="1015"/>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2、项目开标活动模式：不见面远程投标模式，供应商在各自地点通过不见面交易系统参加开标会。</w:t>
      </w:r>
      <w:r>
        <w:rPr>
          <w:rFonts w:eastAsia="宋体" w:cs="宋体"/>
          <w:bCs/>
          <w:color w:val="000000"/>
          <w:sz w:val="24"/>
          <w:szCs w:val="24"/>
          <w:highlight w:val="none"/>
        </w:rPr>
      </w:r>
      <w:r/>
    </w:p>
    <w:p>
      <w:pPr>
        <w:pStyle w:val="1015"/>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eastAsia="宋体"/>
          <w:b/>
          <w:color w:val="000000"/>
          <w:sz w:val="24"/>
          <w:szCs w:val="24"/>
          <w:highlight w:val="none"/>
        </w:rPr>
        <w:t xml:space="preserve">项目演示：投标人</w:t>
      </w:r>
      <w:r>
        <w:rPr>
          <w:rFonts w:hint="eastAsia" w:ascii="宋体" w:hAnsi="宋体" w:eastAsia="宋体" w:cs="宋体"/>
          <w:b/>
          <w:color w:val="000000"/>
          <w:sz w:val="24"/>
          <w:szCs w:val="24"/>
          <w:highlight w:val="none"/>
          <w:lang w:val="zh-CN"/>
        </w:rPr>
        <w:t xml:space="preserve">提供软件功能演示视频，</w:t>
      </w:r>
      <w:r>
        <w:rPr>
          <w:rFonts w:hint="eastAsia" w:ascii="宋体" w:hAnsi="宋体" w:eastAsia="宋体" w:cs="宋体"/>
          <w:b/>
          <w:color w:val="000000"/>
          <w:sz w:val="24"/>
          <w:szCs w:val="24"/>
          <w:highlight w:val="none"/>
          <w:lang w:val="en-US" w:eastAsia="zh-CN"/>
        </w:rPr>
        <w:t xml:space="preserve">请</w:t>
      </w:r>
      <w:r>
        <w:rPr>
          <w:rFonts w:hint="eastAsia" w:ascii="宋体" w:hAnsi="宋体" w:eastAsia="宋体" w:cs="宋体"/>
          <w:b/>
          <w:color w:val="000000"/>
          <w:sz w:val="24"/>
          <w:szCs w:val="24"/>
          <w:highlight w:val="none"/>
          <w:lang w:val="zh-CN"/>
        </w:rPr>
        <w:t xml:space="preserve">自行上传至“</w:t>
      </w:r>
      <w:r>
        <w:rPr>
          <w:rFonts w:hint="eastAsia" w:eastAsia="宋体" w:cs="宋体"/>
          <w:b/>
          <w:color w:val="000000"/>
          <w:sz w:val="24"/>
          <w:szCs w:val="24"/>
          <w:highlight w:val="none"/>
        </w:rPr>
        <w:t xml:space="preserve">商务技术标文件</w:t>
      </w:r>
      <w:r>
        <w:rPr>
          <w:rFonts w:hint="eastAsia" w:ascii="宋体" w:hAnsi="宋体" w:eastAsia="宋体" w:cs="宋体"/>
          <w:b/>
          <w:color w:val="000000"/>
          <w:sz w:val="24"/>
          <w:szCs w:val="24"/>
          <w:highlight w:val="none"/>
          <w:lang w:val="zh-CN"/>
        </w:rPr>
        <w:t xml:space="preserve">”</w:t>
      </w:r>
      <w:r>
        <w:rPr>
          <w:rFonts w:hint="eastAsia" w:eastAsia="宋体" w:cs="宋体"/>
          <w:bCs/>
          <w:color w:val="000000"/>
          <w:sz w:val="24"/>
          <w:szCs w:val="24"/>
          <w:highlight w:val="none"/>
        </w:rPr>
        <w:t xml:space="preserve">。</w:t>
      </w:r>
      <w:r>
        <w:rPr>
          <w:rFonts w:eastAsia="宋体" w:cs="宋体"/>
          <w:bCs/>
          <w:color w:val="000000"/>
          <w:sz w:val="24"/>
          <w:szCs w:val="24"/>
          <w:highlight w:val="none"/>
        </w:rPr>
      </w:r>
      <w:r/>
    </w:p>
    <w:p>
      <w:pPr>
        <w:pStyle w:val="1015"/>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4、对项目需求部分（投标人其他资格</w:t>
      </w:r>
      <w:r>
        <w:rPr>
          <w:rFonts w:hint="eastAsia" w:eastAsia="宋体" w:cs="宋体"/>
          <w:color w:val="000000"/>
          <w:sz w:val="24"/>
          <w:szCs w:val="24"/>
          <w:highlight w:val="none"/>
        </w:rPr>
        <w:t xml:space="preserve">要求</w:t>
      </w:r>
      <w:r>
        <w:rPr>
          <w:rFonts w:hint="eastAsia" w:eastAsia="宋体" w:cs="宋体"/>
          <w:bCs/>
          <w:color w:val="000000"/>
          <w:sz w:val="24"/>
          <w:szCs w:val="24"/>
          <w:highlight w:val="none"/>
        </w:rPr>
        <w:t xml:space="preserve">、项目需求、评分标准）的询问、质疑请向招标人提出，由招标人负责答复；对项目招标文件其它部分的询问请向招标人或招标代理提出。</w:t>
      </w:r>
      <w:r>
        <w:rPr>
          <w:rFonts w:eastAsia="宋体" w:cs="宋体"/>
          <w:bCs/>
          <w:color w:val="000000"/>
          <w:sz w:val="24"/>
          <w:szCs w:val="24"/>
          <w:highlight w:val="none"/>
        </w:rPr>
      </w:r>
      <w:r/>
    </w:p>
    <w:p>
      <w:pPr>
        <w:pStyle w:val="1015"/>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6、本次招标的有关信息将在江苏政府采购网上发布，敬请留意。</w:t>
      </w:r>
      <w:r>
        <w:rPr>
          <w:rFonts w:eastAsia="宋体" w:cs="宋体"/>
          <w:bCs/>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outlineLvl w:val="1"/>
      </w:pPr>
      <w:r/>
      <w:bookmarkStart w:id="21" w:name="_Toc3136"/>
      <w:r>
        <w:rPr>
          <w:rFonts w:hint="eastAsia" w:eastAsia="宋体" w:cs="宋体"/>
          <w:b/>
          <w:bCs/>
          <w:color w:val="000000"/>
          <w:sz w:val="24"/>
          <w:szCs w:val="24"/>
          <w:highlight w:val="none"/>
        </w:rPr>
        <w:t xml:space="preserve">七、对本次招标提出询问，请按以下方式联系。</w:t>
      </w:r>
      <w:bookmarkEnd w:id="21"/>
      <w:r>
        <w:rPr>
          <w:rFonts w:eastAsia="宋体" w:cs="宋体"/>
          <w:b/>
          <w:bCs/>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1、招标人信息</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招标人：南通市第三人民医院</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地址： 江苏省南通市青年中路60号</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联系人：</w:t>
      </w:r>
      <w:bookmarkStart w:id="22" w:name="OLE_LINK14"/>
      <w:r>
        <w:rPr>
          <w:rFonts w:hint="eastAsia" w:eastAsia="宋体" w:cs="宋体"/>
          <w:color w:val="000000"/>
          <w:sz w:val="24"/>
          <w:szCs w:val="24"/>
          <w:highlight w:val="none"/>
        </w:rPr>
        <w:t xml:space="preserve">钱先生</w:t>
      </w:r>
      <w:bookmarkEnd w:id="22"/>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联系方式：</w:t>
      </w:r>
      <w:bookmarkStart w:id="23" w:name="OLE_LINK15"/>
      <w:r>
        <w:rPr>
          <w:rFonts w:hint="eastAsia" w:eastAsia="宋体" w:cs="宋体"/>
          <w:color w:val="000000"/>
          <w:sz w:val="24"/>
          <w:szCs w:val="24"/>
          <w:highlight w:val="none"/>
        </w:rPr>
        <w:t xml:space="preserve">0513-85116168</w:t>
      </w:r>
      <w:bookmarkEnd w:id="23"/>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2、招标代理机构信息</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名称：宏信天德工程顾问有限公司</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地址：</w:t>
      </w:r>
      <w:bookmarkStart w:id="24" w:name="OLE_LINK3"/>
      <w:r>
        <w:rPr>
          <w:rFonts w:hint="eastAsia" w:eastAsia="宋体" w:cs="宋体"/>
          <w:color w:val="000000"/>
          <w:sz w:val="24"/>
          <w:szCs w:val="24"/>
          <w:highlight w:val="none"/>
        </w:rPr>
        <w:t xml:space="preserve">南通市崇川区北大街108号金域商业中心1幢8楼北区</w:t>
      </w:r>
      <w:bookmarkEnd w:id="24"/>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联系人：周伟琦、董安国         </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联系电话：</w:t>
      </w:r>
      <w:bookmarkStart w:id="25" w:name="OLE_LINK4"/>
      <w:r/>
      <w:bookmarkStart w:id="26" w:name="OLE_LINK10"/>
      <w:r>
        <w:rPr>
          <w:rFonts w:hint="eastAsia" w:eastAsia="宋体" w:cs="宋体"/>
          <w:color w:val="000000"/>
          <w:sz w:val="24"/>
          <w:szCs w:val="24"/>
          <w:highlight w:val="none"/>
        </w:rPr>
        <w:t xml:space="preserve">18912299056</w:t>
      </w:r>
      <w:bookmarkEnd w:id="25"/>
      <w:r>
        <w:rPr>
          <w:rFonts w:hint="eastAsia" w:eastAsia="宋体" w:cs="宋体"/>
          <w:color w:val="000000"/>
          <w:sz w:val="24"/>
          <w:szCs w:val="24"/>
          <w:highlight w:val="none"/>
        </w:rPr>
        <w:t xml:space="preserve"> </w:t>
      </w:r>
      <w:bookmarkEnd w:id="26"/>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3、项目联系方式</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bookmarkStart w:id="27" w:name="_Toc363573854"/>
      <w:r>
        <w:rPr>
          <w:rFonts w:hint="eastAsia" w:eastAsia="宋体" w:cs="宋体"/>
          <w:color w:val="000000"/>
          <w:sz w:val="24"/>
          <w:szCs w:val="24"/>
          <w:highlight w:val="none"/>
        </w:rPr>
        <w:t xml:space="preserve">项目联系人：董安国</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电话：18912299056</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邮箱：</w:t>
      </w:r>
      <w:r>
        <w:rPr>
          <w:rFonts w:eastAsia="宋体"/>
          <w:color w:val="000000"/>
          <w:highlight w:val="none"/>
        </w:rPr>
        <w:fldChar w:fldCharType="begin"/>
      </w:r>
      <w:r>
        <w:rPr>
          <w:rFonts w:eastAsia="宋体"/>
          <w:color w:val="000000"/>
          <w:highlight w:val="none"/>
        </w:rPr>
        <w:instrText xml:space="preserve">HYPERLINK "mailto:812298892@qq.com" \o "mailto:812298892@qq.com"</w:instrText>
      </w:r>
      <w:r>
        <w:rPr>
          <w:rFonts w:eastAsia="宋体"/>
          <w:color w:val="000000"/>
          <w:highlight w:val="none"/>
        </w:rPr>
        <w:fldChar w:fldCharType="separate"/>
      </w:r>
      <w:r>
        <w:rPr>
          <w:rFonts w:hint="eastAsia" w:eastAsia="宋体" w:cs="宋体"/>
          <w:color w:val="000000"/>
          <w:sz w:val="24"/>
          <w:szCs w:val="24"/>
          <w:highlight w:val="none"/>
        </w:rPr>
        <w:t xml:space="preserve">812298892@qq.com</w:t>
      </w:r>
      <w:r>
        <w:rPr>
          <w:rFonts w:eastAsia="宋体"/>
          <w:color w:val="000000"/>
          <w:highlight w:val="none"/>
        </w:rPr>
        <w:fldChar w:fldCharType="end"/>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4、软件技术支持：0519-86722801。</w:t>
      </w:r>
      <w:r>
        <w:rPr>
          <w:rFonts w:eastAsia="宋体" w:cs="宋体"/>
          <w:color w:val="000000"/>
          <w:sz w:val="24"/>
          <w:szCs w:val="24"/>
          <w:highlight w:val="none"/>
        </w:rPr>
      </w:r>
      <w:r/>
    </w:p>
    <w:p>
      <w:pPr>
        <w:pStyle w:val="1015"/>
        <w:spacing w:line="360" w:lineRule="auto"/>
        <w:rPr>
          <w:rFonts w:eastAsia="宋体" w:cs="宋体"/>
          <w:color w:val="000000"/>
          <w:highlight w:val="none"/>
        </w:rPr>
      </w:pPr>
      <w:r>
        <w:rPr>
          <w:rFonts w:hint="eastAsia" w:eastAsia="宋体" w:cs="宋体"/>
          <w:color w:val="000000"/>
          <w:highlight w:val="none"/>
        </w:rPr>
        <w:br w:type="page" w:clear="all"/>
      </w:r>
      <w:r>
        <w:rPr>
          <w:rFonts w:eastAsia="宋体" w:cs="宋体"/>
          <w:color w:val="000000"/>
          <w:highlight w:val="none"/>
        </w:rPr>
      </w:r>
      <w:r/>
    </w:p>
    <w:p>
      <w:pPr>
        <w:pStyle w:val="1015"/>
        <w:jc w:val="center"/>
        <w:spacing w:line="360" w:lineRule="auto"/>
        <w:tabs>
          <w:tab w:val="left" w:pos="1050" w:leader="none"/>
          <w:tab w:val="right" w:pos="9402" w:leader="dot"/>
        </w:tabs>
        <w:rPr>
          <w:rFonts w:eastAsia="宋体" w:cs="宋体"/>
          <w:b/>
          <w:bCs/>
          <w:color w:val="000000"/>
          <w:sz w:val="36"/>
          <w:szCs w:val="36"/>
          <w:highlight w:val="none"/>
        </w:rPr>
        <w:outlineLvl w:val="0"/>
      </w:pPr>
      <w:r/>
      <w:bookmarkStart w:id="28" w:name="_Toc7477"/>
      <w:r/>
      <w:bookmarkStart w:id="29" w:name="_Toc17316"/>
      <w:r>
        <w:rPr>
          <w:rFonts w:hint="eastAsia" w:eastAsia="宋体" w:cs="宋体"/>
          <w:b/>
          <w:color w:val="000000"/>
          <w:sz w:val="36"/>
          <w:szCs w:val="36"/>
          <w:highlight w:val="none"/>
        </w:rPr>
        <w:t xml:space="preserve">第二章 投标人须知</w:t>
      </w:r>
      <w:bookmarkEnd w:id="27"/>
      <w:r/>
      <w:bookmarkEnd w:id="28"/>
      <w:r/>
      <w:bookmarkEnd w:id="29"/>
      <w:r/>
      <w:bookmarkStart w:id="30" w:name="_Toc363573855"/>
      <w:r>
        <w:rPr>
          <w:rFonts w:eastAsia="宋体" w:cs="宋体"/>
          <w:b/>
          <w:bCs/>
          <w:color w:val="000000"/>
          <w:sz w:val="36"/>
          <w:szCs w:val="36"/>
          <w:highlight w:val="none"/>
        </w:rPr>
      </w:r>
      <w:r/>
    </w:p>
    <w:p>
      <w:pPr>
        <w:pStyle w:val="1015"/>
        <w:ind w:firstLine="482"/>
        <w:spacing w:line="360" w:lineRule="auto"/>
        <w:rPr>
          <w:rFonts w:eastAsia="宋体" w:cs="宋体"/>
          <w:b/>
          <w:color w:val="000000"/>
          <w:sz w:val="24"/>
          <w:szCs w:val="24"/>
          <w:highlight w:val="none"/>
        </w:rPr>
        <w:outlineLvl w:val="1"/>
      </w:pPr>
      <w:r/>
      <w:bookmarkStart w:id="31" w:name="_Toc28958"/>
      <w:r>
        <w:rPr>
          <w:rFonts w:hint="eastAsia" w:eastAsia="宋体" w:cs="宋体"/>
          <w:b/>
          <w:color w:val="000000"/>
          <w:sz w:val="24"/>
          <w:szCs w:val="24"/>
          <w:highlight w:val="none"/>
        </w:rPr>
        <w:t xml:space="preserve">一、总则</w:t>
      </w:r>
      <w:bookmarkEnd w:id="31"/>
      <w:r>
        <w:rPr>
          <w:rFonts w:eastAsia="宋体" w:cs="宋体"/>
          <w:b/>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1.招标方式</w:t>
      </w:r>
      <w:r>
        <w:rPr>
          <w:rFonts w:eastAsia="宋体" w:cs="宋体"/>
          <w:b/>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1.1本次招标采取公开招标方式，本招标文件仅适用于招标公告中所述项目。</w:t>
      </w:r>
      <w:r>
        <w:rPr>
          <w:rFonts w:eastAsia="宋体" w:cs="宋体"/>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2.合格的投标人</w:t>
      </w:r>
      <w:r>
        <w:rPr>
          <w:rFonts w:eastAsia="宋体" w:cs="宋体"/>
          <w:b/>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2.1满足招标公告中投标人的资格要求的规定。</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 满足本文件实质性要求和条件的规定。</w:t>
      </w:r>
      <w:r>
        <w:rPr>
          <w:rFonts w:eastAsia="宋体" w:cs="宋体"/>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3.适用法律</w:t>
      </w:r>
      <w:r>
        <w:rPr>
          <w:rFonts w:eastAsia="宋体" w:cs="宋体"/>
          <w:b/>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3.1本次招标及由此产生的合同受中华人民共和国有关的法律法规制约和保护。</w:t>
      </w:r>
      <w:r>
        <w:rPr>
          <w:rFonts w:eastAsia="宋体" w:cs="宋体"/>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4.投标费用</w:t>
      </w:r>
      <w:r>
        <w:rPr>
          <w:rFonts w:eastAsia="宋体" w:cs="宋体"/>
          <w:b/>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4.1投标人应自行承担所有与参加投标有关的费用，无论投标过程中的做法和结果如何，招标人及代理机构在任何情况下均无义务和责任承担这些费用。</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4.2本次招标向中标供应商收取代理服务费，按国家发改委颁发的[2011]534号文《国家发改委关于降低部分建设项目收费标准规范收费行为等有关问题的通知》的有关规定执行，具体如下：中标服务费按差额定率累进法计算，以中标通知书确定的中标金额作为收费的计算依据，按招标收费标准下浮40%计算，不满1500元的，按1500元收取。</w:t>
      </w:r>
      <w:r>
        <w:rPr>
          <w:rFonts w:eastAsia="宋体" w:cs="宋体"/>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5.招标文件的约束力</w:t>
      </w:r>
      <w:r>
        <w:rPr>
          <w:rFonts w:eastAsia="宋体" w:cs="宋体"/>
          <w:b/>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5.1</w:t>
      </w:r>
      <w:r>
        <w:rPr>
          <w:rFonts w:hint="eastAsia" w:eastAsia="宋体" w:cs="宋体"/>
          <w:color w:val="000000"/>
          <w:sz w:val="24"/>
          <w:szCs w:val="24"/>
          <w:highlight w:val="none"/>
        </w:rPr>
        <w:t xml:space="preserve">投标人一旦参加本项目采购活动，即被认为接受了本招标文件的规定和约束。</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6.招标文件的解释</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6.1</w:t>
      </w:r>
      <w:r>
        <w:rPr>
          <w:rFonts w:hint="eastAsia" w:eastAsia="宋体" w:cs="宋体"/>
          <w:color w:val="000000"/>
          <w:sz w:val="24"/>
          <w:szCs w:val="24"/>
          <w:highlight w:val="none"/>
        </w:rPr>
        <w:t xml:space="preserve">招标文件需求部分（投标人资格要求、项目需求、商务技术评分标准）由招标人解释，其它部分由招标代理机构解释。</w:t>
      </w:r>
      <w:r>
        <w:rPr>
          <w:rFonts w:eastAsia="宋体" w:cs="宋体"/>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outlineLvl w:val="1"/>
      </w:pPr>
      <w:r/>
      <w:bookmarkStart w:id="32" w:name="_Toc16177"/>
      <w:r>
        <w:rPr>
          <w:rFonts w:hint="eastAsia" w:eastAsia="宋体" w:cs="宋体"/>
          <w:b/>
          <w:bCs/>
          <w:color w:val="000000"/>
          <w:sz w:val="24"/>
          <w:szCs w:val="24"/>
          <w:highlight w:val="none"/>
        </w:rPr>
        <w:t xml:space="preserve">二、招标文件</w:t>
      </w:r>
      <w:bookmarkEnd w:id="32"/>
      <w:r>
        <w:rPr>
          <w:rFonts w:eastAsia="宋体" w:cs="宋体"/>
          <w:b/>
          <w:bCs/>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1.招标文件构成</w:t>
      </w:r>
      <w:r>
        <w:rPr>
          <w:rFonts w:eastAsia="宋体" w:cs="宋体"/>
          <w:b/>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1.1</w:t>
      </w:r>
      <w:r>
        <w:rPr>
          <w:rFonts w:hint="eastAsia" w:eastAsia="宋体" w:cs="宋体"/>
          <w:color w:val="000000"/>
          <w:sz w:val="24"/>
          <w:szCs w:val="24"/>
          <w:highlight w:val="none"/>
        </w:rPr>
        <w:t xml:space="preserve"> 招标文件由以下部分组成：</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（1）招标公告</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（2）投标人须知</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（3）项目需求</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（4）评审方法和评审标准</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（5）合同主要条款</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（6）合同授予</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（7）质疑与投诉</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（8）投标文件组成及格式</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请仔细检查招标文件是否齐全，如有缺漏请立即与</w:t>
      </w:r>
      <w:r>
        <w:rPr>
          <w:rFonts w:hint="eastAsia" w:eastAsia="宋体" w:cs="宋体"/>
          <w:bCs/>
          <w:color w:val="000000"/>
          <w:sz w:val="24"/>
          <w:szCs w:val="24"/>
          <w:highlight w:val="none"/>
        </w:rPr>
        <w:t xml:space="preserve">招标人或招标代理机构</w:t>
      </w:r>
      <w:r>
        <w:rPr>
          <w:rFonts w:hint="eastAsia" w:eastAsia="宋体" w:cs="宋体"/>
          <w:color w:val="000000"/>
          <w:sz w:val="24"/>
          <w:szCs w:val="24"/>
          <w:highlight w:val="none"/>
        </w:rPr>
        <w:t xml:space="preserve">联系解决。</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1.2</w:t>
      </w:r>
      <w:r>
        <w:rPr>
          <w:rFonts w:hint="eastAsia" w:eastAsia="宋体" w:cs="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cs="宋体"/>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2.招标文件的澄清</w:t>
      </w:r>
      <w:r>
        <w:rPr>
          <w:rFonts w:eastAsia="宋体" w:cs="宋体"/>
          <w:b/>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2.1</w:t>
      </w:r>
      <w:r>
        <w:rPr>
          <w:rFonts w:hint="eastAsia" w:eastAsia="宋体" w:cs="宋体"/>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eastAsia="宋体" w:cs="宋体"/>
          <w:bCs/>
          <w:color w:val="000000"/>
          <w:sz w:val="24"/>
          <w:szCs w:val="24"/>
          <w:highlight w:val="none"/>
        </w:rPr>
        <w:t xml:space="preserve">招标人</w:t>
      </w:r>
      <w:r>
        <w:rPr>
          <w:rFonts w:hint="eastAsia" w:eastAsia="宋体" w:cs="宋体"/>
          <w:color w:val="000000"/>
          <w:sz w:val="24"/>
          <w:szCs w:val="24"/>
          <w:highlight w:val="none"/>
        </w:rPr>
        <w:t xml:space="preserve">可以视采购项目的具体情况，组织投标人进行现场考察或召开答疑会，但不单独或分别组织只有一个投标人参加的现场考察和答疑会。</w:t>
      </w:r>
      <w:r>
        <w:rPr>
          <w:rFonts w:eastAsia="宋体" w:cs="宋体"/>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3.招标文件的修改</w:t>
      </w:r>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 在投标文件提交截止时间前，招标人或招标代理机构可以对招标文件进行修改</w:t>
      </w:r>
      <w:r>
        <w:rPr>
          <w:rFonts w:hint="eastAsia" w:eastAsia="宋体" w:cs="宋体"/>
          <w:color w:val="000000"/>
          <w:sz w:val="24"/>
          <w:szCs w:val="24"/>
          <w:highlight w:val="none"/>
        </w:rPr>
        <w:t xml:space="preserve">，澄清或者修改的内容作为招标文件的组成部分。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 招标人或招标代理机构有权按照法定的要求推迟投标文件提交截止日期和开标日期。</w:t>
      </w:r>
      <w:r>
        <w:rPr>
          <w:rFonts w:eastAsia="宋体" w:cs="宋体"/>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3.3 招标文件的修改将在江苏政府采购网公布，补充文件将作为招标文件的组成部分，并对投标人具有约束力</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eastAsia="宋体" w:cs="宋体"/>
          <w:b/>
          <w:bCs/>
          <w:color w:val="000000"/>
          <w:sz w:val="24"/>
          <w:szCs w:val="24"/>
          <w:highlight w:val="none"/>
          <w:u w:val="singl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cs="宋体"/>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outlineLvl w:val="1"/>
      </w:pPr>
      <w:r/>
      <w:bookmarkStart w:id="33" w:name="_Toc7466"/>
      <w:r>
        <w:rPr>
          <w:rFonts w:hint="eastAsia" w:eastAsia="宋体" w:cs="宋体"/>
          <w:b/>
          <w:bCs/>
          <w:color w:val="000000"/>
          <w:sz w:val="24"/>
          <w:szCs w:val="24"/>
          <w:highlight w:val="none"/>
        </w:rPr>
        <w:t xml:space="preserve">三、投标项目涉及到的现场勘察</w:t>
      </w:r>
      <w:bookmarkEnd w:id="33"/>
      <w:r>
        <w:rPr>
          <w:rFonts w:eastAsia="宋体" w:cs="宋体"/>
          <w:b/>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招标文件所提供的项目相关数据仅做参考，根据自身需要，投标人可在投标文件递交之日前对有关现场和周围环境进行勘察，以获取编制投标文件和签署合同所需的信息。勘察现场所发生的费用由投标人自己承担。</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2、招标人向投标人提供的有关现场的资料和数据，是招标人现有的并认为能使投标人可利用的资料。招标人对投标人由此而做出的推论、理解和结论概不负责。</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3、经招标人允许，投标人可为勘察目的进入招标人的项目现场，但投标人不得因此使招标人承担有关的责任和蒙受损失。投标人应承担勘察现场的责任和风险。</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作任何答复与考虑。</w:t>
      </w:r>
      <w:r>
        <w:rPr>
          <w:rFonts w:eastAsia="宋体" w:cs="宋体"/>
          <w:color w:val="000000"/>
          <w:sz w:val="24"/>
          <w:szCs w:val="24"/>
          <w:highlight w:val="none"/>
        </w:rPr>
      </w:r>
      <w:r/>
    </w:p>
    <w:p>
      <w:pPr>
        <w:pStyle w:val="1015"/>
        <w:ind w:firstLine="480"/>
        <w:spacing w:line="360" w:lineRule="auto"/>
        <w:rPr>
          <w:rFonts w:eastAsia="宋体" w:cs="宋体"/>
          <w:b/>
          <w:bCs/>
          <w:color w:val="000000"/>
          <w:sz w:val="24"/>
          <w:szCs w:val="24"/>
          <w:highlight w:val="none"/>
          <w:u w:val="single"/>
        </w:rPr>
      </w:pPr>
      <w:r>
        <w:rPr>
          <w:rFonts w:hint="eastAsia" w:eastAsia="宋体" w:cs="宋体"/>
          <w:color w:val="000000"/>
          <w:sz w:val="24"/>
          <w:szCs w:val="24"/>
          <w:highlight w:val="none"/>
        </w:rPr>
        <w:t xml:space="preserve">5、为了供应商准确掌握项目现场实际情况，根据实际情况作出客观可行的方案及报价。</w:t>
      </w:r>
      <w:r>
        <w:rPr>
          <w:rFonts w:eastAsia="宋体" w:cs="宋体"/>
          <w:b/>
          <w:bCs/>
          <w:color w:val="000000"/>
          <w:sz w:val="24"/>
          <w:szCs w:val="24"/>
          <w:highlight w:val="none"/>
          <w:u w:val="single"/>
        </w:rPr>
      </w:r>
      <w:r/>
    </w:p>
    <w:p>
      <w:pPr>
        <w:pStyle w:val="1015"/>
        <w:contextualSpacing/>
        <w:ind w:firstLine="480"/>
        <w:spacing w:line="360" w:lineRule="auto"/>
        <w:rPr>
          <w:rFonts w:eastAsia="宋体" w:cs="宋体"/>
          <w:b/>
          <w:bCs/>
          <w:color w:val="000000"/>
          <w:sz w:val="24"/>
          <w:szCs w:val="24"/>
          <w:highlight w:val="none"/>
        </w:rPr>
        <w:outlineLvl w:val="1"/>
      </w:pPr>
      <w:r/>
      <w:bookmarkStart w:id="34" w:name="_Toc1943"/>
      <w:r>
        <w:rPr>
          <w:rFonts w:hint="eastAsia" w:eastAsia="宋体" w:cs="宋体"/>
          <w:b/>
          <w:bCs/>
          <w:color w:val="000000"/>
          <w:sz w:val="24"/>
          <w:szCs w:val="24"/>
          <w:highlight w:val="none"/>
        </w:rPr>
        <w:t xml:space="preserve">四、投标文件的编制</w:t>
      </w:r>
      <w:bookmarkEnd w:id="34"/>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1.投标文件的语言及度量衡单位</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1.1投标人提交的投标文件以及投标人与招标人或招标代理机构就有关投标的所有来往通知、函件和文件均应使用简体中文。</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 除技术性能另有规定外，投标文件所使用的度量衡单位，均须采用国家法定计量单位。</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2.投标文件构成</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 如标书制作工具中格式和内容与“江苏政府采购网”发布的招标文件不一致，请以“江苏政府采购网”发布的招标文件为准。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3.证明投标人及投标标的符合招标文件规定的文件</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 投标人应按照法律、法规、规章和规范性文件以及招标文件要求提交证明文件，证明其及投标标的符合招标文件规定。</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3.2招标文件对证明文件无明确形式要求的，证明文件可以以文字资料、图纸和数据等形式提交。</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4.投标分项报价表</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4.1 投标人应按照招标文件规定格式填报投标分项报价表。</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4.2投标货币。投标文件中的单价和总价无特殊规定的采用人民币报价，以元为单位标注。招标文件中另有规定的按规定执行。</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5.技术要求响应及偏离表、商务要求响应及偏离表</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 投标人需对招标文件中的技术要求与商务要求逐项作出响应或偏离，并说明原因。</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 投标人可在投标文件中提供认为需要的其他技术文件或说明。</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6.投标函和开标一览表</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6.1 投标人应按照招标文件中提供的格式完整、正确填写投标函、开标一览表。</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7.投标有效期</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7.1投标有效期为招标文件规定的投标文件提交截止时间后</w:t>
      </w:r>
      <w:r>
        <w:rPr>
          <w:rFonts w:hint="eastAsia" w:eastAsia="宋体" w:cs="宋体"/>
          <w:bCs/>
          <w:color w:val="000000"/>
          <w:sz w:val="24"/>
          <w:szCs w:val="24"/>
          <w:highlight w:val="none"/>
          <w:u w:val="single"/>
        </w:rPr>
        <w:t xml:space="preserve">六十（60）天</w:t>
      </w:r>
      <w:r>
        <w:rPr>
          <w:rFonts w:hint="eastAsia" w:eastAsia="宋体" w:cs="宋体"/>
          <w:bCs/>
          <w:color w:val="000000"/>
          <w:sz w:val="24"/>
          <w:szCs w:val="24"/>
          <w:highlight w:val="none"/>
        </w:rPr>
        <w:t xml:space="preserve">。投标有效期比规定短的将被视为非实质性响应而予以拒绝。</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8.投标有效期的延长</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9.电子投标文件其他要求</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9.1电子招标投标交易平台（即“苏采云”系统）相关要求是本招标文件的组成部分。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9.2投标人应对CA证书妥善保管，如被他人盗用投标，因此带来的结果均由投标人自行承担。</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9.3投标人应当对招标文件提出的实质性要求和条件作出实质性响应，并在电子投标系统逐条应答。</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9.4投标人应对要求提供的资格证明文件（如资质证书、资格证书）、技术资料（如白皮书、彩页、手册、检测报告等）扫描上传至投标系统。 </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eastAsia="宋体" w:cs="宋体"/>
          <w:bCs/>
          <w:color w:val="000000"/>
          <w:sz w:val="24"/>
          <w:szCs w:val="24"/>
          <w:highlight w:val="none"/>
        </w:rPr>
      </w:r>
      <w:r/>
    </w:p>
    <w:p>
      <w:pPr>
        <w:pStyle w:val="1015"/>
        <w:contextualSpacing/>
        <w:ind w:firstLine="480"/>
        <w:spacing w:line="360" w:lineRule="auto"/>
        <w:rPr>
          <w:rFonts w:eastAsia="宋体" w:cs="宋体"/>
          <w:color w:val="000000"/>
          <w:sz w:val="24"/>
          <w:szCs w:val="24"/>
          <w:highlight w:val="none"/>
        </w:rPr>
        <w:outlineLvl w:val="1"/>
      </w:pPr>
      <w:r/>
      <w:bookmarkStart w:id="35" w:name="_Toc25719"/>
      <w:r>
        <w:rPr>
          <w:rFonts w:hint="eastAsia" w:eastAsia="宋体" w:cs="宋体"/>
          <w:b/>
          <w:bCs/>
          <w:color w:val="000000"/>
          <w:sz w:val="24"/>
          <w:szCs w:val="24"/>
          <w:highlight w:val="none"/>
        </w:rPr>
        <w:t xml:space="preserve">五、投标文件的提交</w:t>
      </w:r>
      <w:bookmarkEnd w:id="35"/>
      <w:r>
        <w:rPr>
          <w:rFonts w:eastAsia="宋体" w:cs="宋体"/>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bCs/>
          <w:color w:val="000000"/>
          <w:sz w:val="24"/>
          <w:szCs w:val="24"/>
          <w:highlight w:val="none"/>
        </w:rPr>
        <w:t xml:space="preserve">1.投标文件的提交</w:t>
      </w:r>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1.1线上提交与接收地点：投标人应当通过“苏采云”系统提交数据电文形式的投标文件（即电子投标），“苏采云”系统自动接收。</w:t>
      </w:r>
      <w:r>
        <w:rPr>
          <w:rFonts w:eastAsia="宋体" w:cs="宋体"/>
          <w:bCs/>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2.提交投标文件截止日期</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 投标人上传电子投标文件的时间不得迟于公开招标公告中规定的投标文件提交截止时间。</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3.投标文件的密封（加密）要求：</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3.2投标人须通过“苏采云”系统提供的政府采购客户端工具（使用“CA数字证书”）加盖电子签章。</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说明：投标人应在用CA数字证书以及自备的能够登录“苏采云”系统的电脑，在达到开标时间后，使用CA数字证书解密各自投标文件。</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3.3投标人未按规定加密的投标文件，“苏采云”系统将拒收并提示。</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4.投标文件的拒收</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4.1 招标代理机构拒绝接收在其规定的投标文件提交截止时间后上传的任何投标文件。</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 投标文件的撤回和修改</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 投标文件的撤回</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5.1.1 电子投标文件的撤回</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投标人可在投标文件提交截止时间前，撤回其电子投标文件，具体操作方法见“苏采云”系统供应商操作手册。</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5.1.2 投标人撤回电子投标文件，则认为其不再参与本项目投标活动。</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 投标文件的修改</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投标人可在投标文件提交截止时间前，对其电子投标文件进行修改。具体操作方法见“苏采云”系统供应商操作手册。</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5.3 在投标文件提交截止时间之后，投标人不得对其电子投标文件作任何修改。</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5.4 在投标文件提交截止时间至招标文件中规定的投标有效期满之间的这段时间内，投标人不得撤回其投标文件。</w:t>
      </w:r>
      <w:r>
        <w:rPr>
          <w:rFonts w:eastAsia="宋体" w:cs="宋体"/>
          <w:bCs/>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6.投标文件线上格式要求</w:t>
      </w:r>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6.1 供应商应当通过“苏采云”系统提交数据电文形式的投标文件（即电子投标）。</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6.2 通过“苏采云”系统提交政府采购客户端工具导出加密的投标文件（后缀名为zip）。响应文件不得超过150M!</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6.3 本项目采用线上投标，即供应商投标文件从政府采购客户端工具制作通过“苏采云”系统提交，未提供线上投标文件的，投标无效。</w:t>
      </w:r>
      <w:r>
        <w:rPr>
          <w:rFonts w:eastAsia="宋体" w:cs="宋体"/>
          <w:bCs/>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outlineLvl w:val="1"/>
      </w:pPr>
      <w:r/>
      <w:bookmarkStart w:id="36" w:name="_Toc15827"/>
      <w:r>
        <w:rPr>
          <w:rFonts w:hint="eastAsia" w:eastAsia="宋体" w:cs="宋体"/>
          <w:b/>
          <w:bCs/>
          <w:color w:val="000000"/>
          <w:sz w:val="24"/>
          <w:szCs w:val="24"/>
          <w:highlight w:val="none"/>
        </w:rPr>
        <w:t xml:space="preserve">六、开标与评标</w:t>
      </w:r>
      <w:bookmarkEnd w:id="36"/>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1.开标</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1.1招标人或招标代理机构将在招标公告中规定的时间和地点组织公开开标。</w:t>
      </w:r>
      <w:r>
        <w:rPr>
          <w:rFonts w:hint="eastAsia" w:eastAsia="宋体" w:cs="宋体"/>
          <w:color w:val="000000"/>
          <w:sz w:val="24"/>
          <w:szCs w:val="24"/>
          <w:highlight w:val="none"/>
        </w:rPr>
        <w:t xml:space="preserve">投标人应当按照</w:t>
      </w:r>
      <w:r>
        <w:rPr>
          <w:rFonts w:hint="eastAsia" w:eastAsia="宋体" w:cs="宋体"/>
          <w:bCs/>
          <w:color w:val="000000"/>
          <w:sz w:val="24"/>
          <w:szCs w:val="24"/>
          <w:highlight w:val="none"/>
        </w:rPr>
        <w:t xml:space="preserve">“苏采云”系统供应商操作手册</w:t>
      </w:r>
      <w:r>
        <w:rPr>
          <w:rFonts w:hint="eastAsia" w:eastAsia="宋体" w:cs="宋体"/>
          <w:color w:val="000000"/>
          <w:sz w:val="24"/>
          <w:szCs w:val="24"/>
          <w:highlight w:val="none"/>
        </w:rPr>
        <w:t xml:space="preserve">规定，参加开标活动，在</w:t>
      </w:r>
      <w:r>
        <w:rPr>
          <w:rFonts w:hint="eastAsia" w:eastAsia="宋体" w:cs="宋体"/>
          <w:b/>
          <w:color w:val="000000"/>
          <w:sz w:val="24"/>
          <w:szCs w:val="24"/>
          <w:highlight w:val="none"/>
        </w:rPr>
        <w:t xml:space="preserve">开标后</w:t>
      </w:r>
      <w:r>
        <w:rPr>
          <w:rFonts w:hint="eastAsia" w:eastAsia="宋体" w:cs="宋体"/>
          <w:b/>
          <w:color w:val="000000"/>
          <w:sz w:val="24"/>
          <w:szCs w:val="24"/>
          <w:highlight w:val="none"/>
          <w:u w:val="single"/>
        </w:rPr>
        <w:t xml:space="preserve">30分钟</w:t>
      </w:r>
      <w:r>
        <w:rPr>
          <w:rFonts w:hint="eastAsia" w:eastAsia="宋体" w:cs="宋体"/>
          <w:b/>
          <w:color w:val="000000"/>
          <w:sz w:val="24"/>
          <w:szCs w:val="24"/>
          <w:highlight w:val="none"/>
        </w:rPr>
        <w:t xml:space="preserve">之内</w:t>
      </w:r>
      <w:r>
        <w:rPr>
          <w:rFonts w:hint="eastAsia" w:eastAsia="宋体" w:cs="宋体"/>
          <w:color w:val="000000"/>
          <w:sz w:val="24"/>
          <w:szCs w:val="24"/>
          <w:highlight w:val="none"/>
        </w:rPr>
        <w:t xml:space="preserve">对投标文件进行解密。</w:t>
      </w:r>
      <w:r>
        <w:rPr>
          <w:rFonts w:eastAsia="宋体" w:cs="宋体"/>
          <w:bCs/>
          <w:color w:val="000000"/>
          <w:sz w:val="24"/>
          <w:szCs w:val="24"/>
          <w:highlight w:val="none"/>
        </w:rPr>
      </w:r>
      <w:r/>
    </w:p>
    <w:p>
      <w:pPr>
        <w:pStyle w:val="1015"/>
        <w:contextualSpacing/>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cs="宋体"/>
          <w:b/>
          <w:color w:val="000000"/>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rFonts w:eastAsia="宋体" w:cs="宋体"/>
          <w:b/>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1.2</w:t>
      </w:r>
      <w:r>
        <w:rPr>
          <w:rFonts w:hint="eastAsia" w:eastAsia="宋体" w:cs="宋体"/>
          <w:color w:val="000000"/>
          <w:sz w:val="24"/>
          <w:szCs w:val="24"/>
          <w:highlight w:val="none"/>
        </w:rPr>
        <w:t xml:space="preserve">开标仪式由</w:t>
      </w:r>
      <w:r>
        <w:rPr>
          <w:rFonts w:hint="eastAsia" w:eastAsia="宋体" w:cs="宋体"/>
          <w:bCs/>
          <w:color w:val="000000"/>
          <w:sz w:val="24"/>
          <w:szCs w:val="24"/>
          <w:highlight w:val="none"/>
        </w:rPr>
        <w:t xml:space="preserve">招标代理机构</w:t>
      </w:r>
      <w:r>
        <w:rPr>
          <w:rFonts w:hint="eastAsia" w:eastAsia="宋体" w:cs="宋体"/>
          <w:color w:val="000000"/>
          <w:sz w:val="24"/>
          <w:szCs w:val="24"/>
          <w:highlight w:val="none"/>
        </w:rPr>
        <w:t xml:space="preserve">组织。苏采云系统将自动对项目进行开标，并宣布各投标人名称和投标价格。</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1.3投标人在开标过程中涉及到的投标文件解密、开标结果确认等工作，应按照“苏采云”系统供应商操作手册规定执行。</w:t>
      </w:r>
      <w:r>
        <w:rPr>
          <w:rFonts w:eastAsia="宋体" w:cs="宋体"/>
          <w:color w:val="000000"/>
          <w:sz w:val="24"/>
          <w:szCs w:val="24"/>
          <w:highlight w:val="none"/>
        </w:rPr>
      </w:r>
      <w:r/>
    </w:p>
    <w:p>
      <w:pPr>
        <w:pStyle w:val="1015"/>
        <w:contextualSpacing/>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1.4投标人如果对开标过程和开标记录有疑义，应当根据</w:t>
      </w:r>
      <w:r>
        <w:rPr>
          <w:rFonts w:hint="eastAsia" w:eastAsia="宋体" w:cs="宋体"/>
          <w:bCs/>
          <w:color w:val="000000"/>
          <w:sz w:val="24"/>
          <w:szCs w:val="24"/>
          <w:highlight w:val="none"/>
        </w:rPr>
        <w:t xml:space="preserve">“苏采云”系统供应商操作手册</w:t>
      </w:r>
      <w:r>
        <w:rPr>
          <w:rFonts w:hint="eastAsia" w:eastAsia="宋体" w:cs="宋体"/>
          <w:color w:val="000000"/>
          <w:sz w:val="24"/>
          <w:szCs w:val="24"/>
          <w:highlight w:val="none"/>
        </w:rPr>
        <w:t xml:space="preserve">规定提出，如苏采云系统中《开标记录表》宣布后5分钟内未提出的，视同认可开标结果。</w:t>
      </w:r>
      <w:r>
        <w:rPr>
          <w:rFonts w:eastAsia="宋体" w:cs="宋体"/>
          <w:b/>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2.评标委员会</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2.1开标后，招标代理机构将立即组织评标委员会（以下简称评委会）进行评审。</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2.2评委会由招标人代表和有关技术、经济等方面的专家组成，且人员构成符合政府采购有关规定。</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2.3评标委员会独立工作，负责评审所有投标文件并确定中标候选人。</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 评审过程的保密与公正</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3.1评标委员会、招标人或招标代理机构、相关监督人员等与评审工作有关的人员，对评审情况以及在评审过程中获悉的国家秘密、商业秘密负有保密责任。</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3.2在评审过程中，投标人不得以任何行为影响评审过程，否则其投标文件将被作为无效投标文件。</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3.4凡是与审查、澄清、评价和比较投标的有关资料以及授标建议等，招标人、评标委员会、招标代理机构均不得向投标人或与评标无关的其他人员透露。</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3.5在评审期间，招标代理机构将设专门人员与投标人联系。</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3.6招标人、招标代理机构和评标委员会不向未中标的投标人解释未中标原因，也不公布评审过程中的相关细节。</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3.7 采用综合评分法的项目，未中标的投标人可于中标结果公告期限届满之日起通过苏采云系统查看自己的评审得分及排序情况。</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4.投标文件的澄清</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4.3 接到评标委员会澄清、说明和更正要求的投标人如未按规定做出澄清、说明和 更正，其风险由投标人自行承担。</w:t>
      </w:r>
      <w:r>
        <w:rPr>
          <w:rFonts w:eastAsia="宋体" w:cs="宋体"/>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5.对投标文件的审查</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5.1投标文件初审分为资格性审查和符合性审查。</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5.1.1资格性检查：依据法律法规和招标文件的规定，由招标人对投标文件中的资格证明文件进行审查。资格审查的结论，招标人以书面形式向评委会进行反馈。</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招标人在进行资格性审查的同时，将在“信用中国”网站查询投标人的信用记录，以确定投标人是否具备投标资格，查询结果留存并归档。</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5.1.2符合性审查：</w:t>
      </w:r>
      <w:bookmarkStart w:id="37" w:name="OLE_LINK8"/>
      <w:r>
        <w:rPr>
          <w:rFonts w:hint="eastAsia" w:eastAsia="宋体" w:cs="宋体"/>
          <w:bCs/>
          <w:color w:val="000000"/>
          <w:sz w:val="24"/>
          <w:szCs w:val="24"/>
          <w:highlight w:val="none"/>
        </w:rPr>
        <w:t xml:space="preserve">依据招标文件的规定，由评标委员会从投标文件的有效性、完整性和对招标文件的响应程度进行审查，以确定是否对招标文件的实质性要求作出响应。</w:t>
      </w:r>
      <w:bookmarkEnd w:id="37"/>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5.1.3未通过资格审查或符合性审查的投标人，招标代理机构将在</w:t>
      </w:r>
      <w:r>
        <w:rPr>
          <w:rFonts w:hint="eastAsia" w:eastAsia="宋体" w:cs="宋体"/>
          <w:color w:val="000000"/>
          <w:sz w:val="24"/>
          <w:szCs w:val="24"/>
          <w:highlight w:val="none"/>
        </w:rPr>
        <w:t xml:space="preserve">苏采云系统</w:t>
      </w:r>
      <w:r>
        <w:rPr>
          <w:rFonts w:hint="eastAsia" w:eastAsia="宋体" w:cs="宋体"/>
          <w:bCs/>
          <w:color w:val="000000"/>
          <w:sz w:val="24"/>
          <w:szCs w:val="24"/>
          <w:highlight w:val="none"/>
        </w:rPr>
        <w:t xml:space="preserve">中告知未通过资格审查或符合性审查的原因，评审结束后，招标代理机构将不再告知未通过资格审查或符合性审查的原因。</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w:t>
      </w:r>
      <w:r>
        <w:rPr>
          <w:rFonts w:hint="eastAsia" w:eastAsia="宋体" w:cs="宋体"/>
          <w:color w:val="000000"/>
          <w:sz w:val="24"/>
          <w:szCs w:val="24"/>
          <w:highlight w:val="none"/>
        </w:rPr>
        <w:t xml:space="preserve">在详细评审之前</w:t>
      </w:r>
      <w:r>
        <w:rPr>
          <w:rFonts w:hint="eastAsia" w:eastAsia="宋体" w:cs="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s="宋体"/>
          <w:color w:val="000000"/>
          <w:sz w:val="24"/>
          <w:szCs w:val="24"/>
          <w:highlight w:val="none"/>
        </w:rPr>
        <w:t xml:space="preserve">重大偏离的认定需经过评委会以少数服从多数的原则作出结论</w:t>
      </w:r>
      <w:r>
        <w:rPr>
          <w:rFonts w:hint="eastAsia" w:eastAsia="宋体" w:cs="宋体"/>
          <w:bCs/>
          <w:color w:val="000000"/>
          <w:sz w:val="24"/>
          <w:szCs w:val="24"/>
          <w:highlight w:val="none"/>
        </w:rPr>
        <w:t xml:space="preserve">。评标委员会决定投标文件的响应性只根据投标文件本身的内容，而不寻求外部的证据。</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5.4评标委员会将对确定为实质性响应的文件进行进一步审核，看其是否有计算上或累加上的算术错误，修正错误的原则如下：</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（1）投标文件中开标一览表内容与投标文件中相应内容不一致的，以开标一览表为准。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（2）大写金额和小写金额不一致的，以大写金额为准。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（3）单价金额小数点或者百分比有明显错位的，以开标一览表的总价为准，并修改单价。</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（4）总价金额与按单价汇总金额不一致的，以单价金额计算结果为准。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同时出现两种以上错误的，按照前款规定的顺序修正。</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5.6评标委员会将允许修正投标文件中不构成重大偏离的、微小的、非正规的、不一致的或不规则的地方，但这些修改不能影响任何投标人相应的名次排列。</w:t>
      </w:r>
      <w:r>
        <w:rPr>
          <w:rFonts w:eastAsia="宋体" w:cs="宋体"/>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5.7 </w:t>
      </w:r>
      <w:r>
        <w:rPr>
          <w:rFonts w:hint="eastAsia" w:eastAsia="宋体" w:cs="宋体"/>
          <w:color w:val="000000"/>
          <w:sz w:val="24"/>
          <w:szCs w:val="24"/>
          <w:highlight w:val="none"/>
        </w:rPr>
        <w:t xml:space="preserve">投标人在开、评标全过程中应保持通讯畅通，及时登录苏采云系统查阅、答复相关信息</w:t>
      </w:r>
      <w:r>
        <w:rPr>
          <w:rFonts w:hint="eastAsia" w:eastAsia="宋体" w:cs="宋体"/>
          <w:bCs/>
          <w:color w:val="000000"/>
          <w:sz w:val="24"/>
          <w:szCs w:val="24"/>
          <w:highlight w:val="none"/>
        </w:rPr>
        <w:t xml:space="preserve">，并安排专人与招标人或招标代理机构及评标委员会联系</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outlineLvl w:val="1"/>
      </w:pPr>
      <w:r/>
      <w:bookmarkStart w:id="38" w:name="_Toc21623"/>
      <w:r>
        <w:rPr>
          <w:rFonts w:hint="eastAsia" w:eastAsia="宋体" w:cs="宋体"/>
          <w:b/>
          <w:bCs/>
          <w:color w:val="000000"/>
          <w:sz w:val="24"/>
          <w:szCs w:val="24"/>
          <w:highlight w:val="none"/>
        </w:rPr>
        <w:t xml:space="preserve">七、无效投标条款</w:t>
      </w:r>
      <w:bookmarkEnd w:id="38"/>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1.同一投标人提交两个（含两个）以上不同的投标报价的。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2.投标人不具备招标文件中规定资格要求的。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3.投标人的报价超过了采购预算或最高限价的。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4.未通过符合性审查的。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5.不符合招标文件中规定的实质性要求和条件的。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7.投标文件含有招标人不能接受的附加条件的。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10.投标文件未按照招标文件要求加盖CA电子公章的。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11.投标人的商务技术部分得分相差悬殊，评标委员会一致认为得分畸低者有可能影响产品质量或者不能诚信履约的。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12.投标人在苏采云系统规定的时间内未成功解密电子投标文件的。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13.投标人未按照招标文件要求上传电子投标文件的，或上传的文件打不开的。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14.不同的投标人投标文件制作机器码、文件创建标识码一致的。</w:t>
      </w:r>
      <w:r>
        <w:rPr>
          <w:rFonts w:eastAsia="宋体" w:cs="宋体"/>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15.其他法律、法规及本招标文件规定的属无效投标的情形</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outlineLvl w:val="1"/>
      </w:pPr>
      <w:r/>
      <w:bookmarkStart w:id="39" w:name="_Toc4176"/>
      <w:r>
        <w:rPr>
          <w:rFonts w:hint="eastAsia" w:eastAsia="宋体" w:cs="宋体"/>
          <w:b/>
          <w:bCs/>
          <w:color w:val="000000"/>
          <w:sz w:val="24"/>
          <w:szCs w:val="24"/>
          <w:highlight w:val="none"/>
          <w:lang w:val="zh-CN"/>
        </w:rPr>
        <w:t xml:space="preserve">八、</w:t>
      </w:r>
      <w:r>
        <w:rPr>
          <w:rFonts w:hint="eastAsia" w:eastAsia="宋体" w:cs="宋体"/>
          <w:b/>
          <w:bCs/>
          <w:color w:val="000000"/>
          <w:sz w:val="24"/>
          <w:szCs w:val="24"/>
          <w:highlight w:val="none"/>
        </w:rPr>
        <w:t xml:space="preserve">废标条款</w:t>
      </w:r>
      <w:bookmarkEnd w:id="39"/>
      <w:r>
        <w:rPr>
          <w:rFonts w:eastAsia="宋体" w:cs="宋体"/>
          <w:b/>
          <w:bCs/>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1.符合专业条件的供应商或者对招标文件作实质响应的供应商不足三家的。</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2.出现影响采购公正的违法、违规行为的。</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3.因重大变故，采购任务取消的。</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4.评标委员会认定招标文件存在歧义、重大缺陷导致评审工作无法进行。</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 因苏采云系统系统故障原因造成开标不成功的。</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6.投标截止时间结束后参加投标的供应商不足三家的处理：</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6.1如出现投标截止时间结束后参加投标的供应商或者在评标期间对招标文件做出实质响应的供应商不足三家情况，按政府采购相关规定执行。</w:t>
      </w:r>
      <w:r>
        <w:rPr>
          <w:rFonts w:eastAsia="宋体" w:cs="宋体"/>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outlineLvl w:val="1"/>
      </w:pPr>
      <w:r/>
      <w:bookmarkStart w:id="40" w:name="_Toc26024"/>
      <w:r>
        <w:rPr>
          <w:rFonts w:hint="eastAsia" w:eastAsia="宋体" w:cs="宋体"/>
          <w:b/>
          <w:bCs/>
          <w:color w:val="000000"/>
          <w:sz w:val="24"/>
          <w:szCs w:val="24"/>
          <w:highlight w:val="none"/>
          <w:lang w:val="zh-CN"/>
        </w:rPr>
        <w:t xml:space="preserve">九、</w:t>
      </w:r>
      <w:r>
        <w:rPr>
          <w:rFonts w:hint="eastAsia" w:eastAsia="宋体" w:cs="宋体"/>
          <w:b/>
          <w:bCs/>
          <w:color w:val="000000"/>
          <w:sz w:val="24"/>
          <w:szCs w:val="24"/>
          <w:highlight w:val="none"/>
        </w:rPr>
        <w:t xml:space="preserve">定标</w:t>
      </w:r>
      <w:bookmarkEnd w:id="40"/>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1.确定中标单位</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1.1中标候选人的选取原则和数量见招标文件第四章规定。</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1.2招标人应根据评委会推荐的中标候选人确定中标人。</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 招标代理机构将在“江苏政府采购网”发布中标结果公告，公告期限为1个工作日。</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 若有充分证据证明，中标人出现下列情况之一的，一经查实，将被取消中标资格：</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1.4.1提供虚假材料谋取中标的。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1.4.2向招标人或招标代理机构行贿或者评审专家提供其他不正当利益的。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1.4.3恶意竞争，报价明显低于其自身合理成本且又无法提供证明的。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1.4.4属于本文件规定的无效条件，但在评审过程中又未被评标委员会发现的。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1.4.5与评审专家、招标人、其他投标人或者招标代理机构工作人员恶意串通的。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1.4.6采取不正当手段诋毁、排挤其他投标人的。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1.4.7中标后无正当理由拒不与招标人签订政府采购合同或者未按照招标文件确定的事项签订政府采购合同的。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1.4.8将政府采购合同转包的。</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1.5.有下列情形之一的，视为投标人串通参与投标，投标无效：</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1.5.1不同投标人的投标文件由同一单位或者个人编制；</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1.5.2不同投标人委托同一单位或者个人办理投标事宜；</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1.5.3不同投标人的投标文件载明的项目管理成员或者联系人员为同一人；</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1.5.4不同投标人的投标文件异常一致或者响应报价呈规律性差异；</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1.5.5不同投标人的投标文件相互混装。</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2.质疑处理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 提出质疑的投标人应当是参与所质疑项目采购活动的投标人。潜在投标人依法获取其可质疑的招标文件的，可以对招标文件提出质疑。</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2.2.1对可以质疑的招标文件提出质疑的，为收到招标文件之日或者招标文件公告期限届满之日；</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2.2.2对采购过程提出质疑的，为各采购程序环节结束之日；</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2.2.3对中标结果提出质疑的，为中标结果公告期限届满之日。</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2.4质疑答复依据《政府采购质疑和投诉办法》（财政部令第94号）。</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招标人或招标代理机构质疑接收人及联系方式，见招标文件第一章。</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 以下情形的质疑不予受理</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2.5.1 内容不符合《政府采购质疑和投诉办法》第十二条规定的质疑。</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2.5.2 超出政府采购法定期限的质疑。</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2.5.3 未参加投标活动的投标人或在投标活动中自身权益未受到损害的投标人所提出的质疑。</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2.5.4投标人组成联合体参加投标，联合体中任何一方或多方未按要求签字、盖章、加盖公章的质疑。</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eastAsia="宋体" w:cs="宋体"/>
          <w:bCs/>
          <w:color w:val="000000"/>
          <w:sz w:val="24"/>
          <w:szCs w:val="24"/>
          <w:highlight w:val="none"/>
        </w:rPr>
      </w:r>
      <w:r/>
    </w:p>
    <w:p>
      <w:pPr>
        <w:pStyle w:val="1015"/>
        <w:contextualSpacing/>
        <w:ind w:firstLine="482"/>
        <w:spacing w:line="360" w:lineRule="auto"/>
        <w:rPr>
          <w:rFonts w:eastAsia="宋体" w:cs="宋体"/>
          <w:b/>
          <w:color w:val="000000"/>
          <w:sz w:val="24"/>
          <w:szCs w:val="24"/>
          <w:highlight w:val="none"/>
        </w:rPr>
      </w:pPr>
      <w:r>
        <w:rPr>
          <w:rFonts w:hint="eastAsia" w:eastAsia="宋体" w:cs="宋体"/>
          <w:bCs/>
          <w:color w:val="000000"/>
          <w:sz w:val="24"/>
          <w:szCs w:val="24"/>
          <w:highlight w:val="none"/>
        </w:rPr>
        <w:t xml:space="preserve">2.7投诉提起路径：江苏政府采购网（南通市公共资源交易平台）-“办事指南”—“投诉办理指南”。</w:t>
      </w:r>
      <w:r>
        <w:rPr>
          <w:rFonts w:eastAsia="宋体" w:cs="宋体"/>
          <w:b/>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outlineLvl w:val="1"/>
      </w:pPr>
      <w:r/>
      <w:bookmarkStart w:id="41" w:name="_Toc29288"/>
      <w:r>
        <w:rPr>
          <w:rFonts w:hint="eastAsia" w:eastAsia="宋体" w:cs="宋体"/>
          <w:b/>
          <w:bCs/>
          <w:color w:val="000000"/>
          <w:sz w:val="24"/>
          <w:szCs w:val="24"/>
          <w:highlight w:val="none"/>
          <w:lang w:val="zh-CN"/>
        </w:rPr>
        <w:t xml:space="preserve">十、</w:t>
      </w:r>
      <w:r>
        <w:rPr>
          <w:rFonts w:hint="eastAsia" w:eastAsia="宋体" w:cs="宋体"/>
          <w:b/>
          <w:bCs/>
          <w:color w:val="000000"/>
          <w:sz w:val="24"/>
          <w:szCs w:val="24"/>
          <w:highlight w:val="none"/>
        </w:rPr>
        <w:t xml:space="preserve">中标通知书</w:t>
      </w:r>
      <w:bookmarkEnd w:id="41"/>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rPr>
          <w:rFonts w:eastAsia="宋体" w:cs="宋体"/>
          <w:bCs/>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特别说明：中标人在下载或收到中标通知书后须提供3套加盖红章的系统内打印的纸质投标文件交给招标代理机构存档。</w:t>
      </w:r>
      <w:r>
        <w:rPr>
          <w:rFonts w:eastAsia="宋体" w:cs="宋体"/>
          <w:b/>
          <w:bCs/>
          <w:color w:val="000000"/>
          <w:sz w:val="24"/>
          <w:szCs w:val="24"/>
          <w:highlight w:val="none"/>
        </w:rPr>
      </w:r>
      <w:r/>
    </w:p>
    <w:p>
      <w:pPr>
        <w:pStyle w:val="1015"/>
        <w:contextualSpacing/>
        <w:ind w:firstLine="480"/>
        <w:spacing w:line="360" w:lineRule="auto"/>
        <w:rPr>
          <w:rFonts w:eastAsia="宋体"/>
          <w:b/>
          <w:bCs/>
          <w:color w:val="000000"/>
          <w:sz w:val="24"/>
          <w:szCs w:val="24"/>
          <w:highlight w:val="none"/>
        </w:rPr>
      </w:pPr>
      <w:r/>
      <w:bookmarkStart w:id="42" w:name="_Toc28546"/>
      <w:r>
        <w:rPr>
          <w:rFonts w:hint="eastAsia" w:eastAsia="宋体"/>
          <w:b/>
          <w:bCs/>
          <w:color w:val="000000"/>
          <w:sz w:val="24"/>
          <w:szCs w:val="24"/>
          <w:highlight w:val="none"/>
        </w:rPr>
        <w:t xml:space="preserve">十一、</w:t>
      </w:r>
      <w:r>
        <w:rPr>
          <w:rFonts w:eastAsia="宋体"/>
          <w:b/>
          <w:bCs/>
          <w:color w:val="000000"/>
          <w:sz w:val="24"/>
          <w:szCs w:val="24"/>
          <w:highlight w:val="none"/>
          <w:lang w:val="zh-CN"/>
        </w:rPr>
        <w:t xml:space="preserve">履约保证金</w:t>
      </w:r>
      <w:r>
        <w:rPr>
          <w:rFonts w:eastAsia="宋体"/>
          <w:b/>
          <w:bCs/>
          <w:color w:val="000000"/>
          <w:sz w:val="24"/>
          <w:szCs w:val="24"/>
          <w:highlight w:val="none"/>
        </w:rPr>
      </w:r>
      <w:r/>
    </w:p>
    <w:p>
      <w:pPr>
        <w:pStyle w:val="1015"/>
        <w:contextualSpacing/>
        <w:ind w:firstLine="480"/>
        <w:spacing w:line="360" w:lineRule="auto"/>
        <w:rPr>
          <w:rFonts w:hint="eastAsia" w:eastAsia="宋体" w:cs="宋体"/>
          <w:bCs/>
          <w:color w:val="000000"/>
          <w:sz w:val="24"/>
          <w:szCs w:val="22"/>
          <w:highlight w:val="none"/>
        </w:rPr>
        <w:outlineLvl w:val="1"/>
      </w:pPr>
      <w:r>
        <w:rPr>
          <w:rFonts w:hint="eastAsia" w:eastAsia="宋体" w:cs="宋体"/>
          <w:bCs/>
          <w:color w:val="000000"/>
          <w:sz w:val="24"/>
          <w:szCs w:val="22"/>
          <w:highlight w:val="none"/>
          <w:lang w:eastAsia="zh-CN"/>
        </w:rPr>
        <w:t xml:space="preserve">无。</w:t>
      </w:r>
      <w:r>
        <w:rPr>
          <w:rFonts w:hint="eastAsia" w:eastAsia="宋体" w:cs="宋体"/>
          <w:bCs/>
          <w:color w:val="000000"/>
          <w:sz w:val="24"/>
          <w:szCs w:val="22"/>
          <w:highlight w:val="none"/>
        </w:rPr>
      </w:r>
      <w:r/>
    </w:p>
    <w:p>
      <w:pPr>
        <w:pStyle w:val="1015"/>
        <w:contextualSpacing/>
        <w:ind w:firstLine="480"/>
        <w:spacing w:line="360" w:lineRule="auto"/>
        <w:rPr>
          <w:rFonts w:eastAsia="宋体" w:cs="宋体"/>
          <w:b/>
          <w:bCs/>
          <w:color w:val="000000"/>
          <w:sz w:val="24"/>
          <w:szCs w:val="24"/>
          <w:highlight w:val="none"/>
        </w:rPr>
        <w:outlineLvl w:val="1"/>
      </w:pPr>
      <w:r>
        <w:rPr>
          <w:rFonts w:hint="eastAsia" w:eastAsia="宋体" w:cs="宋体"/>
          <w:b/>
          <w:bCs/>
          <w:color w:val="000000"/>
          <w:sz w:val="24"/>
          <w:szCs w:val="24"/>
          <w:highlight w:val="none"/>
        </w:rPr>
        <w:t xml:space="preserve">十二、授予合同</w:t>
      </w:r>
      <w:bookmarkEnd w:id="42"/>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1.签订合同</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1.l中标人应当在中标通知书发出之日起三十日内，按照招标文件确定的事项与招标人签订政府采购合同。</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1.2招标文件、中标人的投标文件及投标过程中有关澄清、承诺文件均应作为合同附件。</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1.3签订合同后，</w:t>
      </w:r>
      <w:r>
        <w:rPr>
          <w:rFonts w:hint="eastAsia" w:eastAsia="宋体" w:cs="宋体"/>
          <w:bCs/>
          <w:color w:val="000000"/>
          <w:sz w:val="24"/>
          <w:szCs w:val="24"/>
          <w:highlight w:val="none"/>
          <w:u w:val="single"/>
        </w:rPr>
        <w:t xml:space="preserve">中标人不得将合同标的进行转包</w:t>
      </w:r>
      <w:r>
        <w:rPr>
          <w:rFonts w:hint="eastAsia" w:eastAsia="宋体" w:cs="宋体"/>
          <w:bCs/>
          <w:color w:val="000000"/>
          <w:sz w:val="24"/>
          <w:szCs w:val="24"/>
          <w:highlight w:val="none"/>
        </w:rPr>
        <w:t xml:space="preserve">。未经招标人同意，中标人也不得采用分包形式履行合同，否则招标人有权终止合同。转包或分包造成招标人损失的，中标人应承担相应赔偿责任。</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2.标的物的追加</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eastAsia="宋体" w:cs="宋体"/>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eastAsia="宋体" w:cs="宋体"/>
          <w:bCs/>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3. 政府采购合同信用融资扶持政策</w:t>
      </w:r>
      <w:r>
        <w:rPr>
          <w:rFonts w:eastAsia="宋体" w:cs="宋体"/>
          <w:b/>
          <w:bCs/>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eastAsia="宋体" w:cs="宋体"/>
          <w:b/>
          <w:bCs/>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outlineLvl w:val="1"/>
      </w:pPr>
      <w:r/>
      <w:bookmarkStart w:id="43" w:name="_Toc28945"/>
      <w:r>
        <w:rPr>
          <w:rFonts w:hint="eastAsia" w:eastAsia="宋体" w:cs="宋体"/>
          <w:b/>
          <w:bCs/>
          <w:color w:val="000000"/>
          <w:sz w:val="24"/>
          <w:szCs w:val="24"/>
          <w:highlight w:val="none"/>
        </w:rPr>
        <w:t xml:space="preserve">十三、电子招标投标交易平台</w:t>
      </w:r>
      <w:bookmarkEnd w:id="43"/>
      <w:r>
        <w:rPr>
          <w:rFonts w:eastAsia="宋体" w:cs="宋体"/>
          <w:b/>
          <w:bCs/>
          <w:color w:val="000000"/>
          <w:sz w:val="24"/>
          <w:szCs w:val="24"/>
          <w:highlight w:val="none"/>
        </w:rPr>
      </w:r>
      <w:r/>
    </w:p>
    <w:p>
      <w:pPr>
        <w:pStyle w:val="1015"/>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电子招标投标交易平台（即“苏采云”系统，网址：</w:t>
      </w:r>
      <w:r>
        <w:rPr>
          <w:rFonts w:eastAsia="宋体"/>
          <w:color w:val="000000"/>
          <w:highlight w:val="none"/>
        </w:rPr>
        <w:fldChar w:fldCharType="begin"/>
      </w:r>
      <w:r>
        <w:rPr>
          <w:rFonts w:eastAsia="宋体"/>
          <w:color w:val="000000"/>
          <w:highlight w:val="none"/>
        </w:rPr>
        <w:instrText xml:space="preserve">HYPERLINK "http://jszfcg.jsczt.cn/）相关要求是本招标文件的组成部分。" \o "http://jszfcg.jsczt.cn/）相关要求是本招标文件的组成部分。"</w:instrText>
      </w:r>
      <w:r>
        <w:rPr>
          <w:rFonts w:eastAsia="宋体"/>
          <w:color w:val="000000"/>
          <w:highlight w:val="none"/>
        </w:rPr>
        <w:fldChar w:fldCharType="separate"/>
      </w:r>
      <w:r>
        <w:rPr>
          <w:rStyle w:val="1253"/>
          <w:rFonts w:hint="eastAsia" w:eastAsia="宋体" w:cs="宋体"/>
          <w:bCs/>
          <w:color w:val="000000"/>
          <w:sz w:val="24"/>
          <w:szCs w:val="24"/>
          <w:highlight w:val="none"/>
        </w:rPr>
        <w:t xml:space="preserve">http://jszfcg.jsczt.cn/）相关要求是本招标文件的组成部分。</w:t>
      </w:r>
      <w:r>
        <w:rPr>
          <w:rFonts w:eastAsia="宋体"/>
          <w:color w:val="000000"/>
          <w:highlight w:val="none"/>
        </w:rPr>
        <w:fldChar w:fldCharType="end"/>
      </w:r>
      <w:r>
        <w:rPr>
          <w:rFonts w:eastAsia="宋体" w:cs="宋体"/>
          <w:bCs/>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outlineLvl w:val="1"/>
      </w:pPr>
      <w:r/>
      <w:bookmarkStart w:id="44" w:name="_Toc6399"/>
      <w:r>
        <w:rPr>
          <w:rFonts w:hint="eastAsia" w:eastAsia="宋体" w:cs="宋体"/>
          <w:b/>
          <w:bCs/>
          <w:color w:val="000000"/>
          <w:sz w:val="24"/>
          <w:szCs w:val="24"/>
          <w:highlight w:val="none"/>
        </w:rPr>
        <w:t xml:space="preserve">十四、未尽事宜</w:t>
      </w:r>
      <w:bookmarkEnd w:id="44"/>
      <w:r>
        <w:rPr>
          <w:rFonts w:eastAsia="宋体" w:cs="宋体"/>
          <w:b/>
          <w:bCs/>
          <w:color w:val="000000"/>
          <w:sz w:val="24"/>
          <w:szCs w:val="24"/>
          <w:highlight w:val="none"/>
        </w:rPr>
      </w:r>
      <w:r/>
    </w:p>
    <w:p>
      <w:pPr>
        <w:pStyle w:val="1015"/>
        <w:contextualSpacing/>
        <w:ind w:firstLine="482"/>
        <w:jc w:val="left"/>
        <w:spacing w:line="360" w:lineRule="auto"/>
        <w:rPr>
          <w:rFonts w:eastAsia="宋体" w:cs="宋体"/>
          <w:b/>
          <w:bCs/>
          <w:color w:val="000000"/>
          <w:sz w:val="21"/>
          <w:szCs w:val="21"/>
          <w:highlight w:val="none"/>
        </w:rPr>
        <w:sectPr>
          <w:footerReference w:type="default" r:id="rId18"/>
          <w:footnotePr/>
          <w:endnotePr/>
          <w:type w:val="nextPage"/>
          <w:pgSz w:w="11905" w:h="16838" w:orient="portrait"/>
          <w:pgMar w:top="1417" w:right="1701" w:bottom="1587" w:left="1701" w:header="850" w:footer="992" w:gutter="0"/>
          <w:cols w:num="1" w:sep="0" w:space="1701" w:equalWidth="1"/>
          <w:docGrid w:linePitch="360"/>
        </w:sectPr>
      </w:pPr>
      <w:r>
        <w:rPr>
          <w:rFonts w:hint="eastAsia" w:eastAsia="宋体" w:cs="宋体"/>
          <w:color w:val="000000"/>
          <w:sz w:val="24"/>
          <w:szCs w:val="24"/>
          <w:highlight w:val="none"/>
        </w:rPr>
        <w:t xml:space="preserve">按《中华人民共和国政府采购法》及其他有关法律法规的规定执行。</w:t>
      </w:r>
      <w:bookmarkEnd w:id="30"/>
      <w:r>
        <w:rPr>
          <w:rFonts w:eastAsia="宋体" w:cs="宋体"/>
          <w:b/>
          <w:bCs/>
          <w:color w:val="000000"/>
          <w:sz w:val="21"/>
          <w:szCs w:val="21"/>
          <w:highlight w:val="none"/>
        </w:rPr>
      </w:r>
      <w:r/>
    </w:p>
    <w:p>
      <w:pPr>
        <w:pStyle w:val="1015"/>
        <w:jc w:val="center"/>
        <w:spacing w:line="360" w:lineRule="auto"/>
        <w:tabs>
          <w:tab w:val="left" w:pos="1050" w:leader="none"/>
          <w:tab w:val="right" w:pos="9402" w:leader="dot"/>
        </w:tabs>
        <w:rPr>
          <w:rFonts w:eastAsia="宋体" w:cs="宋体"/>
          <w:b/>
          <w:color w:val="000000"/>
          <w:sz w:val="36"/>
          <w:szCs w:val="36"/>
          <w:highlight w:val="none"/>
        </w:rPr>
        <w:outlineLvl w:val="0"/>
      </w:pPr>
      <w:r/>
      <w:bookmarkStart w:id="45" w:name="_Toc5586"/>
      <w:r/>
      <w:bookmarkStart w:id="46" w:name="_Toc16382"/>
      <w:r/>
      <w:bookmarkStart w:id="47" w:name="_Toc13543213"/>
      <w:r>
        <w:rPr>
          <w:rFonts w:hint="eastAsia" w:eastAsia="宋体" w:cs="宋体"/>
          <w:b/>
          <w:color w:val="000000"/>
          <w:sz w:val="36"/>
          <w:szCs w:val="36"/>
          <w:highlight w:val="none"/>
        </w:rPr>
        <w:t xml:space="preserve">第三章 项目需求</w:t>
      </w:r>
      <w:bookmarkEnd w:id="45"/>
      <w:r/>
      <w:bookmarkEnd w:id="46"/>
      <w:r>
        <w:rPr>
          <w:rFonts w:eastAsia="宋体" w:cs="宋体"/>
          <w:b/>
          <w:color w:val="000000"/>
          <w:sz w:val="36"/>
          <w:szCs w:val="36"/>
          <w:highlight w:val="none"/>
        </w:rPr>
      </w:r>
      <w:r/>
    </w:p>
    <w:p>
      <w:pPr>
        <w:pStyle w:val="1015"/>
        <w:contextualSpacing/>
        <w:ind w:firstLine="482"/>
        <w:spacing w:line="360" w:lineRule="auto"/>
        <w:rPr>
          <w:rFonts w:hint="eastAsia" w:ascii="Times New Roman" w:hAnsi="Times New Roman" w:eastAsia="宋体" w:cs="宋体"/>
          <w:b/>
          <w:bCs/>
          <w:color w:val="000000"/>
          <w:sz w:val="24"/>
          <w:szCs w:val="24"/>
          <w:highlight w:val="none"/>
        </w:rPr>
      </w:pPr>
      <w:r/>
      <w:bookmarkStart w:id="48" w:name="_Toc28760"/>
      <w:r/>
      <w:bookmarkStart w:id="49" w:name="_Toc1997"/>
      <w:r/>
      <w:bookmarkStart w:id="50" w:name="_Toc182848996"/>
      <w:r>
        <w:rPr>
          <w:rFonts w:hint="eastAsia" w:ascii="Times New Roman" w:hAnsi="Times New Roman" w:eastAsia="宋体" w:cs="宋体"/>
          <w:b/>
          <w:bCs/>
          <w:color w:val="000000"/>
          <w:sz w:val="24"/>
          <w:szCs w:val="24"/>
          <w:highlight w:val="none"/>
          <w:lang w:val="en-US" w:eastAsia="zh-CN"/>
        </w:rPr>
        <w:t xml:space="preserve">一、</w:t>
      </w:r>
      <w:r>
        <w:rPr>
          <w:rFonts w:hint="eastAsia" w:eastAsia="宋体" w:cs="宋体"/>
          <w:b/>
          <w:bCs/>
          <w:color w:val="000000"/>
          <w:sz w:val="24"/>
          <w:szCs w:val="24"/>
          <w:highlight w:val="none"/>
          <w:lang w:val="en-US" w:eastAsia="zh-CN"/>
        </w:rPr>
        <w:t xml:space="preserve">项目</w:t>
      </w:r>
      <w:r>
        <w:rPr>
          <w:rFonts w:hint="eastAsia" w:ascii="Times New Roman" w:hAnsi="Times New Roman" w:eastAsia="宋体" w:cs="宋体"/>
          <w:b/>
          <w:bCs/>
          <w:color w:val="000000"/>
          <w:sz w:val="24"/>
          <w:szCs w:val="24"/>
          <w:highlight w:val="none"/>
        </w:rPr>
        <w:t xml:space="preserve">建设范围</w:t>
      </w:r>
      <w:r>
        <w:rPr>
          <w:rFonts w:hint="eastAsia" w:ascii="Times New Roman" w:hAnsi="Times New Roman" w:eastAsia="宋体" w:cs="宋体"/>
          <w:b/>
          <w:bCs/>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本次项目将对2号楼10F-20F的病房进行整体智慧化升级改造。</w:t>
      </w:r>
      <w:r>
        <w:rPr>
          <w:rFonts w:hint="eastAsia" w:ascii="宋体" w:hAnsi="宋体" w:eastAsia="宋体" w:cs="宋体"/>
          <w:color w:val="000000"/>
          <w:sz w:val="24"/>
          <w:szCs w:val="24"/>
          <w:highlight w:val="none"/>
        </w:rPr>
      </w:r>
      <w:r/>
    </w:p>
    <w:p>
      <w:pPr>
        <w:pStyle w:val="1015"/>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lang w:val="en-US" w:eastAsia="zh-CN"/>
        </w:rPr>
        <w:t xml:space="preserve">二、</w:t>
      </w:r>
      <w:r>
        <w:rPr>
          <w:rFonts w:hint="eastAsia" w:eastAsia="宋体" w:cs="宋体"/>
          <w:b/>
          <w:bCs/>
          <w:color w:val="000000"/>
          <w:sz w:val="24"/>
          <w:szCs w:val="24"/>
          <w:highlight w:val="none"/>
          <w:lang w:val="en-US" w:eastAsia="zh-CN"/>
        </w:rPr>
        <w:t xml:space="preserve">项目</w:t>
      </w:r>
      <w:r>
        <w:rPr>
          <w:rFonts w:hint="eastAsia" w:ascii="Times New Roman" w:hAnsi="Times New Roman" w:eastAsia="宋体" w:cs="宋体"/>
          <w:b/>
          <w:bCs/>
          <w:color w:val="000000"/>
          <w:sz w:val="24"/>
          <w:szCs w:val="24"/>
          <w:highlight w:val="none"/>
        </w:rPr>
        <w:t xml:space="preserve">建设计划</w:t>
      </w:r>
      <w:r>
        <w:rPr>
          <w:rFonts w:hint="eastAsia" w:ascii="Times New Roman" w:hAnsi="Times New Roman" w:eastAsia="宋体" w:cs="宋体"/>
          <w:b/>
          <w:bCs/>
          <w:color w:val="000000"/>
          <w:sz w:val="24"/>
          <w:szCs w:val="24"/>
          <w:highlight w:val="none"/>
        </w:rPr>
      </w:r>
      <w:r/>
    </w:p>
    <w:p>
      <w:pPr>
        <w:pStyle w:val="10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为了不影响现有院区的日常医疗工作，将采用每两层改造为一个项目周期，循环进行。</w:t>
      </w:r>
      <w:r>
        <w:rPr>
          <w:rFonts w:hint="eastAsia" w:ascii="宋体" w:hAnsi="宋体" w:eastAsia="宋体" w:cs="宋体"/>
          <w:color w:val="000000"/>
          <w:sz w:val="24"/>
          <w:szCs w:val="24"/>
          <w:highlight w:val="none"/>
        </w:rPr>
      </w:r>
      <w:r/>
    </w:p>
    <w:p>
      <w:pPr>
        <w:pStyle w:val="1015"/>
        <w:contextualSpacing/>
        <w:ind w:firstLine="482"/>
        <w:spacing w:line="360" w:lineRule="auto"/>
        <w:rPr>
          <w:rFonts w:hint="eastAsia" w:ascii="Times New Roman" w:hAnsi="Times New Roman" w:eastAsia="宋体" w:cs="宋体"/>
          <w:b/>
          <w:bCs/>
          <w:color w:val="000000"/>
          <w:sz w:val="24"/>
          <w:szCs w:val="24"/>
          <w:highlight w:val="none"/>
          <w:lang w:val="en-US" w:eastAsia="zh-CN"/>
        </w:rPr>
      </w:pPr>
      <w:r>
        <w:rPr>
          <w:rFonts w:hint="eastAsia" w:ascii="Times New Roman" w:hAnsi="Times New Roman" w:eastAsia="宋体" w:cs="宋体"/>
          <w:b/>
          <w:bCs/>
          <w:color w:val="000000"/>
          <w:sz w:val="24"/>
          <w:szCs w:val="24"/>
          <w:highlight w:val="none"/>
          <w:lang w:val="en-US" w:eastAsia="zh-CN"/>
        </w:rPr>
        <w:t xml:space="preserve">三、</w:t>
      </w:r>
      <w:r>
        <w:rPr>
          <w:rFonts w:hint="eastAsia" w:eastAsia="宋体" w:cs="宋体"/>
          <w:b/>
          <w:bCs/>
          <w:color w:val="000000"/>
          <w:sz w:val="24"/>
          <w:szCs w:val="24"/>
          <w:highlight w:val="none"/>
          <w:lang w:val="en-US" w:eastAsia="zh-CN"/>
        </w:rPr>
        <w:t xml:space="preserve">项目</w:t>
      </w:r>
      <w:r>
        <w:rPr>
          <w:rFonts w:hint="eastAsia" w:ascii="Times New Roman" w:hAnsi="Times New Roman" w:eastAsia="宋体" w:cs="宋体"/>
          <w:b/>
          <w:bCs/>
          <w:color w:val="000000"/>
          <w:sz w:val="24"/>
          <w:szCs w:val="24"/>
          <w:highlight w:val="none"/>
          <w:lang w:val="en-US" w:eastAsia="zh-CN"/>
        </w:rPr>
        <w:t xml:space="preserve">建设具体实施内容</w:t>
      </w:r>
      <w:r>
        <w:rPr>
          <w:rFonts w:hint="eastAsia" w:ascii="Times New Roman" w:hAnsi="Times New Roman" w:eastAsia="宋体" w:cs="宋体"/>
          <w:b/>
          <w:bCs/>
          <w:color w:val="000000"/>
          <w:sz w:val="24"/>
          <w:szCs w:val="24"/>
          <w:highlight w:val="none"/>
          <w:lang w:val="en-US" w:eastAsia="zh-CN"/>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以护理病区为基本单位进行软硬件全面导入进程如下：</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1.设备终端安装：包括护士站主机、床旁终端设备、卫生间呼叫分机、护理智能看板等设备。</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2.架构终端的安装：包配线架、交换机等。</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3.基建布线部分安装：包括病区线路的敷设。</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4.系统调通与实施：硬件系统完成组网后，进行软件的部署，做好与第三方系统的连接，各类扩展方案等系统的接口部署。 </w:t>
      </w:r>
      <w:r>
        <w:rPr>
          <w:rFonts w:hint="eastAsia" w:ascii="宋体" w:hAnsi="宋体" w:eastAsia="宋体" w:cs="宋体"/>
          <w:color w:val="000000"/>
          <w:sz w:val="24"/>
          <w:szCs w:val="24"/>
          <w:highlight w:val="none"/>
        </w:rPr>
      </w:r>
      <w:r/>
    </w:p>
    <w:p>
      <w:pPr>
        <w:pStyle w:val="1015"/>
        <w:contextualSpacing/>
        <w:ind w:firstLine="482"/>
        <w:spacing w:line="360" w:lineRule="auto"/>
        <w:rPr>
          <w:rFonts w:hint="eastAsia" w:ascii="Times New Roman" w:hAnsi="Times New Roman" w:eastAsia="宋体" w:cs="宋体"/>
          <w:b/>
          <w:bCs/>
          <w:color w:val="000000"/>
          <w:sz w:val="24"/>
          <w:szCs w:val="24"/>
          <w:highlight w:val="none"/>
          <w:lang w:val="en-US" w:eastAsia="zh-CN"/>
        </w:rPr>
      </w:pPr>
      <w:r>
        <w:rPr>
          <w:rFonts w:hint="eastAsia" w:ascii="Times New Roman" w:hAnsi="Times New Roman" w:eastAsia="宋体" w:cs="宋体"/>
          <w:b/>
          <w:bCs/>
          <w:color w:val="000000"/>
          <w:sz w:val="24"/>
          <w:szCs w:val="24"/>
          <w:highlight w:val="none"/>
          <w:lang w:val="en-US" w:eastAsia="zh-CN"/>
        </w:rPr>
        <w:t xml:space="preserve">四、项目需求清单</w:t>
      </w:r>
      <w:r>
        <w:rPr>
          <w:rFonts w:hint="eastAsia" w:ascii="Times New Roman" w:hAnsi="Times New Roman" w:eastAsia="宋体" w:cs="宋体"/>
          <w:b/>
          <w:bCs/>
          <w:color w:val="000000"/>
          <w:sz w:val="24"/>
          <w:szCs w:val="24"/>
          <w:highlight w:val="none"/>
          <w:lang w:val="en-US" w:eastAsia="zh-CN"/>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86"/>
        <w:gridCol w:w="3376"/>
        <w:gridCol w:w="1607"/>
        <w:gridCol w:w="2110"/>
      </w:tblGrid>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货物名称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单位</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w:t>
            </w:r>
            <w:r>
              <w:rPr>
                <w:rFonts w:hint="eastAsia" w:ascii="宋体" w:hAnsi="宋体" w:eastAsia="宋体" w:cs="宋体"/>
                <w:b/>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智能护理信息看板交互软件</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触摸液晶一体机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护理通讯信息系统软件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医护主机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7英寸床头分机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528</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智能床垫</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张</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48</w:t>
            </w:r>
            <w:r>
              <w:rPr>
                <w:rFonts w:hint="eastAsia" w:ascii="宋体" w:hAnsi="宋体" w:eastAsia="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8口POE交换机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176</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卫生间分机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176</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走廊显示屏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r>
      <w:tr>
        <w:trPr>
          <w:trHeight w:val="65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48口内网交换机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万兆单模光模块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六类非屏蔽网线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箱</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80</w:t>
            </w:r>
            <w:r>
              <w:rPr>
                <w:rFonts w:hint="eastAsia" w:ascii="宋体" w:hAnsi="宋体" w:eastAsia="宋体" w:cs="宋体"/>
                <w:color w:val="000000"/>
                <w:sz w:val="24"/>
                <w:szCs w:val="24"/>
                <w:highlight w:val="none"/>
              </w:rPr>
            </w:r>
            <w:r/>
          </w:p>
        </w:tc>
      </w:tr>
      <w:tr>
        <w:trPr>
          <w:trHeight w:val="339"/>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墙柜</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r>
      <w:tr>
        <w:trPr>
          <w:trHeight w:val="93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辅材（配套辅材、管材、面板、网络模块等）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安装调试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弱电间整理</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软件接口</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bl>
    <w:p>
      <w:pPr>
        <w:pStyle w:val="1015"/>
        <w:contextualSpacing/>
        <w:ind w:firstLine="482"/>
        <w:spacing w:line="360" w:lineRule="auto"/>
        <w:rPr>
          <w:rFonts w:hint="eastAsia" w:ascii="Times New Roman" w:hAnsi="Times New Roman" w:eastAsia="宋体" w:cs="宋体"/>
          <w:b/>
          <w:bCs/>
          <w:color w:val="000000"/>
          <w:sz w:val="24"/>
          <w:szCs w:val="24"/>
          <w:highlight w:val="none"/>
          <w:lang w:val="en-US" w:eastAsia="zh-CN"/>
        </w:rPr>
      </w:pPr>
      <w:r>
        <w:rPr>
          <w:rFonts w:hint="eastAsia" w:ascii="Times New Roman" w:hAnsi="Times New Roman" w:eastAsia="宋体" w:cs="宋体"/>
          <w:b/>
          <w:bCs/>
          <w:color w:val="000000"/>
          <w:sz w:val="24"/>
          <w:szCs w:val="24"/>
          <w:highlight w:val="none"/>
          <w:lang w:val="en-US" w:eastAsia="zh-CN"/>
        </w:rPr>
        <w:t xml:space="preserve">五、技术参数需求</w:t>
      </w:r>
      <w:r>
        <w:rPr>
          <w:rFonts w:hint="eastAsia" w:ascii="Times New Roman" w:hAnsi="Times New Roman" w:eastAsia="宋体" w:cs="宋体"/>
          <w:b/>
          <w:bCs/>
          <w:color w:val="000000"/>
          <w:sz w:val="24"/>
          <w:szCs w:val="24"/>
          <w:highlight w:val="none"/>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2"/>
        <w:gridCol w:w="1911"/>
        <w:gridCol w:w="6000"/>
      </w:tblGrid>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货物名称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技术参数需求</w:t>
            </w:r>
            <w:r>
              <w:rPr>
                <w:rFonts w:hint="eastAsia" w:ascii="宋体" w:hAnsi="宋体" w:eastAsia="宋体" w:cs="宋体"/>
                <w:b/>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智能护理信息看板交互软件</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APP管理：应用和系统分离，安装简单，后期维护方便；</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2.病区呼叫系统对接：支持与呼叫系统对接，展示病床呼叫、紧急报警，呼叫等待，护士进入，增援呼叫等动态信息；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3.病区首页：</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a.展示病区统计信息，支持自定义配置；</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b.展示护理任务提醒，系统可自动更新。护理任务项目支持自定义配置；</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c.呼叫信息可对接病房呼叫信息，实现呼叫信息的联动显示；</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d.接收并展示病区公告、全院公告等信息；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4.处置查询：护理治疗信息分类展示，便于查看护理任务，同时可展示护理项目的执行状态，便于了解执行进度；</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5.床位一览：</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a.病区床位信息展示，包含患者的关键信息：床号、姓名、费用、护理等级、过敏等信息。患者姓名可根据设置进行隐私保护展示；</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b.展示患者护理标识，包含患者风险护理标识、费别、待测评估等信息，可自定义配置显示项目和显示样式；</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c.通过患者一览卡查看患者信息、患者动态、检查检验信息、医嘱详情等内容；</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d.存在简卡和详卡两种方式，简卡方便护理人员看到病区患者床位安排情况，详卡方便护理人员查看患者情况，简单切换方便护理人员使用；</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6.手术检查：可展示病区患者的手术信息 和检查信息，便于护士查看；</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7.医护排班：可根据排班情况展示排班流水信息，也可按护理分组、医疗分组展示相关分管床位信息；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8.病区宣教：可展示病区宣教、全院宣教信息，支持文本、视频、音频的直接展示，便于进行患者宣教或集中宣教；</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9.手写板：独立的备忘录界面，涂鸦自然式书写，方便护士随手记录备忘信息，方便护理病区交班。备注信息可留存历史记录，随时编辑更新；</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10.展示内容配置：展示页面内容、顺序，可自定义配置，满足不同科室不同的需求；</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11.切换展示：展示内容可通过设置自动进行切换展示，切换时长可自定义配置；</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12.系统设置：可通过浏览器对展示内容设置切换时间，可对调床信息、常用联系方式等内容进行手动维护；</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触摸液晶一体机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1.显示屏尺寸：≥55英寸，LCD液晶显示屏，支持20点触摸；支持分辨率：≥3840*2160，亮度≥250cd/m²（Typ），运行内存：≥4G，机身存储：≥32G。</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2.病区呼叫系统对接:支持与呼叫系统对接，展示病床呼叫、紧急报警，呼叫等待，护士进入，增援呼叫等动态信息；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病区首页:展示病区统计信息，支持自定义配置。展示护理任务提醒，系统可自动更新。护理任务项目支持自定义配置。呼叫信息可对接病房呼叫信息，实现呼叫信息的联动显示。接收并展示病区公告、全院公告等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4.床位一览:病区床位信息展示，包含患者的关键信息：床号、姓名、费用、护理等级、过敏等信息。患者姓名可根据设置进行隐私保护展示。展示患者护理标识，包含患者风险护理标识、费别、待测评 估等信息，可自定义配置显示项目和显示样式。通过患者一览卡查看患者信息、患者动态、检查检验信息、医嘱详情等内容。存在简卡和详卡两种方式，简卡方便护理人员看到病区患者床位安排情况，详卡方便护理人员查看患者情况，简单切换方便护理人员使用；</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5.手术检查:可展示病区患者的手术信息和检查信息，便于护士查看；</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6.医护排班:可根据排班情况展示排班流水信息，也可按护理分组、医疗分组展示相关分管床位信息；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7.病区宣教:可展示病区宣教、全院宣教信息，支持文本、视频、音频的直接展示，便于进行患者宣教或集中宣教；</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8.手写板:独立的备忘录界面，涂鸦自然式书写，方便护士随手记录备忘信息，方便护理病区交班。备注信息可留存历史记录，随时编辑更新；</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9.展示内容配置:展示页面内容、顺序，可自定义配置，满足不同科室不同的需求；</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10.切换设置:展示内容可通过设置自动进行切换展示，切换时长可自定义配置；</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11.系统设置:可通过浏览器对展示内容设置切换时间，可对调床信息、常用联系方式等内容进行手动维护。</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护理通讯信息系统软件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1.账号信息：维护用户账号信息，支持为单个账号开通多个角色、多个岗位的功能权限与多个科室的数据权限；</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2.账号登录：支持验证“账号+密码”与“账号+密码+动态验证码”两种规则切换；登录成功后可在账号数据权限范围内的不同科室间切换；自动记住登录过的账户名，支持手动删除；</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3.身份识别：维护用户账号的IC卡号等身份认证信息；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4.岗位管理：维护岗位类型及新增多种派生岗位，支持控制用户所属岗位的特定权限；</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5.部门管理：维护医疗机构各个部门的组织架构关系，支持添加3级部门并可折叠显示；</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6.区域管理：维护医疗机构区域结构树，用于对应终端位置关系，支持设置区域、栋、单元、楼层、室等区域类型；</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7.房间床位管理：维护科室的病房、诊室、检查室、窗口、床位信息及对应关系，支持快捷批量创建房间与床位，并可对床位一览表的房间、床位显示顺序进行排序；</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8.终端管理：维护各个已注册终端的所属科室、设备型号、注册号码、IP地址、在线状态、软件版本等信息；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9.终端升级：维护各个终端的安装包文件，具备对单个与批量终端进行OTA软件升级功能，包括即时与定时两种方式，支持查看升级/失败状态、软件版本；</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10.终端监控：实时获取终端总存储空间、已使用空间、软件版本等信息，支持实时查看终端屏幕显示内容截图；</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11.终端配置：支持对单个与批量终端进行功能配置，包括显示样式、屏幕亮度、喇叭音量、息屏时间、语音播报次数等；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12.终端日志：获取终端使用过程中产生的运行日志与错误日志，支持按日期导出下载；</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13.运维主页：图形化显示系统授权许可、服务器资源、组件运行状态、微服务版本等信息，支持按科室查看终端离线数量，可对异常状态的组件进行重启操作；</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14.机构设置：维护医疗机构编号与显示logo、浏览器标签页标题与logo、备案号信息、HPTV与NTP服务器IP地址等；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15.运维日志：维护系统的登录日志与操作日志，登录日志展示账号在各个应用的登录信息，操作日志展示账号在各个功能模块的操作时间、类型、内容等；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16.授权管理：维护各个终端的授权许可数量与有效期，支持上传与下载授权文件；</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17.电子床头卡模版配置：系统提供多套初始电子床头卡模版可供选择，支持对电子床头卡界面进行配置，选择所需的模版；</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18.文件管理：维护本地视频、电子书、音乐等文件与相关分类，支持对文件与分类进行排序、搜索操作；</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19.数据字典：维护护理级别等所包含选项的数据结构、显示规则与执行规则等；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20.数据采集：支持数据库视图、WEBService、Http API、MQ、HL7 Message、XML中任一或组合方式的数据采集方式，通过异步、多线程任务等保障数据采集的高效性；</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数据映射：支持将结构化或半结构化的数据进行映射转化，对应到业务应用系统所需的数据库字段中；支持平台已有数据与计划采集数据的有效性校验，过滤非增量数据，降低数据采集过程中产生的服务器资源占用；</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22.床位一览：展示病区床位一览界面，支持床位模式、房间模式、极简模式切换及统计信息显示，每个床位模块显示对应患者的床位信息、患者基本信息、护理标识信息等；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23.患者详情：展示患者详情界面，业务字段可通过显示标签自定义完成；</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24.显示标签：通过自定义显示标签属性，可自动生成床位一览页与患者详情页的业务字段；</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25.医嘱信息：支持对接HIS系统医嘱数据，查看患者长期、临时医嘱，展示包括医嘱名称、剂量、频次、用法等信息；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26.宣教记录：用以记录患者入院、住院、出院各个阶段进行宣教的全过程，包括宣教对象、方式、时间、内容、评价等；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27.宣教内容：支持按病区与全院两种不同维度对宣教分类、宣教内容进行维护；宣教内容包括封面、音频、视频、PDF文档、诊断标签、推送规则等，支持累计阅读量查看；</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28.宣教推荐：维护宣教标签，用于给宣教内容进行标记，系统根据宣教内容与患者信息的匹配，自动推荐宣教内容；</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29.护理分组：维护护理组长、护士分管床位信息，分组信息可同步到各终端上；</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30.医疗分组：维护医疗组长、医生分管床位信息，分组信息可同步到各终端上；</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31.班次管理：支持按病区与全院两种不同维度对班次进行维护；</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32.排班流水：护士长进行病区排班的核心模块，可以按周对护士排班信息进行调整；</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33.医生班次管理：支持按科室与全院两种不同维度对班次进行维护；</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34.医生排班流水：科主任进行排班的核心模块，通过设置排班规则；</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35.患者消息：定时或实时向病区不同情况的患者推送不同的消息，如服药提醒、缴费提醒、检查预约、手术事项等，消息内容支持图文、音频、视频；</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36.消息模板：维护病区消息模板，以便快捷完成推送消息操作，支持文字、音频、视频、文字转语音多种消息类型；</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37.医护公告：定时或实时向全院医护人员推送不同的文本公告，接收终端包括移动端、WEB端、护理看板等；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38.病区公告：维护走廊显示屏展示内容，多条可以轮播显示，支持对显示样式进行配置；</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39.音频广播：维护播出单和音频文件，对全部或指定床位、房间进行音频广播，可按时间段和次数设置播放规则；</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40.呼叫记录：可将系统关键业务进行及时记录，包括通话记录、报警记录、呼叫满意度记录、巡视记录等；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41.呼叫统计：展示呼叫业务统计分析数据，包括科室、房间、床位对比图，日、时趋势图，响应对比图等。</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医护主机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硬件参数</w:t>
            </w:r>
            <w:r>
              <w:rPr>
                <w:rFonts w:hint="eastAsia" w:ascii="宋体" w:hAnsi="宋体" w:eastAsia="宋体" w:cs="宋体"/>
                <w:color w:val="000000"/>
                <w:sz w:val="24"/>
                <w:szCs w:val="24"/>
                <w:highlight w:val="none"/>
              </w:rPr>
            </w:r>
            <w:r/>
          </w:p>
          <w:p>
            <w:pPr>
              <w:pStyle w:val="1015"/>
              <w:numPr>
                <w:ilvl w:val="0"/>
                <w:numId w:val="3"/>
              </w:num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操作系统:开源鸿蒙操作系统；</w:t>
            </w:r>
            <w:r>
              <w:rPr>
                <w:rFonts w:hint="eastAsia" w:ascii="宋体" w:hAnsi="宋体" w:eastAsia="宋体" w:cs="宋体"/>
                <w:color w:val="000000"/>
                <w:sz w:val="24"/>
                <w:szCs w:val="24"/>
                <w:highlight w:val="none"/>
              </w:rPr>
              <w:t xml:space="preserve">CPU不低于6核，CPU主频不低于1.8GHz；运行内存不低于4G；机身存储不低于32G；读卡模块：支持IC卡；WIFI：支持WIFI6；蓝牙:5.0；以太网：支持10/100/1000Mbps自适应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2．显示屏尺寸不低于15英寸，电容屏，支持手套操作，支持10点触控；显示屏分辨率不低于1920×1080；前置摄像头像素不低于1300W；双声道；</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3．支持HDMI 2.0*1、USB2.0*1、RJ45*1、3.5mm耳机插孔*1等接口；</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4．物理按键：息屏键*1，便于使用人员快速开关屏幕；复位键*1，便于设备异常时快速重启，物理按键为隐藏式设计，可有效避免误按情况发生；</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5．硬件看门狗：支持，可实现设备异常时自动重启功能；</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6．支持电源适配器供电、POE供电、电源箱集中供电三种方式；</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7．面板不低于6H硬度钢化玻璃。</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软件功能</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1．呼叫患者：支持向病区患者发起呼叫，接通后可进行音频或视频通话，支持自动接通；</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2．呼叫医护：支持向本病区值班室、护士站以及其他病区护士站发起呼叫，接通后可进行音频或视频通话；</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多路通话: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4．接收呼叫：支持接听、挂断、忽略三种形式的处理呼叫方式，选择“忽略”后只会挂断在当前终端的呼叫请求，而不影响其他终端接收；</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多设备监护与宕机呼叫：可同时查看至少9路床头/床旁摄像头画面，并可放大查看指定分机画面，可以选择是否与该分机直接通话。服务器重启、宕机、停电等特殊情况均不影响正常患者向主机的呼叫功能。呼叫托管：可设置托管主机，床头、门口等分机的呼叫统一转移到被托管主机上处理。支持立即托管与定时段托管模式。</w:t>
            </w:r>
            <w:r>
              <w:rPr>
                <w:rFonts w:hint="eastAsia" w:ascii="宋体" w:hAnsi="宋体" w:eastAsia="宋体" w:cs="宋体"/>
                <w:b/>
                <w:bCs/>
                <w:color w:val="000000"/>
                <w:sz w:val="24"/>
                <w:szCs w:val="24"/>
                <w:highlight w:val="none"/>
              </w:rPr>
              <w:t xml:space="preserve">（需提供带有CMA或CNAS标识的检验报告证明）</w:t>
            </w:r>
            <w:r>
              <w:rPr>
                <w:rFonts w:hint="eastAsia" w:ascii="宋体" w:hAnsi="宋体" w:eastAsia="宋体" w:cs="宋体"/>
                <w:b/>
                <w:bCs/>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6．忙音反馈：当主机在通话中时，系统可自动将呼叫信息收到的状态反馈给床头、床旁分机等终端，减轻患者焦虑。</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7．录音录像: 支持对通话过程录音录像，并可在服务端查询播放录制的文件。</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8．语音播报：支持对接收的呼叫信息进行汉字语音播报，如“X 床呼叫”、“X 房间卫生间呼叫”等，可设置报号次数。</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9．未处理提醒：支持设置持续提醒或间隔提醒，以满足不同环境、不同病区需要。</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10．一键清除：支持一键清除所有未处理呼叫，节省逐条清除时间。 </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11．呼叫记录：展示病区历史呼叫记录，包括发起方、被叫方、呼叫发起时间、呼叫处理时间、处理方式、通话时长等。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12．床位信息卡：展示床位一览，每个床位模块显示对应患者的床位信息、患者基本信息、护理标识信息等。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13．病区统计：支持统计并展示病区床位总数、患者总数、危重预警人数、各护理级别人数等。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14．显示模式：床位信息卡支持常规模式和极简模式两种显示模式，用户可根据使用习惯自行切换。</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15．患者详情：展示患者详情，包括床号、姓名、性别、年龄、出生日期、入院时间、入院诊断等。</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16．屏保动画：终端持续未操作时，支持自动显示屏保动画。</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17．话筒广播：支持向整个病区、任意床位、任意房间发起实时话筒广播，广播时所有播放终端声音进度保持一致。</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18．音频广播：支持通过播出单向整个病区、任意床位、任意房间发起定时或实时音频广播，支持单曲循环、列表循环、顺序播放三种播放模式，广播时所有播放终端声音进度保持一致。</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19．闹钟提醒：配合患者端闹钟功能，皮试、测血糖等闹钟到时后支持一同联动提醒，播放闹钟铃声。</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20．屏幕亮度调整：支持后台配置多时间段屏幕亮度或亮、息屏，可根据医院作息灵活控制。</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21．终端音量调整：支持后台配置多时间段终端音量，可根据医院作息灵活控制。</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22．▲回音消除与噪音抑制：具备回音消除算法，优化通话噪音，提高通话质量。通过噪音抑制算法，降低通话中的环境噪音，提高通话质量。</w:t>
            </w:r>
            <w:r>
              <w:rPr>
                <w:rFonts w:hint="eastAsia" w:ascii="宋体" w:hAnsi="宋体" w:eastAsia="宋体" w:cs="宋体"/>
                <w:b/>
                <w:bCs/>
                <w:color w:val="000000"/>
                <w:sz w:val="24"/>
                <w:szCs w:val="24"/>
                <w:highlight w:val="none"/>
              </w:rPr>
              <w:t xml:space="preserve">（需提供带有CMA或CNAS标识的检验报告证明）</w:t>
            </w:r>
            <w:r>
              <w:rPr>
                <w:rFonts w:hint="eastAsia" w:ascii="宋体" w:hAnsi="宋体" w:eastAsia="宋体" w:cs="宋体"/>
                <w:b/>
                <w:bCs/>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23．噪音抑制：通过噪音抑制算法，降低通话中的环境噪音，提高通话质量。硬件看门狗功能：硬件看门狗设计，支持设备异常时自动重启功能。</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24．网络抖动抑制：可在弱网环境下提供高效网络传输、通话功能，提升用户通讯体验。</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25．硬件重启：支持通过实体按键完成硬件重启功能。</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26．延时上电：为防止多设备同时启动时瞬时电流过大，设备支持延时上电功能。 </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7英寸床头分机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硬件参数</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1.操作系统:开源鸿蒙操作系统；</w:t>
            </w:r>
            <w:r>
              <w:rPr>
                <w:rFonts w:hint="eastAsia" w:ascii="宋体" w:hAnsi="宋体" w:eastAsia="宋体" w:cs="宋体"/>
                <w:color w:val="000000"/>
                <w:sz w:val="24"/>
                <w:szCs w:val="24"/>
                <w:highlight w:val="none"/>
              </w:rPr>
              <w:t xml:space="preserve">显示屏尺寸不低于7英寸，显示屏分辨率不低于1024×600；电容触摸屏，防指纹；支持多点触控；</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2.以太网：支持10/100Mbps自适应</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3.▲具备前置摄像头，像素不低于800W，摄像头支持AI视频输液监控功能；</w:t>
            </w:r>
            <w:r>
              <w:rPr>
                <w:rFonts w:hint="eastAsia" w:ascii="宋体" w:hAnsi="宋体" w:eastAsia="宋体" w:cs="宋体"/>
                <w:b/>
                <w:bCs/>
                <w:color w:val="000000"/>
                <w:sz w:val="24"/>
                <w:szCs w:val="24"/>
                <w:highlight w:val="none"/>
              </w:rPr>
              <w:t xml:space="preserve">（需提供带有CMA或CNAS标识的检验报告证明）</w:t>
            </w:r>
            <w:r>
              <w:rPr>
                <w:rFonts w:hint="eastAsia" w:ascii="宋体" w:hAnsi="宋体" w:eastAsia="宋体" w:cs="宋体"/>
                <w:b/>
                <w:bCs/>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CPU:不低于4核 1.8GHz；GPU：不低于800MHz;运行内存：不低于2GB，机身存储不低于32GB；WIFI:2.4G/5G 802.11 a/b/g/n/ac；蓝牙：支持蓝牙4.2及以上；支持光感；支持红外；支持POE供电，POE供电与独立供电可自识别；</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5．支持电源适配器供电、POE供电、电源箱集中供电三种方式；</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6．支持IC刷卡；支持门灯接口、支持呼叫开关接口；其他接口：USB2.0*1、RJ45*1、扬声器转接口*1、呼叫开关接口*1、卫生间接口*4、支持门灯接口；</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7．物理按键：护理键*1、增援键*1、呼叫键*1</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软件功能：</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1.护理呼叫</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：支持向病区护士发起呼叫请求，提供音频呼叫、视频呼叫等多种呼叫发起方式。</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2.换药呼叫</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：支持直接发起换药呼叫请求，无需接通，快速响应。</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3.增援呼叫</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：护士可发起增援呼叫求助，方便护理人员迅速定位所需增援床位。</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4.呼叫转移</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：护士进入房间后，可使用该房间内床头分机接听其他房间患者床头分机的呼叫，并进行双向音视频对讲。</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呼叫联动以及输液报警联动：患者床头发起呼叫后，医护可通过PDA接听处理，并可实现分组管理，非本组管理的患者，PDA不进行接收呼叫信息，提高护士工作效率。AI输液联动:患者输液完成后，同步联动输液完成报警信息至PDA端，方便护士进行及时处理。</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6.护理床头卡：显示患者的各项信息，如姓名、床号、性别、年龄、入院日期、过敏史、饮食类型等基本信息以及防跌倒、防压疮、非计划拔管等预警信息，支持样式定制。</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7.床头卡自动复位：终端一段时间无操作后，系统支持自动返回患者床头卡界面，无需手动操作。</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8.智能宣教：系统根据患者诊断等信息，自动匹配展示与其相关宣教文章，内容全面支持文字、图片、音频、视频、PDF文档等形式，方便患者查看；具备自动朗读功能，宣教文字自动转音频。</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9.宣教状态</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：显示宣教文章的患者阅读状态，包括“未读”“已读”“未了解”“已了解”“已签字”等，让护士的宣教更有针对性。</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10.调查问卷：展示患者所需填写的调查问卷，支持病区与全院两种维度上传，患者提交后后台自动统计分数与选项内容。</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11.护理任务：展示患者的护理类医嘱，方便护士执行时查询。</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12.消息提醒：具备自动提醒与手动推送两种形式，自动提醒支持欠费提醒、服药提醒、手术提醒、检查检验提醒等，手动推送支持对阅读状态的统计。</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13.费用查询：查询患者住院期间产生的费用清单、费用余额等费用信息。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14.检查检验：可以调阅患者住院至今的各类检查报告以及检验结果。</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15.智能闹钟：吸氧、皮试及其他辅助器械使用时，可设置闹钟计时提醒。</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16.医疗计算器：内置医疗计算器，包括“静脉补液滴速”“平均动脉压”“日胰岛素用量”等，护士输入完成相关项后，自动计算结果。</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17.播放广播：护士站医护主机进行广播时，床头分机可以播放相应广播内容。</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18.支持通话的换药呼叫：</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换药呼叫也支持语音和视频通话，而不仅仅是以消息的方式进行提醒。</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19.宕机呼叫：服务器重启、宕机、停电等特殊情况均不影响正常患者向主机的呼叫功能。</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20.屏幕亮度调整：支持后台配置多时间段屏幕亮度或亮、息屏，可根据医院作息灵活控制。</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21.终端音量调整：支持后台配置多时间段终端音量，可根据医院作息灵活控制。</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22.回音消除：具备回音消除算法，优化通话噪音，提高通话质量。</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23.自动增益：患者或家属说话声音小时也可保证通话效果，无需护士到床头二次确认。</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24.噪音抑制：通过噪音抑制算法，降低通话中的环境噪音，提高通话质量。</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25.网络抖动抑制：可在弱网环境下提供高效网络传输、通话功能，提升用户通讯体验。</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26.硬件看门狗：硬件看门狗设计，支持设备异常时自动重启功能。</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27.硬件重启：支持通过实体组合按键，完成硬件重启功能，并设有防误触机制。</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28.★AI输液：在护理人员挂好输液袋/瓶后，支持无碰触开始/结束监控任务；对输液监控大屏界面进行统一展示；应展示输液状态、已输量、即将结束报警和空瓶报警等内容，出于隐私考虑，支持自动裁剪拍摄画面仅保留关键部位，并对画面中其他区域自动打码。</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智能床垫</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1.外观面料：色纺阳离子</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2.采集点数：1024点</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3.传感面积：1433*673mm</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4.成品尺寸：1650*900mm</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5.分辨率：8bit（255级）</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6.工作电压：DC5V</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7.工作电流：&lt;200mA</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8.静电参数：符合GB/T36340-2018标准</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9.工作温度范围（℃）：-40℃~80℃</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10.工作湿度范围（RH）：＜90%非冷凝</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11.储存温度范围（℃）：-45℃~100℃</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12.储存湿度范围（RH）：≤93%非冷凝</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13.波特率（bps）：1000000bps</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14.采样频率（Hz）：13Hz</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15.响应时间（s）：&lt;200µs</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16.MTBF：5000小时</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17.通信方式：串口</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18.高柔软性与耐弯折性：超高弹性和拉伸度，最小折叠半径小于0.2mm，能够承受Z型死折折叠和揉搓；</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19.高传感密度与快速响应：高密度传感器设计确保其快速响应能力；</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20.高耐久性和一致性：能够承受20万次3Mpa冲击，长期使用后自动回弹，无需二次校准；</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21.高透气性和舒适性：传感器透气舒适，亲肤柔软，如衣物般自然贴合，适用于多种场景。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22.▲监测睡眠状况、睡眠质量模糊分析与翻身提醒：</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统计、分析浅睡期、深睡期、及睡眠总时长，具有图表分析功能，记录、分析每天睡眠特点，睡眠规律统计；每个床位可以差异性设定翻身时刻和间隔时间，主动提示翻身信息。</w:t>
            </w:r>
            <w:r>
              <w:rPr>
                <w:rFonts w:hint="eastAsia" w:ascii="宋体" w:hAnsi="宋体" w:eastAsia="宋体" w:cs="宋体"/>
                <w:b/>
                <w:bCs/>
                <w:color w:val="000000"/>
                <w:sz w:val="24"/>
                <w:szCs w:val="24"/>
                <w:highlight w:val="none"/>
              </w:rPr>
              <w:t xml:space="preserve">（需提供带有CMA或CNAS标识的检验报告证明）</w:t>
            </w:r>
            <w:r>
              <w:rPr>
                <w:rFonts w:hint="eastAsia" w:ascii="宋体" w:hAnsi="宋体" w:eastAsia="宋体" w:cs="宋体"/>
                <w:b/>
                <w:bCs/>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23.共1024个传感点，精准检测床垫压力变化，提供精准的压力数据</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t xml:space="preserve">智能床垫支持实时展示患者的压力分布情况，并以图示方式进行呈现；支持床体压感参数配置；护理看板可同步显示床垫监测界面及实时展示床垫压力分布图，可查看压力图与压疮红点提示；支持床垫连续拍打报警，可实现多终端联动广播提醒。</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8口POE交换机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8个10/100/1000M自适应电口，1-8端口支持PoE/PoE+远程供电，125W POE供电。 支持PoE+ ；交换容量16Gbps；包转发率11.9Mpps；</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卫生间分机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1.▲IP68防护等级；呼叫按键占比大于30%；静电等级±15KV；具有专用取消按键，便于及时清除误操作，也支持在医护主机上取消报警</w:t>
            </w:r>
            <w:r>
              <w:rPr>
                <w:rFonts w:hint="eastAsia" w:ascii="宋体" w:hAnsi="宋体" w:eastAsia="宋体" w:cs="宋体"/>
                <w:b/>
                <w:bCs/>
                <w:color w:val="000000"/>
                <w:sz w:val="24"/>
                <w:szCs w:val="24"/>
                <w:highlight w:val="none"/>
              </w:rPr>
              <w:t xml:space="preserve">（需提供带有CMA或CNAS标识的检验报告证明）</w:t>
            </w:r>
            <w:r>
              <w:rPr>
                <w:rFonts w:hint="eastAsia" w:ascii="宋体" w:hAnsi="宋体" w:eastAsia="宋体" w:cs="宋体"/>
                <w:b/>
                <w:bCs/>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2.组网方式：两线制组网；防冲突撞码：保证由主机下发的每一个分机码都能被对应的卫生间分机收到，形成贯通的通讯机制。</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3.呼叫时有明显的声光报警提示，系统在病区中有广播提示，便于医护人员快速响应。</w:t>
            </w:r>
            <w:r>
              <w:rPr>
                <w:rFonts w:hint="eastAsia" w:ascii="宋体" w:hAnsi="宋体" w:eastAsia="宋体" w:cs="宋体"/>
                <w:color w:val="000000"/>
                <w:sz w:val="24"/>
                <w:szCs w:val="24"/>
                <w:highlight w:val="none"/>
              </w:rPr>
            </w:r>
            <w:r/>
          </w:p>
        </w:tc>
      </w:tr>
      <w:tr>
        <w:trPr>
          <w:trHeight w:val="187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走廊显示屏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操作系统:开源鸿蒙操作系统</w:t>
            </w:r>
            <w:r>
              <w:rPr>
                <w:rFonts w:hint="eastAsia" w:ascii="宋体" w:hAnsi="宋体" w:eastAsia="宋体" w:cs="宋体"/>
                <w:color w:val="000000"/>
                <w:sz w:val="24"/>
                <w:szCs w:val="24"/>
                <w:highlight w:val="none"/>
              </w:rPr>
              <w:t xml:space="preserve">；双面一体液晶显示屏，显示屏尺寸不低于28.6英寸；显示屏分辨率不低于1920×560；具备扬声器</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2.CPU:不低于6核；CPU主频不低于1.8GHz；运行内存不低于4GB，机身存储不低于32GB。</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软件功能</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1.呼叫信息展示：展示当前正在进行以及未处理的呼叫信息</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2.呼叫播报：支持对当前未处理的呼叫信息进行语音播报</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3.信息发布：当系统无呼叫时，展示本护理单元的信息发布类文章，支持定时播放与轮播</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4.播放视频：当系统无呼叫时信息发布时，展示本护理单元的信息发布视频</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5.外扩喇叭输出：支持外接喇叭，呼叫播报及视频声音可在外扩喇叭外发声</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48口内网交换机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tcPr>
          <w:p>
            <w:pPr>
              <w:pStyle w:val="10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48个10/100/1000BASE-T自适应以太网端口，4个1/2.5/10GE SFP+端口；交换容量672Gbps/6.72Tbps，包转发率207Mpps</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万兆单模光模块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万兆LC接口模块(1310nm),10km，适用于SFP+接口</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六类非屏蔽网线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标准：YD/T1019，型式及规格代号：HSYV-64×2×0.57</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通过标准最高传输频率250MHz测试</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单根导体直流电阻：≤9.5Ω/100m</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标称线对数：4，导体标称直径：0.57mm，导体名称：软圆铜线，绝缘：HDPE</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屏蔽方式：U/UTP，线对采用“十”字骨架隔离</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包装方式：305米/易拉箱，2易拉箱/外箱</w:t>
            </w:r>
            <w:r>
              <w:rPr>
                <w:rFonts w:hint="eastAsia" w:ascii="宋体" w:hAnsi="宋体" w:eastAsia="宋体" w:cs="宋体"/>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墙柜</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标准19"机柜，600*450*768mm15U，黑色，承重60KG；前玻璃门，后钢板。</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含8位10APDU</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辅材</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配套辅材、管材、面板、网络模块等</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安装调试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安装、调试、数据集成、系统与院内HIS、LIS、PACS等医疗系统互通</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弱电间整理</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tcPr>
          <w:p>
            <w:pPr>
              <w:pStyle w:val="1015"/>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对2号楼20个弱电间进行整理，包括楼板封堵、插座安装、灯具更换、门锁更换、线缆整理、桥架盖盖板等</w:t>
            </w:r>
            <w:r>
              <w:rPr>
                <w:rFonts w:hint="eastAsia" w:ascii="宋体" w:hAnsi="宋体" w:eastAsia="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软件接口</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tcPr>
          <w:p>
            <w:pPr>
              <w:pStyle w:val="101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需协调承担与该项目功能中院内各系统的对接费用</w:t>
            </w:r>
            <w:r>
              <w:rPr>
                <w:rFonts w:hint="eastAsia" w:ascii="宋体" w:hAnsi="宋体" w:eastAsia="宋体" w:cs="宋体"/>
                <w:color w:val="000000"/>
                <w:sz w:val="24"/>
                <w:szCs w:val="24"/>
                <w:highlight w:val="none"/>
              </w:rPr>
            </w:r>
            <w:r/>
          </w:p>
        </w:tc>
      </w:tr>
    </w:tbl>
    <w:p>
      <w:pPr>
        <w:pStyle w:val="1015"/>
        <w:numPr>
          <w:ilvl w:val="0"/>
          <w:numId w:val="0"/>
        </w:numPr>
        <w:ind w:firstLine="482"/>
        <w:spacing w:line="360" w:lineRule="auto"/>
        <w:rPr>
          <w:rFonts w:hint="eastAsia" w:ascii="宋体" w:hAnsi="宋体" w:eastAsia="宋体" w:cs="宋体"/>
          <w:color w:val="000000"/>
          <w:sz w:val="24"/>
          <w:szCs w:val="24"/>
          <w:highlight w:val="none"/>
        </w:rPr>
      </w:pPr>
      <w:r>
        <w:rPr>
          <w:rFonts w:hint="eastAsia" w:eastAsia="宋体" w:cs="宋体"/>
          <w:b/>
          <w:bCs/>
          <w:color w:val="000000"/>
          <w:sz w:val="24"/>
          <w:szCs w:val="24"/>
          <w:highlight w:val="none"/>
          <w:lang w:val="en-US" w:eastAsia="zh-CN"/>
        </w:rPr>
        <w:t xml:space="preserve">六</w:t>
      </w:r>
      <w:r>
        <w:rPr>
          <w:rFonts w:hint="eastAsia" w:ascii="Times New Roman" w:hAnsi="Times New Roman" w:eastAsia="宋体" w:cs="宋体"/>
          <w:b/>
          <w:bCs/>
          <w:color w:val="000000"/>
          <w:sz w:val="24"/>
          <w:szCs w:val="24"/>
          <w:highlight w:val="none"/>
          <w:lang w:val="en-US" w:eastAsia="zh-CN"/>
        </w:rPr>
        <w:t xml:space="preserve">、质保要求：</w:t>
      </w:r>
      <w:r>
        <w:rPr>
          <w:rFonts w:hint="eastAsia" w:ascii="宋体" w:hAnsi="宋体" w:eastAsia="宋体" w:cs="宋体"/>
          <w:color w:val="000000"/>
          <w:sz w:val="24"/>
          <w:szCs w:val="24"/>
          <w:highlight w:val="none"/>
        </w:rPr>
        <w:t xml:space="preserve">整体质保叁年。</w:t>
      </w:r>
      <w:r>
        <w:rPr>
          <w:rFonts w:hint="eastAsia" w:ascii="宋体" w:hAnsi="宋体" w:eastAsia="宋体" w:cs="宋体"/>
          <w:color w:val="000000"/>
          <w:sz w:val="24"/>
          <w:szCs w:val="24"/>
          <w:highlight w:val="none"/>
        </w:rPr>
      </w:r>
      <w:r/>
    </w:p>
    <w:p>
      <w:pPr>
        <w:pStyle w:val="1015"/>
        <w:contextualSpacing/>
        <w:ind w:firstLine="482"/>
        <w:spacing w:line="360" w:lineRule="auto"/>
        <w:rPr>
          <w:rFonts w:hint="eastAsia" w:ascii="Times New Roman" w:hAnsi="Times New Roman" w:eastAsia="宋体" w:cs="宋体"/>
          <w:b/>
          <w:bCs/>
          <w:color w:val="000000"/>
          <w:sz w:val="24"/>
          <w:szCs w:val="24"/>
          <w:highlight w:val="none"/>
          <w:lang w:val="en-US" w:eastAsia="zh-CN"/>
        </w:rPr>
      </w:pPr>
      <w:r>
        <w:rPr>
          <w:rFonts w:hint="eastAsia" w:eastAsia="宋体" w:cs="宋体"/>
          <w:b/>
          <w:bCs/>
          <w:color w:val="000000"/>
          <w:sz w:val="24"/>
          <w:szCs w:val="24"/>
          <w:highlight w:val="none"/>
          <w:lang w:val="en-US" w:eastAsia="zh-CN"/>
        </w:rPr>
        <w:t xml:space="preserve">七</w:t>
      </w:r>
      <w:r>
        <w:rPr>
          <w:rFonts w:hint="eastAsia" w:ascii="Times New Roman" w:hAnsi="Times New Roman" w:eastAsia="宋体" w:cs="宋体"/>
          <w:b/>
          <w:bCs/>
          <w:color w:val="000000"/>
          <w:sz w:val="24"/>
          <w:szCs w:val="24"/>
          <w:highlight w:val="none"/>
          <w:lang w:val="en-US" w:eastAsia="zh-CN"/>
        </w:rPr>
        <w:t xml:space="preserve">、其它要求</w:t>
      </w:r>
      <w:r>
        <w:rPr>
          <w:rFonts w:hint="eastAsia" w:ascii="Times New Roman" w:hAnsi="Times New Roman" w:eastAsia="宋体" w:cs="宋体"/>
          <w:b/>
          <w:bCs/>
          <w:color w:val="000000"/>
          <w:sz w:val="24"/>
          <w:szCs w:val="24"/>
          <w:highlight w:val="none"/>
          <w:lang w:val="en-US" w:eastAsia="zh-CN"/>
        </w:rPr>
      </w:r>
      <w:r/>
    </w:p>
    <w:p>
      <w:pPr>
        <w:pStyle w:val="1032"/>
        <w:numPr>
          <w:ilvl w:val="0"/>
          <w:numId w:val="0"/>
        </w:numPr>
        <w:ind w:left="0" w:firstLine="482"/>
        <w:spacing w:line="360" w:lineRule="auto"/>
        <w:rPr>
          <w:rFonts w:hint="eastAsia" w:ascii="宋体" w:hAnsi="宋体" w:eastAsia="宋体" w:cs="宋体"/>
          <w:b/>
          <w:bCs/>
          <w:color w:val="000000"/>
          <w:sz w:val="24"/>
          <w:szCs w:val="24"/>
          <w:highlight w:val="none"/>
        </w:rPr>
      </w:pPr>
      <w:r>
        <w:rPr>
          <w:rFonts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工程实施要求</w:t>
      </w:r>
      <w:r>
        <w:rPr>
          <w:rFonts w:hint="eastAsia" w:ascii="宋体" w:hAnsi="宋体" w:eastAsia="宋体" w:cs="宋体"/>
          <w:b/>
          <w:bCs/>
          <w:color w:val="000000"/>
          <w:sz w:val="24"/>
          <w:szCs w:val="24"/>
          <w:highlight w:val="none"/>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工期：配合基建改造，按楼层实施交付。</w:t>
      </w:r>
      <w:r>
        <w:rPr>
          <w:rFonts w:hint="eastAsia" w:ascii="宋体" w:hAnsi="宋体" w:eastAsia="宋体" w:cs="宋体"/>
          <w:color w:val="000000"/>
          <w:sz w:val="24"/>
          <w:szCs w:val="24"/>
          <w:highlight w:val="none"/>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供应商应仔细阅读项目需求说明，详细对医院的相关安装现场进行勘察。</w:t>
      </w:r>
      <w:r>
        <w:rPr>
          <w:rFonts w:hint="eastAsia" w:ascii="宋体" w:hAnsi="宋体" w:eastAsia="宋体" w:cs="宋体"/>
          <w:color w:val="000000"/>
          <w:sz w:val="24"/>
          <w:szCs w:val="24"/>
          <w:highlight w:val="none"/>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供应商负责项目全部实施工作，包括人工、施工机械、安装调试、施工管理、保险、消防、质检、安全治安、环保、政策性文件规定及合同包含的所有内容、责任所发生的各项费用。供应商应按采购人提供的需求由供应商实测工程量，并按规定和要求计算工程项目的报价，供应商未填写的项目及采购人未要求或未签认的项目其费用将不予支付。</w:t>
      </w:r>
      <w:r>
        <w:rPr>
          <w:rFonts w:hint="eastAsia" w:ascii="宋体" w:hAnsi="宋体" w:eastAsia="宋体" w:cs="宋体"/>
          <w:color w:val="000000"/>
          <w:sz w:val="24"/>
          <w:szCs w:val="24"/>
          <w:highlight w:val="none"/>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1.4供应商须为本项目设立专门的实施服务队伍，并详细设计出项目实施计划。</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1.5成交供应商应服从院方的管理，并保证施工不影响医院的正常业务。施工期应尽量安排在医院就诊时间以外。施工期间，严格遵守医院各项规章制度及管理措施。</w:t>
      </w:r>
      <w:r>
        <w:rPr>
          <w:rFonts w:hint="eastAsia" w:ascii="宋体" w:hAnsi="宋体" w:eastAsia="宋体" w:cs="宋体"/>
          <w:color w:val="000000"/>
          <w:sz w:val="24"/>
          <w:szCs w:val="24"/>
          <w:highlight w:val="none"/>
          <w:lang w:val="en-US" w:eastAsia="zh-CN"/>
        </w:rPr>
      </w:r>
      <w:r/>
    </w:p>
    <w:p>
      <w:pPr>
        <w:pStyle w:val="1032"/>
        <w:numPr>
          <w:ilvl w:val="0"/>
          <w:numId w:val="0"/>
        </w:numPr>
        <w:ind w:left="0" w:firstLine="482"/>
        <w:spacing w:line="360" w:lineRule="auto"/>
        <w:rPr>
          <w:rFonts w:hint="eastAsia" w:ascii="宋体" w:hAnsi="宋体" w:eastAsia="宋体" w:cs="宋体"/>
          <w:b/>
          <w:bCs/>
          <w:color w:val="000000"/>
          <w:sz w:val="24"/>
          <w:szCs w:val="24"/>
          <w:highlight w:val="none"/>
        </w:rPr>
      </w:pPr>
      <w:r>
        <w:rPr>
          <w:rFonts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rPr>
        <w:t xml:space="preserve">售后服务要求</w:t>
      </w:r>
      <w:r>
        <w:rPr>
          <w:rFonts w:hint="eastAsia" w:ascii="宋体" w:hAnsi="宋体" w:eastAsia="宋体" w:cs="宋体"/>
          <w:b/>
          <w:bCs/>
          <w:color w:val="000000"/>
          <w:sz w:val="24"/>
          <w:szCs w:val="24"/>
          <w:highlight w:val="none"/>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2.1系统的免费服务期为叁年，服务期内，一旦系统出现故障，成交供应商技术服务人员4小时内到达现场。</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2.2投标人应提交详细的售后服务保修计划，列出售后服务方案，并明确列出每种故障的修复时效，要求如下（包含但不限于）：</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2.2.1响应时间：系统运行发生故障1小时内即时响应，4小时内专业技术人员负责设备的调试与维修，24小时内无法修复提供解决方案。</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2.2.2保修期内成交供应商每季度至少安排一次寻访及系统设备巡检，制定回访制度，每年根据院方需求提供4-6套不同风格的显示模板效果。</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2.2.3系统定期维护计划、对采购人不定期维护要求的响应措施。</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2.2.4质保期内提供整套系统的原厂质保服务。</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2.2.5在产品的设计使用寿命期内，应能保证采购人更换到原厂正宗的零部件，确保产品的正常使用。在投标文件中详细说明备品备件的数量、放置地点、服务条款等内容。</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2.2.6保修期内因设备质量或安装调试原因引起的全部维修费用（包括更换零配件的费用）均由中标供应商承担，如因设备质量问题或技术缺陷问题，中标供应商应无条件提供“包修包换包退”服务。</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2.2.7质保期满之后中标供应商应终身提供优质服务，售后服务方案中含质保期外内容，包含但不限于保修期外维修服务、技术保修的方式、零配件的优惠价格等。</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2.2.8投标人应提供培训服务（含技术培训和技术支持），确保设备能正常使用，使用户了解、掌握本系统，更有效和更全面地应用、管理系统。要求提供具体的培训方案，包含但不限于培训地点、培训人数、培训时间，培训</w:t>
      </w:r>
      <w:r>
        <w:rPr>
          <w:rFonts w:hint="eastAsia" w:ascii="宋体" w:hAnsi="宋体" w:eastAsia="宋体" w:cs="宋体"/>
          <w:color w:val="000000"/>
          <w:sz w:val="24"/>
          <w:szCs w:val="24"/>
          <w:highlight w:val="none"/>
          <w:lang w:val="en-US" w:eastAsia="zh-CN"/>
        </w:rPr>
        <w:t xml:space="preserve">方式、培训内容等。</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所提供的货物开箱后，发现有任何问题（包括外观损伤），必须以采购人能接受的方式加以解决。在质保期内，同一设备、同一质量问题连续两次维修仍无法正常使用的，须更换同品牌、同型号新设备，并对产品质量实行“包修包换包退”服务。</w:t>
      </w:r>
      <w:r>
        <w:rPr>
          <w:rFonts w:hint="eastAsia" w:ascii="宋体" w:hAnsi="宋体" w:eastAsia="宋体" w:cs="宋体"/>
          <w:color w:val="000000"/>
          <w:sz w:val="24"/>
          <w:szCs w:val="24"/>
          <w:highlight w:val="none"/>
          <w:lang w:val="en-US" w:eastAsia="zh-CN"/>
        </w:rPr>
      </w:r>
      <w:r/>
    </w:p>
    <w:p>
      <w:pPr>
        <w:pStyle w:val="1015"/>
        <w:numPr>
          <w:ilvl w:val="0"/>
          <w:numId w:val="4"/>
        </w:numPr>
        <w:ind w:firstLine="482"/>
        <w:spacing w:line="360" w:lineRule="auto"/>
        <w:rPr>
          <w:rFonts w:hint="eastAsia" w:eastAsia="宋体" w:cs="宋体"/>
          <w:b/>
          <w:bCs/>
          <w:color w:val="000000"/>
          <w:sz w:val="24"/>
          <w:szCs w:val="24"/>
          <w:highlight w:val="none"/>
          <w:lang w:val="en-US" w:eastAsia="zh-CN"/>
        </w:rPr>
      </w:pPr>
      <w:r>
        <w:rPr>
          <w:rFonts w:hint="eastAsia" w:eastAsia="宋体" w:cs="宋体"/>
          <w:b/>
          <w:bCs/>
          <w:color w:val="000000"/>
          <w:sz w:val="24"/>
          <w:szCs w:val="24"/>
          <w:highlight w:val="none"/>
          <w:lang w:val="en-US" w:eastAsia="zh-CN"/>
        </w:rPr>
        <w:t xml:space="preserve">付款方式</w:t>
      </w:r>
      <w:r>
        <w:rPr>
          <w:rFonts w:hint="eastAsia" w:eastAsia="宋体" w:cs="宋体"/>
          <w:b/>
          <w:bCs/>
          <w:color w:val="000000"/>
          <w:sz w:val="24"/>
          <w:szCs w:val="24"/>
          <w:highlight w:val="none"/>
          <w:lang w:val="en-US" w:eastAsia="zh-CN"/>
        </w:rPr>
      </w:r>
      <w:r/>
    </w:p>
    <w:p>
      <w:pPr>
        <w:pStyle w:val="1015"/>
        <w:ind w:firstLine="482"/>
        <w:spacing w:line="360" w:lineRule="auto"/>
        <w:rPr>
          <w:color w:val="000000"/>
          <w:highlight w:val="none"/>
          <w:lang w:val="en-US" w:eastAsia="zh-CN"/>
        </w:rPr>
      </w:pPr>
      <w:r>
        <w:rPr>
          <w:rFonts w:hint="eastAsia" w:eastAsia="宋体"/>
          <w:b/>
          <w:bCs/>
          <w:color w:val="000000"/>
          <w:sz w:val="24"/>
          <w:szCs w:val="24"/>
          <w:highlight w:val="none"/>
          <w:lang w:val="zh-CN"/>
        </w:rPr>
        <w:t xml:space="preserve">合同签订后支付30%预付款，项目验收后支付50%项目款，项目质保期满后支付20%项目尾款。每次付款前，供应商开具正规税务发票。</w:t>
      </w:r>
      <w:r>
        <w:rPr>
          <w:color w:val="000000"/>
          <w:highlight w:val="none"/>
          <w:lang w:val="en-US" w:eastAsia="zh-CN"/>
        </w:rPr>
      </w:r>
      <w:r/>
    </w:p>
    <w:p>
      <w:pPr>
        <w:pStyle w:val="1015"/>
        <w:ind w:firstLine="482"/>
        <w:spacing w:line="360" w:lineRule="auto"/>
        <w:rPr>
          <w:rFonts w:hint="eastAsia"/>
          <w:color w:val="000000"/>
          <w:highlight w:val="none"/>
          <w:lang w:val="en-US" w:eastAsia="zh-CN"/>
        </w:rPr>
      </w:pPr>
      <w:r>
        <w:rPr>
          <w:rFonts w:hint="eastAsia" w:eastAsia="宋体" w:cs="宋体"/>
          <w:b/>
          <w:bCs/>
          <w:color w:val="000000"/>
          <w:sz w:val="24"/>
          <w:szCs w:val="24"/>
          <w:highlight w:val="none"/>
          <w:lang w:val="en-US" w:eastAsia="zh-CN"/>
        </w:rPr>
        <w:t xml:space="preserve">九</w:t>
      </w:r>
      <w:r>
        <w:rPr>
          <w:rFonts w:hint="eastAsia" w:eastAsia="宋体" w:cs="宋体"/>
          <w:b/>
          <w:bCs/>
          <w:color w:val="000000"/>
          <w:sz w:val="24"/>
          <w:szCs w:val="24"/>
          <w:highlight w:val="none"/>
        </w:rPr>
        <w:t xml:space="preserve">、采购需求中必须满足的实质性要求</w:t>
      </w:r>
      <w:r>
        <w:rPr>
          <w:rFonts w:hint="eastAsia"/>
          <w:color w:val="000000"/>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1、投标人应按要求提交详细的售后服务保修计划，列出售后服务方案，并明确列出每种故障的修复时效。未提供或未按要求提供作无效投</w:t>
      </w:r>
      <w:r>
        <w:rPr>
          <w:rFonts w:hint="eastAsia" w:ascii="宋体" w:hAnsi="宋体" w:eastAsia="宋体" w:cs="宋体"/>
          <w:color w:val="000000"/>
          <w:sz w:val="24"/>
          <w:szCs w:val="24"/>
          <w:highlight w:val="none"/>
          <w:lang w:val="en-US" w:eastAsia="zh-CN"/>
        </w:rPr>
        <w:t xml:space="preserve">标处理。</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为保证医疗系统数据对接的稳定可靠，减少本次改造建设的数据影响，投标人需对本项目需求和医院实际情况充分摸底评估。同时本项目为本院智慧病房标杆工程，投标单位中标后需提供智慧病房设备原厂技术参数响应表及原厂三年质保承诺函；中标后同时提供需求参数中所提及的相关检测报告（加盖生产厂商公章），并搭建实际应用系统进行相关功能演示，且所有功能与院方确认。未按要求提供相关证明资料或功能不达标则取消中标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出具承诺函，格式自拟。</w:t>
      </w:r>
      <w:r>
        <w:rPr>
          <w:rFonts w:hint="eastAsia" w:ascii="宋体" w:hAnsi="宋体" w:eastAsia="宋体" w:cs="宋体"/>
          <w:color w:val="000000"/>
          <w:sz w:val="24"/>
          <w:szCs w:val="24"/>
          <w:highlight w:val="none"/>
          <w:lang w:val="en-US" w:eastAsia="zh-CN"/>
        </w:rPr>
        <w:t xml:space="preserve">未提供或未按要求提供作无效投标处理。</w:t>
      </w:r>
      <w:r>
        <w:rPr>
          <w:rFonts w:ascii="宋体" w:hAnsi="宋体" w:eastAsia="宋体" w:cs="宋体"/>
          <w:color w:val="000000"/>
          <w:sz w:val="24"/>
          <w:szCs w:val="24"/>
          <w:highlight w:val="none"/>
          <w:lang w:val="en-US" w:eastAsia="zh-CN"/>
        </w:rPr>
      </w:r>
      <w:r/>
    </w:p>
    <w:p>
      <w:pPr>
        <w:pStyle w:val="1028"/>
        <w:rPr>
          <w:rFonts w:hint="eastAsia"/>
          <w:color w:val="000000"/>
          <w:highlight w:val="none"/>
          <w:lang w:val="en-US" w:eastAsia="zh-CN"/>
        </w:rPr>
      </w:pPr>
      <w:r>
        <w:rPr>
          <w:rFonts w:hint="eastAsia"/>
          <w:color w:val="000000"/>
          <w:highlight w:val="none"/>
          <w:lang w:val="en-US" w:eastAsia="zh-CN"/>
        </w:rPr>
      </w:r>
      <w:r/>
    </w:p>
    <w:p>
      <w:pPr>
        <w:pStyle w:val="1015"/>
        <w:contextualSpacing/>
        <w:ind w:firstLine="482"/>
        <w:spacing w:line="360" w:lineRule="auto"/>
        <w:rPr>
          <w:rFonts w:eastAsia="宋体" w:cs="宋体"/>
          <w:b/>
          <w:color w:val="000000"/>
          <w:sz w:val="36"/>
          <w:szCs w:val="36"/>
          <w:highlight w:val="none"/>
        </w:rPr>
      </w:pPr>
      <w:r>
        <w:rPr>
          <w:rFonts w:eastAsia="宋体" w:cs="宋体"/>
          <w:b/>
          <w:color w:val="000000"/>
          <w:sz w:val="36"/>
          <w:szCs w:val="36"/>
          <w:highlight w:val="none"/>
        </w:rPr>
        <w:br w:type="page" w:clear="all"/>
      </w:r>
      <w:r>
        <w:rPr>
          <w:rFonts w:eastAsia="宋体" w:cs="宋体"/>
          <w:b/>
          <w:color w:val="000000"/>
          <w:sz w:val="36"/>
          <w:szCs w:val="36"/>
          <w:highlight w:val="none"/>
        </w:rPr>
      </w:r>
      <w:r/>
    </w:p>
    <w:p>
      <w:pPr>
        <w:pStyle w:val="1015"/>
        <w:jc w:val="center"/>
        <w:spacing w:line="360" w:lineRule="auto"/>
        <w:tabs>
          <w:tab w:val="left" w:pos="1050" w:leader="none"/>
          <w:tab w:val="right" w:pos="9402" w:leader="dot"/>
        </w:tabs>
        <w:rPr>
          <w:rFonts w:eastAsia="宋体" w:cs="宋体"/>
          <w:color w:val="000000"/>
          <w:highlight w:val="none"/>
        </w:rPr>
        <w:outlineLvl w:val="0"/>
      </w:pPr>
      <w:r>
        <w:rPr>
          <w:rFonts w:hint="eastAsia" w:eastAsia="宋体" w:cs="宋体"/>
          <w:b/>
          <w:color w:val="000000"/>
          <w:sz w:val="36"/>
          <w:szCs w:val="36"/>
          <w:highlight w:val="none"/>
        </w:rPr>
        <w:t xml:space="preserve">第四章 评审方法和程序</w:t>
      </w:r>
      <w:bookmarkEnd w:id="48"/>
      <w:r/>
      <w:bookmarkEnd w:id="49"/>
      <w:r/>
      <w:bookmarkEnd w:id="50"/>
      <w:r>
        <w:rPr>
          <w:rFonts w:eastAsia="宋体" w:cs="宋体"/>
          <w:color w:val="000000"/>
          <w:highlight w:val="none"/>
        </w:rPr>
      </w:r>
      <w:r/>
    </w:p>
    <w:p>
      <w:pPr>
        <w:pStyle w:val="1015"/>
        <w:ind w:firstLine="482"/>
        <w:spacing w:line="360" w:lineRule="auto"/>
        <w:rPr>
          <w:rFonts w:eastAsia="宋体" w:cs="宋体"/>
          <w:b/>
          <w:color w:val="000000"/>
          <w:sz w:val="24"/>
          <w:szCs w:val="24"/>
          <w:highlight w:val="none"/>
        </w:rPr>
        <w:outlineLvl w:val="1"/>
      </w:pPr>
      <w:r/>
      <w:bookmarkStart w:id="51" w:name="_Toc754"/>
      <w:r>
        <w:rPr>
          <w:rFonts w:hint="eastAsia" w:eastAsia="宋体" w:cs="宋体"/>
          <w:b/>
          <w:color w:val="000000"/>
          <w:sz w:val="24"/>
          <w:szCs w:val="24"/>
          <w:highlight w:val="none"/>
        </w:rPr>
        <w:t xml:space="preserve">一、招标人委托招标代理机构组织招标</w:t>
      </w:r>
      <w:bookmarkEnd w:id="51"/>
      <w:r>
        <w:rPr>
          <w:rFonts w:eastAsia="宋体" w:cs="宋体"/>
          <w:b/>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1、本项目采用综合评分法。成立评标委员会小组，评标委员会由招标人代表和评审专家组成，成员人数应当为5人以上单数，其中评审专家不得少于成员总数的三分之二。</w:t>
      </w:r>
      <w:r>
        <w:rPr>
          <w:rFonts w:eastAsia="宋体" w:cs="宋体"/>
          <w:color w:val="000000"/>
          <w:sz w:val="24"/>
          <w:szCs w:val="24"/>
          <w:highlight w:val="none"/>
        </w:rPr>
      </w:r>
      <w:r/>
    </w:p>
    <w:p>
      <w:pPr>
        <w:pStyle w:val="1015"/>
        <w:ind w:firstLine="482"/>
        <w:spacing w:line="360" w:lineRule="auto"/>
        <w:rPr>
          <w:rFonts w:eastAsia="宋体" w:cs="宋体"/>
          <w:b/>
          <w:color w:val="000000"/>
          <w:sz w:val="24"/>
          <w:szCs w:val="24"/>
          <w:highlight w:val="none"/>
        </w:rPr>
        <w:outlineLvl w:val="1"/>
      </w:pPr>
      <w:r/>
      <w:bookmarkStart w:id="52" w:name="_Toc1911"/>
      <w:r>
        <w:rPr>
          <w:rFonts w:hint="eastAsia" w:eastAsia="宋体" w:cs="宋体"/>
          <w:b/>
          <w:color w:val="000000"/>
          <w:sz w:val="24"/>
          <w:szCs w:val="24"/>
          <w:highlight w:val="none"/>
        </w:rPr>
        <w:t xml:space="preserve">二、开标</w:t>
      </w:r>
      <w:bookmarkEnd w:id="52"/>
      <w:r>
        <w:rPr>
          <w:rFonts w:eastAsia="宋体" w:cs="宋体"/>
          <w:b/>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bCs/>
          <w:color w:val="000000"/>
          <w:sz w:val="24"/>
          <w:szCs w:val="24"/>
          <w:highlight w:val="none"/>
        </w:rPr>
        <w:t xml:space="preserve">不见面远程开标模式：开标当天各投标人在各自地点通过苏采云系统及时登录不见面开标大厅，参加投标活动。</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2、招标代理机构主持开标并记录，及时处理投标人代表提出的询问或者回避申请。</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3、投标人不足3家的不得开标。</w:t>
      </w:r>
      <w:r>
        <w:rPr>
          <w:rFonts w:eastAsia="宋体" w:cs="宋体"/>
          <w:color w:val="000000"/>
          <w:sz w:val="24"/>
          <w:szCs w:val="24"/>
          <w:highlight w:val="none"/>
        </w:rPr>
      </w:r>
      <w:r/>
    </w:p>
    <w:p>
      <w:pPr>
        <w:pStyle w:val="1015"/>
        <w:ind w:firstLine="482"/>
        <w:spacing w:line="360" w:lineRule="auto"/>
        <w:rPr>
          <w:rFonts w:eastAsia="宋体" w:cs="宋体"/>
          <w:b/>
          <w:color w:val="000000"/>
          <w:sz w:val="24"/>
          <w:szCs w:val="24"/>
          <w:highlight w:val="none"/>
        </w:rPr>
        <w:outlineLvl w:val="1"/>
      </w:pPr>
      <w:r/>
      <w:bookmarkStart w:id="53" w:name="_Toc16633"/>
      <w:r>
        <w:rPr>
          <w:rFonts w:hint="eastAsia" w:eastAsia="宋体" w:cs="宋体"/>
          <w:b/>
          <w:color w:val="000000"/>
          <w:sz w:val="24"/>
          <w:szCs w:val="24"/>
          <w:highlight w:val="none"/>
        </w:rPr>
        <w:t xml:space="preserve">三、资格审查</w:t>
      </w:r>
      <w:bookmarkEnd w:id="53"/>
      <w:r>
        <w:rPr>
          <w:rFonts w:eastAsia="宋体" w:cs="宋体"/>
          <w:b/>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1、开标后，招标人及其委托的采购代理机构依据相关法律政策的规定，根据招标文件载明的资格审查要求，对投标人的资格进行审查。</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2、资格审查合格的投标人进入评标。</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3、合格投标人不足3家的，不得评标。</w:t>
      </w:r>
      <w:r>
        <w:rPr>
          <w:rFonts w:eastAsia="宋体" w:cs="宋体"/>
          <w:color w:val="000000"/>
          <w:sz w:val="24"/>
          <w:szCs w:val="24"/>
          <w:highlight w:val="none"/>
        </w:rPr>
      </w:r>
      <w:r/>
    </w:p>
    <w:p>
      <w:pPr>
        <w:pStyle w:val="1015"/>
        <w:ind w:firstLine="482"/>
        <w:spacing w:line="360" w:lineRule="auto"/>
        <w:rPr>
          <w:rFonts w:eastAsia="宋体" w:cs="宋体"/>
          <w:b/>
          <w:color w:val="000000"/>
          <w:sz w:val="24"/>
          <w:szCs w:val="24"/>
          <w:highlight w:val="none"/>
        </w:rPr>
        <w:outlineLvl w:val="1"/>
      </w:pPr>
      <w:r/>
      <w:bookmarkStart w:id="54" w:name="_Toc1140"/>
      <w:r>
        <w:rPr>
          <w:rFonts w:hint="eastAsia" w:eastAsia="宋体" w:cs="宋体"/>
          <w:b/>
          <w:color w:val="000000"/>
          <w:sz w:val="24"/>
          <w:szCs w:val="24"/>
          <w:highlight w:val="none"/>
        </w:rPr>
        <w:t xml:space="preserve">四、评标</w:t>
      </w:r>
      <w:bookmarkEnd w:id="54"/>
      <w:r>
        <w:rPr>
          <w:rFonts w:eastAsia="宋体" w:cs="宋体"/>
          <w:b/>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1、评标时间</w:t>
      </w:r>
      <w:r>
        <w:rPr>
          <w:rFonts w:hint="eastAsia" w:eastAsia="宋体" w:cs="宋体"/>
          <w:b/>
          <w:color w:val="000000"/>
          <w:sz w:val="24"/>
          <w:szCs w:val="24"/>
          <w:highlight w:val="none"/>
        </w:rPr>
        <w:t xml:space="preserve">：资格审查结束以后。</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2、招标代理机构负责组织评标工作，并履行下列职责：</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（1）核对评审专家身份和招标人代表授权函，对评审专家在招标采购活动中的职责履行情况予以记录，并及时将有关违法违规行为向相关部门报告。</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（2）宣布评标纪律。</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（3）公布投标人名单，告知评审专家应当回避的情形。</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（4）组织评标委员会推选评标组长，招标人代表不得担任组长。</w:t>
      </w:r>
      <w:r>
        <w:rPr>
          <w:rFonts w:eastAsia="宋体" w:cs="宋体"/>
          <w:color w:val="000000"/>
          <w:sz w:val="24"/>
          <w:szCs w:val="24"/>
          <w:highlight w:val="none"/>
        </w:rPr>
      </w:r>
      <w:r/>
    </w:p>
    <w:p>
      <w:pPr>
        <w:pStyle w:val="1015"/>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（6）根据评标委员会的要求介绍采购相关政策法规、招标文件。</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（8）核对评标结果，有下列规定情形的，要求评标委员会复核或者书面说明理由，评标委员会拒绝的，则予以书面记录并向本级相关部门报告：</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① 分值汇总计算错误的；</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② 分项评分超出评分标准范围的；</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③ 评标委员会成员对客观评审因素评分不一致的；</w:t>
      </w:r>
      <w:r>
        <w:rPr>
          <w:rFonts w:eastAsia="宋体" w:cs="宋体"/>
          <w:color w:val="000000"/>
          <w:sz w:val="24"/>
          <w:szCs w:val="24"/>
          <w:highlight w:val="none"/>
        </w:rPr>
      </w:r>
      <w:r/>
    </w:p>
    <w:p>
      <w:pPr>
        <w:pStyle w:val="1015"/>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④ 经评标委员会认定评分畸高、畸低的。</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（9）评审工作完成后，按照规定向评审专家支付劳务报酬和异地评审差旅费，不得向评审专家以外的其他人员支付评审劳务报酬；</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（10）处理与评标有关的其他事项。</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3、评标委员会负责具体评标事务：</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4、评标委员会成员独立履行以下职责与义务：</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（1）遵纪守法，客观、公正、廉洁地履行职责；</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（2）审查合格投标人的投标文件是否实质性响应招标文件要求，并做出评价；</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（3）按照招标文件规定的评标办法和评标标准进行评标，对评审意见承担个人责任；</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（4）可以要求投标人对投标文件有关事项做出解释或澄清；</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（5）对评标过程和结果，以及投标人的商业秘密保密；</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（6）配合相关部门的投诉处理工作；</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（7）配合招标人或招标代理机构答复投标人提出的质疑。</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color w:val="000000"/>
          <w:sz w:val="24"/>
          <w:szCs w:val="24"/>
          <w:highlight w:val="none"/>
        </w:rPr>
      </w:r>
      <w:r/>
    </w:p>
    <w:p>
      <w:pPr>
        <w:pStyle w:val="1015"/>
        <w:ind w:firstLine="480"/>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7、评审期间，合格投标人的投标文件仍有可能被评标委员会根据规定判为无效投标。</w:t>
      </w:r>
      <w:r>
        <w:rPr>
          <w:rFonts w:eastAsia="宋体" w:cs="宋体"/>
          <w:b/>
          <w:color w:val="000000"/>
          <w:sz w:val="24"/>
          <w:szCs w:val="24"/>
          <w:highlight w:val="none"/>
        </w:rPr>
      </w:r>
      <w:r/>
    </w:p>
    <w:p>
      <w:pPr>
        <w:pStyle w:val="1015"/>
        <w:ind w:firstLine="480"/>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8、在投标文件的评审、澄清、评价和比较以及授予合同的过程中，投标人对招标人和评标委员会成员有施加影响的任何行为，都将取消其可能的中标资格。</w:t>
      </w:r>
      <w:r>
        <w:rPr>
          <w:rFonts w:eastAsia="宋体" w:cs="宋体"/>
          <w:b/>
          <w:color w:val="000000"/>
          <w:sz w:val="24"/>
          <w:szCs w:val="24"/>
          <w:highlight w:val="none"/>
        </w:rPr>
      </w:r>
      <w:r/>
    </w:p>
    <w:p>
      <w:pPr>
        <w:pStyle w:val="1015"/>
        <w:ind w:firstLine="482"/>
        <w:spacing w:line="360" w:lineRule="auto"/>
        <w:rPr>
          <w:rFonts w:eastAsia="宋体" w:cs="宋体"/>
          <w:b/>
          <w:bCs/>
          <w:color w:val="000000"/>
          <w:sz w:val="24"/>
          <w:szCs w:val="24"/>
          <w:highlight w:val="none"/>
        </w:rPr>
        <w:outlineLvl w:val="1"/>
      </w:pPr>
      <w:r/>
      <w:bookmarkStart w:id="55" w:name="_Toc23150"/>
      <w:r>
        <w:rPr>
          <w:rFonts w:hint="eastAsia" w:eastAsia="宋体" w:cs="宋体"/>
          <w:b/>
          <w:bCs/>
          <w:color w:val="000000"/>
          <w:sz w:val="24"/>
          <w:szCs w:val="24"/>
          <w:highlight w:val="none"/>
        </w:rPr>
        <w:t xml:space="preserve">五、评审原则</w:t>
      </w:r>
      <w:bookmarkEnd w:id="55"/>
      <w:r>
        <w:rPr>
          <w:rFonts w:eastAsia="宋体" w:cs="宋体"/>
          <w:b/>
          <w:bCs/>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1、本项目采用</w:t>
      </w:r>
      <w:r>
        <w:rPr>
          <w:rFonts w:hint="eastAsia" w:eastAsia="宋体" w:cs="宋体"/>
          <w:color w:val="000000"/>
          <w:sz w:val="24"/>
          <w:szCs w:val="24"/>
          <w:highlight w:val="none"/>
          <w:u w:val="single"/>
        </w:rPr>
        <w:t xml:space="preserve">  </w:t>
      </w:r>
      <w:r>
        <w:rPr>
          <w:rFonts w:hint="eastAsia" w:eastAsia="宋体" w:cs="宋体"/>
          <w:b/>
          <w:color w:val="000000"/>
          <w:sz w:val="24"/>
          <w:szCs w:val="24"/>
          <w:highlight w:val="none"/>
          <w:u w:val="single"/>
        </w:rPr>
        <w:t xml:space="preserve">综合评分法</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4、对投标文件的评审判定，只依据投标文件内容本身，不依靠开标后任何外来证明文件。</w:t>
      </w:r>
      <w:r>
        <w:rPr>
          <w:rFonts w:eastAsia="宋体" w:cs="宋体"/>
          <w:color w:val="000000"/>
          <w:sz w:val="24"/>
          <w:szCs w:val="24"/>
          <w:highlight w:val="none"/>
        </w:rPr>
      </w:r>
      <w:r/>
    </w:p>
    <w:p>
      <w:pPr>
        <w:pStyle w:val="1015"/>
        <w:ind w:firstLine="482"/>
        <w:spacing w:line="360" w:lineRule="auto"/>
        <w:rPr>
          <w:rFonts w:eastAsia="宋体" w:cs="宋体"/>
          <w:b/>
          <w:bCs/>
          <w:color w:val="000000"/>
          <w:sz w:val="24"/>
          <w:szCs w:val="24"/>
          <w:highlight w:val="none"/>
        </w:rPr>
        <w:outlineLvl w:val="1"/>
      </w:pPr>
      <w:r/>
      <w:bookmarkStart w:id="56" w:name="_Toc26093"/>
      <w:r>
        <w:rPr>
          <w:rFonts w:hint="eastAsia" w:eastAsia="宋体" w:cs="宋体"/>
          <w:b/>
          <w:bCs/>
          <w:color w:val="000000"/>
          <w:sz w:val="24"/>
          <w:szCs w:val="24"/>
          <w:highlight w:val="none"/>
        </w:rPr>
        <w:t xml:space="preserve">六、评审方法</w:t>
      </w:r>
      <w:bookmarkEnd w:id="56"/>
      <w:r>
        <w:rPr>
          <w:rFonts w:eastAsia="宋体" w:cs="宋体"/>
          <w:b/>
          <w:bCs/>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1、评标程序：</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资格符合性评审——商务技术标评审——价格标评审——确定中标候选人。</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本次资格审查采用资格后审，各投标人资格审查通过后方能进入商务技术标的开标。先开商务技术标，商务技术标打分结束后再开价格标。</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2、评标委员会将仅对按本招标文件载明的方法与规定，为实质上响应招标文件要求的投标文件评审并进行评价和比较。</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3、本次项目的技术标和价格标评审总分值为100分。两部分评审因素比重如下：</w:t>
      </w:r>
      <w:r>
        <w:rPr>
          <w:rFonts w:eastAsia="宋体" w:cs="宋体"/>
          <w:color w:val="000000"/>
          <w:sz w:val="24"/>
          <w:szCs w:val="24"/>
          <w:highlight w:val="none"/>
        </w:rPr>
      </w:r>
      <w:r/>
    </w:p>
    <w:p>
      <w:pPr>
        <w:pStyle w:val="1015"/>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商务技术标分值占总分值的比重为</w:t>
      </w:r>
      <w:r>
        <w:rPr>
          <w:rFonts w:hint="eastAsia" w:eastAsia="宋体" w:cs="宋体"/>
          <w:b/>
          <w:bCs/>
          <w:color w:val="000000"/>
          <w:sz w:val="24"/>
          <w:szCs w:val="24"/>
          <w:highlight w:val="none"/>
          <w:u w:val="single"/>
          <w:lang w:val="en-US" w:eastAsia="zh-CN"/>
        </w:rPr>
        <w:t xml:space="preserve">70</w:t>
      </w:r>
      <w:r>
        <w:rPr>
          <w:rFonts w:hint="eastAsia" w:eastAsia="宋体" w:cs="宋体"/>
          <w:b/>
          <w:bCs/>
          <w:color w:val="000000"/>
          <w:sz w:val="24"/>
          <w:szCs w:val="24"/>
          <w:highlight w:val="none"/>
          <w:u w:val="single"/>
        </w:rPr>
        <w:t xml:space="preserve">%</w:t>
      </w:r>
      <w:r>
        <w:rPr>
          <w:rFonts w:hint="eastAsia" w:eastAsia="宋体" w:cs="宋体"/>
          <w:b/>
          <w:bCs/>
          <w:color w:val="000000"/>
          <w:sz w:val="24"/>
          <w:szCs w:val="24"/>
          <w:highlight w:val="none"/>
        </w:rPr>
        <w:t xml:space="preserve">（权重）（计算结果均四舍五入保留两位小数）；</w:t>
      </w:r>
      <w:r>
        <w:rPr>
          <w:rFonts w:eastAsia="宋体" w:cs="宋体"/>
          <w:b/>
          <w:bCs/>
          <w:color w:val="000000"/>
          <w:sz w:val="24"/>
          <w:szCs w:val="24"/>
          <w:highlight w:val="none"/>
        </w:rPr>
      </w:r>
      <w:r/>
    </w:p>
    <w:p>
      <w:pPr>
        <w:pStyle w:val="1015"/>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价格标分值占总分值的比重为</w:t>
      </w:r>
      <w:r>
        <w:rPr>
          <w:rFonts w:hint="eastAsia" w:eastAsia="宋体" w:cs="宋体"/>
          <w:b/>
          <w:bCs/>
          <w:color w:val="000000"/>
          <w:sz w:val="24"/>
          <w:szCs w:val="24"/>
          <w:highlight w:val="none"/>
          <w:u w:val="single"/>
          <w:lang w:val="en-US" w:eastAsia="zh-CN"/>
        </w:rPr>
        <w:t xml:space="preserve">30</w:t>
      </w:r>
      <w:r>
        <w:rPr>
          <w:rFonts w:hint="eastAsia" w:eastAsia="宋体" w:cs="宋体"/>
          <w:b/>
          <w:bCs/>
          <w:color w:val="000000"/>
          <w:sz w:val="24"/>
          <w:szCs w:val="24"/>
          <w:highlight w:val="none"/>
          <w:u w:val="single"/>
        </w:rPr>
        <w:t xml:space="preserve">%</w:t>
      </w:r>
      <w:r>
        <w:rPr>
          <w:rFonts w:hint="eastAsia" w:eastAsia="宋体" w:cs="宋体"/>
          <w:b/>
          <w:bCs/>
          <w:color w:val="000000"/>
          <w:sz w:val="24"/>
          <w:szCs w:val="24"/>
          <w:highlight w:val="none"/>
        </w:rPr>
        <w:t xml:space="preserve">（权重）（计算结果均四舍五入保留两位小数）； </w:t>
      </w:r>
      <w:r>
        <w:rPr>
          <w:rFonts w:eastAsia="宋体" w:cs="宋体"/>
          <w:b/>
          <w:bCs/>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4、评标委员会严格按照招标文件的要求、条件、评分标准，对投标人所提供服务的先进性、可靠性、售后服务承诺、质量保证承诺等实质性响应内容进行比较。</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6、商务技术分按评委的算术平均值计算（计算结果均四舍五入保留两位小数）。</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7、开启投标人的价格报价标，现场唱标后由投标人代表在苏采云系统确认。</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8、投标人的价格标评审得分直接计算取得，并与其商务技术标得分相加为该投标人的综合得分（计算结果均四舍五入保留两位小数）。</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rPr>
          <w:rFonts w:eastAsia="宋体" w:cs="宋体"/>
          <w:color w:val="000000"/>
          <w:sz w:val="24"/>
          <w:szCs w:val="24"/>
          <w:highlight w:val="none"/>
        </w:rPr>
      </w:r>
      <w:r/>
    </w:p>
    <w:p>
      <w:pPr>
        <w:pStyle w:val="1015"/>
        <w:ind w:firstLine="482"/>
        <w:spacing w:line="360" w:lineRule="auto"/>
        <w:rPr>
          <w:rFonts w:ascii="Times New Roman" w:hAnsi="Times New Roman" w:eastAsia="宋体" w:cs="宋体"/>
          <w:b/>
          <w:bCs/>
          <w:color w:val="000000"/>
          <w:sz w:val="24"/>
          <w:szCs w:val="24"/>
          <w:highlight w:val="none"/>
        </w:rPr>
      </w:pPr>
      <w:r/>
      <w:bookmarkStart w:id="57" w:name="_Toc5314"/>
      <w:r>
        <w:rPr>
          <w:rFonts w:hint="eastAsia" w:ascii="Times New Roman" w:hAnsi="Times New Roman" w:eastAsia="宋体" w:cs="宋体"/>
          <w:b/>
          <w:bCs/>
          <w:color w:val="000000"/>
          <w:sz w:val="24"/>
          <w:szCs w:val="24"/>
          <w:highlight w:val="none"/>
        </w:rPr>
        <w:t xml:space="preserve">七、关于投标价格评审</w:t>
      </w:r>
      <w:r>
        <w:rPr>
          <w:rFonts w:ascii="Times New Roman" w:hAnsi="Times New Roman" w:eastAsia="宋体" w:cs="宋体"/>
          <w:b/>
          <w:bCs/>
          <w:color w:val="000000"/>
          <w:sz w:val="24"/>
          <w:szCs w:val="24"/>
          <w:highlight w:val="none"/>
        </w:rPr>
      </w:r>
      <w:r/>
    </w:p>
    <w:p>
      <w:pPr>
        <w:pStyle w:val="1015"/>
        <w:ind w:firstLine="482"/>
        <w:spacing w:line="360" w:lineRule="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1、针对投标价格实质响应的评审</w:t>
      </w:r>
      <w:r>
        <w:rPr>
          <w:rFonts w:ascii="Times New Roman" w:hAnsi="Times New Roman" w:eastAsia="宋体" w:cs="宋体"/>
          <w:b/>
          <w:color w:val="000000"/>
          <w:sz w:val="24"/>
          <w:szCs w:val="24"/>
          <w:highlight w:val="none"/>
        </w:rPr>
      </w:r>
      <w:r/>
    </w:p>
    <w:p>
      <w:pPr>
        <w:pStyle w:val="1015"/>
        <w:ind w:firstLine="480"/>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rPr>
          <w:rFonts w:ascii="Times New Roman" w:hAnsi="Times New Roman" w:eastAsia="宋体" w:cs="宋体"/>
          <w:color w:val="000000"/>
          <w:sz w:val="24"/>
          <w:szCs w:val="24"/>
          <w:highlight w:val="none"/>
        </w:rPr>
      </w:r>
      <w:r/>
    </w:p>
    <w:p>
      <w:pPr>
        <w:pStyle w:val="1015"/>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2、针对响应价格合理性的评审</w:t>
      </w:r>
      <w:r>
        <w:rPr>
          <w:rFonts w:hint="eastAsia" w:ascii="Times New Roman" w:hAnsi="Times New Roman" w:eastAsia="宋体" w:cs="宋体"/>
          <w:b/>
          <w:color w:val="000000"/>
          <w:sz w:val="24"/>
          <w:szCs w:val="24"/>
          <w:highlight w:val="none"/>
        </w:rPr>
      </w:r>
      <w:r/>
    </w:p>
    <w:p>
      <w:pPr>
        <w:pStyle w:val="1015"/>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评审过程中出现下列情形之一的，评审委员会应当启动异常低价投标（响应）审查程序：</w:t>
      </w:r>
      <w:r>
        <w:rPr>
          <w:rFonts w:hint="eastAsia" w:ascii="Times New Roman" w:hAnsi="Times New Roman" w:eastAsia="宋体" w:cs="宋体"/>
          <w:b/>
          <w:color w:val="000000"/>
          <w:sz w:val="24"/>
          <w:szCs w:val="24"/>
          <w:highlight w:val="none"/>
        </w:rPr>
      </w:r>
      <w:r/>
    </w:p>
    <w:p>
      <w:pPr>
        <w:pStyle w:val="1015"/>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宋体"/>
          <w:b/>
          <w:color w:val="000000"/>
          <w:sz w:val="24"/>
          <w:szCs w:val="24"/>
          <w:highlight w:val="none"/>
        </w:rPr>
      </w:r>
      <w:r/>
    </w:p>
    <w:p>
      <w:pPr>
        <w:pStyle w:val="1015"/>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宋体"/>
          <w:b/>
          <w:color w:val="000000"/>
          <w:sz w:val="24"/>
          <w:szCs w:val="24"/>
          <w:highlight w:val="none"/>
        </w:rPr>
      </w:r>
      <w:r/>
    </w:p>
    <w:p>
      <w:pPr>
        <w:pStyle w:val="1015"/>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（3）投标（响应）报价低于采购项目最高限价45%的，即投标（响应）报价&lt;采购项目最高限价×45%； </w:t>
      </w:r>
      <w:r>
        <w:rPr>
          <w:rFonts w:hint="eastAsia" w:ascii="Times New Roman" w:hAnsi="Times New Roman" w:eastAsia="宋体" w:cs="宋体"/>
          <w:b/>
          <w:color w:val="000000"/>
          <w:sz w:val="24"/>
          <w:szCs w:val="24"/>
          <w:highlight w:val="none"/>
        </w:rPr>
      </w:r>
      <w:r/>
    </w:p>
    <w:p>
      <w:pPr>
        <w:pStyle w:val="1015"/>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（4）评标委员会基于专业判断，认为供应商报价过低，有可能影响产品质量或者不能诚信履约的其他情形。</w:t>
      </w:r>
      <w:r>
        <w:rPr>
          <w:rFonts w:hint="eastAsia" w:ascii="Times New Roman" w:hAnsi="Times New Roman" w:eastAsia="宋体" w:cs="宋体"/>
          <w:b/>
          <w:color w:val="000000"/>
          <w:sz w:val="24"/>
          <w:szCs w:val="24"/>
          <w:highlight w:val="none"/>
        </w:rPr>
      </w:r>
      <w:r/>
    </w:p>
    <w:p>
      <w:pPr>
        <w:pStyle w:val="1015"/>
        <w:ind w:firstLine="482"/>
        <w:spacing w:line="360" w:lineRule="auto"/>
        <w:rPr>
          <w:rFonts w:ascii="Times New Roman" w:hAnsi="Times New Roman" w:eastAsia="宋体" w:cs="宋体"/>
          <w:b/>
          <w:bCs/>
          <w:color w:val="000000"/>
          <w:sz w:val="24"/>
          <w:szCs w:val="24"/>
          <w:highlight w:val="none"/>
        </w:rPr>
      </w:pPr>
      <w:r>
        <w:rPr>
          <w:rFonts w:hint="eastAsia" w:ascii="Times New Roman" w:hAnsi="Times New Roman" w:eastAsia="宋体" w:cs="宋体"/>
          <w:b/>
          <w:color w:val="000000"/>
          <w:sz w:val="24"/>
          <w:szCs w:val="24"/>
          <w:highlight w:val="none"/>
        </w:rPr>
        <w:t xml:space="preserve">启动异常低价投标（响应）审查后，评审委员会应当要求相关供应商在评标现场合理的时间内对投标（响应）</w:t>
      </w:r>
      <w:r>
        <w:rPr>
          <w:rFonts w:hint="eastAsia" w:ascii="Times New Roman" w:hAnsi="Times New Roman" w:eastAsia="宋体" w:cs="宋体"/>
          <w:b/>
          <w:color w:val="000000"/>
          <w:sz w:val="24"/>
          <w:szCs w:val="24"/>
          <w:highlight w:val="none"/>
        </w:rPr>
        <w:t xml:space="preserve">价格作出解释，提供项目具体成本测算等与报价合理性相关的书面说明及相关证明材料，对投标（响应）价格作出解释。其中，属于第（3）项情形，供应商已随投标（响应）文件一并提交相关书面说明及必要的证明材料的，在评审现场可不再重复提交。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Times New Roman" w:eastAsia="宋体" w:cs="宋体"/>
          <w:b/>
          <w:bCs/>
          <w:color w:val="000000"/>
          <w:sz w:val="24"/>
          <w:szCs w:val="24"/>
          <w:highlight w:val="none"/>
        </w:rPr>
        <w:t xml:space="preserve">。</w:t>
      </w:r>
      <w:r>
        <w:rPr>
          <w:rFonts w:ascii="Times New Roman" w:hAnsi="Times New Roman" w:eastAsia="宋体" w:cs="宋体"/>
          <w:b/>
          <w:bCs/>
          <w:color w:val="000000"/>
          <w:sz w:val="24"/>
          <w:szCs w:val="24"/>
          <w:highlight w:val="none"/>
        </w:rPr>
      </w:r>
      <w:r/>
    </w:p>
    <w:p>
      <w:pPr>
        <w:pStyle w:val="1015"/>
        <w:ind w:firstLine="482"/>
        <w:spacing w:line="360" w:lineRule="auto"/>
        <w:rPr>
          <w:rFonts w:eastAsia="宋体" w:cs="宋体"/>
          <w:color w:val="000000"/>
          <w:sz w:val="24"/>
          <w:szCs w:val="24"/>
          <w:highlight w:val="none"/>
        </w:rPr>
        <w:outlineLvl w:val="1"/>
      </w:pPr>
      <w:r>
        <w:rPr>
          <w:rFonts w:hint="eastAsia" w:eastAsia="宋体" w:cs="宋体"/>
          <w:b/>
          <w:bCs/>
          <w:color w:val="000000"/>
          <w:sz w:val="24"/>
          <w:szCs w:val="24"/>
          <w:highlight w:val="none"/>
        </w:rPr>
        <w:t xml:space="preserve">八、评审评分项</w:t>
      </w:r>
      <w:bookmarkEnd w:id="57"/>
      <w:r>
        <w:rPr>
          <w:rFonts w:hint="eastAsia" w:eastAsia="宋体" w:cs="宋体"/>
          <w:b/>
          <w:bCs/>
          <w:color w:val="000000"/>
          <w:sz w:val="24"/>
          <w:szCs w:val="24"/>
          <w:highlight w:val="none"/>
        </w:rPr>
        <w:t xml:space="preserve"> </w:t>
      </w:r>
      <w:r>
        <w:rPr>
          <w:rFonts w:eastAsia="宋体" w:cs="宋体"/>
          <w:color w:val="000000"/>
          <w:sz w:val="24"/>
          <w:szCs w:val="24"/>
          <w:highlight w:val="none"/>
        </w:rPr>
      </w:r>
      <w:r/>
    </w:p>
    <w:p>
      <w:pPr>
        <w:pStyle w:val="1015"/>
        <w:contextualSpacing/>
        <w:ind w:firstLine="482"/>
        <w:spacing w:line="360" w:lineRule="auto"/>
        <w:rPr>
          <w:rFonts w:eastAsia="宋体" w:cs="宋体"/>
          <w:b/>
          <w:color w:val="000000"/>
          <w:sz w:val="24"/>
          <w:szCs w:val="24"/>
          <w:highlight w:val="none"/>
        </w:rPr>
        <w:outlineLvl w:val="2"/>
      </w:pPr>
      <w:r>
        <w:rPr>
          <w:rFonts w:hint="eastAsia" w:eastAsia="宋体" w:cs="宋体"/>
          <w:b/>
          <w:color w:val="000000"/>
          <w:sz w:val="24"/>
          <w:szCs w:val="24"/>
          <w:highlight w:val="none"/>
        </w:rPr>
        <w:t xml:space="preserve">（一）商务技术标评分：（</w:t>
      </w:r>
      <w:r>
        <w:rPr>
          <w:rFonts w:hint="eastAsia" w:eastAsia="宋体" w:cs="宋体"/>
          <w:b/>
          <w:color w:val="000000"/>
          <w:sz w:val="24"/>
          <w:szCs w:val="24"/>
          <w:highlight w:val="none"/>
          <w:lang w:val="en-US" w:eastAsia="zh-CN"/>
        </w:rPr>
        <w:t xml:space="preserve">70</w:t>
      </w:r>
      <w:r>
        <w:rPr>
          <w:rFonts w:hint="eastAsia" w:eastAsia="宋体" w:cs="宋体"/>
          <w:b/>
          <w:color w:val="000000"/>
          <w:sz w:val="24"/>
          <w:szCs w:val="24"/>
          <w:highlight w:val="none"/>
        </w:rPr>
        <w:t xml:space="preserve">分）</w:t>
      </w:r>
      <w:r>
        <w:rPr>
          <w:rFonts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804"/>
        <w:gridCol w:w="1245"/>
        <w:gridCol w:w="4527"/>
        <w:gridCol w:w="958"/>
      </w:tblGrid>
      <w:tr>
        <w:trPr>
          <w:trHeight w:val="548"/>
        </w:trPr>
        <w:tc>
          <w:tcPr>
            <w:tcW w:w="1346" w:type="dxa"/>
            <w:vAlign w:val="center"/>
            <w:textDirection w:val="lrTb"/>
            <w:noWrap w:val="false"/>
          </w:tcPr>
          <w:p>
            <w:pPr>
              <w:pStyle w:val="1015"/>
              <w:jc w:val="center"/>
              <w:spacing w:before="120" w:after="12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804" w:type="dxa"/>
            <w:vAlign w:val="center"/>
            <w:textDirection w:val="lrTb"/>
            <w:noWrap w:val="false"/>
          </w:tcPr>
          <w:p>
            <w:pPr>
              <w:pStyle w:val="1015"/>
              <w:jc w:val="center"/>
              <w:spacing w:before="120" w:after="12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245" w:type="dxa"/>
            <w:vAlign w:val="center"/>
            <w:textDirection w:val="lrTb"/>
            <w:noWrap w:val="false"/>
          </w:tcPr>
          <w:p>
            <w:pPr>
              <w:pStyle w:val="1015"/>
              <w:jc w:val="center"/>
              <w:spacing w:before="120" w:after="12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4527" w:type="dxa"/>
            <w:vAlign w:val="center"/>
            <w:textDirection w:val="lrTb"/>
            <w:noWrap w:val="false"/>
          </w:tcPr>
          <w:p>
            <w:pPr>
              <w:pStyle w:val="1015"/>
              <w:jc w:val="center"/>
              <w:spacing w:before="120" w:after="12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评审标准</w:t>
            </w:r>
            <w:r>
              <w:rPr>
                <w:rFonts w:hint="eastAsia" w:ascii="宋体" w:hAnsi="宋体" w:eastAsia="宋体" w:cs="宋体"/>
                <w:b/>
                <w:color w:val="000000"/>
                <w:sz w:val="24"/>
                <w:szCs w:val="24"/>
                <w:highlight w:val="none"/>
              </w:rPr>
            </w:r>
            <w:r/>
          </w:p>
        </w:tc>
        <w:tc>
          <w:tcPr>
            <w:tcW w:w="958" w:type="dxa"/>
            <w:vAlign w:val="center"/>
            <w:textDirection w:val="lrTb"/>
            <w:noWrap w:val="false"/>
          </w:tcPr>
          <w:p>
            <w:pPr>
              <w:pStyle w:val="1015"/>
              <w:jc w:val="center"/>
              <w:spacing w:before="120" w:after="12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最高分</w:t>
            </w:r>
            <w:r>
              <w:rPr>
                <w:rFonts w:hint="eastAsia" w:ascii="宋体" w:hAnsi="宋体" w:eastAsia="宋体" w:cs="宋体"/>
                <w:b/>
                <w:color w:val="000000"/>
                <w:sz w:val="24"/>
                <w:szCs w:val="24"/>
                <w:highlight w:val="none"/>
              </w:rPr>
            </w:r>
            <w:r/>
          </w:p>
        </w:tc>
      </w:tr>
      <w:tr>
        <w:trPr/>
        <w:tc>
          <w:tcPr>
            <w:tcW w:w="1346" w:type="dxa"/>
            <w:vAlign w:val="center"/>
            <w:vMerge w:val="restart"/>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、技术部分</w:t>
            </w:r>
            <w:r>
              <w:rPr>
                <w:rFonts w:hint="eastAsia" w:ascii="宋体" w:hAnsi="宋体" w:eastAsia="宋体" w:cs="宋体"/>
                <w:color w:val="000000"/>
                <w:sz w:val="24"/>
                <w:szCs w:val="24"/>
                <w:highlight w:val="none"/>
              </w:rPr>
            </w:r>
            <w:r/>
          </w:p>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bidi="ar"/>
              </w:rPr>
            </w:r>
            <w:r/>
          </w:p>
        </w:tc>
        <w:tc>
          <w:tcPr>
            <w:tcW w:w="804"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245"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产品参数需求响应</w:t>
            </w:r>
            <w:r>
              <w:rPr>
                <w:rFonts w:hint="eastAsia" w:ascii="宋体" w:hAnsi="宋体" w:eastAsia="宋体" w:cs="宋体"/>
                <w:color w:val="000000"/>
                <w:sz w:val="24"/>
                <w:szCs w:val="24"/>
                <w:highlight w:val="none"/>
                <w:lang w:bidi="ar"/>
              </w:rPr>
            </w:r>
            <w:r/>
          </w:p>
        </w:tc>
        <w:tc>
          <w:tcPr>
            <w:tcW w:w="4527" w:type="dxa"/>
            <w:vAlign w:val="center"/>
            <w:textDirection w:val="lrTb"/>
            <w:noWrap w:val="false"/>
          </w:tcPr>
          <w:p>
            <w:pPr>
              <w:pStyle w:val="1015"/>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投标人</w:t>
            </w:r>
            <w:r>
              <w:rPr>
                <w:rFonts w:hint="eastAsia" w:ascii="宋体" w:hAnsi="宋体" w:eastAsia="宋体" w:cs="宋体"/>
                <w:color w:val="000000"/>
                <w:sz w:val="24"/>
                <w:szCs w:val="24"/>
                <w:highlight w:val="none"/>
                <w:lang w:val="en-US" w:eastAsia="zh-CN" w:bidi="ar"/>
              </w:rPr>
              <w:t xml:space="preserve">须</w:t>
            </w:r>
            <w:r>
              <w:rPr>
                <w:rFonts w:hint="eastAsia" w:ascii="宋体" w:hAnsi="宋体" w:eastAsia="宋体" w:cs="宋体"/>
                <w:color w:val="000000"/>
                <w:sz w:val="24"/>
                <w:szCs w:val="24"/>
                <w:highlight w:val="none"/>
                <w:lang w:bidi="ar"/>
              </w:rPr>
              <w:t xml:space="preserve">根据本项目</w:t>
            </w:r>
            <w:r>
              <w:rPr>
                <w:rFonts w:hint="eastAsia" w:ascii="宋体" w:hAnsi="宋体" w:eastAsia="宋体" w:cs="宋体"/>
                <w:color w:val="000000"/>
                <w:sz w:val="24"/>
                <w:szCs w:val="24"/>
                <w:highlight w:val="none"/>
                <w:lang w:val="en-US" w:eastAsia="zh-CN" w:bidi="ar"/>
              </w:rPr>
              <w:t xml:space="preserve">第三章</w:t>
            </w:r>
            <w:r>
              <w:rPr>
                <w:rFonts w:hint="eastAsia" w:ascii="宋体" w:hAnsi="宋体" w:eastAsia="宋体" w:cs="宋体"/>
                <w:color w:val="000000"/>
                <w:sz w:val="24"/>
                <w:szCs w:val="24"/>
                <w:highlight w:val="none"/>
                <w:lang w:bidi="ar"/>
              </w:rPr>
              <w:t xml:space="preserve">技术参数需求提供相应的</w:t>
            </w:r>
            <w:r>
              <w:rPr>
                <w:rFonts w:hint="eastAsia"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技术参数响应</w:t>
            </w:r>
            <w:r>
              <w:rPr>
                <w:rFonts w:hint="eastAsia" w:ascii="宋体" w:hAnsi="宋体" w:eastAsia="宋体" w:cs="宋体"/>
                <w:color w:val="000000"/>
                <w:sz w:val="24"/>
                <w:szCs w:val="24"/>
                <w:highlight w:val="none"/>
                <w:lang w:val="en-US" w:eastAsia="zh-CN" w:bidi="ar"/>
              </w:rPr>
              <w:t xml:space="preserve">正负</w:t>
            </w:r>
            <w:r>
              <w:rPr>
                <w:rFonts w:hint="eastAsia" w:ascii="宋体" w:hAnsi="宋体" w:eastAsia="宋体" w:cs="宋体"/>
                <w:color w:val="000000"/>
                <w:sz w:val="24"/>
                <w:szCs w:val="24"/>
                <w:highlight w:val="none"/>
                <w:lang w:bidi="ar"/>
              </w:rPr>
              <w:t xml:space="preserve">偏离表</w:t>
            </w:r>
            <w:r>
              <w:rPr>
                <w:rFonts w:hint="eastAsia" w:eastAsia="宋体" w:cs="宋体"/>
                <w:color w:val="000000"/>
                <w:sz w:val="24"/>
                <w:szCs w:val="24"/>
                <w:highlight w:val="none"/>
              </w:rPr>
              <w:t xml:space="preserve">》</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格式参见第八章</w:t>
            </w:r>
            <w:r>
              <w:rPr>
                <w:rFonts w:hint="eastAsia"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评委</w:t>
            </w:r>
            <w:r>
              <w:rPr>
                <w:rFonts w:hint="eastAsia" w:ascii="宋体" w:hAnsi="宋体" w:eastAsia="宋体" w:cs="宋体"/>
                <w:color w:val="000000"/>
                <w:sz w:val="24"/>
                <w:szCs w:val="24"/>
                <w:highlight w:val="none"/>
                <w:lang w:bidi="ar"/>
              </w:rPr>
              <w:t xml:space="preserve">根据</w:t>
            </w:r>
            <w:r>
              <w:rPr>
                <w:rFonts w:hint="eastAsia" w:ascii="宋体" w:hAnsi="宋体" w:eastAsia="宋体" w:cs="宋体"/>
                <w:color w:val="000000"/>
                <w:sz w:val="24"/>
                <w:szCs w:val="24"/>
                <w:highlight w:val="none"/>
                <w:lang w:val="en-US" w:eastAsia="zh-CN" w:bidi="ar"/>
              </w:rPr>
              <w:t xml:space="preserve">技术参数要求及</w:t>
            </w:r>
            <w:r>
              <w:rPr>
                <w:rFonts w:hint="eastAsia" w:ascii="宋体" w:hAnsi="宋体" w:eastAsia="宋体" w:cs="宋体"/>
                <w:color w:val="000000"/>
                <w:sz w:val="24"/>
                <w:szCs w:val="24"/>
                <w:highlight w:val="none"/>
                <w:lang w:bidi="ar"/>
              </w:rPr>
              <w:t xml:space="preserve">偏离表进行</w:t>
            </w:r>
            <w:r>
              <w:rPr>
                <w:rFonts w:hint="eastAsia" w:ascii="宋体" w:hAnsi="宋体" w:eastAsia="宋体" w:cs="宋体"/>
                <w:color w:val="000000"/>
                <w:sz w:val="24"/>
                <w:szCs w:val="24"/>
                <w:highlight w:val="none"/>
                <w:lang w:val="en-US" w:eastAsia="zh-CN" w:bidi="ar"/>
              </w:rPr>
              <w:t xml:space="preserve">评分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1015"/>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加“★”项，需提供相应功能演示视频，</w:t>
            </w:r>
            <w:r>
              <w:rPr>
                <w:rFonts w:hint="eastAsia" w:ascii="宋体" w:hAnsi="宋体" w:eastAsia="宋体" w:cs="宋体"/>
                <w:color w:val="000000"/>
                <w:sz w:val="24"/>
                <w:szCs w:val="24"/>
                <w:highlight w:val="none"/>
                <w:lang w:val="en-US" w:eastAsia="zh-CN" w:bidi="ar"/>
              </w:rPr>
              <w:t xml:space="preserve">每一项</w:t>
            </w:r>
            <w:r>
              <w:rPr>
                <w:rFonts w:hint="eastAsia" w:ascii="宋体" w:hAnsi="宋体" w:eastAsia="宋体" w:cs="宋体"/>
                <w:color w:val="000000"/>
                <w:sz w:val="24"/>
                <w:szCs w:val="24"/>
                <w:highlight w:val="none"/>
                <w:lang w:bidi="ar"/>
              </w:rPr>
              <w:t xml:space="preserve">演示视频能展示对应功能</w:t>
            </w:r>
            <w:r>
              <w:rPr>
                <w:rFonts w:hint="eastAsia" w:ascii="宋体" w:hAnsi="宋体" w:eastAsia="宋体" w:cs="宋体"/>
                <w:color w:val="000000"/>
                <w:sz w:val="24"/>
                <w:szCs w:val="24"/>
                <w:highlight w:val="none"/>
                <w:lang w:val="en-US" w:eastAsia="zh-CN" w:bidi="ar"/>
              </w:rPr>
              <w:t xml:space="preserve">且无</w:t>
            </w:r>
            <w:r>
              <w:rPr>
                <w:rFonts w:hint="eastAsia" w:ascii="宋体" w:hAnsi="宋体" w:eastAsia="宋体" w:cs="宋体"/>
                <w:color w:val="000000"/>
                <w:sz w:val="24"/>
                <w:szCs w:val="24"/>
                <w:highlight w:val="none"/>
                <w:lang w:bidi="ar"/>
              </w:rPr>
              <w:t xml:space="preserve">负偏离</w:t>
            </w:r>
            <w:r>
              <w:rPr>
                <w:rFonts w:hint="eastAsia" w:ascii="宋体" w:hAnsi="宋体" w:eastAsia="宋体" w:cs="宋体"/>
                <w:color w:val="000000"/>
                <w:sz w:val="24"/>
                <w:szCs w:val="24"/>
                <w:highlight w:val="none"/>
                <w:lang w:val="en-US" w:eastAsia="zh-CN" w:bidi="ar"/>
              </w:rPr>
              <w:t xml:space="preserve">的，得4</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p>
            <w:pPr>
              <w:pStyle w:val="1015"/>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加“▲”项，每一项能提供相应的证明资料</w:t>
            </w:r>
            <w:r>
              <w:rPr>
                <w:rFonts w:hint="eastAsia" w:ascii="宋体" w:hAnsi="宋体" w:eastAsia="宋体" w:cs="宋体"/>
                <w:color w:val="000000"/>
                <w:sz w:val="24"/>
                <w:szCs w:val="24"/>
                <w:highlight w:val="none"/>
                <w:lang w:val="en-US" w:eastAsia="zh-CN" w:bidi="ar"/>
              </w:rPr>
              <w:t xml:space="preserve">且无</w:t>
            </w:r>
            <w:r>
              <w:rPr>
                <w:rFonts w:hint="eastAsia" w:ascii="宋体" w:hAnsi="宋体" w:eastAsia="宋体" w:cs="宋体"/>
                <w:color w:val="000000"/>
                <w:sz w:val="24"/>
                <w:szCs w:val="24"/>
                <w:highlight w:val="none"/>
                <w:lang w:bidi="ar"/>
              </w:rPr>
              <w:t xml:space="preserve">负偏离</w:t>
            </w:r>
            <w:r>
              <w:rPr>
                <w:rFonts w:hint="eastAsia" w:ascii="宋体" w:hAnsi="宋体" w:eastAsia="宋体" w:cs="宋体"/>
                <w:color w:val="000000"/>
                <w:sz w:val="24"/>
                <w:szCs w:val="24"/>
                <w:highlight w:val="none"/>
                <w:lang w:val="en-US" w:eastAsia="zh-CN" w:bidi="ar"/>
              </w:rPr>
              <w:t xml:space="preserve">的，得</w:t>
            </w:r>
            <w:r>
              <w:rPr>
                <w:rFonts w:hint="eastAsia" w:ascii="宋体" w:hAnsi="宋体" w:eastAsia="宋体" w:cs="宋体"/>
                <w:color w:val="000000"/>
                <w:sz w:val="24"/>
                <w:szCs w:val="24"/>
                <w:highlight w:val="none"/>
                <w:lang w:bidi="ar"/>
              </w:rPr>
              <w:t xml:space="preserve">2分；</w:t>
            </w:r>
            <w:r>
              <w:rPr>
                <w:rFonts w:hint="eastAsia" w:ascii="宋体" w:hAnsi="宋体" w:eastAsia="宋体" w:cs="宋体"/>
                <w:color w:val="000000"/>
                <w:sz w:val="24"/>
                <w:szCs w:val="24"/>
                <w:highlight w:val="none"/>
                <w:lang w:bidi="ar"/>
              </w:rPr>
            </w:r>
            <w:r/>
          </w:p>
          <w:p>
            <w:pPr>
              <w:pStyle w:val="1015"/>
              <w:spacing w:line="360" w:lineRule="auto"/>
              <w:rPr>
                <w:rFonts w:hint="eastAsia"/>
                <w:color w:val="000000"/>
                <w:highlight w:val="none"/>
              </w:rPr>
            </w:pPr>
            <w:r>
              <w:rPr>
                <w:rFonts w:hint="eastAsia" w:ascii="宋体" w:hAnsi="宋体" w:eastAsia="宋体" w:cs="宋体"/>
                <w:color w:val="000000"/>
                <w:sz w:val="24"/>
                <w:szCs w:val="24"/>
                <w:highlight w:val="none"/>
                <w:lang w:bidi="ar"/>
              </w:rPr>
              <w:t xml:space="preserve">非加▲和★项，投标人</w:t>
            </w:r>
            <w:r>
              <w:rPr>
                <w:rFonts w:hint="eastAsia" w:ascii="宋体" w:hAnsi="宋体" w:eastAsia="宋体" w:cs="宋体"/>
                <w:color w:val="000000"/>
                <w:sz w:val="24"/>
                <w:szCs w:val="24"/>
                <w:highlight w:val="none"/>
                <w:lang w:val="en-US" w:eastAsia="zh-CN" w:bidi="ar"/>
              </w:rPr>
              <w:t xml:space="preserve">须提供无负偏离的正负偏离表，提供得6分，若未提供或有负偏离的则不得分</w:t>
            </w:r>
            <w:r>
              <w:rPr>
                <w:rFonts w:hint="eastAsia" w:ascii="宋体" w:hAnsi="宋体" w:eastAsia="宋体" w:cs="宋体"/>
                <w:color w:val="000000"/>
                <w:sz w:val="24"/>
                <w:szCs w:val="24"/>
                <w:highlight w:val="none"/>
                <w:lang w:bidi="ar"/>
              </w:rPr>
              <w:t xml:space="preserve">；</w:t>
            </w:r>
            <w:r>
              <w:rPr>
                <w:rFonts w:hint="eastAsia"/>
                <w:color w:val="000000"/>
                <w:highlight w:val="none"/>
              </w:rPr>
            </w:r>
            <w:r/>
          </w:p>
          <w:p>
            <w:pPr>
              <w:pStyle w:val="10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本项最高得</w:t>
            </w: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tc>
        <w:tc>
          <w:tcPr>
            <w:tcW w:w="958" w:type="dxa"/>
            <w:vAlign w:val="center"/>
            <w:textDirection w:val="lrTb"/>
            <w:noWrap w:val="false"/>
          </w:tcPr>
          <w:p>
            <w:pPr>
              <w:pStyle w:val="1015"/>
              <w:jc w:val="center"/>
              <w:spacing w:before="120" w:after="12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rHeight w:val="54"/>
        </w:trPr>
        <w:tc>
          <w:tcPr>
            <w:tcW w:w="1346" w:type="dxa"/>
            <w:vAlign w:val="center"/>
            <w:vMerge w:val="continue"/>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04"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245"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整体技术方案</w:t>
            </w:r>
            <w:r>
              <w:rPr>
                <w:rFonts w:hint="eastAsia" w:ascii="宋体" w:hAnsi="宋体" w:eastAsia="宋体" w:cs="宋体"/>
                <w:color w:val="000000"/>
                <w:sz w:val="24"/>
                <w:szCs w:val="24"/>
                <w:highlight w:val="none"/>
                <w:lang w:bidi="ar"/>
              </w:rPr>
            </w:r>
            <w:r/>
          </w:p>
        </w:tc>
        <w:tc>
          <w:tcPr>
            <w:tcW w:w="4527" w:type="dxa"/>
            <w:vAlign w:val="center"/>
            <w:textDirection w:val="lrTb"/>
            <w:noWrap w:val="false"/>
          </w:tcPr>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根据采购人的需求提供项目技术方案，包括但不限于：①建设背景②建设原则③建设依据④需求概述⑤需求定位⑥　网络构架⑦系统功能⑧终端功能等。</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eastAsia="宋体" w:cs="宋体"/>
                <w:color w:val="000000"/>
                <w:sz w:val="24"/>
                <w:szCs w:val="24"/>
                <w:highlight w:val="none"/>
                <w:lang w:bidi="ar"/>
              </w:rPr>
              <w:t xml:space="preserve">针对以上</w:t>
            </w:r>
            <w:r>
              <w:rPr>
                <w:rFonts w:hint="eastAsia" w:cs="宋体"/>
                <w:color w:val="000000"/>
                <w:sz w:val="24"/>
                <w:szCs w:val="24"/>
                <w:highlight w:val="none"/>
                <w:lang w:val="en-US" w:eastAsia="zh-CN" w:bidi="ar"/>
              </w:rPr>
              <w:t xml:space="preserve">要点</w:t>
            </w:r>
            <w:r>
              <w:rPr>
                <w:rFonts w:hint="eastAsia" w:eastAsia="宋体" w:cs="宋体"/>
                <w:color w:val="000000"/>
                <w:sz w:val="24"/>
                <w:szCs w:val="24"/>
                <w:highlight w:val="none"/>
                <w:lang w:bidi="ar"/>
              </w:rPr>
              <w:t xml:space="preserve">，每点包含的要点齐全无缺漏项、内容与要点相符、内容完善且能够适用于本项目的</w:t>
            </w:r>
            <w:r>
              <w:rPr>
                <w:rFonts w:hint="eastAsia" w:ascii="宋体" w:hAnsi="宋体" w:eastAsia="宋体" w:cs="宋体"/>
                <w:color w:val="000000"/>
                <w:sz w:val="24"/>
                <w:szCs w:val="24"/>
                <w:highlight w:val="none"/>
                <w:lang w:eastAsia="zh-CN" w:bidi="ar"/>
              </w:rPr>
              <w:t xml:space="preserve">，得1分；</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eastAsia="宋体" w:cs="宋体"/>
                <w:color w:val="000000"/>
                <w:sz w:val="24"/>
                <w:szCs w:val="24"/>
                <w:highlight w:val="none"/>
                <w:lang w:bidi="ar"/>
              </w:rPr>
              <w:t xml:space="preserve">每点内容包含的要点有缺漏</w:t>
            </w:r>
            <w:r>
              <w:rPr>
                <w:rFonts w:hint="eastAsia" w:cs="宋体"/>
                <w:color w:val="000000"/>
                <w:sz w:val="24"/>
                <w:szCs w:val="24"/>
                <w:highlight w:val="none"/>
                <w:lang w:val="en-US" w:eastAsia="zh-CN" w:bidi="ar"/>
              </w:rPr>
              <w:t xml:space="preserve">或</w:t>
            </w:r>
            <w:r>
              <w:rPr>
                <w:rFonts w:hint="eastAsia" w:eastAsia="宋体" w:cs="宋体"/>
                <w:color w:val="000000"/>
                <w:sz w:val="24"/>
                <w:szCs w:val="24"/>
                <w:highlight w:val="none"/>
                <w:lang w:bidi="ar"/>
              </w:rPr>
              <w:t xml:space="preserve">内容与要点相符，但仅有纲要内容简略，未展开阐述的</w:t>
            </w:r>
            <w:r>
              <w:rPr>
                <w:rFonts w:hint="eastAsia" w:ascii="宋体" w:hAnsi="宋体" w:eastAsia="宋体" w:cs="宋体"/>
                <w:color w:val="000000"/>
                <w:sz w:val="24"/>
                <w:szCs w:val="24"/>
                <w:highlight w:val="none"/>
                <w:lang w:eastAsia="zh-CN" w:bidi="ar"/>
              </w:rPr>
              <w:t xml:space="preserve">，得0.5分；</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不提供或不符合要求，不得分</w:t>
            </w:r>
            <w:r>
              <w:rPr>
                <w:rFonts w:hint="eastAsia"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958" w:type="dxa"/>
            <w:vAlign w:val="center"/>
            <w:textDirection w:val="lrTb"/>
            <w:noWrap w:val="false"/>
          </w:tcPr>
          <w:p>
            <w:pPr>
              <w:pStyle w:val="1015"/>
              <w:jc w:val="center"/>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r>
      <w:tr>
        <w:trPr>
          <w:trHeight w:val="927"/>
        </w:trPr>
        <w:tc>
          <w:tcPr>
            <w:tcW w:w="1346" w:type="dxa"/>
            <w:vAlign w:val="center"/>
            <w:vMerge w:val="continue"/>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04"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245" w:type="dxa"/>
            <w:vAlign w:val="center"/>
            <w:textDirection w:val="lrTb"/>
            <w:noWrap w:val="false"/>
          </w:tcPr>
          <w:p>
            <w:pPr>
              <w:pStyle w:val="1015"/>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实施方案</w:t>
            </w:r>
            <w:r>
              <w:rPr>
                <w:rFonts w:hint="eastAsia" w:ascii="宋体" w:hAnsi="宋体" w:eastAsia="宋体" w:cs="宋体"/>
                <w:color w:val="000000"/>
                <w:sz w:val="24"/>
                <w:szCs w:val="24"/>
                <w:highlight w:val="none"/>
                <w:lang w:bidi="ar"/>
              </w:rPr>
            </w:r>
            <w:r/>
          </w:p>
        </w:tc>
        <w:tc>
          <w:tcPr>
            <w:tcW w:w="4527" w:type="dxa"/>
            <w:vAlign w:val="center"/>
            <w:textDirection w:val="lrTb"/>
            <w:noWrap w:val="false"/>
          </w:tcPr>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投标人针对本项目提供施工实施方案，内容包括但不限于①实施组织计划及施工方案、②质量保障措施、③验收方案、④应急预案</w:t>
            </w:r>
            <w:r>
              <w:rPr>
                <w:rFonts w:hint="eastAsia" w:cs="宋体"/>
                <w:color w:val="000000"/>
                <w:sz w:val="24"/>
                <w:szCs w:val="24"/>
                <w:highlight w:val="none"/>
                <w:lang w:val="en-US" w:eastAsia="zh-CN" w:bidi="ar"/>
              </w:rPr>
              <w:t xml:space="preserve">等</w:t>
            </w:r>
            <w:r>
              <w:rPr>
                <w:rFonts w:hint="eastAsia"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eastAsia="宋体" w:cs="宋体"/>
                <w:color w:val="000000"/>
                <w:sz w:val="24"/>
                <w:szCs w:val="24"/>
                <w:highlight w:val="none"/>
                <w:lang w:bidi="ar"/>
              </w:rPr>
              <w:t xml:space="preserve">针对以上</w:t>
            </w:r>
            <w:r>
              <w:rPr>
                <w:rFonts w:hint="eastAsia" w:cs="宋体"/>
                <w:color w:val="000000"/>
                <w:sz w:val="24"/>
                <w:szCs w:val="24"/>
                <w:highlight w:val="none"/>
                <w:lang w:val="en-US" w:eastAsia="zh-CN" w:bidi="ar"/>
              </w:rPr>
              <w:t xml:space="preserve">要点</w:t>
            </w:r>
            <w:r>
              <w:rPr>
                <w:rFonts w:hint="eastAsia" w:eastAsia="宋体" w:cs="宋体"/>
                <w:color w:val="000000"/>
                <w:sz w:val="24"/>
                <w:szCs w:val="24"/>
                <w:highlight w:val="none"/>
                <w:lang w:bidi="ar"/>
              </w:rPr>
              <w:t xml:space="preserve">，</w:t>
            </w:r>
            <w:r>
              <w:rPr>
                <w:rFonts w:hint="eastAsia" w:eastAsia="宋体" w:cs="宋体"/>
                <w:color w:val="000000"/>
                <w:sz w:val="24"/>
                <w:szCs w:val="24"/>
                <w:highlight w:val="none"/>
                <w:lang w:bidi="ar"/>
              </w:rPr>
              <w:t xml:space="preserve">每点包含的要点齐全无缺漏项、内容与要点相符、内容完善且能够适用于本项目的</w:t>
            </w:r>
            <w:r>
              <w:rPr>
                <w:rFonts w:hint="eastAsia" w:ascii="宋体" w:hAnsi="宋体" w:eastAsia="宋体" w:cs="宋体"/>
                <w:color w:val="000000"/>
                <w:sz w:val="24"/>
                <w:szCs w:val="24"/>
                <w:highlight w:val="none"/>
                <w:lang w:eastAsia="zh-CN" w:bidi="ar"/>
              </w:rPr>
              <w:t xml:space="preserve">，得2分；</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eastAsia="宋体" w:cs="宋体"/>
                <w:color w:val="000000"/>
                <w:sz w:val="24"/>
                <w:szCs w:val="24"/>
                <w:highlight w:val="none"/>
                <w:lang w:bidi="ar"/>
              </w:rPr>
              <w:t xml:space="preserve">每点内容包含的要点齐全、内容与要点相符，但仅有纲要内容简略，未展开阐述的</w:t>
            </w:r>
            <w:r>
              <w:rPr>
                <w:rFonts w:hint="eastAsia" w:cs="宋体"/>
                <w:color w:val="000000"/>
                <w:sz w:val="24"/>
                <w:szCs w:val="24"/>
                <w:highlight w:val="none"/>
                <w:lang w:eastAsia="zh-CN" w:bidi="ar"/>
              </w:rPr>
              <w:t xml:space="preserve">，</w:t>
            </w:r>
            <w:r>
              <w:rPr>
                <w:rFonts w:hint="eastAsia" w:eastAsia="宋体" w:cs="宋体"/>
                <w:color w:val="000000"/>
                <w:sz w:val="24"/>
                <w:szCs w:val="24"/>
                <w:highlight w:val="none"/>
                <w:lang w:bidi="ar"/>
              </w:rPr>
              <w:t xml:space="preserve">得1分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eastAsia="宋体" w:cs="宋体"/>
                <w:color w:val="000000"/>
                <w:sz w:val="24"/>
                <w:szCs w:val="24"/>
                <w:highlight w:val="none"/>
                <w:lang w:bidi="ar"/>
              </w:rPr>
              <w:t xml:space="preserve">每点内容包含的要点有缺漏的得0.5分</w:t>
            </w:r>
            <w:r>
              <w:rPr>
                <w:rFonts w:hint="eastAsia"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以上每项内容不合理可行或未提供方案的不得分。</w:t>
            </w:r>
            <w:r>
              <w:rPr>
                <w:rFonts w:hint="eastAsia" w:ascii="宋体" w:hAnsi="宋体" w:eastAsia="宋体" w:cs="宋体"/>
                <w:color w:val="000000"/>
                <w:sz w:val="24"/>
                <w:szCs w:val="24"/>
                <w:highlight w:val="none"/>
                <w:lang w:eastAsia="zh-CN" w:bidi="ar"/>
              </w:rPr>
            </w:r>
            <w:r/>
          </w:p>
        </w:tc>
        <w:tc>
          <w:tcPr>
            <w:tcW w:w="958" w:type="dxa"/>
            <w:vAlign w:val="center"/>
            <w:textDirection w:val="lrTb"/>
            <w:noWrap w:val="false"/>
          </w:tcPr>
          <w:p>
            <w:pPr>
              <w:pStyle w:val="1015"/>
              <w:jc w:val="center"/>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r>
      <w:tr>
        <w:trPr>
          <w:trHeight w:val="545"/>
        </w:trPr>
        <w:tc>
          <w:tcPr>
            <w:tcW w:w="1346" w:type="dxa"/>
            <w:vAlign w:val="center"/>
            <w:vMerge w:val="continue"/>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04"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245"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售后服务及培训方案</w:t>
            </w:r>
            <w:r>
              <w:rPr>
                <w:rFonts w:hint="eastAsia" w:ascii="宋体" w:hAnsi="宋体" w:eastAsia="宋体" w:cs="宋体"/>
                <w:color w:val="000000"/>
                <w:sz w:val="24"/>
                <w:szCs w:val="24"/>
                <w:highlight w:val="none"/>
                <w:lang w:bidi="ar"/>
              </w:rPr>
            </w:r>
            <w:r/>
          </w:p>
        </w:tc>
        <w:tc>
          <w:tcPr>
            <w:tcW w:w="4527" w:type="dxa"/>
            <w:vAlign w:val="center"/>
            <w:textDirection w:val="lrTb"/>
            <w:noWrap w:val="false"/>
          </w:tcPr>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投标人针对本项目提供售后及培训方案，内容包括但不限于①售后服务体系、售后服务人员；②售后服务承诺、相应时间；③响应及处理时间方案④培训方案。</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eastAsia="宋体" w:cs="宋体"/>
                <w:color w:val="000000"/>
                <w:sz w:val="24"/>
                <w:szCs w:val="24"/>
                <w:highlight w:val="none"/>
                <w:lang w:bidi="ar"/>
              </w:rPr>
              <w:t xml:space="preserve">针对以上</w:t>
            </w:r>
            <w:r>
              <w:rPr>
                <w:rFonts w:hint="eastAsia" w:cs="宋体"/>
                <w:color w:val="000000"/>
                <w:sz w:val="24"/>
                <w:szCs w:val="24"/>
                <w:highlight w:val="none"/>
                <w:lang w:val="en-US" w:eastAsia="zh-CN" w:bidi="ar"/>
              </w:rPr>
              <w:t xml:space="preserve">要点</w:t>
            </w:r>
            <w:r>
              <w:rPr>
                <w:rFonts w:hint="eastAsia" w:eastAsia="宋体" w:cs="宋体"/>
                <w:color w:val="000000"/>
                <w:sz w:val="24"/>
                <w:szCs w:val="24"/>
                <w:highlight w:val="none"/>
                <w:lang w:bidi="ar"/>
              </w:rPr>
              <w:t xml:space="preserve">，</w:t>
            </w:r>
            <w:r>
              <w:rPr>
                <w:rFonts w:hint="eastAsia" w:eastAsia="宋体" w:cs="宋体"/>
                <w:color w:val="000000"/>
                <w:sz w:val="24"/>
                <w:szCs w:val="24"/>
                <w:highlight w:val="none"/>
                <w:lang w:bidi="ar"/>
              </w:rPr>
              <w:t xml:space="preserve">每点包含的要点齐全无缺漏项、内容与要点相符、内容完善且能够适用于本项目的</w:t>
            </w:r>
            <w:r>
              <w:rPr>
                <w:rFonts w:hint="eastAsia" w:ascii="宋体" w:hAnsi="宋体" w:eastAsia="宋体" w:cs="宋体"/>
                <w:color w:val="000000"/>
                <w:sz w:val="24"/>
                <w:szCs w:val="24"/>
                <w:highlight w:val="none"/>
                <w:lang w:eastAsia="zh-CN" w:bidi="ar"/>
              </w:rPr>
              <w:t xml:space="preserve">，得2分；</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eastAsia="宋体" w:cs="宋体"/>
                <w:color w:val="000000"/>
                <w:sz w:val="24"/>
                <w:szCs w:val="24"/>
                <w:highlight w:val="none"/>
                <w:lang w:bidi="ar"/>
              </w:rPr>
              <w:t xml:space="preserve">每点内容包含的要点齐全、内容与要点相符，但仅有纲要内容简略，未展开阐述的</w:t>
            </w:r>
            <w:r>
              <w:rPr>
                <w:rFonts w:hint="eastAsia" w:ascii="宋体" w:hAnsi="宋体" w:eastAsia="宋体" w:cs="宋体"/>
                <w:color w:val="000000"/>
                <w:sz w:val="24"/>
                <w:szCs w:val="24"/>
                <w:highlight w:val="none"/>
                <w:lang w:eastAsia="zh-CN" w:bidi="ar"/>
              </w:rPr>
              <w:t xml:space="preserve">，得1分；</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eastAsia="宋体" w:cs="宋体"/>
                <w:color w:val="000000"/>
                <w:sz w:val="24"/>
                <w:szCs w:val="24"/>
                <w:highlight w:val="none"/>
                <w:lang w:bidi="ar"/>
              </w:rPr>
              <w:t xml:space="preserve">每点内容包含的要点有缺漏的得0.5分</w:t>
            </w:r>
            <w:r>
              <w:rPr>
                <w:rFonts w:hint="eastAsia"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1571"/>
              <w:ind w:left="109" w:right="74" w:firstLine="18"/>
              <w:spacing w:before="31"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以上每项内容不合理可行的不得分。</w:t>
            </w:r>
            <w:r>
              <w:rPr>
                <w:rFonts w:hint="eastAsia" w:ascii="宋体" w:hAnsi="宋体" w:eastAsia="宋体" w:cs="宋体"/>
                <w:color w:val="000000"/>
                <w:sz w:val="24"/>
                <w:szCs w:val="24"/>
                <w:highlight w:val="none"/>
                <w:lang w:eastAsia="zh-CN" w:bidi="ar"/>
              </w:rPr>
            </w:r>
            <w:r/>
          </w:p>
        </w:tc>
        <w:tc>
          <w:tcPr>
            <w:tcW w:w="958" w:type="dxa"/>
            <w:vAlign w:val="center"/>
            <w:textDirection w:val="lrTb"/>
            <w:noWrap w:val="false"/>
          </w:tcPr>
          <w:p>
            <w:pPr>
              <w:pStyle w:val="1015"/>
              <w:jc w:val="center"/>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r>
      <w:tr>
        <w:trPr/>
        <w:tc>
          <w:tcPr>
            <w:tcW w:w="1346" w:type="dxa"/>
            <w:vAlign w:val="center"/>
            <w:vMerge w:val="restart"/>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二</w:t>
            </w:r>
            <w:r>
              <w:rPr>
                <w:rFonts w:hint="eastAsia" w:ascii="宋体" w:hAnsi="宋体" w:eastAsia="宋体" w:cs="宋体"/>
                <w:color w:val="000000"/>
                <w:sz w:val="24"/>
                <w:szCs w:val="24"/>
                <w:highlight w:val="none"/>
                <w:lang w:bidi="ar"/>
              </w:rPr>
              <w:t xml:space="preserve">、企业综合能力（1</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tc>
        <w:tc>
          <w:tcPr>
            <w:tcW w:w="804"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245"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企业能力</w:t>
            </w:r>
            <w:r>
              <w:rPr>
                <w:rFonts w:hint="eastAsia" w:ascii="宋体" w:hAnsi="宋体" w:eastAsia="宋体" w:cs="宋体"/>
                <w:color w:val="000000"/>
                <w:sz w:val="24"/>
                <w:szCs w:val="24"/>
                <w:highlight w:val="none"/>
                <w:lang w:bidi="ar"/>
              </w:rPr>
            </w:r>
            <w:r/>
          </w:p>
        </w:tc>
        <w:tc>
          <w:tcPr>
            <w:tcW w:w="4527" w:type="dxa"/>
            <w:vAlign w:val="center"/>
            <w:textDirection w:val="lrTb"/>
            <w:noWrap w:val="false"/>
          </w:tcPr>
          <w:p>
            <w:pPr>
              <w:pStyle w:val="1015"/>
              <w:spacing w:line="360" w:lineRule="auto"/>
              <w:rPr>
                <w:rFonts w:hint="eastAsia" w:ascii="宋体" w:hAnsi="宋体" w:eastAsia="宋体" w:cs="宋体"/>
                <w:color w:val="000000"/>
                <w:sz w:val="24"/>
                <w:szCs w:val="24"/>
                <w:highlight w:val="none"/>
                <w:lang w:bidi="ar"/>
              </w:rPr>
            </w:pPr>
            <w:r/>
            <w:bookmarkStart w:id="58" w:name="OLE_LINK18"/>
            <w:r>
              <w:rPr>
                <w:rFonts w:hint="eastAsia" w:ascii="宋体" w:hAnsi="宋体" w:eastAsia="宋体" w:cs="宋体"/>
                <w:color w:val="000000"/>
                <w:sz w:val="24"/>
                <w:szCs w:val="24"/>
                <w:highlight w:val="none"/>
                <w:lang w:bidi="ar"/>
              </w:rPr>
              <w:t xml:space="preserve">1.为确保投标人的企业交付及运营能力，投标人具有ISO质量管理体系认证证书、ISO环境管理体系认证证书扫描件；ISO/IEC信息安全管理体系认证证书、ISO/IEC信息技术服务管理体系认证，每提供一个得0.5分，</w:t>
            </w:r>
            <w:r>
              <w:rPr>
                <w:rFonts w:hint="eastAsia" w:ascii="宋体" w:hAnsi="宋体" w:eastAsia="宋体" w:cs="宋体"/>
                <w:color w:val="000000"/>
                <w:sz w:val="24"/>
                <w:szCs w:val="24"/>
                <w:highlight w:val="none"/>
                <w:lang w:val="en-US" w:eastAsia="zh-CN" w:bidi="ar"/>
              </w:rPr>
              <w:t xml:space="preserve">最高得</w:t>
            </w:r>
            <w:r>
              <w:rPr>
                <w:rFonts w:hint="eastAsia" w:ascii="宋体" w:hAnsi="宋体" w:eastAsia="宋体" w:cs="宋体"/>
                <w:color w:val="000000"/>
                <w:sz w:val="24"/>
                <w:szCs w:val="24"/>
                <w:highlight w:val="none"/>
                <w:lang w:bidi="ar"/>
              </w:rPr>
              <w:t xml:space="preserve">2分。</w:t>
            </w:r>
            <w:r>
              <w:rPr>
                <w:rFonts w:hint="eastAsia" w:ascii="宋体" w:hAnsi="宋体" w:eastAsia="宋体" w:cs="宋体"/>
                <w:color w:val="000000"/>
                <w:sz w:val="24"/>
                <w:szCs w:val="24"/>
                <w:highlight w:val="none"/>
                <w:lang w:bidi="ar"/>
              </w:rPr>
            </w:r>
            <w:r/>
          </w:p>
          <w:p>
            <w:pPr>
              <w:pStyle w:val="1015"/>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2.为确保医院软件的开发管理能力，项目的研发质量、流程管控，投标人能够提供软件成熟度CMMI5级认证书的得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p>
            <w:pPr>
              <w:pStyle w:val="1015"/>
              <w:spacing w:line="360" w:lineRule="auto"/>
              <w:rPr>
                <w:rFonts w:hint="eastAsia"/>
                <w:color w:val="000000"/>
                <w:highlight w:val="none"/>
              </w:rPr>
            </w:pPr>
            <w:r>
              <w:rPr>
                <w:rFonts w:hint="eastAsia" w:ascii="宋体" w:hAnsi="宋体" w:eastAsia="宋体" w:cs="宋体"/>
                <w:color w:val="000000"/>
                <w:sz w:val="24"/>
                <w:szCs w:val="24"/>
                <w:highlight w:val="none"/>
                <w:lang w:val="en-US" w:eastAsia="zh-CN" w:bidi="ar"/>
              </w:rPr>
              <w:t xml:space="preserve">以上均需提供原件扫描件，并加盖投标人公章，否则不得分。</w:t>
            </w:r>
            <w:bookmarkEnd w:id="58"/>
            <w:r>
              <w:rPr>
                <w:rFonts w:hint="eastAsia"/>
                <w:color w:val="000000"/>
                <w:highlight w:val="none"/>
              </w:rPr>
            </w:r>
            <w:r/>
          </w:p>
        </w:tc>
        <w:tc>
          <w:tcPr>
            <w:tcW w:w="958" w:type="dxa"/>
            <w:vAlign w:val="center"/>
            <w:textDirection w:val="lrTb"/>
            <w:noWrap w:val="false"/>
          </w:tcPr>
          <w:p>
            <w:pPr>
              <w:pStyle w:val="1015"/>
              <w:jc w:val="center"/>
              <w:spacing w:before="120" w:after="12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tc>
          <w:tcPr>
            <w:tcW w:w="1346" w:type="dxa"/>
            <w:vAlign w:val="center"/>
            <w:vMerge w:val="continue"/>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04"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245"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项目组成员</w:t>
            </w:r>
            <w:r>
              <w:rPr>
                <w:rFonts w:hint="eastAsia" w:ascii="宋体" w:hAnsi="宋体" w:eastAsia="宋体" w:cs="宋体"/>
                <w:color w:val="000000"/>
                <w:sz w:val="24"/>
                <w:szCs w:val="24"/>
                <w:highlight w:val="none"/>
                <w:lang w:bidi="ar"/>
              </w:rPr>
            </w:r>
            <w:r/>
          </w:p>
        </w:tc>
        <w:tc>
          <w:tcPr>
            <w:tcW w:w="4527" w:type="dxa"/>
            <w:vAlign w:val="center"/>
            <w:textDirection w:val="lrTb"/>
            <w:noWrap w:val="false"/>
          </w:tcPr>
          <w:p>
            <w:pPr>
              <w:pStyle w:val="1015"/>
              <w:spacing w:line="360" w:lineRule="auto"/>
              <w:widowControl/>
              <w:rPr>
                <w:rFonts w:hint="eastAsia" w:ascii="宋体" w:hAnsi="宋体" w:eastAsia="宋体" w:cs="宋体"/>
                <w:color w:val="000000"/>
                <w:sz w:val="24"/>
                <w:szCs w:val="24"/>
                <w:highlight w:val="none"/>
                <w:lang w:bidi="ar"/>
              </w:rPr>
            </w:pPr>
            <w:r/>
            <w:bookmarkStart w:id="59" w:name="OLE_LINK19"/>
            <w:r>
              <w:rPr>
                <w:rFonts w:hint="eastAsia" w:ascii="宋体" w:hAnsi="宋体" w:eastAsia="宋体" w:cs="宋体"/>
                <w:color w:val="000000"/>
                <w:sz w:val="24"/>
                <w:szCs w:val="24"/>
                <w:highlight w:val="none"/>
                <w:lang w:bidi="ar"/>
              </w:rPr>
              <w:t xml:space="preserve">投标人为本项目配备的</w:t>
            </w:r>
            <w:r>
              <w:rPr>
                <w:rFonts w:hint="eastAsia" w:ascii="宋体" w:hAnsi="宋体" w:eastAsia="宋体" w:cs="宋体"/>
                <w:color w:val="000000"/>
                <w:sz w:val="24"/>
                <w:szCs w:val="24"/>
                <w:highlight w:val="none"/>
                <w:lang w:bidi="ar"/>
              </w:rPr>
              <w:t xml:space="preserve">项目</w:t>
            </w:r>
            <w:r>
              <w:rPr>
                <w:rFonts w:hint="eastAsia" w:ascii="宋体" w:hAnsi="宋体" w:eastAsia="宋体" w:cs="宋体"/>
                <w:color w:val="000000"/>
                <w:sz w:val="24"/>
                <w:szCs w:val="24"/>
                <w:highlight w:val="none"/>
                <w:lang w:val="en-US" w:eastAsia="zh-CN" w:bidi="ar"/>
              </w:rPr>
              <w:t xml:space="preserve">组成员</w:t>
            </w:r>
            <w:r>
              <w:rPr>
                <w:rFonts w:hint="eastAsia" w:ascii="宋体" w:hAnsi="宋体" w:eastAsia="宋体" w:cs="宋体"/>
                <w:color w:val="000000"/>
                <w:sz w:val="24"/>
                <w:szCs w:val="24"/>
                <w:highlight w:val="none"/>
                <w:lang w:bidi="ar"/>
              </w:rPr>
              <w:t xml:space="preserve">具备：</w:t>
            </w:r>
            <w:r>
              <w:rPr>
                <w:rFonts w:hint="eastAsia" w:ascii="宋体" w:hAnsi="宋体" w:eastAsia="宋体" w:cs="宋体"/>
                <w:color w:val="000000"/>
                <w:sz w:val="24"/>
                <w:szCs w:val="24"/>
                <w:highlight w:val="none"/>
                <w:lang w:bidi="ar"/>
              </w:rPr>
            </w:r>
            <w:r/>
          </w:p>
          <w:p>
            <w:pPr>
              <w:pStyle w:val="1015"/>
              <w:numPr>
                <w:ilvl w:val="0"/>
                <w:numId w:val="5"/>
              </w:numP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项目经理</w:t>
            </w:r>
            <w:r>
              <w:rPr>
                <w:rFonts w:hint="eastAsia" w:ascii="宋体" w:hAnsi="宋体" w:eastAsia="宋体" w:cs="宋体"/>
                <w:color w:val="000000"/>
                <w:sz w:val="24"/>
                <w:szCs w:val="24"/>
                <w:highlight w:val="none"/>
                <w:lang w:bidi="ar"/>
              </w:rPr>
              <w:t xml:space="preserve">具有信息系统项目管理师证书（高级）</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bidi="ar"/>
              </w:rPr>
              <w:t xml:space="preserve">，得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val="en-US" w:eastAsia="zh-CN" w:bidi="ar"/>
              </w:rPr>
              <w:t xml:space="preserve">不</w:t>
            </w:r>
            <w:r>
              <w:rPr>
                <w:rFonts w:hint="eastAsia" w:ascii="宋体" w:hAnsi="宋体" w:eastAsia="宋体" w:cs="宋体"/>
                <w:color w:val="000000"/>
                <w:sz w:val="24"/>
                <w:szCs w:val="24"/>
                <w:highlight w:val="none"/>
                <w:lang w:bidi="ar"/>
              </w:rPr>
              <w:t xml:space="preserve">提供不得分。</w:t>
            </w:r>
            <w:r>
              <w:rPr>
                <w:rFonts w:hint="eastAsia" w:ascii="宋体" w:hAnsi="宋体" w:eastAsia="宋体" w:cs="宋体"/>
                <w:color w:val="000000"/>
                <w:sz w:val="24"/>
                <w:szCs w:val="24"/>
                <w:highlight w:val="none"/>
                <w:lang w:bidi="ar"/>
              </w:rPr>
            </w:r>
            <w:r/>
          </w:p>
          <w:p>
            <w:pPr>
              <w:pStyle w:val="1015"/>
              <w:numPr>
                <w:ilvl w:val="0"/>
                <w:numId w:val="5"/>
              </w:numPr>
              <w:ind w:left="0" w:firstLine="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项目实施人员具有系统架构设计师证书（高级）；具有系统集成项目管理工程师；具有软件评测师（中级）</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具有工业和信息化领域工程的高级工程师证书，以上人员资质每有一项得1分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本项最高得4分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1015"/>
              <w:numPr>
                <w:ilvl w:val="0"/>
                <w:numId w:val="0"/>
              </w:numPr>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b w:val="0"/>
                <w:bCs w:val="0"/>
                <w:color w:val="000000"/>
                <w:sz w:val="24"/>
                <w:szCs w:val="24"/>
                <w:highlight w:val="none"/>
                <w:lang w:val="en-US" w:eastAsia="zh-CN" w:bidi="ar"/>
              </w:rPr>
              <w:t xml:space="preserve">以上均</w:t>
            </w:r>
            <w:r>
              <w:rPr>
                <w:rFonts w:hint="eastAsia" w:ascii="宋体" w:hAnsi="宋体" w:eastAsia="宋体" w:cs="宋体"/>
                <w:b w:val="0"/>
                <w:bCs w:val="0"/>
                <w:color w:val="000000"/>
                <w:sz w:val="24"/>
                <w:szCs w:val="24"/>
                <w:highlight w:val="none"/>
                <w:lang w:bidi="ar"/>
              </w:rPr>
              <w:t xml:space="preserve">需提供相关证书</w:t>
            </w:r>
            <w:r>
              <w:rPr>
                <w:rFonts w:hint="eastAsia" w:ascii="宋体" w:hAnsi="宋体" w:eastAsia="宋体" w:cs="宋体"/>
                <w:color w:val="000000"/>
                <w:sz w:val="24"/>
                <w:szCs w:val="24"/>
                <w:highlight w:val="none"/>
                <w:lang w:val="en-US" w:eastAsia="zh-CN" w:bidi="ar"/>
              </w:rPr>
              <w:t xml:space="preserve">原件扫描件</w:t>
            </w:r>
            <w:r>
              <w:rPr>
                <w:rFonts w:hint="eastAsia" w:ascii="宋体" w:hAnsi="宋体" w:eastAsia="宋体" w:cs="宋体"/>
                <w:b w:val="0"/>
                <w:bCs w:val="0"/>
                <w:color w:val="000000"/>
                <w:sz w:val="24"/>
                <w:szCs w:val="24"/>
                <w:highlight w:val="none"/>
                <w:lang w:bidi="ar"/>
              </w:rPr>
              <w:t xml:space="preserve">及</w:t>
            </w:r>
            <w:r>
              <w:rPr>
                <w:rFonts w:hint="eastAsia" w:eastAsia="宋体" w:cs="宋体"/>
                <w:b w:val="0"/>
                <w:bCs w:val="0"/>
                <w:color w:val="000000"/>
                <w:sz w:val="24"/>
                <w:szCs w:val="24"/>
                <w:highlight w:val="none"/>
                <w:lang w:bidi="ar"/>
              </w:rPr>
              <w:t xml:space="preserve">投标人为其缴纳的近3个月</w:t>
            </w:r>
            <w:r>
              <w:rPr>
                <w:rFonts w:hint="eastAsia" w:eastAsia="宋体" w:cs="宋体"/>
                <w:b w:val="0"/>
                <w:bCs w:val="0"/>
                <w:color w:val="000000"/>
                <w:sz w:val="24"/>
                <w:szCs w:val="24"/>
                <w:highlight w:val="none"/>
                <w:lang w:val="en-US" w:eastAsia="zh-CN" w:bidi="ar"/>
              </w:rPr>
              <w:t xml:space="preserve">内</w:t>
            </w:r>
            <w:r>
              <w:rPr>
                <w:rFonts w:hint="eastAsia" w:eastAsia="宋体" w:cs="宋体"/>
                <w:b w:val="0"/>
                <w:bCs w:val="0"/>
                <w:color w:val="000000"/>
                <w:sz w:val="24"/>
                <w:szCs w:val="24"/>
                <w:highlight w:val="none"/>
                <w:lang w:bidi="ar"/>
              </w:rPr>
              <w:t xml:space="preserve">（不含开标当月）任意一个月</w:t>
            </w:r>
            <w:r>
              <w:rPr>
                <w:rFonts w:hint="eastAsia" w:ascii="宋体" w:hAnsi="宋体" w:eastAsia="宋体" w:cs="宋体"/>
                <w:b w:val="0"/>
                <w:bCs w:val="0"/>
                <w:color w:val="000000"/>
                <w:sz w:val="24"/>
                <w:szCs w:val="24"/>
                <w:highlight w:val="none"/>
                <w:lang w:bidi="ar"/>
              </w:rPr>
              <w:t xml:space="preserve">缴纳社保证明材料</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val="en-US" w:eastAsia="zh-CN" w:bidi="ar"/>
              </w:rPr>
              <w:t xml:space="preserve">以上均须加盖投标人公章</w:t>
            </w:r>
            <w:r>
              <w:rPr>
                <w:rFonts w:hint="eastAsia" w:ascii="宋体" w:hAnsi="宋体" w:eastAsia="宋体" w:cs="宋体"/>
                <w:b w:val="0"/>
                <w:bCs w:val="0"/>
                <w:color w:val="000000"/>
                <w:sz w:val="24"/>
                <w:szCs w:val="24"/>
                <w:highlight w:val="none"/>
                <w:lang w:bidi="ar"/>
              </w:rPr>
              <w:t xml:space="preserve">，</w:t>
            </w:r>
            <w:r>
              <w:rPr>
                <w:rFonts w:hint="eastAsia" w:eastAsia="宋体" w:cs="宋体"/>
                <w:color w:val="000000"/>
                <w:sz w:val="24"/>
                <w:szCs w:val="24"/>
                <w:highlight w:val="none"/>
                <w:lang w:bidi="ar"/>
              </w:rPr>
              <w:t xml:space="preserve">缺一不可</w:t>
            </w:r>
            <w:r>
              <w:rPr>
                <w:rFonts w:hint="eastAsia" w:eastAsia="宋体" w:cs="宋体"/>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bidi="ar"/>
              </w:rPr>
              <w:t xml:space="preserve">提供不全或不提供不得分。</w:t>
            </w:r>
            <w:bookmarkEnd w:id="59"/>
            <w:r>
              <w:rPr>
                <w:rFonts w:hint="eastAsia" w:ascii="宋体" w:hAnsi="宋体" w:eastAsia="宋体" w:cs="宋体"/>
                <w:b w:val="0"/>
                <w:bCs w:val="0"/>
                <w:color w:val="000000"/>
                <w:sz w:val="24"/>
                <w:szCs w:val="24"/>
                <w:highlight w:val="none"/>
                <w:lang w:bidi="ar"/>
              </w:rPr>
              <w:t xml:space="preserve"> </w:t>
            </w:r>
            <w:r>
              <w:rPr>
                <w:rFonts w:hint="eastAsia" w:ascii="宋体" w:hAnsi="宋体" w:eastAsia="宋体" w:cs="宋体"/>
                <w:color w:val="000000"/>
                <w:sz w:val="24"/>
                <w:szCs w:val="24"/>
                <w:highlight w:val="none"/>
                <w:lang w:eastAsia="zh-CN" w:bidi="ar"/>
              </w:rPr>
            </w:r>
            <w:r/>
          </w:p>
        </w:tc>
        <w:tc>
          <w:tcPr>
            <w:tcW w:w="958" w:type="dxa"/>
            <w:vAlign w:val="center"/>
            <w:textDirection w:val="lrTb"/>
            <w:noWrap w:val="false"/>
          </w:tcPr>
          <w:p>
            <w:pPr>
              <w:pStyle w:val="1015"/>
              <w:jc w:val="center"/>
              <w:spacing w:before="120" w:after="12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r>
      <w:tr>
        <w:trPr/>
        <w:tc>
          <w:tcPr>
            <w:tcW w:w="1346" w:type="dxa"/>
            <w:vAlign w:val="center"/>
            <w:vMerge w:val="continue"/>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04"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245" w:type="dxa"/>
            <w:vAlign w:val="center"/>
            <w:textDirection w:val="lrTb"/>
            <w:noWrap w:val="false"/>
          </w:tcPr>
          <w:p>
            <w:pPr>
              <w:pStyle w:val="1015"/>
              <w:jc w:val="center"/>
              <w:spacing w:before="100" w:beforeAutospacing="1" w:after="100" w:afterAutospacing="1"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业绩</w:t>
            </w:r>
            <w:r>
              <w:rPr>
                <w:rFonts w:hint="eastAsia" w:ascii="宋体" w:hAnsi="宋体" w:eastAsia="宋体" w:cs="宋体"/>
                <w:color w:val="000000"/>
                <w:sz w:val="24"/>
                <w:szCs w:val="24"/>
                <w:highlight w:val="none"/>
                <w:lang w:bidi="ar"/>
              </w:rPr>
            </w:r>
            <w:r/>
          </w:p>
        </w:tc>
        <w:tc>
          <w:tcPr>
            <w:tcW w:w="4527" w:type="dxa"/>
            <w:vAlign w:val="center"/>
            <w:textDirection w:val="lrTb"/>
            <w:noWrap w:val="false"/>
          </w:tcPr>
          <w:p>
            <w:pPr>
              <w:pStyle w:val="101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w:t>
            </w:r>
            <w:r>
              <w:rPr>
                <w:rFonts w:hint="eastAsia" w:ascii="宋体" w:hAnsi="宋体" w:eastAsia="宋体" w:cs="宋体"/>
                <w:color w:val="000000"/>
                <w:sz w:val="24"/>
                <w:szCs w:val="24"/>
                <w:highlight w:val="none"/>
              </w:rPr>
              <w:t xml:space="preserve">2023年1月1日以来</w:t>
            </w:r>
            <w:r>
              <w:rPr>
                <w:rFonts w:hint="eastAsia" w:ascii="宋体" w:hAnsi="宋体" w:eastAsia="宋体" w:cs="宋体"/>
                <w:color w:val="000000"/>
                <w:sz w:val="24"/>
                <w:szCs w:val="24"/>
                <w:highlight w:val="none"/>
              </w:rPr>
              <w:t xml:space="preserve">（以合同签订日为准）签订的</w:t>
            </w:r>
            <w:r>
              <w:rPr>
                <w:rFonts w:hint="eastAsia" w:ascii="宋体" w:hAnsi="宋体" w:eastAsia="宋体" w:cs="宋体"/>
                <w:color w:val="000000"/>
                <w:sz w:val="24"/>
                <w:szCs w:val="24"/>
                <w:highlight w:val="none"/>
                <w:lang w:val="en-US" w:eastAsia="zh-CN"/>
              </w:rPr>
              <w:t xml:space="preserve">类似项目</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一个得2分，最高得6分。</w:t>
            </w:r>
            <w:r>
              <w:rPr>
                <w:rFonts w:hint="eastAsia" w:ascii="宋体" w:hAnsi="宋体" w:eastAsia="宋体" w:cs="宋体"/>
                <w:color w:val="000000"/>
                <w:sz w:val="24"/>
                <w:szCs w:val="24"/>
                <w:highlight w:val="none"/>
              </w:rPr>
            </w:r>
            <w:r/>
          </w:p>
          <w:p>
            <w:pPr>
              <w:pStyle w:val="1015"/>
              <w:spacing w:line="360" w:lineRule="auto"/>
              <w:rPr>
                <w:rFonts w:hint="eastAsia"/>
                <w:color w:val="000000"/>
                <w:highlight w:val="none"/>
              </w:rPr>
            </w:pPr>
            <w:r>
              <w:rPr>
                <w:rFonts w:hint="eastAsia" w:ascii="宋体" w:hAnsi="宋体" w:eastAsia="宋体" w:cs="宋体"/>
                <w:color w:val="000000"/>
                <w:sz w:val="24"/>
                <w:szCs w:val="24"/>
                <w:highlight w:val="none"/>
              </w:rPr>
              <w:t xml:space="preserve">须提供案例的合同复印件或扫描打印件，并加盖供应商公章。未提供不得分；同一采购人多个业绩案例的，按一份计算，不重复得分。</w:t>
            </w:r>
            <w:r>
              <w:rPr>
                <w:rFonts w:hint="eastAsia"/>
                <w:color w:val="000000"/>
                <w:highlight w:val="none"/>
              </w:rPr>
            </w:r>
            <w:r/>
          </w:p>
        </w:tc>
        <w:tc>
          <w:tcPr>
            <w:tcW w:w="958" w:type="dxa"/>
            <w:vAlign w:val="center"/>
            <w:textDirection w:val="lrTb"/>
            <w:noWrap w:val="false"/>
          </w:tcPr>
          <w:p>
            <w:pPr>
              <w:pStyle w:val="1015"/>
              <w:jc w:val="center"/>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r>
    </w:tbl>
    <w:p>
      <w:pPr>
        <w:pStyle w:val="1015"/>
        <w:spacing w:line="360" w:lineRule="auto"/>
        <w:rPr>
          <w:rFonts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注：</w:t>
      </w:r>
      <w:r>
        <w:rPr>
          <w:rFonts w:eastAsia="宋体" w:cs="宋体"/>
          <w:b/>
          <w:bCs/>
          <w:color w:val="000000"/>
          <w:sz w:val="24"/>
          <w:szCs w:val="24"/>
          <w:highlight w:val="none"/>
          <w:u w:val="single"/>
        </w:rPr>
      </w:r>
      <w:r/>
    </w:p>
    <w:p>
      <w:pPr>
        <w:pStyle w:val="1015"/>
        <w:ind w:firstLine="480"/>
        <w:spacing w:line="360" w:lineRule="auto"/>
        <w:rPr>
          <w:rFonts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1、上述投标文件中，证书或证明必须提供扫描件（加盖投标人公章），如</w:t>
      </w:r>
      <w:r>
        <w:rPr>
          <w:rFonts w:eastAsia="宋体" w:cs="宋体"/>
          <w:b/>
          <w:bCs/>
          <w:color w:val="000000"/>
          <w:sz w:val="24"/>
          <w:szCs w:val="24"/>
          <w:highlight w:val="none"/>
          <w:u w:val="single"/>
        </w:rPr>
      </w:r>
      <w:r/>
    </w:p>
    <w:p>
      <w:pPr>
        <w:pStyle w:val="1015"/>
        <w:spacing w:line="360" w:lineRule="auto"/>
        <w:rPr>
          <w:rFonts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发现弄虚作假的，将按照本招标文件相关条款规定予以处理。</w:t>
      </w:r>
      <w:r>
        <w:rPr>
          <w:rFonts w:eastAsia="宋体" w:cs="宋体"/>
          <w:b/>
          <w:bCs/>
          <w:color w:val="000000"/>
          <w:sz w:val="24"/>
          <w:szCs w:val="24"/>
          <w:highlight w:val="none"/>
          <w:u w:val="single"/>
        </w:rPr>
      </w:r>
      <w:r/>
    </w:p>
    <w:p>
      <w:pPr>
        <w:pStyle w:val="1015"/>
        <w:ind w:firstLine="482"/>
        <w:spacing w:line="360" w:lineRule="auto"/>
        <w:rPr>
          <w:rFonts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2、评委依据招标文件载明的方法评分，评分四舍五入精确到小数点后两位。</w:t>
      </w:r>
      <w:r>
        <w:rPr>
          <w:rFonts w:eastAsia="宋体" w:cs="宋体"/>
          <w:b/>
          <w:bCs/>
          <w:color w:val="000000"/>
          <w:sz w:val="24"/>
          <w:szCs w:val="24"/>
          <w:highlight w:val="none"/>
          <w:u w:val="single"/>
        </w:rPr>
      </w:r>
      <w:r/>
    </w:p>
    <w:p>
      <w:pPr>
        <w:pStyle w:val="1015"/>
        <w:contextualSpacing/>
        <w:ind w:firstLine="482"/>
        <w:spacing w:line="360" w:lineRule="auto"/>
        <w:rPr>
          <w:rFonts w:eastAsia="宋体" w:cs="宋体"/>
          <w:b/>
          <w:color w:val="000000"/>
          <w:sz w:val="24"/>
          <w:szCs w:val="24"/>
          <w:highlight w:val="none"/>
        </w:rPr>
        <w:outlineLvl w:val="2"/>
      </w:pPr>
      <w:r>
        <w:rPr>
          <w:rFonts w:hint="eastAsia" w:eastAsia="宋体" w:cs="宋体"/>
          <w:b/>
          <w:color w:val="000000"/>
          <w:sz w:val="24"/>
          <w:szCs w:val="24"/>
          <w:highlight w:val="none"/>
        </w:rPr>
        <w:t xml:space="preserve">（二）</w:t>
      </w:r>
      <w:r>
        <w:rPr>
          <w:rFonts w:hint="eastAsia" w:eastAsia="宋体" w:cs="宋体"/>
          <w:b/>
          <w:color w:val="000000"/>
          <w:sz w:val="24"/>
          <w:szCs w:val="24"/>
          <w:highlight w:val="none"/>
          <w:lang w:val="zh-CN"/>
        </w:rPr>
        <w:t xml:space="preserve">价格标</w:t>
      </w:r>
      <w:r>
        <w:rPr>
          <w:rFonts w:hint="eastAsia" w:eastAsia="宋体" w:cs="宋体"/>
          <w:b/>
          <w:color w:val="000000"/>
          <w:sz w:val="24"/>
          <w:szCs w:val="24"/>
          <w:highlight w:val="none"/>
        </w:rPr>
        <w:t xml:space="preserve">评分：（</w:t>
      </w:r>
      <w:r>
        <w:rPr>
          <w:rFonts w:hint="eastAsia" w:eastAsia="宋体" w:cs="宋体"/>
          <w:b/>
          <w:color w:val="000000"/>
          <w:sz w:val="24"/>
          <w:szCs w:val="24"/>
          <w:highlight w:val="none"/>
          <w:lang w:val="en-US" w:eastAsia="zh-CN"/>
        </w:rPr>
        <w:t xml:space="preserve">30</w:t>
      </w:r>
      <w:r>
        <w:rPr>
          <w:rFonts w:hint="eastAsia" w:eastAsia="宋体" w:cs="宋体"/>
          <w:b/>
          <w:color w:val="000000"/>
          <w:sz w:val="24"/>
          <w:szCs w:val="24"/>
          <w:highlight w:val="none"/>
        </w:rPr>
        <w:t xml:space="preserve">分）</w:t>
      </w:r>
      <w:r>
        <w:rPr>
          <w:rFonts w:eastAsia="宋体" w:cs="宋体"/>
          <w:b/>
          <w:color w:val="000000"/>
          <w:sz w:val="24"/>
          <w:szCs w:val="24"/>
          <w:highlight w:val="none"/>
        </w:rPr>
      </w:r>
      <w:r/>
    </w:p>
    <w:p>
      <w:pPr>
        <w:pStyle w:val="1015"/>
        <w:contextualSpacing/>
        <w:ind w:firstLine="482"/>
        <w:spacing w:line="360" w:lineRule="auto"/>
        <w:rPr>
          <w:rFonts w:eastAsia="宋体" w:cs="宋体"/>
          <w:b/>
          <w:bCs/>
          <w:color w:val="000000"/>
          <w:sz w:val="24"/>
          <w:szCs w:val="24"/>
          <w:highlight w:val="none"/>
        </w:rPr>
      </w:pPr>
      <w:r>
        <w:rPr>
          <w:rFonts w:hint="eastAsia" w:eastAsia="宋体" w:cs="宋体"/>
          <w:b/>
          <w:color w:val="000000"/>
          <w:sz w:val="24"/>
          <w:szCs w:val="24"/>
          <w:highlight w:val="none"/>
        </w:rPr>
        <w:t xml:space="preserve">1、本次项目最高限价为</w:t>
      </w:r>
      <w:r>
        <w:rPr>
          <w:rFonts w:hint="eastAsia" w:eastAsia="宋体" w:cs="宋体"/>
          <w:b/>
          <w:color w:val="000000"/>
          <w:sz w:val="24"/>
          <w:szCs w:val="24"/>
          <w:highlight w:val="none"/>
          <w:u w:val="single"/>
          <w:lang w:eastAsia="zh-CN"/>
        </w:rPr>
        <w:t xml:space="preserve">145万元</w:t>
      </w:r>
      <w:r>
        <w:rPr>
          <w:rFonts w:hint="eastAsia" w:eastAsia="宋体" w:cs="宋体"/>
          <w:b/>
          <w:color w:val="000000"/>
          <w:sz w:val="24"/>
          <w:szCs w:val="24"/>
          <w:highlight w:val="none"/>
        </w:rPr>
        <w:t xml:space="preserve">，</w:t>
      </w:r>
      <w:r>
        <w:rPr>
          <w:rFonts w:hint="eastAsia" w:eastAsia="宋体" w:cs="宋体"/>
          <w:b/>
          <w:bCs/>
          <w:color w:val="000000"/>
          <w:sz w:val="24"/>
          <w:szCs w:val="24"/>
          <w:highlight w:val="none"/>
        </w:rPr>
        <w:t xml:space="preserve">投标报价超过最高限价为无效投标。</w:t>
      </w:r>
      <w:r>
        <w:rPr>
          <w:rFonts w:eastAsia="宋体" w:cs="宋体"/>
          <w:b/>
          <w:bCs/>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2、满足招标文件要求且投标报价最低的报价为评标基准价，其价格标得分为满分</w:t>
      </w:r>
      <w:r>
        <w:rPr>
          <w:rFonts w:hint="eastAsia" w:eastAsia="宋体" w:cs="宋体"/>
          <w:b/>
          <w:bCs/>
          <w:color w:val="000000"/>
          <w:sz w:val="24"/>
          <w:szCs w:val="24"/>
          <w:highlight w:val="none"/>
          <w:lang w:val="en-US" w:eastAsia="zh-CN"/>
        </w:rPr>
        <w:t xml:space="preserve">30</w:t>
      </w:r>
      <w:r>
        <w:rPr>
          <w:rFonts w:hint="eastAsia" w:eastAsia="宋体" w:cs="宋体"/>
          <w:b/>
          <w:bCs/>
          <w:color w:val="000000"/>
          <w:sz w:val="24"/>
          <w:szCs w:val="24"/>
          <w:highlight w:val="none"/>
        </w:rPr>
        <w:t xml:space="preserve">分。</w:t>
      </w:r>
      <w:r>
        <w:rPr>
          <w:rFonts w:eastAsia="宋体" w:cs="宋体"/>
          <w:b/>
          <w:bCs/>
          <w:color w:val="000000"/>
          <w:sz w:val="24"/>
          <w:szCs w:val="24"/>
          <w:highlight w:val="none"/>
        </w:rPr>
      </w:r>
      <w:r/>
    </w:p>
    <w:p>
      <w:pPr>
        <w:pStyle w:val="1015"/>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3、其他投标人的价格标得分按照下列公式计算（计算结果四舍五入保留两位小数）：</w:t>
      </w:r>
      <w:r>
        <w:rPr>
          <w:rFonts w:eastAsia="宋体" w:cs="宋体"/>
          <w:b/>
          <w:bCs/>
          <w:color w:val="000000"/>
          <w:sz w:val="24"/>
          <w:szCs w:val="24"/>
          <w:highlight w:val="none"/>
        </w:rPr>
      </w:r>
      <w:r/>
    </w:p>
    <w:p>
      <w:pPr>
        <w:pStyle w:val="1015"/>
        <w:contextualSpacing/>
        <w:ind w:firstLine="480"/>
        <w:spacing w:line="360" w:lineRule="auto"/>
        <w:rPr>
          <w:rFonts w:hint="eastAsia" w:eastAsia="宋体" w:cs="宋体"/>
          <w:b/>
          <w:bCs/>
          <w:color w:val="000000"/>
          <w:sz w:val="24"/>
          <w:szCs w:val="24"/>
          <w:highlight w:val="none"/>
          <w:u w:val="single"/>
          <w:lang w:val="en-US" w:eastAsia="zh-CN"/>
        </w:rPr>
      </w:pPr>
      <w:r>
        <w:rPr>
          <w:rFonts w:hint="eastAsia" w:eastAsia="宋体" w:cs="宋体"/>
          <w:b/>
          <w:bCs/>
          <w:color w:val="000000"/>
          <w:sz w:val="24"/>
          <w:szCs w:val="24"/>
          <w:highlight w:val="none"/>
          <w:u w:val="single"/>
        </w:rPr>
        <w:t xml:space="preserve">价格标得分 =（评标基准价/投标报价）×</w:t>
      </w:r>
      <w:r>
        <w:rPr>
          <w:rFonts w:hint="eastAsia" w:eastAsia="宋体" w:cs="宋体"/>
          <w:b/>
          <w:bCs/>
          <w:color w:val="000000"/>
          <w:sz w:val="24"/>
          <w:szCs w:val="24"/>
          <w:highlight w:val="none"/>
          <w:u w:val="single"/>
          <w:lang w:val="en-US" w:eastAsia="zh-CN"/>
        </w:rPr>
        <w:t xml:space="preserve">30</w:t>
      </w:r>
      <w:r>
        <w:rPr>
          <w:rFonts w:hint="eastAsia" w:eastAsia="宋体" w:cs="宋体"/>
          <w:b/>
          <w:bCs/>
          <w:color w:val="000000"/>
          <w:sz w:val="24"/>
          <w:szCs w:val="24"/>
          <w:highlight w:val="none"/>
          <w:u w:val="single"/>
        </w:rPr>
        <w:t xml:space="preserve">%×100</w:t>
      </w:r>
      <w:r>
        <w:rPr>
          <w:rFonts w:hint="eastAsia" w:eastAsia="宋体" w:cs="宋体"/>
          <w:b/>
          <w:bCs/>
          <w:color w:val="000000"/>
          <w:sz w:val="24"/>
          <w:szCs w:val="24"/>
          <w:highlight w:val="none"/>
          <w:u w:val="single"/>
          <w:lang w:val="en-US" w:eastAsia="zh-CN"/>
        </w:rPr>
        <w:t xml:space="preserve"> </w:t>
      </w:r>
      <w:r>
        <w:rPr>
          <w:rFonts w:hint="eastAsia" w:eastAsia="宋体" w:cs="宋体"/>
          <w:b/>
          <w:bCs/>
          <w:color w:val="000000"/>
          <w:sz w:val="24"/>
          <w:szCs w:val="24"/>
          <w:highlight w:val="none"/>
          <w:u w:val="single"/>
          <w:lang w:val="en-US" w:eastAsia="zh-CN"/>
        </w:rPr>
      </w:r>
      <w:r/>
    </w:p>
    <w:p>
      <w:pPr>
        <w:pStyle w:val="1015"/>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（三）政府采购政策功能落实</w:t>
      </w:r>
      <w:r>
        <w:rPr>
          <w:rFonts w:hint="eastAsia" w:eastAsia="宋体" w:cs="宋体"/>
          <w:color w:val="000000"/>
          <w:highlight w:val="none"/>
        </w:rPr>
        <w:t xml:space="preserve">   </w:t>
      </w:r>
      <w:r>
        <w:rPr>
          <w:rFonts w:eastAsia="宋体" w:cs="宋体"/>
          <w:b/>
          <w:color w:val="000000"/>
          <w:sz w:val="24"/>
          <w:szCs w:val="24"/>
          <w:highlight w:val="none"/>
        </w:rPr>
      </w:r>
      <w:r/>
    </w:p>
    <w:p>
      <w:pPr>
        <w:pStyle w:val="1015"/>
        <w:ind w:firstLine="480"/>
        <w:jc w:val="left"/>
        <w:spacing w:line="360" w:lineRule="auto"/>
        <w:rPr>
          <w:rFonts w:eastAsia="宋体" w:cs="宋体"/>
          <w:bCs/>
          <w:color w:val="000000"/>
          <w:highlight w:val="none"/>
        </w:rPr>
      </w:pPr>
      <w:r>
        <w:rPr>
          <w:rFonts w:hint="eastAsia" w:eastAsia="宋体" w:cs="宋体"/>
          <w:color w:val="000000"/>
          <w:sz w:val="24"/>
          <w:szCs w:val="24"/>
          <w:highlight w:val="none"/>
        </w:rPr>
        <w:t xml:space="preserve">专门面向中小企业采购的项目或者采购包，不再执行价格评审优惠的扶持政策。</w:t>
      </w:r>
      <w:r>
        <w:rPr>
          <w:rFonts w:eastAsia="宋体" w:cs="宋体"/>
          <w:bCs/>
          <w:color w:val="000000"/>
          <w:highlight w:val="none"/>
        </w:rPr>
      </w:r>
      <w:r/>
    </w:p>
    <w:p>
      <w:pPr>
        <w:pStyle w:val="1015"/>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（四）中标人的确定</w:t>
      </w:r>
      <w:r>
        <w:rPr>
          <w:rFonts w:eastAsia="宋体" w:cs="宋体"/>
          <w:b/>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rPr>
          <w:rFonts w:eastAsia="宋体" w:cs="宋体"/>
          <w:color w:val="000000"/>
          <w:sz w:val="24"/>
          <w:szCs w:val="24"/>
          <w:highlight w:val="none"/>
        </w:rPr>
      </w:r>
      <w:r/>
    </w:p>
    <w:p>
      <w:pPr>
        <w:pStyle w:val="1015"/>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eastAsia="宋体" w:cs="宋体"/>
          <w:b/>
          <w:bCs/>
          <w:color w:val="000000"/>
          <w:sz w:val="24"/>
          <w:szCs w:val="24"/>
          <w:highlight w:val="none"/>
        </w:rPr>
      </w:r>
      <w:r/>
    </w:p>
    <w:p>
      <w:pPr>
        <w:pStyle w:val="1015"/>
        <w:ind w:firstLine="480"/>
        <w:spacing w:line="360" w:lineRule="auto"/>
        <w:rPr>
          <w:rFonts w:eastAsia="宋体" w:cs="宋体"/>
          <w:b/>
          <w:color w:val="000000"/>
          <w:sz w:val="24"/>
          <w:szCs w:val="24"/>
          <w:highlight w:val="none"/>
        </w:rPr>
        <w:outlineLvl w:val="1"/>
      </w:pPr>
      <w:r/>
      <w:bookmarkStart w:id="60" w:name="_Toc5041"/>
      <w:r>
        <w:rPr>
          <w:rFonts w:hint="eastAsia" w:eastAsia="宋体" w:cs="宋体"/>
          <w:b/>
          <w:color w:val="000000"/>
          <w:sz w:val="24"/>
          <w:szCs w:val="24"/>
          <w:highlight w:val="none"/>
        </w:rPr>
        <w:t xml:space="preserve">九、评标争议</w:t>
      </w:r>
      <w:bookmarkEnd w:id="60"/>
      <w:r>
        <w:rPr>
          <w:rFonts w:eastAsia="宋体" w:cs="宋体"/>
          <w:b/>
          <w:color w:val="000000"/>
          <w:sz w:val="24"/>
          <w:szCs w:val="24"/>
          <w:highlight w:val="none"/>
        </w:rPr>
      </w:r>
      <w:r/>
    </w:p>
    <w:p>
      <w:pPr>
        <w:pStyle w:val="1015"/>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评标时评委对评标的细则若有争议，由评标委员会评委集体讨论确定，并对未尽情况有最终解释权。</w:t>
      </w:r>
      <w:r>
        <w:rPr>
          <w:rFonts w:eastAsia="宋体" w:cs="宋体"/>
          <w:color w:val="000000"/>
          <w:sz w:val="24"/>
          <w:szCs w:val="24"/>
          <w:highlight w:val="none"/>
        </w:rPr>
      </w:r>
      <w:r/>
    </w:p>
    <w:p>
      <w:pPr>
        <w:pStyle w:val="1015"/>
        <w:ind w:firstLine="480"/>
        <w:spacing w:line="360" w:lineRule="auto"/>
        <w:rPr>
          <w:rFonts w:eastAsia="宋体" w:cs="宋体"/>
          <w:b/>
          <w:color w:val="000000"/>
          <w:sz w:val="24"/>
          <w:szCs w:val="24"/>
          <w:highlight w:val="none"/>
        </w:rPr>
        <w:outlineLvl w:val="1"/>
      </w:pPr>
      <w:r/>
      <w:bookmarkStart w:id="61" w:name="_Toc27875"/>
      <w:r>
        <w:rPr>
          <w:rFonts w:hint="eastAsia" w:eastAsia="宋体" w:cs="宋体"/>
          <w:b/>
          <w:color w:val="000000"/>
          <w:sz w:val="24"/>
          <w:szCs w:val="24"/>
          <w:highlight w:val="none"/>
        </w:rPr>
        <w:t xml:space="preserve">十、落标原因</w:t>
      </w:r>
      <w:bookmarkEnd w:id="61"/>
      <w:r>
        <w:rPr>
          <w:rFonts w:eastAsia="宋体" w:cs="宋体"/>
          <w:b/>
          <w:color w:val="000000"/>
          <w:sz w:val="24"/>
          <w:szCs w:val="24"/>
          <w:highlight w:val="none"/>
        </w:rPr>
      </w:r>
      <w:r/>
    </w:p>
    <w:p>
      <w:pPr>
        <w:pStyle w:val="1015"/>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评标委员会不对落标的投标人做落标原因的解释。</w:t>
      </w:r>
      <w:r>
        <w:rPr>
          <w:rFonts w:eastAsia="宋体" w:cs="宋体"/>
          <w:color w:val="000000"/>
          <w:sz w:val="24"/>
          <w:szCs w:val="24"/>
          <w:highlight w:val="none"/>
        </w:rPr>
      </w:r>
      <w:r/>
    </w:p>
    <w:p>
      <w:pPr>
        <w:pStyle w:val="1015"/>
        <w:ind w:firstLine="480"/>
        <w:jc w:val="left"/>
        <w:spacing w:line="360" w:lineRule="auto"/>
        <w:rPr>
          <w:rFonts w:eastAsia="宋体" w:cs="宋体"/>
          <w:color w:val="000000"/>
          <w:szCs w:val="21"/>
          <w:highlight w:val="none"/>
        </w:rPr>
        <w:sectPr>
          <w:headerReference w:type="default" r:id="rId12"/>
          <w:footerReference w:type="default" r:id="rId19"/>
          <w:footnotePr/>
          <w:endnotePr/>
          <w:type w:val="nextPage"/>
          <w:pgSz w:w="11905" w:h="16838" w:orient="portrait"/>
          <w:pgMar w:top="1417" w:right="1474" w:bottom="1474" w:left="1474" w:header="850" w:footer="992" w:gutter="0"/>
          <w:cols w:num="1" w:sep="0" w:space="1701" w:equalWidth="1"/>
          <w:docGrid w:linePitch="360"/>
        </w:sectPr>
      </w:pPr>
      <w:r/>
      <w:bookmarkEnd w:id="47"/>
      <w:r>
        <w:rPr>
          <w:rFonts w:eastAsia="宋体" w:cs="宋体"/>
          <w:color w:val="000000"/>
          <w:szCs w:val="21"/>
          <w:highlight w:val="none"/>
        </w:rPr>
      </w:r>
      <w:r/>
    </w:p>
    <w:p>
      <w:pPr>
        <w:pStyle w:val="1015"/>
        <w:jc w:val="center"/>
        <w:spacing w:line="360" w:lineRule="auto"/>
        <w:tabs>
          <w:tab w:val="left" w:pos="1050" w:leader="none"/>
          <w:tab w:val="right" w:pos="9402" w:leader="dot"/>
        </w:tabs>
        <w:rPr>
          <w:rFonts w:eastAsia="宋体" w:cs="宋体"/>
          <w:b/>
          <w:color w:val="000000"/>
          <w:sz w:val="36"/>
          <w:szCs w:val="36"/>
          <w:highlight w:val="none"/>
        </w:rPr>
        <w:outlineLvl w:val="0"/>
      </w:pPr>
      <w:r/>
      <w:bookmarkStart w:id="62" w:name="_Toc7894"/>
      <w:r/>
      <w:bookmarkStart w:id="63" w:name="_Toc363573857"/>
      <w:r/>
      <w:bookmarkStart w:id="64" w:name="_Toc3649"/>
      <w:r/>
      <w:bookmarkStart w:id="65" w:name="_Toc363573859"/>
      <w:r>
        <w:rPr>
          <w:rFonts w:hint="eastAsia" w:eastAsia="宋体" w:cs="宋体"/>
          <w:b/>
          <w:color w:val="000000"/>
          <w:sz w:val="36"/>
          <w:szCs w:val="36"/>
          <w:highlight w:val="none"/>
        </w:rPr>
        <w:t xml:space="preserve">第五章 合同主要条款</w:t>
      </w:r>
      <w:bookmarkEnd w:id="62"/>
      <w:r/>
      <w:bookmarkEnd w:id="63"/>
      <w:r/>
      <w:bookmarkEnd w:id="64"/>
      <w:r>
        <w:rPr>
          <w:rFonts w:eastAsia="宋体" w:cs="宋体"/>
          <w:b/>
          <w:color w:val="000000"/>
          <w:sz w:val="36"/>
          <w:szCs w:val="36"/>
          <w:highlight w:val="none"/>
        </w:rPr>
      </w:r>
      <w:r/>
    </w:p>
    <w:p>
      <w:pPr>
        <w:pStyle w:val="1015"/>
        <w:jc w:val="center"/>
        <w:spacing w:line="360" w:lineRule="auto"/>
        <w:rPr>
          <w:rFonts w:eastAsia="宋体" w:cs="宋体"/>
          <w:b/>
          <w:bCs/>
          <w:color w:val="000000"/>
          <w:sz w:val="28"/>
          <w:szCs w:val="28"/>
          <w:highlight w:val="none"/>
        </w:rPr>
      </w:pPr>
      <w:r>
        <w:rPr>
          <w:rFonts w:hint="eastAsia" w:eastAsia="宋体" w:cs="宋体"/>
          <w:b/>
          <w:bCs/>
          <w:color w:val="000000"/>
          <w:sz w:val="28"/>
          <w:szCs w:val="28"/>
          <w:highlight w:val="none"/>
        </w:rPr>
        <w:t xml:space="preserve">采购合同（服务）（合同编号）</w:t>
      </w:r>
      <w:r>
        <w:rPr>
          <w:rFonts w:eastAsia="宋体" w:cs="宋体"/>
          <w:b/>
          <w:bCs/>
          <w:color w:val="000000"/>
          <w:sz w:val="28"/>
          <w:szCs w:val="28"/>
          <w:highlight w:val="none"/>
        </w:rPr>
      </w:r>
      <w:r/>
    </w:p>
    <w:p>
      <w:pPr>
        <w:pStyle w:val="1147"/>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项目名称：                                     </w:t>
      </w:r>
      <w:r>
        <w:rPr>
          <w:rFonts w:ascii="Times New Roman" w:hAnsi="Times New Roman" w:eastAsia="宋体" w:cs="宋体"/>
          <w:color w:val="000000"/>
          <w:sz w:val="24"/>
          <w:szCs w:val="24"/>
          <w:highlight w:val="none"/>
        </w:rPr>
      </w:r>
      <w:r/>
    </w:p>
    <w:p>
      <w:pPr>
        <w:pStyle w:val="1147"/>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项目编号：</w:t>
      </w:r>
      <w:r>
        <w:rPr>
          <w:rFonts w:ascii="Times New Roman" w:hAnsi="Times New Roman" w:eastAsia="宋体" w:cs="宋体"/>
          <w:color w:val="000000"/>
          <w:sz w:val="24"/>
          <w:szCs w:val="24"/>
          <w:highlight w:val="none"/>
        </w:rPr>
      </w:r>
      <w:r/>
    </w:p>
    <w:p>
      <w:pPr>
        <w:pStyle w:val="1147"/>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甲方：_________</w:t>
      </w:r>
      <w:r>
        <w:rPr>
          <w:rFonts w:ascii="Times New Roman" w:hAnsi="Times New Roman" w:eastAsia="宋体" w:cs="宋体"/>
          <w:color w:val="000000"/>
          <w:sz w:val="24"/>
          <w:szCs w:val="24"/>
          <w:highlight w:val="none"/>
        </w:rPr>
      </w:r>
      <w:r/>
    </w:p>
    <w:p>
      <w:pPr>
        <w:pStyle w:val="1147"/>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乙方：_________</w:t>
      </w:r>
      <w:r>
        <w:rPr>
          <w:rFonts w:ascii="Times New Roman" w:hAnsi="Times New Roman" w:eastAsia="宋体" w:cs="宋体"/>
          <w:color w:val="000000"/>
          <w:sz w:val="24"/>
          <w:szCs w:val="24"/>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根据《中华人民共和国政府采购法》及其实施条例、《中华人民共和国民法典》等法律法规的规定，甲乙双方按照</w:t>
      </w:r>
      <w:r>
        <w:rPr>
          <w:rFonts w:eastAsia="宋体" w:cs="宋体"/>
          <w:color w:val="000000"/>
          <w:sz w:val="24"/>
          <w:highlight w:val="none"/>
          <w:u w:val="single"/>
        </w:rPr>
        <w:t xml:space="preserve">               </w:t>
      </w:r>
      <w:r>
        <w:rPr>
          <w:rFonts w:eastAsia="宋体" w:cs="宋体"/>
          <w:color w:val="000000"/>
          <w:sz w:val="24"/>
          <w:highlight w:val="none"/>
        </w:rPr>
        <w:t xml:space="preserve">项目（项目编号：</w:t>
      </w:r>
      <w:r>
        <w:rPr>
          <w:rFonts w:eastAsia="宋体" w:cs="宋体"/>
          <w:color w:val="000000"/>
          <w:sz w:val="24"/>
          <w:highlight w:val="none"/>
          <w:u w:val="single"/>
        </w:rPr>
        <w:t xml:space="preserve">    </w:t>
      </w:r>
      <w:r>
        <w:rPr>
          <w:rFonts w:eastAsia="宋体" w:cs="宋体"/>
          <w:color w:val="000000"/>
          <w:sz w:val="24"/>
          <w:highlight w:val="none"/>
        </w:rPr>
        <w:t xml:space="preserve">）政府采购结果签订本合同。</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第一条定义</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除非另有特别解释或说明，本合同有关词语应按如下定义解释：</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1.1</w:t>
      </w:r>
      <w:r>
        <w:rPr>
          <w:rFonts w:eastAsia="宋体" w:cs="宋体"/>
          <w:color w:val="000000"/>
          <w:sz w:val="24"/>
          <w:highlight w:val="none"/>
        </w:rPr>
        <w:t xml:space="preserve">合同：甲乙双方签署的，与本项目相关的合同书、附件、附录、其他文件以及政府采购程序中的全部文件。</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1.2</w:t>
      </w:r>
      <w:r>
        <w:rPr>
          <w:rFonts w:eastAsia="宋体" w:cs="宋体"/>
          <w:color w:val="000000"/>
          <w:sz w:val="24"/>
          <w:highlight w:val="none"/>
        </w:rPr>
        <w:t xml:space="preserve">甲方：购买本合同项下服务的国家机关、事业单位、团体组织。</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1.3</w:t>
      </w:r>
      <w:r>
        <w:rPr>
          <w:rFonts w:eastAsia="宋体" w:cs="宋体"/>
          <w:color w:val="000000"/>
          <w:sz w:val="24"/>
          <w:highlight w:val="none"/>
        </w:rPr>
        <w:t xml:space="preserve">乙方：提供本合同项下服务的法人、其他组织或自然人。</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1.4</w:t>
      </w:r>
      <w:r>
        <w:rPr>
          <w:rFonts w:eastAsia="宋体" w:cs="宋体"/>
          <w:color w:val="000000"/>
          <w:sz w:val="24"/>
          <w:highlight w:val="none"/>
        </w:rPr>
        <w:t xml:space="preserve">服务：提供本合同规定的乙方承担的</w:t>
      </w:r>
      <w:r>
        <w:rPr>
          <w:rFonts w:hint="eastAsia" w:eastAsia="宋体" w:cs="宋体"/>
          <w:color w:val="000000"/>
          <w:sz w:val="24"/>
          <w:szCs w:val="24"/>
          <w:highlight w:val="none"/>
          <w:lang w:eastAsia="zh-CN"/>
        </w:rPr>
        <w:t xml:space="preserve">南通市第三人民医院2号楼智慧病房建设</w:t>
      </w:r>
      <w:r>
        <w:rPr>
          <w:rFonts w:eastAsia="宋体" w:cs="宋体"/>
          <w:color w:val="000000"/>
          <w:sz w:val="24"/>
          <w:highlight w:val="none"/>
        </w:rPr>
        <w:t xml:space="preserve">及相关工作。</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1.5</w:t>
      </w:r>
      <w:r>
        <w:rPr>
          <w:rFonts w:eastAsia="宋体" w:cs="宋体"/>
          <w:color w:val="000000"/>
          <w:sz w:val="24"/>
          <w:highlight w:val="none"/>
        </w:rPr>
        <w:t xml:space="preserve">合同价款：根据合同规定乙方在正确地完全履行合同义务后甲方应支付给乙方的价款，包含了甲方购买合同项下相关服务的一切费用。</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第二条组成本合同的文件</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2.1</w:t>
      </w:r>
      <w:r>
        <w:rPr>
          <w:rFonts w:eastAsia="宋体" w:cs="宋体"/>
          <w:color w:val="000000"/>
          <w:sz w:val="24"/>
          <w:highlight w:val="none"/>
        </w:rPr>
        <w:t xml:space="preserve">下列文件是组成本合同的不可分割的部分：</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①</w:t>
      </w:r>
      <w:r>
        <w:rPr>
          <w:rFonts w:eastAsia="宋体" w:cs="宋体"/>
          <w:color w:val="000000"/>
          <w:sz w:val="24"/>
          <w:highlight w:val="none"/>
        </w:rPr>
        <w:t xml:space="preserve">中标或成交通知书；</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②</w:t>
      </w:r>
      <w:r>
        <w:rPr>
          <w:rFonts w:eastAsia="宋体" w:cs="宋体"/>
          <w:color w:val="000000"/>
          <w:sz w:val="24"/>
          <w:highlight w:val="none"/>
        </w:rPr>
        <w:t xml:space="preserve">招标文件、竞争性谈判文件、询价文件、单一来源谈判记录、竞争性磋商文件等（以下统称“采购文件”）；</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③</w:t>
      </w:r>
      <w:r>
        <w:rPr>
          <w:rFonts w:eastAsia="宋体" w:cs="宋体"/>
          <w:color w:val="000000"/>
          <w:sz w:val="24"/>
          <w:highlight w:val="none"/>
        </w:rPr>
        <w:t xml:space="preserve">乙方的投标文件或响应文件；</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④</w:t>
      </w:r>
      <w:r>
        <w:rPr>
          <w:rFonts w:eastAsia="宋体" w:cs="宋体"/>
          <w:color w:val="000000"/>
          <w:sz w:val="24"/>
          <w:highlight w:val="none"/>
        </w:rPr>
        <w:t xml:space="preserve">乙方在报价过程中所作的其它承诺、声明、书面澄清等。</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2.2</w:t>
      </w:r>
      <w:r>
        <w:rPr>
          <w:rFonts w:eastAsia="宋体" w:cs="宋体"/>
          <w:color w:val="000000"/>
          <w:sz w:val="24"/>
          <w:highlight w:val="none"/>
        </w:rPr>
        <w:t xml:space="preserve">上述文件之间如果出现不一致的，以甲方文件确定的内容为准，但乙方文件的内容对甲方更有利的，适用乙方文件。</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2.3</w:t>
      </w:r>
      <w:r>
        <w:rPr>
          <w:rFonts w:eastAsia="宋体" w:cs="宋体"/>
          <w:color w:val="000000"/>
          <w:sz w:val="24"/>
          <w:highlight w:val="none"/>
        </w:rPr>
        <w:t xml:space="preserve">乙方文件应当符合采购文件确定的原则，如果乙方文件中的表述，形式上符合采购文件原则，但具体内容对甲方不利、对乙方有利的，视为背离采购文件，不予适用。</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第三条合同内容</w:t>
      </w:r>
      <w:r>
        <w:rPr>
          <w:rFonts w:eastAsia="宋体"/>
          <w:color w:val="000000"/>
          <w:highlight w:val="none"/>
        </w:rPr>
      </w:r>
      <w:r/>
    </w:p>
    <w:p>
      <w:pPr>
        <w:pStyle w:val="1015"/>
        <w:ind w:firstLine="480"/>
        <w:spacing w:line="519" w:lineRule="atLeast"/>
        <w:rPr>
          <w:rFonts w:hint="eastAsia" w:eastAsia="宋体"/>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color w:val="000000"/>
          <w:sz w:val="24"/>
          <w:highlight w:val="none"/>
          <w:lang w:val="en-US" w:eastAsia="zh-CN"/>
        </w:rPr>
        <w:t xml:space="preserve">（一）建设具体实施内容：</w:t>
      </w:r>
      <w:r>
        <w:rPr>
          <w:rFonts w:hint="eastAsia" w:eastAsia="宋体"/>
          <w:color w:val="000000"/>
          <w:sz w:val="24"/>
          <w:highlight w:val="none"/>
        </w:rPr>
      </w:r>
      <w:r/>
    </w:p>
    <w:p>
      <w:pPr>
        <w:pStyle w:val="1015"/>
        <w:ind w:firstLine="480"/>
        <w:spacing w:line="519" w:lineRule="atLeast"/>
        <w:rPr>
          <w:rFonts w:hint="eastAsia" w:eastAsia="宋体"/>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color w:val="000000"/>
          <w:sz w:val="24"/>
          <w:highlight w:val="none"/>
        </w:rPr>
        <w:t xml:space="preserve">以护理病区为基本单位进行软硬件全面导入进程如下：</w:t>
      </w:r>
      <w:r>
        <w:rPr>
          <w:rFonts w:hint="eastAsia" w:eastAsia="宋体"/>
          <w:color w:val="000000"/>
          <w:sz w:val="24"/>
          <w:highlight w:val="none"/>
        </w:rPr>
      </w:r>
      <w:r/>
    </w:p>
    <w:p>
      <w:pPr>
        <w:pStyle w:val="1015"/>
        <w:ind w:firstLine="480"/>
        <w:spacing w:line="519" w:lineRule="atLeast"/>
        <w:rPr>
          <w:rFonts w:hint="eastAsia" w:eastAsia="宋体"/>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color w:val="000000"/>
          <w:sz w:val="24"/>
          <w:highlight w:val="none"/>
        </w:rPr>
        <w:t xml:space="preserve">1.设备终端安装：包括护士站主机、床旁终端设备、卫生间呼叫分机、护理智能看板等设备。</w:t>
      </w:r>
      <w:r>
        <w:rPr>
          <w:rFonts w:hint="eastAsia" w:eastAsia="宋体"/>
          <w:color w:val="000000"/>
          <w:sz w:val="24"/>
          <w:highlight w:val="none"/>
        </w:rPr>
      </w:r>
      <w:r/>
    </w:p>
    <w:p>
      <w:pPr>
        <w:pStyle w:val="1015"/>
        <w:ind w:firstLine="480"/>
        <w:spacing w:line="519" w:lineRule="atLeast"/>
        <w:rPr>
          <w:rFonts w:hint="eastAsia" w:eastAsia="宋体"/>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color w:val="000000"/>
          <w:sz w:val="24"/>
          <w:highlight w:val="none"/>
        </w:rPr>
        <w:t xml:space="preserve">2.架构终端的安装：包配线架、交换机等。</w:t>
      </w:r>
      <w:r>
        <w:rPr>
          <w:rFonts w:hint="eastAsia" w:eastAsia="宋体"/>
          <w:color w:val="000000"/>
          <w:sz w:val="24"/>
          <w:highlight w:val="none"/>
        </w:rPr>
      </w:r>
      <w:r/>
    </w:p>
    <w:p>
      <w:pPr>
        <w:pStyle w:val="1015"/>
        <w:ind w:firstLine="480"/>
        <w:spacing w:line="519" w:lineRule="atLeast"/>
        <w:rPr>
          <w:rFonts w:hint="eastAsia" w:eastAsia="宋体"/>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color w:val="000000"/>
          <w:sz w:val="24"/>
          <w:highlight w:val="none"/>
        </w:rPr>
        <w:t xml:space="preserve">3.基建布线部分安装：包括病区线路的敷设。</w:t>
      </w:r>
      <w:r>
        <w:rPr>
          <w:rFonts w:hint="eastAsia" w:eastAsia="宋体"/>
          <w:color w:val="000000"/>
          <w:sz w:val="24"/>
          <w:highlight w:val="none"/>
        </w:rPr>
      </w:r>
      <w:r/>
    </w:p>
    <w:p>
      <w:pPr>
        <w:pStyle w:val="1015"/>
        <w:ind w:firstLine="480"/>
        <w:spacing w:line="519" w:lineRule="atLeast"/>
        <w:rPr>
          <w:rFonts w:hint="eastAsia" w:eastAsia="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sz w:val="24"/>
          <w:highlight w:val="none"/>
        </w:rPr>
        <w:t xml:space="preserve">4.系统调通与实施：硬件系统完成组网后，进行软件的部署，做好与第三方系统的</w:t>
      </w:r>
      <w:r>
        <w:rPr>
          <w:rFonts w:hint="eastAsia" w:eastAsia="宋体"/>
          <w:color w:val="000000"/>
          <w:sz w:val="24"/>
          <w:highlight w:val="none"/>
          <w:lang w:val="en-US" w:eastAsia="zh-CN"/>
        </w:rPr>
        <w:t xml:space="preserve">连接，各类扩展方案等系统的接口部署。 </w:t>
      </w:r>
      <w:r>
        <w:rPr>
          <w:rFonts w:hint="eastAsia" w:eastAsia="宋体"/>
          <w:color w:val="000000"/>
          <w:sz w:val="24"/>
          <w:highlight w:val="none"/>
          <w:lang w:val="en-US" w:eastAsia="zh-CN"/>
        </w:rPr>
      </w:r>
      <w:r/>
    </w:p>
    <w:p>
      <w:pPr>
        <w:pStyle w:val="1015"/>
        <w:ind w:firstLine="480"/>
        <w:spacing w:line="519" w:lineRule="atLeast"/>
        <w:rPr>
          <w:rFonts w:hint="eastAsia" w:eastAsia="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sz w:val="24"/>
          <w:highlight w:val="none"/>
          <w:lang w:val="en-US" w:eastAsia="zh-CN"/>
        </w:rPr>
        <w:t xml:space="preserve">（二） 项目需求清单</w:t>
      </w:r>
      <w:r>
        <w:rPr>
          <w:rFonts w:hint="eastAsia" w:eastAsia="宋体"/>
          <w:color w:val="000000"/>
          <w:sz w:val="24"/>
          <w:highlight w:val="none"/>
          <w:lang w:val="en-US" w:eastAsia="zh-CN"/>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86"/>
        <w:gridCol w:w="3376"/>
        <w:gridCol w:w="1607"/>
        <w:gridCol w:w="2110"/>
      </w:tblGrid>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货物名称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单位</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w:t>
            </w:r>
            <w:r>
              <w:rPr>
                <w:rFonts w:hint="eastAsia" w:ascii="宋体" w:hAnsi="宋体" w:eastAsia="宋体" w:cs="宋体"/>
                <w:b/>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智能护理信息看板交互软件</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触摸液晶一体机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护理通讯信息系统软件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医护主机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7英寸床头分机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528</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智能床垫</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张</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48</w:t>
            </w:r>
            <w:r>
              <w:rPr>
                <w:rFonts w:hint="eastAsia" w:ascii="宋体" w:hAnsi="宋体" w:eastAsia="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8口POE交换机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176</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卫生间分机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176</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走廊显示屏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r>
      <w:tr>
        <w:trPr>
          <w:trHeight w:val="65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48口内网交换机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万兆单模光模块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六类非屏蔽网线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箱</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80</w:t>
            </w:r>
            <w:r>
              <w:rPr>
                <w:rFonts w:hint="eastAsia" w:ascii="宋体" w:hAnsi="宋体" w:eastAsia="宋体" w:cs="宋体"/>
                <w:color w:val="000000"/>
                <w:sz w:val="24"/>
                <w:szCs w:val="24"/>
                <w:highlight w:val="none"/>
              </w:rPr>
            </w:r>
            <w:r/>
          </w:p>
        </w:tc>
      </w:tr>
      <w:tr>
        <w:trPr>
          <w:trHeight w:val="339"/>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墙柜</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r>
      <w:tr>
        <w:trPr>
          <w:trHeight w:val="93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辅材（配套辅材、管材、面板、网络模块等）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安装调试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弱电间整理</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76"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软件接口</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10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bl>
    <w:p>
      <w:pPr>
        <w:pStyle w:val="1015"/>
        <w:numPr>
          <w:ilvl w:val="0"/>
          <w:numId w:val="0"/>
        </w:numPr>
        <w:ind w:firstLine="482"/>
        <w:spacing w:line="360" w:lineRule="auto"/>
        <w:rPr>
          <w:rFonts w:hint="eastAsia" w:ascii="宋体" w:hAnsi="宋体" w:eastAsia="宋体" w:cs="宋体"/>
          <w:color w:val="000000"/>
          <w:sz w:val="24"/>
          <w:szCs w:val="24"/>
          <w:highlight w:val="none"/>
        </w:rPr>
      </w:pPr>
      <w:r>
        <w:rPr>
          <w:rFonts w:hint="eastAsia" w:eastAsia="宋体" w:cs="宋体"/>
          <w:b/>
          <w:bCs/>
          <w:color w:val="000000"/>
          <w:sz w:val="24"/>
          <w:szCs w:val="24"/>
          <w:highlight w:val="none"/>
          <w:lang w:val="en-US" w:eastAsia="zh-CN"/>
        </w:rPr>
        <w:t xml:space="preserve">（三）</w:t>
      </w:r>
      <w:r>
        <w:rPr>
          <w:rFonts w:hint="eastAsia" w:ascii="Times New Roman" w:hAnsi="Times New Roman" w:eastAsia="宋体" w:cs="宋体"/>
          <w:b/>
          <w:bCs/>
          <w:color w:val="000000"/>
          <w:sz w:val="24"/>
          <w:szCs w:val="24"/>
          <w:highlight w:val="none"/>
          <w:lang w:val="en-US" w:eastAsia="zh-CN"/>
        </w:rPr>
        <w:t xml:space="preserve">质保要求：</w:t>
      </w:r>
      <w:r>
        <w:rPr>
          <w:rFonts w:hint="eastAsia" w:ascii="宋体" w:hAnsi="宋体" w:eastAsia="宋体" w:cs="宋体"/>
          <w:color w:val="000000"/>
          <w:sz w:val="24"/>
          <w:szCs w:val="24"/>
          <w:highlight w:val="none"/>
        </w:rPr>
        <w:t xml:space="preserve">整体质保叁年。</w:t>
      </w:r>
      <w:r>
        <w:rPr>
          <w:rFonts w:hint="eastAsia" w:ascii="宋体" w:hAnsi="宋体" w:eastAsia="宋体" w:cs="宋体"/>
          <w:color w:val="000000"/>
          <w:sz w:val="24"/>
          <w:szCs w:val="24"/>
          <w:highlight w:val="none"/>
        </w:rPr>
      </w:r>
      <w:r/>
    </w:p>
    <w:p>
      <w:pPr>
        <w:pStyle w:val="1015"/>
        <w:contextualSpacing/>
        <w:ind w:firstLine="482"/>
        <w:spacing w:line="360" w:lineRule="auto"/>
        <w:rPr>
          <w:rFonts w:hint="eastAsia" w:ascii="Times New Roman" w:hAnsi="Times New Roman" w:eastAsia="宋体" w:cs="宋体"/>
          <w:b/>
          <w:bCs/>
          <w:color w:val="000000"/>
          <w:sz w:val="24"/>
          <w:szCs w:val="24"/>
          <w:highlight w:val="none"/>
          <w:lang w:val="en-US" w:eastAsia="zh-CN"/>
        </w:rPr>
      </w:pPr>
      <w:r>
        <w:rPr>
          <w:rFonts w:hint="eastAsia" w:eastAsia="宋体" w:cs="宋体"/>
          <w:b/>
          <w:bCs/>
          <w:color w:val="000000"/>
          <w:sz w:val="24"/>
          <w:szCs w:val="24"/>
          <w:highlight w:val="none"/>
          <w:lang w:val="en-US" w:eastAsia="zh-CN"/>
        </w:rPr>
        <w:t xml:space="preserve">（四）</w:t>
      </w:r>
      <w:r>
        <w:rPr>
          <w:rFonts w:hint="eastAsia" w:ascii="Times New Roman" w:hAnsi="Times New Roman" w:eastAsia="宋体" w:cs="宋体"/>
          <w:b/>
          <w:bCs/>
          <w:color w:val="000000"/>
          <w:sz w:val="24"/>
          <w:szCs w:val="24"/>
          <w:highlight w:val="none"/>
          <w:lang w:val="en-US" w:eastAsia="zh-CN"/>
        </w:rPr>
        <w:t xml:space="preserve">其它要求</w:t>
      </w:r>
      <w:r>
        <w:rPr>
          <w:rFonts w:hint="eastAsia" w:ascii="Times New Roman" w:hAnsi="Times New Roman" w:eastAsia="宋体" w:cs="宋体"/>
          <w:b/>
          <w:bCs/>
          <w:color w:val="000000"/>
          <w:sz w:val="24"/>
          <w:szCs w:val="24"/>
          <w:highlight w:val="none"/>
          <w:lang w:val="en-US" w:eastAsia="zh-CN"/>
        </w:rPr>
      </w:r>
      <w:r/>
    </w:p>
    <w:p>
      <w:pPr>
        <w:pStyle w:val="1032"/>
        <w:numPr>
          <w:ilvl w:val="0"/>
          <w:numId w:val="0"/>
        </w:numPr>
        <w:ind w:left="0" w:firstLine="482"/>
        <w:spacing w:line="360" w:lineRule="auto"/>
        <w:rPr>
          <w:rFonts w:hint="eastAsia" w:ascii="宋体" w:hAnsi="宋体" w:eastAsia="宋体" w:cs="宋体"/>
          <w:b/>
          <w:bCs/>
          <w:color w:val="000000"/>
          <w:sz w:val="24"/>
          <w:szCs w:val="24"/>
          <w:highlight w:val="none"/>
        </w:rPr>
      </w:pPr>
      <w:r>
        <w:rPr>
          <w:rFonts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工程实施要求</w:t>
      </w:r>
      <w:r>
        <w:rPr>
          <w:rFonts w:hint="eastAsia" w:ascii="宋体" w:hAnsi="宋体" w:eastAsia="宋体" w:cs="宋体"/>
          <w:b/>
          <w:bCs/>
          <w:color w:val="000000"/>
          <w:sz w:val="24"/>
          <w:szCs w:val="24"/>
          <w:highlight w:val="none"/>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工期：配合基建改造，按楼层实施交付。</w:t>
      </w:r>
      <w:r>
        <w:rPr>
          <w:rFonts w:hint="eastAsia" w:ascii="宋体" w:hAnsi="宋体" w:eastAsia="宋体" w:cs="宋体"/>
          <w:color w:val="000000"/>
          <w:sz w:val="24"/>
          <w:szCs w:val="24"/>
          <w:highlight w:val="none"/>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供应商应仔细阅读项目需求说明，详细对医院的相关安装现场进行勘察。</w:t>
      </w:r>
      <w:r>
        <w:rPr>
          <w:rFonts w:hint="eastAsia" w:ascii="宋体" w:hAnsi="宋体" w:eastAsia="宋体" w:cs="宋体"/>
          <w:color w:val="000000"/>
          <w:sz w:val="24"/>
          <w:szCs w:val="24"/>
          <w:highlight w:val="none"/>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供应商负责项目全部实施工作，包括人工、施工机械、安装调试、施工管理、保险、消防、质检、安全治安、环保、政策性文件规定及合同包含的所有内容、责任所发生的各项费用。</w:t>
      </w:r>
      <w:r>
        <w:rPr>
          <w:rFonts w:hint="eastAsia" w:ascii="宋体" w:hAnsi="宋体" w:eastAsia="宋体" w:cs="宋体"/>
          <w:color w:val="000000"/>
          <w:sz w:val="24"/>
          <w:szCs w:val="24"/>
          <w:highlight w:val="none"/>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1.4供应商须为本项目设立专门的实施服务队伍。</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1.5成交供应商应服从院方的管理，并保证施工不影响医院的正常业务。施工期应尽量安排在医院就诊时间以外。施工期间，严格遵守医院各项规章制度及管理措施。</w:t>
      </w:r>
      <w:r>
        <w:rPr>
          <w:rFonts w:hint="eastAsia" w:ascii="宋体" w:hAnsi="宋体" w:eastAsia="宋体" w:cs="宋体"/>
          <w:color w:val="000000"/>
          <w:sz w:val="24"/>
          <w:szCs w:val="24"/>
          <w:highlight w:val="none"/>
          <w:lang w:val="en-US" w:eastAsia="zh-CN"/>
        </w:rPr>
      </w:r>
      <w:r/>
    </w:p>
    <w:p>
      <w:pPr>
        <w:pStyle w:val="1032"/>
        <w:numPr>
          <w:ilvl w:val="0"/>
          <w:numId w:val="0"/>
        </w:numPr>
        <w:ind w:left="0" w:firstLine="482"/>
        <w:spacing w:line="360" w:lineRule="auto"/>
        <w:rPr>
          <w:rFonts w:hint="eastAsia" w:ascii="宋体" w:hAnsi="宋体" w:eastAsia="宋体" w:cs="宋体"/>
          <w:b/>
          <w:bCs/>
          <w:color w:val="000000"/>
          <w:sz w:val="24"/>
          <w:szCs w:val="24"/>
          <w:highlight w:val="none"/>
        </w:rPr>
      </w:pPr>
      <w:r>
        <w:rPr>
          <w:rFonts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rPr>
        <w:t xml:space="preserve">售后服务要求</w:t>
      </w:r>
      <w:r>
        <w:rPr>
          <w:rFonts w:hint="eastAsia" w:ascii="宋体" w:hAnsi="宋体" w:eastAsia="宋体" w:cs="宋体"/>
          <w:b/>
          <w:bCs/>
          <w:color w:val="000000"/>
          <w:sz w:val="24"/>
          <w:szCs w:val="24"/>
          <w:highlight w:val="none"/>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2.1系统的免费服务期为叁年，服务期内，一旦系统出现故障，成交供应商技术服务人员4小时内到达现场。</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2.2投标人按照投标文件中提交的售后服务保修计划提供售后服务。</w:t>
      </w:r>
      <w:r>
        <w:rPr>
          <w:rFonts w:hint="eastAsia" w:ascii="宋体" w:hAnsi="宋体" w:eastAsia="宋体" w:cs="宋体"/>
          <w:color w:val="000000"/>
          <w:sz w:val="24"/>
          <w:szCs w:val="24"/>
          <w:highlight w:val="none"/>
          <w:lang w:val="en-US" w:eastAsia="zh-CN"/>
        </w:rPr>
      </w:r>
      <w:r/>
    </w:p>
    <w:p>
      <w:pPr>
        <w:pStyle w:val="1015"/>
        <w:ind w:firstLine="480"/>
        <w:jc w:val="left"/>
        <w:keepLines w:val="0"/>
        <w:keepNext w:val="0"/>
        <w:pageBreakBefore w:val="0"/>
        <w:spacing w:line="36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2.3所提供的货物开箱后，发现有任何问题（包括外观损伤），必须以采购人能接受的方式加以解决。在质保期内，同一设备、同一质量问题连续两次维修仍无法正常使用的，须更换同品牌、同型号新设备，并对产品质量实行“包修包换包退”服务。</w:t>
      </w:r>
      <w:r>
        <w:rPr>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第四条合同价款</w:t>
      </w:r>
      <w:r>
        <w:rPr>
          <w:rFonts w:eastAsia="宋体"/>
          <w:color w:val="000000"/>
          <w:highlight w:val="none"/>
        </w:rPr>
      </w:r>
      <w:r/>
    </w:p>
    <w:p>
      <w:pPr>
        <w:pStyle w:val="1015"/>
        <w:ind w:firstLine="480"/>
        <w:spacing w:line="519" w:lineRule="atLeast"/>
        <w:rPr>
          <w:rFonts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本合同项下服务费用总金额为人民币</w:t>
      </w:r>
      <w:r>
        <w:rPr>
          <w:rFonts w:eastAsia="宋体" w:cs="宋体"/>
          <w:color w:val="000000"/>
          <w:sz w:val="24"/>
          <w:highlight w:val="none"/>
          <w:u w:val="single"/>
        </w:rPr>
        <w:t xml:space="preserve">    </w:t>
      </w:r>
      <w:r>
        <w:rPr>
          <w:rFonts w:hint="eastAsia" w:eastAsia="宋体" w:cs="宋体"/>
          <w:color w:val="000000"/>
          <w:sz w:val="24"/>
          <w:highlight w:val="none"/>
          <w:u w:val="single"/>
          <w:lang w:val="en-US" w:eastAsia="zh-CN"/>
        </w:rPr>
        <w:t xml:space="preserve"> </w:t>
      </w:r>
      <w:r>
        <w:rPr>
          <w:rFonts w:eastAsia="宋体" w:cs="宋体"/>
          <w:color w:val="000000"/>
          <w:sz w:val="24"/>
          <w:highlight w:val="none"/>
          <w:u w:val="single"/>
        </w:rPr>
        <w:t xml:space="preserve">   </w:t>
      </w:r>
      <w:r>
        <w:rPr>
          <w:rFonts w:eastAsia="宋体" w:cs="宋体"/>
          <w:color w:val="000000"/>
          <w:sz w:val="24"/>
          <w:highlight w:val="none"/>
        </w:rPr>
        <w:t xml:space="preserve">元整（大写：</w:t>
      </w:r>
      <w:r>
        <w:rPr>
          <w:rFonts w:eastAsia="宋体" w:cs="宋体"/>
          <w:color w:val="000000"/>
          <w:sz w:val="24"/>
          <w:highlight w:val="none"/>
          <w:u w:val="single"/>
        </w:rPr>
        <w:t xml:space="preserve">   </w:t>
      </w:r>
      <w:r>
        <w:rPr>
          <w:rFonts w:hint="eastAsia" w:eastAsia="宋体" w:cs="宋体"/>
          <w:color w:val="000000"/>
          <w:sz w:val="24"/>
          <w:highlight w:val="none"/>
          <w:u w:val="single"/>
          <w:lang w:val="en-US" w:eastAsia="zh-CN"/>
        </w:rPr>
        <w:t xml:space="preserve">  </w:t>
      </w:r>
      <w:r>
        <w:rPr>
          <w:rFonts w:eastAsia="宋体" w:cs="宋体"/>
          <w:color w:val="000000"/>
          <w:sz w:val="24"/>
          <w:highlight w:val="none"/>
          <w:u w:val="single"/>
        </w:rPr>
        <w:t xml:space="preserve">   </w:t>
      </w:r>
      <w:r>
        <w:rPr>
          <w:rFonts w:eastAsia="宋体" w:cs="宋体"/>
          <w:color w:val="000000"/>
          <w:sz w:val="24"/>
          <w:highlight w:val="none"/>
        </w:rPr>
        <w:t xml:space="preserve">）。</w:t>
      </w:r>
      <w:r>
        <w:rPr>
          <w:rFonts w:eastAsia="宋体" w:cs="宋体"/>
          <w:color w:val="000000"/>
          <w:sz w:val="24"/>
          <w:highlight w:val="none"/>
        </w:rPr>
      </w:r>
      <w:r/>
    </w:p>
    <w:p>
      <w:pPr>
        <w:pStyle w:val="1015"/>
        <w:ind w:firstLine="480"/>
        <w:spacing w:line="519" w:lineRule="atLeast"/>
        <w:rPr>
          <w:rFonts w:hint="eastAsia"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color w:val="000000"/>
          <w:sz w:val="24"/>
          <w:highlight w:val="none"/>
          <w:lang w:val="en-US" w:eastAsia="zh-CN"/>
        </w:rPr>
        <w:t xml:space="preserve">上述服务费用</w:t>
      </w:r>
      <w:r>
        <w:rPr>
          <w:rFonts w:hint="eastAsia" w:eastAsia="宋体" w:cs="宋体"/>
          <w:color w:val="000000"/>
          <w:sz w:val="24"/>
          <w:highlight w:val="none"/>
        </w:rPr>
        <w:t xml:space="preserve">包括</w:t>
      </w:r>
      <w:r>
        <w:rPr>
          <w:rFonts w:hint="eastAsia" w:eastAsia="宋体" w:cs="宋体"/>
          <w:color w:val="000000"/>
          <w:sz w:val="24"/>
          <w:highlight w:val="none"/>
          <w:lang w:val="en-US" w:eastAsia="zh-CN"/>
        </w:rPr>
        <w:t xml:space="preserve">但不限于</w:t>
      </w:r>
      <w:r>
        <w:rPr>
          <w:rFonts w:hint="eastAsia" w:eastAsia="宋体" w:cs="宋体"/>
          <w:color w:val="000000"/>
          <w:sz w:val="24"/>
          <w:highlight w:val="none"/>
        </w:rPr>
        <w:t xml:space="preserve">人工、施工机械、安装调试、施工管理、保险、消防、质检、安全治安、环保、政策性文件规定及合同包含的所有内容、责任所发生的各项费用</w:t>
      </w:r>
      <w:r>
        <w:rPr>
          <w:rFonts w:hint="eastAsia" w:eastAsia="宋体" w:cs="宋体"/>
          <w:color w:val="000000"/>
          <w:sz w:val="24"/>
          <w:highlight w:val="none"/>
          <w:lang w:eastAsia="zh-CN"/>
        </w:rPr>
        <w:t xml:space="preserve">。</w:t>
      </w:r>
      <w:r>
        <w:rPr>
          <w:rFonts w:hint="eastAsia" w:eastAsia="宋体" w:cs="宋体"/>
          <w:color w:val="000000"/>
          <w:sz w:val="24"/>
          <w:highlight w:val="none"/>
          <w:lang w:val="en-US" w:eastAsia="zh-CN"/>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第五条支付结算 </w:t>
      </w:r>
      <w:r>
        <w:rPr>
          <w:rFonts w:eastAsia="宋体"/>
          <w:color w:val="000000"/>
          <w:highlight w:val="none"/>
        </w:rPr>
      </w:r>
      <w:r/>
    </w:p>
    <w:p>
      <w:pPr>
        <w:pStyle w:val="1015"/>
        <w:ind w:firstLine="480"/>
        <w:spacing w:line="519" w:lineRule="atLeast"/>
        <w:rPr>
          <w:rFonts w:hint="eastAsia"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cs="宋体"/>
          <w:color w:val="000000"/>
          <w:sz w:val="24"/>
          <w:highlight w:val="none"/>
          <w:lang w:val="zh-CN"/>
        </w:rPr>
        <w:t xml:space="preserve">合同签订后支付30%预付款，项目验收后支付50%项目款，项目质保期满后支付20%项目尾款。每次付款前，</w:t>
      </w:r>
      <w:r>
        <w:rPr>
          <w:rFonts w:hint="eastAsia" w:eastAsia="宋体" w:cs="宋体"/>
          <w:color w:val="000000"/>
          <w:sz w:val="24"/>
          <w:highlight w:val="none"/>
          <w:lang w:val="en-US" w:eastAsia="zh-CN"/>
        </w:rPr>
        <w:t xml:space="preserve">乙方</w:t>
      </w:r>
      <w:r>
        <w:rPr>
          <w:rFonts w:hint="eastAsia" w:eastAsia="宋体" w:cs="宋体"/>
          <w:color w:val="000000"/>
          <w:sz w:val="24"/>
          <w:highlight w:val="none"/>
          <w:lang w:val="zh-CN"/>
        </w:rPr>
        <w:t xml:space="preserve">开具正规税务发票</w:t>
      </w:r>
      <w:r>
        <w:rPr>
          <w:rFonts w:hint="eastAsia" w:eastAsia="宋体" w:cs="宋体"/>
          <w:color w:val="000000"/>
          <w:sz w:val="24"/>
          <w:highlight w:val="none"/>
        </w:rPr>
        <w:t xml:space="preserve">。 </w:t>
      </w:r>
      <w:r>
        <w:rPr>
          <w:rFonts w:hint="eastAsia" w:eastAsia="宋体" w:cs="宋体"/>
          <w:color w:val="000000"/>
          <w:sz w:val="24"/>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第六条验收办法</w:t>
      </w:r>
      <w:r>
        <w:rPr>
          <w:rFonts w:eastAsia="宋体"/>
          <w:color w:val="000000"/>
          <w:highlight w:val="none"/>
        </w:rPr>
      </w:r>
      <w:r/>
    </w:p>
    <w:p>
      <w:pPr>
        <w:pStyle w:val="1015"/>
        <w:ind w:firstLine="480"/>
        <w:spacing w:line="519" w:lineRule="atLeast"/>
        <w:rPr>
          <w:rFonts w:hint="eastAsia"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cs="宋体"/>
          <w:color w:val="000000"/>
          <w:sz w:val="24"/>
          <w:highlight w:val="none"/>
        </w:rPr>
        <w:t xml:space="preserve">甲方按合同约定积极配合乙方履约，按合同约定及时组织相关专业技术人员进行验收，并出具验收报告，验收合格的作为支付款项的依据。</w:t>
      </w:r>
      <w:r>
        <w:rPr>
          <w:rFonts w:hint="eastAsia" w:eastAsia="宋体" w:cs="宋体"/>
          <w:color w:val="000000"/>
          <w:sz w:val="24"/>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第七条 双方的其他权利义务</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7.1</w:t>
      </w:r>
      <w:r>
        <w:rPr>
          <w:rFonts w:eastAsia="宋体" w:cs="宋体"/>
          <w:color w:val="000000"/>
          <w:sz w:val="24"/>
          <w:highlight w:val="none"/>
        </w:rPr>
        <w:t xml:space="preserve">甲方权利义务</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7.1.1 </w:t>
      </w:r>
      <w:r>
        <w:rPr>
          <w:rFonts w:eastAsia="宋体" w:cs="宋体"/>
          <w:color w:val="000000"/>
          <w:sz w:val="24"/>
          <w:highlight w:val="none"/>
        </w:rPr>
        <w:t xml:space="preserve">甲方权利</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甲方有权随时向乙方了解服务进展，提出改进意见和建议；甲方有权根据实际履约质量和进度情况要求乙方按照本合同约定加强管理直至提供符合约定的服务。</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7.1.2</w:t>
      </w:r>
      <w:r>
        <w:rPr>
          <w:rFonts w:eastAsia="宋体" w:cs="宋体"/>
          <w:color w:val="000000"/>
          <w:sz w:val="24"/>
          <w:highlight w:val="none"/>
        </w:rPr>
        <w:t xml:space="preserve">甲方义务</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甲方应按时支付合同价款；为乙方履行合同提供必要的便利条件；本合同约定的其他义务。</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7.2</w:t>
      </w:r>
      <w:r>
        <w:rPr>
          <w:rFonts w:eastAsia="宋体" w:cs="宋体"/>
          <w:color w:val="000000"/>
          <w:sz w:val="24"/>
          <w:highlight w:val="none"/>
        </w:rPr>
        <w:t xml:space="preserve">乙方权利义务</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7.2.1</w:t>
      </w:r>
      <w:r>
        <w:rPr>
          <w:rFonts w:eastAsia="宋体" w:cs="宋体"/>
          <w:color w:val="000000"/>
          <w:sz w:val="24"/>
          <w:highlight w:val="none"/>
        </w:rPr>
        <w:t xml:space="preserve">乙方权利</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乙方有权按照合同获得合同价款；乙方有权根据服务内容的需要，请求甲方予以配合。</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7.2.2</w:t>
      </w:r>
      <w:r>
        <w:rPr>
          <w:rFonts w:eastAsia="宋体" w:cs="宋体"/>
          <w:color w:val="000000"/>
          <w:sz w:val="24"/>
          <w:highlight w:val="none"/>
        </w:rPr>
        <w:t xml:space="preserve">除其他有关条款的约定外，乙方义务还包括：</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①</w:t>
      </w:r>
      <w:r>
        <w:rPr>
          <w:rFonts w:eastAsia="宋体" w:cs="宋体"/>
          <w:color w:val="000000"/>
          <w:sz w:val="24"/>
          <w:highlight w:val="non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eastAsia="宋体"/>
          <w:color w:val="000000"/>
          <w:sz w:val="24"/>
          <w:highlight w:val="none"/>
        </w:rPr>
        <w:t xml:space="preserve">20%</w:t>
      </w:r>
      <w:r>
        <w:rPr>
          <w:rFonts w:eastAsia="宋体" w:cs="宋体"/>
          <w:color w:val="000000"/>
          <w:sz w:val="24"/>
          <w:highlight w:val="none"/>
        </w:rPr>
        <w:t xml:space="preserve">的，视为乙方丧失提供服务的能力。</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②</w:t>
      </w:r>
      <w:r>
        <w:rPr>
          <w:rFonts w:eastAsia="宋体" w:cs="宋体"/>
          <w:color w:val="000000"/>
          <w:sz w:val="24"/>
          <w:highlight w:val="none"/>
        </w:rPr>
        <w:t xml:space="preserve">乙方应安排身体健康、品性良好的服务人员为甲方提供服务。</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③</w:t>
      </w:r>
      <w:r>
        <w:rPr>
          <w:rFonts w:eastAsia="宋体" w:cs="宋体"/>
          <w:color w:val="000000"/>
          <w:sz w:val="24"/>
          <w:highlight w:val="none"/>
        </w:rPr>
        <w:t xml:space="preserve">乙方应保证服务人员的稳定，未经甲方同意，不得变更服务人员。</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④</w:t>
      </w:r>
      <w:r>
        <w:rPr>
          <w:rFonts w:eastAsia="宋体" w:cs="宋体"/>
          <w:color w:val="000000"/>
          <w:sz w:val="24"/>
          <w:highlight w:val="none"/>
        </w:rPr>
        <w:t xml:space="preserve">定期组织服务人员进行培训学习，不断提高服务人员业务技能。</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⑤</w:t>
      </w:r>
      <w:r>
        <w:rPr>
          <w:rFonts w:eastAsia="宋体" w:cs="宋体"/>
          <w:color w:val="000000"/>
          <w:sz w:val="24"/>
          <w:highlight w:val="none"/>
        </w:rPr>
        <w:t xml:space="preserve">乙方做好安全生产工作，对在工作中出现的服务人员的人身安全承担责任，并对由于服务人员的原因导致的第三人的人身财产损失承担赔偿责任。</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⑥</w:t>
      </w:r>
      <w:r>
        <w:rPr>
          <w:rFonts w:eastAsia="宋体" w:cs="宋体"/>
          <w:color w:val="000000"/>
          <w:sz w:val="24"/>
          <w:highlight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ascii="Cambria Math" w:hAnsi="Cambria Math" w:eastAsia="宋体" w:cs="Cambria Math"/>
          <w:color w:val="000000"/>
          <w:sz w:val="24"/>
          <w:highlight w:val="none"/>
        </w:rPr>
        <w:t xml:space="preserve">⑦</w:t>
      </w:r>
      <w:r>
        <w:rPr>
          <w:rFonts w:eastAsia="宋体" w:cs="宋体"/>
          <w:color w:val="000000"/>
          <w:sz w:val="24"/>
          <w:highlight w:val="none"/>
        </w:rPr>
        <w:t xml:space="preserve">法规、政策规定由乙方承担的其他责任。</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第八条质量保证</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乙方各项服务承诺指标及所采取的措施按照采购文件要求及相应文件的承诺予以确定。</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第九条违约责任</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9.1</w:t>
      </w:r>
      <w:r>
        <w:rPr>
          <w:rFonts w:eastAsia="宋体" w:cs="宋体"/>
          <w:color w:val="000000"/>
          <w:sz w:val="24"/>
          <w:highlight w:val="none"/>
        </w:rPr>
        <w:t xml:space="preserve">甲方未按合同规定期限向乙方支付合同价款的，每逾期一天向乙方偿付欠款总额</w:t>
      </w:r>
      <w:r>
        <w:rPr>
          <w:rFonts w:eastAsia="宋体"/>
          <w:color w:val="000000"/>
          <w:sz w:val="24"/>
          <w:highlight w:val="none"/>
        </w:rPr>
        <w:t xml:space="preserve">0.5</w:t>
      </w:r>
      <w:r>
        <w:rPr>
          <w:rFonts w:eastAsia="宋体" w:cs="宋体"/>
          <w:color w:val="000000"/>
          <w:sz w:val="24"/>
          <w:highlight w:val="none"/>
        </w:rPr>
        <w:t xml:space="preserve">％的滞纳金，但累计总额不超过欠款总额的</w:t>
      </w:r>
      <w:r>
        <w:rPr>
          <w:rFonts w:eastAsia="宋体"/>
          <w:color w:val="000000"/>
          <w:sz w:val="24"/>
          <w:highlight w:val="none"/>
        </w:rPr>
        <w:t xml:space="preserve">5</w:t>
      </w:r>
      <w:r>
        <w:rPr>
          <w:rFonts w:eastAsia="宋体" w:cs="宋体"/>
          <w:color w:val="000000"/>
          <w:sz w:val="24"/>
          <w:highlight w:val="none"/>
        </w:rPr>
        <w:t xml:space="preserve">％；</w:t>
      </w:r>
      <w:r>
        <w:rPr>
          <w:rFonts w:eastAsia="宋体"/>
          <w:color w:val="000000"/>
          <w:highlight w:val="none"/>
        </w:rPr>
      </w:r>
      <w:r/>
    </w:p>
    <w:p>
      <w:pPr>
        <w:pStyle w:val="1015"/>
        <w:ind w:firstLine="480"/>
        <w:spacing w:line="519" w:lineRule="atLeast"/>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9.2</w:t>
      </w:r>
      <w:r>
        <w:rPr>
          <w:rFonts w:eastAsia="宋体" w:cs="宋体"/>
          <w:color w:val="000000"/>
          <w:sz w:val="24"/>
          <w:highlight w:val="none"/>
        </w:rPr>
        <w:t xml:space="preserve">有下列情形之一的，乙方应当向甲方支付合同约定合同价款金额</w:t>
      </w:r>
      <w:r>
        <w:rPr>
          <w:rFonts w:eastAsia="宋体"/>
          <w:color w:val="000000"/>
          <w:sz w:val="24"/>
          <w:highlight w:val="none"/>
        </w:rPr>
        <w:t xml:space="preserve">10%</w:t>
      </w:r>
      <w:r>
        <w:rPr>
          <w:rFonts w:eastAsia="宋体" w:cs="宋体"/>
          <w:color w:val="000000"/>
          <w:sz w:val="24"/>
          <w:highlight w:val="none"/>
        </w:rPr>
        <w:t xml:space="preserve">（或</w:t>
      </w:r>
      <w:r>
        <w:rPr>
          <w:rFonts w:eastAsia="宋体"/>
          <w:color w:val="000000"/>
          <w:sz w:val="24"/>
          <w:highlight w:val="none"/>
        </w:rPr>
        <w:t xml:space="preserve">5</w:t>
      </w:r>
      <w:r>
        <w:rPr>
          <w:rFonts w:eastAsia="宋体" w:cs="宋体"/>
          <w:color w:val="000000"/>
          <w:sz w:val="24"/>
          <w:highlight w:val="none"/>
        </w:rPr>
        <w:t xml:space="preserve">万元，以金额较大的为准）的违约金</w:t>
      </w:r>
      <w:r>
        <w:rPr>
          <w:rFonts w:hint="eastAsia" w:eastAsia="宋体" w:cs="宋体"/>
          <w:color w:val="000000"/>
          <w:sz w:val="24"/>
          <w:highlight w:val="none"/>
          <w:lang w:eastAsia="zh-CN"/>
        </w:rPr>
        <w:t xml:space="preserve">；</w:t>
      </w:r>
      <w:r>
        <w:rPr>
          <w:rFonts w:hint="eastAsia" w:eastAsia="宋体"/>
          <w:color w:val="000000"/>
          <w:highlight w:val="none"/>
          <w:lang w:eastAsia="zh-CN"/>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9.2.1</w:t>
      </w:r>
      <w:r>
        <w:rPr>
          <w:rFonts w:eastAsia="宋体" w:cs="宋体"/>
          <w:color w:val="000000"/>
          <w:sz w:val="24"/>
          <w:highlight w:val="none"/>
        </w:rPr>
        <w:t xml:space="preserve">乙方服务团队成员未经甲方同意发生变更，经甲方要求恢复后，未在合理期限内（</w:t>
      </w:r>
      <w:r>
        <w:rPr>
          <w:rFonts w:eastAsia="宋体"/>
          <w:color w:val="000000"/>
          <w:sz w:val="24"/>
          <w:highlight w:val="none"/>
        </w:rPr>
        <w:t xml:space="preserve">5</w:t>
      </w:r>
      <w:r>
        <w:rPr>
          <w:rFonts w:eastAsia="宋体" w:cs="宋体"/>
          <w:color w:val="000000"/>
          <w:sz w:val="24"/>
          <w:highlight w:val="none"/>
        </w:rPr>
        <w:t xml:space="preserve">个工作日内）恢复的；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9.2.2</w:t>
      </w:r>
      <w:r>
        <w:rPr>
          <w:rFonts w:eastAsia="宋体" w:cs="宋体"/>
          <w:color w:val="000000"/>
          <w:sz w:val="24"/>
          <w:highlight w:val="none"/>
        </w:rPr>
        <w:t xml:space="preserve">乙方单位总体服务能力发生下降，专业技术人员减员或资质下降人数达到</w:t>
      </w:r>
      <w:r>
        <w:rPr>
          <w:rFonts w:eastAsia="宋体"/>
          <w:color w:val="000000"/>
          <w:sz w:val="24"/>
          <w:highlight w:val="none"/>
        </w:rPr>
        <w:t xml:space="preserve">20%</w:t>
      </w:r>
      <w:r>
        <w:rPr>
          <w:rFonts w:eastAsia="宋体" w:cs="宋体"/>
          <w:color w:val="000000"/>
          <w:sz w:val="24"/>
          <w:highlight w:val="none"/>
        </w:rPr>
        <w:t xml:space="preserve">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9.2.3</w:t>
      </w:r>
      <w:r>
        <w:rPr>
          <w:rFonts w:eastAsia="宋体" w:cs="宋体"/>
          <w:color w:val="000000"/>
          <w:sz w:val="24"/>
          <w:highlight w:val="none"/>
        </w:rPr>
        <w:t xml:space="preserve">乙方人员无故未能按约定为甲方提供服务，服务期限内达到二人次的；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9.2.4</w:t>
      </w:r>
      <w:r>
        <w:rPr>
          <w:rFonts w:eastAsia="宋体" w:cs="宋体"/>
          <w:color w:val="000000"/>
          <w:sz w:val="24"/>
          <w:highlight w:val="none"/>
        </w:rPr>
        <w:t xml:space="preserve">乙方人员不能响应甲方紧急服务需求的；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9.2.5</w:t>
      </w:r>
      <w:r>
        <w:rPr>
          <w:rFonts w:eastAsia="宋体" w:cs="宋体"/>
          <w:color w:val="000000"/>
          <w:sz w:val="24"/>
          <w:highlight w:val="none"/>
        </w:rPr>
        <w:t xml:space="preserve">因乙方服务人员原因在服务期间给甲方造成不良影响的，服务期限内达到一次的；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9.2.6</w:t>
      </w:r>
      <w:r>
        <w:rPr>
          <w:rFonts w:eastAsia="宋体" w:cs="宋体"/>
          <w:color w:val="000000"/>
          <w:sz w:val="24"/>
          <w:highlight w:val="none"/>
        </w:rPr>
        <w:t xml:space="preserve">乙方及其服务人员虚报服务内容、服务时间等，骗取甲方服务费用的；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9.2.7</w:t>
      </w:r>
      <w:r>
        <w:rPr>
          <w:rFonts w:eastAsia="宋体" w:cs="宋体"/>
          <w:color w:val="000000"/>
          <w:sz w:val="24"/>
          <w:highlight w:val="none"/>
        </w:rPr>
        <w:t xml:space="preserve">根据第七条乙方义务，如乙方未按本合同规定提供相关服务或未能履行本合同规定的其他义务的，甲方有权要求乙方限期整改，逾期不整改或整改后仍达不到甲方要求的，甲方有权解除合同，要求乙方返还甲方已经支付的所有款项，由此造成甲方经济损失的，乙方应承担赔偿责任。同时乙方应向甲方另行支付合同总价</w:t>
      </w:r>
      <w:r>
        <w:rPr>
          <w:rFonts w:eastAsia="宋体"/>
          <w:color w:val="000000"/>
          <w:sz w:val="24"/>
          <w:highlight w:val="none"/>
        </w:rPr>
        <w:t xml:space="preserve">10</w:t>
      </w:r>
      <w:r>
        <w:rPr>
          <w:rFonts w:eastAsia="宋体" w:cs="宋体"/>
          <w:color w:val="000000"/>
          <w:sz w:val="24"/>
          <w:highlight w:val="none"/>
        </w:rPr>
        <w:t xml:space="preserve">％（或</w:t>
      </w:r>
      <w:r>
        <w:rPr>
          <w:rFonts w:eastAsia="宋体"/>
          <w:color w:val="000000"/>
          <w:sz w:val="24"/>
          <w:highlight w:val="none"/>
        </w:rPr>
        <w:t xml:space="preserve">5</w:t>
      </w:r>
      <w:r>
        <w:rPr>
          <w:rFonts w:eastAsia="宋体" w:cs="宋体"/>
          <w:color w:val="000000"/>
          <w:sz w:val="24"/>
          <w:highlight w:val="none"/>
        </w:rPr>
        <w:t xml:space="preserve">万元，以金额较大的为准）的违约金。</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9.3</w:t>
      </w:r>
      <w:r>
        <w:rPr>
          <w:rFonts w:eastAsia="宋体" w:cs="宋体"/>
          <w:color w:val="000000"/>
          <w:sz w:val="24"/>
          <w:highlight w:val="none"/>
        </w:rPr>
        <w:t xml:space="preserve">乙方在承担上述</w:t>
      </w:r>
      <w:r>
        <w:rPr>
          <w:rFonts w:eastAsia="宋体"/>
          <w:color w:val="000000"/>
          <w:sz w:val="24"/>
          <w:highlight w:val="none"/>
        </w:rPr>
        <w:t xml:space="preserve">9.2</w:t>
      </w:r>
      <w:r>
        <w:rPr>
          <w:rFonts w:eastAsia="宋体" w:cs="宋体"/>
          <w:color w:val="000000"/>
          <w:sz w:val="24"/>
          <w:highlight w:val="none"/>
        </w:rPr>
        <w:t xml:space="preserve">项中一项或多项违约责任后，仍应继续履行合同规定的义务（甲方解除合同的除外）。甲方未能及时追究乙方的任何一项违约责任并不表明甲方放弃追究乙方该项或其他违约责任。</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9.4</w:t>
      </w:r>
      <w:r>
        <w:rPr>
          <w:rFonts w:eastAsia="宋体" w:cs="宋体"/>
          <w:color w:val="000000"/>
          <w:sz w:val="24"/>
          <w:highlight w:val="none"/>
        </w:rPr>
        <w:t xml:space="preserve">违约金不足以弥补损失的，由违约方补足。</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第十条 合同的解除</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出现下列情形之一的，甲方有权解除本合同：</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10.1</w:t>
      </w:r>
      <w:r>
        <w:rPr>
          <w:rFonts w:eastAsia="宋体" w:cs="宋体"/>
          <w:color w:val="000000"/>
          <w:sz w:val="24"/>
          <w:highlight w:val="none"/>
        </w:rPr>
        <w:t xml:space="preserve">乙方单位总体服务能力发生下降，专业技术人员减员或资质下降人数达到</w:t>
      </w:r>
      <w:r>
        <w:rPr>
          <w:rFonts w:eastAsia="宋体"/>
          <w:color w:val="000000"/>
          <w:sz w:val="24"/>
          <w:highlight w:val="none"/>
        </w:rPr>
        <w:t xml:space="preserve">30%</w:t>
      </w:r>
      <w:r>
        <w:rPr>
          <w:rFonts w:eastAsia="宋体" w:cs="宋体"/>
          <w:color w:val="000000"/>
          <w:sz w:val="24"/>
          <w:highlight w:val="none"/>
        </w:rPr>
        <w:t xml:space="preserve">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10.2</w:t>
      </w:r>
      <w:r>
        <w:rPr>
          <w:rFonts w:eastAsia="宋体" w:cs="宋体"/>
          <w:color w:val="000000"/>
          <w:sz w:val="24"/>
          <w:highlight w:val="none"/>
        </w:rPr>
        <w:t xml:space="preserve">乙方人员无故未能按约定为甲方提供服务，服务期限内达到三人次的；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10.3</w:t>
      </w:r>
      <w:r>
        <w:rPr>
          <w:rFonts w:eastAsia="宋体" w:cs="宋体"/>
          <w:color w:val="000000"/>
          <w:sz w:val="24"/>
          <w:highlight w:val="none"/>
        </w:rPr>
        <w:t xml:space="preserve">乙方人员不能响应甲方紧急服务需求的，经甲方指出后未能改正的；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10.4</w:t>
      </w:r>
      <w:r>
        <w:rPr>
          <w:rFonts w:eastAsia="宋体" w:cs="宋体"/>
          <w:color w:val="000000"/>
          <w:sz w:val="24"/>
          <w:highlight w:val="none"/>
        </w:rPr>
        <w:t xml:space="preserve">因乙方服务人员原因在服务期间给甲方造成不良影响的，服务期限内达到二次的；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10.5</w:t>
      </w:r>
      <w:r>
        <w:rPr>
          <w:rFonts w:eastAsia="宋体" w:cs="宋体"/>
          <w:color w:val="000000"/>
          <w:sz w:val="24"/>
          <w:highlight w:val="none"/>
        </w:rPr>
        <w:t xml:space="preserve">乙方及其服务人员虚报服务内容、服务时间等，骗取甲方服务费用的；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10.6</w:t>
      </w:r>
      <w:r>
        <w:rPr>
          <w:rFonts w:eastAsia="宋体" w:cs="宋体"/>
          <w:color w:val="000000"/>
          <w:sz w:val="24"/>
          <w:highlight w:val="none"/>
        </w:rPr>
        <w:t xml:space="preserve">因乙方不当服务或服务人员违法，给甲方造成严重不良影响的；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10.7</w:t>
      </w:r>
      <w:r>
        <w:rPr>
          <w:rFonts w:eastAsia="宋体" w:cs="宋体"/>
          <w:color w:val="000000"/>
          <w:sz w:val="24"/>
          <w:highlight w:val="none"/>
        </w:rPr>
        <w:t xml:space="preserve">乙方一年内因生产安全事故受到行政处罚达到三次的，或者因为乙方发生生产安全事故、环境损害事故，给甲方造成重大不良影响的或导致甲方受到行政处罚的。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10.8</w:t>
      </w:r>
      <w:r>
        <w:rPr>
          <w:rFonts w:eastAsia="宋体" w:cs="宋体"/>
          <w:color w:val="000000"/>
          <w:sz w:val="24"/>
          <w:highlight w:val="none"/>
        </w:rPr>
        <w:t xml:space="preserve">若乙方首次验收未通过，甲方有权要求乙方在</w:t>
      </w:r>
      <w:r>
        <w:rPr>
          <w:rFonts w:eastAsia="宋体"/>
          <w:color w:val="000000"/>
          <w:sz w:val="24"/>
          <w:highlight w:val="none"/>
        </w:rPr>
        <w:t xml:space="preserve">15</w:t>
      </w:r>
      <w:r>
        <w:rPr>
          <w:rFonts w:eastAsia="宋体" w:cs="宋体"/>
          <w:color w:val="000000"/>
          <w:sz w:val="24"/>
          <w:highlight w:val="none"/>
        </w:rPr>
        <w:t xml:space="preserve">个工作日内完成整改并重新提交验收申请；若仍不合格，甲方有权单方解除合同，要求乙方返还全部已支付款项，并追究乙方的违约责任。</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第十一条 不可抗力</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11.1</w:t>
      </w:r>
      <w:r>
        <w:rPr>
          <w:rFonts w:eastAsia="宋体" w:cs="宋体"/>
          <w:color w:val="000000"/>
          <w:sz w:val="24"/>
          <w:highlight w:val="none"/>
        </w:rPr>
        <w:t xml:space="preserve">不可抗力，是指不能预见、不能避免并不能克服的客观情况，如战争、动乱、洪水、地震、风暴等。</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11.2</w:t>
      </w:r>
      <w:r>
        <w:rPr>
          <w:rFonts w:eastAsia="宋体" w:cs="宋体"/>
          <w:color w:val="000000"/>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11.3</w:t>
      </w:r>
      <w:r>
        <w:rPr>
          <w:rFonts w:eastAsia="宋体" w:cs="宋体"/>
          <w:color w:val="000000"/>
          <w:sz w:val="24"/>
          <w:highlight w:val="none"/>
        </w:rPr>
        <w:t xml:space="preserve">发生不可抗力事件，任何一方均不对因不可抗力无法履行或迟延履行本合同义务而使另一方蒙受的任何损失承担责任，法律另有规定的除外。</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11.4</w:t>
      </w:r>
      <w:r>
        <w:rPr>
          <w:rFonts w:eastAsia="宋体" w:cs="宋体"/>
          <w:color w:val="000000"/>
          <w:sz w:val="24"/>
          <w:highlight w:val="none"/>
        </w:rPr>
        <w:t xml:space="preserve">合同各方应根据不可抗力对本合同履行的影响程度，协商确定是否终止或是继续履行本合同。</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第十二条合同的变更、中止</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本合同一经签订，双方均不得擅自变更或中止合同，除非合同的继续履行将损害国家利益和社会公共利益。</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第十三条合同的终止</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13.1 </w:t>
      </w:r>
      <w:r>
        <w:rPr>
          <w:rFonts w:eastAsia="宋体" w:cs="宋体"/>
          <w:color w:val="000000"/>
          <w:sz w:val="24"/>
          <w:highlight w:val="none"/>
        </w:rPr>
        <w:t xml:space="preserve">本合同因下列原因而终止：</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13.1.1 </w:t>
      </w:r>
      <w:r>
        <w:rPr>
          <w:rFonts w:eastAsia="宋体" w:cs="宋体"/>
          <w:color w:val="000000"/>
          <w:sz w:val="24"/>
          <w:highlight w:val="none"/>
        </w:rPr>
        <w:t xml:space="preserve">本合同正常履行完毕；</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13.1.2 </w:t>
      </w:r>
      <w:r>
        <w:rPr>
          <w:rFonts w:eastAsia="宋体" w:cs="宋体"/>
          <w:color w:val="000000"/>
          <w:sz w:val="24"/>
          <w:highlight w:val="none"/>
        </w:rPr>
        <w:t xml:space="preserve">因不可抗力导致本合同无法履行或履行不必要；</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13.1.3 </w:t>
      </w:r>
      <w:r>
        <w:rPr>
          <w:rFonts w:eastAsia="宋体" w:cs="宋体"/>
          <w:color w:val="000000"/>
          <w:sz w:val="24"/>
          <w:highlight w:val="none"/>
        </w:rPr>
        <w:t xml:space="preserve">任何一方行使解除权解除本合同；</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13.1.4</w:t>
      </w:r>
      <w:r>
        <w:rPr>
          <w:rFonts w:eastAsia="宋体" w:cs="宋体"/>
          <w:color w:val="000000"/>
          <w:sz w:val="24"/>
          <w:highlight w:val="none"/>
        </w:rPr>
        <w:t xml:space="preserve">合同的继续履行将损害国家利益和社会公共利益且不宜变更、中止的。</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13.2</w:t>
      </w:r>
      <w:r>
        <w:rPr>
          <w:rFonts w:eastAsia="宋体" w:cs="宋体"/>
          <w:color w:val="000000"/>
          <w:sz w:val="24"/>
          <w:highlight w:val="none"/>
        </w:rPr>
        <w:t xml:space="preserve">除上述情形外，甲乙双方不得擅自终止合同。</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第十四条合同的转让</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乙方不得将其合同项下的权利义务部分或全部转让给第三方。</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第十五条履约保证金</w:t>
      </w:r>
      <w:r>
        <w:rPr>
          <w:rFonts w:eastAsia="宋体"/>
          <w:color w:val="000000"/>
          <w:highlight w:val="none"/>
        </w:rPr>
      </w:r>
      <w:r/>
    </w:p>
    <w:p>
      <w:pPr>
        <w:pStyle w:val="1015"/>
        <w:ind w:firstLine="480"/>
        <w:spacing w:line="519" w:lineRule="atLeast"/>
        <w:rPr>
          <w:rFonts w:eastAsia="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b/>
          <w:bCs/>
          <w:color w:val="000000"/>
          <w:highlight w:val="none"/>
          <w:lang w:val="en-US" w:eastAsia="zh-CN"/>
        </w:rPr>
        <w:t xml:space="preserve">无。</w:t>
      </w:r>
      <w:r>
        <w:rPr>
          <w:rFonts w:eastAsia="宋体"/>
          <w:b/>
          <w:bCs/>
          <w:color w:val="000000"/>
          <w:highlight w:val="none"/>
          <w:lang w:val="en-US" w:eastAsia="zh-CN"/>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第十六条 知识产权条款</w:t>
      </w:r>
      <w:r>
        <w:rPr>
          <w:rFonts w:eastAsia="宋体"/>
          <w:color w:val="000000"/>
          <w:highlight w:val="none"/>
        </w:rPr>
      </w:r>
      <w:r/>
    </w:p>
    <w:p>
      <w:pPr>
        <w:pStyle w:val="1015"/>
        <w:ind w:firstLine="561"/>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w:t>
      </w:r>
      <w:r>
        <w:rPr>
          <w:rFonts w:eastAsia="宋体" w:cs="宋体"/>
          <w:color w:val="000000"/>
          <w:sz w:val="24"/>
          <w:highlight w:val="none"/>
        </w:rPr>
        <w:t xml:space="preserve">乙方应保证其在履行合同的过程中及因履行本合同所形成的成果不侵犯任何第三方包括但不限于知识产权在内的合法权利、不违反法律法规规定和政策规定。如因乙方违反前述约定导致甲方在使用、接受本合同服务或其任何一部分过程中出现争议或纠纷，乙方应当应甲方要求立即采取充分的补救措施并独立承担由此引发的全部责任。同时，甲方有权根据具体情况单方解除本协议，要求乙方返还所有已支付的款项，并要求乙方赔偿甲方由此遭受的全部经济损失</w:t>
      </w:r>
      <w:r>
        <w:rPr>
          <w:rFonts w:eastAsia="宋体"/>
          <w:color w:val="000000"/>
          <w:sz w:val="24"/>
          <w:highlight w:val="none"/>
        </w:rPr>
        <w:t xml:space="preserve">(</w:t>
      </w:r>
      <w:r>
        <w:rPr>
          <w:rFonts w:eastAsia="宋体" w:cs="宋体"/>
          <w:color w:val="000000"/>
          <w:sz w:val="24"/>
          <w:highlight w:val="none"/>
        </w:rPr>
        <w:t xml:space="preserve">包括但不限于诉讼费、律师费、和解金、赔偿金等</w:t>
      </w:r>
      <w:r>
        <w:rPr>
          <w:rFonts w:eastAsia="宋体"/>
          <w:color w:val="000000"/>
          <w:sz w:val="24"/>
          <w:highlight w:val="none"/>
        </w:rPr>
        <w:t xml:space="preserve">)</w:t>
      </w:r>
      <w:r>
        <w:rPr>
          <w:rFonts w:eastAsia="宋体" w:cs="宋体"/>
          <w:color w:val="000000"/>
          <w:sz w:val="24"/>
          <w:highlight w:val="none"/>
        </w:rPr>
        <w:t xml:space="preserve">。</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2. </w:t>
      </w:r>
      <w:r>
        <w:rPr>
          <w:rFonts w:eastAsia="宋体" w:cs="宋体"/>
          <w:color w:val="000000"/>
          <w:sz w:val="24"/>
          <w:highlight w:val="none"/>
        </w:rPr>
        <w:t xml:space="preserve">因履行本合同而产生的所有智力成果，其知识产权归甲方所有。乙方有权获得的所有报酬、奖励，已经涵盖于甲方支付的合同总价中。</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第十七条 保密条款</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未经甲方事先书面同意，乙方不得将由甲方提供的或从甲方获知的任何数据 信息或资料</w:t>
      </w:r>
      <w:r>
        <w:rPr>
          <w:rFonts w:eastAsia="宋体"/>
          <w:color w:val="000000"/>
          <w:sz w:val="24"/>
          <w:highlight w:val="none"/>
        </w:rPr>
        <w:t xml:space="preserve">(</w:t>
      </w:r>
      <w:r>
        <w:rPr>
          <w:rFonts w:eastAsia="宋体" w:cs="宋体"/>
          <w:color w:val="000000"/>
          <w:sz w:val="24"/>
          <w:highlight w:val="none"/>
        </w:rPr>
        <w:t xml:space="preserve">包括但不限于甲方的业务数据、技术资料、本项目所涉的所 有医保数据、参保人个人信息、医疗机构信息等</w:t>
      </w:r>
      <w:r>
        <w:rPr>
          <w:rFonts w:eastAsia="宋体"/>
          <w:color w:val="000000"/>
          <w:sz w:val="24"/>
          <w:highlight w:val="none"/>
        </w:rPr>
        <w:t xml:space="preserve">)</w:t>
      </w:r>
      <w:r>
        <w:rPr>
          <w:rFonts w:eastAsia="宋体" w:cs="宋体"/>
          <w:color w:val="000000"/>
          <w:sz w:val="24"/>
          <w:highlight w:val="none"/>
        </w:rPr>
        <w:t xml:space="preserve">提供给与履行本合同无关的任何单位和个人。即使向履行本合同有关的人员提供，也应注意保密并限于履行合同的必需范围。乙方承诺，上述保密义务延及其员工，其员工违反上述保密义务，乙方同样承担全部法律责任。乙方应对由此给甲方造成的损失承担全部法律责任，包括但不限于诉讼费、诉讼保全费、诉讼保全保险费、律师费等。本协议所约定保 密义务不受本协议期限限制。</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第十八条 争议解决方式</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18.1</w:t>
      </w:r>
      <w:r>
        <w:rPr>
          <w:rFonts w:eastAsia="宋体" w:cs="宋体"/>
          <w:color w:val="000000"/>
          <w:sz w:val="24"/>
          <w:highlight w:val="none"/>
        </w:rPr>
        <w:t xml:space="preserve">在执行本合同过程中所发生的或与本合同有关的一切争端，甲乙双方友好协商解决。如协商不能解决，则全部争端由甲方所在地人民法院管辖。</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18.2</w:t>
      </w:r>
      <w:r>
        <w:rPr>
          <w:rFonts w:eastAsia="宋体" w:cs="宋体"/>
          <w:color w:val="000000"/>
          <w:sz w:val="24"/>
          <w:highlight w:val="none"/>
        </w:rPr>
        <w:t xml:space="preserve">如因乙方违约，导致甲方起诉的，甲方由此产生的诉讼费用、律师费用、差旅费用等，均由乙方承担。</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s="宋体"/>
          <w:color w:val="000000"/>
          <w:sz w:val="24"/>
          <w:highlight w:val="none"/>
        </w:rPr>
        <w:t xml:space="preserve">第十九条 合同生效及其他</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19.1 </w:t>
      </w:r>
      <w:r>
        <w:rPr>
          <w:rFonts w:eastAsia="宋体" w:cs="宋体"/>
          <w:color w:val="000000"/>
          <w:sz w:val="24"/>
          <w:highlight w:val="none"/>
        </w:rPr>
        <w:t xml:space="preserve">合同在双方加盖公章或双方法定代表人、授权代表签字后生效。</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19.2 </w:t>
      </w:r>
      <w:r>
        <w:rPr>
          <w:rFonts w:eastAsia="宋体" w:cs="宋体"/>
          <w:color w:val="000000"/>
          <w:sz w:val="24"/>
          <w:highlight w:val="none"/>
        </w:rPr>
        <w:t xml:space="preserve">本合同一式四份，以简体中文书写，甲方、乙方各执二份。</w:t>
      </w:r>
      <w:r>
        <w:rPr>
          <w:rFonts w:eastAsia="宋体"/>
          <w:color w:val="000000"/>
          <w:highlight w:val="none"/>
        </w:rPr>
      </w:r>
      <w:r/>
    </w:p>
    <w:p>
      <w:pPr>
        <w:pStyle w:val="1015"/>
        <w:ind w:firstLine="480"/>
        <w:spacing w:line="519"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19.3 </w:t>
      </w:r>
      <w:r>
        <w:rPr>
          <w:rFonts w:eastAsia="宋体" w:cs="宋体"/>
          <w:color w:val="000000"/>
          <w:sz w:val="24"/>
          <w:highlight w:val="none"/>
        </w:rPr>
        <w:t xml:space="preserve">本合同应按照中华人民共和国的现行法律进行解释。</w:t>
      </w:r>
      <w:r>
        <w:rPr>
          <w:rFonts w:eastAsia="宋体"/>
          <w:color w:val="000000"/>
          <w:highlight w:val="none"/>
        </w:rPr>
      </w:r>
      <w:r/>
    </w:p>
    <w:p>
      <w:pPr>
        <w:pStyle w:val="1015"/>
        <w:spacing w:line="520" w:lineRule="exact"/>
        <w:rPr>
          <w:rFonts w:eastAsia="宋体" w:cs="宋体"/>
          <w:color w:val="000000"/>
          <w:sz w:val="24"/>
          <w:szCs w:val="24"/>
          <w:highlight w:val="none"/>
        </w:rPr>
      </w:pPr>
      <w:r>
        <w:rPr>
          <w:rFonts w:eastAsia="宋体" w:cs="宋体"/>
          <w:color w:val="000000"/>
          <w:sz w:val="24"/>
          <w:szCs w:val="24"/>
          <w:highlight w:val="none"/>
        </w:rPr>
      </w:r>
      <w:r/>
    </w:p>
    <w:p>
      <w:pPr>
        <w:pStyle w:val="1015"/>
        <w:spacing w:line="520" w:lineRule="exact"/>
        <w:rPr>
          <w:rFonts w:eastAsia="宋体" w:cs="宋体"/>
          <w:color w:val="000000"/>
          <w:sz w:val="24"/>
          <w:szCs w:val="24"/>
          <w:highlight w:val="none"/>
        </w:rPr>
      </w:pPr>
      <w:r>
        <w:rPr>
          <w:rFonts w:hint="eastAsia" w:eastAsia="宋体" w:cs="宋体"/>
          <w:color w:val="000000"/>
          <w:sz w:val="24"/>
          <w:szCs w:val="24"/>
          <w:highlight w:val="none"/>
        </w:rPr>
        <w:t xml:space="preserve">甲方（公章）：                       乙方（公章）：</w:t>
      </w:r>
      <w:r>
        <w:rPr>
          <w:rFonts w:eastAsia="宋体" w:cs="宋体"/>
          <w:color w:val="000000"/>
          <w:sz w:val="24"/>
          <w:szCs w:val="24"/>
          <w:highlight w:val="none"/>
        </w:rPr>
      </w:r>
      <w:r/>
    </w:p>
    <w:p>
      <w:pPr>
        <w:pStyle w:val="1015"/>
        <w:spacing w:line="520" w:lineRule="exact"/>
        <w:rPr>
          <w:rFonts w:eastAsia="宋体" w:cs="宋体"/>
          <w:color w:val="000000"/>
          <w:sz w:val="24"/>
          <w:szCs w:val="24"/>
          <w:highlight w:val="none"/>
        </w:rPr>
      </w:pPr>
      <w:r>
        <w:rPr>
          <w:rFonts w:hint="eastAsia" w:eastAsia="宋体" w:cs="宋体"/>
          <w:color w:val="000000"/>
          <w:sz w:val="24"/>
          <w:szCs w:val="24"/>
          <w:highlight w:val="none"/>
        </w:rPr>
        <w:t xml:space="preserve">法定（授权）代表人（签字）：        </w:t>
      </w:r>
      <w:r>
        <w:rPr>
          <w:rFonts w:eastAsia="宋体" w:cs="宋体"/>
          <w:color w:val="000000"/>
          <w:sz w:val="24"/>
          <w:szCs w:val="24"/>
          <w:highlight w:val="none"/>
        </w:rPr>
        <w:t xml:space="preserve"> </w:t>
      </w:r>
      <w:r>
        <w:rPr>
          <w:rFonts w:hint="eastAsia" w:eastAsia="宋体" w:cs="宋体"/>
          <w:color w:val="000000"/>
          <w:sz w:val="24"/>
          <w:szCs w:val="24"/>
          <w:highlight w:val="none"/>
        </w:rPr>
        <w:t xml:space="preserve">法定（授权）代表人（签字）：</w:t>
      </w:r>
      <w:r>
        <w:rPr>
          <w:rFonts w:eastAsia="宋体" w:cs="宋体"/>
          <w:color w:val="000000"/>
          <w:sz w:val="24"/>
          <w:szCs w:val="24"/>
          <w:highlight w:val="none"/>
        </w:rPr>
      </w:r>
      <w:r/>
    </w:p>
    <w:p>
      <w:pPr>
        <w:pStyle w:val="1015"/>
        <w:spacing w:line="520" w:lineRule="exact"/>
        <w:rPr>
          <w:rFonts w:eastAsia="宋体" w:cs="宋体"/>
          <w:color w:val="000000"/>
          <w:sz w:val="24"/>
          <w:szCs w:val="24"/>
          <w:highlight w:val="none"/>
        </w:rPr>
      </w:pPr>
      <w:r>
        <w:rPr>
          <w:rFonts w:hint="eastAsia" w:eastAsia="宋体" w:cs="宋体"/>
          <w:color w:val="000000"/>
          <w:sz w:val="24"/>
          <w:szCs w:val="24"/>
          <w:highlight w:val="none"/>
        </w:rPr>
        <w:t xml:space="preserve">    年   月   日                        年   月   日</w:t>
      </w:r>
      <w:r>
        <w:rPr>
          <w:rFonts w:eastAsia="宋体" w:cs="宋体"/>
          <w:color w:val="000000"/>
          <w:sz w:val="24"/>
          <w:szCs w:val="24"/>
          <w:highlight w:val="none"/>
        </w:rPr>
      </w:r>
      <w:r/>
    </w:p>
    <w:p>
      <w:pPr>
        <w:pStyle w:val="1015"/>
        <w:spacing w:line="520" w:lineRule="exact"/>
        <w:rPr>
          <w:rFonts w:eastAsia="宋体" w:cs="宋体"/>
          <w:color w:val="000000"/>
          <w:sz w:val="24"/>
          <w:szCs w:val="24"/>
          <w:highlight w:val="none"/>
        </w:rPr>
      </w:pP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1015"/>
        <w:spacing w:line="360" w:lineRule="auto"/>
        <w:rPr>
          <w:rFonts w:eastAsia="宋体" w:cs="宋体"/>
          <w:b/>
          <w:color w:val="000000"/>
          <w:sz w:val="36"/>
          <w:szCs w:val="36"/>
          <w:highlight w:val="none"/>
        </w:rPr>
      </w:pPr>
      <w:r>
        <w:rPr>
          <w:rFonts w:hint="eastAsia" w:eastAsia="宋体" w:cs="宋体"/>
          <w:b/>
          <w:color w:val="000000"/>
          <w:sz w:val="24"/>
          <w:szCs w:val="24"/>
          <w:highlight w:val="none"/>
        </w:rPr>
        <w:t xml:space="preserve">采购人保留对合同修改和完善的权利。</w:t>
      </w:r>
      <w:r>
        <w:rPr>
          <w:rFonts w:hint="eastAsia" w:eastAsia="宋体" w:cs="宋体"/>
          <w:color w:val="000000"/>
          <w:sz w:val="24"/>
          <w:szCs w:val="24"/>
          <w:highlight w:val="none"/>
          <w:lang w:val="zh-CN" w:bidi="zh-CN"/>
        </w:rPr>
        <w:br w:type="page" w:clear="all"/>
      </w:r>
      <w:r>
        <w:rPr>
          <w:rFonts w:eastAsia="宋体" w:cs="宋体"/>
          <w:b/>
          <w:color w:val="000000"/>
          <w:sz w:val="36"/>
          <w:szCs w:val="36"/>
          <w:highlight w:val="none"/>
        </w:rPr>
      </w:r>
      <w:r/>
    </w:p>
    <w:p>
      <w:pPr>
        <w:pStyle w:val="1015"/>
        <w:contextualSpacing/>
        <w:jc w:val="center"/>
        <w:spacing w:line="360" w:lineRule="auto"/>
        <w:rPr>
          <w:rFonts w:eastAsia="宋体" w:cs="宋体"/>
          <w:b/>
          <w:color w:val="000000"/>
          <w:sz w:val="36"/>
          <w:szCs w:val="36"/>
          <w:highlight w:val="none"/>
        </w:rPr>
        <w:outlineLvl w:val="0"/>
      </w:pPr>
      <w:r/>
      <w:bookmarkStart w:id="66" w:name="_Toc8595"/>
      <w:r/>
      <w:bookmarkStart w:id="67" w:name="_Toc30633"/>
      <w:r>
        <w:rPr>
          <w:rFonts w:hint="eastAsia" w:eastAsia="宋体" w:cs="宋体"/>
          <w:b/>
          <w:color w:val="000000"/>
          <w:sz w:val="36"/>
          <w:szCs w:val="36"/>
          <w:highlight w:val="none"/>
        </w:rPr>
        <w:t xml:space="preserve">第六章 合同授予</w:t>
      </w:r>
      <w:bookmarkEnd w:id="66"/>
      <w:r/>
      <w:bookmarkEnd w:id="67"/>
      <w:r>
        <w:rPr>
          <w:rFonts w:eastAsia="宋体" w:cs="宋体"/>
          <w:b/>
          <w:color w:val="000000"/>
          <w:sz w:val="36"/>
          <w:szCs w:val="36"/>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一、</w:t>
      </w:r>
      <w:r>
        <w:rPr>
          <w:rFonts w:hint="eastAsia" w:eastAsia="宋体" w:cs="宋体"/>
          <w:bCs/>
          <w:color w:val="000000"/>
          <w:sz w:val="24"/>
          <w:szCs w:val="24"/>
          <w:highlight w:val="none"/>
        </w:rPr>
        <w:t xml:space="preserve">自中标通知书发出之日起30日内，中标人凭“中标通知书”及履约缴纳凭证与招标人签订合同。</w:t>
      </w:r>
      <w:r>
        <w:rPr>
          <w:rFonts w:hint="eastAsia" w:eastAsia="宋体" w:cs="宋体"/>
          <w:color w:val="000000"/>
          <w:sz w:val="24"/>
          <w:szCs w:val="21"/>
          <w:highlight w:val="none"/>
        </w:rPr>
        <w:t xml:space="preserve">合同一式肆份，招标人、中标人各执贰份。所签合同不得对招标文件作实质性修改。招标人不得向中标人提出不合理的要求作为签订合同的条件，不得与中标人私下订立背离招标文件实质性内容的协议。</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二、招标人按合同约定积极配合中标人履约，中标人履约到位后，请以书面形式向招标人提出验收申请。</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三、中标人出现违约情形，应当及时纠正或补偿；造成损失的，按合同约定追究违约责任。</w:t>
      </w:r>
      <w:bookmarkEnd w:id="65"/>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bookmarkStart w:id="68" w:name="_Toc363573860"/>
      <w:r>
        <w:rPr>
          <w:rFonts w:hint="eastAsia" w:eastAsia="宋体" w:cs="宋体"/>
          <w:color w:val="000000"/>
          <w:sz w:val="24"/>
          <w:szCs w:val="21"/>
          <w:highlight w:val="none"/>
        </w:rPr>
        <w:t xml:space="preserve">四、不响应付款方式的，视同投标文件无效，按无效投标文件处理。</w:t>
      </w:r>
      <w:r>
        <w:rPr>
          <w:rFonts w:eastAsia="宋体" w:cs="宋体"/>
          <w:color w:val="000000"/>
          <w:sz w:val="24"/>
          <w:szCs w:val="21"/>
          <w:highlight w:val="none"/>
        </w:rPr>
      </w:r>
      <w:r/>
    </w:p>
    <w:p>
      <w:pPr>
        <w:pStyle w:val="1015"/>
        <w:contextualSpacing/>
        <w:ind w:firstLine="480"/>
        <w:spacing w:line="360" w:lineRule="auto"/>
        <w:rPr>
          <w:rFonts w:eastAsia="宋体" w:cs="宋体"/>
          <w:color w:val="000000"/>
          <w:highlight w:val="none"/>
        </w:rPr>
      </w:pPr>
      <w:r>
        <w:rPr>
          <w:rFonts w:hint="eastAsia" w:eastAsia="宋体" w:cs="宋体"/>
          <w:color w:val="000000"/>
          <w:sz w:val="24"/>
          <w:szCs w:val="21"/>
          <w:highlight w:val="none"/>
        </w:rPr>
        <w:t xml:space="preserve">五、付款方式详见招标文件第五章，以上项目款的支付不计息。</w:t>
      </w:r>
      <w:r>
        <w:rPr>
          <w:rFonts w:eastAsia="宋体" w:cs="宋体"/>
          <w:color w:val="000000"/>
          <w:highlight w:val="none"/>
        </w:rPr>
      </w:r>
      <w:r/>
    </w:p>
    <w:p>
      <w:pPr>
        <w:pStyle w:val="1015"/>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contextualSpacing/>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220"/>
        <w:spacing w:line="360" w:lineRule="auto"/>
        <w:rPr>
          <w:rFonts w:eastAsia="宋体" w:cs="宋体"/>
          <w:color w:val="000000"/>
          <w:highlight w:val="none"/>
        </w:rPr>
      </w:pPr>
      <w:r>
        <w:rPr>
          <w:rFonts w:eastAsia="宋体" w:cs="宋体"/>
          <w:color w:val="000000"/>
          <w:highlight w:val="none"/>
        </w:rPr>
      </w:r>
      <w:r/>
    </w:p>
    <w:p>
      <w:pPr>
        <w:pStyle w:val="1015"/>
        <w:contextualSpacing/>
        <w:ind w:firstLine="582"/>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bookmarkStart w:id="69" w:name="_Toc8139"/>
      <w:r/>
      <w:bookmarkStart w:id="70" w:name="_Toc6012"/>
      <w:r>
        <w:rPr>
          <w:rFonts w:hint="eastAsia" w:eastAsia="宋体" w:cs="宋体"/>
          <w:b/>
          <w:color w:val="000000"/>
          <w:sz w:val="36"/>
          <w:szCs w:val="36"/>
          <w:highlight w:val="none"/>
        </w:rPr>
        <w:t xml:space="preserve">第七章 质疑与投诉</w:t>
      </w:r>
      <w:bookmarkEnd w:id="69"/>
      <w:r/>
      <w:bookmarkEnd w:id="70"/>
      <w:r>
        <w:rPr>
          <w:rFonts w:eastAsia="宋体" w:cs="宋体"/>
          <w:b/>
          <w:color w:val="000000"/>
          <w:sz w:val="36"/>
          <w:szCs w:val="36"/>
          <w:highlight w:val="none"/>
        </w:rPr>
      </w:r>
      <w:r/>
    </w:p>
    <w:p>
      <w:pPr>
        <w:pStyle w:val="1015"/>
        <w:contextualSpacing/>
        <w:ind w:firstLine="482"/>
        <w:spacing w:line="360" w:lineRule="auto"/>
        <w:rPr>
          <w:rFonts w:eastAsia="宋体" w:cs="宋体"/>
          <w:b/>
          <w:color w:val="000000"/>
          <w:sz w:val="24"/>
          <w:szCs w:val="21"/>
          <w:highlight w:val="none"/>
        </w:rPr>
        <w:outlineLvl w:val="1"/>
      </w:pPr>
      <w:r/>
      <w:bookmarkStart w:id="71" w:name="_Toc14154"/>
      <w:r>
        <w:rPr>
          <w:rFonts w:hint="eastAsia" w:eastAsia="宋体" w:cs="宋体"/>
          <w:b/>
          <w:color w:val="000000"/>
          <w:sz w:val="24"/>
          <w:szCs w:val="21"/>
          <w:highlight w:val="none"/>
        </w:rPr>
        <w:t xml:space="preserve">一、质疑的提出</w:t>
      </w:r>
      <w:bookmarkEnd w:id="71"/>
      <w:r>
        <w:rPr>
          <w:rFonts w:eastAsia="宋体" w:cs="宋体"/>
          <w:b/>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1、提出质疑的投标人应当是参与所质疑项目采购活动的投标人。潜在投标人依法获取其可质疑的招标文件的，可以对招标文件提出质疑。</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2.1对可以质疑的招标文件提出质疑的，为收到招标文件之日或者招标文件公告期限届满之日；</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2.2对采购过程提出质疑的，为各采购程序环节结束之日；</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2.3对中标结果提出质疑的，为中标结果公告期限届满之日。</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投标人应当在法定质疑期内一次性提出针对同一采购程序环节的质疑。</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4、对招标方式、招标文件中项目需求、投标人资格条件、评审方法和评审标准、资格审查结果等应当由招标人答复的质疑，请向招标人提出，由招标人负责答复。</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招标人质疑接收人及联系方式，见招标文件第一章。</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 以下情形的质疑不予受理</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5.1 内容不符合《政府采购质疑和投诉办法》财政部第94号令第十二条规定的质疑。</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5.2 超出政府采购法定期限的质疑。</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5.3 未参加招投标活动的投标人。</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5.4投标人组成联合体参加招投标活动，联合体中任何一方或多方未按要求签字、盖章、加盖公章的质疑。</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cs="宋体"/>
          <w:color w:val="000000"/>
          <w:sz w:val="24"/>
          <w:szCs w:val="21"/>
          <w:highlight w:val="none"/>
        </w:rPr>
      </w:r>
      <w:r/>
    </w:p>
    <w:p>
      <w:pPr>
        <w:pStyle w:val="1015"/>
        <w:contextualSpacing/>
        <w:spacing w:line="360" w:lineRule="auto"/>
        <w:rPr>
          <w:rFonts w:eastAsia="宋体" w:cs="宋体"/>
          <w:color w:val="000000"/>
          <w:sz w:val="24"/>
          <w:szCs w:val="21"/>
          <w:highlight w:val="none"/>
        </w:rPr>
      </w:pPr>
      <w:r>
        <w:rPr>
          <w:rFonts w:hint="eastAsia" w:eastAsia="宋体" w:cs="宋体"/>
          <w:color w:val="000000"/>
          <w:sz w:val="24"/>
          <w:szCs w:val="21"/>
          <w:highlight w:val="none"/>
        </w:rPr>
        <w:br w:type="page" w:clear="all"/>
      </w:r>
      <w:r>
        <w:rPr>
          <w:rFonts w:hint="eastAsia" w:eastAsia="宋体" w:cs="宋体"/>
          <w:color w:val="000000"/>
          <w:sz w:val="24"/>
          <w:szCs w:val="21"/>
          <w:highlight w:val="none"/>
        </w:rPr>
        <w:t xml:space="preserve">附件：</w:t>
      </w:r>
      <w:r>
        <w:rPr>
          <w:rFonts w:eastAsia="宋体" w:cs="宋体"/>
          <w:color w:val="000000"/>
          <w:sz w:val="24"/>
          <w:szCs w:val="21"/>
          <w:highlight w:val="none"/>
        </w:rPr>
      </w:r>
      <w:r/>
    </w:p>
    <w:p>
      <w:pPr>
        <w:pStyle w:val="1015"/>
        <w:contextualSpacing/>
        <w:ind w:firstLine="480"/>
        <w:jc w:val="center"/>
        <w:spacing w:line="360" w:lineRule="auto"/>
        <w:rPr>
          <w:rFonts w:eastAsia="宋体" w:cs="宋体"/>
          <w:bCs/>
          <w:color w:val="000000"/>
          <w:sz w:val="24"/>
          <w:szCs w:val="21"/>
          <w:highlight w:val="none"/>
        </w:rPr>
        <w:outlineLvl w:val="2"/>
      </w:pPr>
      <w:r>
        <w:rPr>
          <w:rFonts w:hint="eastAsia" w:eastAsia="宋体" w:cs="宋体"/>
          <w:bCs/>
          <w:color w:val="000000"/>
          <w:sz w:val="24"/>
          <w:szCs w:val="21"/>
          <w:highlight w:val="none"/>
        </w:rPr>
        <w:t xml:space="preserve">质疑函范本</w:t>
      </w:r>
      <w:r>
        <w:rPr>
          <w:rFonts w:eastAsia="宋体" w:cs="宋体"/>
          <w:bCs/>
          <w:color w:val="000000"/>
          <w:sz w:val="24"/>
          <w:szCs w:val="21"/>
          <w:highlight w:val="none"/>
        </w:rPr>
      </w:r>
      <w:r/>
    </w:p>
    <w:p>
      <w:pPr>
        <w:pStyle w:val="1015"/>
        <w:contextualSpacing/>
        <w:ind w:firstLine="480"/>
        <w:spacing w:line="360" w:lineRule="auto"/>
        <w:rPr>
          <w:rFonts w:eastAsia="宋体" w:cs="宋体"/>
          <w:bCs/>
          <w:color w:val="000000"/>
          <w:sz w:val="24"/>
          <w:szCs w:val="21"/>
          <w:highlight w:val="none"/>
        </w:rPr>
        <w:outlineLvl w:val="1"/>
      </w:pPr>
      <w:r/>
      <w:bookmarkStart w:id="72" w:name="_Toc20424"/>
      <w:r>
        <w:rPr>
          <w:rFonts w:hint="eastAsia" w:eastAsia="宋体" w:cs="宋体"/>
          <w:bCs/>
          <w:color w:val="000000"/>
          <w:sz w:val="24"/>
          <w:szCs w:val="21"/>
          <w:highlight w:val="none"/>
        </w:rPr>
        <w:t xml:space="preserve">一、质疑</w:t>
      </w:r>
      <w:r>
        <w:rPr>
          <w:rFonts w:hint="eastAsia" w:eastAsia="宋体" w:cs="宋体"/>
          <w:color w:val="000000"/>
          <w:sz w:val="24"/>
          <w:szCs w:val="21"/>
          <w:highlight w:val="none"/>
        </w:rPr>
        <w:t xml:space="preserve">投标人</w:t>
      </w:r>
      <w:r>
        <w:rPr>
          <w:rFonts w:hint="eastAsia" w:eastAsia="宋体" w:cs="宋体"/>
          <w:bCs/>
          <w:color w:val="000000"/>
          <w:sz w:val="24"/>
          <w:szCs w:val="21"/>
          <w:highlight w:val="none"/>
        </w:rPr>
        <w:t xml:space="preserve">基本信息</w:t>
      </w:r>
      <w:bookmarkEnd w:id="72"/>
      <w:r>
        <w:rPr>
          <w:rFonts w:eastAsia="宋体" w:cs="宋体"/>
          <w:bCs/>
          <w:color w:val="000000"/>
          <w:sz w:val="24"/>
          <w:szCs w:val="21"/>
          <w:highlight w:val="none"/>
        </w:rPr>
      </w:r>
      <w:r/>
    </w:p>
    <w:p>
      <w:pPr>
        <w:pStyle w:val="1015"/>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质疑投标人：</w:t>
      </w:r>
      <w:r>
        <w:rPr>
          <w:rFonts w:eastAsia="宋体" w:cs="宋体"/>
          <w:color w:val="000000"/>
          <w:sz w:val="24"/>
          <w:szCs w:val="21"/>
          <w:highlight w:val="none"/>
          <w:u w:val="singl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地址：邮编：</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联系人：联系电话：</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授权代表：</w:t>
      </w:r>
      <w:r>
        <w:rPr>
          <w:rFonts w:eastAsia="宋体" w:cs="宋体"/>
          <w:color w:val="000000"/>
          <w:sz w:val="24"/>
          <w:szCs w:val="21"/>
          <w:highlight w:val="none"/>
          <w:u w:val="singl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联系电话：</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地址：邮编：</w:t>
      </w:r>
      <w:r>
        <w:rPr>
          <w:rFonts w:eastAsia="宋体" w:cs="宋体"/>
          <w:color w:val="000000"/>
          <w:sz w:val="24"/>
          <w:szCs w:val="21"/>
          <w:highlight w:val="none"/>
        </w:rPr>
      </w:r>
      <w:r/>
    </w:p>
    <w:p>
      <w:pPr>
        <w:pStyle w:val="1015"/>
        <w:contextualSpacing/>
        <w:ind w:firstLine="480"/>
        <w:spacing w:line="360" w:lineRule="auto"/>
        <w:rPr>
          <w:rFonts w:eastAsia="宋体" w:cs="宋体"/>
          <w:bCs/>
          <w:color w:val="000000"/>
          <w:sz w:val="24"/>
          <w:szCs w:val="21"/>
          <w:highlight w:val="none"/>
        </w:rPr>
        <w:outlineLvl w:val="1"/>
      </w:pPr>
      <w:r/>
      <w:bookmarkStart w:id="73" w:name="_Toc26889"/>
      <w:r>
        <w:rPr>
          <w:rFonts w:hint="eastAsia" w:eastAsia="宋体" w:cs="宋体"/>
          <w:bCs/>
          <w:color w:val="000000"/>
          <w:sz w:val="24"/>
          <w:szCs w:val="21"/>
          <w:highlight w:val="none"/>
        </w:rPr>
        <w:t xml:space="preserve">二、质疑项目基本情况</w:t>
      </w:r>
      <w:bookmarkEnd w:id="73"/>
      <w:r>
        <w:rPr>
          <w:rFonts w:eastAsia="宋体" w:cs="宋体"/>
          <w:bCs/>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质疑项目的名称：</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质疑项目的编号：包号：</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招标人名称：</w:t>
      </w:r>
      <w:r>
        <w:rPr>
          <w:rFonts w:eastAsia="宋体" w:cs="宋体"/>
          <w:color w:val="000000"/>
          <w:sz w:val="24"/>
          <w:szCs w:val="21"/>
          <w:highlight w:val="none"/>
          <w:u w:val="singl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招标文件获取日期：</w:t>
      </w:r>
      <w:r>
        <w:rPr>
          <w:rFonts w:eastAsia="宋体" w:cs="宋体"/>
          <w:color w:val="000000"/>
          <w:sz w:val="24"/>
          <w:szCs w:val="21"/>
          <w:highlight w:val="none"/>
        </w:rPr>
      </w:r>
      <w:r/>
    </w:p>
    <w:p>
      <w:pPr>
        <w:pStyle w:val="1015"/>
        <w:contextualSpacing/>
        <w:ind w:firstLine="480"/>
        <w:spacing w:line="360" w:lineRule="auto"/>
        <w:rPr>
          <w:rFonts w:eastAsia="宋体" w:cs="宋体"/>
          <w:bCs/>
          <w:color w:val="000000"/>
          <w:sz w:val="24"/>
          <w:szCs w:val="21"/>
          <w:highlight w:val="none"/>
        </w:rPr>
        <w:outlineLvl w:val="1"/>
      </w:pPr>
      <w:r/>
      <w:bookmarkStart w:id="74" w:name="_Toc13828"/>
      <w:r>
        <w:rPr>
          <w:rFonts w:hint="eastAsia" w:eastAsia="宋体" w:cs="宋体"/>
          <w:bCs/>
          <w:color w:val="000000"/>
          <w:sz w:val="24"/>
          <w:szCs w:val="21"/>
          <w:highlight w:val="none"/>
        </w:rPr>
        <w:t xml:space="preserve">三、质疑事项具体内容</w:t>
      </w:r>
      <w:bookmarkEnd w:id="74"/>
      <w:r>
        <w:rPr>
          <w:rFonts w:eastAsia="宋体" w:cs="宋体"/>
          <w:bCs/>
          <w:color w:val="000000"/>
          <w:sz w:val="24"/>
          <w:szCs w:val="21"/>
          <w:highlight w:val="none"/>
        </w:rPr>
      </w:r>
      <w:r/>
    </w:p>
    <w:p>
      <w:pPr>
        <w:pStyle w:val="1015"/>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质疑事项1：</w:t>
      </w:r>
      <w:r>
        <w:rPr>
          <w:rFonts w:eastAsia="宋体" w:cs="宋体"/>
          <w:color w:val="000000"/>
          <w:sz w:val="24"/>
          <w:szCs w:val="21"/>
          <w:highlight w:val="none"/>
          <w:u w:val="single"/>
        </w:rPr>
      </w:r>
      <w:r/>
    </w:p>
    <w:p>
      <w:pPr>
        <w:pStyle w:val="1015"/>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事实依据：</w:t>
      </w:r>
      <w:r>
        <w:rPr>
          <w:rFonts w:eastAsia="宋体" w:cs="宋体"/>
          <w:color w:val="000000"/>
          <w:sz w:val="24"/>
          <w:szCs w:val="21"/>
          <w:highlight w:val="none"/>
          <w:u w:val="single"/>
        </w:rPr>
      </w:r>
      <w:r/>
    </w:p>
    <w:p>
      <w:pPr>
        <w:pStyle w:val="1015"/>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法律依据：</w:t>
      </w:r>
      <w:r>
        <w:rPr>
          <w:rFonts w:eastAsia="宋体" w:cs="宋体"/>
          <w:color w:val="000000"/>
          <w:sz w:val="24"/>
          <w:szCs w:val="21"/>
          <w:highlight w:val="none"/>
          <w:u w:val="single"/>
        </w:rPr>
      </w:r>
      <w:r/>
    </w:p>
    <w:p>
      <w:pPr>
        <w:pStyle w:val="1015"/>
        <w:contextualSpacing/>
        <w:ind w:firstLine="480"/>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1015"/>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质疑事项2</w:t>
      </w:r>
      <w:r>
        <w:rPr>
          <w:rFonts w:eastAsia="宋体" w:cs="宋体"/>
          <w:color w:val="000000"/>
          <w:sz w:val="24"/>
          <w:szCs w:val="21"/>
          <w:highlight w:val="none"/>
          <w:u w:val="singl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1015"/>
        <w:contextualSpacing/>
        <w:ind w:firstLine="480"/>
        <w:spacing w:line="360" w:lineRule="auto"/>
        <w:rPr>
          <w:rFonts w:eastAsia="宋体" w:cs="宋体"/>
          <w:bCs/>
          <w:color w:val="000000"/>
          <w:sz w:val="24"/>
          <w:szCs w:val="21"/>
          <w:highlight w:val="none"/>
        </w:rPr>
        <w:outlineLvl w:val="1"/>
      </w:pPr>
      <w:r/>
      <w:bookmarkStart w:id="75" w:name="_Toc524"/>
      <w:r>
        <w:rPr>
          <w:rFonts w:hint="eastAsia" w:eastAsia="宋体" w:cs="宋体"/>
          <w:bCs/>
          <w:color w:val="000000"/>
          <w:sz w:val="24"/>
          <w:szCs w:val="21"/>
          <w:highlight w:val="none"/>
        </w:rPr>
        <w:t xml:space="preserve">四、与质疑事项相关的质疑请求</w:t>
      </w:r>
      <w:bookmarkEnd w:id="75"/>
      <w:r>
        <w:rPr>
          <w:rFonts w:eastAsia="宋体" w:cs="宋体"/>
          <w:bCs/>
          <w:color w:val="000000"/>
          <w:sz w:val="24"/>
          <w:szCs w:val="21"/>
          <w:highlight w:val="none"/>
        </w:rPr>
      </w:r>
      <w:r/>
    </w:p>
    <w:p>
      <w:pPr>
        <w:pStyle w:val="1015"/>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请求：</w:t>
      </w:r>
      <w:r>
        <w:rPr>
          <w:rFonts w:eastAsia="宋体" w:cs="宋体"/>
          <w:color w:val="000000"/>
          <w:sz w:val="24"/>
          <w:szCs w:val="21"/>
          <w:highlight w:val="none"/>
          <w:u w:val="singl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签字(签章)：                   公章：                      </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日期：    </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contextualSpacing/>
        <w:ind w:firstLine="482"/>
        <w:spacing w:line="360" w:lineRule="auto"/>
        <w:rPr>
          <w:rFonts w:eastAsia="宋体" w:cs="宋体"/>
          <w:b/>
          <w:color w:val="000000"/>
          <w:sz w:val="24"/>
          <w:szCs w:val="21"/>
          <w:highlight w:val="none"/>
        </w:rPr>
      </w:pPr>
      <w:r>
        <w:rPr>
          <w:rFonts w:eastAsia="宋体" w:cs="宋体"/>
          <w:b/>
          <w:color w:val="000000"/>
          <w:sz w:val="24"/>
          <w:szCs w:val="21"/>
          <w:highlight w:val="none"/>
        </w:rPr>
      </w:r>
      <w:r/>
    </w:p>
    <w:p>
      <w:pPr>
        <w:pStyle w:val="1015"/>
        <w:spacing w:line="360" w:lineRule="auto"/>
        <w:rPr>
          <w:rFonts w:eastAsia="宋体" w:cs="宋体"/>
          <w:b/>
          <w:color w:val="000000"/>
          <w:sz w:val="24"/>
          <w:szCs w:val="21"/>
          <w:highlight w:val="none"/>
        </w:rPr>
      </w:pPr>
      <w:r>
        <w:rPr>
          <w:rFonts w:hint="eastAsia" w:eastAsia="宋体" w:cs="宋体"/>
          <w:b/>
          <w:color w:val="000000"/>
          <w:sz w:val="24"/>
          <w:szCs w:val="21"/>
          <w:highlight w:val="none"/>
        </w:rPr>
        <w:br w:type="page" w:clear="all"/>
      </w:r>
      <w:r>
        <w:rPr>
          <w:rFonts w:eastAsia="宋体" w:cs="宋体"/>
          <w:b/>
          <w:color w:val="000000"/>
          <w:sz w:val="24"/>
          <w:szCs w:val="21"/>
          <w:highlight w:val="none"/>
        </w:rPr>
      </w:r>
      <w:r/>
    </w:p>
    <w:p>
      <w:pPr>
        <w:pStyle w:val="1015"/>
        <w:contextualSpacing/>
        <w:ind w:firstLine="482"/>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质疑函制作说明：</w:t>
      </w:r>
      <w:r>
        <w:rPr>
          <w:rFonts w:eastAsia="宋体" w:cs="宋体"/>
          <w:b/>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1、投标人提出质疑时，应提交质疑函和必要的证明材料。</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3、质疑投标人若对项目的某一分包进行质疑，质疑函中应列明具体分包号。</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4、质疑函的质疑事项应具体、明确，并有必要的事实依据和法律依据。</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5、质疑函的质疑请求应与质疑事项相关。</w:t>
      </w:r>
      <w:r>
        <w:rPr>
          <w:rFonts w:eastAsia="宋体" w:cs="宋体"/>
          <w:color w:val="000000"/>
          <w:sz w:val="24"/>
          <w:szCs w:val="21"/>
          <w:highlight w:val="none"/>
        </w:rPr>
      </w:r>
      <w:r/>
    </w:p>
    <w:p>
      <w:pPr>
        <w:pStyle w:val="1015"/>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rPr>
          <w:rFonts w:eastAsia="宋体" w:cs="宋体"/>
          <w:color w:val="000000"/>
          <w:sz w:val="24"/>
          <w:szCs w:val="21"/>
          <w:highlight w:val="none"/>
        </w:rPr>
      </w:r>
      <w:r/>
    </w:p>
    <w:p>
      <w:pPr>
        <w:pStyle w:val="1015"/>
        <w:contextualSpacing/>
        <w:ind w:firstLine="388"/>
        <w:jc w:val="center"/>
        <w:spacing w:line="360" w:lineRule="auto"/>
        <w:rPr>
          <w:rFonts w:eastAsia="宋体" w:cs="宋体"/>
          <w:b/>
          <w:color w:val="000000"/>
          <w:sz w:val="36"/>
          <w:szCs w:val="36"/>
          <w:highlight w:val="none"/>
        </w:rPr>
        <w:outlineLvl w:val="0"/>
      </w:pPr>
      <w:r>
        <w:rPr>
          <w:rFonts w:hint="eastAsia" w:eastAsia="宋体" w:cs="宋体"/>
          <w:b/>
          <w:color w:val="000000"/>
          <w:sz w:val="24"/>
          <w:szCs w:val="21"/>
          <w:highlight w:val="none"/>
        </w:rPr>
        <w:br w:type="page" w:clear="all"/>
      </w:r>
      <w:bookmarkStart w:id="76" w:name="_Toc29584"/>
      <w:r/>
      <w:bookmarkStart w:id="77" w:name="_Toc19836"/>
      <w:r>
        <w:rPr>
          <w:rFonts w:hint="eastAsia" w:eastAsia="宋体" w:cs="宋体"/>
          <w:b/>
          <w:color w:val="000000"/>
          <w:sz w:val="36"/>
          <w:szCs w:val="36"/>
          <w:highlight w:val="none"/>
        </w:rPr>
        <w:t xml:space="preserve">第八章 投标文件组成及格式</w:t>
      </w:r>
      <w:bookmarkEnd w:id="68"/>
      <w:r/>
      <w:bookmarkEnd w:id="76"/>
      <w:r/>
      <w:bookmarkEnd w:id="77"/>
      <w:r>
        <w:rPr>
          <w:rFonts w:eastAsia="宋体" w:cs="宋体"/>
          <w:b/>
          <w:color w:val="000000"/>
          <w:sz w:val="36"/>
          <w:szCs w:val="36"/>
          <w:highlight w:val="none"/>
        </w:rPr>
      </w:r>
      <w:r/>
    </w:p>
    <w:p>
      <w:pPr>
        <w:pStyle w:val="1243"/>
        <w:ind w:left="0" w:firstLine="522"/>
        <w:spacing w:line="360" w:lineRule="auto"/>
        <w:rPr>
          <w:rFonts w:ascii="Times New Roman" w:eastAsia="宋体" w:cs="宋体"/>
          <w:b/>
          <w:color w:val="000000"/>
          <w:szCs w:val="21"/>
          <w:highlight w:val="none"/>
        </w:rPr>
        <w:outlineLvl w:val="1"/>
      </w:pPr>
      <w:r/>
      <w:bookmarkStart w:id="78" w:name="_Toc17214"/>
      <w:r>
        <w:rPr>
          <w:rFonts w:ascii="Times New Roman" w:eastAsia="宋体" w:cs="宋体"/>
          <w:b/>
          <w:color w:val="000000"/>
          <w:szCs w:val="21"/>
          <w:highlight w:val="none"/>
        </w:rPr>
        <w:t xml:space="preserve">一、资格审查文件</w:t>
      </w:r>
      <w:bookmarkEnd w:id="78"/>
      <w:r>
        <w:rPr>
          <w:rFonts w:ascii="Times New Roman" w:eastAsia="宋体" w:cs="宋体"/>
          <w:b/>
          <w:color w:val="000000"/>
          <w:szCs w:val="21"/>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bookmarkStart w:id="79" w:name="OLE_LINK6"/>
      <w:r>
        <w:rPr>
          <w:rFonts w:hint="eastAsia" w:eastAsia="宋体" w:cs="宋体"/>
          <w:bCs/>
          <w:color w:val="000000"/>
          <w:sz w:val="24"/>
          <w:szCs w:val="24"/>
          <w:highlight w:val="none"/>
        </w:rPr>
        <w:t xml:space="preserve">投标供应商具有独立承担民事责任能力，提供法人或者其他组织的营业执照等证明文件。</w:t>
      </w:r>
      <w:bookmarkEnd w:id="79"/>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投标人法定代表人参加投标的，必须提供法定代表人身份证明及法定代表人本人身份证复印件；非法定代表人参加投标的，必须提供法定代表人签名或盖章的授权委托书及法定代表人和被授权人两个人的身份证复印件（格式参见第八章）。</w:t>
      </w:r>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bookmarkStart w:id="80" w:name="OLE_LINK5"/>
      <w:r/>
      <w:bookmarkStart w:id="81" w:name="OLE_LINK11"/>
      <w:r>
        <w:rPr>
          <w:rFonts w:hint="eastAsia" w:eastAsia="宋体" w:cs="宋体"/>
          <w:bCs/>
          <w:color w:val="000000"/>
          <w:sz w:val="24"/>
          <w:szCs w:val="24"/>
          <w:highlight w:val="none"/>
        </w:rPr>
        <w:t xml:space="preserve">投标人符合《中华人民共和国政府采购法》第二十二条规定条件的声明函</w:t>
      </w:r>
      <w:bookmarkEnd w:id="80"/>
      <w:r>
        <w:rPr>
          <w:rFonts w:hint="eastAsia" w:eastAsia="宋体" w:cs="宋体"/>
          <w:bCs/>
          <w:color w:val="000000"/>
          <w:sz w:val="24"/>
          <w:szCs w:val="24"/>
          <w:highlight w:val="none"/>
        </w:rPr>
        <w:t xml:space="preserve">（格式参见第八章）。</w:t>
      </w:r>
      <w:bookmarkEnd w:id="81"/>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4、投标人须提供诚信承诺书</w:t>
      </w:r>
      <w:bookmarkStart w:id="82" w:name="OLE_LINK7"/>
      <w:r>
        <w:rPr>
          <w:rFonts w:hint="eastAsia" w:eastAsia="宋体" w:cs="宋体"/>
          <w:bCs/>
          <w:color w:val="000000"/>
          <w:sz w:val="24"/>
          <w:szCs w:val="24"/>
          <w:highlight w:val="none"/>
        </w:rPr>
        <w:t xml:space="preserve">（格式参见第八章）。</w:t>
      </w:r>
      <w:bookmarkEnd w:id="82"/>
      <w:r>
        <w:rPr>
          <w:rFonts w:eastAsia="宋体" w:cs="宋体"/>
          <w:bCs/>
          <w:color w:val="000000"/>
          <w:sz w:val="24"/>
          <w:szCs w:val="24"/>
          <w:highlight w:val="none"/>
        </w:rPr>
      </w:r>
      <w:r/>
    </w:p>
    <w:p>
      <w:pPr>
        <w:pStyle w:val="1015"/>
        <w:contextualSpacing/>
        <w:ind w:firstLine="480"/>
        <w:spacing w:line="360" w:lineRule="auto"/>
        <w:rPr>
          <w:rFonts w:eastAsia="宋体"/>
          <w:color w:val="000000"/>
          <w:highlight w:val="none"/>
        </w:rPr>
      </w:pPr>
      <w:r>
        <w:rPr>
          <w:rFonts w:hint="eastAsia" w:eastAsia="宋体" w:cs="宋体"/>
          <w:bCs/>
          <w:color w:val="000000"/>
          <w:sz w:val="24"/>
          <w:szCs w:val="24"/>
          <w:highlight w:val="none"/>
        </w:rPr>
        <w:t xml:space="preserve">5、</w:t>
      </w:r>
      <w:bookmarkStart w:id="83" w:name="OLE_LINK12"/>
      <w:r>
        <w:rPr>
          <w:rFonts w:hint="eastAsia" w:eastAsia="宋体" w:cs="宋体"/>
          <w:bCs/>
          <w:color w:val="000000"/>
          <w:sz w:val="24"/>
          <w:szCs w:val="24"/>
          <w:highlight w:val="none"/>
        </w:rPr>
        <w:t xml:space="preserve">投标人须提供中小企业声明函或残疾人福利性单位声明函或监狱或戒毒企业证明材料（格式参见第八章）。</w:t>
      </w:r>
      <w:bookmarkEnd w:id="83"/>
      <w:r>
        <w:rPr>
          <w:rFonts w:eastAsia="宋体"/>
          <w:color w:val="000000"/>
          <w:highlight w:val="none"/>
        </w:rPr>
      </w:r>
      <w:r/>
    </w:p>
    <w:p>
      <w:pPr>
        <w:pStyle w:val="1015"/>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rPr>
        <w:t xml:space="preserve">6、未被“信用中国”网站（www.creditchina.gov.cn）列入失信被执行人、重大税收违法案件当事人名单、政府采购严重失信行为记录名单。</w:t>
      </w:r>
      <w:r>
        <w:rPr>
          <w:rFonts w:hint="eastAsia" w:eastAsia="宋体" w:cs="宋体"/>
          <w:bCs/>
          <w:color w:val="000000"/>
          <w:sz w:val="24"/>
          <w:szCs w:val="24"/>
          <w:highlight w:val="none"/>
          <w:lang w:val="en-US" w:eastAsia="zh-CN"/>
        </w:rPr>
      </w:r>
      <w:r/>
    </w:p>
    <w:p>
      <w:pPr>
        <w:pStyle w:val="1015"/>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说明：招标人在进行资格性审查的同时，将在“信用中国”、“中国政府采购网”网站查询投标人的信用记录，以确定投标人是否具备投标资格，查询结果留存并归档。投标人无需提供证明材料。</w:t>
      </w:r>
      <w:r>
        <w:rPr>
          <w:rFonts w:hint="eastAsia"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7、</w:t>
      </w:r>
      <w:r>
        <w:rPr>
          <w:rFonts w:hint="eastAsia" w:eastAsia="宋体" w:cs="宋体"/>
          <w:bCs/>
          <w:color w:val="000000"/>
          <w:sz w:val="24"/>
          <w:szCs w:val="24"/>
          <w:highlight w:val="none"/>
        </w:rPr>
        <w:t xml:space="preserve">供应商认为其它需要提交的资格审查证明材料。</w:t>
      </w:r>
      <w:r>
        <w:rPr>
          <w:rFonts w:eastAsia="宋体" w:cs="宋体"/>
          <w:bCs/>
          <w:color w:val="000000"/>
          <w:sz w:val="24"/>
          <w:szCs w:val="24"/>
          <w:highlight w:val="none"/>
        </w:rPr>
      </w:r>
      <w:r/>
    </w:p>
    <w:p>
      <w:pPr>
        <w:pStyle w:val="1015"/>
        <w:contextualSpacing/>
        <w:ind w:firstLine="482"/>
        <w:jc w:val="left"/>
        <w:spacing w:line="360" w:lineRule="auto"/>
        <w:rPr>
          <w:rFonts w:eastAsia="宋体" w:cs="宋体"/>
          <w:b/>
          <w:color w:val="000000"/>
          <w:sz w:val="24"/>
          <w:szCs w:val="21"/>
          <w:highlight w:val="none"/>
        </w:rPr>
        <w:outlineLvl w:val="1"/>
      </w:pPr>
      <w:r/>
      <w:bookmarkStart w:id="84" w:name="_Toc26033"/>
      <w:r>
        <w:rPr>
          <w:rFonts w:hint="eastAsia" w:eastAsia="宋体" w:cs="宋体"/>
          <w:b/>
          <w:color w:val="000000"/>
          <w:sz w:val="24"/>
          <w:szCs w:val="21"/>
          <w:highlight w:val="none"/>
        </w:rPr>
        <w:t xml:space="preserve">二、符合性审查文件</w:t>
      </w:r>
      <w:bookmarkEnd w:id="84"/>
      <w:r>
        <w:rPr>
          <w:rFonts w:eastAsia="宋体" w:cs="宋体"/>
          <w:b/>
          <w:color w:val="000000"/>
          <w:sz w:val="24"/>
          <w:szCs w:val="21"/>
          <w:highlight w:val="none"/>
        </w:rPr>
      </w:r>
      <w:r/>
    </w:p>
    <w:p>
      <w:pPr>
        <w:pStyle w:val="1015"/>
        <w:ind w:firstLine="482"/>
        <w:spacing w:line="360" w:lineRule="auto"/>
        <w:rPr>
          <w:rFonts w:hint="eastAsia" w:eastAsia="宋体" w:cs="宋体"/>
          <w:b/>
          <w:bCs/>
          <w:color w:val="000000"/>
          <w:sz w:val="24"/>
          <w:szCs w:val="24"/>
          <w:highlight w:val="none"/>
        </w:rPr>
      </w:pPr>
      <w:r/>
      <w:bookmarkStart w:id="85" w:name="OLE_LINK9"/>
      <w:r>
        <w:rPr>
          <w:rFonts w:hint="eastAsia" w:eastAsia="宋体" w:cs="宋体"/>
          <w:b/>
          <w:bCs/>
          <w:color w:val="000000"/>
          <w:sz w:val="24"/>
          <w:szCs w:val="24"/>
          <w:highlight w:val="none"/>
        </w:rPr>
        <w:t xml:space="preserve">采购需求中必须满足的实质性要求</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rPr>
      </w:r>
      <w:r/>
    </w:p>
    <w:p>
      <w:pPr>
        <w:pStyle w:val="1015"/>
        <w:contextualSpacing/>
        <w:ind w:firstLine="480"/>
        <w:spacing w:line="360" w:lineRule="auto"/>
        <w:rPr>
          <w:rFonts w:hint="eastAsia" w:eastAsia="宋体" w:cs="宋体"/>
          <w:b w:val="0"/>
          <w:bCs w:val="0"/>
          <w:color w:val="000000"/>
          <w:sz w:val="24"/>
          <w:szCs w:val="24"/>
          <w:highlight w:val="none"/>
          <w:u w:val="single"/>
        </w:rPr>
      </w:pPr>
      <w:r>
        <w:rPr>
          <w:rFonts w:hint="eastAsia" w:eastAsia="宋体" w:cs="宋体"/>
          <w:b w:val="0"/>
          <w:bCs w:val="0"/>
          <w:color w:val="000000"/>
          <w:sz w:val="24"/>
          <w:szCs w:val="24"/>
          <w:highlight w:val="none"/>
          <w:u w:val="single"/>
          <w:lang w:val="en-US" w:eastAsia="zh-CN"/>
        </w:rPr>
        <w:t xml:space="preserve">1、</w:t>
      </w:r>
      <w:bookmarkStart w:id="86" w:name="OLE_LINK16"/>
      <w:r>
        <w:rPr>
          <w:rFonts w:hint="eastAsia" w:eastAsia="宋体" w:cs="宋体"/>
          <w:b w:val="0"/>
          <w:bCs w:val="0"/>
          <w:color w:val="000000"/>
          <w:sz w:val="24"/>
          <w:szCs w:val="24"/>
          <w:highlight w:val="none"/>
          <w:u w:val="single"/>
          <w:lang w:val="en-US" w:eastAsia="zh-CN"/>
        </w:rPr>
        <w:t xml:space="preserve">本项目第三章中</w:t>
      </w:r>
      <w:r>
        <w:rPr>
          <w:rFonts w:hint="eastAsia" w:ascii="宋体" w:hAnsi="宋体" w:eastAsia="宋体" w:cs="宋体"/>
          <w:b w:val="0"/>
          <w:bCs w:val="0"/>
          <w:color w:val="000000"/>
          <w:sz w:val="24"/>
          <w:szCs w:val="24"/>
          <w:highlight w:val="none"/>
          <w:u w:val="single"/>
          <w:lang w:val="en-US" w:eastAsia="zh-CN"/>
        </w:rPr>
        <w:t xml:space="preserve">投标人应按要求提交详细的售后服务保修计划，列出售后服务方案，并明确列出每种故障的修复时效。未提供或未按要求提供作无效投标处理</w:t>
      </w:r>
      <w:r>
        <w:rPr>
          <w:rFonts w:hint="eastAsia" w:eastAsia="宋体" w:cs="宋体"/>
          <w:b w:val="0"/>
          <w:bCs w:val="0"/>
          <w:color w:val="000000"/>
          <w:sz w:val="24"/>
          <w:szCs w:val="24"/>
          <w:highlight w:val="none"/>
          <w:u w:val="single"/>
        </w:rPr>
        <w:t xml:space="preserve">。</w:t>
      </w:r>
      <w:r>
        <w:rPr>
          <w:rFonts w:hint="eastAsia" w:eastAsia="宋体" w:cs="宋体"/>
          <w:b w:val="0"/>
          <w:bCs w:val="0"/>
          <w:color w:val="000000"/>
          <w:sz w:val="24"/>
          <w:szCs w:val="24"/>
          <w:highlight w:val="none"/>
          <w:u w:val="single"/>
        </w:rPr>
      </w:r>
      <w:r/>
    </w:p>
    <w:p>
      <w:pPr>
        <w:pStyle w:val="1015"/>
        <w:ind w:firstLine="480"/>
        <w:jc w:val="left"/>
        <w:keepLines w:val="0"/>
        <w:keepNext w:val="0"/>
        <w:pageBreakBefore w:val="0"/>
        <w:spacing w:line="360" w:lineRule="auto"/>
        <w:widowControl w:val="off"/>
        <w:rPr>
          <w:rFonts w:hint="eastAsia"/>
          <w:b/>
          <w:bCs/>
          <w:color w:val="000000"/>
          <w:highlight w:val="none"/>
          <w:u w:val="single"/>
        </w:rPr>
      </w:pPr>
      <w:r/>
      <w:bookmarkEnd w:id="86"/>
      <w:r>
        <w:rPr>
          <w:rFonts w:hint="eastAsia" w:ascii="宋体" w:hAnsi="宋体" w:eastAsia="宋体" w:cs="宋体"/>
          <w:color w:val="000000"/>
          <w:sz w:val="24"/>
          <w:szCs w:val="24"/>
          <w:highlight w:val="none"/>
          <w:u w:val="single"/>
          <w:lang w:val="en-US" w:eastAsia="zh-CN"/>
        </w:rPr>
        <w:t xml:space="preserve">2、</w:t>
      </w:r>
      <w:bookmarkStart w:id="87" w:name="OLE_LINK17"/>
      <w:r>
        <w:rPr>
          <w:rFonts w:hint="eastAsia" w:ascii="宋体" w:hAnsi="宋体" w:eastAsia="宋体" w:cs="宋体"/>
          <w:color w:val="000000"/>
          <w:sz w:val="24"/>
          <w:szCs w:val="24"/>
          <w:highlight w:val="none"/>
          <w:u w:val="single"/>
        </w:rPr>
        <w:t xml:space="preserve">为保证医疗系统数据对接的稳定可靠，减少本次改造建设的数据影响，投标人需对本项目需求和医院实际情况充分摸底评估。同时本项目为本院智慧病房标杆工程，投标单位中标后需提供智慧病房设备原厂技术参数响应表及原厂三年质保承诺函；中标后同时提供需求参数中所提及的相关检测报告（加盖生产厂商公章），并搭建实际应用系统进行相关功能演示，且所有功能与院方确认。未按要求提供相关证明资料或功能不达标则取消中标资格</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lang w:val="en-US" w:eastAsia="zh-CN"/>
        </w:rPr>
        <w:t xml:space="preserve">出具承诺函，格式自拟。</w:t>
      </w:r>
      <w:r>
        <w:rPr>
          <w:rFonts w:hint="eastAsia" w:ascii="宋体" w:hAnsi="宋体" w:eastAsia="宋体" w:cs="宋体"/>
          <w:b/>
          <w:bCs/>
          <w:color w:val="000000"/>
          <w:sz w:val="24"/>
          <w:szCs w:val="24"/>
          <w:highlight w:val="none"/>
          <w:u w:val="single"/>
          <w:lang w:val="en-US" w:eastAsia="zh-CN"/>
        </w:rPr>
        <w:t xml:space="preserve">未提供或未按要求提供作无效投标处理。</w:t>
      </w:r>
      <w:r>
        <w:rPr>
          <w:rFonts w:hint="eastAsia"/>
          <w:b/>
          <w:bCs/>
          <w:color w:val="000000"/>
          <w:highlight w:val="none"/>
          <w:u w:val="single"/>
        </w:rPr>
      </w:r>
      <w:r/>
    </w:p>
    <w:p>
      <w:pPr>
        <w:pStyle w:val="1015"/>
        <w:contextualSpacing/>
        <w:ind w:firstLine="482"/>
        <w:jc w:val="left"/>
        <w:spacing w:line="360" w:lineRule="auto"/>
        <w:rPr>
          <w:rFonts w:eastAsia="宋体" w:cs="宋体"/>
          <w:b/>
          <w:bCs/>
          <w:color w:val="000000"/>
          <w:sz w:val="24"/>
          <w:szCs w:val="21"/>
          <w:highlight w:val="none"/>
        </w:rPr>
        <w:outlineLvl w:val="1"/>
      </w:pPr>
      <w:r/>
      <w:bookmarkEnd w:id="85"/>
      <w:r/>
      <w:bookmarkEnd w:id="87"/>
      <w:r/>
      <w:bookmarkStart w:id="88" w:name="_Toc3933"/>
      <w:r>
        <w:rPr>
          <w:rFonts w:hint="eastAsia" w:eastAsia="宋体" w:cs="宋体"/>
          <w:b/>
          <w:color w:val="000000"/>
          <w:sz w:val="24"/>
          <w:szCs w:val="21"/>
          <w:highlight w:val="none"/>
        </w:rPr>
        <w:t xml:space="preserve">三、商务技术标文件</w:t>
      </w:r>
      <w:bookmarkEnd w:id="88"/>
      <w:r>
        <w:rPr>
          <w:rFonts w:eastAsia="宋体" w:cs="宋体"/>
          <w:b/>
          <w:bCs/>
          <w:color w:val="000000"/>
          <w:sz w:val="24"/>
          <w:szCs w:val="21"/>
          <w:highlight w:val="none"/>
        </w:rPr>
      </w:r>
      <w:r/>
    </w:p>
    <w:p>
      <w:pPr>
        <w:pStyle w:val="1015"/>
        <w:contextualSpacing/>
        <w:ind w:firstLine="480"/>
        <w:spacing w:line="360" w:lineRule="auto"/>
        <w:rPr>
          <w:rFonts w:hint="eastAsia" w:eastAsia="宋体" w:cs="宋体"/>
          <w:bCs/>
          <w:color w:val="000000"/>
          <w:sz w:val="24"/>
          <w:szCs w:val="21"/>
          <w:highlight w:val="none"/>
        </w:rPr>
      </w:pPr>
      <w:r>
        <w:rPr>
          <w:rFonts w:hint="eastAsia" w:eastAsia="宋体" w:cs="宋体"/>
          <w:bCs/>
          <w:color w:val="000000"/>
          <w:sz w:val="24"/>
          <w:szCs w:val="21"/>
          <w:highlight w:val="none"/>
          <w:lang w:val="en-US" w:eastAsia="zh-CN"/>
        </w:rPr>
        <w:t xml:space="preserve">1、</w:t>
      </w:r>
      <w:r>
        <w:rPr>
          <w:rFonts w:hint="eastAsia" w:eastAsia="宋体" w:cs="宋体"/>
          <w:bCs/>
          <w:color w:val="000000"/>
          <w:sz w:val="24"/>
          <w:szCs w:val="21"/>
          <w:highlight w:val="none"/>
        </w:rPr>
        <w:t xml:space="preserve">评标办法中所涉及的事项需提供的所有资料。</w:t>
      </w:r>
      <w:r>
        <w:rPr>
          <w:rFonts w:hint="eastAsia" w:eastAsia="宋体" w:cs="宋体"/>
          <w:bCs/>
          <w:color w:val="000000"/>
          <w:sz w:val="24"/>
          <w:szCs w:val="21"/>
          <w:highlight w:val="none"/>
        </w:rPr>
      </w:r>
      <w:r/>
    </w:p>
    <w:p>
      <w:pPr>
        <w:pStyle w:val="1015"/>
        <w:contextualSpacing/>
        <w:ind w:firstLine="480"/>
        <w:spacing w:line="360" w:lineRule="auto"/>
        <w:rPr>
          <w:rFonts w:hint="eastAsia" w:eastAsia="宋体" w:cs="宋体"/>
          <w:bCs/>
          <w:color w:val="000000"/>
          <w:sz w:val="24"/>
          <w:szCs w:val="21"/>
          <w:highlight w:val="none"/>
        </w:rPr>
      </w:pPr>
      <w:r>
        <w:rPr>
          <w:rFonts w:hint="eastAsia" w:eastAsia="宋体" w:cs="宋体"/>
          <w:bCs/>
          <w:color w:val="000000"/>
          <w:sz w:val="24"/>
          <w:szCs w:val="21"/>
          <w:highlight w:val="none"/>
          <w:lang w:val="en-US" w:eastAsia="zh-CN"/>
        </w:rPr>
        <w:t xml:space="preserve">2</w:t>
      </w:r>
      <w:r>
        <w:rPr>
          <w:rFonts w:hint="eastAsia" w:eastAsia="宋体" w:cs="宋体"/>
          <w:bCs/>
          <w:color w:val="000000"/>
          <w:sz w:val="24"/>
          <w:szCs w:val="21"/>
          <w:highlight w:val="none"/>
        </w:rPr>
        <w:t xml:space="preserve">、招标文件中未涉及的事项，投标人认为需要提交的其他资料。</w:t>
      </w:r>
      <w:r>
        <w:rPr>
          <w:rFonts w:hint="eastAsia" w:eastAsia="宋体" w:cs="宋体"/>
          <w:bCs/>
          <w:color w:val="000000"/>
          <w:sz w:val="24"/>
          <w:szCs w:val="21"/>
          <w:highlight w:val="none"/>
        </w:rPr>
      </w:r>
      <w:r/>
    </w:p>
    <w:p>
      <w:pPr>
        <w:pStyle w:val="1015"/>
        <w:contextualSpacing/>
        <w:ind w:firstLine="482"/>
        <w:jc w:val="left"/>
        <w:spacing w:line="360" w:lineRule="auto"/>
        <w:rPr>
          <w:rFonts w:eastAsia="宋体" w:cs="宋体"/>
          <w:b/>
          <w:bCs/>
          <w:color w:val="000000"/>
          <w:sz w:val="24"/>
          <w:szCs w:val="21"/>
          <w:highlight w:val="none"/>
        </w:rPr>
        <w:outlineLvl w:val="1"/>
      </w:pPr>
      <w:r/>
      <w:bookmarkStart w:id="89" w:name="_Toc19134"/>
      <w:r>
        <w:rPr>
          <w:rFonts w:hint="eastAsia" w:eastAsia="宋体" w:cs="宋体"/>
          <w:b/>
          <w:bCs/>
          <w:color w:val="000000"/>
          <w:sz w:val="24"/>
          <w:szCs w:val="21"/>
          <w:highlight w:val="none"/>
        </w:rPr>
        <w:t xml:space="preserve">四、价格标</w:t>
      </w:r>
      <w:bookmarkEnd w:id="89"/>
      <w:r>
        <w:rPr>
          <w:rFonts w:eastAsia="宋体" w:cs="宋体"/>
          <w:b/>
          <w:bCs/>
          <w:color w:val="000000"/>
          <w:sz w:val="24"/>
          <w:szCs w:val="21"/>
          <w:highlight w:val="none"/>
        </w:rPr>
      </w:r>
      <w:r/>
    </w:p>
    <w:p>
      <w:pPr>
        <w:pStyle w:val="1015"/>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1、</w:t>
      </w:r>
      <w:r>
        <w:rPr>
          <w:rFonts w:hint="eastAsia" w:eastAsia="宋体" w:cs="宋体"/>
          <w:bCs/>
          <w:color w:val="000000"/>
          <w:sz w:val="24"/>
          <w:szCs w:val="24"/>
          <w:highlight w:val="none"/>
        </w:rPr>
        <w:t xml:space="preserve">报价一览表（以苏采云系统为准）</w:t>
      </w:r>
      <w:r>
        <w:rPr>
          <w:rFonts w:eastAsia="宋体" w:cs="宋体"/>
          <w:bCs/>
          <w:color w:val="000000"/>
          <w:sz w:val="24"/>
          <w:szCs w:val="21"/>
          <w:highlight w:val="none"/>
        </w:rPr>
      </w:r>
      <w:r/>
    </w:p>
    <w:p>
      <w:pPr>
        <w:pStyle w:val="1015"/>
        <w:contextualSpacing/>
        <w:ind w:firstLine="480"/>
        <w:spacing w:line="360" w:lineRule="auto"/>
        <w:rPr>
          <w:rFonts w:hint="eastAsia" w:eastAsia="宋体" w:cs="宋体"/>
          <w:bCs/>
          <w:color w:val="000000"/>
          <w:sz w:val="24"/>
          <w:szCs w:val="21"/>
          <w:highlight w:val="none"/>
        </w:rPr>
      </w:pPr>
      <w:r>
        <w:rPr>
          <w:rFonts w:hint="eastAsia" w:eastAsia="宋体" w:cs="宋体"/>
          <w:bCs/>
          <w:color w:val="000000"/>
          <w:sz w:val="24"/>
          <w:szCs w:val="21"/>
          <w:highlight w:val="none"/>
        </w:rPr>
        <w:t xml:space="preserve">2、投标报价明细表</w:t>
      </w:r>
      <w:r>
        <w:rPr>
          <w:rFonts w:hint="eastAsia" w:eastAsia="宋体" w:cs="宋体"/>
          <w:bCs/>
          <w:color w:val="000000"/>
          <w:sz w:val="24"/>
          <w:szCs w:val="21"/>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3</w:t>
      </w:r>
      <w:r>
        <w:rPr>
          <w:rFonts w:hint="eastAsia" w:eastAsia="宋体" w:cs="宋体"/>
          <w:bCs/>
          <w:color w:val="000000"/>
          <w:sz w:val="24"/>
          <w:szCs w:val="24"/>
          <w:highlight w:val="none"/>
        </w:rPr>
        <w:t xml:space="preserve">、投标响应函（格式参见第八章）；</w:t>
      </w:r>
      <w:r>
        <w:rPr>
          <w:rFonts w:eastAsia="宋体" w:cs="宋体"/>
          <w:bCs/>
          <w:color w:val="000000"/>
          <w:sz w:val="24"/>
          <w:szCs w:val="24"/>
          <w:highlight w:val="none"/>
        </w:rPr>
      </w:r>
      <w:r/>
    </w:p>
    <w:p>
      <w:pPr>
        <w:pStyle w:val="1015"/>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4</w:t>
      </w:r>
      <w:r>
        <w:rPr>
          <w:rFonts w:hint="eastAsia" w:eastAsia="宋体" w:cs="宋体"/>
          <w:bCs/>
          <w:color w:val="000000"/>
          <w:sz w:val="24"/>
          <w:szCs w:val="24"/>
          <w:highlight w:val="none"/>
        </w:rPr>
        <w:t xml:space="preserve">、投标人一般情况表（格式参见第八章）；</w:t>
      </w:r>
      <w:r>
        <w:rPr>
          <w:rFonts w:eastAsia="宋体" w:cs="宋体"/>
          <w:bCs/>
          <w:color w:val="000000"/>
          <w:sz w:val="24"/>
          <w:szCs w:val="24"/>
          <w:highlight w:val="none"/>
        </w:rPr>
      </w:r>
      <w:r/>
    </w:p>
    <w:p>
      <w:pPr>
        <w:pStyle w:val="1015"/>
        <w:contextualSpacing/>
        <w:ind w:firstLine="480"/>
        <w:spacing w:line="360" w:lineRule="auto"/>
        <w:rPr>
          <w:rFonts w:hint="eastAsia" w:eastAsia="宋体" w:cs="宋体"/>
          <w:bCs/>
          <w:color w:val="000000"/>
          <w:sz w:val="24"/>
          <w:szCs w:val="21"/>
          <w:highlight w:val="none"/>
        </w:rPr>
      </w:pPr>
      <w:r>
        <w:rPr>
          <w:rFonts w:hint="eastAsia" w:eastAsia="宋体" w:cs="宋体"/>
          <w:bCs/>
          <w:color w:val="000000"/>
          <w:sz w:val="24"/>
          <w:szCs w:val="21"/>
          <w:highlight w:val="none"/>
          <w:lang w:val="en-US" w:eastAsia="zh-CN"/>
        </w:rPr>
        <w:t xml:space="preserve">5</w:t>
      </w:r>
      <w:r>
        <w:rPr>
          <w:rFonts w:hint="eastAsia" w:eastAsia="宋体" w:cs="宋体"/>
          <w:bCs/>
          <w:color w:val="000000"/>
          <w:sz w:val="24"/>
          <w:szCs w:val="21"/>
          <w:highlight w:val="none"/>
        </w:rPr>
        <w:t xml:space="preserve">、技术</w:t>
      </w:r>
      <w:r>
        <w:rPr>
          <w:rFonts w:hint="eastAsia" w:eastAsia="宋体" w:cs="宋体"/>
          <w:bCs/>
          <w:color w:val="000000"/>
          <w:sz w:val="24"/>
          <w:szCs w:val="21"/>
          <w:highlight w:val="none"/>
          <w:lang w:val="en-US" w:eastAsia="zh-CN"/>
        </w:rPr>
        <w:t xml:space="preserve">参数响应</w:t>
      </w:r>
      <w:r>
        <w:rPr>
          <w:rFonts w:hint="eastAsia" w:eastAsia="宋体" w:cs="宋体"/>
          <w:bCs/>
          <w:color w:val="000000"/>
          <w:sz w:val="24"/>
          <w:szCs w:val="21"/>
          <w:highlight w:val="none"/>
        </w:rPr>
        <w:t xml:space="preserve">正负偏离表</w:t>
      </w:r>
      <w:r>
        <w:rPr>
          <w:rFonts w:hint="eastAsia" w:eastAsia="宋体" w:cs="宋体"/>
          <w:bCs/>
          <w:color w:val="000000"/>
          <w:sz w:val="24"/>
          <w:szCs w:val="24"/>
          <w:highlight w:val="none"/>
        </w:rPr>
        <w:t xml:space="preserve">（格式参见第八章）</w:t>
      </w:r>
      <w:r>
        <w:rPr>
          <w:rFonts w:hint="eastAsia" w:eastAsia="宋体" w:cs="宋体"/>
          <w:bCs/>
          <w:color w:val="000000"/>
          <w:sz w:val="24"/>
          <w:szCs w:val="21"/>
          <w:highlight w:val="none"/>
        </w:rPr>
      </w:r>
      <w:r/>
    </w:p>
    <w:p>
      <w:pPr>
        <w:pStyle w:val="1015"/>
        <w:contextualSpacing/>
        <w:ind w:firstLine="480"/>
        <w:spacing w:line="360" w:lineRule="auto"/>
        <w:rPr>
          <w:rFonts w:eastAsia="宋体" w:cs="宋体"/>
          <w:bCs/>
          <w:color w:val="000000"/>
          <w:sz w:val="24"/>
          <w:szCs w:val="21"/>
          <w:highlight w:val="none"/>
          <w:lang w:val="en-US" w:eastAsia="zh-CN"/>
        </w:rPr>
      </w:pPr>
      <w:r>
        <w:rPr>
          <w:rFonts w:hint="eastAsia" w:eastAsia="宋体" w:cs="宋体"/>
          <w:bCs/>
          <w:color w:val="000000"/>
          <w:sz w:val="24"/>
          <w:szCs w:val="21"/>
          <w:highlight w:val="none"/>
          <w:lang w:val="en-US" w:eastAsia="zh-CN"/>
        </w:rPr>
        <w:t xml:space="preserve">6、商务部分</w:t>
      </w:r>
      <w:r>
        <w:rPr>
          <w:rFonts w:hint="eastAsia" w:eastAsia="宋体" w:cs="宋体"/>
          <w:bCs/>
          <w:color w:val="000000"/>
          <w:sz w:val="24"/>
          <w:szCs w:val="21"/>
          <w:highlight w:val="none"/>
        </w:rPr>
        <w:t xml:space="preserve">正负偏离表</w:t>
      </w:r>
      <w:r>
        <w:rPr>
          <w:rFonts w:hint="eastAsia" w:eastAsia="宋体" w:cs="宋体"/>
          <w:bCs/>
          <w:color w:val="000000"/>
          <w:sz w:val="24"/>
          <w:szCs w:val="24"/>
          <w:highlight w:val="none"/>
        </w:rPr>
        <w:t xml:space="preserve">（格式参见第八章）</w:t>
      </w:r>
      <w:r>
        <w:rPr>
          <w:rFonts w:eastAsia="宋体" w:cs="宋体"/>
          <w:bCs/>
          <w:color w:val="000000"/>
          <w:sz w:val="24"/>
          <w:szCs w:val="21"/>
          <w:highlight w:val="none"/>
          <w:lang w:val="en-US" w:eastAsia="zh-CN"/>
        </w:rPr>
      </w:r>
      <w:r/>
    </w:p>
    <w:p>
      <w:pPr>
        <w:pStyle w:val="1015"/>
        <w:contextualSpacing/>
        <w:ind w:firstLine="480"/>
        <w:spacing w:line="360" w:lineRule="auto"/>
        <w:rPr>
          <w:rFonts w:eastAsia="宋体" w:cs="宋体"/>
          <w:bCs/>
          <w:color w:val="000000"/>
          <w:sz w:val="24"/>
          <w:szCs w:val="21"/>
          <w:highlight w:val="none"/>
        </w:rPr>
      </w:pPr>
      <w:r>
        <w:rPr>
          <w:rFonts w:eastAsia="宋体" w:cs="宋体"/>
          <w:bCs/>
          <w:color w:val="000000"/>
          <w:sz w:val="24"/>
          <w:szCs w:val="21"/>
          <w:highlight w:val="none"/>
        </w:rPr>
      </w:r>
      <w:r/>
    </w:p>
    <w:p>
      <w:pPr>
        <w:pStyle w:val="1015"/>
        <w:spacing w:line="360" w:lineRule="auto"/>
        <w:rPr>
          <w:rFonts w:eastAsia="宋体" w:cs="宋体"/>
          <w:color w:val="000000"/>
          <w:sz w:val="24"/>
          <w:szCs w:val="24"/>
          <w:highlight w:val="none"/>
        </w:rPr>
      </w:pPr>
      <w:r>
        <w:rPr>
          <w:rFonts w:hint="eastAsia" w:eastAsia="宋体" w:cs="宋体"/>
          <w:bCs/>
          <w:color w:val="000000"/>
          <w:sz w:val="24"/>
          <w:szCs w:val="21"/>
          <w:highlight w:val="none"/>
        </w:rPr>
        <w:br w:type="page" w:clear="all"/>
      </w:r>
      <w:r>
        <w:rPr>
          <w:rFonts w:hint="eastAsia" w:eastAsia="宋体" w:cs="宋体"/>
          <w:b/>
          <w:bCs/>
          <w:color w:val="000000"/>
          <w:sz w:val="24"/>
          <w:szCs w:val="21"/>
          <w:highlight w:val="none"/>
        </w:rPr>
        <w:t xml:space="preserve">附件：相关格式</w:t>
      </w:r>
      <w:r>
        <w:rPr>
          <w:rFonts w:eastAsia="宋体" w:cs="宋体"/>
          <w:color w:val="000000"/>
          <w:sz w:val="24"/>
          <w:szCs w:val="24"/>
          <w:highlight w:val="none"/>
        </w:rPr>
      </w:r>
      <w:r/>
    </w:p>
    <w:p>
      <w:pPr>
        <w:pStyle w:val="1015"/>
        <w:jc w:val="center"/>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1015"/>
        <w:jc w:val="center"/>
        <w:spacing w:line="360" w:lineRule="auto"/>
        <w:rPr>
          <w:rFonts w:eastAsia="宋体" w:cs="宋体"/>
          <w:b/>
          <w:bCs/>
          <w:color w:val="000000"/>
          <w:sz w:val="24"/>
          <w:szCs w:val="21"/>
          <w:highlight w:val="none"/>
        </w:rPr>
        <w:outlineLvl w:val="2"/>
      </w:pPr>
      <w:r>
        <w:rPr>
          <w:rFonts w:hint="eastAsia" w:eastAsia="宋体" w:cs="宋体"/>
          <w:b/>
          <w:bCs/>
          <w:color w:val="000000"/>
          <w:sz w:val="24"/>
          <w:szCs w:val="21"/>
          <w:highlight w:val="none"/>
        </w:rPr>
        <w:t xml:space="preserve">1、法定代表人身份证明</w:t>
      </w:r>
      <w:r>
        <w:rPr>
          <w:rFonts w:eastAsia="宋体" w:cs="宋体"/>
          <w:b/>
          <w:bCs/>
          <w:color w:val="000000"/>
          <w:sz w:val="24"/>
          <w:szCs w:val="21"/>
          <w:highlight w:val="none"/>
        </w:rPr>
      </w:r>
      <w:r/>
    </w:p>
    <w:p>
      <w:pPr>
        <w:pStyle w:val="1015"/>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u w:val="single"/>
        </w:rPr>
        <w:t xml:space="preserve">南通市第三人民医院</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我公司法定代表人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参加贵单位组织的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（招标项目名称、项目编号）的项目投标活动，全权代表我公司处理投标的有关事宜。</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ind w:firstLine="48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附：法定代表人情况：</w:t>
      </w:r>
      <w:r>
        <w:rPr>
          <w:rFonts w:eastAsia="宋体" w:cs="宋体"/>
          <w:color w:val="000000"/>
          <w:sz w:val="24"/>
          <w:szCs w:val="21"/>
          <w:highlight w:val="none"/>
        </w:rPr>
      </w:r>
      <w:r/>
    </w:p>
    <w:p>
      <w:pPr>
        <w:pStyle w:val="1015"/>
        <w:ind w:firstLine="485"/>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rPr>
          <w:rFonts w:eastAsia="宋体" w:cs="宋体"/>
          <w:color w:val="000000"/>
          <w:sz w:val="24"/>
          <w:szCs w:val="21"/>
          <w:highlight w:val="none"/>
          <w:u w:val="single"/>
        </w:rPr>
      </w:r>
      <w:r/>
    </w:p>
    <w:p>
      <w:pPr>
        <w:pStyle w:val="1015"/>
        <w:ind w:firstLine="48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1015"/>
        <w:ind w:firstLine="48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单位名称（公章）                   法定代表人（签字或盖章）</w:t>
      </w:r>
      <w:r>
        <w:rPr>
          <w:rFonts w:eastAsia="宋体" w:cs="宋体"/>
          <w:color w:val="000000"/>
          <w:sz w:val="24"/>
          <w:szCs w:val="21"/>
          <w:highlight w:val="none"/>
        </w:rPr>
      </w:r>
      <w:r/>
    </w:p>
    <w:p>
      <w:pPr>
        <w:pStyle w:val="1015"/>
        <w:ind w:firstLine="12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                      年   月    日  </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243"/>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1015"/>
        <w:ind w:firstLine="264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法定代表人身份证正反面扫描件</w:t>
      </w:r>
      <w:r>
        <w:rPr>
          <w:rFonts w:eastAsia="宋体" w:cs="宋体"/>
          <w:color w:val="000000"/>
          <w:sz w:val="24"/>
          <w:szCs w:val="21"/>
          <w:highlight w:val="none"/>
        </w:rPr>
      </w:r>
      <w:r/>
    </w:p>
    <w:p>
      <w:pPr>
        <w:pStyle w:val="1015"/>
        <w:ind w:firstLine="30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1015"/>
        <w:ind w:firstLine="22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1015"/>
        <w:jc w:val="center"/>
        <w:spacing w:line="360" w:lineRule="auto"/>
        <w:rPr>
          <w:rFonts w:eastAsia="宋体" w:cs="宋体"/>
          <w:b/>
          <w:bCs/>
          <w:color w:val="000000"/>
          <w:sz w:val="24"/>
          <w:szCs w:val="21"/>
          <w:highlight w:val="none"/>
        </w:rPr>
        <w:outlineLvl w:val="2"/>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2、授权委托书</w:t>
      </w:r>
      <w:r>
        <w:rPr>
          <w:rFonts w:eastAsia="宋体" w:cs="宋体"/>
          <w:b/>
          <w:bCs/>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u w:val="single"/>
        </w:rPr>
        <w:t xml:space="preserve">南通市第三人民医院</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被授权人的姓名）代表我公司参加</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（招标项目名称、项目编号）项目的投标活动，全权处理一切与该项目投标有关的事务。其在办理上述事宜过程中所签署的所有文件我公司均予以承认。</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被授权人无转委托权。特此委托。</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附：被授权人情况：</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rPr>
          <w:rFonts w:eastAsia="宋体" w:cs="宋体"/>
          <w:color w:val="000000"/>
          <w:sz w:val="24"/>
          <w:szCs w:val="21"/>
          <w:highlight w:val="none"/>
          <w:u w:val="singl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单位名称（公章）                      法定代表人（签字或盖章）</w:t>
      </w:r>
      <w:r>
        <w:rPr>
          <w:rFonts w:eastAsia="宋体" w:cs="宋体"/>
          <w:color w:val="000000"/>
          <w:sz w:val="24"/>
          <w:szCs w:val="21"/>
          <w:highlight w:val="none"/>
        </w:rPr>
      </w:r>
      <w:r/>
    </w:p>
    <w:p>
      <w:pPr>
        <w:pStyle w:val="1015"/>
        <w:ind w:firstLine="12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                        年   月   日</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法定代表人身份证正反面扫描件</w:t>
      </w:r>
      <w:r>
        <w:rPr>
          <w:rFonts w:eastAsia="宋体" w:cs="宋体"/>
          <w:color w:val="000000"/>
          <w:sz w:val="24"/>
          <w:szCs w:val="21"/>
          <w:highlight w:val="none"/>
        </w:rPr>
      </w:r>
      <w:r/>
    </w:p>
    <w:p>
      <w:pPr>
        <w:pStyle w:val="1015"/>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1015"/>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被授权人身份证正反面扫描件</w:t>
      </w:r>
      <w:r>
        <w:rPr>
          <w:rFonts w:eastAsia="宋体" w:cs="宋体"/>
          <w:color w:val="000000"/>
          <w:sz w:val="24"/>
          <w:szCs w:val="21"/>
          <w:highlight w:val="none"/>
        </w:rPr>
      </w:r>
      <w:r/>
    </w:p>
    <w:p>
      <w:pPr>
        <w:pStyle w:val="1015"/>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1015"/>
        <w:ind w:firstLine="482"/>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1015"/>
        <w:jc w:val="center"/>
        <w:spacing w:line="360" w:lineRule="auto"/>
        <w:rPr>
          <w:rFonts w:eastAsia="宋体" w:cs="宋体"/>
          <w:b/>
          <w:bCs/>
          <w:color w:val="000000"/>
          <w:sz w:val="24"/>
          <w:szCs w:val="21"/>
          <w:highlight w:val="none"/>
        </w:rPr>
        <w:outlineLvl w:val="2"/>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3、投标人符合《政府采购法》第二十二条规定条件的声明函</w:t>
      </w:r>
      <w:r>
        <w:rPr>
          <w:rFonts w:eastAsia="宋体" w:cs="宋体"/>
          <w:b/>
          <w:bCs/>
          <w:color w:val="000000"/>
          <w:sz w:val="24"/>
          <w:szCs w:val="21"/>
          <w:highlight w:val="none"/>
        </w:rPr>
      </w:r>
      <w:r/>
    </w:p>
    <w:p>
      <w:pPr>
        <w:pStyle w:val="1015"/>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1015"/>
        <w:spacing w:line="360" w:lineRule="auto"/>
        <w:rPr>
          <w:rFonts w:eastAsia="宋体" w:cs="宋体"/>
          <w:bCs/>
          <w:color w:val="000000"/>
          <w:sz w:val="24"/>
          <w:szCs w:val="21"/>
          <w:highlight w:val="none"/>
        </w:rPr>
      </w:pPr>
      <w:r>
        <w:rPr>
          <w:rFonts w:hint="eastAsia" w:eastAsia="宋体" w:cs="宋体"/>
          <w:color w:val="000000"/>
          <w:sz w:val="24"/>
          <w:szCs w:val="21"/>
          <w:highlight w:val="none"/>
          <w:u w:val="single"/>
        </w:rPr>
        <w:t xml:space="preserve">南通市第三人民医院</w:t>
      </w:r>
      <w:r>
        <w:rPr>
          <w:rFonts w:hint="eastAsia" w:eastAsia="宋体" w:cs="宋体"/>
          <w:bCs/>
          <w:color w:val="000000"/>
          <w:sz w:val="24"/>
          <w:szCs w:val="21"/>
          <w:highlight w:val="none"/>
        </w:rPr>
        <w:t xml:space="preserve">：</w:t>
      </w:r>
      <w:r>
        <w:rPr>
          <w:rFonts w:eastAsia="宋体" w:cs="宋体"/>
          <w:bCs/>
          <w:color w:val="000000"/>
          <w:sz w:val="24"/>
          <w:szCs w:val="21"/>
          <w:highlight w:val="none"/>
        </w:rPr>
      </w:r>
      <w:r/>
    </w:p>
    <w:p>
      <w:pPr>
        <w:pStyle w:val="1015"/>
        <w:ind w:firstLine="480"/>
        <w:spacing w:line="360" w:lineRule="auto"/>
        <w:rPr>
          <w:rFonts w:eastAsia="宋体" w:cs="宋体"/>
          <w:b/>
          <w:bCs/>
          <w:color w:val="000000"/>
          <w:sz w:val="24"/>
          <w:szCs w:val="21"/>
          <w:highlight w:val="none"/>
        </w:rPr>
      </w:pPr>
      <w:r>
        <w:rPr>
          <w:rFonts w:hint="eastAsia" w:eastAsia="宋体" w:cs="宋体"/>
          <w:bCs/>
          <w:color w:val="000000"/>
          <w:sz w:val="24"/>
          <w:szCs w:val="21"/>
          <w:highlight w:val="none"/>
        </w:rPr>
        <w:t xml:space="preserve">我单位参加</w:t>
      </w:r>
      <w:r>
        <w:rPr>
          <w:rFonts w:hint="eastAsia" w:eastAsia="宋体" w:cs="宋体"/>
          <w:bCs/>
          <w:color w:val="000000"/>
          <w:sz w:val="24"/>
          <w:szCs w:val="21"/>
          <w:highlight w:val="none"/>
          <w:u w:val="single"/>
        </w:rPr>
        <w:t xml:space="preserve">________________ _</w:t>
      </w:r>
      <w:r>
        <w:rPr>
          <w:rFonts w:hint="eastAsia" w:eastAsia="宋体" w:cs="宋体"/>
          <w:bCs/>
          <w:color w:val="000000"/>
          <w:sz w:val="24"/>
          <w:szCs w:val="21"/>
          <w:highlight w:val="none"/>
        </w:rPr>
        <w:t xml:space="preserve">（项目名称），</w:t>
      </w:r>
      <w:r>
        <w:rPr>
          <w:rFonts w:hint="eastAsia" w:eastAsia="宋体" w:cs="宋体"/>
          <w:bCs/>
          <w:color w:val="000000"/>
          <w:sz w:val="24"/>
          <w:szCs w:val="21"/>
          <w:highlight w:val="none"/>
          <w:u w:val="single"/>
        </w:rPr>
        <w:t xml:space="preserve">_______ __________</w:t>
      </w:r>
      <w:r>
        <w:rPr>
          <w:rFonts w:hint="eastAsia" w:eastAsia="宋体" w:cs="宋体"/>
          <w:bCs/>
          <w:color w:val="000000"/>
          <w:sz w:val="24"/>
          <w:szCs w:val="21"/>
          <w:highlight w:val="none"/>
        </w:rPr>
        <w:t xml:space="preserve">（项目编号）投标活动。针对《中华人民共和国政府采购法》第二十二条规定做出如下声明：</w:t>
      </w:r>
      <w:r>
        <w:rPr>
          <w:rFonts w:eastAsia="宋体" w:cs="宋体"/>
          <w:b/>
          <w:bCs/>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bCs/>
          <w:color w:val="000000"/>
          <w:sz w:val="24"/>
          <w:szCs w:val="21"/>
          <w:highlight w:val="none"/>
        </w:rPr>
        <w:t xml:space="preserve">1.我单位具有独立承担民事责任的能力；</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2.我单位具有良好的商业信誉和健全的财务会计制度；</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3.我单位具有履行合同所必需的设备和专业技术能力；</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4.我单位有依法缴纳税收和社会保障资金的良好记录；</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宋体" w:cs="宋体"/>
          <w:color w:val="000000"/>
          <w:sz w:val="24"/>
          <w:szCs w:val="21"/>
          <w:highlight w:val="none"/>
        </w:rPr>
      </w:r>
      <w:r/>
    </w:p>
    <w:p>
      <w:pPr>
        <w:pStyle w:val="1015"/>
        <w:ind w:firstLine="480"/>
        <w:spacing w:line="360" w:lineRule="auto"/>
        <w:rPr>
          <w:rFonts w:eastAsia="宋体" w:cs="宋体"/>
          <w:bCs/>
          <w:color w:val="000000"/>
          <w:sz w:val="24"/>
          <w:szCs w:val="21"/>
          <w:highlight w:val="none"/>
        </w:rPr>
      </w:pPr>
      <w:r>
        <w:rPr>
          <w:rFonts w:hint="eastAsia" w:eastAsia="宋体" w:cs="宋体"/>
          <w:color w:val="000000"/>
          <w:sz w:val="24"/>
          <w:szCs w:val="21"/>
          <w:highlight w:val="none"/>
        </w:rPr>
        <w:t xml:space="preserve">6.我单位满足法律、行政法规规定的其他条件。</w:t>
      </w:r>
      <w:r>
        <w:rPr>
          <w:rFonts w:eastAsia="宋体" w:cs="宋体"/>
          <w:bCs/>
          <w:color w:val="000000"/>
          <w:sz w:val="24"/>
          <w:szCs w:val="21"/>
          <w:highlight w:val="none"/>
        </w:rPr>
      </w:r>
      <w:r/>
    </w:p>
    <w:p>
      <w:pPr>
        <w:pStyle w:val="1195"/>
        <w:spacing w:line="360" w:lineRule="auto"/>
        <w:rPr>
          <w:rFonts w:ascii="Times New Roman" w:eastAsia="宋体" w:cs="宋体"/>
          <w:color w:val="000000"/>
          <w:highlight w:val="none"/>
        </w:rPr>
      </w:pPr>
      <w:r>
        <w:rPr>
          <w:rFonts w:ascii="Times New Roman" w:eastAsia="宋体" w:cs="宋体"/>
          <w:color w:val="000000"/>
          <w:highlight w:val="none"/>
        </w:rPr>
      </w:r>
      <w:r/>
    </w:p>
    <w:p>
      <w:pPr>
        <w:pStyle w:val="1015"/>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1015"/>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1015"/>
        <w:ind w:firstLine="132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1195"/>
        <w:spacing w:line="360" w:lineRule="auto"/>
        <w:rPr>
          <w:rFonts w:ascii="Times New Roman" w:eastAsia="宋体" w:cs="宋体"/>
          <w:color w:val="000000"/>
          <w:highlight w:val="none"/>
        </w:rPr>
      </w:pPr>
      <w:r>
        <w:rPr>
          <w:rFonts w:ascii="Times New Roman" w:eastAsia="宋体" w:cs="宋体"/>
          <w:color w:val="000000"/>
          <w:highlight w:val="none"/>
        </w:rPr>
      </w:r>
      <w:r/>
    </w:p>
    <w:p>
      <w:pPr>
        <w:pStyle w:val="1015"/>
        <w:jc w:val="center"/>
        <w:spacing w:line="360" w:lineRule="auto"/>
        <w:rPr>
          <w:rFonts w:eastAsia="宋体" w:cs="宋体"/>
          <w:color w:val="000000"/>
          <w:sz w:val="24"/>
          <w:szCs w:val="21"/>
          <w:highlight w:val="none"/>
        </w:rPr>
        <w:outlineLvl w:val="2"/>
      </w:pPr>
      <w:r>
        <w:rPr>
          <w:rFonts w:hint="eastAsia" w:eastAsia="宋体" w:cs="宋体"/>
          <w:color w:val="000000"/>
          <w:sz w:val="24"/>
          <w:szCs w:val="21"/>
          <w:highlight w:val="none"/>
        </w:rPr>
        <w:br w:type="page" w:clear="all"/>
      </w:r>
      <w:r>
        <w:rPr>
          <w:rFonts w:hint="eastAsia" w:eastAsia="宋体" w:cs="宋体"/>
          <w:b/>
          <w:bCs/>
          <w:color w:val="000000"/>
          <w:sz w:val="24"/>
          <w:szCs w:val="21"/>
          <w:highlight w:val="none"/>
        </w:rPr>
        <w:t xml:space="preserve">4、诚信承诺书</w:t>
      </w:r>
      <w:r>
        <w:rPr>
          <w:rFonts w:eastAsia="宋体" w:cs="宋体"/>
          <w:color w:val="000000"/>
          <w:sz w:val="24"/>
          <w:szCs w:val="21"/>
          <w:highlight w:val="none"/>
        </w:rPr>
      </w:r>
      <w:r/>
    </w:p>
    <w:p>
      <w:pPr>
        <w:pStyle w:val="1015"/>
        <w:ind w:firstLine="420"/>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jc w:val="left"/>
        <w:spacing w:line="360" w:lineRule="auto"/>
        <w:rPr>
          <w:rFonts w:eastAsia="宋体" w:cs="宋体"/>
          <w:color w:val="000000"/>
          <w:sz w:val="24"/>
          <w:szCs w:val="21"/>
          <w:highlight w:val="none"/>
          <w:u w:val="single"/>
        </w:rPr>
      </w:pPr>
      <w:r>
        <w:rPr>
          <w:rFonts w:hint="eastAsia" w:eastAsia="宋体" w:cs="宋体"/>
          <w:color w:val="000000"/>
          <w:sz w:val="24"/>
          <w:szCs w:val="21"/>
          <w:highlight w:val="none"/>
          <w:u w:val="single"/>
        </w:rPr>
        <w:t xml:space="preserve">南通市第三人民医院：</w:t>
      </w:r>
      <w:r>
        <w:rPr>
          <w:rFonts w:eastAsia="宋体" w:cs="宋体"/>
          <w:color w:val="000000"/>
          <w:sz w:val="24"/>
          <w:szCs w:val="21"/>
          <w:highlight w:val="none"/>
          <w:u w:val="singl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我单位在参加贵单位组织的</w:t>
      </w:r>
      <w:r>
        <w:rPr>
          <w:rFonts w:hint="eastAsia" w:eastAsia="宋体" w:cs="宋体"/>
          <w:color w:val="000000"/>
          <w:sz w:val="24"/>
          <w:szCs w:val="24"/>
          <w:highlight w:val="none"/>
          <w:u w:val="single"/>
        </w:rPr>
        <w:t xml:space="preserve">             项目</w:t>
      </w:r>
      <w:r>
        <w:rPr>
          <w:rFonts w:hint="eastAsia" w:eastAsia="宋体" w:cs="宋体"/>
          <w:color w:val="000000"/>
          <w:sz w:val="24"/>
          <w:szCs w:val="24"/>
          <w:highlight w:val="none"/>
        </w:rPr>
        <w:t xml:space="preserve">的招投标活动中，郑重承诺如下：</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1、我方申报的所有资料都是真实、准确、完整的；</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2、我方无资质挂靠或参与串标、围标、及抬标情形；</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3、我方没有被各级行政主管部门做出停止市场行为的处罚；</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4、若我方中标，将严格按照规定及时与招标单位签订合同；</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5、若我方中标，将严格按照投标文件所承诺的报价、服务等内容组织实施；</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6、我方未被“信用中国”网站（www.creditchina.gov.cn）列入失信被执行人、重大税收违法案件当事人名单、政府采购严重失信行为记录名单；</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color w:val="000000"/>
          <w:sz w:val="24"/>
          <w:szCs w:val="24"/>
          <w:highlight w:val="none"/>
        </w:rPr>
      </w:r>
      <w:r/>
    </w:p>
    <w:p>
      <w:pPr>
        <w:pStyle w:val="1015"/>
        <w:ind w:firstLine="42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ind w:firstLine="42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ind w:firstLine="480"/>
        <w:jc w:val="right"/>
        <w:spacing w:line="360" w:lineRule="auto"/>
        <w:rPr>
          <w:rFonts w:eastAsia="宋体" w:cs="宋体"/>
          <w:color w:val="000000"/>
          <w:sz w:val="24"/>
          <w:szCs w:val="24"/>
          <w:highlight w:val="none"/>
        </w:rPr>
      </w:pPr>
      <w:r>
        <w:rPr>
          <w:rFonts w:hint="eastAsia" w:eastAsia="宋体" w:cs="宋体"/>
          <w:color w:val="000000"/>
          <w:sz w:val="24"/>
          <w:szCs w:val="21"/>
          <w:highlight w:val="none"/>
        </w:rPr>
        <w:t xml:space="preserve"> </w:t>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 xml:space="preserve">               </w:t>
      </w: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1015"/>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1015"/>
        <w:ind w:firstLine="132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1015"/>
        <w:rPr>
          <w:rFonts w:eastAsia="宋体" w:cs="宋体"/>
          <w:color w:val="000000"/>
          <w:sz w:val="24"/>
          <w:szCs w:val="24"/>
          <w:highlight w:val="none"/>
        </w:rPr>
      </w:pPr>
      <w:r>
        <w:rPr>
          <w:rFonts w:hint="eastAsia" w:eastAsia="宋体" w:cs="宋体"/>
          <w:color w:val="000000"/>
          <w:sz w:val="24"/>
          <w:szCs w:val="24"/>
          <w:highlight w:val="none"/>
        </w:rPr>
        <w:br w:type="page" w:clear="all"/>
      </w:r>
      <w:r>
        <w:rPr>
          <w:rFonts w:eastAsia="宋体" w:cs="宋体"/>
          <w:color w:val="000000"/>
          <w:sz w:val="24"/>
          <w:szCs w:val="24"/>
          <w:highlight w:val="none"/>
        </w:rPr>
      </w:r>
      <w:r/>
    </w:p>
    <w:p>
      <w:pPr>
        <w:pStyle w:val="1015"/>
        <w:jc w:val="center"/>
        <w:spacing w:line="360" w:lineRule="auto"/>
        <w:rPr>
          <w:rFonts w:eastAsia="宋体" w:cs="宋体"/>
          <w:b/>
          <w:color w:val="000000"/>
          <w:sz w:val="24"/>
          <w:szCs w:val="24"/>
          <w:highlight w:val="none"/>
        </w:rPr>
        <w:outlineLvl w:val="2"/>
      </w:pPr>
      <w:r>
        <w:rPr>
          <w:rFonts w:hint="eastAsia" w:eastAsia="宋体" w:cs="宋体"/>
          <w:b/>
          <w:color w:val="000000"/>
          <w:sz w:val="24"/>
          <w:szCs w:val="24"/>
          <w:highlight w:val="none"/>
        </w:rPr>
        <w:t xml:space="preserve">5、中小企业声明函（服务）</w:t>
      </w:r>
      <w:r>
        <w:rPr>
          <w:rFonts w:eastAsia="宋体" w:cs="宋体"/>
          <w:b/>
          <w:color w:val="000000"/>
          <w:sz w:val="24"/>
          <w:szCs w:val="24"/>
          <w:highlight w:val="none"/>
        </w:rPr>
      </w:r>
      <w:r/>
    </w:p>
    <w:p>
      <w:pPr>
        <w:pStyle w:val="1015"/>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                              （如是，则提供）</w:t>
      </w:r>
      <w:r>
        <w:rPr>
          <w:rFonts w:eastAsia="宋体" w:cs="宋体"/>
          <w:b/>
          <w:color w:val="000000"/>
          <w:sz w:val="24"/>
          <w:szCs w:val="24"/>
          <w:highlight w:val="none"/>
        </w:rPr>
      </w:r>
      <w:r/>
    </w:p>
    <w:p>
      <w:pPr>
        <w:pStyle w:val="1015"/>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本公司（联合体）郑重声明，根据《政府采购促进中小企业发展管理办法》（财库﹝2020﹞46 号）的规定，本公司（联合体）参加</w:t>
      </w:r>
      <w:r>
        <w:rPr>
          <w:rFonts w:hint="eastAsia" w:eastAsia="宋体" w:cs="宋体"/>
          <w:color w:val="000000"/>
          <w:sz w:val="24"/>
          <w:szCs w:val="28"/>
          <w:highlight w:val="none"/>
          <w:u w:val="single"/>
          <w:lang w:bidi="zh-CN"/>
        </w:rPr>
        <w:t xml:space="preserve">（单位名称）</w:t>
      </w:r>
      <w:r>
        <w:rPr>
          <w:rFonts w:hint="eastAsia" w:eastAsia="宋体" w:cs="宋体"/>
          <w:color w:val="000000"/>
          <w:sz w:val="24"/>
          <w:szCs w:val="28"/>
          <w:highlight w:val="none"/>
          <w:lang w:bidi="zh-CN"/>
        </w:rPr>
        <w:t xml:space="preserve">的</w:t>
      </w:r>
      <w:r>
        <w:rPr>
          <w:rFonts w:hint="eastAsia" w:eastAsia="宋体" w:cs="宋体"/>
          <w:color w:val="000000"/>
          <w:sz w:val="24"/>
          <w:szCs w:val="28"/>
          <w:highlight w:val="none"/>
          <w:u w:val="single"/>
          <w:lang w:bidi="zh-CN"/>
        </w:rPr>
        <w:t xml:space="preserve">（项目名称）</w:t>
      </w:r>
      <w:r>
        <w:rPr>
          <w:rFonts w:hint="eastAsia" w:eastAsia="宋体" w:cs="宋体"/>
          <w:color w:val="000000"/>
          <w:sz w:val="24"/>
          <w:szCs w:val="28"/>
          <w:highlight w:val="none"/>
          <w:lang w:bidi="zh-CN"/>
        </w:rPr>
        <w:t xml:space="preserve">采购活动，服务全部由符合政策要求的中小企业承接。相关企业（含联合体中的中小企业、签订分包意向协议的中小企业）的具体情况如下：</w:t>
      </w:r>
      <w:r>
        <w:rPr>
          <w:rFonts w:eastAsia="宋体" w:cs="宋体"/>
          <w:color w:val="000000"/>
          <w:sz w:val="24"/>
          <w:szCs w:val="28"/>
          <w:highlight w:val="none"/>
        </w:rPr>
      </w:r>
      <w:r/>
    </w:p>
    <w:p>
      <w:pPr>
        <w:pStyle w:val="1015"/>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1.</w:t>
      </w:r>
      <w:r>
        <w:rPr>
          <w:rFonts w:hint="eastAsia" w:eastAsia="宋体" w:cs="宋体"/>
          <w:color w:val="000000"/>
          <w:sz w:val="24"/>
          <w:szCs w:val="28"/>
          <w:highlight w:val="none"/>
          <w:u w:val="single"/>
          <w:lang w:bidi="zh-CN"/>
        </w:rPr>
        <w:t xml:space="preserve">（标的名称）</w:t>
      </w:r>
      <w:r>
        <w:rPr>
          <w:rFonts w:hint="eastAsia" w:eastAsia="宋体" w:cs="宋体"/>
          <w:color w:val="000000"/>
          <w:sz w:val="24"/>
          <w:szCs w:val="28"/>
          <w:highlight w:val="none"/>
          <w:lang w:bidi="zh-CN"/>
        </w:rPr>
        <w:t xml:space="preserve">，属于（</w:t>
      </w:r>
      <w:r>
        <w:rPr>
          <w:rFonts w:hint="eastAsia" w:eastAsia="宋体" w:cs="宋体"/>
          <w:color w:val="000000"/>
          <w:sz w:val="24"/>
          <w:szCs w:val="28"/>
          <w:highlight w:val="none"/>
          <w:u w:val="single"/>
          <w:lang w:bidi="zh-CN"/>
        </w:rPr>
        <w:t xml:space="preserve">采购文件中明确的所属行业）</w:t>
      </w:r>
      <w:r>
        <w:rPr>
          <w:rFonts w:hint="eastAsia" w:eastAsia="宋体" w:cs="宋体"/>
          <w:color w:val="000000"/>
          <w:sz w:val="24"/>
          <w:szCs w:val="28"/>
          <w:highlight w:val="none"/>
          <w:lang w:bidi="zh-CN"/>
        </w:rPr>
        <w:t xml:space="preserve">；承建（承接）企业为</w:t>
      </w:r>
      <w:r>
        <w:rPr>
          <w:rFonts w:hint="eastAsia" w:eastAsia="宋体" w:cs="宋体"/>
          <w:color w:val="000000"/>
          <w:sz w:val="24"/>
          <w:szCs w:val="28"/>
          <w:highlight w:val="none"/>
          <w:u w:val="single"/>
          <w:lang w:bidi="zh-CN"/>
        </w:rPr>
        <w:t xml:space="preserve">（企业名称）</w:t>
      </w:r>
      <w:r>
        <w:rPr>
          <w:rFonts w:hint="eastAsia" w:eastAsia="宋体" w:cs="宋体"/>
          <w:color w:val="000000"/>
          <w:sz w:val="24"/>
          <w:szCs w:val="28"/>
          <w:highlight w:val="none"/>
          <w:lang w:bidi="zh-CN"/>
        </w:rPr>
        <w:t xml:space="preserve">，从业人员</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人，营业收入为</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万元，资产总额为</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万元，属于</w:t>
      </w:r>
      <w:r>
        <w:rPr>
          <w:rFonts w:hint="eastAsia" w:eastAsia="宋体" w:cs="宋体"/>
          <w:color w:val="000000"/>
          <w:sz w:val="24"/>
          <w:szCs w:val="28"/>
          <w:highlight w:val="none"/>
          <w:u w:val="single"/>
          <w:lang w:bidi="zh-CN"/>
        </w:rPr>
        <w:t xml:space="preserve">（中型企业、小型企业、微型企业）</w:t>
      </w:r>
      <w:r>
        <w:rPr>
          <w:rFonts w:hint="eastAsia" w:eastAsia="宋体" w:cs="宋体"/>
          <w:color w:val="000000"/>
          <w:sz w:val="24"/>
          <w:szCs w:val="28"/>
          <w:highlight w:val="none"/>
          <w:lang w:bidi="zh-CN"/>
        </w:rPr>
        <w:t xml:space="preserve">；</w:t>
      </w:r>
      <w:r>
        <w:rPr>
          <w:rFonts w:eastAsia="宋体" w:cs="宋体"/>
          <w:color w:val="000000"/>
          <w:sz w:val="24"/>
          <w:szCs w:val="28"/>
          <w:highlight w:val="none"/>
        </w:rPr>
      </w:r>
      <w:r/>
    </w:p>
    <w:p>
      <w:pPr>
        <w:pStyle w:val="1015"/>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2.</w:t>
      </w:r>
      <w:r>
        <w:rPr>
          <w:rFonts w:hint="eastAsia" w:eastAsia="宋体" w:cs="宋体"/>
          <w:color w:val="000000"/>
          <w:sz w:val="24"/>
          <w:szCs w:val="28"/>
          <w:highlight w:val="none"/>
          <w:u w:val="single"/>
          <w:lang w:bidi="zh-CN"/>
        </w:rPr>
        <w:t xml:space="preserve">（标的名称）</w:t>
      </w:r>
      <w:r>
        <w:rPr>
          <w:rFonts w:hint="eastAsia" w:eastAsia="宋体" w:cs="宋体"/>
          <w:color w:val="000000"/>
          <w:sz w:val="24"/>
          <w:szCs w:val="28"/>
          <w:highlight w:val="none"/>
          <w:lang w:bidi="zh-CN"/>
        </w:rPr>
        <w:t xml:space="preserve">，属于（</w:t>
      </w:r>
      <w:r>
        <w:rPr>
          <w:rFonts w:hint="eastAsia" w:eastAsia="宋体" w:cs="宋体"/>
          <w:color w:val="000000"/>
          <w:sz w:val="24"/>
          <w:szCs w:val="28"/>
          <w:highlight w:val="none"/>
          <w:u w:val="single"/>
          <w:lang w:bidi="zh-CN"/>
        </w:rPr>
        <w:t xml:space="preserve">采购文件中明确的所属行业）</w:t>
      </w:r>
      <w:r>
        <w:rPr>
          <w:rFonts w:hint="eastAsia" w:eastAsia="宋体" w:cs="宋体"/>
          <w:color w:val="000000"/>
          <w:sz w:val="24"/>
          <w:szCs w:val="28"/>
          <w:highlight w:val="none"/>
          <w:lang w:bidi="zh-CN"/>
        </w:rPr>
        <w:t xml:space="preserve">；承建（承接）企业为</w:t>
      </w:r>
      <w:r>
        <w:rPr>
          <w:rFonts w:hint="eastAsia" w:eastAsia="宋体" w:cs="宋体"/>
          <w:color w:val="000000"/>
          <w:sz w:val="24"/>
          <w:szCs w:val="28"/>
          <w:highlight w:val="none"/>
          <w:u w:val="single"/>
          <w:lang w:bidi="zh-CN"/>
        </w:rPr>
        <w:t xml:space="preserve">（企业名称）</w:t>
      </w:r>
      <w:r>
        <w:rPr>
          <w:rFonts w:hint="eastAsia" w:eastAsia="宋体" w:cs="宋体"/>
          <w:color w:val="000000"/>
          <w:sz w:val="24"/>
          <w:szCs w:val="28"/>
          <w:highlight w:val="none"/>
          <w:lang w:bidi="zh-CN"/>
        </w:rPr>
        <w:t xml:space="preserve">，从业人员</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人，营业收入为</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万元，资产总额为</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万元，属于</w:t>
      </w:r>
      <w:r>
        <w:rPr>
          <w:rFonts w:hint="eastAsia" w:eastAsia="宋体" w:cs="宋体"/>
          <w:color w:val="000000"/>
          <w:sz w:val="24"/>
          <w:szCs w:val="28"/>
          <w:highlight w:val="none"/>
          <w:u w:val="single"/>
          <w:lang w:bidi="zh-CN"/>
        </w:rPr>
        <w:t xml:space="preserve">（中型企业、小型企业、微型企业）</w:t>
      </w:r>
      <w:r>
        <w:rPr>
          <w:rFonts w:hint="eastAsia" w:eastAsia="宋体" w:cs="宋体"/>
          <w:color w:val="000000"/>
          <w:sz w:val="24"/>
          <w:szCs w:val="28"/>
          <w:highlight w:val="none"/>
          <w:lang w:bidi="zh-CN"/>
        </w:rPr>
        <w:t xml:space="preserve">；</w:t>
      </w:r>
      <w:r>
        <w:rPr>
          <w:rFonts w:eastAsia="宋体" w:cs="宋体"/>
          <w:color w:val="000000"/>
          <w:sz w:val="24"/>
          <w:szCs w:val="28"/>
          <w:highlight w:val="none"/>
        </w:rPr>
      </w:r>
      <w:r/>
    </w:p>
    <w:p>
      <w:pPr>
        <w:pStyle w:val="1015"/>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w:t>
      </w:r>
      <w:r>
        <w:rPr>
          <w:rFonts w:eastAsia="宋体" w:cs="宋体"/>
          <w:color w:val="000000"/>
          <w:sz w:val="24"/>
          <w:szCs w:val="28"/>
          <w:highlight w:val="none"/>
        </w:rPr>
      </w:r>
      <w:r/>
    </w:p>
    <w:p>
      <w:pPr>
        <w:pStyle w:val="1015"/>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以上企业，不属于大企业的分支机构，不存在控股股东为大企业的情形，也不存在与大企业的负责人为同一人的情形。</w:t>
      </w:r>
      <w:r>
        <w:rPr>
          <w:rFonts w:eastAsia="宋体" w:cs="宋体"/>
          <w:color w:val="000000"/>
          <w:sz w:val="24"/>
          <w:szCs w:val="28"/>
          <w:highlight w:val="none"/>
        </w:rPr>
      </w:r>
      <w:r/>
    </w:p>
    <w:p>
      <w:pPr>
        <w:pStyle w:val="1015"/>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本企业对上述声明内容的真实性负责。如有虚假，将依法承担相应责任。</w:t>
      </w:r>
      <w:r>
        <w:rPr>
          <w:rFonts w:eastAsia="宋体" w:cs="宋体"/>
          <w:color w:val="000000"/>
          <w:sz w:val="24"/>
          <w:szCs w:val="28"/>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企业名称（盖章）：</w:t>
      </w:r>
      <w:r>
        <w:rPr>
          <w:rFonts w:eastAsia="宋体" w:cs="宋体"/>
          <w:color w:val="000000"/>
          <w:sz w:val="24"/>
          <w:szCs w:val="28"/>
          <w:highlight w:val="none"/>
        </w:rPr>
      </w:r>
      <w:r/>
    </w:p>
    <w:p>
      <w:pPr>
        <w:pStyle w:val="1015"/>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日期：</w:t>
      </w:r>
      <w:r>
        <w:rPr>
          <w:rFonts w:eastAsia="宋体" w:cs="宋体"/>
          <w:color w:val="000000"/>
          <w:sz w:val="24"/>
          <w:szCs w:val="28"/>
          <w:highlight w:val="none"/>
        </w:rPr>
      </w:r>
      <w:r/>
    </w:p>
    <w:p>
      <w:pPr>
        <w:pStyle w:val="1015"/>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注1：从业人员、营业收入、资产总额填报上一年度数据，无上一年度数据的新成立企业可不填报。</w:t>
      </w:r>
      <w:r>
        <w:rPr>
          <w:rFonts w:eastAsia="宋体" w:cs="宋体"/>
          <w:color w:val="000000"/>
          <w:sz w:val="24"/>
          <w:szCs w:val="21"/>
          <w:highlight w:val="none"/>
        </w:rPr>
      </w:r>
      <w:r/>
    </w:p>
    <w:p>
      <w:pPr>
        <w:pStyle w:val="1140"/>
        <w:spacing w:line="360" w:lineRule="auto"/>
        <w:rPr>
          <w:rFonts w:ascii="Times New Roman" w:eastAsia="宋体" w:cs="宋体"/>
          <w:color w:val="000000"/>
          <w:highlight w:val="none"/>
        </w:rPr>
      </w:pPr>
      <w:r>
        <w:rPr>
          <w:rFonts w:ascii="Times New Roman" w:eastAsia="宋体" w:cs="宋体"/>
          <w:color w:val="000000"/>
          <w:highlight w:val="none"/>
        </w:rPr>
      </w:r>
      <w:r/>
    </w:p>
    <w:p>
      <w:pPr>
        <w:pStyle w:val="1015"/>
        <w:jc w:val="center"/>
        <w:spacing w:line="360" w:lineRule="auto"/>
        <w:rPr>
          <w:rFonts w:eastAsia="宋体" w:cs="宋体"/>
          <w:b/>
          <w:color w:val="000000"/>
          <w:sz w:val="24"/>
          <w:szCs w:val="24"/>
          <w:highlight w:val="none"/>
        </w:rPr>
        <w:outlineLvl w:val="3"/>
      </w:pPr>
      <w:r>
        <w:rPr>
          <w:rFonts w:hint="eastAsia" w:eastAsia="宋体" w:cs="宋体"/>
          <w:b/>
          <w:bCs/>
          <w:color w:val="000000"/>
          <w:sz w:val="24"/>
          <w:szCs w:val="21"/>
          <w:highlight w:val="none"/>
        </w:rPr>
        <w:br w:type="page" w:clear="all"/>
      </w:r>
      <w:r>
        <w:rPr>
          <w:rFonts w:hint="eastAsia" w:eastAsia="宋体" w:cs="宋体"/>
          <w:b/>
          <w:bCs/>
          <w:color w:val="000000"/>
          <w:sz w:val="24"/>
          <w:szCs w:val="24"/>
          <w:highlight w:val="none"/>
        </w:rPr>
        <w:t xml:space="preserve">残疾人福利性单位声明函</w:t>
      </w:r>
      <w:r>
        <w:rPr>
          <w:rFonts w:eastAsia="宋体" w:cs="宋体"/>
          <w:b/>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本单位对上述声明的真实性负责。如有虚假，将依法承担相应责任。</w:t>
      </w:r>
      <w:r>
        <w:rPr>
          <w:rFonts w:eastAsia="宋体" w:cs="宋体"/>
          <w:color w:val="000000"/>
          <w:sz w:val="24"/>
          <w:szCs w:val="24"/>
          <w:highlight w:val="none"/>
        </w:rPr>
      </w:r>
      <w:r/>
    </w:p>
    <w:p>
      <w:pPr>
        <w:pStyle w:val="1015"/>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（备注：成交供应商为残疾人福利单位的，此声明函将随成交结果同时公告，接受社会监督）</w:t>
      </w:r>
      <w:r>
        <w:rPr>
          <w:rFonts w:eastAsia="宋体" w:cs="宋体"/>
          <w:color w:val="000000"/>
          <w:sz w:val="24"/>
          <w:szCs w:val="24"/>
          <w:highlight w:val="none"/>
        </w:rPr>
      </w:r>
      <w:r/>
    </w:p>
    <w:p>
      <w:pPr>
        <w:pStyle w:val="1015"/>
        <w:ind w:firstLine="624"/>
        <w:jc w:val="center"/>
        <w:spacing w:line="360" w:lineRule="auto"/>
        <w:tabs>
          <w:tab w:val="left" w:pos="4860" w:leader="none"/>
        </w:tabs>
        <w:rPr>
          <w:rFonts w:eastAsia="宋体" w:cs="宋体"/>
          <w:color w:val="000000"/>
          <w:sz w:val="24"/>
          <w:szCs w:val="24"/>
          <w:highlight w:val="none"/>
        </w:rPr>
      </w:pPr>
      <w:r>
        <w:rPr>
          <w:rFonts w:hint="eastAsia" w:eastAsia="宋体" w:cs="宋体"/>
          <w:color w:val="000000"/>
          <w:sz w:val="24"/>
          <w:szCs w:val="24"/>
          <w:highlight w:val="none"/>
        </w:rPr>
        <w:t xml:space="preserve">供应商全称（盖章）：</w:t>
      </w:r>
      <w:r>
        <w:rPr>
          <w:rFonts w:eastAsia="宋体" w:cs="宋体"/>
          <w:color w:val="000000"/>
          <w:sz w:val="24"/>
          <w:szCs w:val="24"/>
          <w:highlight w:val="none"/>
        </w:rPr>
      </w:r>
      <w:r/>
    </w:p>
    <w:p>
      <w:pPr>
        <w:pStyle w:val="1015"/>
        <w:ind w:firstLine="480"/>
        <w:jc w:val="center"/>
        <w:spacing w:line="360" w:lineRule="auto"/>
        <w:tabs>
          <w:tab w:val="left" w:pos="4860" w:leader="none"/>
        </w:tabs>
        <w:rPr>
          <w:rFonts w:eastAsia="宋体" w:cs="宋体"/>
          <w:color w:val="000000"/>
          <w:sz w:val="24"/>
          <w:szCs w:val="24"/>
          <w:highlight w:val="none"/>
        </w:rPr>
      </w:pPr>
      <w:r>
        <w:rPr>
          <w:rFonts w:hint="eastAsia" w:eastAsia="宋体" w:cs="宋体"/>
          <w:color w:val="000000"/>
          <w:sz w:val="24"/>
          <w:szCs w:val="24"/>
          <w:highlight w:val="none"/>
        </w:rPr>
        <w:t xml:space="preserve">日期：</w:t>
      </w:r>
      <w:r>
        <w:rPr>
          <w:rFonts w:eastAsia="宋体" w:cs="宋体"/>
          <w:color w:val="000000"/>
          <w:sz w:val="24"/>
          <w:szCs w:val="24"/>
          <w:highlight w:val="none"/>
        </w:rPr>
      </w:r>
      <w:r/>
    </w:p>
    <w:p>
      <w:pPr>
        <w:pStyle w:val="1015"/>
        <w:spacing w:line="360" w:lineRule="auto"/>
        <w:shd w:val="clear" w:color="auto" w:fill="ffffff"/>
        <w:rPr>
          <w:rFonts w:eastAsia="宋体" w:cs="宋体"/>
          <w:color w:val="000000"/>
          <w:sz w:val="24"/>
          <w:szCs w:val="24"/>
          <w:highlight w:val="none"/>
        </w:rPr>
      </w:pPr>
      <w:r>
        <w:rPr>
          <w:rFonts w:eastAsia="宋体" w:cs="宋体"/>
          <w:color w:val="000000"/>
          <w:sz w:val="24"/>
          <w:szCs w:val="24"/>
          <w:highlight w:val="none"/>
        </w:rPr>
      </w:r>
      <w:r/>
    </w:p>
    <w:p>
      <w:pPr>
        <w:pStyle w:val="1015"/>
        <w:spacing w:line="360" w:lineRule="auto"/>
        <w:shd w:val="clear" w:color="auto" w:fill="ffffff"/>
        <w:rPr>
          <w:rFonts w:eastAsia="宋体" w:cs="宋体"/>
          <w:color w:val="000000"/>
          <w:sz w:val="24"/>
          <w:szCs w:val="24"/>
          <w:highlight w:val="none"/>
        </w:rPr>
      </w:pPr>
      <w:r>
        <w:rPr>
          <w:rFonts w:hint="eastAsia" w:eastAsia="宋体" w:cs="宋体"/>
          <w:color w:val="000000"/>
          <w:sz w:val="24"/>
          <w:szCs w:val="24"/>
          <w:highlight w:val="none"/>
        </w:rPr>
        <w:t xml:space="preserve">享受政府采购支持政策的残疾人福利性单位应当同时满足以下条件：</w:t>
      </w:r>
      <w:r>
        <w:rPr>
          <w:rFonts w:eastAsia="宋体" w:cs="宋体"/>
          <w:color w:val="000000"/>
          <w:sz w:val="24"/>
          <w:szCs w:val="24"/>
          <w:highlight w:val="none"/>
        </w:rPr>
      </w:r>
      <w:r/>
    </w:p>
    <w:p>
      <w:pPr>
        <w:pStyle w:val="1015"/>
        <w:spacing w:line="360" w:lineRule="auto"/>
        <w:shd w:val="clear" w:color="auto" w:fill="ffffff"/>
        <w:rPr>
          <w:rFonts w:eastAsia="宋体" w:cs="宋体"/>
          <w:color w:val="000000"/>
          <w:sz w:val="24"/>
          <w:szCs w:val="24"/>
          <w:highlight w:val="none"/>
        </w:rPr>
      </w:pPr>
      <w:r>
        <w:rPr>
          <w:rFonts w:hint="eastAsia" w:eastAsia="宋体" w:cs="宋体"/>
          <w:color w:val="000000"/>
          <w:sz w:val="24"/>
          <w:szCs w:val="24"/>
          <w:highlight w:val="none"/>
        </w:rPr>
        <w:t xml:space="preserve">　　（一）安置的残疾人占本单位在职职工人数的比例不低于25%（含25%），并且安置的残疾人人数不少于10人（含10人）；</w:t>
      </w:r>
      <w:r>
        <w:rPr>
          <w:rFonts w:eastAsia="宋体" w:cs="宋体"/>
          <w:color w:val="000000"/>
          <w:sz w:val="24"/>
          <w:szCs w:val="24"/>
          <w:highlight w:val="none"/>
        </w:rPr>
      </w:r>
      <w:r/>
    </w:p>
    <w:p>
      <w:pPr>
        <w:pStyle w:val="1015"/>
        <w:spacing w:line="360" w:lineRule="auto"/>
        <w:shd w:val="clear" w:color="auto" w:fill="ffffff"/>
        <w:rPr>
          <w:rFonts w:eastAsia="宋体" w:cs="宋体"/>
          <w:color w:val="000000"/>
          <w:sz w:val="24"/>
          <w:szCs w:val="24"/>
          <w:highlight w:val="none"/>
        </w:rPr>
      </w:pPr>
      <w:r>
        <w:rPr>
          <w:rFonts w:hint="eastAsia" w:eastAsia="宋体" w:cs="宋体"/>
          <w:color w:val="000000"/>
          <w:sz w:val="24"/>
          <w:szCs w:val="24"/>
          <w:highlight w:val="none"/>
        </w:rPr>
        <w:t xml:space="preserve">　　（二）依法与安置的每位残疾人签订了一年以上（含一年）的劳动合同或服务协议；</w:t>
      </w:r>
      <w:r>
        <w:rPr>
          <w:rFonts w:eastAsia="宋体" w:cs="宋体"/>
          <w:color w:val="000000"/>
          <w:sz w:val="24"/>
          <w:szCs w:val="24"/>
          <w:highlight w:val="none"/>
        </w:rPr>
      </w:r>
      <w:r/>
    </w:p>
    <w:p>
      <w:pPr>
        <w:pStyle w:val="1015"/>
        <w:spacing w:line="360" w:lineRule="auto"/>
        <w:shd w:val="clear" w:color="auto" w:fill="ffffff"/>
        <w:rPr>
          <w:rFonts w:eastAsia="宋体" w:cs="宋体"/>
          <w:color w:val="000000"/>
          <w:sz w:val="24"/>
          <w:szCs w:val="24"/>
          <w:highlight w:val="none"/>
        </w:rPr>
      </w:pPr>
      <w:r>
        <w:rPr>
          <w:rFonts w:hint="eastAsia" w:eastAsia="宋体" w:cs="宋体"/>
          <w:color w:val="000000"/>
          <w:sz w:val="24"/>
          <w:szCs w:val="24"/>
          <w:highlight w:val="none"/>
        </w:rPr>
        <w:t xml:space="preserve">　　（三）为安置的每位残疾人按月足额缴纳了基本养老保险、基本医疗保险、失业保险、工伤保险和生育保险等社会保险费；</w:t>
      </w:r>
      <w:r>
        <w:rPr>
          <w:rFonts w:eastAsia="宋体" w:cs="宋体"/>
          <w:color w:val="000000"/>
          <w:sz w:val="24"/>
          <w:szCs w:val="24"/>
          <w:highlight w:val="none"/>
        </w:rPr>
      </w:r>
      <w:r/>
    </w:p>
    <w:p>
      <w:pPr>
        <w:pStyle w:val="1015"/>
        <w:spacing w:line="360" w:lineRule="auto"/>
        <w:shd w:val="clear" w:color="auto" w:fill="ffffff"/>
        <w:rPr>
          <w:rFonts w:eastAsia="宋体" w:cs="宋体"/>
          <w:color w:val="000000"/>
          <w:sz w:val="24"/>
          <w:szCs w:val="24"/>
          <w:highlight w:val="none"/>
        </w:rPr>
      </w:pPr>
      <w:r>
        <w:rPr>
          <w:rFonts w:hint="eastAsia" w:eastAsia="宋体" w:cs="宋体"/>
          <w:color w:val="000000"/>
          <w:sz w:val="24"/>
          <w:szCs w:val="24"/>
          <w:highlight w:val="none"/>
        </w:rPr>
        <w:t xml:space="preserve">　　（四）通过银行等金融机构向安置的每位残疾人，按月支付了不低于单位所在区县适用的经省级人民政府批准的月最低工资标准的工资；</w:t>
      </w:r>
      <w:r>
        <w:rPr>
          <w:rFonts w:eastAsia="宋体" w:cs="宋体"/>
          <w:color w:val="000000"/>
          <w:sz w:val="24"/>
          <w:szCs w:val="24"/>
          <w:highlight w:val="none"/>
        </w:rPr>
      </w:r>
      <w:r/>
    </w:p>
    <w:p>
      <w:pPr>
        <w:pStyle w:val="1015"/>
        <w:spacing w:line="360" w:lineRule="auto"/>
        <w:shd w:val="clear" w:color="auto" w:fill="ffffff"/>
        <w:rPr>
          <w:rFonts w:eastAsia="宋体" w:cs="宋体"/>
          <w:color w:val="000000"/>
          <w:sz w:val="24"/>
          <w:szCs w:val="24"/>
          <w:highlight w:val="none"/>
        </w:rPr>
      </w:pPr>
      <w:r>
        <w:rPr>
          <w:rFonts w:hint="eastAsia" w:eastAsia="宋体" w:cs="宋体"/>
          <w:color w:val="000000"/>
          <w:sz w:val="24"/>
          <w:szCs w:val="24"/>
          <w:highlight w:val="none"/>
        </w:rPr>
        <w:t xml:space="preserve">　　（五）提供本单位制造的货物、承担的工程或者服务（以下简称产品），或者提供其他残疾人福利性单位制造的货物（不包括使用非残疾人福利性单位注册商标的货物）。</w:t>
      </w:r>
      <w:r>
        <w:rPr>
          <w:rFonts w:eastAsia="宋体" w:cs="宋体"/>
          <w:color w:val="000000"/>
          <w:sz w:val="24"/>
          <w:szCs w:val="24"/>
          <w:highlight w:val="none"/>
        </w:rPr>
      </w:r>
      <w:r/>
    </w:p>
    <w:p>
      <w:pPr>
        <w:pStyle w:val="1015"/>
        <w:ind w:firstLine="480"/>
        <w:spacing w:line="360" w:lineRule="auto"/>
        <w:shd w:val="clear" w:color="auto" w:fill="ffffff"/>
        <w:rPr>
          <w:rFonts w:eastAsia="宋体" w:cs="宋体"/>
          <w:color w:val="000000"/>
          <w:sz w:val="24"/>
          <w:szCs w:val="24"/>
          <w:highlight w:val="none"/>
        </w:rPr>
      </w:pPr>
      <w:r>
        <w:rPr>
          <w:rFonts w:hint="eastAsia"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cs="宋体"/>
          <w:color w:val="000000"/>
          <w:sz w:val="24"/>
          <w:szCs w:val="24"/>
          <w:highlight w:val="none"/>
        </w:rPr>
      </w:r>
      <w:r/>
    </w:p>
    <w:p>
      <w:pPr>
        <w:pStyle w:val="1015"/>
        <w:jc w:val="center"/>
        <w:spacing w:line="360" w:lineRule="auto"/>
        <w:rPr>
          <w:rFonts w:eastAsia="宋体" w:cs="宋体"/>
          <w:b/>
          <w:bCs/>
          <w:color w:val="000000"/>
          <w:sz w:val="24"/>
          <w:szCs w:val="21"/>
          <w:highlight w:val="none"/>
        </w:rPr>
        <w:outlineLvl w:val="3"/>
      </w:pPr>
      <w:r>
        <w:rPr>
          <w:rFonts w:hint="eastAsia" w:eastAsia="宋体" w:cs="宋体"/>
          <w:b/>
          <w:color w:val="000000"/>
          <w:sz w:val="24"/>
          <w:szCs w:val="24"/>
          <w:highlight w:val="none"/>
        </w:rPr>
        <w:br w:type="page" w:clear="all"/>
      </w:r>
      <w:r>
        <w:rPr>
          <w:rFonts w:hint="eastAsia" w:eastAsia="宋体" w:cs="宋体"/>
          <w:b/>
          <w:bCs/>
          <w:color w:val="000000"/>
          <w:sz w:val="24"/>
          <w:szCs w:val="21"/>
          <w:highlight w:val="none"/>
        </w:rPr>
        <w:t xml:space="preserve">监狱企业证明函</w:t>
      </w:r>
      <w:r>
        <w:rPr>
          <w:rFonts w:eastAsia="宋体" w:cs="宋体"/>
          <w:b/>
          <w:bCs/>
          <w:color w:val="000000"/>
          <w:sz w:val="24"/>
          <w:szCs w:val="21"/>
          <w:highlight w:val="none"/>
        </w:rPr>
      </w:r>
      <w:r/>
    </w:p>
    <w:p>
      <w:pPr>
        <w:pStyle w:val="1015"/>
        <w:ind w:firstLine="646"/>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根据《财政部司法部关于政府采购支持监狱企业发展有关问题的通知》（财库[2014]68号）的规定，（填写供应商法定全称）为监狱企业。</w:t>
      </w:r>
      <w:r>
        <w:rPr>
          <w:rFonts w:eastAsia="宋体" w:cs="宋体"/>
          <w:color w:val="000000"/>
          <w:sz w:val="24"/>
          <w:szCs w:val="21"/>
          <w:highlight w:val="none"/>
        </w:rPr>
      </w:r>
      <w:r/>
    </w:p>
    <w:p>
      <w:pPr>
        <w:pStyle w:val="1015"/>
        <w:ind w:firstLine="646"/>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特此声明。</w:t>
      </w:r>
      <w:r>
        <w:rPr>
          <w:rFonts w:eastAsia="宋体" w:cs="宋体"/>
          <w:color w:val="000000"/>
          <w:sz w:val="24"/>
          <w:szCs w:val="21"/>
          <w:highlight w:val="none"/>
        </w:rPr>
      </w:r>
      <w:r/>
    </w:p>
    <w:p>
      <w:pPr>
        <w:pStyle w:val="1015"/>
        <w:ind w:firstLine="144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省级以上监狱管理局、戒毒管理局（含新疆生产建设兵团）（盖章）：</w:t>
      </w:r>
      <w:r>
        <w:rPr>
          <w:rFonts w:eastAsia="宋体" w:cs="宋体"/>
          <w:color w:val="000000"/>
          <w:sz w:val="24"/>
          <w:szCs w:val="21"/>
          <w:highlight w:val="none"/>
        </w:rPr>
      </w:r>
      <w:r/>
    </w:p>
    <w:p>
      <w:pPr>
        <w:pStyle w:val="1015"/>
        <w:spacing w:line="360" w:lineRule="auto"/>
        <w:rPr>
          <w:rFonts w:eastAsia="宋体" w:cs="宋体"/>
          <w:b/>
          <w:bCs/>
          <w:color w:val="000000"/>
          <w:sz w:val="24"/>
          <w:szCs w:val="24"/>
          <w:highlight w:val="none"/>
        </w:rPr>
      </w:pPr>
      <w:r>
        <w:rPr>
          <w:rFonts w:hint="eastAsia" w:eastAsia="宋体" w:cs="宋体"/>
          <w:color w:val="000000"/>
          <w:sz w:val="24"/>
          <w:szCs w:val="21"/>
          <w:highlight w:val="none"/>
        </w:rPr>
        <w:t xml:space="preserve">日期：</w:t>
      </w:r>
      <w:r>
        <w:rPr>
          <w:rFonts w:eastAsia="宋体" w:cs="宋体"/>
          <w:b/>
          <w:bCs/>
          <w:color w:val="000000"/>
          <w:sz w:val="24"/>
          <w:szCs w:val="24"/>
          <w:highlight w:val="none"/>
        </w:rPr>
      </w:r>
      <w:r/>
    </w:p>
    <w:p>
      <w:pPr>
        <w:pStyle w:val="1015"/>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1087"/>
        <w:rPr>
          <w:rFonts w:ascii="Times New Roman" w:eastAsia="宋体"/>
          <w:color w:val="000000"/>
          <w:highlight w:val="none"/>
        </w:rPr>
      </w:pPr>
      <w:r>
        <w:rPr>
          <w:rFonts w:ascii="Times New Roman" w:eastAsia="宋体"/>
          <w:color w:val="000000"/>
          <w:highlight w:val="none"/>
        </w:rPr>
      </w:r>
      <w:r/>
    </w:p>
    <w:p>
      <w:pPr>
        <w:pStyle w:val="1015"/>
        <w:ind w:firstLine="420"/>
        <w:jc w:val="left"/>
        <w:spacing w:line="360" w:lineRule="auto"/>
        <w:rPr>
          <w:rFonts w:eastAsia="宋体" w:cs="宋体"/>
          <w:color w:val="000000"/>
          <w:highlight w:val="none"/>
        </w:rPr>
      </w:pPr>
      <w:r>
        <w:rPr>
          <w:rFonts w:eastAsia="宋体" w:cs="宋体"/>
          <w:color w:val="000000"/>
          <w:highlight w:val="none"/>
        </w:rPr>
      </w:r>
      <w:r/>
    </w:p>
    <w:p>
      <w:pPr>
        <w:pStyle w:val="1015"/>
        <w:spacing w:line="360" w:lineRule="auto"/>
        <w:rPr>
          <w:rFonts w:eastAsia="宋体" w:cs="宋体"/>
          <w:color w:val="000000"/>
          <w:sz w:val="24"/>
          <w:szCs w:val="26"/>
          <w:highlight w:val="none"/>
        </w:rPr>
      </w:pPr>
      <w:r>
        <w:rPr>
          <w:rFonts w:eastAsia="宋体" w:cs="宋体"/>
          <w:color w:val="000000"/>
          <w:sz w:val="24"/>
          <w:szCs w:val="26"/>
          <w:highlight w:val="none"/>
        </w:rPr>
      </w:r>
      <w:r/>
    </w:p>
    <w:p>
      <w:pPr>
        <w:pStyle w:val="1015"/>
        <w:spacing w:line="360" w:lineRule="auto"/>
        <w:rPr>
          <w:rFonts w:eastAsia="宋体" w:cs="宋体"/>
          <w:b/>
          <w:bCs/>
          <w:color w:val="000000"/>
          <w:sz w:val="24"/>
          <w:szCs w:val="21"/>
          <w:highlight w:val="none"/>
        </w:rPr>
      </w:pPr>
      <w:r>
        <w:rPr>
          <w:rFonts w:hint="eastAsia" w:eastAsia="宋体" w:cs="宋体"/>
          <w:b/>
          <w:bCs/>
          <w:color w:val="000000"/>
          <w:sz w:val="24"/>
          <w:szCs w:val="21"/>
          <w:highlight w:val="none"/>
        </w:rPr>
        <w:br w:type="page" w:clear="all"/>
      </w:r>
      <w:r>
        <w:rPr>
          <w:rFonts w:eastAsia="宋体" w:cs="宋体"/>
          <w:b/>
          <w:bCs/>
          <w:color w:val="000000"/>
          <w:sz w:val="24"/>
          <w:szCs w:val="21"/>
          <w:highlight w:val="none"/>
        </w:rPr>
      </w:r>
      <w:r/>
    </w:p>
    <w:p>
      <w:pPr>
        <w:pStyle w:val="1015"/>
        <w:jc w:val="center"/>
        <w:spacing w:line="360" w:lineRule="auto"/>
        <w:rPr>
          <w:rFonts w:eastAsia="宋体" w:cs="宋体"/>
          <w:b/>
          <w:bCs/>
          <w:color w:val="000000"/>
          <w:sz w:val="24"/>
          <w:szCs w:val="21"/>
          <w:highlight w:val="none"/>
        </w:rPr>
        <w:outlineLvl w:val="2"/>
      </w:pPr>
      <w:r>
        <w:rPr>
          <w:rFonts w:hint="eastAsia" w:eastAsia="宋体" w:cs="宋体"/>
          <w:b/>
          <w:bCs/>
          <w:color w:val="000000"/>
          <w:sz w:val="24"/>
          <w:szCs w:val="21"/>
          <w:highlight w:val="none"/>
        </w:rPr>
        <w:t xml:space="preserve">6、投标响应函</w:t>
      </w:r>
      <w:r>
        <w:rPr>
          <w:rFonts w:eastAsia="宋体" w:cs="宋体"/>
          <w:b/>
          <w:bCs/>
          <w:color w:val="000000"/>
          <w:sz w:val="24"/>
          <w:szCs w:val="21"/>
          <w:highlight w:val="none"/>
        </w:rPr>
      </w:r>
      <w:r/>
    </w:p>
    <w:p>
      <w:pPr>
        <w:pStyle w:val="1015"/>
        <w:jc w:val="left"/>
        <w:spacing w:line="360" w:lineRule="auto"/>
        <w:rPr>
          <w:rFonts w:eastAsia="宋体" w:cs="宋体"/>
          <w:color w:val="000000"/>
          <w:sz w:val="24"/>
          <w:szCs w:val="21"/>
          <w:highlight w:val="none"/>
        </w:rPr>
      </w:pPr>
      <w:r>
        <w:rPr>
          <w:rFonts w:hint="eastAsia" w:eastAsia="宋体" w:cs="宋体"/>
          <w:color w:val="000000"/>
          <w:sz w:val="24"/>
          <w:szCs w:val="21"/>
          <w:highlight w:val="none"/>
          <w:u w:val="single"/>
        </w:rPr>
        <w:t xml:space="preserve">南通市第三人民医院</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依据贵单位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（招标项目名称、项目编号）项目公开招标采购的邀请，我方授权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（职务）为全权代表参加该项目的投标工作，全权处理本次投标的有关事宜。同时，我公司声明如下：</w:t>
      </w:r>
      <w:r>
        <w:rPr>
          <w:rFonts w:eastAsia="宋体" w:cs="宋体"/>
          <w:color w:val="000000"/>
          <w:sz w:val="24"/>
          <w:szCs w:val="21"/>
          <w:highlight w:val="none"/>
        </w:rPr>
      </w:r>
      <w:r/>
    </w:p>
    <w:p>
      <w:pPr>
        <w:pStyle w:val="1015"/>
        <w:ind w:firstLine="494"/>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1、我方同意并接受本项目招标文件的各项要求，遵守招标文件中的各项规定，按招标文件的要求提供报价。</w:t>
      </w:r>
      <w:r>
        <w:rPr>
          <w:rFonts w:eastAsia="宋体" w:cs="宋体"/>
          <w:color w:val="000000"/>
          <w:sz w:val="24"/>
          <w:szCs w:val="21"/>
          <w:highlight w:val="none"/>
        </w:rPr>
      </w:r>
      <w:r/>
    </w:p>
    <w:p>
      <w:pPr>
        <w:pStyle w:val="1015"/>
        <w:ind w:firstLine="494"/>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2、我方已经详细审查了全部招标文件，我方已完全清晰理解招标文件的要求，不存在任何含糊不清和误解之处，同意放弃对这些文件所提出的异议和质疑的权利。</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3、我方愿意提供招标人在招标文件中要求的所有资料。</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4、我方承诺在本次招标响应中提供的一切文件，无论是原件还是扫描件均真实有效，绝无任何虚假、伪造和夸大的成份。否则，愿承担相应的后果和法律责任。</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5、我方尊重评标小组所作的评定结果，同时也清楚理解到投标报价最低并非意味着必定获得中标资格。</w:t>
      </w:r>
      <w:r>
        <w:rPr>
          <w:rFonts w:eastAsia="宋体" w:cs="宋体"/>
          <w:color w:val="000000"/>
          <w:sz w:val="24"/>
          <w:szCs w:val="21"/>
          <w:highlight w:val="none"/>
        </w:rPr>
      </w:r>
      <w:r/>
    </w:p>
    <w:p>
      <w:pPr>
        <w:pStyle w:val="1015"/>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6、一旦我方中标，我方将根据招标文件的规定，严格履行招标文件中规定的每一项要求，按期、按质、按量履行合同的义务。 </w:t>
      </w:r>
      <w:r>
        <w:rPr>
          <w:rFonts w:eastAsia="宋体" w:cs="宋体"/>
          <w:color w:val="000000"/>
          <w:sz w:val="24"/>
          <w:szCs w:val="21"/>
          <w:highlight w:val="none"/>
        </w:rPr>
      </w:r>
      <w:r/>
    </w:p>
    <w:p>
      <w:pPr>
        <w:pStyle w:val="1015"/>
        <w:ind w:firstLine="2400"/>
        <w:jc w:val="righ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ind w:firstLine="240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（加盖公章）</w:t>
      </w:r>
      <w:r>
        <w:rPr>
          <w:rFonts w:eastAsia="宋体" w:cs="宋体"/>
          <w:color w:val="000000"/>
          <w:sz w:val="24"/>
          <w:szCs w:val="21"/>
          <w:highlight w:val="none"/>
        </w:rPr>
      </w:r>
      <w:r/>
    </w:p>
    <w:p>
      <w:pPr>
        <w:pStyle w:val="1015"/>
        <w:ind w:firstLine="240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法定代表人或被授权人：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（签字或盖章）</w:t>
      </w:r>
      <w:r>
        <w:rPr>
          <w:rFonts w:eastAsia="宋体" w:cs="宋体"/>
          <w:color w:val="000000"/>
          <w:sz w:val="24"/>
          <w:szCs w:val="21"/>
          <w:highlight w:val="none"/>
        </w:rPr>
      </w:r>
      <w:r/>
    </w:p>
    <w:p>
      <w:pPr>
        <w:pStyle w:val="1015"/>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w:t>
      </w:r>
      <w:r>
        <w:rPr>
          <w:rFonts w:eastAsia="宋体" w:cs="宋体"/>
          <w:color w:val="000000"/>
          <w:sz w:val="24"/>
          <w:szCs w:val="21"/>
          <w:highlight w:val="none"/>
        </w:rPr>
      </w:r>
      <w:r/>
    </w:p>
    <w:p>
      <w:pPr>
        <w:pStyle w:val="1179"/>
        <w:ind w:firstLine="0"/>
        <w:spacing w:line="360" w:lineRule="auto"/>
        <w:rPr>
          <w:rFonts w:eastAsia="宋体" w:cs="宋体"/>
          <w:color w:val="000000"/>
          <w:szCs w:val="24"/>
          <w:highlight w:val="none"/>
        </w:rPr>
      </w:pPr>
      <w:r>
        <w:rPr>
          <w:rFonts w:eastAsia="宋体" w:cs="宋体"/>
          <w:color w:val="000000"/>
          <w:szCs w:val="24"/>
          <w:highlight w:val="none"/>
        </w:rPr>
      </w:r>
      <w:r/>
    </w:p>
    <w:p>
      <w:pPr>
        <w:pStyle w:val="1179"/>
        <w:ind w:firstLine="0"/>
        <w:jc w:val="center"/>
        <w:spacing w:line="360" w:lineRule="auto"/>
        <w:rPr>
          <w:rFonts w:eastAsia="宋体" w:cs="宋体"/>
          <w:color w:val="000000"/>
          <w:szCs w:val="22"/>
          <w:highlight w:val="none"/>
        </w:rPr>
        <w:sectPr>
          <w:footerReference w:type="default" r:id="rId20"/>
          <w:footnotePr/>
          <w:endnotePr/>
          <w:type w:val="nextPage"/>
          <w:pgSz w:w="11905" w:h="16838" w:orient="portrait"/>
          <w:pgMar w:top="1588" w:right="1418" w:bottom="1418" w:left="1701" w:header="850" w:footer="992" w:gutter="0"/>
          <w:cols w:num="1" w:sep="0" w:space="1701" w:equalWidth="1"/>
          <w:docGrid w:linePitch="360"/>
        </w:sectPr>
      </w:pPr>
      <w:r>
        <w:rPr>
          <w:rFonts w:eastAsia="宋体" w:cs="宋体"/>
          <w:color w:val="000000"/>
          <w:szCs w:val="22"/>
          <w:highlight w:val="none"/>
        </w:rPr>
      </w:r>
      <w:r/>
    </w:p>
    <w:p>
      <w:pPr>
        <w:pStyle w:val="1015"/>
        <w:jc w:val="center"/>
        <w:spacing w:line="360" w:lineRule="auto"/>
        <w:rPr>
          <w:rFonts w:eastAsia="宋体" w:cs="宋体"/>
          <w:b/>
          <w:bCs/>
          <w:color w:val="000000"/>
          <w:szCs w:val="21"/>
          <w:highlight w:val="none"/>
        </w:rPr>
        <w:outlineLvl w:val="2"/>
      </w:pPr>
      <w:r>
        <w:rPr>
          <w:rFonts w:hint="eastAsia" w:eastAsia="宋体" w:cs="宋体"/>
          <w:b/>
          <w:bCs/>
          <w:color w:val="000000"/>
          <w:szCs w:val="21"/>
          <w:highlight w:val="none"/>
        </w:rPr>
        <w:t xml:space="preserve">7、</w:t>
      </w:r>
      <w:r>
        <w:rPr>
          <w:rFonts w:hint="eastAsia" w:eastAsia="宋体" w:cs="宋体"/>
          <w:b/>
          <w:bCs/>
          <w:color w:val="000000"/>
          <w:szCs w:val="24"/>
          <w:highlight w:val="none"/>
        </w:rPr>
        <w:t xml:space="preserve">投标人一般情况表</w:t>
      </w:r>
      <w:r>
        <w:rPr>
          <w:rFonts w:eastAsia="宋体" w:cs="宋体"/>
          <w:b/>
          <w:bCs/>
          <w:color w:val="00000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企业名称</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总部地址</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分支机构</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当地代表处地址</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电话</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联系人</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传真</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电子邮件</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注册地</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注册年份</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资质等级</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1015"/>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公司具备的相关资质等级及相应的证书号</w:t>
            </w:r>
            <w:r>
              <w:rPr>
                <w:rFonts w:eastAsia="宋体" w:cs="宋体"/>
                <w:color w:val="000000"/>
                <w:sz w:val="24"/>
                <w:szCs w:val="24"/>
                <w:highlight w:val="none"/>
              </w:rPr>
            </w:r>
            <w:r/>
          </w:p>
          <w:p>
            <w:pPr>
              <w:pStyle w:val="1015"/>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（请附有关证书的扫描件）</w:t>
            </w: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质量管理体系</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1015"/>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公司</w:t>
            </w:r>
            <w:r>
              <w:rPr>
                <w:rFonts w:hint="eastAsia" w:eastAsia="宋体" w:cs="宋体"/>
                <w:color w:val="000000"/>
                <w:sz w:val="24"/>
                <w:szCs w:val="24"/>
                <w:highlight w:val="none"/>
                <w:u w:val="single"/>
              </w:rPr>
              <w:t xml:space="preserve">          （是否通过，何种）</w:t>
            </w:r>
            <w:r>
              <w:rPr>
                <w:rFonts w:hint="eastAsia" w:eastAsia="宋体" w:cs="宋体"/>
                <w:color w:val="000000"/>
                <w:sz w:val="24"/>
                <w:szCs w:val="24"/>
                <w:highlight w:val="none"/>
              </w:rPr>
              <w:t xml:space="preserve">质量保证体系认证（如通过请附相关在有效期内的证书扫描件）</w:t>
            </w: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项目负责人</w:t>
            </w: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年龄</w:t>
            </w: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性别</w:t>
            </w:r>
            <w:r>
              <w:rPr>
                <w:rFonts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职务职称</w:t>
            </w:r>
            <w:r>
              <w:rPr>
                <w:rFonts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1015"/>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执业资格</w:t>
            </w: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15"/>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经营范围</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1015"/>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营业执照载明：</w:t>
            </w:r>
            <w:r>
              <w:rPr>
                <w:rFonts w:eastAsia="宋体" w:cs="宋体"/>
                <w:color w:val="000000"/>
                <w:sz w:val="24"/>
                <w:szCs w:val="24"/>
                <w:highlight w:val="none"/>
              </w:rPr>
            </w:r>
            <w:r/>
          </w:p>
          <w:p>
            <w:pPr>
              <w:pStyle w:val="1015"/>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1015"/>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1015"/>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1015"/>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从事类似相关项目的经历及年数</w:t>
            </w:r>
            <w:r>
              <w:rPr>
                <w:rFonts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1015"/>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其他认为有必要提供的内容，可自行添加</w:t>
            </w:r>
            <w:r>
              <w:rPr>
                <w:rFonts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1015"/>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pStyle w:val="1015"/>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1015"/>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1015"/>
        <w:ind w:firstLine="132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1015"/>
        <w:jc w:val="right"/>
        <w:spacing w:line="360" w:lineRule="auto"/>
        <w:rPr>
          <w:rFonts w:eastAsia="宋体" w:cs="宋体"/>
          <w:b/>
          <w:bCs/>
          <w:color w:val="000000"/>
          <w:szCs w:val="24"/>
          <w:highlight w:val="none"/>
        </w:rPr>
      </w:pPr>
      <w:r>
        <w:rPr>
          <w:rFonts w:hint="eastAsia" w:eastAsia="宋体" w:cs="宋体"/>
          <w:b/>
          <w:bCs/>
          <w:color w:val="000000"/>
          <w:szCs w:val="21"/>
          <w:highlight w:val="none"/>
        </w:rPr>
        <w:br w:type="page" w:clear="all"/>
      </w:r>
      <w:r>
        <w:rPr>
          <w:rFonts w:eastAsia="宋体" w:cs="宋体"/>
          <w:b/>
          <w:bCs/>
          <w:color w:val="000000"/>
          <w:szCs w:val="24"/>
          <w:highlight w:val="none"/>
        </w:rPr>
      </w:r>
      <w:r/>
    </w:p>
    <w:p>
      <w:pPr>
        <w:pStyle w:val="1015"/>
        <w:jc w:val="center"/>
        <w:spacing w:line="360" w:lineRule="auto"/>
        <w:rPr>
          <w:rFonts w:hint="eastAsia" w:ascii="宋体" w:hAnsi="宋体" w:eastAsia="宋体"/>
          <w:color w:val="000000"/>
          <w:highlight w:val="none"/>
        </w:rPr>
      </w:pPr>
      <w:r>
        <w:rPr>
          <w:rFonts w:hint="eastAsia" w:ascii="宋体" w:hAnsi="宋体" w:eastAsia="宋体"/>
          <w:b/>
          <w:bCs/>
          <w:color w:val="000000"/>
          <w:sz w:val="24"/>
          <w:szCs w:val="24"/>
          <w:highlight w:val="none"/>
          <w:lang w:val="en-US" w:eastAsia="zh-CN"/>
        </w:rPr>
        <w:t xml:space="preserve">8</w:t>
      </w:r>
      <w:r>
        <w:rPr>
          <w:rFonts w:hint="eastAsia" w:ascii="宋体" w:hAnsi="宋体" w:eastAsia="宋体"/>
          <w:b/>
          <w:bCs/>
          <w:color w:val="000000"/>
          <w:sz w:val="24"/>
          <w:szCs w:val="24"/>
          <w:highlight w:val="none"/>
        </w:rPr>
        <w:t xml:space="preserve">、技术</w:t>
      </w:r>
      <w:r>
        <w:rPr>
          <w:rFonts w:hint="eastAsia" w:ascii="宋体" w:hAnsi="宋体" w:eastAsia="宋体"/>
          <w:b/>
          <w:bCs/>
          <w:color w:val="000000"/>
          <w:sz w:val="24"/>
          <w:szCs w:val="24"/>
          <w:highlight w:val="none"/>
          <w:lang w:val="en-US" w:eastAsia="zh-CN"/>
        </w:rPr>
        <w:t xml:space="preserve">参数响应</w:t>
      </w:r>
      <w:r>
        <w:rPr>
          <w:rFonts w:hint="eastAsia" w:ascii="宋体" w:hAnsi="宋体" w:eastAsia="宋体"/>
          <w:b/>
          <w:bCs/>
          <w:color w:val="000000"/>
          <w:sz w:val="24"/>
          <w:szCs w:val="24"/>
          <w:highlight w:val="none"/>
        </w:rPr>
        <w:t xml:space="preserve">正负偏离表</w:t>
      </w:r>
      <w:r>
        <w:rPr>
          <w:rFonts w:hint="eastAsia" w:ascii="宋体" w:hAnsi="宋体" w:eastAsia="宋体"/>
          <w:color w:val="000000"/>
          <w:highlight w:val="none"/>
        </w:rPr>
      </w:r>
      <w:r/>
    </w:p>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仿宋"/>
          <w:color w:val="000000"/>
          <w:sz w:val="28"/>
          <w:szCs w:val="28"/>
          <w:highlight w:val="none"/>
        </w:rPr>
        <w:t xml:space="preserve">（</w:t>
      </w:r>
      <w:r>
        <w:rPr>
          <w:rFonts w:hint="eastAsia" w:ascii="宋体" w:hAnsi="宋体" w:eastAsia="宋体" w:cs="宋体"/>
          <w:color w:val="000000"/>
          <w:sz w:val="24"/>
          <w:szCs w:val="24"/>
          <w:highlight w:val="none"/>
        </w:rPr>
        <w:t xml:space="preserve">由投标人据实提交，表格不够自行添加）</w:t>
      </w:r>
      <w:r>
        <w:rPr>
          <w:rFonts w:hint="eastAsia" w:ascii="宋体" w:hAnsi="宋体" w:eastAsia="宋体" w:cs="宋体"/>
          <w:color w:val="000000"/>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2028"/>
        <w:gridCol w:w="1896"/>
        <w:gridCol w:w="2455"/>
        <w:gridCol w:w="1417"/>
      </w:tblGrid>
      <w:tr>
        <w:trPr>
          <w:trHeight w:val="994"/>
        </w:trPr>
        <w:tc>
          <w:tcPr>
            <w:tcW w:w="959" w:type="dxa"/>
            <w:vAlign w:val="center"/>
            <w:textDirection w:val="lrTb"/>
            <w:noWrap w:val="false"/>
          </w:tcPr>
          <w:p>
            <w:pPr>
              <w:pStyle w:val="101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1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货物或服务名称</w:t>
            </w:r>
            <w:r>
              <w:rPr>
                <w:rFonts w:hint="eastAsia" w:ascii="宋体" w:hAnsi="宋体" w:eastAsia="宋体" w:cs="宋体"/>
                <w:color w:val="000000"/>
                <w:sz w:val="24"/>
                <w:szCs w:val="24"/>
                <w:highlight w:val="none"/>
              </w:rPr>
            </w:r>
            <w:r/>
          </w:p>
        </w:tc>
        <w:tc>
          <w:tcPr>
            <w:tcW w:w="1896" w:type="dxa"/>
            <w:vAlign w:val="center"/>
            <w:textDirection w:val="lrTb"/>
            <w:noWrap w:val="false"/>
          </w:tcPr>
          <w:p>
            <w:pPr>
              <w:pStyle w:val="101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招标文件要求</w:t>
            </w:r>
            <w:r>
              <w:rPr>
                <w:rFonts w:hint="eastAsia" w:ascii="宋体" w:hAnsi="宋体" w:eastAsia="宋体" w:cs="宋体"/>
                <w:color w:val="000000"/>
                <w:sz w:val="24"/>
                <w:szCs w:val="24"/>
                <w:highlight w:val="none"/>
              </w:rPr>
            </w:r>
            <w:r/>
          </w:p>
        </w:tc>
        <w:tc>
          <w:tcPr>
            <w:tcW w:w="2455" w:type="dxa"/>
            <w:vAlign w:val="center"/>
            <w:textDirection w:val="lrTb"/>
            <w:noWrap w:val="false"/>
          </w:tcPr>
          <w:p>
            <w:pPr>
              <w:pStyle w:val="101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投标文件响应情况</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rHeight w:val="414"/>
        </w:trPr>
        <w:tc>
          <w:tcPr>
            <w:tcW w:w="959"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96"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55"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top"/>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8"/>
        </w:trPr>
        <w:tc>
          <w:tcPr>
            <w:tcW w:w="959"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96"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55"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top"/>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0"/>
        </w:trPr>
        <w:tc>
          <w:tcPr>
            <w:tcW w:w="959"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96"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55"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top"/>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9"/>
        </w:trPr>
        <w:tc>
          <w:tcPr>
            <w:tcW w:w="959" w:type="dxa"/>
            <w:vAlign w:val="top"/>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96"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55" w:type="dxa"/>
            <w:vAlign w:val="center"/>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top"/>
            <w:textDirection w:val="lrTb"/>
            <w:noWrap w:val="false"/>
          </w:tcPr>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5"/>
        <w:ind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投标</w:t>
      </w:r>
      <w:r>
        <w:rPr>
          <w:rFonts w:ascii="宋体" w:hAnsi="宋体" w:eastAsia="宋体" w:cs="宋体"/>
          <w:color w:val="000000"/>
          <w:sz w:val="24"/>
          <w:szCs w:val="24"/>
          <w:highlight w:val="none"/>
        </w:rPr>
        <w:t xml:space="preserve">人提交的</w:t>
      </w:r>
      <w:r>
        <w:rPr>
          <w:rFonts w:hint="eastAsia" w:ascii="宋体" w:hAnsi="宋体" w:eastAsia="宋体" w:cs="宋体"/>
          <w:color w:val="000000"/>
          <w:sz w:val="24"/>
          <w:szCs w:val="24"/>
          <w:highlight w:val="none"/>
        </w:rPr>
        <w:t xml:space="preserve">投标</w:t>
      </w:r>
      <w:r>
        <w:rPr>
          <w:rFonts w:ascii="宋体" w:hAnsi="宋体" w:eastAsia="宋体" w:cs="宋体"/>
          <w:color w:val="000000"/>
          <w:sz w:val="24"/>
          <w:szCs w:val="24"/>
          <w:highlight w:val="none"/>
        </w:rPr>
        <w:t xml:space="preserve">文件中与</w:t>
      </w:r>
      <w:r>
        <w:rPr>
          <w:rFonts w:hint="eastAsia" w:ascii="宋体" w:hAnsi="宋体" w:eastAsia="宋体" w:cs="宋体"/>
          <w:color w:val="000000"/>
          <w:sz w:val="24"/>
          <w:szCs w:val="24"/>
          <w:highlight w:val="none"/>
        </w:rPr>
        <w:t xml:space="preserve">招标</w:t>
      </w:r>
      <w:r>
        <w:rPr>
          <w:rFonts w:ascii="宋体" w:hAnsi="宋体" w:eastAsia="宋体" w:cs="宋体"/>
          <w:color w:val="000000"/>
          <w:sz w:val="24"/>
          <w:szCs w:val="24"/>
          <w:highlight w:val="none"/>
        </w:rPr>
        <w:t xml:space="preserve">文件第三部分“项目需求说明”中的技术</w:t>
      </w:r>
      <w:r>
        <w:rPr>
          <w:rFonts w:hint="eastAsia" w:ascii="宋体" w:hAnsi="宋体" w:eastAsia="宋体" w:cs="宋体"/>
          <w:color w:val="000000"/>
          <w:sz w:val="24"/>
          <w:szCs w:val="24"/>
          <w:highlight w:val="none"/>
          <w:lang w:val="en-US" w:eastAsia="zh-CN"/>
        </w:rPr>
        <w:t xml:space="preserve">参数</w:t>
      </w:r>
      <w:r>
        <w:rPr>
          <w:rFonts w:ascii="宋体" w:hAnsi="宋体" w:eastAsia="宋体" w:cs="宋体"/>
          <w:color w:val="000000"/>
          <w:sz w:val="24"/>
          <w:szCs w:val="24"/>
          <w:highlight w:val="none"/>
        </w:rPr>
        <w:t xml:space="preserve">部分的要求有不同时，应逐条填列在偏离表中，否则将认为</w:t>
      </w:r>
      <w:r>
        <w:rPr>
          <w:rFonts w:hint="eastAsia" w:ascii="宋体" w:hAnsi="宋体" w:eastAsia="宋体" w:cs="宋体"/>
          <w:color w:val="000000"/>
          <w:sz w:val="24"/>
          <w:szCs w:val="24"/>
          <w:highlight w:val="none"/>
        </w:rPr>
        <w:t xml:space="preserve">投标</w:t>
      </w:r>
      <w:r>
        <w:rPr>
          <w:rFonts w:ascii="宋体" w:hAnsi="宋体" w:eastAsia="宋体" w:cs="宋体"/>
          <w:color w:val="000000"/>
          <w:sz w:val="24"/>
          <w:szCs w:val="24"/>
          <w:highlight w:val="none"/>
        </w:rPr>
        <w:t xml:space="preserve">人接受</w:t>
      </w:r>
      <w:r>
        <w:rPr>
          <w:rFonts w:hint="eastAsia" w:ascii="宋体" w:hAnsi="宋体" w:eastAsia="宋体" w:cs="宋体"/>
          <w:color w:val="000000"/>
          <w:sz w:val="24"/>
          <w:szCs w:val="24"/>
          <w:highlight w:val="none"/>
        </w:rPr>
        <w:t xml:space="preserve">招标</w:t>
      </w:r>
      <w:r>
        <w:rPr>
          <w:rFonts w:ascii="宋体" w:hAnsi="宋体" w:eastAsia="宋体" w:cs="宋体"/>
          <w:color w:val="000000"/>
          <w:sz w:val="24"/>
          <w:szCs w:val="24"/>
          <w:highlight w:val="none"/>
        </w:rPr>
        <w:t xml:space="preserve">文件技术部分的所有要求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2、“偏离说明”一栏选择“正偏离”、“负偏离”进行填写。正偏离的确认和负偏离的是否相应</w:t>
      </w:r>
      <w:r>
        <w:rPr>
          <w:rFonts w:hint="eastAsia" w:ascii="宋体" w:hAnsi="宋体" w:eastAsia="宋体" w:cs="宋体"/>
          <w:color w:val="000000"/>
          <w:sz w:val="24"/>
          <w:szCs w:val="24"/>
          <w:highlight w:val="none"/>
        </w:rPr>
        <w:t xml:space="preserve">招标</w:t>
      </w:r>
      <w:r>
        <w:rPr>
          <w:rFonts w:ascii="宋体" w:hAnsi="宋体" w:eastAsia="宋体" w:cs="宋体"/>
          <w:color w:val="000000"/>
          <w:sz w:val="24"/>
          <w:szCs w:val="24"/>
          <w:highlight w:val="none"/>
        </w:rPr>
        <w:t xml:space="preserve">文件，经三分之二评委认定。</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3、供应商若提供其他增值服务，可以在表中自行据实填写。</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供应商名称（盖章）：</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法人或授权委托人（签字或盖章）：</w:t>
      </w:r>
      <w:r>
        <w:rPr>
          <w:rFonts w:hint="eastAsia"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rPr>
      </w:r>
      <w:r/>
    </w:p>
    <w:p>
      <w:pPr>
        <w:pStyle w:val="1015"/>
        <w:rPr>
          <w:rFonts w:ascii="宋体" w:hAnsi="宋体" w:eastAsia="宋体" w:cs="宋体"/>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color w:val="000000"/>
          <w:sz w:val="24"/>
          <w:szCs w:val="24"/>
          <w:highlight w:val="none"/>
        </w:rPr>
      </w:r>
      <w:r/>
    </w:p>
    <w:p>
      <w:pPr>
        <w:pStyle w:val="1015"/>
        <w:jc w:val="center"/>
        <w:spacing w:line="360" w:lineRule="auto"/>
        <w:rPr>
          <w:rFonts w:hint="eastAsia" w:ascii="宋体" w:hAnsi="宋体" w:eastAsia="宋体" w:cs="宋体"/>
          <w:b/>
          <w:color w:val="000000"/>
          <w:sz w:val="32"/>
          <w:szCs w:val="32"/>
          <w:highlight w:val="none"/>
        </w:rPr>
        <w:outlineLvl w:val="3"/>
      </w:pPr>
      <w:r>
        <w:rPr>
          <w:rFonts w:hint="eastAsia" w:ascii="宋体" w:hAnsi="宋体" w:eastAsia="宋体" w:cs="宋体"/>
          <w:b/>
          <w:bCs/>
          <w:color w:val="000000"/>
          <w:sz w:val="24"/>
          <w:szCs w:val="21"/>
          <w:highlight w:val="none"/>
          <w:lang w:val="en-US" w:eastAsia="zh-CN"/>
        </w:rPr>
        <w:t xml:space="preserve">9</w:t>
      </w:r>
      <w:r>
        <w:rPr>
          <w:rFonts w:hint="eastAsia" w:ascii="宋体" w:hAnsi="宋体" w:eastAsia="宋体" w:cs="宋体"/>
          <w:b/>
          <w:bCs/>
          <w:color w:val="000000"/>
          <w:sz w:val="24"/>
          <w:szCs w:val="21"/>
          <w:highlight w:val="none"/>
        </w:rPr>
        <w:t xml:space="preserve">、商务部分正负偏离表</w:t>
      </w:r>
      <w:r>
        <w:rPr>
          <w:rFonts w:hint="eastAsia" w:ascii="宋体" w:hAnsi="宋体" w:eastAsia="宋体" w:cs="宋体"/>
          <w:b/>
          <w:color w:val="000000"/>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trHeight w:val="994"/>
        </w:trPr>
        <w:tc>
          <w:tcPr>
            <w:tcW w:w="959"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67"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货物或服务名称</w:t>
            </w:r>
            <w:r>
              <w:rPr>
                <w:rFonts w:hint="eastAsia" w:ascii="宋体" w:hAnsi="宋体" w:eastAsia="宋体" w:cs="宋体"/>
                <w:color w:val="000000"/>
                <w:sz w:val="24"/>
                <w:szCs w:val="24"/>
                <w:highlight w:val="none"/>
              </w:rPr>
            </w:r>
            <w:r/>
          </w:p>
        </w:tc>
        <w:tc>
          <w:tcPr>
            <w:tcW w:w="2392"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招标文件要求</w:t>
            </w:r>
            <w:r>
              <w:rPr>
                <w:rFonts w:hint="eastAsia" w:ascii="宋体" w:hAnsi="宋体" w:eastAsia="宋体" w:cs="宋体"/>
                <w:color w:val="000000"/>
                <w:sz w:val="24"/>
                <w:szCs w:val="24"/>
                <w:highlight w:val="none"/>
              </w:rPr>
            </w:r>
            <w:r/>
          </w:p>
        </w:tc>
        <w:tc>
          <w:tcPr>
            <w:tcW w:w="2720"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投标文件响应情况</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rHeight w:val="414"/>
        </w:trPr>
        <w:tc>
          <w:tcPr>
            <w:tcW w:w="959"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67"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92"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20"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8"/>
        </w:trPr>
        <w:tc>
          <w:tcPr>
            <w:tcW w:w="959"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67"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92"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20"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0"/>
        </w:trPr>
        <w:tc>
          <w:tcPr>
            <w:tcW w:w="959" w:type="dxa"/>
            <w:vAlign w:val="center"/>
            <w:textDirection w:val="lrTb"/>
            <w:noWrap w:val="false"/>
          </w:tcPr>
          <w:p>
            <w:pPr>
              <w:pStyle w:val="10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67"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92"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20"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9"/>
        </w:trPr>
        <w:tc>
          <w:tcPr>
            <w:tcW w:w="959"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7"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92"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20"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供应商：（盖章）             </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法定代表人或被授权人（签字或盖章）：</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01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注：1、供应商提交的响应文件中与采购文件第三部分“项目需求说明”中商务部分的要求有不同时，应逐条填列在偏离表中，否则将认为供应商接受招标文件商务部分的所有要求。</w:t>
      </w:r>
      <w:r>
        <w:rPr>
          <w:rFonts w:hint="eastAsia" w:ascii="宋体" w:hAnsi="宋体" w:eastAsia="宋体" w:cs="宋体"/>
          <w:color w:val="000000"/>
          <w:sz w:val="24"/>
          <w:highlight w:val="none"/>
        </w:rPr>
        <w:t xml:space="preserve">若完全响应本项目需求且无偏离，</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highlight w:val="none"/>
        </w:rPr>
        <w:t xml:space="preserve">时本表可空白盖章提供。</w:t>
      </w:r>
      <w:r>
        <w:rPr>
          <w:rFonts w:hint="eastAsia" w:ascii="宋体" w:hAnsi="宋体" w:eastAsia="宋体" w:cs="宋体"/>
          <w:color w:val="000000"/>
          <w:sz w:val="24"/>
          <w:szCs w:val="24"/>
          <w:highlight w:val="none"/>
          <w:lang w:val="zh-CN"/>
        </w:rPr>
      </w:r>
      <w:r/>
    </w:p>
    <w:p>
      <w:pPr>
        <w:pStyle w:val="101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2、“偏离说明”一栏选择“正偏离”、“负偏离”进行填写。正偏离的确认和负偏离的是否响应采购文件，经三分之二评委认定。</w:t>
      </w:r>
      <w:r>
        <w:rPr>
          <w:rFonts w:hint="eastAsia" w:ascii="宋体" w:hAnsi="宋体" w:eastAsia="宋体" w:cs="宋体"/>
          <w:color w:val="000000"/>
          <w:sz w:val="24"/>
          <w:szCs w:val="24"/>
          <w:highlight w:val="none"/>
          <w:lang w:val="zh-CN"/>
        </w:rPr>
      </w:r>
      <w:r/>
    </w:p>
    <w:p>
      <w:pPr>
        <w:pStyle w:val="101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3、供应商如果虚假响应，将承担被暂停参加采购人采购活动的风险。</w:t>
      </w:r>
      <w:r>
        <w:rPr>
          <w:rFonts w:hint="eastAsia" w:ascii="宋体" w:hAnsi="宋体" w:eastAsia="宋体" w:cs="宋体"/>
          <w:color w:val="000000"/>
          <w:sz w:val="24"/>
          <w:szCs w:val="24"/>
          <w:highlight w:val="none"/>
          <w:lang w:val="zh-CN"/>
        </w:rPr>
      </w:r>
      <w:r/>
    </w:p>
    <w:p>
      <w:pPr>
        <w:pStyle w:val="101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4、供应商若提供其他增值服务，可以在表中自行据实填写。</w:t>
      </w:r>
      <w:r>
        <w:rPr>
          <w:rFonts w:hint="eastAsia" w:ascii="宋体" w:hAnsi="宋体" w:eastAsia="宋体" w:cs="宋体"/>
          <w:color w:val="000000"/>
          <w:sz w:val="24"/>
          <w:szCs w:val="24"/>
          <w:highlight w:val="none"/>
          <w:lang w:val="zh-CN"/>
        </w:rPr>
      </w:r>
      <w:r/>
    </w:p>
    <w:p>
      <w:pPr>
        <w:pStyle w:val="1015"/>
        <w:jc w:val="center"/>
        <w:spacing w:line="360" w:lineRule="auto"/>
        <w:rPr>
          <w:rFonts w:eastAsia="宋体" w:cs="宋体"/>
          <w:b/>
          <w:bCs/>
          <w:color w:val="000000"/>
          <w:sz w:val="24"/>
          <w:szCs w:val="21"/>
          <w:highlight w:val="none"/>
        </w:rPr>
        <w:outlineLvl w:val="2"/>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lang w:val="en-US" w:eastAsia="zh-CN"/>
        </w:rPr>
        <w:t xml:space="preserve">10</w:t>
      </w:r>
      <w:r>
        <w:rPr>
          <w:rFonts w:hint="eastAsia" w:eastAsia="宋体" w:cs="宋体"/>
          <w:b/>
          <w:bCs/>
          <w:color w:val="000000"/>
          <w:sz w:val="24"/>
          <w:szCs w:val="21"/>
          <w:highlight w:val="none"/>
        </w:rPr>
        <w:t xml:space="preserve">、投标报价表</w:t>
      </w:r>
      <w:r>
        <w:rPr>
          <w:rFonts w:eastAsia="宋体" w:cs="宋体"/>
          <w:b/>
          <w:bCs/>
          <w:color w:val="000000"/>
          <w:sz w:val="24"/>
          <w:szCs w:val="21"/>
          <w:highlight w:val="none"/>
        </w:rPr>
      </w:r>
      <w:r/>
    </w:p>
    <w:tbl>
      <w:tblPr>
        <w:tblW w:w="5096"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1"/>
        <w:gridCol w:w="6375"/>
      </w:tblGrid>
      <w:tr>
        <w:trPr>
          <w:trHeight w:val="684"/>
        </w:trPr>
        <w:tc>
          <w:tcPr>
            <w:tcW w:w="2665" w:type="dxa"/>
            <w:vAlign w:val="center"/>
            <w:textDirection w:val="lrTb"/>
            <w:noWrap w:val="false"/>
          </w:tcPr>
          <w:p>
            <w:pPr>
              <w:pStyle w:val="1015"/>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项目名称</w:t>
            </w:r>
            <w:r>
              <w:rPr>
                <w:rFonts w:eastAsia="宋体" w:cs="宋体"/>
                <w:color w:val="000000"/>
                <w:sz w:val="24"/>
                <w:szCs w:val="21"/>
                <w:highlight w:val="none"/>
              </w:rPr>
            </w:r>
            <w:r/>
          </w:p>
        </w:tc>
        <w:tc>
          <w:tcPr>
            <w:tcW w:w="6799" w:type="dxa"/>
            <w:vAlign w:val="center"/>
            <w:textDirection w:val="lrTb"/>
            <w:noWrap w:val="false"/>
          </w:tcPr>
          <w:p>
            <w:pPr>
              <w:pStyle w:val="1015"/>
              <w:spacing w:line="360" w:lineRule="auto"/>
              <w:rPr>
                <w:rFonts w:eastAsia="宋体" w:cs="宋体"/>
                <w:color w:val="000000"/>
                <w:sz w:val="24"/>
                <w:szCs w:val="21"/>
                <w:highlight w:val="none"/>
              </w:rPr>
            </w:pPr>
            <w:r>
              <w:rPr>
                <w:rFonts w:eastAsia="宋体" w:cs="宋体"/>
                <w:color w:val="000000"/>
                <w:sz w:val="24"/>
                <w:szCs w:val="21"/>
                <w:highlight w:val="none"/>
              </w:rPr>
            </w:r>
            <w:r/>
          </w:p>
        </w:tc>
      </w:tr>
      <w:tr>
        <w:trPr>
          <w:trHeight w:val="684"/>
        </w:trPr>
        <w:tc>
          <w:tcPr>
            <w:tcW w:w="2665" w:type="dxa"/>
            <w:vAlign w:val="center"/>
            <w:textDirection w:val="lrTb"/>
            <w:noWrap w:val="false"/>
          </w:tcPr>
          <w:p>
            <w:pPr>
              <w:pStyle w:val="1015"/>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项目编号</w:t>
            </w:r>
            <w:r>
              <w:rPr>
                <w:rFonts w:eastAsia="宋体" w:cs="宋体"/>
                <w:color w:val="000000"/>
                <w:sz w:val="24"/>
                <w:szCs w:val="21"/>
                <w:highlight w:val="none"/>
              </w:rPr>
            </w:r>
            <w:r/>
          </w:p>
        </w:tc>
        <w:tc>
          <w:tcPr>
            <w:tcW w:w="6799" w:type="dxa"/>
            <w:vAlign w:val="center"/>
            <w:textDirection w:val="lrTb"/>
            <w:noWrap w:val="false"/>
          </w:tcPr>
          <w:p>
            <w:pPr>
              <w:pStyle w:val="1015"/>
              <w:spacing w:line="360" w:lineRule="auto"/>
              <w:rPr>
                <w:rFonts w:eastAsia="宋体" w:cs="宋体"/>
                <w:color w:val="000000"/>
                <w:sz w:val="24"/>
                <w:szCs w:val="21"/>
                <w:highlight w:val="none"/>
              </w:rPr>
            </w:pPr>
            <w:r>
              <w:rPr>
                <w:rFonts w:eastAsia="宋体" w:cs="宋体"/>
                <w:color w:val="000000"/>
                <w:sz w:val="24"/>
                <w:szCs w:val="21"/>
                <w:highlight w:val="none"/>
              </w:rPr>
            </w:r>
            <w:r/>
          </w:p>
        </w:tc>
      </w:tr>
      <w:tr>
        <w:trPr>
          <w:trHeight w:val="1427"/>
        </w:trPr>
        <w:tc>
          <w:tcPr>
            <w:tcW w:w="2665" w:type="dxa"/>
            <w:vAlign w:val="center"/>
            <w:textDirection w:val="lrTb"/>
            <w:noWrap w:val="false"/>
          </w:tcPr>
          <w:p>
            <w:pPr>
              <w:pStyle w:val="1015"/>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投标报价</w:t>
            </w:r>
            <w:r>
              <w:rPr>
                <w:rFonts w:eastAsia="宋体" w:cs="宋体"/>
                <w:color w:val="000000"/>
                <w:sz w:val="24"/>
                <w:szCs w:val="21"/>
                <w:highlight w:val="none"/>
              </w:rPr>
            </w:r>
            <w:r/>
          </w:p>
        </w:tc>
        <w:tc>
          <w:tcPr>
            <w:tcW w:w="6799" w:type="dxa"/>
            <w:vAlign w:val="center"/>
            <w:textDirection w:val="lrTb"/>
            <w:noWrap w:val="false"/>
          </w:tcPr>
          <w:p>
            <w:pPr>
              <w:pStyle w:val="1015"/>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大写</w:t>
            </w:r>
            <w:r>
              <w:rPr>
                <w:rFonts w:hint="eastAsia" w:eastAsia="宋体" w:cs="宋体"/>
                <w:bCs/>
                <w:color w:val="000000"/>
                <w:sz w:val="24"/>
                <w:szCs w:val="24"/>
                <w:highlight w:val="none"/>
                <w:u w:val="single"/>
              </w:rPr>
              <w:t xml:space="preserve">：                    元</w:t>
            </w:r>
            <w:r>
              <w:rPr>
                <w:rFonts w:hint="eastAsia" w:eastAsia="宋体" w:cs="宋体"/>
                <w:bCs/>
                <w:color w:val="000000"/>
                <w:sz w:val="24"/>
                <w:szCs w:val="24"/>
                <w:highlight w:val="none"/>
              </w:rPr>
              <w:t xml:space="preserve">；</w:t>
            </w:r>
            <w:r>
              <w:rPr>
                <w:rFonts w:eastAsia="宋体" w:cs="宋体"/>
                <w:bCs/>
                <w:color w:val="000000"/>
                <w:sz w:val="24"/>
                <w:szCs w:val="24"/>
                <w:highlight w:val="none"/>
              </w:rPr>
            </w:r>
            <w:r/>
          </w:p>
          <w:p>
            <w:pPr>
              <w:pStyle w:val="1015"/>
              <w:spacing w:line="360" w:lineRule="auto"/>
              <w:rPr>
                <w:rFonts w:eastAsia="宋体" w:cs="宋体"/>
                <w:color w:val="000000"/>
                <w:highlight w:val="none"/>
              </w:rPr>
            </w:pPr>
            <w:r>
              <w:rPr>
                <w:rFonts w:hint="eastAsia" w:eastAsia="宋体" w:cs="宋体"/>
                <w:bCs/>
                <w:color w:val="000000"/>
                <w:sz w:val="24"/>
                <w:szCs w:val="24"/>
                <w:highlight w:val="none"/>
              </w:rPr>
              <w:t xml:space="preserve">小写</w:t>
            </w:r>
            <w:r>
              <w:rPr>
                <w:rFonts w:hint="eastAsia" w:eastAsia="宋体" w:cs="宋体"/>
                <w:bCs/>
                <w:color w:val="000000"/>
                <w:sz w:val="24"/>
                <w:szCs w:val="24"/>
                <w:highlight w:val="none"/>
                <w:u w:val="single"/>
              </w:rPr>
              <w:t xml:space="preserve">：                     元</w:t>
            </w:r>
            <w:r>
              <w:rPr>
                <w:rFonts w:hint="eastAsia" w:eastAsia="宋体" w:cs="宋体"/>
                <w:bCs/>
                <w:color w:val="000000"/>
                <w:sz w:val="24"/>
                <w:szCs w:val="24"/>
                <w:highlight w:val="none"/>
              </w:rPr>
              <w:t xml:space="preserve">。</w:t>
            </w:r>
            <w:r>
              <w:rPr>
                <w:rFonts w:eastAsia="宋体" w:cs="宋体"/>
                <w:color w:val="000000"/>
                <w:highlight w:val="none"/>
              </w:rPr>
            </w:r>
            <w:r/>
          </w:p>
        </w:tc>
      </w:tr>
    </w:tbl>
    <w:p>
      <w:pPr>
        <w:pStyle w:val="1195"/>
        <w:spacing w:line="360" w:lineRule="auto"/>
        <w:rPr>
          <w:rFonts w:ascii="Times New Roman" w:eastAsia="宋体" w:cs="宋体"/>
          <w:color w:val="000000"/>
          <w:highlight w:val="none"/>
        </w:rPr>
      </w:pPr>
      <w:r>
        <w:rPr>
          <w:rFonts w:ascii="Times New Roman" w:eastAsia="宋体" w:cs="宋体"/>
          <w:color w:val="000000"/>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投标供应商：（盖章）             </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法定代表人或被授权人（签字或盖章）：</w:t>
      </w:r>
      <w:r>
        <w:rPr>
          <w:rFonts w:eastAsia="宋体" w:cs="宋体"/>
          <w:color w:val="000000"/>
          <w:sz w:val="24"/>
          <w:szCs w:val="21"/>
          <w:highlight w:val="none"/>
        </w:rPr>
      </w:r>
      <w:r/>
    </w:p>
    <w:p>
      <w:pPr>
        <w:pStyle w:val="101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日期：</w:t>
      </w:r>
      <w:r>
        <w:rPr>
          <w:rFonts w:eastAsia="宋体" w:cs="宋体"/>
          <w:color w:val="000000"/>
          <w:sz w:val="24"/>
          <w:szCs w:val="21"/>
          <w:highlight w:val="none"/>
        </w:rPr>
      </w:r>
      <w:r/>
    </w:p>
    <w:p>
      <w:pPr>
        <w:pStyle w:val="1015"/>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1015"/>
        <w:ind w:firstLine="496"/>
        <w:spacing w:line="360" w:lineRule="auto"/>
        <w:rPr>
          <w:rFonts w:eastAsia="宋体" w:cs="宋体"/>
          <w:bCs/>
          <w:color w:val="000000"/>
          <w:sz w:val="24"/>
          <w:szCs w:val="21"/>
          <w:highlight w:val="none"/>
        </w:rPr>
      </w:pPr>
      <w:r>
        <w:rPr>
          <w:rFonts w:hint="eastAsia" w:eastAsia="宋体" w:cs="宋体"/>
          <w:b/>
          <w:bCs/>
          <w:color w:val="000000"/>
          <w:sz w:val="24"/>
          <w:szCs w:val="21"/>
          <w:highlight w:val="none"/>
        </w:rPr>
        <w:t xml:space="preserve">注：</w:t>
      </w:r>
      <w:r>
        <w:rPr>
          <w:rFonts w:hint="eastAsia" w:eastAsia="宋体" w:cs="宋体"/>
          <w:bCs/>
          <w:color w:val="000000"/>
          <w:sz w:val="24"/>
          <w:szCs w:val="21"/>
          <w:highlight w:val="none"/>
        </w:rPr>
        <w:t xml:space="preserve"> </w:t>
      </w:r>
      <w:r>
        <w:rPr>
          <w:rFonts w:eastAsia="宋体" w:cs="宋体"/>
          <w:bCs/>
          <w:color w:val="000000"/>
          <w:sz w:val="24"/>
          <w:szCs w:val="21"/>
          <w:highlight w:val="none"/>
        </w:rPr>
      </w:r>
      <w:r/>
    </w:p>
    <w:p>
      <w:pPr>
        <w:pStyle w:val="1015"/>
        <w:ind w:firstLine="465"/>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本项目投标报价应包</w:t>
      </w:r>
      <w:r>
        <w:rPr>
          <w:rFonts w:hint="eastAsia" w:eastAsia="宋体" w:cs="宋体"/>
          <w:color w:val="000000"/>
          <w:sz w:val="24"/>
          <w:szCs w:val="24"/>
          <w:highlight w:val="none"/>
        </w:rPr>
        <w:t xml:space="preserve">含打印复印设施耗材费用（硒鼓、墨盒、碳带、色带等）、维修零配件费用、实施服务费、电脑维护费用、常驻于采购人项目现场工作人员的工资、福利、食宿、交通、通信以及法定节假日等加班费、项目利润、税金以及其他交付使用前所产生的所有费用（除纸张、标签和订书钉外）</w:t>
      </w:r>
      <w:r>
        <w:rPr>
          <w:rFonts w:hint="eastAsia" w:eastAsia="宋体" w:cs="宋体"/>
          <w:color w:val="000000"/>
          <w:sz w:val="24"/>
          <w:szCs w:val="21"/>
          <w:highlight w:val="none"/>
        </w:rPr>
        <w:t xml:space="preserve">。同时，报价也应包含合同履行过程中可能发生的一切风险</w:t>
      </w:r>
      <w:r>
        <w:rPr>
          <w:rFonts w:hint="eastAsia" w:eastAsia="宋体" w:cs="宋体"/>
          <w:bCs/>
          <w:color w:val="000000"/>
          <w:sz w:val="24"/>
          <w:szCs w:val="24"/>
          <w:highlight w:val="none"/>
        </w:rPr>
        <w:t xml:space="preserve">。</w:t>
      </w:r>
      <w:r>
        <w:rPr>
          <w:rFonts w:eastAsia="宋体" w:cs="宋体"/>
          <w:color w:val="000000"/>
          <w:sz w:val="24"/>
          <w:szCs w:val="21"/>
          <w:highlight w:val="none"/>
        </w:rPr>
      </w:r>
      <w:r/>
    </w:p>
    <w:p>
      <w:pPr>
        <w:pStyle w:val="1015"/>
        <w:ind w:firstLine="465"/>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5"/>
        <w:spacing w:line="360" w:lineRule="auto"/>
        <w:rPr>
          <w:rFonts w:eastAsia="宋体" w:cs="宋体"/>
          <w:color w:val="000000"/>
          <w:highlight w:val="none"/>
        </w:rPr>
      </w:pPr>
      <w:r>
        <w:rPr>
          <w:rFonts w:eastAsia="宋体" w:cs="宋体"/>
          <w:color w:val="000000"/>
          <w:highlight w:val="none"/>
        </w:rPr>
      </w:r>
      <w:r/>
    </w:p>
    <w:p>
      <w:pPr>
        <w:pStyle w:val="1015"/>
        <w:jc w:val="center"/>
        <w:spacing w:line="360" w:lineRule="auto"/>
        <w:rPr>
          <w:rFonts w:eastAsia="宋体" w:cs="宋体"/>
          <w:b/>
          <w:bCs/>
          <w:color w:val="000000"/>
          <w:sz w:val="24"/>
          <w:szCs w:val="21"/>
          <w:highlight w:val="none"/>
        </w:rPr>
        <w:outlineLvl w:val="2"/>
      </w:pPr>
      <w:r>
        <w:rPr>
          <w:rFonts w:hint="eastAsia" w:eastAsia="宋体" w:cs="宋体"/>
          <w:color w:val="000000"/>
          <w:highlight w:val="none"/>
        </w:rPr>
        <w:br w:type="page" w:clear="all"/>
      </w:r>
      <w:r>
        <w:rPr>
          <w:rFonts w:hint="eastAsia" w:eastAsia="宋体" w:cs="宋体"/>
          <w:b/>
          <w:bCs/>
          <w:color w:val="000000"/>
          <w:sz w:val="24"/>
          <w:szCs w:val="21"/>
          <w:highlight w:val="none"/>
          <w:lang w:val="en-US" w:eastAsia="zh-CN"/>
        </w:rPr>
        <w:t xml:space="preserve">11</w:t>
      </w:r>
      <w:r>
        <w:rPr>
          <w:rFonts w:hint="eastAsia" w:eastAsia="宋体" w:cs="宋体"/>
          <w:b/>
          <w:bCs/>
          <w:color w:val="000000"/>
          <w:sz w:val="24"/>
          <w:szCs w:val="21"/>
          <w:highlight w:val="none"/>
        </w:rPr>
        <w:t xml:space="preserve">、投标报价明细表</w:t>
      </w:r>
      <w:r>
        <w:rPr>
          <w:rFonts w:eastAsia="宋体" w:cs="宋体"/>
          <w:b/>
          <w:bCs/>
          <w:color w:val="000000"/>
          <w:sz w:val="24"/>
          <w:szCs w:val="21"/>
          <w:highlight w:val="none"/>
        </w:rPr>
      </w:r>
      <w:r/>
    </w:p>
    <w:p>
      <w:pPr>
        <w:pStyle w:val="1237"/>
        <w:rPr>
          <w:rFonts w:eastAsia="宋体" w:cs="宋体"/>
          <w:color w:val="000000"/>
          <w:highlight w:val="none"/>
        </w:rPr>
      </w:pPr>
      <w:r>
        <w:rPr>
          <w:rFonts w:eastAsia="宋体" w:cs="宋体"/>
          <w:color w:val="000000"/>
          <w:highlight w:val="none"/>
        </w:rPr>
      </w:r>
      <w:r/>
    </w:p>
    <w:p>
      <w:pPr>
        <w:pStyle w:val="1015"/>
        <w:spacing w:line="360" w:lineRule="auto"/>
        <w:rPr>
          <w:rFonts w:hint="eastAsia" w:eastAsia="宋体"/>
          <w:bCs/>
          <w:color w:val="000000"/>
          <w:sz w:val="24"/>
          <w:szCs w:val="24"/>
          <w:highlight w:val="none"/>
          <w:lang w:eastAsia="zh-CN"/>
        </w:rPr>
      </w:pPr>
      <w:r>
        <w:rPr>
          <w:rFonts w:hint="eastAsia" w:eastAsia="宋体"/>
          <w:bCs/>
          <w:color w:val="000000"/>
          <w:sz w:val="24"/>
          <w:szCs w:val="24"/>
          <w:highlight w:val="none"/>
        </w:rPr>
        <w:t xml:space="preserve">项目名称：南通市第三人民医院</w:t>
      </w:r>
      <w:r>
        <w:rPr>
          <w:rFonts w:hint="eastAsia" w:eastAsia="宋体"/>
          <w:bCs/>
          <w:color w:val="000000"/>
          <w:sz w:val="24"/>
          <w:szCs w:val="24"/>
          <w:highlight w:val="none"/>
          <w:lang w:eastAsia="zh-CN"/>
        </w:rPr>
        <w:t xml:space="preserve">2号楼智慧病房建设项目</w:t>
      </w:r>
      <w:r>
        <w:rPr>
          <w:rFonts w:hint="eastAsia" w:eastAsia="宋体"/>
          <w:bCs/>
          <w:color w:val="000000"/>
          <w:sz w:val="24"/>
          <w:szCs w:val="24"/>
          <w:highlight w:val="none"/>
          <w:lang w:eastAsia="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545"/>
        <w:gridCol w:w="1176"/>
        <w:gridCol w:w="915"/>
        <w:gridCol w:w="1065"/>
        <w:gridCol w:w="1110"/>
        <w:gridCol w:w="1095"/>
        <w:gridCol w:w="945"/>
        <w:gridCol w:w="900"/>
      </w:tblGrid>
      <w:tr>
        <w:trPr>
          <w:trHeight w:val="570"/>
        </w:trPr>
        <w:tc>
          <w:tcPr>
            <w:tcW w:w="772"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序号</w:t>
            </w:r>
            <w:r>
              <w:rPr>
                <w:rFonts w:eastAsia="宋体"/>
                <w:color w:val="000000"/>
                <w:sz w:val="24"/>
                <w:szCs w:val="24"/>
                <w:highlight w:val="none"/>
              </w:rPr>
            </w:r>
            <w:r/>
          </w:p>
        </w:tc>
        <w:tc>
          <w:tcPr>
            <w:tcW w:w="1545"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产品</w:t>
            </w:r>
            <w:r>
              <w:rPr>
                <w:rFonts w:eastAsia="宋体"/>
                <w:color w:val="000000"/>
                <w:sz w:val="24"/>
                <w:szCs w:val="24"/>
                <w:highlight w:val="none"/>
              </w:rPr>
            </w:r>
            <w:r/>
          </w:p>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或服务名称</w:t>
            </w:r>
            <w:r>
              <w:rPr>
                <w:rFonts w:eastAsia="宋体"/>
                <w:color w:val="000000"/>
                <w:sz w:val="24"/>
                <w:szCs w:val="24"/>
                <w:highlight w:val="none"/>
              </w:rPr>
            </w:r>
            <w:r/>
          </w:p>
        </w:tc>
        <w:tc>
          <w:tcPr>
            <w:tcW w:w="1176"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规格型号</w:t>
            </w:r>
            <w:r>
              <w:rPr>
                <w:rFonts w:eastAsia="宋体"/>
                <w:color w:val="000000"/>
                <w:sz w:val="24"/>
                <w:szCs w:val="24"/>
                <w:highlight w:val="none"/>
              </w:rPr>
            </w:r>
            <w:r/>
          </w:p>
        </w:tc>
        <w:tc>
          <w:tcPr>
            <w:tcW w:w="915"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数量</w:t>
            </w:r>
            <w:r>
              <w:rPr>
                <w:rFonts w:eastAsia="宋体"/>
                <w:color w:val="000000"/>
                <w:sz w:val="24"/>
                <w:szCs w:val="24"/>
                <w:highlight w:val="none"/>
              </w:rPr>
            </w:r>
            <w:r/>
          </w:p>
        </w:tc>
        <w:tc>
          <w:tcPr>
            <w:tcW w:w="1065"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单位</w:t>
            </w:r>
            <w:r>
              <w:rPr>
                <w:rFonts w:eastAsia="宋体"/>
                <w:color w:val="000000"/>
                <w:sz w:val="24"/>
                <w:szCs w:val="24"/>
                <w:highlight w:val="none"/>
              </w:rPr>
            </w:r>
            <w:r/>
          </w:p>
        </w:tc>
        <w:tc>
          <w:tcPr>
            <w:tcW w:w="1110"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品牌</w:t>
            </w:r>
            <w:r>
              <w:rPr>
                <w:rFonts w:eastAsia="宋体"/>
                <w:color w:val="000000"/>
                <w:sz w:val="24"/>
                <w:szCs w:val="24"/>
                <w:highlight w:val="none"/>
              </w:rPr>
            </w:r>
            <w:r/>
          </w:p>
        </w:tc>
        <w:tc>
          <w:tcPr>
            <w:tcW w:w="1095"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含税</w:t>
            </w:r>
            <w:r>
              <w:rPr>
                <w:rFonts w:eastAsia="宋体"/>
                <w:color w:val="000000"/>
                <w:sz w:val="24"/>
                <w:szCs w:val="24"/>
                <w:highlight w:val="none"/>
              </w:rPr>
            </w:r>
            <w:r/>
          </w:p>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单价</w:t>
            </w:r>
            <w:r>
              <w:rPr>
                <w:rFonts w:eastAsia="宋体"/>
                <w:color w:val="000000"/>
                <w:sz w:val="24"/>
                <w:szCs w:val="24"/>
                <w:highlight w:val="none"/>
              </w:rPr>
            </w:r>
            <w:r/>
          </w:p>
        </w:tc>
        <w:tc>
          <w:tcPr>
            <w:tcW w:w="945"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含税</w:t>
            </w:r>
            <w:r>
              <w:rPr>
                <w:rFonts w:eastAsia="宋体"/>
                <w:color w:val="000000"/>
                <w:sz w:val="24"/>
                <w:szCs w:val="24"/>
                <w:highlight w:val="none"/>
              </w:rPr>
            </w:r>
            <w:r/>
          </w:p>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合价</w:t>
            </w:r>
            <w:r>
              <w:rPr>
                <w:rFonts w:eastAsia="宋体"/>
                <w:color w:val="000000"/>
                <w:sz w:val="24"/>
                <w:szCs w:val="24"/>
                <w:highlight w:val="none"/>
              </w:rPr>
            </w:r>
            <w:r/>
          </w:p>
        </w:tc>
        <w:tc>
          <w:tcPr>
            <w:tcW w:w="900"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备注</w:t>
            </w:r>
            <w:r>
              <w:rPr>
                <w:rFonts w:eastAsia="宋体"/>
                <w:color w:val="000000"/>
                <w:sz w:val="24"/>
                <w:szCs w:val="24"/>
                <w:highlight w:val="none"/>
              </w:rPr>
            </w:r>
            <w:r/>
          </w:p>
        </w:tc>
      </w:tr>
      <w:tr>
        <w:trPr>
          <w:trHeight w:val="666"/>
        </w:trPr>
        <w:tc>
          <w:tcPr>
            <w:tcW w:w="772"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1</w:t>
            </w:r>
            <w:r>
              <w:rPr>
                <w:rFonts w:eastAsia="宋体"/>
                <w:color w:val="000000"/>
                <w:sz w:val="24"/>
                <w:szCs w:val="24"/>
                <w:highlight w:val="none"/>
              </w:rPr>
            </w:r>
            <w:r/>
          </w:p>
        </w:tc>
        <w:tc>
          <w:tcPr>
            <w:tcW w:w="154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176"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1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06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110"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109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4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00" w:type="dxa"/>
            <w:vAlign w:val="top"/>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r>
      <w:tr>
        <w:trPr>
          <w:trHeight w:val="616"/>
        </w:trPr>
        <w:tc>
          <w:tcPr>
            <w:tcW w:w="772"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2</w:t>
            </w:r>
            <w:r>
              <w:rPr>
                <w:rFonts w:eastAsia="宋体"/>
                <w:color w:val="000000"/>
                <w:sz w:val="24"/>
                <w:szCs w:val="24"/>
                <w:highlight w:val="none"/>
              </w:rPr>
            </w:r>
            <w:r/>
          </w:p>
        </w:tc>
        <w:tc>
          <w:tcPr>
            <w:tcW w:w="154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176"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1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06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110"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109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4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00" w:type="dxa"/>
            <w:vAlign w:val="top"/>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r>
      <w:tr>
        <w:trPr>
          <w:trHeight w:val="616"/>
        </w:trPr>
        <w:tc>
          <w:tcPr>
            <w:tcW w:w="772"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3</w:t>
            </w:r>
            <w:r>
              <w:rPr>
                <w:rFonts w:eastAsia="宋体"/>
                <w:color w:val="000000"/>
                <w:sz w:val="24"/>
                <w:szCs w:val="24"/>
                <w:highlight w:val="none"/>
              </w:rPr>
            </w:r>
            <w:r/>
          </w:p>
        </w:tc>
        <w:tc>
          <w:tcPr>
            <w:tcW w:w="154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176"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1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06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110"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109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4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00" w:type="dxa"/>
            <w:vAlign w:val="top"/>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r>
      <w:tr>
        <w:trPr>
          <w:trHeight w:val="616"/>
        </w:trPr>
        <w:tc>
          <w:tcPr>
            <w:tcW w:w="772"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4</w:t>
            </w:r>
            <w:r>
              <w:rPr>
                <w:rFonts w:eastAsia="宋体"/>
                <w:color w:val="000000"/>
                <w:sz w:val="24"/>
                <w:szCs w:val="24"/>
                <w:highlight w:val="none"/>
              </w:rPr>
            </w:r>
            <w:r/>
          </w:p>
        </w:tc>
        <w:tc>
          <w:tcPr>
            <w:tcW w:w="154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176"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1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06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110"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109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4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00" w:type="dxa"/>
            <w:vAlign w:val="top"/>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r>
      <w:tr>
        <w:trPr>
          <w:trHeight w:val="616"/>
        </w:trPr>
        <w:tc>
          <w:tcPr>
            <w:tcW w:w="772" w:type="dxa"/>
            <w:vAlign w:val="center"/>
            <w:textDirection w:val="lrTb"/>
            <w:noWrap w:val="false"/>
          </w:tcPr>
          <w:p>
            <w:pPr>
              <w:pStyle w:val="1015"/>
              <w:jc w:val="center"/>
              <w:spacing w:line="360" w:lineRule="auto"/>
              <w:rPr>
                <w:rFonts w:eastAsia="宋体"/>
                <w:color w:val="000000"/>
                <w:sz w:val="24"/>
                <w:szCs w:val="24"/>
                <w:highlight w:val="none"/>
              </w:rPr>
            </w:pPr>
            <w:r>
              <w:rPr>
                <w:rFonts w:hint="eastAsia" w:eastAsia="宋体"/>
                <w:color w:val="000000"/>
                <w:sz w:val="24"/>
                <w:szCs w:val="24"/>
                <w:highlight w:val="none"/>
              </w:rPr>
              <w:t xml:space="preserve">5</w:t>
            </w:r>
            <w:r>
              <w:rPr>
                <w:rFonts w:eastAsia="宋体"/>
                <w:color w:val="000000"/>
                <w:sz w:val="24"/>
                <w:szCs w:val="24"/>
                <w:highlight w:val="none"/>
              </w:rPr>
            </w:r>
            <w:r/>
          </w:p>
        </w:tc>
        <w:tc>
          <w:tcPr>
            <w:tcW w:w="154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176"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1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065" w:type="dxa"/>
            <w:vAlign w:val="center"/>
            <w:textDirection w:val="lrTb"/>
            <w:noWrap w:val="false"/>
          </w:tcPr>
          <w:p>
            <w:pPr>
              <w:pStyle w:val="1015"/>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110"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109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4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00" w:type="dxa"/>
            <w:vAlign w:val="top"/>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r>
      <w:tr>
        <w:trPr>
          <w:trHeight w:val="616"/>
        </w:trPr>
        <w:tc>
          <w:tcPr>
            <w:tcW w:w="772" w:type="dxa"/>
            <w:vAlign w:val="center"/>
            <w:textDirection w:val="lrTb"/>
            <w:noWrap w:val="false"/>
          </w:tcPr>
          <w:p>
            <w:pPr>
              <w:pStyle w:val="1015"/>
              <w:jc w:val="center"/>
              <w:spacing w:line="360" w:lineRule="auto"/>
              <w:rPr>
                <w:rFonts w:eastAsia="宋体"/>
                <w:color w:val="000000"/>
                <w:sz w:val="24"/>
                <w:szCs w:val="24"/>
                <w:highlight w:val="none"/>
              </w:rPr>
            </w:pPr>
            <w:r>
              <w:rPr>
                <w:rFonts w:eastAsia="宋体"/>
                <w:color w:val="000000"/>
                <w:sz w:val="24"/>
                <w:szCs w:val="24"/>
                <w:highlight w:val="none"/>
              </w:rPr>
              <w:t xml:space="preserve">…</w:t>
            </w:r>
            <w:r>
              <w:rPr>
                <w:rFonts w:eastAsia="宋体"/>
                <w:color w:val="000000"/>
                <w:sz w:val="24"/>
                <w:szCs w:val="24"/>
                <w:highlight w:val="none"/>
              </w:rPr>
            </w:r>
            <w:r/>
          </w:p>
        </w:tc>
        <w:tc>
          <w:tcPr>
            <w:tcW w:w="1545" w:type="dxa"/>
            <w:vAlign w:val="center"/>
            <w:textDirection w:val="lrTb"/>
            <w:noWrap w:val="false"/>
          </w:tcPr>
          <w:p>
            <w:pPr>
              <w:pStyle w:val="1015"/>
              <w:jc w:val="center"/>
              <w:spacing w:line="360" w:lineRule="auto"/>
              <w:rPr>
                <w:rFonts w:eastAsia="宋体"/>
                <w:color w:val="000000"/>
                <w:sz w:val="21"/>
                <w:highlight w:val="none"/>
              </w:rPr>
            </w:pPr>
            <w:r>
              <w:rPr>
                <w:rFonts w:eastAsia="宋体"/>
                <w:color w:val="000000"/>
                <w:sz w:val="21"/>
                <w:highlight w:val="none"/>
              </w:rPr>
            </w:r>
            <w:r/>
          </w:p>
        </w:tc>
        <w:tc>
          <w:tcPr>
            <w:tcW w:w="1176"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15" w:type="dxa"/>
            <w:vAlign w:val="center"/>
            <w:textDirection w:val="lrTb"/>
            <w:noWrap w:val="false"/>
          </w:tcPr>
          <w:p>
            <w:pPr>
              <w:pStyle w:val="1015"/>
              <w:jc w:val="center"/>
              <w:spacing w:line="360" w:lineRule="auto"/>
              <w:rPr>
                <w:rFonts w:eastAsia="宋体"/>
                <w:color w:val="000000"/>
                <w:sz w:val="21"/>
                <w:highlight w:val="none"/>
              </w:rPr>
            </w:pPr>
            <w:r>
              <w:rPr>
                <w:rFonts w:eastAsia="宋体"/>
                <w:color w:val="000000"/>
                <w:sz w:val="21"/>
                <w:highlight w:val="none"/>
              </w:rPr>
            </w:r>
            <w:r/>
          </w:p>
        </w:tc>
        <w:tc>
          <w:tcPr>
            <w:tcW w:w="1065" w:type="dxa"/>
            <w:vAlign w:val="center"/>
            <w:textDirection w:val="lrTb"/>
            <w:noWrap w:val="false"/>
          </w:tcPr>
          <w:p>
            <w:pPr>
              <w:pStyle w:val="1015"/>
              <w:jc w:val="center"/>
              <w:spacing w:line="360" w:lineRule="auto"/>
              <w:rPr>
                <w:rFonts w:eastAsia="宋体"/>
                <w:color w:val="000000"/>
                <w:sz w:val="21"/>
                <w:highlight w:val="none"/>
              </w:rPr>
            </w:pPr>
            <w:r>
              <w:rPr>
                <w:rFonts w:eastAsia="宋体"/>
                <w:color w:val="000000"/>
                <w:sz w:val="21"/>
                <w:highlight w:val="none"/>
              </w:rPr>
            </w:r>
            <w:r/>
          </w:p>
        </w:tc>
        <w:tc>
          <w:tcPr>
            <w:tcW w:w="1110"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109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45" w:type="dxa"/>
            <w:vAlign w:val="center"/>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c>
          <w:tcPr>
            <w:tcW w:w="900" w:type="dxa"/>
            <w:vAlign w:val="top"/>
            <w:textDirection w:val="lrTb"/>
            <w:noWrap w:val="false"/>
          </w:tcPr>
          <w:p>
            <w:pPr>
              <w:pStyle w:val="1015"/>
              <w:spacing w:line="360" w:lineRule="auto"/>
              <w:rPr>
                <w:rFonts w:eastAsia="宋体"/>
                <w:color w:val="000000"/>
                <w:sz w:val="24"/>
                <w:szCs w:val="24"/>
                <w:highlight w:val="none"/>
              </w:rPr>
            </w:pPr>
            <w:r>
              <w:rPr>
                <w:rFonts w:eastAsia="宋体"/>
                <w:color w:val="000000"/>
                <w:sz w:val="24"/>
                <w:szCs w:val="24"/>
                <w:highlight w:val="none"/>
              </w:rPr>
            </w:r>
            <w:r/>
          </w:p>
        </w:tc>
      </w:tr>
      <w:tr>
        <w:trPr>
          <w:trHeight w:val="615"/>
        </w:trPr>
        <w:tc>
          <w:tcPr>
            <w:gridSpan w:val="9"/>
            <w:tcW w:w="9523" w:type="dxa"/>
            <w:vAlign w:val="center"/>
            <w:textDirection w:val="lrTb"/>
            <w:noWrap w:val="false"/>
          </w:tcPr>
          <w:p>
            <w:pPr>
              <w:pStyle w:val="1015"/>
              <w:spacing w:line="360" w:lineRule="auto"/>
              <w:rPr>
                <w:rFonts w:eastAsia="宋体"/>
                <w:color w:val="000000"/>
                <w:sz w:val="24"/>
                <w:szCs w:val="24"/>
                <w:highlight w:val="none"/>
              </w:rPr>
            </w:pPr>
            <w:r>
              <w:rPr>
                <w:rFonts w:hint="eastAsia" w:eastAsia="宋体"/>
                <w:color w:val="000000"/>
                <w:sz w:val="24"/>
                <w:szCs w:val="24"/>
                <w:highlight w:val="none"/>
              </w:rPr>
              <w:t xml:space="preserve">总计：     元（大写：       ）</w:t>
            </w:r>
            <w:r>
              <w:rPr>
                <w:rFonts w:eastAsia="宋体"/>
                <w:color w:val="000000"/>
                <w:sz w:val="24"/>
                <w:szCs w:val="24"/>
                <w:highlight w:val="none"/>
              </w:rPr>
            </w:r>
            <w:r/>
          </w:p>
        </w:tc>
      </w:tr>
    </w:tbl>
    <w:p>
      <w:pPr>
        <w:pStyle w:val="1015"/>
        <w:spacing w:line="360" w:lineRule="auto"/>
        <w:rPr>
          <w:rFonts w:eastAsia="宋体"/>
          <w:bCs/>
          <w:color w:val="000000"/>
          <w:sz w:val="24"/>
          <w:szCs w:val="24"/>
          <w:highlight w:val="none"/>
        </w:rPr>
      </w:pPr>
      <w:r>
        <w:rPr>
          <w:rFonts w:eastAsia="宋体"/>
          <w:bCs/>
          <w:color w:val="000000"/>
          <w:sz w:val="24"/>
          <w:szCs w:val="24"/>
          <w:highlight w:val="none"/>
        </w:rPr>
      </w:r>
      <w:r/>
    </w:p>
    <w:p>
      <w:pPr>
        <w:pStyle w:val="1015"/>
        <w:spacing w:line="360" w:lineRule="auto"/>
        <w:rPr>
          <w:rFonts w:eastAsia="宋体"/>
          <w:bCs/>
          <w:color w:val="000000"/>
          <w:sz w:val="24"/>
          <w:szCs w:val="24"/>
          <w:highlight w:val="none"/>
        </w:rPr>
      </w:pPr>
      <w:r>
        <w:rPr>
          <w:rFonts w:hint="eastAsia" w:eastAsia="宋体"/>
          <w:bCs/>
          <w:color w:val="000000"/>
          <w:sz w:val="24"/>
          <w:szCs w:val="24"/>
          <w:highlight w:val="none"/>
        </w:rPr>
        <w:t xml:space="preserve">注：</w:t>
      </w:r>
      <w:r>
        <w:rPr>
          <w:rFonts w:eastAsia="宋体"/>
          <w:bCs/>
          <w:color w:val="000000"/>
          <w:sz w:val="24"/>
          <w:szCs w:val="24"/>
          <w:highlight w:val="none"/>
        </w:rPr>
      </w:r>
      <w:r/>
    </w:p>
    <w:p>
      <w:pPr>
        <w:pStyle w:val="1015"/>
        <w:numPr>
          <w:ilvl w:val="0"/>
          <w:numId w:val="6"/>
        </w:numPr>
        <w:ind w:firstLine="480"/>
        <w:spacing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投标报价</w:t>
      </w:r>
      <w:r>
        <w:rPr>
          <w:rFonts w:hint="eastAsia" w:ascii="宋体" w:hAnsi="宋体" w:eastAsia="宋体" w:cs="宋体"/>
          <w:bCs/>
          <w:color w:val="000000"/>
          <w:sz w:val="24"/>
          <w:szCs w:val="24"/>
          <w:highlight w:val="none"/>
        </w:rPr>
        <w:t xml:space="preserve">包括但不限于服务期内</w:t>
      </w:r>
      <w:r>
        <w:rPr>
          <w:rFonts w:hint="eastAsia" w:ascii="宋体" w:hAnsi="宋体" w:eastAsia="宋体" w:cs="宋体"/>
          <w:color w:val="000000"/>
          <w:sz w:val="24"/>
          <w:szCs w:val="24"/>
          <w:highlight w:val="none"/>
        </w:rPr>
        <w:t xml:space="preserve">人工、施工机械、安装调试、施工管理、保险、消防、质检、安全治安、环保、政策性文件规定及合同包含的所有内容、责任所发生的各项费用</w:t>
      </w:r>
      <w:r>
        <w:rPr>
          <w:rFonts w:hint="eastAsia" w:ascii="宋体" w:hAnsi="宋体" w:eastAsia="宋体" w:cs="宋体"/>
          <w:bCs/>
          <w:color w:val="000000"/>
          <w:sz w:val="24"/>
          <w:szCs w:val="24"/>
          <w:highlight w:val="none"/>
        </w:rPr>
        <w:t xml:space="preserve">。此合同金额不因劳务等价格变动、国家地方政策改变，或其他因素变化而进行调整。同时，报价也应包含合同履行过程中可能发生的一切风险</w:t>
      </w:r>
      <w:r>
        <w:rPr>
          <w:rFonts w:hint="eastAsia" w:ascii="宋体" w:hAnsi="宋体" w:eastAsia="宋体"/>
          <w:color w:val="000000"/>
          <w:sz w:val="24"/>
          <w:szCs w:val="24"/>
          <w:highlight w:val="none"/>
        </w:rPr>
        <w:t xml:space="preserve">。</w:t>
      </w:r>
      <w:r>
        <w:rPr>
          <w:rFonts w:hint="eastAsia" w:ascii="宋体" w:hAnsi="宋体" w:eastAsia="宋体"/>
          <w:bCs/>
          <w:color w:val="000000"/>
          <w:sz w:val="24"/>
          <w:szCs w:val="24"/>
          <w:highlight w:val="none"/>
        </w:rPr>
      </w:r>
      <w:r/>
    </w:p>
    <w:p>
      <w:pPr>
        <w:pStyle w:val="1015"/>
        <w:numPr>
          <w:ilvl w:val="0"/>
          <w:numId w:val="6"/>
        </w:numPr>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如果按单价计算的结果与总价不一致，以单价为准，修正总价。</w:t>
      </w:r>
      <w:r>
        <w:rPr>
          <w:rFonts w:eastAsia="宋体"/>
          <w:bCs/>
          <w:color w:val="000000"/>
          <w:sz w:val="24"/>
          <w:szCs w:val="24"/>
          <w:highlight w:val="none"/>
        </w:rPr>
      </w:r>
      <w:r/>
    </w:p>
    <w:p>
      <w:pPr>
        <w:pStyle w:val="1015"/>
        <w:numPr>
          <w:ilvl w:val="0"/>
          <w:numId w:val="6"/>
        </w:numPr>
        <w:ind w:firstLine="480"/>
        <w:spacing w:line="360" w:lineRule="auto"/>
        <w:rPr>
          <w:rFonts w:eastAsia="宋体" w:cs="宋体"/>
          <w:bCs/>
          <w:color w:val="000000"/>
          <w:sz w:val="24"/>
          <w:szCs w:val="24"/>
          <w:highlight w:val="none"/>
        </w:rPr>
      </w:pPr>
      <w:r>
        <w:rPr>
          <w:rFonts w:hint="eastAsia" w:eastAsia="宋体"/>
          <w:bCs/>
          <w:color w:val="000000"/>
          <w:sz w:val="24"/>
          <w:szCs w:val="24"/>
          <w:highlight w:val="none"/>
        </w:rPr>
        <w:t xml:space="preserve">如果不提供详细分项报价将视为未实质性响应招标文件。</w:t>
      </w:r>
      <w:r>
        <w:rPr>
          <w:rFonts w:eastAsia="宋体" w:cs="宋体"/>
          <w:bCs/>
          <w:color w:val="000000"/>
          <w:sz w:val="24"/>
          <w:szCs w:val="24"/>
          <w:highlight w:val="none"/>
        </w:rPr>
      </w:r>
      <w:r/>
    </w:p>
    <w:p>
      <w:pPr>
        <w:pStyle w:val="1015"/>
        <w:spacing w:line="360" w:lineRule="auto"/>
        <w:rPr>
          <w:rFonts w:eastAsia="宋体" w:cs="宋体"/>
          <w:bCs/>
          <w:color w:val="000000"/>
          <w:sz w:val="24"/>
          <w:szCs w:val="24"/>
          <w:highlight w:val="none"/>
        </w:rPr>
      </w:pPr>
      <w:r>
        <w:rPr>
          <w:rFonts w:eastAsia="宋体" w:cs="宋体"/>
          <w:bCs/>
          <w:color w:val="000000"/>
          <w:sz w:val="24"/>
          <w:szCs w:val="24"/>
          <w:highlight w:val="none"/>
        </w:rPr>
      </w:r>
      <w:r/>
    </w:p>
    <w:p>
      <w:pPr>
        <w:pStyle w:val="1015"/>
        <w:spacing w:line="360" w:lineRule="auto"/>
        <w:rPr>
          <w:rFonts w:eastAsia="宋体" w:cs="宋体"/>
          <w:bCs/>
          <w:color w:val="000000"/>
          <w:sz w:val="24"/>
          <w:szCs w:val="24"/>
          <w:highlight w:val="none"/>
        </w:rPr>
      </w:pPr>
      <w:r>
        <w:rPr>
          <w:rFonts w:eastAsia="宋体" w:cs="宋体"/>
          <w:bCs/>
          <w:color w:val="000000"/>
          <w:sz w:val="24"/>
          <w:szCs w:val="24"/>
          <w:highlight w:val="none"/>
        </w:rPr>
      </w:r>
      <w:r/>
    </w:p>
    <w:p>
      <w:pPr>
        <w:pStyle w:val="1015"/>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供应商（盖章）：</w:t>
      </w:r>
      <w:r>
        <w:rPr>
          <w:rFonts w:eastAsia="宋体" w:cs="宋体"/>
          <w:bCs/>
          <w:color w:val="000000"/>
          <w:sz w:val="24"/>
          <w:szCs w:val="24"/>
          <w:highlight w:val="none"/>
        </w:rPr>
      </w:r>
      <w:r/>
    </w:p>
    <w:p>
      <w:pPr>
        <w:pStyle w:val="1015"/>
        <w:spacing w:line="360" w:lineRule="auto"/>
        <w:rPr>
          <w:rFonts w:eastAsia="宋体" w:cs="宋体"/>
          <w:bCs/>
          <w:color w:val="000000"/>
          <w:sz w:val="24"/>
          <w:szCs w:val="24"/>
          <w:highlight w:val="none"/>
        </w:rPr>
      </w:pPr>
      <w:r>
        <w:rPr>
          <w:rFonts w:hint="eastAsia" w:eastAsia="宋体" w:cs="宋体"/>
          <w:color w:val="000000"/>
          <w:sz w:val="24"/>
          <w:szCs w:val="21"/>
          <w:highlight w:val="none"/>
        </w:rPr>
        <w:t xml:space="preserve">法定代表人或被授权人（签字或盖章）</w:t>
      </w:r>
      <w:r>
        <w:rPr>
          <w:rFonts w:hint="eastAsia" w:eastAsia="宋体" w:cs="宋体"/>
          <w:bCs/>
          <w:color w:val="000000"/>
          <w:sz w:val="24"/>
          <w:szCs w:val="24"/>
          <w:highlight w:val="none"/>
        </w:rPr>
        <w:t xml:space="preserve">：</w:t>
      </w:r>
      <w:r>
        <w:rPr>
          <w:rFonts w:eastAsia="宋体" w:cs="宋体"/>
          <w:bCs/>
          <w:color w:val="000000"/>
          <w:sz w:val="24"/>
          <w:szCs w:val="24"/>
          <w:highlight w:val="none"/>
        </w:rPr>
      </w:r>
      <w:r/>
    </w:p>
    <w:p>
      <w:pPr>
        <w:pStyle w:val="1015"/>
        <w:spacing w:line="360" w:lineRule="auto"/>
        <w:rPr>
          <w:rFonts w:eastAsia="宋体" w:cs="宋体"/>
          <w:b/>
          <w:color w:val="000000"/>
          <w:sz w:val="21"/>
          <w:szCs w:val="22"/>
          <w:highlight w:val="none"/>
        </w:rPr>
      </w:pPr>
      <w:r>
        <w:rPr>
          <w:rFonts w:hint="eastAsia" w:eastAsia="宋体" w:cs="宋体"/>
          <w:bCs/>
          <w:color w:val="000000"/>
          <w:sz w:val="24"/>
          <w:szCs w:val="24"/>
          <w:highlight w:val="none"/>
        </w:rPr>
        <w:t xml:space="preserve">日期：</w:t>
      </w:r>
      <w:r>
        <w:rPr>
          <w:rFonts w:hint="eastAsia" w:eastAsia="宋体" w:cs="宋体"/>
          <w:b/>
          <w:color w:val="000000"/>
          <w:sz w:val="21"/>
          <w:szCs w:val="22"/>
          <w:highlight w:val="none"/>
        </w:rPr>
        <w:t xml:space="preserve"> </w:t>
      </w:r>
      <w:r>
        <w:rPr>
          <w:rFonts w:eastAsia="宋体" w:cs="宋体"/>
          <w:b/>
          <w:color w:val="000000"/>
          <w:sz w:val="21"/>
          <w:szCs w:val="22"/>
          <w:highlight w:val="none"/>
        </w:rPr>
      </w:r>
      <w:r/>
    </w:p>
    <w:p>
      <w:pPr>
        <w:pStyle w:val="1015"/>
        <w:spacing w:line="360" w:lineRule="auto"/>
        <w:rPr>
          <w:rFonts w:eastAsia="宋体" w:cs="宋体"/>
          <w:b/>
          <w:color w:val="000000"/>
          <w:sz w:val="21"/>
          <w:szCs w:val="22"/>
          <w:highlight w:val="none"/>
        </w:rPr>
      </w:pPr>
      <w:r>
        <w:rPr>
          <w:rFonts w:hint="eastAsia" w:eastAsia="宋体" w:cs="宋体"/>
          <w:b/>
          <w:color w:val="000000"/>
          <w:sz w:val="21"/>
          <w:szCs w:val="22"/>
          <w:highlight w:val="none"/>
        </w:rPr>
        <w:br w:type="page" w:clear="all"/>
      </w:r>
      <w:r>
        <w:rPr>
          <w:rFonts w:eastAsia="宋体" w:cs="宋体"/>
          <w:b/>
          <w:color w:val="000000"/>
          <w:sz w:val="21"/>
          <w:szCs w:val="22"/>
          <w:highlight w:val="none"/>
        </w:rPr>
      </w:r>
      <w:r/>
    </w:p>
    <w:p>
      <w:pPr>
        <w:pStyle w:val="1015"/>
        <w:spacing w:line="360" w:lineRule="auto"/>
        <w:rPr>
          <w:rFonts w:eastAsia="宋体" w:cs="宋体"/>
          <w:color w:val="000000"/>
          <w:szCs w:val="22"/>
          <w:highlight w:val="none"/>
        </w:rPr>
      </w:pPr>
      <w:r>
        <w:rPr>
          <w:rFonts w:hint="eastAsia" w:eastAsia="宋体" w:cs="宋体"/>
          <w:color w:val="000000"/>
          <w:szCs w:val="22"/>
          <w:highlight w:val="none"/>
        </w:rPr>
        <w:t xml:space="preserve">附件：</w:t>
      </w:r>
      <w:r>
        <w:rPr>
          <w:rFonts w:eastAsia="宋体" w:cs="宋体"/>
          <w:color w:val="000000"/>
          <w:szCs w:val="22"/>
          <w:highlight w:val="none"/>
        </w:rPr>
      </w:r>
      <w:r/>
    </w:p>
    <w:p>
      <w:pPr>
        <w:pStyle w:val="1015"/>
        <w:ind w:firstLine="482"/>
        <w:jc w:val="center"/>
        <w:spacing w:line="360" w:lineRule="auto"/>
        <w:shd w:val="clear" w:color="auto" w:fill="ffffff"/>
        <w:rPr>
          <w:rFonts w:eastAsia="宋体" w:cs="宋体"/>
          <w:color w:val="000000"/>
          <w:sz w:val="24"/>
          <w:highlight w:val="none"/>
        </w:rPr>
      </w:pPr>
      <w:r>
        <w:rPr>
          <w:rFonts w:hint="eastAsia" w:eastAsia="宋体" w:cs="宋体"/>
          <w:b/>
          <w:color w:val="000000"/>
          <w:sz w:val="24"/>
          <w:szCs w:val="24"/>
          <w:highlight w:val="none"/>
        </w:rPr>
        <w:t xml:space="preserve">中小企业划型标准规定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各行业划型标准为：</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eastAsia="宋体" w:cs="宋体"/>
          <w:color w:val="000000"/>
          <w:sz w:val="24"/>
          <w:highlight w:val="none"/>
        </w:rPr>
      </w:r>
      <w:r/>
    </w:p>
    <w:p>
      <w:pPr>
        <w:pStyle w:val="1015"/>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cs="宋体"/>
          <w:color w:val="000000"/>
          <w:sz w:val="24"/>
          <w:highlight w:val="none"/>
        </w:rPr>
      </w:r>
      <w:r/>
    </w:p>
    <w:p>
      <w:pPr>
        <w:pStyle w:val="1015"/>
        <w:ind w:firstLine="480"/>
        <w:spacing w:line="360" w:lineRule="auto"/>
        <w:rPr>
          <w:rFonts w:hint="eastAsia" w:eastAsia="宋体" w:cs="宋体"/>
          <w:color w:val="000000"/>
          <w:sz w:val="24"/>
          <w:highlight w:val="none"/>
        </w:rPr>
      </w:pPr>
      <w:r>
        <w:rPr>
          <w:rFonts w:hint="eastAsia" w:eastAsia="宋体" w:cs="宋体"/>
          <w:color w:val="000000"/>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sectPr>
      <w:headerReference w:type="default" r:id="rId13"/>
      <w:headerReference w:type="first" r:id="rId14"/>
      <w:footerReference w:type="first" r:id="rId21"/>
      <w:footnotePr/>
      <w:endnotePr/>
      <w:type w:val="nextPage"/>
      <w:pgSz w:w="11905" w:h="16838" w:orient="portrait"/>
      <w:pgMar w:top="1417" w:right="1701" w:bottom="1587" w:left="1701"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TimesNewRomanPSMT">
    <w:panose1 w:val="02020603050405020304"/>
  </w:font>
  <w:font w:name="PingFangSC-Regular-Identity-H">
    <w:panose1 w:val="020B0503020202020204"/>
  </w:font>
  <w:font w:name="仿宋">
    <w:panose1 w:val="02010609060101010101"/>
  </w:font>
  <w:font w:name="等线">
    <w:panose1 w:val="02010600030101010101"/>
  </w:font>
  <w:font w:name="方正仿宋简体">
    <w:panose1 w:val="020B0503020202020204"/>
  </w:font>
  <w:font w:name="Tahoma">
    <w:panose1 w:val="020B0604030504040204"/>
  </w:font>
  <w:font w:name="Menlo">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创艺简仿宋">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tabs>
        <w:tab w:val="center" w:pos="4153" w:leader="none"/>
        <w:tab w:val="right" w:pos="8306" w:leader="none"/>
      </w:tabs>
      <w:rPr>
        <w:rStyle w:val="1248"/>
      </w:rPr>
      <w:framePr w:wrap="around" w:vAnchor="text" w:hAnchor="margin" w:xAlign="right" w:y="1"/>
    </w:pPr>
    <w:r>
      <w:fldChar w:fldCharType="begin"/>
    </w:r>
    <w:r>
      <w:rPr>
        <w:rStyle w:val="1248"/>
      </w:rPr>
      <w:instrText xml:space="preserve">PAGE  </w:instrText>
    </w:r>
    <w:r>
      <w:fldChar w:fldCharType="end"/>
    </w:r>
    <w:r>
      <w:rPr>
        <w:rStyle w:val="1248"/>
      </w:rPr>
    </w:r>
    <w:r/>
  </w:p>
  <w:p>
    <w:pPr>
      <w:pStyle w:val="1215"/>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1215"/>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81</w:t>
                          </w:r>
                          <w:r>
                            <w:fldChar w:fldCharType="end"/>
                          </w:r>
                          <w:r/>
                        </w:p>
                        <w:p>
                          <w:pPr>
                            <w:pStyle w:val="1015"/>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81</w:t>
                    </w:r>
                    <w:r>
                      <w:fldChar w:fldCharType="end"/>
                    </w:r>
                    <w:r/>
                  </w:p>
                  <w:p>
                    <w:pPr>
                      <w:pStyle w:val="101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t xml:space="preserve"> / </w:t>
                          </w:r>
                          <w:r>
                            <w:fldChar w:fldCharType="begin"/>
                          </w:r>
                          <w:r>
                            <w:instrText xml:space="preserve"> NUMPAGES  \* MERGEFORMAT </w:instrText>
                          </w:r>
                          <w:r>
                            <w:fldChar w:fldCharType="separate"/>
                          </w:r>
                          <w:r>
                            <w:t xml:space="preserve">81</w:t>
                          </w:r>
                          <w:r>
                            <w:fldChar w:fldCharType="end"/>
                          </w:r>
                          <w:r/>
                        </w:p>
                        <w:p>
                          <w:pPr>
                            <w:pStyle w:val="101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t xml:space="preserve"> / </w:t>
                    </w:r>
                    <w:r>
                      <w:fldChar w:fldCharType="begin"/>
                    </w:r>
                    <w:r>
                      <w:instrText xml:space="preserve"> NUMPAGES  \* MERGEFORMAT </w:instrText>
                    </w:r>
                    <w:r>
                      <w:fldChar w:fldCharType="separate"/>
                    </w:r>
                    <w:r>
                      <w:t xml:space="preserve">81</w:t>
                    </w:r>
                    <w:r>
                      <w:fldChar w:fldCharType="end"/>
                    </w:r>
                    <w:r/>
                  </w:p>
                  <w:p>
                    <w:pPr>
                      <w:pStyle w:val="101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2"/>
                            <w:tabs>
                              <w:tab w:val="clear" w:pos="7143" w:leader="none"/>
                              <w:tab w:val="clear" w:pos="14287" w:leader="none"/>
                            </w:tabs>
                          </w:pPr>
                          <w:r/>
                          <w:r/>
                        </w:p>
                        <w:p>
                          <w:pPr>
                            <w:pStyle w:val="101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2"/>
                      <w:tabs>
                        <w:tab w:val="clear" w:pos="7143" w:leader="none"/>
                        <w:tab w:val="clear" w:pos="14287" w:leader="none"/>
                      </w:tabs>
                    </w:pPr>
                    <w:r/>
                    <w:r/>
                  </w:p>
                  <w:p>
                    <w:pPr>
                      <w:pStyle w:val="1015"/>
                    </w:pPr>
                    <w:r/>
                    <w:r/>
                  </w:p>
                </w:txbxContent>
              </v:textbox>
            </v:shape>
          </w:pict>
        </mc:Fallback>
      </mc:AlternateContent>
    </w:r>
    <w:r/>
  </w:p>
  <w:p>
    <w:pPr>
      <w:pStyle w:val="1215"/>
      <w:ind w:firstLine="3420"/>
      <w:jc w:val="both"/>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rPr>
                              <w:rFonts w:eastAsia="楷体_GB2312"/>
                              <w:lang w:val="en-US" w:eastAsia="zh-CN"/>
                            </w:rPr>
                          </w:pPr>
                          <w:r>
                            <w:fldChar w:fldCharType="begin"/>
                          </w:r>
                          <w:r>
                            <w:instrText xml:space="preserve"> PAGE  \* MERGEFORMAT </w:instrText>
                          </w:r>
                          <w:r>
                            <w:fldChar w:fldCharType="separate"/>
                          </w:r>
                          <w:r>
                            <w:t xml:space="preserve">49</w:t>
                          </w:r>
                          <w:r>
                            <w:fldChar w:fldCharType="end"/>
                          </w:r>
                          <w:r>
                            <w:t xml:space="preserve"> / </w:t>
                          </w:r>
                          <w:r>
                            <w:rPr>
                              <w:rFonts w:hint="eastAsia"/>
                              <w:lang w:val="en-US" w:eastAsia="zh-CN"/>
                            </w:rPr>
                            <w:t xml:space="preserve">79</w:t>
                          </w:r>
                          <w:r>
                            <w:rPr>
                              <w:rFonts w:eastAsia="楷体_GB2312"/>
                              <w:lang w:val="en-US" w:eastAsia="zh-CN"/>
                            </w:rPr>
                          </w:r>
                          <w:r/>
                        </w:p>
                        <w:p>
                          <w:pPr>
                            <w:pStyle w:val="1015"/>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rPr>
                        <w:rFonts w:eastAsia="楷体_GB2312"/>
                        <w:lang w:val="en-US" w:eastAsia="zh-CN"/>
                      </w:rPr>
                    </w:pPr>
                    <w:r>
                      <w:fldChar w:fldCharType="begin"/>
                    </w:r>
                    <w:r>
                      <w:instrText xml:space="preserve"> PAGE  \* MERGEFORMAT </w:instrText>
                    </w:r>
                    <w:r>
                      <w:fldChar w:fldCharType="separate"/>
                    </w:r>
                    <w:r>
                      <w:t xml:space="preserve">49</w:t>
                    </w:r>
                    <w:r>
                      <w:fldChar w:fldCharType="end"/>
                    </w:r>
                    <w:r>
                      <w:t xml:space="preserve"> / </w:t>
                    </w:r>
                    <w:r>
                      <w:rPr>
                        <w:rFonts w:hint="eastAsia"/>
                        <w:lang w:val="en-US" w:eastAsia="zh-CN"/>
                      </w:rPr>
                      <w:t xml:space="preserve">79</w:t>
                    </w:r>
                    <w:r>
                      <w:rPr>
                        <w:rFonts w:eastAsia="楷体_GB2312"/>
                        <w:lang w:val="en-US" w:eastAsia="zh-CN"/>
                      </w:rPr>
                    </w:r>
                    <w:r/>
                  </w:p>
                  <w:p>
                    <w:pPr>
                      <w:pStyle w:val="1015"/>
                    </w:pPr>
                    <w:r/>
                    <w:r/>
                  </w:p>
                </w:txbxContent>
              </v:textbox>
            </v:shape>
          </w:pict>
        </mc:Fallback>
      </mc:AlternateContent>
    </w:r>
    <w:r/>
  </w:p>
  <w:p>
    <w:pPr>
      <w:pStyle w:val="1215"/>
      <w:ind w:firstLine="3420"/>
      <w:jc w:val="both"/>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ind w:right="1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101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84</w:t>
                          </w:r>
                          <w:r>
                            <w:rPr>
                              <w:sz w:val="18"/>
                            </w:rPr>
                            <w:fldChar w:fldCharType="end"/>
                          </w:r>
                          <w:r>
                            <w:rPr>
                              <w:rFonts w:hint="eastAsia"/>
                              <w:sz w:val="18"/>
                            </w:rPr>
                            <w:t xml:space="preserve"> 页</w:t>
                          </w:r>
                          <w:r>
                            <w:rPr>
                              <w:sz w:val="18"/>
                            </w:rPr>
                          </w:r>
                          <w:r/>
                        </w:p>
                        <w:p>
                          <w:pPr>
                            <w:pStyle w:val="1015"/>
                          </w:pPr>
                          <w:r/>
                          <w:r/>
                        </w:p>
                        <w:p>
                          <w:pPr>
                            <w:pStyle w:val="1015"/>
                          </w:pPr>
                          <w:r/>
                          <w:r/>
                        </w:p>
                        <w:p>
                          <w:pPr>
                            <w:pStyle w:val="1015"/>
                          </w:pPr>
                          <w:r/>
                          <w:r/>
                        </w:p>
                        <w:p>
                          <w:pPr>
                            <w:pStyle w:val="1015"/>
                          </w:pPr>
                          <w:r/>
                          <w:r/>
                        </w:p>
                        <w:p>
                          <w:pPr>
                            <w:pStyle w:val="1015"/>
                          </w:pPr>
                          <w:r/>
                          <w:r/>
                        </w:p>
                      </w:txbxContent>
                    </wps:txbx>
                    <wps:bodyPr wrap="square" lIns="0" tIns="0" rIns="0" bIns="0" upright="1"/>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101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84</w:t>
                    </w:r>
                    <w:r>
                      <w:rPr>
                        <w:sz w:val="18"/>
                      </w:rPr>
                      <w:fldChar w:fldCharType="end"/>
                    </w:r>
                    <w:r>
                      <w:rPr>
                        <w:rFonts w:hint="eastAsia"/>
                        <w:sz w:val="18"/>
                      </w:rPr>
                      <w:t xml:space="preserve"> 页</w:t>
                    </w:r>
                    <w:r>
                      <w:rPr>
                        <w:sz w:val="18"/>
                      </w:rPr>
                    </w:r>
                    <w:r/>
                  </w:p>
                  <w:p>
                    <w:pPr>
                      <w:pStyle w:val="1015"/>
                    </w:pPr>
                    <w:r/>
                    <w:r/>
                  </w:p>
                  <w:p>
                    <w:pPr>
                      <w:pStyle w:val="1015"/>
                    </w:pPr>
                    <w:r/>
                    <w:r/>
                  </w:p>
                  <w:p>
                    <w:pPr>
                      <w:pStyle w:val="1015"/>
                    </w:pPr>
                    <w:r/>
                    <w:r/>
                  </w:p>
                  <w:p>
                    <w:pPr>
                      <w:pStyle w:val="1015"/>
                    </w:pPr>
                    <w:r/>
                    <w:r/>
                  </w:p>
                  <w:p>
                    <w:pPr>
                      <w:pStyle w:val="10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15"/>
      </w:pPr>
      <w:rPr>
        <w:rFonts w:hint="eastAsia"/>
      </w:r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15"/>
        <w:ind w:left="432" w:hanging="432"/>
        <w:tabs>
          <w:tab w:val="num" w:pos="432" w:leader="none"/>
        </w:tabs>
      </w:pPr>
    </w:lvl>
    <w:lvl w:ilvl="1">
      <w:start w:val="1"/>
      <w:numFmt w:val="decimal"/>
      <w:isLgl w:val="false"/>
      <w:suff w:val="tab"/>
      <w:lvlText w:val="%1.%2"/>
      <w:lvlJc w:val="left"/>
      <w:pPr>
        <w:pStyle w:val="1015"/>
        <w:ind w:left="576" w:hanging="576"/>
        <w:tabs>
          <w:tab w:val="num" w:pos="576" w:leader="none"/>
        </w:tabs>
      </w:pPr>
    </w:lvl>
    <w:lvl w:ilvl="2">
      <w:start w:val="1"/>
      <w:numFmt w:val="decimal"/>
      <w:isLgl w:val="false"/>
      <w:suff w:val="tab"/>
      <w:lvlText w:val="%1.%2.%3"/>
      <w:lvlJc w:val="left"/>
      <w:pPr>
        <w:pStyle w:val="1015"/>
        <w:ind w:left="720" w:hanging="720"/>
        <w:tabs>
          <w:tab w:val="num" w:pos="720" w:leader="none"/>
        </w:tabs>
      </w:pPr>
    </w:lvl>
    <w:lvl w:ilvl="3">
      <w:start w:val="1"/>
      <w:numFmt w:val="decimal"/>
      <w:isLgl w:val="false"/>
      <w:suff w:val="tab"/>
      <w:lvlText w:val="%1.%2.%3.%4"/>
      <w:lvlJc w:val="left"/>
      <w:pPr>
        <w:pStyle w:val="1015"/>
        <w:ind w:left="864" w:hanging="864"/>
        <w:tabs>
          <w:tab w:val="num" w:pos="864" w:leader="none"/>
        </w:tabs>
      </w:pPr>
    </w:lvl>
    <w:lvl w:ilvl="4">
      <w:start w:val="1"/>
      <w:numFmt w:val="decimal"/>
      <w:pStyle w:val="1178"/>
      <w:isLgl w:val="false"/>
      <w:suff w:val="tab"/>
      <w:lvlText w:val="%1.%2.%3.%4.%5"/>
      <w:lvlJc w:val="left"/>
      <w:pPr>
        <w:pStyle w:val="1015"/>
        <w:ind w:left="1008" w:hanging="1008"/>
        <w:tabs>
          <w:tab w:val="num" w:pos="1008" w:leader="none"/>
        </w:tabs>
      </w:pPr>
    </w:lvl>
    <w:lvl w:ilvl="5">
      <w:start w:val="1"/>
      <w:numFmt w:val="decimal"/>
      <w:pStyle w:val="1181"/>
      <w:isLgl w:val="false"/>
      <w:suff w:val="tab"/>
      <w:lvlText w:val="%1.%2.%3.%4.%5.%6"/>
      <w:lvlJc w:val="left"/>
      <w:pPr>
        <w:pStyle w:val="1015"/>
        <w:ind w:left="1152" w:hanging="1152"/>
        <w:tabs>
          <w:tab w:val="num" w:pos="1152" w:leader="none"/>
        </w:tabs>
      </w:pPr>
    </w:lvl>
    <w:lvl w:ilvl="6">
      <w:start w:val="1"/>
      <w:numFmt w:val="decimal"/>
      <w:pStyle w:val="1182"/>
      <w:isLgl w:val="false"/>
      <w:suff w:val="tab"/>
      <w:lvlText w:val="%1.%2.%3.%4.%5.%6.%7"/>
      <w:lvlJc w:val="left"/>
      <w:pPr>
        <w:pStyle w:val="1015"/>
        <w:ind w:left="1296" w:hanging="1296"/>
        <w:tabs>
          <w:tab w:val="num" w:pos="1296" w:leader="none"/>
        </w:tabs>
      </w:pPr>
    </w:lvl>
    <w:lvl w:ilvl="7">
      <w:start w:val="1"/>
      <w:numFmt w:val="decimal"/>
      <w:pStyle w:val="1183"/>
      <w:isLgl w:val="false"/>
      <w:suff w:val="tab"/>
      <w:lvlText w:val="%1.%2.%3.%4.%5.%6.%7.%8"/>
      <w:lvlJc w:val="left"/>
      <w:pPr>
        <w:pStyle w:val="1015"/>
        <w:ind w:left="1440" w:hanging="1440"/>
        <w:tabs>
          <w:tab w:val="num" w:pos="1440" w:leader="none"/>
        </w:tabs>
      </w:pPr>
    </w:lvl>
    <w:lvl w:ilvl="8">
      <w:start w:val="1"/>
      <w:numFmt w:val="decimal"/>
      <w:pStyle w:val="1184"/>
      <w:isLgl w:val="false"/>
      <w:suff w:val="tab"/>
      <w:lvlText w:val="%1.%2.%3.%4.%5.%6.%7.%8.%9"/>
      <w:lvlJc w:val="left"/>
      <w:pPr>
        <w:pStyle w:val="1015"/>
        <w:ind w:left="1584" w:hanging="1584"/>
        <w:tabs>
          <w:tab w:val="num" w:pos="1584" w:leader="none"/>
        </w:tabs>
      </w:pPr>
    </w:lvl>
  </w:abstractNum>
  <w:abstractNum w:abstractNumId="3">
    <w:multiLevelType w:val="hybridMultilevel"/>
    <w:lvl w:ilvl="0">
      <w:start w:val="1"/>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15"/>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5">
    <w:multiLevelType w:val="hybridMultilevel"/>
    <w:lvl w:ilvl="0">
      <w:start w:val="8"/>
      <w:numFmt w:val="chineseCounting"/>
      <w:isLgl w:val="false"/>
      <w:suff w:val="nothing"/>
      <w:lvlText w:val="%1、"/>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5">
    <w:name w:val="Heading 1"/>
    <w:basedOn w:val="1015"/>
    <w:next w:val="1015"/>
    <w:link w:val="1273"/>
    <w:uiPriority w:val="9"/>
    <w:qFormat/>
    <w:pPr>
      <w:keepLines/>
      <w:keepNext/>
      <w:spacing w:before="480" w:after="200"/>
      <w:outlineLvl w:val="0"/>
    </w:pPr>
    <w:rPr>
      <w:rFonts w:ascii="Arial" w:hAnsi="Arial" w:eastAsia="Arial" w:cs="Arial"/>
      <w:sz w:val="40"/>
      <w:szCs w:val="40"/>
    </w:rPr>
  </w:style>
  <w:style w:type="paragraph" w:styleId="986">
    <w:name w:val="Heading 2"/>
    <w:basedOn w:val="1015"/>
    <w:next w:val="1015"/>
    <w:link w:val="1275"/>
    <w:uiPriority w:val="9"/>
    <w:unhideWhenUsed/>
    <w:qFormat/>
    <w:pPr>
      <w:keepLines/>
      <w:keepNext/>
      <w:spacing w:before="360" w:after="200"/>
      <w:outlineLvl w:val="1"/>
    </w:pPr>
    <w:rPr>
      <w:rFonts w:ascii="Arial" w:hAnsi="Arial" w:eastAsia="Arial" w:cs="Arial"/>
      <w:sz w:val="34"/>
    </w:rPr>
  </w:style>
  <w:style w:type="paragraph" w:styleId="987">
    <w:name w:val="Heading 3"/>
    <w:basedOn w:val="1015"/>
    <w:next w:val="1015"/>
    <w:link w:val="1277"/>
    <w:uiPriority w:val="9"/>
    <w:unhideWhenUsed/>
    <w:qFormat/>
    <w:pPr>
      <w:keepLines/>
      <w:keepNext/>
      <w:spacing w:before="320" w:after="200"/>
      <w:outlineLvl w:val="2"/>
    </w:pPr>
    <w:rPr>
      <w:rFonts w:ascii="Arial" w:hAnsi="Arial" w:eastAsia="Arial" w:cs="Arial"/>
      <w:sz w:val="30"/>
      <w:szCs w:val="30"/>
    </w:rPr>
  </w:style>
  <w:style w:type="paragraph" w:styleId="988">
    <w:name w:val="Heading 4"/>
    <w:basedOn w:val="1015"/>
    <w:next w:val="1015"/>
    <w:link w:val="1279"/>
    <w:uiPriority w:val="9"/>
    <w:unhideWhenUsed/>
    <w:qFormat/>
    <w:pPr>
      <w:keepLines/>
      <w:keepNext/>
      <w:spacing w:before="320" w:after="200"/>
      <w:outlineLvl w:val="3"/>
    </w:pPr>
    <w:rPr>
      <w:rFonts w:ascii="Arial" w:hAnsi="Arial" w:eastAsia="Arial" w:cs="Arial"/>
      <w:b/>
      <w:bCs/>
      <w:sz w:val="26"/>
      <w:szCs w:val="26"/>
    </w:rPr>
  </w:style>
  <w:style w:type="paragraph" w:styleId="989">
    <w:name w:val="Heading 5"/>
    <w:basedOn w:val="1015"/>
    <w:next w:val="1015"/>
    <w:link w:val="1281"/>
    <w:uiPriority w:val="9"/>
    <w:unhideWhenUsed/>
    <w:qFormat/>
    <w:pPr>
      <w:keepLines/>
      <w:keepNext/>
      <w:spacing w:before="320" w:after="200"/>
      <w:outlineLvl w:val="4"/>
    </w:pPr>
    <w:rPr>
      <w:rFonts w:ascii="Arial" w:hAnsi="Arial" w:eastAsia="Arial" w:cs="Arial"/>
      <w:b/>
      <w:bCs/>
      <w:sz w:val="24"/>
      <w:szCs w:val="24"/>
    </w:rPr>
  </w:style>
  <w:style w:type="paragraph" w:styleId="990">
    <w:name w:val="Heading 6"/>
    <w:basedOn w:val="1015"/>
    <w:next w:val="1015"/>
    <w:link w:val="1283"/>
    <w:uiPriority w:val="9"/>
    <w:unhideWhenUsed/>
    <w:qFormat/>
    <w:pPr>
      <w:keepLines/>
      <w:keepNext/>
      <w:spacing w:before="320" w:after="200"/>
      <w:outlineLvl w:val="5"/>
    </w:pPr>
    <w:rPr>
      <w:rFonts w:ascii="Arial" w:hAnsi="Arial" w:eastAsia="Arial" w:cs="Arial"/>
      <w:b/>
      <w:bCs/>
      <w:sz w:val="22"/>
      <w:szCs w:val="22"/>
    </w:rPr>
  </w:style>
  <w:style w:type="paragraph" w:styleId="991">
    <w:name w:val="Heading 7"/>
    <w:basedOn w:val="1015"/>
    <w:next w:val="1015"/>
    <w:link w:val="1285"/>
    <w:uiPriority w:val="9"/>
    <w:unhideWhenUsed/>
    <w:qFormat/>
    <w:pPr>
      <w:keepLines/>
      <w:keepNext/>
      <w:spacing w:before="320" w:after="200"/>
      <w:outlineLvl w:val="6"/>
    </w:pPr>
    <w:rPr>
      <w:rFonts w:ascii="Arial" w:hAnsi="Arial" w:eastAsia="Arial" w:cs="Arial"/>
      <w:b/>
      <w:bCs/>
      <w:i/>
      <w:iCs/>
      <w:sz w:val="22"/>
      <w:szCs w:val="22"/>
    </w:rPr>
  </w:style>
  <w:style w:type="paragraph" w:styleId="992">
    <w:name w:val="Heading 8"/>
    <w:basedOn w:val="1015"/>
    <w:next w:val="1015"/>
    <w:link w:val="1287"/>
    <w:uiPriority w:val="9"/>
    <w:unhideWhenUsed/>
    <w:qFormat/>
    <w:pPr>
      <w:keepLines/>
      <w:keepNext/>
      <w:spacing w:before="320" w:after="200"/>
      <w:outlineLvl w:val="7"/>
    </w:pPr>
    <w:rPr>
      <w:rFonts w:ascii="Arial" w:hAnsi="Arial" w:eastAsia="Arial" w:cs="Arial"/>
      <w:i/>
      <w:iCs/>
      <w:sz w:val="22"/>
      <w:szCs w:val="22"/>
    </w:rPr>
  </w:style>
  <w:style w:type="paragraph" w:styleId="993">
    <w:name w:val="Heading 9"/>
    <w:basedOn w:val="1015"/>
    <w:next w:val="1015"/>
    <w:link w:val="1289"/>
    <w:uiPriority w:val="9"/>
    <w:unhideWhenUsed/>
    <w:qFormat/>
    <w:pPr>
      <w:keepLines/>
      <w:keepNext/>
      <w:spacing w:before="320" w:after="200"/>
      <w:outlineLvl w:val="8"/>
    </w:pPr>
    <w:rPr>
      <w:rFonts w:ascii="Arial" w:hAnsi="Arial" w:eastAsia="Arial" w:cs="Arial"/>
      <w:i/>
      <w:iCs/>
      <w:sz w:val="21"/>
      <w:szCs w:val="21"/>
    </w:rPr>
  </w:style>
  <w:style w:type="paragraph" w:styleId="994">
    <w:name w:val="Title"/>
    <w:basedOn w:val="1015"/>
    <w:next w:val="1015"/>
    <w:link w:val="1262"/>
    <w:uiPriority w:val="10"/>
    <w:qFormat/>
    <w:pPr>
      <w:contextualSpacing/>
      <w:spacing w:before="300" w:after="200"/>
    </w:pPr>
    <w:rPr>
      <w:sz w:val="48"/>
      <w:szCs w:val="48"/>
    </w:rPr>
  </w:style>
  <w:style w:type="paragraph" w:styleId="995">
    <w:name w:val="Subtitle"/>
    <w:basedOn w:val="1015"/>
    <w:next w:val="1015"/>
    <w:link w:val="1263"/>
    <w:uiPriority w:val="11"/>
    <w:qFormat/>
    <w:pPr>
      <w:spacing w:before="200" w:after="200"/>
    </w:pPr>
    <w:rPr>
      <w:sz w:val="24"/>
      <w:szCs w:val="24"/>
    </w:rPr>
  </w:style>
  <w:style w:type="paragraph" w:styleId="996">
    <w:name w:val="Header"/>
    <w:basedOn w:val="1015"/>
    <w:link w:val="1298"/>
    <w:uiPriority w:val="99"/>
    <w:unhideWhenUsed/>
    <w:pPr>
      <w:spacing w:after="0" w:line="240" w:lineRule="auto"/>
      <w:tabs>
        <w:tab w:val="center" w:pos="7143" w:leader="none"/>
        <w:tab w:val="right" w:pos="14287" w:leader="none"/>
      </w:tabs>
    </w:pPr>
  </w:style>
  <w:style w:type="paragraph" w:styleId="997">
    <w:name w:val="Footer"/>
    <w:basedOn w:val="1015"/>
    <w:link w:val="1300"/>
    <w:uiPriority w:val="99"/>
    <w:unhideWhenUsed/>
    <w:pPr>
      <w:spacing w:after="0" w:line="240" w:lineRule="auto"/>
      <w:tabs>
        <w:tab w:val="center" w:pos="7143" w:leader="none"/>
        <w:tab w:val="right" w:pos="14287" w:leader="none"/>
      </w:tabs>
    </w:pPr>
  </w:style>
  <w:style w:type="paragraph" w:styleId="998">
    <w:name w:val="Caption"/>
    <w:basedOn w:val="1015"/>
    <w:next w:val="1015"/>
    <w:uiPriority w:val="35"/>
    <w:semiHidden/>
    <w:unhideWhenUsed/>
    <w:qFormat/>
    <w:pPr>
      <w:spacing w:line="276" w:lineRule="auto"/>
    </w:pPr>
    <w:rPr>
      <w:b/>
      <w:bCs/>
      <w:color w:val="4f81bd" w:themeColor="accent1"/>
      <w:sz w:val="18"/>
      <w:szCs w:val="18"/>
    </w:rPr>
  </w:style>
  <w:style w:type="table" w:styleId="9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Hyperlink"/>
    <w:uiPriority w:val="99"/>
    <w:unhideWhenUsed/>
    <w:rPr>
      <w:color w:val="0000ff" w:themeColor="hyperlink"/>
      <w:u w:val="single"/>
    </w:rPr>
  </w:style>
  <w:style w:type="paragraph" w:styleId="1001">
    <w:name w:val="footnote text"/>
    <w:basedOn w:val="1015"/>
    <w:link w:val="1266"/>
    <w:uiPriority w:val="99"/>
    <w:semiHidden/>
    <w:unhideWhenUsed/>
    <w:pPr>
      <w:spacing w:after="40" w:line="240" w:lineRule="auto"/>
    </w:pPr>
    <w:rPr>
      <w:sz w:val="18"/>
    </w:rPr>
  </w:style>
  <w:style w:type="character" w:styleId="1002">
    <w:name w:val="footnote reference"/>
    <w:uiPriority w:val="99"/>
    <w:unhideWhenUsed/>
    <w:rPr>
      <w:vertAlign w:val="superscript"/>
    </w:rPr>
  </w:style>
  <w:style w:type="paragraph" w:styleId="1003">
    <w:name w:val="endnote text"/>
    <w:basedOn w:val="1015"/>
    <w:link w:val="1267"/>
    <w:uiPriority w:val="99"/>
    <w:semiHidden/>
    <w:unhideWhenUsed/>
    <w:pPr>
      <w:spacing w:after="0" w:line="240" w:lineRule="auto"/>
    </w:pPr>
    <w:rPr>
      <w:sz w:val="20"/>
    </w:rPr>
  </w:style>
  <w:style w:type="character" w:styleId="1004">
    <w:name w:val="endnote reference"/>
    <w:uiPriority w:val="99"/>
    <w:semiHidden/>
    <w:unhideWhenUsed/>
    <w:rPr>
      <w:vertAlign w:val="superscript"/>
    </w:rPr>
  </w:style>
  <w:style w:type="paragraph" w:styleId="1005">
    <w:name w:val="toc 1"/>
    <w:basedOn w:val="1015"/>
    <w:next w:val="1015"/>
    <w:uiPriority w:val="39"/>
    <w:unhideWhenUsed/>
    <w:pPr>
      <w:ind w:left="0" w:right="0" w:firstLine="0"/>
      <w:spacing w:after="57"/>
    </w:pPr>
  </w:style>
  <w:style w:type="paragraph" w:styleId="1006">
    <w:name w:val="toc 2"/>
    <w:basedOn w:val="1015"/>
    <w:next w:val="1015"/>
    <w:uiPriority w:val="39"/>
    <w:unhideWhenUsed/>
    <w:pPr>
      <w:ind w:left="283" w:right="0" w:firstLine="0"/>
      <w:spacing w:after="57"/>
    </w:pPr>
  </w:style>
  <w:style w:type="paragraph" w:styleId="1007">
    <w:name w:val="toc 3"/>
    <w:basedOn w:val="1015"/>
    <w:next w:val="1015"/>
    <w:uiPriority w:val="39"/>
    <w:unhideWhenUsed/>
    <w:pPr>
      <w:ind w:left="567" w:right="0" w:firstLine="0"/>
      <w:spacing w:after="57"/>
    </w:pPr>
  </w:style>
  <w:style w:type="paragraph" w:styleId="1008">
    <w:name w:val="toc 4"/>
    <w:basedOn w:val="1015"/>
    <w:next w:val="1015"/>
    <w:uiPriority w:val="39"/>
    <w:unhideWhenUsed/>
    <w:pPr>
      <w:ind w:left="850" w:right="0" w:firstLine="0"/>
      <w:spacing w:after="57"/>
    </w:pPr>
  </w:style>
  <w:style w:type="paragraph" w:styleId="1009">
    <w:name w:val="toc 5"/>
    <w:basedOn w:val="1015"/>
    <w:next w:val="1015"/>
    <w:uiPriority w:val="39"/>
    <w:unhideWhenUsed/>
    <w:pPr>
      <w:ind w:left="1134" w:right="0" w:firstLine="0"/>
      <w:spacing w:after="57"/>
    </w:pPr>
  </w:style>
  <w:style w:type="paragraph" w:styleId="1010">
    <w:name w:val="toc 6"/>
    <w:basedOn w:val="1015"/>
    <w:next w:val="1015"/>
    <w:uiPriority w:val="39"/>
    <w:unhideWhenUsed/>
    <w:pPr>
      <w:ind w:left="1417" w:right="0" w:firstLine="0"/>
      <w:spacing w:after="57"/>
    </w:pPr>
  </w:style>
  <w:style w:type="paragraph" w:styleId="1011">
    <w:name w:val="toc 7"/>
    <w:basedOn w:val="1015"/>
    <w:next w:val="1015"/>
    <w:uiPriority w:val="39"/>
    <w:unhideWhenUsed/>
    <w:pPr>
      <w:ind w:left="1701" w:right="0" w:firstLine="0"/>
      <w:spacing w:after="57"/>
    </w:pPr>
  </w:style>
  <w:style w:type="paragraph" w:styleId="1012">
    <w:name w:val="toc 8"/>
    <w:basedOn w:val="1015"/>
    <w:next w:val="1015"/>
    <w:uiPriority w:val="39"/>
    <w:unhideWhenUsed/>
    <w:pPr>
      <w:ind w:left="1984" w:right="0" w:firstLine="0"/>
      <w:spacing w:after="57"/>
    </w:pPr>
  </w:style>
  <w:style w:type="paragraph" w:styleId="1013">
    <w:name w:val="toc 9"/>
    <w:basedOn w:val="1015"/>
    <w:next w:val="1015"/>
    <w:uiPriority w:val="39"/>
    <w:unhideWhenUsed/>
    <w:pPr>
      <w:ind w:left="2268" w:right="0" w:firstLine="0"/>
      <w:spacing w:after="57"/>
    </w:pPr>
  </w:style>
  <w:style w:type="paragraph" w:styleId="1014">
    <w:name w:val="table of figures"/>
    <w:basedOn w:val="1015"/>
    <w:next w:val="1015"/>
    <w:uiPriority w:val="99"/>
    <w:unhideWhenUsed/>
    <w:pPr>
      <w:spacing w:after="0" w:afterAutospacing="0"/>
    </w:pPr>
  </w:style>
  <w:style w:type="paragraph" w:styleId="1015" w:default="1">
    <w:name w:val="Normal"/>
    <w:next w:val="1028"/>
    <w:link w:val="1027"/>
    <w:qFormat/>
    <w:pPr>
      <w:jc w:val="both"/>
      <w:widowControl w:val="off"/>
    </w:pPr>
    <w:rPr>
      <w:rFonts w:ascii="Times New Roman" w:hAnsi="Times New Roman" w:eastAsia="楷体_GB2312" w:cs="Times New Roman"/>
      <w:sz w:val="26"/>
      <w:lang w:val="en-US" w:eastAsia="zh-CN" w:bidi="ar-SA"/>
    </w:rPr>
  </w:style>
  <w:style w:type="paragraph" w:styleId="1016">
    <w:name w:val="标题 1"/>
    <w:basedOn w:val="1015"/>
    <w:next w:val="1015"/>
    <w:link w:val="1015"/>
    <w:uiPriority w:val="9"/>
    <w:qFormat/>
    <w:pPr>
      <w:keepLines/>
      <w:keepNext/>
      <w:spacing w:before="480" w:after="200"/>
      <w:outlineLvl w:val="0"/>
    </w:pPr>
    <w:rPr>
      <w:rFonts w:ascii="Arial" w:hAnsi="Arial" w:eastAsia="Arial" w:cs="Arial"/>
      <w:sz w:val="40"/>
      <w:szCs w:val="40"/>
    </w:rPr>
  </w:style>
  <w:style w:type="paragraph" w:styleId="1017">
    <w:name w:val="标题 2"/>
    <w:basedOn w:val="1015"/>
    <w:next w:val="1015"/>
    <w:link w:val="1015"/>
    <w:uiPriority w:val="9"/>
    <w:unhideWhenUsed/>
    <w:qFormat/>
    <w:pPr>
      <w:keepLines/>
      <w:keepNext/>
      <w:spacing w:before="360" w:after="200"/>
      <w:outlineLvl w:val="1"/>
    </w:pPr>
    <w:rPr>
      <w:rFonts w:ascii="Arial" w:hAnsi="Arial" w:eastAsia="Arial" w:cs="Arial"/>
      <w:sz w:val="34"/>
    </w:rPr>
  </w:style>
  <w:style w:type="paragraph" w:styleId="1018">
    <w:name w:val="标题 3"/>
    <w:basedOn w:val="1015"/>
    <w:next w:val="1015"/>
    <w:link w:val="1015"/>
    <w:uiPriority w:val="9"/>
    <w:unhideWhenUsed/>
    <w:qFormat/>
    <w:pPr>
      <w:keepLines/>
      <w:keepNext/>
      <w:spacing w:before="320" w:after="200"/>
      <w:outlineLvl w:val="2"/>
    </w:pPr>
    <w:rPr>
      <w:rFonts w:ascii="Arial" w:hAnsi="Arial" w:eastAsia="Arial" w:cs="Arial"/>
      <w:sz w:val="30"/>
      <w:szCs w:val="30"/>
    </w:rPr>
  </w:style>
  <w:style w:type="paragraph" w:styleId="1019">
    <w:name w:val="标题 4"/>
    <w:basedOn w:val="1015"/>
    <w:next w:val="1015"/>
    <w:link w:val="1015"/>
    <w:uiPriority w:val="9"/>
    <w:unhideWhenUsed/>
    <w:qFormat/>
    <w:pPr>
      <w:keepLines/>
      <w:keepNext/>
      <w:spacing w:before="320" w:after="200"/>
      <w:outlineLvl w:val="3"/>
    </w:pPr>
    <w:rPr>
      <w:rFonts w:ascii="Arial" w:hAnsi="Arial" w:eastAsia="Arial" w:cs="Arial"/>
      <w:b/>
      <w:bCs/>
      <w:sz w:val="26"/>
      <w:szCs w:val="26"/>
    </w:rPr>
  </w:style>
  <w:style w:type="paragraph" w:styleId="1020">
    <w:name w:val="标题 5"/>
    <w:basedOn w:val="1015"/>
    <w:next w:val="1015"/>
    <w:link w:val="1015"/>
    <w:uiPriority w:val="9"/>
    <w:unhideWhenUsed/>
    <w:qFormat/>
    <w:pPr>
      <w:keepLines/>
      <w:keepNext/>
      <w:spacing w:before="320" w:after="200"/>
      <w:outlineLvl w:val="4"/>
    </w:pPr>
    <w:rPr>
      <w:rFonts w:ascii="Arial" w:hAnsi="Arial" w:eastAsia="Arial" w:cs="Arial"/>
      <w:b/>
      <w:bCs/>
      <w:sz w:val="24"/>
      <w:szCs w:val="24"/>
    </w:rPr>
  </w:style>
  <w:style w:type="paragraph" w:styleId="1021">
    <w:name w:val="标题 6"/>
    <w:basedOn w:val="1015"/>
    <w:next w:val="1015"/>
    <w:link w:val="1015"/>
    <w:uiPriority w:val="9"/>
    <w:unhideWhenUsed/>
    <w:qFormat/>
    <w:pPr>
      <w:keepLines/>
      <w:keepNext/>
      <w:spacing w:before="320" w:after="200"/>
      <w:outlineLvl w:val="5"/>
    </w:pPr>
    <w:rPr>
      <w:rFonts w:ascii="Arial" w:hAnsi="Arial" w:eastAsia="Arial" w:cs="Arial"/>
      <w:b/>
      <w:bCs/>
      <w:sz w:val="22"/>
      <w:szCs w:val="22"/>
    </w:rPr>
  </w:style>
  <w:style w:type="paragraph" w:styleId="1022">
    <w:name w:val="标题 7"/>
    <w:basedOn w:val="1015"/>
    <w:next w:val="1015"/>
    <w:link w:val="1015"/>
    <w:uiPriority w:val="9"/>
    <w:unhideWhenUsed/>
    <w:qFormat/>
    <w:pPr>
      <w:keepLines/>
      <w:keepNext/>
      <w:spacing w:before="320" w:after="200"/>
      <w:outlineLvl w:val="6"/>
    </w:pPr>
    <w:rPr>
      <w:rFonts w:ascii="Arial" w:hAnsi="Arial" w:eastAsia="Arial" w:cs="Arial"/>
      <w:b/>
      <w:bCs/>
      <w:i/>
      <w:iCs/>
      <w:sz w:val="22"/>
      <w:szCs w:val="22"/>
    </w:rPr>
  </w:style>
  <w:style w:type="paragraph" w:styleId="1023">
    <w:name w:val="标题 8"/>
    <w:basedOn w:val="1015"/>
    <w:next w:val="1015"/>
    <w:link w:val="1015"/>
    <w:uiPriority w:val="9"/>
    <w:unhideWhenUsed/>
    <w:qFormat/>
    <w:pPr>
      <w:keepLines/>
      <w:keepNext/>
      <w:spacing w:before="320" w:after="200"/>
      <w:outlineLvl w:val="7"/>
    </w:pPr>
    <w:rPr>
      <w:rFonts w:ascii="Arial" w:hAnsi="Arial" w:eastAsia="Arial" w:cs="Arial"/>
      <w:i/>
      <w:iCs/>
      <w:sz w:val="22"/>
      <w:szCs w:val="22"/>
    </w:rPr>
  </w:style>
  <w:style w:type="paragraph" w:styleId="1024">
    <w:name w:val="标题 9"/>
    <w:basedOn w:val="1015"/>
    <w:next w:val="1015"/>
    <w:link w:val="1015"/>
    <w:uiPriority w:val="9"/>
    <w:unhideWhenUsed/>
    <w:qFormat/>
    <w:pPr>
      <w:keepLines/>
      <w:keepNext/>
      <w:spacing w:before="320" w:after="200"/>
      <w:outlineLvl w:val="8"/>
    </w:pPr>
    <w:rPr>
      <w:rFonts w:ascii="Arial" w:hAnsi="Arial" w:eastAsia="Arial" w:cs="Arial"/>
      <w:i/>
      <w:iCs/>
      <w:sz w:val="21"/>
      <w:szCs w:val="21"/>
    </w:rPr>
  </w:style>
  <w:style w:type="character" w:styleId="1025">
    <w:name w:val="默认段落字体"/>
    <w:next w:val="1025"/>
    <w:link w:val="1015"/>
    <w:uiPriority w:val="1"/>
    <w:unhideWhenUsed/>
    <w:qFormat/>
  </w:style>
  <w:style w:type="table" w:styleId="1026">
    <w:name w:val="普通表格"/>
    <w:next w:val="1026"/>
    <w:link w:val="1015"/>
    <w:uiPriority w:val="99"/>
    <w:unhideWhenUsed/>
    <w:qFormat/>
    <w:tblPr/>
  </w:style>
  <w:style w:type="character" w:styleId="1027">
    <w:name w:val="页眉 字符"/>
    <w:next w:val="1027"/>
    <w:link w:val="1015"/>
    <w:uiPriority w:val="99"/>
    <w:qFormat/>
    <w:rPr>
      <w:rFonts w:eastAsia="楷体_GB2312"/>
      <w:sz w:val="18"/>
    </w:rPr>
  </w:style>
  <w:style w:type="paragraph" w:styleId="1028">
    <w:name w:val="文本块1"/>
    <w:basedOn w:val="1015"/>
    <w:next w:val="1028"/>
    <w:link w:val="1015"/>
    <w:uiPriority w:val="99"/>
    <w:unhideWhenUsed/>
    <w:qFormat/>
    <w:pPr>
      <w:ind w:left="1440" w:right="700"/>
      <w:spacing w:after="120"/>
    </w:pPr>
  </w:style>
  <w:style w:type="paragraph" w:styleId="1029">
    <w:name w:val="目录 7"/>
    <w:basedOn w:val="1015"/>
    <w:next w:val="1015"/>
    <w:link w:val="1015"/>
    <w:uiPriority w:val="39"/>
    <w:unhideWhenUsed/>
    <w:qFormat/>
    <w:pPr>
      <w:ind w:left="1701" w:right="0" w:firstLine="0"/>
      <w:spacing w:after="57"/>
    </w:pPr>
  </w:style>
  <w:style w:type="paragraph" w:styleId="1030">
    <w:name w:val="题注"/>
    <w:basedOn w:val="1015"/>
    <w:next w:val="1015"/>
    <w:link w:val="1015"/>
    <w:uiPriority w:val="35"/>
    <w:unhideWhenUsed/>
    <w:qFormat/>
    <w:pPr>
      <w:spacing w:line="276" w:lineRule="auto"/>
    </w:pPr>
    <w:rPr>
      <w:b/>
      <w:bCs/>
      <w:color w:val="4f81bd"/>
      <w:sz w:val="18"/>
      <w:szCs w:val="18"/>
    </w:rPr>
  </w:style>
  <w:style w:type="paragraph" w:styleId="1031">
    <w:name w:val="批注文字"/>
    <w:basedOn w:val="1015"/>
    <w:next w:val="1031"/>
    <w:link w:val="1015"/>
    <w:uiPriority w:val="99"/>
    <w:unhideWhenUsed/>
    <w:qFormat/>
    <w:pPr>
      <w:jc w:val="left"/>
    </w:pPr>
  </w:style>
  <w:style w:type="paragraph" w:styleId="1032">
    <w:name w:val="正文文本"/>
    <w:basedOn w:val="1015"/>
    <w:next w:val="1032"/>
    <w:link w:val="1015"/>
    <w:qFormat/>
    <w:rPr>
      <w:rFonts w:ascii="楷体_GB2312" w:hAnsi="Arial" w:eastAsia="楷体_GB2312" w:cs="Times New Roman"/>
      <w:sz w:val="28"/>
      <w:szCs w:val="28"/>
    </w:rPr>
  </w:style>
  <w:style w:type="paragraph" w:styleId="1033">
    <w:name w:val="目录 5"/>
    <w:basedOn w:val="1015"/>
    <w:next w:val="1015"/>
    <w:link w:val="1015"/>
    <w:uiPriority w:val="39"/>
    <w:unhideWhenUsed/>
    <w:qFormat/>
    <w:pPr>
      <w:ind w:left="1134" w:right="0" w:firstLine="0"/>
      <w:spacing w:after="57"/>
    </w:pPr>
  </w:style>
  <w:style w:type="paragraph" w:styleId="1034">
    <w:name w:val="目录 3"/>
    <w:basedOn w:val="1015"/>
    <w:next w:val="1015"/>
    <w:link w:val="1015"/>
    <w:uiPriority w:val="39"/>
    <w:unhideWhenUsed/>
    <w:qFormat/>
    <w:pPr>
      <w:ind w:left="567" w:right="0" w:firstLine="0"/>
      <w:spacing w:after="57"/>
    </w:pPr>
  </w:style>
  <w:style w:type="paragraph" w:styleId="1035">
    <w:name w:val="目录 8"/>
    <w:basedOn w:val="1015"/>
    <w:next w:val="1015"/>
    <w:link w:val="1015"/>
    <w:uiPriority w:val="39"/>
    <w:unhideWhenUsed/>
    <w:qFormat/>
    <w:pPr>
      <w:ind w:left="1984" w:right="0" w:firstLine="0"/>
      <w:spacing w:after="57"/>
    </w:pPr>
  </w:style>
  <w:style w:type="paragraph" w:styleId="1036">
    <w:name w:val="尾注文本"/>
    <w:basedOn w:val="1015"/>
    <w:next w:val="1036"/>
    <w:link w:val="1015"/>
    <w:uiPriority w:val="99"/>
    <w:unhideWhenUsed/>
    <w:qFormat/>
    <w:pPr>
      <w:spacing w:after="0" w:line="240" w:lineRule="auto"/>
    </w:pPr>
    <w:rPr>
      <w:sz w:val="20"/>
    </w:rPr>
  </w:style>
  <w:style w:type="paragraph" w:styleId="1037">
    <w:name w:val="页脚"/>
    <w:basedOn w:val="1015"/>
    <w:next w:val="1037"/>
    <w:link w:val="1015"/>
    <w:uiPriority w:val="99"/>
    <w:unhideWhenUsed/>
    <w:qFormat/>
    <w:pPr>
      <w:spacing w:after="0" w:line="240" w:lineRule="auto"/>
      <w:tabs>
        <w:tab w:val="center" w:pos="7143" w:leader="none"/>
        <w:tab w:val="right" w:pos="14287" w:leader="none"/>
      </w:tabs>
    </w:pPr>
  </w:style>
  <w:style w:type="paragraph" w:styleId="1038">
    <w:name w:val="页眉"/>
    <w:basedOn w:val="1015"/>
    <w:next w:val="1038"/>
    <w:link w:val="1015"/>
    <w:uiPriority w:val="99"/>
    <w:unhideWhenUsed/>
    <w:qFormat/>
    <w:pPr>
      <w:spacing w:after="0" w:line="240" w:lineRule="auto"/>
      <w:tabs>
        <w:tab w:val="center" w:pos="7143" w:leader="none"/>
        <w:tab w:val="right" w:pos="14287" w:leader="none"/>
      </w:tabs>
    </w:pPr>
  </w:style>
  <w:style w:type="paragraph" w:styleId="1039">
    <w:name w:val="目录 1"/>
    <w:basedOn w:val="1015"/>
    <w:next w:val="1015"/>
    <w:link w:val="1015"/>
    <w:uiPriority w:val="39"/>
    <w:unhideWhenUsed/>
    <w:qFormat/>
    <w:pPr>
      <w:ind w:left="0" w:right="0" w:firstLine="0"/>
      <w:spacing w:after="57"/>
    </w:pPr>
  </w:style>
  <w:style w:type="paragraph" w:styleId="1040">
    <w:name w:val="目录 4"/>
    <w:basedOn w:val="1015"/>
    <w:next w:val="1015"/>
    <w:link w:val="1015"/>
    <w:uiPriority w:val="39"/>
    <w:unhideWhenUsed/>
    <w:qFormat/>
    <w:pPr>
      <w:ind w:left="850" w:right="0" w:firstLine="0"/>
      <w:spacing w:after="57"/>
    </w:pPr>
  </w:style>
  <w:style w:type="paragraph" w:styleId="1041">
    <w:name w:val="副标题"/>
    <w:basedOn w:val="1015"/>
    <w:next w:val="1015"/>
    <w:link w:val="1015"/>
    <w:uiPriority w:val="11"/>
    <w:qFormat/>
    <w:pPr>
      <w:spacing w:before="200" w:after="200"/>
    </w:pPr>
    <w:rPr>
      <w:sz w:val="24"/>
      <w:szCs w:val="24"/>
    </w:rPr>
  </w:style>
  <w:style w:type="paragraph" w:styleId="1042">
    <w:name w:val="脚注文本"/>
    <w:basedOn w:val="1015"/>
    <w:next w:val="1042"/>
    <w:link w:val="1015"/>
    <w:uiPriority w:val="99"/>
    <w:unhideWhenUsed/>
    <w:qFormat/>
    <w:pPr>
      <w:spacing w:after="40" w:line="240" w:lineRule="auto"/>
    </w:pPr>
    <w:rPr>
      <w:sz w:val="18"/>
    </w:rPr>
  </w:style>
  <w:style w:type="paragraph" w:styleId="1043">
    <w:name w:val="目录 6"/>
    <w:basedOn w:val="1015"/>
    <w:next w:val="1015"/>
    <w:link w:val="1015"/>
    <w:uiPriority w:val="39"/>
    <w:unhideWhenUsed/>
    <w:qFormat/>
    <w:pPr>
      <w:ind w:left="1417" w:right="0" w:firstLine="0"/>
      <w:spacing w:after="57"/>
    </w:pPr>
  </w:style>
  <w:style w:type="paragraph" w:styleId="1044">
    <w:name w:val="图表目录"/>
    <w:basedOn w:val="1015"/>
    <w:next w:val="1015"/>
    <w:link w:val="1015"/>
    <w:uiPriority w:val="99"/>
    <w:unhideWhenUsed/>
    <w:qFormat/>
    <w:pPr>
      <w:spacing w:after="0" w:afterAutospacing="0"/>
    </w:pPr>
  </w:style>
  <w:style w:type="paragraph" w:styleId="1045">
    <w:name w:val="目录 2"/>
    <w:basedOn w:val="1015"/>
    <w:next w:val="1015"/>
    <w:link w:val="1015"/>
    <w:uiPriority w:val="39"/>
    <w:unhideWhenUsed/>
    <w:qFormat/>
    <w:pPr>
      <w:ind w:left="283" w:right="0" w:firstLine="0"/>
      <w:spacing w:after="57"/>
    </w:pPr>
  </w:style>
  <w:style w:type="paragraph" w:styleId="1046">
    <w:name w:val="目录 9"/>
    <w:basedOn w:val="1015"/>
    <w:next w:val="1015"/>
    <w:link w:val="1015"/>
    <w:uiPriority w:val="39"/>
    <w:unhideWhenUsed/>
    <w:qFormat/>
    <w:pPr>
      <w:ind w:left="2268" w:right="0" w:firstLine="0"/>
      <w:spacing w:after="57"/>
    </w:pPr>
  </w:style>
  <w:style w:type="paragraph" w:styleId="1047">
    <w:name w:val="标题"/>
    <w:basedOn w:val="1015"/>
    <w:next w:val="1015"/>
    <w:link w:val="1015"/>
    <w:uiPriority w:val="10"/>
    <w:qFormat/>
    <w:pPr>
      <w:contextualSpacing/>
      <w:spacing w:before="300" w:after="200"/>
    </w:pPr>
    <w:rPr>
      <w:sz w:val="48"/>
      <w:szCs w:val="48"/>
    </w:rPr>
  </w:style>
  <w:style w:type="table" w:styleId="1048">
    <w:name w:val="网格型"/>
    <w:next w:val="1048"/>
    <w:link w:val="1015"/>
    <w:uiPriority w:val="59"/>
    <w:qFormat/>
    <w:pPr>
      <w:spacing w:after="0" w:line="240" w:lineRule="auto"/>
    </w:pPr>
    <w:tblPr/>
  </w:style>
  <w:style w:type="character" w:styleId="1049">
    <w:name w:val="尾注引用"/>
    <w:next w:val="1049"/>
    <w:link w:val="1015"/>
    <w:uiPriority w:val="99"/>
    <w:unhideWhenUsed/>
    <w:qFormat/>
    <w:rPr>
      <w:vertAlign w:val="superscript"/>
    </w:rPr>
  </w:style>
  <w:style w:type="character" w:styleId="1050">
    <w:name w:val="超链接"/>
    <w:next w:val="1050"/>
    <w:link w:val="1015"/>
    <w:uiPriority w:val="99"/>
    <w:unhideWhenUsed/>
    <w:qFormat/>
    <w:rPr>
      <w:color w:val="0000ff"/>
      <w:u w:val="single"/>
    </w:rPr>
  </w:style>
  <w:style w:type="character" w:styleId="1051">
    <w:name w:val="脚注引用"/>
    <w:next w:val="1051"/>
    <w:link w:val="1015"/>
    <w:uiPriority w:val="99"/>
    <w:unhideWhenUsed/>
    <w:qFormat/>
    <w:rPr>
      <w:vertAlign w:val="superscript"/>
    </w:rPr>
  </w:style>
  <w:style w:type="table" w:styleId="1052">
    <w:name w:val="Plain Table 1"/>
    <w:next w:val="1052"/>
    <w:link w:val="1015"/>
    <w:uiPriority w:val="59"/>
    <w:qFormat/>
    <w:pPr>
      <w:spacing w:after="0" w:line="240" w:lineRule="auto"/>
    </w:pPr>
    <w:tblPr/>
  </w:style>
  <w:style w:type="table" w:styleId="1053">
    <w:name w:val="Plain Table 2"/>
    <w:next w:val="1053"/>
    <w:link w:val="1015"/>
    <w:uiPriority w:val="59"/>
    <w:qFormat/>
    <w:pPr>
      <w:spacing w:after="0" w:line="240" w:lineRule="auto"/>
    </w:pPr>
    <w:tblPr/>
  </w:style>
  <w:style w:type="table" w:styleId="1054">
    <w:name w:val="Plain Table 3"/>
    <w:next w:val="1054"/>
    <w:link w:val="1015"/>
    <w:uiPriority w:val="99"/>
    <w:qFormat/>
    <w:pPr>
      <w:spacing w:after="0" w:line="240" w:lineRule="auto"/>
    </w:pPr>
    <w:tblPr/>
  </w:style>
  <w:style w:type="table" w:styleId="1055">
    <w:name w:val="Plain Table 4"/>
    <w:next w:val="1055"/>
    <w:link w:val="1015"/>
    <w:uiPriority w:val="99"/>
    <w:qFormat/>
    <w:pPr>
      <w:spacing w:after="0" w:line="240" w:lineRule="auto"/>
    </w:pPr>
    <w:tblPr/>
  </w:style>
  <w:style w:type="table" w:styleId="1056">
    <w:name w:val="Plain Table 5"/>
    <w:next w:val="1056"/>
    <w:link w:val="1015"/>
    <w:uiPriority w:val="99"/>
    <w:qFormat/>
    <w:pPr>
      <w:spacing w:after="0" w:line="240" w:lineRule="auto"/>
    </w:pPr>
    <w:tblPr/>
  </w:style>
  <w:style w:type="table" w:styleId="1057">
    <w:name w:val="Grid Table 1 Light"/>
    <w:next w:val="1057"/>
    <w:link w:val="1015"/>
    <w:uiPriority w:val="99"/>
    <w:qFormat/>
    <w:pPr>
      <w:spacing w:after="0" w:line="240" w:lineRule="auto"/>
    </w:pPr>
    <w:tblPr/>
  </w:style>
  <w:style w:type="table" w:styleId="1058">
    <w:name w:val="Grid Table 2"/>
    <w:next w:val="1058"/>
    <w:link w:val="1015"/>
    <w:uiPriority w:val="99"/>
    <w:qFormat/>
    <w:pPr>
      <w:spacing w:after="0" w:line="240" w:lineRule="auto"/>
    </w:pPr>
    <w:tblPr/>
  </w:style>
  <w:style w:type="table" w:styleId="1059">
    <w:name w:val="Grid Table 3"/>
    <w:next w:val="1059"/>
    <w:link w:val="1015"/>
    <w:uiPriority w:val="99"/>
    <w:qFormat/>
    <w:pPr>
      <w:spacing w:after="0" w:line="240" w:lineRule="auto"/>
    </w:pPr>
    <w:tblPr/>
  </w:style>
  <w:style w:type="table" w:styleId="1060">
    <w:name w:val="Grid Table 4"/>
    <w:next w:val="1060"/>
    <w:link w:val="1015"/>
    <w:uiPriority w:val="59"/>
    <w:qFormat/>
    <w:pPr>
      <w:spacing w:after="0" w:line="240" w:lineRule="auto"/>
    </w:pPr>
    <w:tblPr/>
  </w:style>
  <w:style w:type="table" w:styleId="1061">
    <w:name w:val="Grid Table 5 Dark"/>
    <w:next w:val="1061"/>
    <w:link w:val="1015"/>
    <w:uiPriority w:val="99"/>
    <w:qFormat/>
    <w:pPr>
      <w:spacing w:after="0" w:line="240" w:lineRule="auto"/>
    </w:pPr>
    <w:tblPr/>
  </w:style>
  <w:style w:type="table" w:styleId="1062">
    <w:name w:val="Grid Table 6 Colorful"/>
    <w:next w:val="1062"/>
    <w:link w:val="1015"/>
    <w:uiPriority w:val="99"/>
    <w:qFormat/>
    <w:pPr>
      <w:spacing w:after="0" w:line="240" w:lineRule="auto"/>
    </w:pPr>
    <w:tblPr/>
  </w:style>
  <w:style w:type="table" w:styleId="1063">
    <w:name w:val="Grid Table 7 Colorful"/>
    <w:next w:val="1063"/>
    <w:link w:val="1015"/>
    <w:uiPriority w:val="99"/>
    <w:qFormat/>
    <w:pPr>
      <w:spacing w:after="0" w:line="240" w:lineRule="auto"/>
    </w:pPr>
    <w:tblPr/>
  </w:style>
  <w:style w:type="table" w:styleId="1064">
    <w:name w:val="List Table 1 Light"/>
    <w:next w:val="1064"/>
    <w:link w:val="1015"/>
    <w:uiPriority w:val="99"/>
    <w:qFormat/>
    <w:pPr>
      <w:spacing w:after="0" w:line="240" w:lineRule="auto"/>
    </w:pPr>
    <w:tblPr/>
  </w:style>
  <w:style w:type="table" w:styleId="1065">
    <w:name w:val="List Table 2"/>
    <w:next w:val="1065"/>
    <w:link w:val="1015"/>
    <w:uiPriority w:val="99"/>
    <w:qFormat/>
    <w:pPr>
      <w:spacing w:after="0" w:line="240" w:lineRule="auto"/>
    </w:pPr>
    <w:tblPr/>
  </w:style>
  <w:style w:type="table" w:styleId="1066">
    <w:name w:val="List Table 3"/>
    <w:next w:val="1066"/>
    <w:link w:val="1015"/>
    <w:uiPriority w:val="99"/>
    <w:qFormat/>
    <w:pPr>
      <w:spacing w:after="0" w:line="240" w:lineRule="auto"/>
    </w:pPr>
    <w:tblPr/>
  </w:style>
  <w:style w:type="table" w:styleId="1067">
    <w:name w:val="List Table 4"/>
    <w:next w:val="1067"/>
    <w:link w:val="1015"/>
    <w:uiPriority w:val="99"/>
    <w:qFormat/>
    <w:pPr>
      <w:spacing w:after="0" w:line="240" w:lineRule="auto"/>
    </w:pPr>
    <w:tblPr/>
  </w:style>
  <w:style w:type="table" w:styleId="1068">
    <w:name w:val="List Table 5 Dark"/>
    <w:next w:val="1068"/>
    <w:link w:val="1015"/>
    <w:uiPriority w:val="99"/>
    <w:qFormat/>
    <w:pPr>
      <w:spacing w:after="0" w:line="240" w:lineRule="auto"/>
    </w:pPr>
    <w:tblPr/>
  </w:style>
  <w:style w:type="table" w:styleId="1069">
    <w:name w:val="List Table 6 Colorful"/>
    <w:next w:val="1069"/>
    <w:link w:val="1015"/>
    <w:uiPriority w:val="99"/>
    <w:qFormat/>
    <w:pPr>
      <w:spacing w:after="0" w:line="240" w:lineRule="auto"/>
    </w:pPr>
    <w:tblPr/>
  </w:style>
  <w:style w:type="table" w:styleId="1070">
    <w:name w:val="List Table 7 Colorful"/>
    <w:next w:val="1070"/>
    <w:link w:val="1015"/>
    <w:uiPriority w:val="99"/>
    <w:qFormat/>
    <w:pPr>
      <w:spacing w:after="0" w:line="240" w:lineRule="auto"/>
    </w:pPr>
    <w:tblPr/>
  </w:style>
  <w:style w:type="paragraph" w:styleId="1071">
    <w:name w:val="TOC Heading"/>
    <w:next w:val="1071"/>
    <w:link w:val="1015"/>
    <w:uiPriority w:val="39"/>
    <w:unhideWhenUsed/>
    <w:qFormat/>
    <w:rPr>
      <w:rFonts w:ascii="Times New Roman" w:hAnsi="Times New Roman" w:eastAsia="宋体" w:cs="Times New Roman"/>
    </w:rPr>
  </w:style>
  <w:style w:type="paragraph" w:styleId="1072">
    <w:name w:val="标题 113"/>
    <w:basedOn w:val="1015"/>
    <w:next w:val="1015"/>
    <w:link w:val="1015"/>
    <w:uiPriority w:val="9"/>
    <w:qFormat/>
    <w:pPr>
      <w:keepLines/>
      <w:keepNext/>
      <w:spacing w:before="480" w:after="200"/>
      <w:outlineLvl w:val="0"/>
    </w:pPr>
    <w:rPr>
      <w:rFonts w:ascii="Arial" w:hAnsi="Arial" w:eastAsia="Arial" w:cs="Arial"/>
      <w:sz w:val="40"/>
      <w:szCs w:val="40"/>
    </w:rPr>
  </w:style>
  <w:style w:type="paragraph" w:styleId="1073">
    <w:name w:val="标题 213"/>
    <w:basedOn w:val="1015"/>
    <w:next w:val="1015"/>
    <w:link w:val="1015"/>
    <w:uiPriority w:val="9"/>
    <w:unhideWhenUsed/>
    <w:qFormat/>
    <w:pPr>
      <w:keepLines/>
      <w:keepNext/>
      <w:spacing w:before="360" w:after="200"/>
      <w:outlineLvl w:val="1"/>
    </w:pPr>
    <w:rPr>
      <w:rFonts w:ascii="Arial" w:hAnsi="Arial" w:eastAsia="Arial" w:cs="Arial"/>
      <w:sz w:val="34"/>
    </w:rPr>
  </w:style>
  <w:style w:type="paragraph" w:styleId="1074">
    <w:name w:val="标题 313"/>
    <w:basedOn w:val="1015"/>
    <w:next w:val="1015"/>
    <w:link w:val="1015"/>
    <w:uiPriority w:val="9"/>
    <w:unhideWhenUsed/>
    <w:qFormat/>
    <w:pPr>
      <w:keepLines/>
      <w:keepNext/>
      <w:spacing w:before="320" w:after="200"/>
      <w:outlineLvl w:val="2"/>
    </w:pPr>
    <w:rPr>
      <w:rFonts w:ascii="Arial" w:hAnsi="Arial" w:eastAsia="Arial" w:cs="Arial"/>
      <w:sz w:val="30"/>
      <w:szCs w:val="30"/>
    </w:rPr>
  </w:style>
  <w:style w:type="paragraph" w:styleId="1075">
    <w:name w:val="标题 413"/>
    <w:basedOn w:val="1015"/>
    <w:next w:val="1015"/>
    <w:link w:val="1015"/>
    <w:uiPriority w:val="9"/>
    <w:unhideWhenUsed/>
    <w:qFormat/>
    <w:pPr>
      <w:keepLines/>
      <w:keepNext/>
      <w:spacing w:before="320" w:after="200"/>
      <w:outlineLvl w:val="3"/>
    </w:pPr>
    <w:rPr>
      <w:rFonts w:ascii="Arial" w:hAnsi="Arial" w:eastAsia="Arial" w:cs="Arial"/>
      <w:b/>
      <w:bCs/>
      <w:szCs w:val="26"/>
    </w:rPr>
  </w:style>
  <w:style w:type="paragraph" w:styleId="1076">
    <w:name w:val="标题 513"/>
    <w:basedOn w:val="1015"/>
    <w:next w:val="1015"/>
    <w:link w:val="1015"/>
    <w:uiPriority w:val="9"/>
    <w:unhideWhenUsed/>
    <w:qFormat/>
    <w:pPr>
      <w:keepLines/>
      <w:keepNext/>
      <w:spacing w:before="320" w:after="200"/>
      <w:outlineLvl w:val="4"/>
    </w:pPr>
    <w:rPr>
      <w:rFonts w:ascii="Arial" w:hAnsi="Arial" w:eastAsia="Arial" w:cs="Arial"/>
      <w:b/>
      <w:bCs/>
      <w:sz w:val="24"/>
      <w:szCs w:val="24"/>
    </w:rPr>
  </w:style>
  <w:style w:type="paragraph" w:styleId="1077">
    <w:name w:val="标题 613"/>
    <w:basedOn w:val="1015"/>
    <w:next w:val="1015"/>
    <w:link w:val="1015"/>
    <w:uiPriority w:val="9"/>
    <w:unhideWhenUsed/>
    <w:qFormat/>
    <w:pPr>
      <w:keepLines/>
      <w:keepNext/>
      <w:spacing w:before="320" w:after="200"/>
      <w:outlineLvl w:val="5"/>
    </w:pPr>
    <w:rPr>
      <w:rFonts w:ascii="Arial" w:hAnsi="Arial" w:eastAsia="Arial" w:cs="Arial"/>
      <w:b/>
      <w:bCs/>
      <w:sz w:val="22"/>
      <w:szCs w:val="22"/>
    </w:rPr>
  </w:style>
  <w:style w:type="paragraph" w:styleId="1078">
    <w:name w:val="标题 713"/>
    <w:basedOn w:val="1015"/>
    <w:next w:val="1015"/>
    <w:link w:val="1015"/>
    <w:uiPriority w:val="9"/>
    <w:unhideWhenUsed/>
    <w:qFormat/>
    <w:pPr>
      <w:keepLines/>
      <w:keepNext/>
      <w:spacing w:before="320" w:after="200"/>
      <w:outlineLvl w:val="6"/>
    </w:pPr>
    <w:rPr>
      <w:rFonts w:ascii="Arial" w:hAnsi="Arial" w:eastAsia="Arial" w:cs="Arial"/>
      <w:b/>
      <w:bCs/>
      <w:i/>
      <w:iCs/>
      <w:sz w:val="22"/>
      <w:szCs w:val="22"/>
    </w:rPr>
  </w:style>
  <w:style w:type="paragraph" w:styleId="1079">
    <w:name w:val="标题 813"/>
    <w:basedOn w:val="1015"/>
    <w:next w:val="1015"/>
    <w:link w:val="1015"/>
    <w:uiPriority w:val="9"/>
    <w:unhideWhenUsed/>
    <w:qFormat/>
    <w:pPr>
      <w:keepLines/>
      <w:keepNext/>
      <w:spacing w:before="320" w:after="200"/>
      <w:outlineLvl w:val="7"/>
    </w:pPr>
    <w:rPr>
      <w:rFonts w:ascii="Arial" w:hAnsi="Arial" w:eastAsia="Arial" w:cs="Arial"/>
      <w:i/>
      <w:iCs/>
      <w:sz w:val="22"/>
      <w:szCs w:val="22"/>
    </w:rPr>
  </w:style>
  <w:style w:type="paragraph" w:styleId="1080">
    <w:name w:val="标题 913"/>
    <w:basedOn w:val="1015"/>
    <w:next w:val="1015"/>
    <w:link w:val="1015"/>
    <w:uiPriority w:val="9"/>
    <w:unhideWhenUsed/>
    <w:qFormat/>
    <w:pPr>
      <w:keepLines/>
      <w:keepNext/>
      <w:spacing w:before="320" w:after="200"/>
      <w:outlineLvl w:val="8"/>
    </w:pPr>
    <w:rPr>
      <w:rFonts w:ascii="Arial" w:hAnsi="Arial" w:eastAsia="Arial" w:cs="Arial"/>
      <w:i/>
      <w:iCs/>
      <w:sz w:val="21"/>
      <w:szCs w:val="21"/>
    </w:rPr>
  </w:style>
  <w:style w:type="character" w:styleId="1081">
    <w:name w:val="默认段落字体12"/>
    <w:next w:val="1081"/>
    <w:link w:val="1015"/>
    <w:uiPriority w:val="1"/>
    <w:unhideWhenUsed/>
    <w:qFormat/>
  </w:style>
  <w:style w:type="table" w:styleId="1082">
    <w:name w:val="普通表格12"/>
    <w:next w:val="1082"/>
    <w:link w:val="1015"/>
    <w:uiPriority w:val="99"/>
    <w:unhideWhenUsed/>
    <w:qFormat/>
    <w:tblPr/>
  </w:style>
  <w:style w:type="paragraph" w:styleId="1083">
    <w:name w:val="目录 712"/>
    <w:basedOn w:val="1015"/>
    <w:next w:val="1015"/>
    <w:link w:val="1015"/>
    <w:uiPriority w:val="39"/>
    <w:unhideWhenUsed/>
    <w:qFormat/>
    <w:pPr>
      <w:ind w:left="1701"/>
      <w:spacing w:after="57"/>
    </w:pPr>
  </w:style>
  <w:style w:type="paragraph" w:styleId="1084">
    <w:name w:val="正文缩进11"/>
    <w:basedOn w:val="1015"/>
    <w:next w:val="1084"/>
    <w:link w:val="1015"/>
    <w:uiPriority w:val="99"/>
    <w:unhideWhenUsed/>
    <w:qFormat/>
    <w:pPr>
      <w:ind w:firstLine="420"/>
    </w:pPr>
  </w:style>
  <w:style w:type="paragraph" w:styleId="1085">
    <w:name w:val="题注12"/>
    <w:basedOn w:val="1015"/>
    <w:next w:val="1015"/>
    <w:link w:val="1015"/>
    <w:uiPriority w:val="35"/>
    <w:unhideWhenUsed/>
    <w:qFormat/>
    <w:pPr>
      <w:spacing w:line="276" w:lineRule="auto"/>
    </w:pPr>
    <w:rPr>
      <w:b/>
      <w:bCs/>
      <w:color w:val="4f81bd"/>
      <w:sz w:val="18"/>
      <w:szCs w:val="18"/>
    </w:rPr>
  </w:style>
  <w:style w:type="paragraph" w:styleId="1086">
    <w:name w:val="正文文本111"/>
    <w:basedOn w:val="1015"/>
    <w:next w:val="1015"/>
    <w:link w:val="1015"/>
    <w:qFormat/>
    <w:rPr>
      <w:rFonts w:ascii="楷体_GB2312" w:hAnsi="Arial"/>
      <w:sz w:val="28"/>
    </w:rPr>
  </w:style>
  <w:style w:type="paragraph" w:styleId="1087">
    <w:name w:val="正文文本缩进12"/>
    <w:basedOn w:val="1015"/>
    <w:next w:val="1087"/>
    <w:link w:val="1015"/>
    <w:qFormat/>
    <w:pPr>
      <w:ind w:left="570"/>
      <w:spacing w:line="520" w:lineRule="exact"/>
    </w:pPr>
    <w:rPr>
      <w:rFonts w:hint="eastAsia" w:ascii="楷体_GB2312"/>
    </w:rPr>
  </w:style>
  <w:style w:type="paragraph" w:styleId="1088">
    <w:name w:val="目录 512"/>
    <w:basedOn w:val="1015"/>
    <w:next w:val="1015"/>
    <w:link w:val="1015"/>
    <w:uiPriority w:val="39"/>
    <w:unhideWhenUsed/>
    <w:qFormat/>
    <w:pPr>
      <w:ind w:left="1134"/>
      <w:spacing w:after="57"/>
    </w:pPr>
  </w:style>
  <w:style w:type="paragraph" w:styleId="1089">
    <w:name w:val="目录 312"/>
    <w:basedOn w:val="1015"/>
    <w:next w:val="1015"/>
    <w:link w:val="1015"/>
    <w:uiPriority w:val="39"/>
    <w:unhideWhenUsed/>
    <w:qFormat/>
    <w:pPr>
      <w:ind w:left="567"/>
      <w:spacing w:after="57"/>
    </w:pPr>
  </w:style>
  <w:style w:type="paragraph" w:styleId="1090">
    <w:name w:val="目录 812"/>
    <w:basedOn w:val="1015"/>
    <w:next w:val="1015"/>
    <w:link w:val="1015"/>
    <w:uiPriority w:val="39"/>
    <w:unhideWhenUsed/>
    <w:qFormat/>
    <w:pPr>
      <w:ind w:left="1984"/>
      <w:spacing w:after="57"/>
    </w:pPr>
  </w:style>
  <w:style w:type="paragraph" w:styleId="1091">
    <w:name w:val="尾注文本12"/>
    <w:basedOn w:val="1015"/>
    <w:next w:val="1091"/>
    <w:link w:val="1015"/>
    <w:uiPriority w:val="99"/>
    <w:unhideWhenUsed/>
    <w:qFormat/>
    <w:rPr>
      <w:sz w:val="20"/>
    </w:rPr>
  </w:style>
  <w:style w:type="paragraph" w:styleId="1092">
    <w:name w:val="页脚113"/>
    <w:basedOn w:val="1015"/>
    <w:next w:val="1092"/>
    <w:link w:val="1015"/>
    <w:uiPriority w:val="99"/>
    <w:unhideWhenUsed/>
    <w:qFormat/>
    <w:pPr>
      <w:tabs>
        <w:tab w:val="center" w:pos="7143" w:leader="none"/>
        <w:tab w:val="right" w:pos="14287" w:leader="none"/>
      </w:tabs>
    </w:pPr>
  </w:style>
  <w:style w:type="paragraph" w:styleId="1093">
    <w:name w:val="页眉13"/>
    <w:basedOn w:val="1015"/>
    <w:next w:val="1093"/>
    <w:link w:val="1015"/>
    <w:uiPriority w:val="99"/>
    <w:unhideWhenUsed/>
    <w:qFormat/>
    <w:pPr>
      <w:tabs>
        <w:tab w:val="center" w:pos="7143" w:leader="none"/>
        <w:tab w:val="right" w:pos="14287" w:leader="none"/>
      </w:tabs>
    </w:pPr>
  </w:style>
  <w:style w:type="paragraph" w:styleId="1094">
    <w:name w:val="目录 112"/>
    <w:basedOn w:val="1015"/>
    <w:next w:val="1015"/>
    <w:link w:val="1015"/>
    <w:uiPriority w:val="39"/>
    <w:unhideWhenUsed/>
    <w:qFormat/>
    <w:pPr>
      <w:spacing w:after="57"/>
    </w:pPr>
  </w:style>
  <w:style w:type="paragraph" w:styleId="1095">
    <w:name w:val="目录 412"/>
    <w:basedOn w:val="1015"/>
    <w:next w:val="1015"/>
    <w:link w:val="1015"/>
    <w:uiPriority w:val="39"/>
    <w:unhideWhenUsed/>
    <w:qFormat/>
    <w:pPr>
      <w:ind w:left="850"/>
      <w:spacing w:after="57"/>
    </w:pPr>
  </w:style>
  <w:style w:type="paragraph" w:styleId="1096">
    <w:name w:val="副标题12"/>
    <w:basedOn w:val="1015"/>
    <w:next w:val="1015"/>
    <w:link w:val="1015"/>
    <w:uiPriority w:val="11"/>
    <w:qFormat/>
    <w:pPr>
      <w:spacing w:before="200" w:after="200"/>
    </w:pPr>
    <w:rPr>
      <w:sz w:val="24"/>
      <w:szCs w:val="24"/>
    </w:rPr>
  </w:style>
  <w:style w:type="paragraph" w:styleId="1097">
    <w:name w:val="脚注文本12"/>
    <w:basedOn w:val="1015"/>
    <w:next w:val="1097"/>
    <w:link w:val="1015"/>
    <w:uiPriority w:val="99"/>
    <w:unhideWhenUsed/>
    <w:qFormat/>
    <w:pPr>
      <w:spacing w:after="40"/>
    </w:pPr>
    <w:rPr>
      <w:sz w:val="18"/>
    </w:rPr>
  </w:style>
  <w:style w:type="paragraph" w:styleId="1098">
    <w:name w:val="目录 612"/>
    <w:basedOn w:val="1015"/>
    <w:next w:val="1015"/>
    <w:link w:val="1015"/>
    <w:uiPriority w:val="39"/>
    <w:unhideWhenUsed/>
    <w:qFormat/>
    <w:pPr>
      <w:ind w:left="1417"/>
      <w:spacing w:after="57"/>
    </w:pPr>
  </w:style>
  <w:style w:type="paragraph" w:styleId="1099">
    <w:name w:val="图表目录12"/>
    <w:basedOn w:val="1015"/>
    <w:next w:val="1015"/>
    <w:link w:val="1015"/>
    <w:uiPriority w:val="99"/>
    <w:unhideWhenUsed/>
    <w:qFormat/>
  </w:style>
  <w:style w:type="paragraph" w:styleId="1100">
    <w:name w:val="目录 212"/>
    <w:basedOn w:val="1015"/>
    <w:next w:val="1015"/>
    <w:link w:val="1015"/>
    <w:uiPriority w:val="39"/>
    <w:unhideWhenUsed/>
    <w:qFormat/>
    <w:pPr>
      <w:ind w:left="283"/>
      <w:spacing w:after="57"/>
    </w:pPr>
  </w:style>
  <w:style w:type="paragraph" w:styleId="1101">
    <w:name w:val="目录 912"/>
    <w:basedOn w:val="1015"/>
    <w:next w:val="1015"/>
    <w:link w:val="1015"/>
    <w:uiPriority w:val="39"/>
    <w:unhideWhenUsed/>
    <w:qFormat/>
    <w:pPr>
      <w:ind w:left="2268"/>
      <w:spacing w:after="57"/>
    </w:pPr>
  </w:style>
  <w:style w:type="paragraph" w:styleId="1102">
    <w:name w:val="标题12"/>
    <w:basedOn w:val="1015"/>
    <w:next w:val="1015"/>
    <w:link w:val="1015"/>
    <w:uiPriority w:val="10"/>
    <w:qFormat/>
    <w:pPr>
      <w:contextualSpacing/>
      <w:spacing w:before="300" w:after="200"/>
    </w:pPr>
    <w:rPr>
      <w:sz w:val="48"/>
      <w:szCs w:val="48"/>
    </w:rPr>
  </w:style>
  <w:style w:type="table" w:styleId="1103">
    <w:name w:val="网格型13"/>
    <w:next w:val="1103"/>
    <w:link w:val="1015"/>
    <w:uiPriority w:val="59"/>
    <w:qFormat/>
    <w:tblPr/>
  </w:style>
  <w:style w:type="character" w:styleId="1104">
    <w:name w:val="尾注引用12"/>
    <w:next w:val="1104"/>
    <w:link w:val="1015"/>
    <w:uiPriority w:val="99"/>
    <w:unhideWhenUsed/>
    <w:qFormat/>
    <w:rPr>
      <w:vertAlign w:val="superscript"/>
    </w:rPr>
  </w:style>
  <w:style w:type="character" w:styleId="1105">
    <w:name w:val="超链接12"/>
    <w:next w:val="1105"/>
    <w:link w:val="1015"/>
    <w:uiPriority w:val="99"/>
    <w:unhideWhenUsed/>
    <w:qFormat/>
    <w:rPr>
      <w:color w:val="0000ff"/>
      <w:u w:val="single"/>
    </w:rPr>
  </w:style>
  <w:style w:type="character" w:styleId="1106">
    <w:name w:val="脚注引用12"/>
    <w:next w:val="1106"/>
    <w:link w:val="1015"/>
    <w:uiPriority w:val="99"/>
    <w:unhideWhenUsed/>
    <w:qFormat/>
    <w:rPr>
      <w:vertAlign w:val="superscript"/>
    </w:rPr>
  </w:style>
  <w:style w:type="table" w:styleId="1107">
    <w:name w:val="无格式表格 11"/>
    <w:basedOn w:val="1082"/>
    <w:next w:val="1107"/>
    <w:link w:val="1015"/>
    <w:uiPriority w:val="59"/>
    <w:qFormat/>
    <w:tblPr/>
  </w:style>
  <w:style w:type="table" w:styleId="1108">
    <w:name w:val="无格式表格 21"/>
    <w:basedOn w:val="1082"/>
    <w:next w:val="1108"/>
    <w:link w:val="1015"/>
    <w:uiPriority w:val="59"/>
    <w:qFormat/>
    <w:tblPr/>
  </w:style>
  <w:style w:type="table" w:styleId="1109">
    <w:name w:val="无格式表格 31"/>
    <w:basedOn w:val="1082"/>
    <w:next w:val="1109"/>
    <w:link w:val="1015"/>
    <w:uiPriority w:val="99"/>
    <w:qFormat/>
    <w:tblPr/>
  </w:style>
  <w:style w:type="table" w:styleId="1110">
    <w:name w:val="无格式表格 41"/>
    <w:basedOn w:val="1082"/>
    <w:next w:val="1110"/>
    <w:link w:val="1015"/>
    <w:uiPriority w:val="99"/>
    <w:qFormat/>
    <w:tblPr/>
  </w:style>
  <w:style w:type="table" w:styleId="1111">
    <w:name w:val="无格式表格 51"/>
    <w:basedOn w:val="1082"/>
    <w:next w:val="1111"/>
    <w:link w:val="1015"/>
    <w:uiPriority w:val="99"/>
    <w:qFormat/>
    <w:tblPr/>
  </w:style>
  <w:style w:type="table" w:styleId="1112">
    <w:name w:val="网格表 1 浅色1"/>
    <w:basedOn w:val="1082"/>
    <w:next w:val="1112"/>
    <w:link w:val="1015"/>
    <w:uiPriority w:val="99"/>
    <w:qFormat/>
    <w:tblPr/>
  </w:style>
  <w:style w:type="table" w:styleId="1113">
    <w:name w:val="网格表 21"/>
    <w:basedOn w:val="1082"/>
    <w:next w:val="1113"/>
    <w:link w:val="1015"/>
    <w:uiPriority w:val="99"/>
    <w:qFormat/>
    <w:tblPr/>
  </w:style>
  <w:style w:type="table" w:styleId="1114">
    <w:name w:val="网格表 31"/>
    <w:basedOn w:val="1082"/>
    <w:next w:val="1114"/>
    <w:link w:val="1015"/>
    <w:uiPriority w:val="99"/>
    <w:qFormat/>
    <w:tblPr/>
  </w:style>
  <w:style w:type="table" w:styleId="1115">
    <w:name w:val="网格表 41"/>
    <w:basedOn w:val="1082"/>
    <w:next w:val="1115"/>
    <w:link w:val="1015"/>
    <w:uiPriority w:val="59"/>
    <w:qFormat/>
    <w:tblPr/>
  </w:style>
  <w:style w:type="table" w:styleId="1116">
    <w:name w:val="网格表 5 深色1"/>
    <w:basedOn w:val="1082"/>
    <w:next w:val="1116"/>
    <w:link w:val="1015"/>
    <w:uiPriority w:val="99"/>
    <w:qFormat/>
    <w:tblPr/>
  </w:style>
  <w:style w:type="table" w:styleId="1117">
    <w:name w:val="网格表 6 彩色1"/>
    <w:basedOn w:val="1082"/>
    <w:next w:val="1117"/>
    <w:link w:val="1015"/>
    <w:uiPriority w:val="99"/>
    <w:qFormat/>
    <w:tblPr/>
  </w:style>
  <w:style w:type="table" w:styleId="1118">
    <w:name w:val="网格表 7 彩色1"/>
    <w:basedOn w:val="1082"/>
    <w:next w:val="1118"/>
    <w:link w:val="1015"/>
    <w:uiPriority w:val="99"/>
    <w:qFormat/>
    <w:tblPr/>
  </w:style>
  <w:style w:type="table" w:styleId="1119">
    <w:name w:val="清单表 1 浅色1"/>
    <w:basedOn w:val="1082"/>
    <w:next w:val="1119"/>
    <w:link w:val="1015"/>
    <w:uiPriority w:val="99"/>
    <w:qFormat/>
    <w:tblPr/>
  </w:style>
  <w:style w:type="table" w:styleId="1120">
    <w:name w:val="清单表 21"/>
    <w:basedOn w:val="1082"/>
    <w:next w:val="1120"/>
    <w:link w:val="1015"/>
    <w:uiPriority w:val="99"/>
    <w:qFormat/>
    <w:tblPr/>
  </w:style>
  <w:style w:type="table" w:styleId="1121">
    <w:name w:val="清单表 31"/>
    <w:basedOn w:val="1082"/>
    <w:next w:val="1121"/>
    <w:link w:val="1015"/>
    <w:uiPriority w:val="99"/>
    <w:qFormat/>
    <w:tblPr/>
  </w:style>
  <w:style w:type="table" w:styleId="1122">
    <w:name w:val="清单表 41"/>
    <w:basedOn w:val="1082"/>
    <w:next w:val="1122"/>
    <w:link w:val="1015"/>
    <w:uiPriority w:val="99"/>
    <w:qFormat/>
    <w:tblPr/>
  </w:style>
  <w:style w:type="table" w:styleId="1123">
    <w:name w:val="清单表 5 深色1"/>
    <w:basedOn w:val="1082"/>
    <w:next w:val="1123"/>
    <w:link w:val="1015"/>
    <w:uiPriority w:val="99"/>
    <w:qFormat/>
    <w:tblPr/>
  </w:style>
  <w:style w:type="table" w:styleId="1124">
    <w:name w:val="清单表 6 彩色1"/>
    <w:basedOn w:val="1082"/>
    <w:next w:val="1124"/>
    <w:link w:val="1015"/>
    <w:uiPriority w:val="99"/>
    <w:qFormat/>
    <w:tblPr/>
  </w:style>
  <w:style w:type="table" w:styleId="1125">
    <w:name w:val="清单表 7 彩色1"/>
    <w:basedOn w:val="1082"/>
    <w:next w:val="1125"/>
    <w:link w:val="1015"/>
    <w:uiPriority w:val="99"/>
    <w:qFormat/>
    <w:tblPr/>
  </w:style>
  <w:style w:type="paragraph" w:styleId="1126">
    <w:name w:val="TOC 标题1"/>
    <w:next w:val="1126"/>
    <w:link w:val="1015"/>
    <w:uiPriority w:val="39"/>
    <w:unhideWhenUsed/>
    <w:qFormat/>
    <w:rPr>
      <w:rFonts w:ascii="Times New Roman" w:hAnsi="Times New Roman" w:eastAsia="宋体" w:cs="Times New Roman"/>
      <w:lang w:val="en-US" w:eastAsia="zh-CN" w:bidi="ar-SA"/>
    </w:rPr>
  </w:style>
  <w:style w:type="paragraph" w:styleId="1127">
    <w:name w:val="标题 112"/>
    <w:basedOn w:val="1015"/>
    <w:next w:val="1015"/>
    <w:link w:val="1015"/>
    <w:uiPriority w:val="9"/>
    <w:qFormat/>
    <w:pPr>
      <w:keepLines/>
      <w:keepNext/>
      <w:spacing w:before="480" w:after="200"/>
      <w:outlineLvl w:val="0"/>
    </w:pPr>
    <w:rPr>
      <w:rFonts w:ascii="Arial" w:hAnsi="Arial" w:eastAsia="Arial" w:cs="Arial"/>
      <w:sz w:val="40"/>
      <w:szCs w:val="40"/>
    </w:rPr>
  </w:style>
  <w:style w:type="paragraph" w:styleId="1128">
    <w:name w:val="标题 212"/>
    <w:basedOn w:val="1015"/>
    <w:next w:val="1015"/>
    <w:link w:val="1015"/>
    <w:uiPriority w:val="9"/>
    <w:unhideWhenUsed/>
    <w:qFormat/>
    <w:pPr>
      <w:keepLines/>
      <w:keepNext/>
      <w:spacing w:before="360" w:after="200"/>
      <w:outlineLvl w:val="1"/>
    </w:pPr>
    <w:rPr>
      <w:rFonts w:ascii="Arial" w:hAnsi="Arial" w:eastAsia="Arial" w:cs="Arial"/>
      <w:sz w:val="34"/>
    </w:rPr>
  </w:style>
  <w:style w:type="paragraph" w:styleId="1129">
    <w:name w:val="标题 312"/>
    <w:basedOn w:val="1015"/>
    <w:next w:val="1015"/>
    <w:link w:val="1015"/>
    <w:uiPriority w:val="9"/>
    <w:unhideWhenUsed/>
    <w:qFormat/>
    <w:pPr>
      <w:keepLines/>
      <w:keepNext/>
      <w:spacing w:before="320" w:after="200"/>
      <w:outlineLvl w:val="2"/>
    </w:pPr>
    <w:rPr>
      <w:rFonts w:ascii="Arial" w:hAnsi="Arial" w:eastAsia="Arial" w:cs="Arial"/>
      <w:sz w:val="30"/>
      <w:szCs w:val="30"/>
    </w:rPr>
  </w:style>
  <w:style w:type="paragraph" w:styleId="1130">
    <w:name w:val="标题 412"/>
    <w:basedOn w:val="1015"/>
    <w:next w:val="1015"/>
    <w:link w:val="1015"/>
    <w:uiPriority w:val="9"/>
    <w:unhideWhenUsed/>
    <w:qFormat/>
    <w:pPr>
      <w:keepLines/>
      <w:keepNext/>
      <w:spacing w:before="320" w:after="200"/>
      <w:outlineLvl w:val="3"/>
    </w:pPr>
    <w:rPr>
      <w:rFonts w:ascii="Arial" w:hAnsi="Arial" w:eastAsia="Arial" w:cs="Arial"/>
      <w:b/>
      <w:bCs/>
      <w:szCs w:val="26"/>
    </w:rPr>
  </w:style>
  <w:style w:type="paragraph" w:styleId="1131">
    <w:name w:val="标题 512"/>
    <w:basedOn w:val="1015"/>
    <w:next w:val="1015"/>
    <w:link w:val="1015"/>
    <w:uiPriority w:val="9"/>
    <w:unhideWhenUsed/>
    <w:qFormat/>
    <w:pPr>
      <w:keepLines/>
      <w:keepNext/>
      <w:spacing w:before="320" w:after="200"/>
      <w:outlineLvl w:val="4"/>
    </w:pPr>
    <w:rPr>
      <w:rFonts w:ascii="Arial" w:hAnsi="Arial" w:eastAsia="Arial" w:cs="Arial"/>
      <w:b/>
      <w:bCs/>
      <w:sz w:val="24"/>
      <w:szCs w:val="24"/>
    </w:rPr>
  </w:style>
  <w:style w:type="paragraph" w:styleId="1132">
    <w:name w:val="标题 612"/>
    <w:basedOn w:val="1015"/>
    <w:next w:val="1015"/>
    <w:link w:val="1015"/>
    <w:uiPriority w:val="9"/>
    <w:unhideWhenUsed/>
    <w:qFormat/>
    <w:pPr>
      <w:keepLines/>
      <w:keepNext/>
      <w:spacing w:before="320" w:after="200"/>
      <w:outlineLvl w:val="5"/>
    </w:pPr>
    <w:rPr>
      <w:rFonts w:ascii="Arial" w:hAnsi="Arial" w:eastAsia="Arial" w:cs="Arial"/>
      <w:b/>
      <w:bCs/>
      <w:sz w:val="22"/>
      <w:szCs w:val="22"/>
    </w:rPr>
  </w:style>
  <w:style w:type="paragraph" w:styleId="1133">
    <w:name w:val="标题 712"/>
    <w:basedOn w:val="1015"/>
    <w:next w:val="1015"/>
    <w:link w:val="1015"/>
    <w:uiPriority w:val="9"/>
    <w:unhideWhenUsed/>
    <w:qFormat/>
    <w:pPr>
      <w:keepLines/>
      <w:keepNext/>
      <w:spacing w:before="320" w:after="200"/>
      <w:outlineLvl w:val="6"/>
    </w:pPr>
    <w:rPr>
      <w:rFonts w:ascii="Arial" w:hAnsi="Arial" w:eastAsia="Arial" w:cs="Arial"/>
      <w:b/>
      <w:bCs/>
      <w:i/>
      <w:iCs/>
      <w:sz w:val="22"/>
      <w:szCs w:val="22"/>
    </w:rPr>
  </w:style>
  <w:style w:type="paragraph" w:styleId="1134">
    <w:name w:val="标题 812"/>
    <w:basedOn w:val="1015"/>
    <w:next w:val="1015"/>
    <w:link w:val="1015"/>
    <w:uiPriority w:val="9"/>
    <w:unhideWhenUsed/>
    <w:qFormat/>
    <w:pPr>
      <w:keepLines/>
      <w:keepNext/>
      <w:spacing w:before="320" w:after="200"/>
      <w:outlineLvl w:val="7"/>
    </w:pPr>
    <w:rPr>
      <w:rFonts w:ascii="Arial" w:hAnsi="Arial" w:eastAsia="Arial" w:cs="Arial"/>
      <w:i/>
      <w:iCs/>
      <w:sz w:val="22"/>
      <w:szCs w:val="22"/>
    </w:rPr>
  </w:style>
  <w:style w:type="paragraph" w:styleId="1135">
    <w:name w:val="标题 912"/>
    <w:basedOn w:val="1015"/>
    <w:next w:val="1015"/>
    <w:link w:val="1015"/>
    <w:uiPriority w:val="9"/>
    <w:unhideWhenUsed/>
    <w:qFormat/>
    <w:pPr>
      <w:keepLines/>
      <w:keepNext/>
      <w:spacing w:before="320" w:after="200"/>
      <w:outlineLvl w:val="8"/>
    </w:pPr>
    <w:rPr>
      <w:rFonts w:ascii="Arial" w:hAnsi="Arial" w:eastAsia="Arial" w:cs="Arial"/>
      <w:i/>
      <w:iCs/>
      <w:sz w:val="21"/>
      <w:szCs w:val="21"/>
    </w:rPr>
  </w:style>
  <w:style w:type="character" w:styleId="1136">
    <w:name w:val="默认段落字体11"/>
    <w:next w:val="1136"/>
    <w:link w:val="1015"/>
    <w:uiPriority w:val="1"/>
    <w:unhideWhenUsed/>
    <w:qFormat/>
  </w:style>
  <w:style w:type="table" w:styleId="1137">
    <w:name w:val="普通表格11"/>
    <w:next w:val="1137"/>
    <w:link w:val="1015"/>
    <w:uiPriority w:val="99"/>
    <w:unhideWhenUsed/>
    <w:qFormat/>
    <w:tblPr/>
  </w:style>
  <w:style w:type="character" w:styleId="1138">
    <w:name w:val="NormalCharacter11"/>
    <w:next w:val="1138"/>
    <w:link w:val="1015"/>
    <w:semiHidden/>
    <w:qFormat/>
  </w:style>
  <w:style w:type="paragraph" w:styleId="1139">
    <w:name w:val="正文首行缩进1"/>
    <w:basedOn w:val="1140"/>
    <w:next w:val="1139"/>
    <w:link w:val="1142"/>
    <w:qFormat/>
    <w:pPr>
      <w:ind w:firstLine="420"/>
      <w:spacing w:after="120" w:line="240" w:lineRule="auto"/>
    </w:pPr>
    <w:rPr>
      <w:rFonts w:ascii="Calibri"/>
      <w:sz w:val="26"/>
    </w:rPr>
  </w:style>
  <w:style w:type="paragraph" w:styleId="1140">
    <w:name w:val="正文文本1"/>
    <w:basedOn w:val="1015"/>
    <w:next w:val="1141"/>
    <w:link w:val="1015"/>
    <w:qFormat/>
    <w:pPr>
      <w:spacing w:line="400" w:lineRule="exact"/>
    </w:pPr>
    <w:rPr>
      <w:rFonts w:ascii="楷体_GB2312"/>
      <w:sz w:val="28"/>
      <w:lang w:eastAsia="en-US"/>
    </w:rPr>
  </w:style>
  <w:style w:type="paragraph" w:styleId="1141">
    <w:name w:val="纯文本1"/>
    <w:basedOn w:val="1015"/>
    <w:next w:val="1141"/>
    <w:link w:val="1015"/>
    <w:qFormat/>
    <w:rPr>
      <w:rFonts w:ascii="宋体" w:hAnsi="Courier New"/>
      <w:sz w:val="28"/>
    </w:rPr>
  </w:style>
  <w:style w:type="character" w:styleId="1142">
    <w:name w:val="正文文本首行缩进 字符1"/>
    <w:next w:val="1142"/>
    <w:link w:val="1139"/>
    <w:qFormat/>
  </w:style>
  <w:style w:type="paragraph" w:styleId="1143">
    <w:name w:val="目录 711"/>
    <w:basedOn w:val="1015"/>
    <w:next w:val="1015"/>
    <w:link w:val="1015"/>
    <w:uiPriority w:val="39"/>
    <w:unhideWhenUsed/>
    <w:qFormat/>
    <w:pPr>
      <w:ind w:left="1701"/>
      <w:spacing w:after="57"/>
    </w:pPr>
  </w:style>
  <w:style w:type="paragraph" w:styleId="1144">
    <w:name w:val="题注11"/>
    <w:basedOn w:val="1015"/>
    <w:next w:val="1015"/>
    <w:link w:val="1015"/>
    <w:uiPriority w:val="35"/>
    <w:unhideWhenUsed/>
    <w:qFormat/>
    <w:pPr>
      <w:spacing w:line="276" w:lineRule="auto"/>
    </w:pPr>
    <w:rPr>
      <w:b/>
      <w:bCs/>
      <w:color w:val="4f81bd"/>
      <w:sz w:val="18"/>
      <w:szCs w:val="18"/>
    </w:rPr>
  </w:style>
  <w:style w:type="paragraph" w:styleId="1145">
    <w:name w:val="目录 511"/>
    <w:basedOn w:val="1015"/>
    <w:next w:val="1015"/>
    <w:link w:val="1015"/>
    <w:uiPriority w:val="39"/>
    <w:unhideWhenUsed/>
    <w:qFormat/>
    <w:pPr>
      <w:ind w:left="1134"/>
      <w:spacing w:after="57"/>
    </w:pPr>
  </w:style>
  <w:style w:type="paragraph" w:styleId="1146">
    <w:name w:val="目录 311"/>
    <w:basedOn w:val="1015"/>
    <w:next w:val="1015"/>
    <w:link w:val="1015"/>
    <w:uiPriority w:val="39"/>
    <w:unhideWhenUsed/>
    <w:qFormat/>
    <w:pPr>
      <w:ind w:left="567"/>
      <w:spacing w:after="57"/>
    </w:pPr>
  </w:style>
  <w:style w:type="paragraph" w:styleId="1147">
    <w:name w:val="纯文本21"/>
    <w:basedOn w:val="1015"/>
    <w:next w:val="1147"/>
    <w:link w:val="1015"/>
    <w:qFormat/>
    <w:rPr>
      <w:rFonts w:ascii="宋体" w:hAnsi="Courier New" w:cs="Courier New"/>
    </w:rPr>
  </w:style>
  <w:style w:type="paragraph" w:styleId="1148">
    <w:name w:val="目录 811"/>
    <w:basedOn w:val="1015"/>
    <w:next w:val="1015"/>
    <w:link w:val="1015"/>
    <w:uiPriority w:val="39"/>
    <w:unhideWhenUsed/>
    <w:qFormat/>
    <w:pPr>
      <w:ind w:left="1984"/>
      <w:spacing w:after="57"/>
    </w:pPr>
  </w:style>
  <w:style w:type="paragraph" w:styleId="1149">
    <w:name w:val="尾注文本11"/>
    <w:basedOn w:val="1015"/>
    <w:next w:val="1149"/>
    <w:link w:val="1015"/>
    <w:uiPriority w:val="99"/>
    <w:unhideWhenUsed/>
    <w:qFormat/>
    <w:rPr>
      <w:sz w:val="20"/>
    </w:rPr>
  </w:style>
  <w:style w:type="paragraph" w:styleId="1150">
    <w:name w:val="页脚112"/>
    <w:basedOn w:val="1015"/>
    <w:next w:val="1150"/>
    <w:link w:val="1015"/>
    <w:uiPriority w:val="99"/>
    <w:unhideWhenUsed/>
    <w:qFormat/>
    <w:pPr>
      <w:tabs>
        <w:tab w:val="center" w:pos="7143" w:leader="none"/>
        <w:tab w:val="right" w:pos="14287" w:leader="none"/>
      </w:tabs>
    </w:pPr>
  </w:style>
  <w:style w:type="paragraph" w:styleId="1151">
    <w:name w:val="页眉12"/>
    <w:basedOn w:val="1015"/>
    <w:next w:val="1151"/>
    <w:link w:val="1015"/>
    <w:uiPriority w:val="99"/>
    <w:unhideWhenUsed/>
    <w:qFormat/>
    <w:pPr>
      <w:tabs>
        <w:tab w:val="center" w:pos="7143" w:leader="none"/>
        <w:tab w:val="right" w:pos="14287" w:leader="none"/>
      </w:tabs>
    </w:pPr>
  </w:style>
  <w:style w:type="paragraph" w:styleId="1152">
    <w:name w:val="目录 111"/>
    <w:basedOn w:val="1015"/>
    <w:next w:val="1015"/>
    <w:link w:val="1015"/>
    <w:uiPriority w:val="39"/>
    <w:unhideWhenUsed/>
    <w:qFormat/>
    <w:pPr>
      <w:spacing w:after="57"/>
    </w:pPr>
  </w:style>
  <w:style w:type="paragraph" w:styleId="1153">
    <w:name w:val="目录 411"/>
    <w:basedOn w:val="1015"/>
    <w:next w:val="1015"/>
    <w:link w:val="1015"/>
    <w:uiPriority w:val="39"/>
    <w:unhideWhenUsed/>
    <w:qFormat/>
    <w:pPr>
      <w:ind w:left="850"/>
      <w:spacing w:after="57"/>
    </w:pPr>
  </w:style>
  <w:style w:type="paragraph" w:styleId="1154">
    <w:name w:val="副标题11"/>
    <w:basedOn w:val="1015"/>
    <w:next w:val="1015"/>
    <w:link w:val="1015"/>
    <w:uiPriority w:val="11"/>
    <w:qFormat/>
    <w:pPr>
      <w:spacing w:before="200" w:after="200"/>
    </w:pPr>
    <w:rPr>
      <w:sz w:val="24"/>
      <w:szCs w:val="24"/>
    </w:rPr>
  </w:style>
  <w:style w:type="paragraph" w:styleId="1155">
    <w:name w:val="脚注文本11"/>
    <w:basedOn w:val="1015"/>
    <w:next w:val="1155"/>
    <w:link w:val="1015"/>
    <w:uiPriority w:val="99"/>
    <w:unhideWhenUsed/>
    <w:qFormat/>
    <w:pPr>
      <w:spacing w:after="40"/>
    </w:pPr>
    <w:rPr>
      <w:sz w:val="18"/>
    </w:rPr>
  </w:style>
  <w:style w:type="paragraph" w:styleId="1156">
    <w:name w:val="目录 611"/>
    <w:basedOn w:val="1015"/>
    <w:next w:val="1015"/>
    <w:link w:val="1015"/>
    <w:uiPriority w:val="39"/>
    <w:unhideWhenUsed/>
    <w:qFormat/>
    <w:pPr>
      <w:ind w:left="1417"/>
      <w:spacing w:after="57"/>
    </w:pPr>
  </w:style>
  <w:style w:type="paragraph" w:styleId="1157">
    <w:name w:val="图表目录11"/>
    <w:basedOn w:val="1015"/>
    <w:next w:val="1015"/>
    <w:link w:val="1015"/>
    <w:uiPriority w:val="99"/>
    <w:unhideWhenUsed/>
    <w:qFormat/>
  </w:style>
  <w:style w:type="paragraph" w:styleId="1158">
    <w:name w:val="目录 211"/>
    <w:basedOn w:val="1015"/>
    <w:next w:val="1015"/>
    <w:link w:val="1015"/>
    <w:uiPriority w:val="39"/>
    <w:unhideWhenUsed/>
    <w:qFormat/>
    <w:pPr>
      <w:ind w:left="283"/>
      <w:spacing w:after="57"/>
    </w:pPr>
  </w:style>
  <w:style w:type="paragraph" w:styleId="1159">
    <w:name w:val="目录 911"/>
    <w:basedOn w:val="1015"/>
    <w:next w:val="1015"/>
    <w:link w:val="1015"/>
    <w:uiPriority w:val="39"/>
    <w:unhideWhenUsed/>
    <w:qFormat/>
    <w:pPr>
      <w:ind w:left="2268"/>
      <w:spacing w:after="57"/>
    </w:pPr>
  </w:style>
  <w:style w:type="paragraph" w:styleId="1160">
    <w:name w:val="标题11"/>
    <w:basedOn w:val="1015"/>
    <w:next w:val="1015"/>
    <w:link w:val="1015"/>
    <w:uiPriority w:val="10"/>
    <w:qFormat/>
    <w:pPr>
      <w:contextualSpacing/>
      <w:spacing w:before="300" w:after="200"/>
    </w:pPr>
    <w:rPr>
      <w:sz w:val="48"/>
      <w:szCs w:val="48"/>
    </w:rPr>
  </w:style>
  <w:style w:type="table" w:styleId="1161">
    <w:name w:val="网格型12"/>
    <w:next w:val="1161"/>
    <w:link w:val="1015"/>
    <w:uiPriority w:val="59"/>
    <w:qFormat/>
    <w:tblPr/>
  </w:style>
  <w:style w:type="character" w:styleId="1162">
    <w:name w:val="尾注引用11"/>
    <w:next w:val="1162"/>
    <w:link w:val="1015"/>
    <w:uiPriority w:val="99"/>
    <w:unhideWhenUsed/>
    <w:qFormat/>
    <w:rPr>
      <w:vertAlign w:val="superscript"/>
    </w:rPr>
  </w:style>
  <w:style w:type="character" w:styleId="1163">
    <w:name w:val="超链接11"/>
    <w:next w:val="1163"/>
    <w:link w:val="1015"/>
    <w:uiPriority w:val="99"/>
    <w:unhideWhenUsed/>
    <w:qFormat/>
    <w:rPr>
      <w:color w:val="0000ff"/>
      <w:u w:val="single"/>
    </w:rPr>
  </w:style>
  <w:style w:type="character" w:styleId="1164">
    <w:name w:val="脚注引用11"/>
    <w:next w:val="1164"/>
    <w:link w:val="1015"/>
    <w:uiPriority w:val="99"/>
    <w:unhideWhenUsed/>
    <w:qFormat/>
    <w:rPr>
      <w:vertAlign w:val="superscript"/>
    </w:rPr>
  </w:style>
  <w:style w:type="paragraph" w:styleId="1165">
    <w:name w:val="List Paragraph"/>
    <w:basedOn w:val="1015"/>
    <w:next w:val="1165"/>
    <w:link w:val="1015"/>
    <w:uiPriority w:val="34"/>
    <w:qFormat/>
    <w:pPr>
      <w:contextualSpacing/>
      <w:ind w:left="720"/>
    </w:pPr>
  </w:style>
  <w:style w:type="paragraph" w:styleId="1166">
    <w:name w:val="No Spacing"/>
    <w:next w:val="1166"/>
    <w:link w:val="1015"/>
    <w:uiPriority w:val="1"/>
    <w:qFormat/>
    <w:rPr>
      <w:rFonts w:ascii="Times New Roman" w:hAnsi="Times New Roman" w:eastAsia="宋体" w:cs="Times New Roman"/>
      <w:lang w:val="en-US" w:eastAsia="zh-CN" w:bidi="ar-SA"/>
    </w:rPr>
  </w:style>
  <w:style w:type="paragraph" w:styleId="1167">
    <w:name w:val="Quote"/>
    <w:basedOn w:val="1015"/>
    <w:next w:val="1015"/>
    <w:link w:val="1015"/>
    <w:uiPriority w:val="29"/>
    <w:qFormat/>
    <w:pPr>
      <w:ind w:left="720" w:right="720"/>
    </w:pPr>
    <w:rPr>
      <w:i/>
    </w:rPr>
  </w:style>
  <w:style w:type="paragraph" w:styleId="1168">
    <w:name w:val="Intense Quote"/>
    <w:basedOn w:val="1015"/>
    <w:next w:val="1015"/>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69">
    <w:name w:val="TOC 标题112"/>
    <w:next w:val="1169"/>
    <w:link w:val="1015"/>
    <w:uiPriority w:val="39"/>
    <w:unhideWhenUsed/>
    <w:qFormat/>
    <w:rPr>
      <w:rFonts w:ascii="Times New Roman" w:hAnsi="Times New Roman" w:eastAsia="宋体" w:cs="Times New Roman"/>
      <w:lang w:val="en-US" w:eastAsia="zh-CN" w:bidi="ar-SA"/>
    </w:rPr>
  </w:style>
  <w:style w:type="paragraph" w:styleId="1170">
    <w:name w:val="标题 111"/>
    <w:basedOn w:val="1015"/>
    <w:next w:val="1015"/>
    <w:link w:val="1171"/>
    <w:qFormat/>
    <w:pPr>
      <w:keepLines/>
      <w:keepNext/>
      <w:spacing w:before="340" w:after="330" w:line="578" w:lineRule="auto"/>
      <w:outlineLvl w:val="0"/>
    </w:pPr>
    <w:rPr>
      <w:b/>
      <w:sz w:val="44"/>
    </w:rPr>
  </w:style>
  <w:style w:type="character" w:styleId="1171">
    <w:name w:val="标题 1 字符"/>
    <w:next w:val="1171"/>
    <w:link w:val="1170"/>
    <w:qFormat/>
    <w:rPr>
      <w:rFonts w:eastAsia="楷体_GB2312"/>
      <w:b/>
      <w:sz w:val="44"/>
    </w:rPr>
  </w:style>
  <w:style w:type="paragraph" w:styleId="1172">
    <w:name w:val="标题 211"/>
    <w:basedOn w:val="1015"/>
    <w:next w:val="1015"/>
    <w:link w:val="1173"/>
    <w:qFormat/>
    <w:pPr>
      <w:jc w:val="left"/>
      <w:keepLines/>
      <w:keepNext/>
      <w:outlineLvl w:val="1"/>
    </w:pPr>
    <w:rPr>
      <w:rFonts w:ascii="宋体" w:hAnsi="宋体"/>
      <w:b/>
    </w:rPr>
  </w:style>
  <w:style w:type="character" w:styleId="1173">
    <w:name w:val="标题 2 字符"/>
    <w:next w:val="1173"/>
    <w:link w:val="1172"/>
    <w:qFormat/>
    <w:rPr>
      <w:rFonts w:ascii="宋体" w:hAnsi="宋体" w:eastAsia="楷体_GB2312"/>
      <w:b/>
      <w:sz w:val="26"/>
      <w:lang w:val="en-US" w:eastAsia="zh-CN" w:bidi="ar-SA"/>
    </w:rPr>
  </w:style>
  <w:style w:type="paragraph" w:styleId="1174">
    <w:name w:val="标题 311"/>
    <w:basedOn w:val="1015"/>
    <w:next w:val="1015"/>
    <w:link w:val="1175"/>
    <w:uiPriority w:val="99"/>
    <w:qFormat/>
    <w:pPr>
      <w:jc w:val="left"/>
      <w:keepLines/>
      <w:keepNext/>
      <w:outlineLvl w:val="2"/>
    </w:pPr>
    <w:rPr>
      <w:b/>
    </w:rPr>
  </w:style>
  <w:style w:type="character" w:styleId="1175">
    <w:name w:val="标题 3 字符"/>
    <w:next w:val="1175"/>
    <w:link w:val="1174"/>
    <w:uiPriority w:val="99"/>
    <w:qFormat/>
    <w:rPr>
      <w:rFonts w:eastAsia="楷体_GB2312"/>
      <w:b/>
      <w:sz w:val="26"/>
    </w:rPr>
  </w:style>
  <w:style w:type="paragraph" w:styleId="1176">
    <w:name w:val="标题 411"/>
    <w:basedOn w:val="1015"/>
    <w:next w:val="1015"/>
    <w:link w:val="1177"/>
    <w:qFormat/>
    <w:pPr>
      <w:ind w:firstLine="200"/>
      <w:keepLines/>
      <w:keepNext/>
      <w:spacing w:before="280" w:after="290" w:line="372" w:lineRule="auto"/>
      <w:outlineLvl w:val="3"/>
    </w:pPr>
    <w:rPr>
      <w:rFonts w:ascii="Arial" w:hAnsi="Arial" w:eastAsia="黑体"/>
      <w:b/>
      <w:sz w:val="28"/>
    </w:rPr>
  </w:style>
  <w:style w:type="character" w:styleId="1177">
    <w:name w:val="标题 4 字符"/>
    <w:next w:val="1177"/>
    <w:link w:val="1176"/>
    <w:qFormat/>
    <w:rPr>
      <w:rFonts w:ascii="Arial" w:hAnsi="Arial" w:eastAsia="黑体"/>
      <w:b/>
      <w:sz w:val="28"/>
    </w:rPr>
  </w:style>
  <w:style w:type="paragraph" w:styleId="1178">
    <w:name w:val="标题 511"/>
    <w:basedOn w:val="1015"/>
    <w:next w:val="1179"/>
    <w:link w:val="1015"/>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1179">
    <w:name w:val="正文缩进1"/>
    <w:basedOn w:val="1015"/>
    <w:next w:val="1179"/>
    <w:link w:val="1180"/>
    <w:qFormat/>
    <w:pPr>
      <w:ind w:firstLine="420"/>
      <w:jc w:val="left"/>
    </w:pPr>
    <w:rPr>
      <w:sz w:val="24"/>
    </w:rPr>
  </w:style>
  <w:style w:type="character" w:styleId="1180">
    <w:name w:val="正文缩进 字符"/>
    <w:next w:val="1180"/>
    <w:link w:val="1179"/>
    <w:qFormat/>
    <w:rPr>
      <w:rFonts w:eastAsia="楷体_GB2312"/>
      <w:sz w:val="24"/>
      <w:lang w:val="en-US" w:eastAsia="zh-CN" w:bidi="ar-SA"/>
    </w:rPr>
  </w:style>
  <w:style w:type="paragraph" w:styleId="1181">
    <w:name w:val="标题 611"/>
    <w:basedOn w:val="1015"/>
    <w:next w:val="1179"/>
    <w:link w:val="1015"/>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1182">
    <w:name w:val="标题 711"/>
    <w:basedOn w:val="1015"/>
    <w:next w:val="1179"/>
    <w:link w:val="1015"/>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1183">
    <w:name w:val="标题 811"/>
    <w:basedOn w:val="1015"/>
    <w:next w:val="1179"/>
    <w:link w:val="1015"/>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1184">
    <w:name w:val="标题 911"/>
    <w:basedOn w:val="1015"/>
    <w:next w:val="1179"/>
    <w:link w:val="1015"/>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1185">
    <w:name w:val="默认段落字体1"/>
    <w:next w:val="1185"/>
    <w:link w:val="1015"/>
    <w:uiPriority w:val="1"/>
    <w:unhideWhenUsed/>
    <w:qFormat/>
  </w:style>
  <w:style w:type="table" w:styleId="1186">
    <w:name w:val="普通表格1"/>
    <w:next w:val="1186"/>
    <w:link w:val="1015"/>
    <w:uiPriority w:val="99"/>
    <w:unhideWhenUsed/>
    <w:qFormat/>
    <w:tblPr/>
  </w:style>
  <w:style w:type="paragraph" w:styleId="1187">
    <w:name w:val="目录 71"/>
    <w:basedOn w:val="1015"/>
    <w:next w:val="1015"/>
    <w:link w:val="1015"/>
    <w:qFormat/>
    <w:pPr>
      <w:ind w:left="2520"/>
    </w:pPr>
  </w:style>
  <w:style w:type="paragraph" w:styleId="1188">
    <w:name w:val="索引 81"/>
    <w:basedOn w:val="1015"/>
    <w:next w:val="1015"/>
    <w:link w:val="1015"/>
    <w:qFormat/>
    <w:pPr>
      <w:ind w:left="2940"/>
    </w:pPr>
  </w:style>
  <w:style w:type="paragraph" w:styleId="1189">
    <w:name w:val="索引 51"/>
    <w:basedOn w:val="1015"/>
    <w:next w:val="1015"/>
    <w:link w:val="1015"/>
    <w:qFormat/>
    <w:pPr>
      <w:ind w:left="1680"/>
    </w:pPr>
  </w:style>
  <w:style w:type="paragraph" w:styleId="1190">
    <w:name w:val="文档结构图1"/>
    <w:basedOn w:val="1015"/>
    <w:next w:val="1190"/>
    <w:link w:val="1191"/>
    <w:qFormat/>
    <w:pPr>
      <w:shd w:val="clear" w:color="auto" w:fill="000080"/>
    </w:pPr>
  </w:style>
  <w:style w:type="character" w:styleId="1191">
    <w:name w:val="文档结构图 字符"/>
    <w:next w:val="1191"/>
    <w:link w:val="1190"/>
    <w:qFormat/>
    <w:rPr>
      <w:rFonts w:eastAsia="楷体_GB2312"/>
      <w:sz w:val="26"/>
      <w:shd w:val="clear" w:color="auto" w:fill="000080"/>
    </w:rPr>
  </w:style>
  <w:style w:type="paragraph" w:styleId="1192">
    <w:name w:val="批注文字1"/>
    <w:basedOn w:val="1015"/>
    <w:next w:val="1192"/>
    <w:link w:val="1193"/>
    <w:qFormat/>
    <w:pPr>
      <w:jc w:val="left"/>
    </w:pPr>
  </w:style>
  <w:style w:type="character" w:styleId="1193">
    <w:name w:val="批注文字 字符"/>
    <w:next w:val="1193"/>
    <w:link w:val="1192"/>
    <w:qFormat/>
    <w:rPr>
      <w:rFonts w:eastAsia="楷体_GB2312"/>
      <w:sz w:val="26"/>
    </w:rPr>
  </w:style>
  <w:style w:type="paragraph" w:styleId="1194">
    <w:name w:val="索引 61"/>
    <w:basedOn w:val="1015"/>
    <w:next w:val="1015"/>
    <w:link w:val="1015"/>
    <w:qFormat/>
    <w:pPr>
      <w:ind w:left="2100"/>
    </w:pPr>
  </w:style>
  <w:style w:type="paragraph" w:styleId="1195">
    <w:name w:val="正文文本11"/>
    <w:basedOn w:val="1015"/>
    <w:next w:val="1195"/>
    <w:link w:val="1196"/>
    <w:qFormat/>
    <w:pPr>
      <w:spacing w:line="400" w:lineRule="exact"/>
    </w:pPr>
    <w:rPr>
      <w:rFonts w:ascii="楷体_GB2312"/>
      <w:sz w:val="28"/>
    </w:rPr>
  </w:style>
  <w:style w:type="character" w:styleId="1196">
    <w:name w:val="正文文本 字符2"/>
    <w:next w:val="1196"/>
    <w:link w:val="1195"/>
    <w:qFormat/>
    <w:rPr>
      <w:rFonts w:ascii="楷体_GB2312" w:eastAsia="楷体_GB2312"/>
      <w:sz w:val="28"/>
    </w:rPr>
  </w:style>
  <w:style w:type="paragraph" w:styleId="1197">
    <w:name w:val="正文文本缩进11"/>
    <w:basedOn w:val="1015"/>
    <w:next w:val="1199"/>
    <w:link w:val="1198"/>
    <w:qFormat/>
    <w:pPr>
      <w:ind w:left="570"/>
      <w:spacing w:line="520" w:lineRule="exact"/>
    </w:pPr>
    <w:rPr>
      <w:rFonts w:hint="eastAsia" w:ascii="楷体_GB2312"/>
    </w:rPr>
  </w:style>
  <w:style w:type="character" w:styleId="1198">
    <w:name w:val="正文文本缩进 字符"/>
    <w:next w:val="1198"/>
    <w:link w:val="1197"/>
    <w:qFormat/>
    <w:rPr>
      <w:rFonts w:hint="eastAsia" w:ascii="楷体_GB2312" w:eastAsia="楷体_GB2312" w:cs="楷体_GB2312"/>
      <w:sz w:val="26"/>
    </w:rPr>
  </w:style>
  <w:style w:type="paragraph" w:styleId="1199">
    <w:name w:val="寄信人地址11"/>
    <w:basedOn w:val="1015"/>
    <w:next w:val="1199"/>
    <w:link w:val="1015"/>
    <w:uiPriority w:val="99"/>
    <w:unhideWhenUsed/>
    <w:qFormat/>
    <w:rPr>
      <w:rFonts w:ascii="Arial" w:hAnsi="Arial"/>
    </w:rPr>
  </w:style>
  <w:style w:type="paragraph" w:styleId="1200">
    <w:name w:val="索引 41"/>
    <w:basedOn w:val="1015"/>
    <w:next w:val="1015"/>
    <w:link w:val="1015"/>
    <w:qFormat/>
    <w:pPr>
      <w:ind w:left="1260"/>
    </w:pPr>
  </w:style>
  <w:style w:type="paragraph" w:styleId="1201">
    <w:name w:val="目录 51"/>
    <w:basedOn w:val="1015"/>
    <w:next w:val="1015"/>
    <w:link w:val="1015"/>
    <w:qFormat/>
    <w:pPr>
      <w:ind w:left="1680"/>
    </w:pPr>
  </w:style>
  <w:style w:type="paragraph" w:styleId="1202">
    <w:name w:val="目录 31"/>
    <w:basedOn w:val="1015"/>
    <w:next w:val="1015"/>
    <w:link w:val="1203"/>
    <w:qFormat/>
    <w:pPr>
      <w:ind w:left="840"/>
    </w:pPr>
  </w:style>
  <w:style w:type="character" w:styleId="1203">
    <w:name w:val="TOC 3 字符"/>
    <w:next w:val="1203"/>
    <w:link w:val="1202"/>
    <w:qFormat/>
    <w:rPr>
      <w:rFonts w:eastAsia="楷体_GB2312"/>
      <w:sz w:val="26"/>
    </w:rPr>
  </w:style>
  <w:style w:type="paragraph" w:styleId="1204">
    <w:name w:val="纯文本11"/>
    <w:basedOn w:val="1015"/>
    <w:next w:val="1204"/>
    <w:link w:val="1205"/>
    <w:qFormat/>
    <w:rPr>
      <w:rFonts w:ascii="宋体" w:hAnsi="Courier New"/>
    </w:rPr>
  </w:style>
  <w:style w:type="character" w:styleId="1205">
    <w:name w:val="纯文本 字符1"/>
    <w:next w:val="1205"/>
    <w:link w:val="1204"/>
    <w:qFormat/>
    <w:rPr>
      <w:rFonts w:ascii="宋体" w:hAnsi="Courier New" w:eastAsia="楷体_GB2312"/>
      <w:sz w:val="26"/>
      <w:lang w:val="en-US" w:eastAsia="zh-CN" w:bidi="ar-SA"/>
    </w:rPr>
  </w:style>
  <w:style w:type="paragraph" w:styleId="1206">
    <w:name w:val="目录 81"/>
    <w:basedOn w:val="1015"/>
    <w:next w:val="1015"/>
    <w:link w:val="1015"/>
    <w:qFormat/>
    <w:pPr>
      <w:ind w:left="2940"/>
    </w:pPr>
  </w:style>
  <w:style w:type="paragraph" w:styleId="1207">
    <w:name w:val="索引 31"/>
    <w:basedOn w:val="1015"/>
    <w:next w:val="1015"/>
    <w:link w:val="1015"/>
    <w:qFormat/>
    <w:pPr>
      <w:ind w:left="840"/>
    </w:pPr>
  </w:style>
  <w:style w:type="paragraph" w:styleId="1208">
    <w:name w:val="日期1"/>
    <w:basedOn w:val="1015"/>
    <w:next w:val="1015"/>
    <w:link w:val="1209"/>
    <w:qFormat/>
    <w:rPr>
      <w:rFonts w:ascii="宋体" w:hAnsi="宋体"/>
      <w:sz w:val="24"/>
    </w:rPr>
  </w:style>
  <w:style w:type="character" w:styleId="1209">
    <w:name w:val="日期 字符"/>
    <w:next w:val="1209"/>
    <w:link w:val="1208"/>
    <w:qFormat/>
    <w:rPr>
      <w:rFonts w:ascii="宋体" w:hAnsi="宋体" w:eastAsia="楷体_GB2312"/>
      <w:sz w:val="24"/>
    </w:rPr>
  </w:style>
  <w:style w:type="paragraph" w:styleId="1210">
    <w:name w:val="正文文本缩进 21"/>
    <w:basedOn w:val="1015"/>
    <w:next w:val="1210"/>
    <w:link w:val="1015"/>
    <w:qFormat/>
    <w:pPr>
      <w:ind w:firstLine="502"/>
      <w:spacing w:line="360" w:lineRule="auto"/>
      <w:tabs>
        <w:tab w:val="left" w:pos="0" w:leader="none"/>
      </w:tabs>
    </w:pPr>
    <w:rPr>
      <w:rFonts w:ascii="宋体" w:eastAsia="宋体"/>
      <w:b/>
      <w:bCs/>
      <w:sz w:val="24"/>
    </w:rPr>
  </w:style>
  <w:style w:type="paragraph" w:styleId="1211">
    <w:name w:val="尾注文本1"/>
    <w:basedOn w:val="1015"/>
    <w:next w:val="1211"/>
    <w:link w:val="1212"/>
    <w:uiPriority w:val="99"/>
    <w:unhideWhenUsed/>
    <w:qFormat/>
    <w:rPr>
      <w:rFonts w:eastAsia="宋体"/>
      <w:sz w:val="20"/>
    </w:rPr>
  </w:style>
  <w:style w:type="character" w:styleId="1212">
    <w:name w:val="尾注文本 字符"/>
    <w:next w:val="1212"/>
    <w:link w:val="1211"/>
    <w:uiPriority w:val="99"/>
    <w:qFormat/>
    <w:rPr>
      <w:sz w:val="20"/>
    </w:rPr>
  </w:style>
  <w:style w:type="paragraph" w:styleId="1213">
    <w:name w:val="批注框文本1"/>
    <w:basedOn w:val="1015"/>
    <w:next w:val="1213"/>
    <w:link w:val="1214"/>
    <w:qFormat/>
    <w:rPr>
      <w:sz w:val="18"/>
      <w:szCs w:val="18"/>
    </w:rPr>
  </w:style>
  <w:style w:type="character" w:styleId="1214">
    <w:name w:val="批注框文本 字符"/>
    <w:next w:val="1214"/>
    <w:link w:val="1213"/>
    <w:qFormat/>
    <w:rPr>
      <w:rFonts w:eastAsia="楷体_GB2312"/>
      <w:sz w:val="18"/>
      <w:szCs w:val="18"/>
    </w:rPr>
  </w:style>
  <w:style w:type="paragraph" w:styleId="1215">
    <w:name w:val="页脚111"/>
    <w:basedOn w:val="1015"/>
    <w:next w:val="1215"/>
    <w:link w:val="1216"/>
    <w:uiPriority w:val="99"/>
    <w:qFormat/>
    <w:pPr>
      <w:jc w:val="left"/>
      <w:tabs>
        <w:tab w:val="center" w:pos="4153" w:leader="none"/>
        <w:tab w:val="right" w:pos="8306" w:leader="none"/>
      </w:tabs>
    </w:pPr>
    <w:rPr>
      <w:sz w:val="18"/>
    </w:rPr>
  </w:style>
  <w:style w:type="character" w:styleId="1216">
    <w:name w:val="页脚 字符1"/>
    <w:next w:val="1216"/>
    <w:link w:val="1215"/>
    <w:uiPriority w:val="99"/>
    <w:qFormat/>
    <w:rPr>
      <w:rFonts w:eastAsia="楷体_GB2312"/>
      <w:sz w:val="18"/>
    </w:rPr>
  </w:style>
  <w:style w:type="paragraph" w:styleId="1217">
    <w:name w:val="页眉11"/>
    <w:basedOn w:val="1015"/>
    <w:next w:val="1217"/>
    <w:link w:val="1218"/>
    <w:uiPriority w:val="99"/>
    <w:qFormat/>
    <w:pPr>
      <w:jc w:val="center"/>
      <w:tabs>
        <w:tab w:val="center" w:pos="4153" w:leader="none"/>
        <w:tab w:val="right" w:pos="8306" w:leader="none"/>
      </w:tabs>
      <w:pBdr>
        <w:bottom w:val="single" w:color="000000" w:sz="6" w:space="1"/>
      </w:pBdr>
    </w:pPr>
    <w:rPr>
      <w:sz w:val="18"/>
    </w:rPr>
  </w:style>
  <w:style w:type="character" w:styleId="1218">
    <w:name w:val="页眉 字符1"/>
    <w:next w:val="1218"/>
    <w:link w:val="1217"/>
    <w:uiPriority w:val="99"/>
    <w:qFormat/>
    <w:rPr>
      <w:rFonts w:eastAsia="楷体_GB2312"/>
      <w:sz w:val="18"/>
    </w:rPr>
  </w:style>
  <w:style w:type="paragraph" w:styleId="1219">
    <w:name w:val="签名1"/>
    <w:basedOn w:val="1015"/>
    <w:next w:val="1219"/>
    <w:link w:val="1015"/>
    <w:qFormat/>
    <w:pPr>
      <w:jc w:val="center"/>
      <w:spacing w:after="600" w:line="312" w:lineRule="atLeast"/>
    </w:pPr>
    <w:rPr>
      <w:rFonts w:eastAsia="仿宋_GB2312"/>
      <w:sz w:val="24"/>
    </w:rPr>
  </w:style>
  <w:style w:type="paragraph" w:styleId="1220">
    <w:name w:val="目录 11"/>
    <w:basedOn w:val="1015"/>
    <w:next w:val="1015"/>
    <w:link w:val="1015"/>
    <w:qFormat/>
    <w:pPr>
      <w:jc w:val="left"/>
    </w:pPr>
    <w:rPr>
      <w:sz w:val="24"/>
    </w:rPr>
  </w:style>
  <w:style w:type="paragraph" w:styleId="1221">
    <w:name w:val="目录 41"/>
    <w:basedOn w:val="1015"/>
    <w:next w:val="1015"/>
    <w:link w:val="1015"/>
    <w:qFormat/>
    <w:pPr>
      <w:ind w:left="1260"/>
    </w:pPr>
  </w:style>
  <w:style w:type="paragraph" w:styleId="1222">
    <w:name w:val="索引标题1"/>
    <w:basedOn w:val="1015"/>
    <w:next w:val="1223"/>
    <w:link w:val="1015"/>
    <w:qFormat/>
  </w:style>
  <w:style w:type="paragraph" w:styleId="1223">
    <w:name w:val="索引 11"/>
    <w:basedOn w:val="1015"/>
    <w:next w:val="1015"/>
    <w:link w:val="1015"/>
    <w:qFormat/>
  </w:style>
  <w:style w:type="paragraph" w:styleId="1224">
    <w:name w:val="副标题1"/>
    <w:basedOn w:val="1015"/>
    <w:next w:val="1015"/>
    <w:link w:val="1225"/>
    <w:uiPriority w:val="11"/>
    <w:qFormat/>
    <w:pPr>
      <w:spacing w:before="200" w:after="200"/>
    </w:pPr>
    <w:rPr>
      <w:rFonts w:eastAsia="宋体"/>
      <w:sz w:val="24"/>
      <w:szCs w:val="24"/>
    </w:rPr>
  </w:style>
  <w:style w:type="character" w:styleId="1225">
    <w:name w:val="副标题 字符"/>
    <w:next w:val="1225"/>
    <w:link w:val="1224"/>
    <w:uiPriority w:val="11"/>
    <w:qFormat/>
    <w:rPr>
      <w:sz w:val="24"/>
      <w:szCs w:val="24"/>
    </w:rPr>
  </w:style>
  <w:style w:type="paragraph" w:styleId="1226">
    <w:name w:val="脚注文本1"/>
    <w:basedOn w:val="1015"/>
    <w:next w:val="1226"/>
    <w:link w:val="1227"/>
    <w:uiPriority w:val="99"/>
    <w:qFormat/>
    <w:pPr>
      <w:jc w:val="left"/>
    </w:pPr>
    <w:rPr>
      <w:rFonts w:eastAsia="宋体"/>
      <w:sz w:val="18"/>
    </w:rPr>
  </w:style>
  <w:style w:type="character" w:styleId="1227">
    <w:name w:val="脚注文本 字符"/>
    <w:next w:val="1227"/>
    <w:link w:val="1226"/>
    <w:uiPriority w:val="99"/>
    <w:qFormat/>
    <w:rPr>
      <w:sz w:val="18"/>
    </w:rPr>
  </w:style>
  <w:style w:type="paragraph" w:styleId="1228">
    <w:name w:val="目录 61"/>
    <w:basedOn w:val="1015"/>
    <w:next w:val="1015"/>
    <w:link w:val="1015"/>
    <w:qFormat/>
    <w:pPr>
      <w:ind w:left="2100"/>
    </w:pPr>
  </w:style>
  <w:style w:type="paragraph" w:styleId="1229">
    <w:name w:val="正文文本缩进 31"/>
    <w:basedOn w:val="1015"/>
    <w:next w:val="1230"/>
    <w:link w:val="1015"/>
    <w:qFormat/>
    <w:pPr>
      <w:ind w:firstLine="617"/>
      <w:spacing w:line="360" w:lineRule="auto"/>
    </w:pPr>
    <w:rPr>
      <w:rFonts w:eastAsia="宋体"/>
      <w:sz w:val="24"/>
      <w:szCs w:val="24"/>
    </w:rPr>
  </w:style>
  <w:style w:type="paragraph" w:styleId="1230">
    <w:name w:val="引文目录标题1"/>
    <w:basedOn w:val="1015"/>
    <w:next w:val="1015"/>
    <w:link w:val="1015"/>
    <w:qFormat/>
    <w:pPr>
      <w:jc w:val="center"/>
      <w:spacing w:line="360" w:lineRule="atLeast"/>
    </w:pPr>
    <w:rPr>
      <w:rFonts w:ascii="Arial" w:hAnsi="Arial" w:eastAsia="黑体"/>
      <w:sz w:val="36"/>
    </w:rPr>
  </w:style>
  <w:style w:type="paragraph" w:styleId="1231">
    <w:name w:val="索引 71"/>
    <w:basedOn w:val="1015"/>
    <w:next w:val="1015"/>
    <w:link w:val="1015"/>
    <w:qFormat/>
    <w:pPr>
      <w:ind w:left="2520"/>
    </w:pPr>
  </w:style>
  <w:style w:type="paragraph" w:styleId="1232">
    <w:name w:val="索引 91"/>
    <w:basedOn w:val="1015"/>
    <w:next w:val="1015"/>
    <w:link w:val="1015"/>
    <w:qFormat/>
    <w:pPr>
      <w:ind w:left="3360"/>
    </w:pPr>
  </w:style>
  <w:style w:type="paragraph" w:styleId="1233">
    <w:name w:val="图表目录1"/>
    <w:basedOn w:val="1015"/>
    <w:next w:val="1015"/>
    <w:link w:val="1015"/>
    <w:qFormat/>
    <w:pPr>
      <w:ind w:left="420" w:hanging="420"/>
      <w:jc w:val="left"/>
    </w:pPr>
    <w:rPr>
      <w:smallCaps/>
      <w:sz w:val="24"/>
    </w:rPr>
  </w:style>
  <w:style w:type="paragraph" w:styleId="1234">
    <w:name w:val="目录 21"/>
    <w:basedOn w:val="1015"/>
    <w:next w:val="1015"/>
    <w:link w:val="1015"/>
    <w:qFormat/>
    <w:pPr>
      <w:ind w:left="420"/>
    </w:pPr>
  </w:style>
  <w:style w:type="paragraph" w:styleId="1235">
    <w:name w:val="目录 91"/>
    <w:basedOn w:val="1015"/>
    <w:next w:val="1015"/>
    <w:link w:val="1015"/>
    <w:qFormat/>
    <w:pPr>
      <w:ind w:left="3360"/>
    </w:pPr>
  </w:style>
  <w:style w:type="paragraph" w:styleId="1236">
    <w:name w:val="HTML 预设格式1"/>
    <w:basedOn w:val="1015"/>
    <w:next w:val="1236"/>
    <w:link w:val="10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237">
    <w:name w:val="普通(网站)1"/>
    <w:basedOn w:val="1015"/>
    <w:next w:val="1237"/>
    <w:link w:val="1238"/>
    <w:qFormat/>
    <w:pPr>
      <w:jc w:val="left"/>
      <w:spacing w:line="360" w:lineRule="auto"/>
      <w:shd w:val="clear" w:color="auto" w:fill="ffffff"/>
    </w:pPr>
    <w:rPr>
      <w:sz w:val="24"/>
      <w:szCs w:val="24"/>
    </w:rPr>
  </w:style>
  <w:style w:type="character" w:styleId="1238">
    <w:name w:val="普通(网站) 字符"/>
    <w:next w:val="1238"/>
    <w:link w:val="1237"/>
    <w:qFormat/>
    <w:rPr>
      <w:rFonts w:eastAsia="楷体_GB2312"/>
      <w:sz w:val="24"/>
      <w:szCs w:val="24"/>
      <w:shd w:val="clear" w:color="auto" w:fill="ffffff"/>
    </w:rPr>
  </w:style>
  <w:style w:type="paragraph" w:styleId="1239">
    <w:name w:val="索引 21"/>
    <w:basedOn w:val="1015"/>
    <w:next w:val="1015"/>
    <w:link w:val="1015"/>
    <w:qFormat/>
    <w:pPr>
      <w:ind w:left="420"/>
    </w:pPr>
  </w:style>
  <w:style w:type="paragraph" w:styleId="1240">
    <w:name w:val="标题1"/>
    <w:basedOn w:val="1015"/>
    <w:next w:val="1015"/>
    <w:link w:val="1241"/>
    <w:uiPriority w:val="10"/>
    <w:qFormat/>
    <w:pPr>
      <w:contextualSpacing/>
      <w:spacing w:before="300" w:after="200"/>
    </w:pPr>
    <w:rPr>
      <w:rFonts w:eastAsia="宋体"/>
      <w:sz w:val="48"/>
      <w:szCs w:val="48"/>
    </w:rPr>
  </w:style>
  <w:style w:type="character" w:styleId="1241">
    <w:name w:val="标题 字符"/>
    <w:next w:val="1241"/>
    <w:link w:val="1240"/>
    <w:uiPriority w:val="10"/>
    <w:qFormat/>
    <w:rPr>
      <w:sz w:val="48"/>
      <w:szCs w:val="48"/>
    </w:rPr>
  </w:style>
  <w:style w:type="paragraph" w:styleId="1242">
    <w:name w:val="批注主题1"/>
    <w:basedOn w:val="1192"/>
    <w:next w:val="1192"/>
    <w:link w:val="1015"/>
    <w:qFormat/>
    <w:rPr>
      <w:b/>
      <w:bCs/>
    </w:rPr>
  </w:style>
  <w:style w:type="paragraph" w:styleId="1243">
    <w:name w:val="正文首行缩进 211"/>
    <w:basedOn w:val="1197"/>
    <w:next w:val="1243"/>
    <w:link w:val="1244"/>
    <w:unhideWhenUsed/>
    <w:qFormat/>
    <w:pPr>
      <w:ind w:firstLine="420"/>
    </w:pPr>
  </w:style>
  <w:style w:type="character" w:styleId="1244">
    <w:name w:val="正文文本首行缩进 2 字符"/>
    <w:next w:val="1244"/>
    <w:link w:val="1243"/>
    <w:qFormat/>
    <w:rPr>
      <w:rFonts w:hint="eastAsia" w:ascii="楷体_GB2312" w:eastAsia="楷体_GB2312" w:cs="楷体_GB2312"/>
      <w:sz w:val="26"/>
    </w:rPr>
  </w:style>
  <w:style w:type="table" w:styleId="1245">
    <w:name w:val="网格型11"/>
    <w:basedOn w:val="1186"/>
    <w:next w:val="1245"/>
    <w:link w:val="1015"/>
    <w:qFormat/>
    <w:pPr>
      <w:jc w:val="both"/>
      <w:widowControl w:val="off"/>
    </w:pPr>
    <w:tblPr/>
  </w:style>
  <w:style w:type="character" w:styleId="1246">
    <w:name w:val="要点1"/>
    <w:next w:val="1246"/>
    <w:link w:val="1015"/>
    <w:uiPriority w:val="22"/>
    <w:qFormat/>
    <w:rPr>
      <w:b/>
    </w:rPr>
  </w:style>
  <w:style w:type="character" w:styleId="1247">
    <w:name w:val="尾注引用1"/>
    <w:next w:val="1247"/>
    <w:link w:val="1015"/>
    <w:uiPriority w:val="99"/>
    <w:unhideWhenUsed/>
    <w:qFormat/>
    <w:rPr>
      <w:vertAlign w:val="superscript"/>
    </w:rPr>
  </w:style>
  <w:style w:type="character" w:styleId="1248">
    <w:name w:val="页码1"/>
    <w:next w:val="1248"/>
    <w:link w:val="1015"/>
    <w:qFormat/>
  </w:style>
  <w:style w:type="character" w:styleId="1249">
    <w:name w:val="已访问的超链接1"/>
    <w:next w:val="1249"/>
    <w:link w:val="1015"/>
    <w:uiPriority w:val="99"/>
    <w:qFormat/>
    <w:rPr>
      <w:color w:val="333333"/>
      <w:u w:val="none"/>
    </w:rPr>
  </w:style>
  <w:style w:type="character" w:styleId="1250">
    <w:name w:val="强调1"/>
    <w:next w:val="1250"/>
    <w:link w:val="1015"/>
    <w:qFormat/>
    <w:rPr>
      <w:i/>
      <w:iCs/>
    </w:rPr>
  </w:style>
  <w:style w:type="character" w:styleId="1251">
    <w:name w:val="行号1"/>
    <w:next w:val="1251"/>
    <w:link w:val="1015"/>
    <w:qFormat/>
  </w:style>
  <w:style w:type="character" w:styleId="1252">
    <w:name w:val="HTML 定义1"/>
    <w:next w:val="1252"/>
    <w:link w:val="1015"/>
    <w:qFormat/>
    <w:rPr>
      <w:i/>
    </w:rPr>
  </w:style>
  <w:style w:type="character" w:styleId="1253">
    <w:name w:val="超链接1"/>
    <w:next w:val="1253"/>
    <w:link w:val="1015"/>
    <w:uiPriority w:val="99"/>
    <w:qFormat/>
    <w:rPr>
      <w:color w:val="333333"/>
      <w:u w:val="none"/>
    </w:rPr>
  </w:style>
  <w:style w:type="character" w:styleId="1254">
    <w:name w:val="HTML 代码1"/>
    <w:next w:val="1254"/>
    <w:link w:val="1015"/>
    <w:qFormat/>
    <w:rPr>
      <w:rFonts w:ascii="Menlo" w:hAnsi="Menlo" w:eastAsia="Menlo" w:cs="Menlo"/>
      <w:color w:val="c7254e"/>
      <w:sz w:val="21"/>
      <w:szCs w:val="21"/>
      <w:shd w:val="clear" w:color="auto" w:fill="f9f2f4"/>
    </w:rPr>
  </w:style>
  <w:style w:type="character" w:styleId="1255">
    <w:name w:val="批注引用1"/>
    <w:next w:val="1255"/>
    <w:link w:val="1015"/>
    <w:qFormat/>
    <w:rPr>
      <w:sz w:val="21"/>
      <w:szCs w:val="21"/>
    </w:rPr>
  </w:style>
  <w:style w:type="character" w:styleId="1256">
    <w:name w:val="HTML 引文1"/>
    <w:next w:val="1256"/>
    <w:link w:val="1015"/>
    <w:qFormat/>
  </w:style>
  <w:style w:type="character" w:styleId="1257">
    <w:name w:val="脚注引用1"/>
    <w:next w:val="1257"/>
    <w:link w:val="1015"/>
    <w:qFormat/>
    <w:rPr>
      <w:vertAlign w:val="superscript"/>
    </w:rPr>
  </w:style>
  <w:style w:type="character" w:styleId="1258">
    <w:name w:val="HTML 键盘1"/>
    <w:next w:val="1258"/>
    <w:link w:val="1015"/>
    <w:qFormat/>
    <w:rPr>
      <w:rFonts w:ascii="Menlo" w:hAnsi="Menlo" w:eastAsia="Menlo" w:cs="Menlo"/>
      <w:sz w:val="21"/>
      <w:szCs w:val="21"/>
    </w:rPr>
  </w:style>
  <w:style w:type="character" w:styleId="1259">
    <w:name w:val="HTML 样本1"/>
    <w:next w:val="1259"/>
    <w:link w:val="1015"/>
    <w:qFormat/>
    <w:rPr>
      <w:rFonts w:ascii="Menlo" w:hAnsi="Menlo" w:eastAsia="Menlo" w:cs="Menlo"/>
      <w:sz w:val="21"/>
      <w:szCs w:val="21"/>
    </w:rPr>
  </w:style>
  <w:style w:type="paragraph" w:styleId="1260">
    <w:name w:val="段"/>
    <w:basedOn w:val="1015"/>
    <w:next w:val="1015"/>
    <w:link w:val="1015"/>
    <w:qFormat/>
    <w:pPr>
      <w:ind w:firstLine="200"/>
      <w:spacing w:line="360" w:lineRule="auto"/>
      <w:widowControl/>
    </w:pPr>
    <w:rPr>
      <w:rFonts w:ascii="宋体" w:hAnsi="宋体" w:eastAsia="宋体" w:cs="宋体"/>
      <w:sz w:val="24"/>
      <w:szCs w:val="24"/>
    </w:rPr>
  </w:style>
  <w:style w:type="paragraph" w:styleId="1261">
    <w:name w:val="首行缩进"/>
    <w:basedOn w:val="1015"/>
    <w:next w:val="1261"/>
    <w:link w:val="1015"/>
    <w:qFormat/>
    <w:pPr>
      <w:ind w:firstLine="480"/>
    </w:pPr>
    <w:rPr>
      <w:lang w:val="zh-CN"/>
    </w:rPr>
  </w:style>
  <w:style w:type="character" w:styleId="1262">
    <w:name w:val="Title Char"/>
    <w:next w:val="1262"/>
    <w:link w:val="1015"/>
    <w:uiPriority w:val="10"/>
    <w:qFormat/>
    <w:rPr>
      <w:sz w:val="48"/>
      <w:szCs w:val="48"/>
    </w:rPr>
  </w:style>
  <w:style w:type="character" w:styleId="1263">
    <w:name w:val="Subtitle Char"/>
    <w:next w:val="1263"/>
    <w:link w:val="1015"/>
    <w:uiPriority w:val="11"/>
    <w:qFormat/>
    <w:rPr>
      <w:sz w:val="24"/>
      <w:szCs w:val="24"/>
    </w:rPr>
  </w:style>
  <w:style w:type="character" w:styleId="1264">
    <w:name w:val="Quote Char"/>
    <w:next w:val="1264"/>
    <w:link w:val="1015"/>
    <w:uiPriority w:val="29"/>
    <w:qFormat/>
    <w:rPr>
      <w:i/>
    </w:rPr>
  </w:style>
  <w:style w:type="character" w:styleId="1265">
    <w:name w:val="Intense Quote Char"/>
    <w:next w:val="1265"/>
    <w:link w:val="1015"/>
    <w:uiPriority w:val="30"/>
    <w:qFormat/>
    <w:rPr>
      <w:i/>
    </w:rPr>
  </w:style>
  <w:style w:type="character" w:styleId="1266">
    <w:name w:val="Footnote Text Char"/>
    <w:next w:val="1266"/>
    <w:link w:val="1015"/>
    <w:uiPriority w:val="99"/>
    <w:qFormat/>
    <w:rPr>
      <w:sz w:val="18"/>
    </w:rPr>
  </w:style>
  <w:style w:type="character" w:styleId="1267">
    <w:name w:val="Endnote Text Char"/>
    <w:next w:val="1267"/>
    <w:link w:val="1015"/>
    <w:uiPriority w:val="99"/>
    <w:qFormat/>
    <w:rPr>
      <w:sz w:val="20"/>
    </w:rPr>
  </w:style>
  <w:style w:type="paragraph" w:styleId="1268">
    <w:name w:val="TOC 标题111"/>
    <w:next w:val="1268"/>
    <w:link w:val="1015"/>
    <w:uiPriority w:val="39"/>
    <w:unhideWhenUsed/>
    <w:qFormat/>
    <w:rPr>
      <w:rFonts w:ascii="Times New Roman" w:hAnsi="Times New Roman" w:eastAsia="宋体" w:cs="Times New Roman"/>
      <w:lang w:val="en-US" w:eastAsia="zh-CN" w:bidi="ar-SA"/>
    </w:rPr>
  </w:style>
  <w:style w:type="paragraph" w:styleId="1269">
    <w:name w:val="正文首行缩进 21"/>
    <w:basedOn w:val="1197"/>
    <w:next w:val="1229"/>
    <w:link w:val="1015"/>
    <w:unhideWhenUsed/>
    <w:qFormat/>
    <w:pPr>
      <w:ind w:firstLine="420"/>
    </w:pPr>
  </w:style>
  <w:style w:type="paragraph" w:styleId="1270">
    <w:name w:val="正文文本缩进1"/>
    <w:basedOn w:val="1015"/>
    <w:next w:val="1271"/>
    <w:link w:val="1015"/>
    <w:unhideWhenUsed/>
    <w:qFormat/>
    <w:pPr>
      <w:ind w:left="420"/>
      <w:spacing w:after="120"/>
    </w:pPr>
    <w:rPr>
      <w:lang w:eastAsia="en-US"/>
    </w:rPr>
  </w:style>
  <w:style w:type="paragraph" w:styleId="1271">
    <w:name w:val="寄信人地址1"/>
    <w:basedOn w:val="1015"/>
    <w:next w:val="1271"/>
    <w:link w:val="1015"/>
    <w:uiPriority w:val="99"/>
    <w:unhideWhenUsed/>
    <w:qFormat/>
    <w:rPr>
      <w:rFonts w:ascii="Arial" w:hAnsi="Arial"/>
    </w:rPr>
  </w:style>
  <w:style w:type="paragraph" w:styleId="1272">
    <w:name w:val="标题 11"/>
    <w:basedOn w:val="1015"/>
    <w:next w:val="1015"/>
    <w:link w:val="1273"/>
    <w:uiPriority w:val="9"/>
    <w:qFormat/>
    <w:pPr>
      <w:keepLines/>
      <w:keepNext/>
      <w:spacing w:before="480" w:after="200"/>
      <w:outlineLvl w:val="0"/>
    </w:pPr>
    <w:rPr>
      <w:rFonts w:ascii="Arial" w:hAnsi="Arial" w:eastAsia="Arial"/>
      <w:sz w:val="40"/>
      <w:szCs w:val="40"/>
    </w:rPr>
  </w:style>
  <w:style w:type="character" w:styleId="1273">
    <w:name w:val="Heading 1 Char"/>
    <w:next w:val="1273"/>
    <w:link w:val="1272"/>
    <w:uiPriority w:val="9"/>
    <w:qFormat/>
    <w:rPr>
      <w:rFonts w:ascii="Arial" w:hAnsi="Arial" w:eastAsia="Arial" w:cs="Arial"/>
      <w:sz w:val="40"/>
      <w:szCs w:val="40"/>
    </w:rPr>
  </w:style>
  <w:style w:type="paragraph" w:styleId="1274">
    <w:name w:val="标题 21"/>
    <w:basedOn w:val="1015"/>
    <w:next w:val="1015"/>
    <w:link w:val="1275"/>
    <w:uiPriority w:val="9"/>
    <w:unhideWhenUsed/>
    <w:qFormat/>
    <w:pPr>
      <w:keepLines/>
      <w:keepNext/>
      <w:spacing w:before="360" w:after="200"/>
      <w:outlineLvl w:val="1"/>
    </w:pPr>
    <w:rPr>
      <w:rFonts w:ascii="Arial" w:hAnsi="Arial" w:eastAsia="Arial"/>
      <w:sz w:val="34"/>
    </w:rPr>
  </w:style>
  <w:style w:type="character" w:styleId="1275">
    <w:name w:val="Heading 2 Char"/>
    <w:next w:val="1275"/>
    <w:link w:val="1274"/>
    <w:uiPriority w:val="9"/>
    <w:qFormat/>
    <w:rPr>
      <w:rFonts w:ascii="Arial" w:hAnsi="Arial" w:eastAsia="Arial" w:cs="Arial"/>
      <w:sz w:val="34"/>
    </w:rPr>
  </w:style>
  <w:style w:type="paragraph" w:styleId="1276">
    <w:name w:val="标题 31"/>
    <w:basedOn w:val="1015"/>
    <w:next w:val="1015"/>
    <w:link w:val="1277"/>
    <w:uiPriority w:val="9"/>
    <w:unhideWhenUsed/>
    <w:qFormat/>
    <w:pPr>
      <w:keepLines/>
      <w:keepNext/>
      <w:spacing w:before="320" w:after="200"/>
      <w:outlineLvl w:val="2"/>
    </w:pPr>
    <w:rPr>
      <w:rFonts w:ascii="Arial" w:hAnsi="Arial" w:eastAsia="Arial"/>
      <w:sz w:val="30"/>
      <w:szCs w:val="30"/>
    </w:rPr>
  </w:style>
  <w:style w:type="character" w:styleId="1277">
    <w:name w:val="Heading 3 Char"/>
    <w:next w:val="1277"/>
    <w:link w:val="1276"/>
    <w:uiPriority w:val="9"/>
    <w:qFormat/>
    <w:rPr>
      <w:rFonts w:ascii="Arial" w:hAnsi="Arial" w:eastAsia="Arial" w:cs="Arial"/>
      <w:sz w:val="30"/>
      <w:szCs w:val="30"/>
    </w:rPr>
  </w:style>
  <w:style w:type="paragraph" w:styleId="1278">
    <w:name w:val="标题 41"/>
    <w:basedOn w:val="1015"/>
    <w:next w:val="1015"/>
    <w:link w:val="1279"/>
    <w:uiPriority w:val="9"/>
    <w:unhideWhenUsed/>
    <w:qFormat/>
    <w:pPr>
      <w:keepLines/>
      <w:keepNext/>
      <w:spacing w:before="320" w:after="200"/>
      <w:outlineLvl w:val="3"/>
    </w:pPr>
    <w:rPr>
      <w:rFonts w:ascii="Arial" w:hAnsi="Arial" w:eastAsia="Arial"/>
      <w:b/>
      <w:bCs/>
      <w:szCs w:val="26"/>
    </w:rPr>
  </w:style>
  <w:style w:type="character" w:styleId="1279">
    <w:name w:val="Heading 4 Char"/>
    <w:next w:val="1279"/>
    <w:link w:val="1278"/>
    <w:uiPriority w:val="9"/>
    <w:qFormat/>
    <w:rPr>
      <w:rFonts w:ascii="Arial" w:hAnsi="Arial" w:eastAsia="Arial" w:cs="Arial"/>
      <w:b/>
      <w:bCs/>
      <w:sz w:val="26"/>
      <w:szCs w:val="26"/>
    </w:rPr>
  </w:style>
  <w:style w:type="paragraph" w:styleId="1280">
    <w:name w:val="标题 51"/>
    <w:basedOn w:val="1015"/>
    <w:next w:val="1015"/>
    <w:link w:val="1281"/>
    <w:uiPriority w:val="9"/>
    <w:unhideWhenUsed/>
    <w:qFormat/>
    <w:pPr>
      <w:keepLines/>
      <w:keepNext/>
      <w:spacing w:before="320" w:after="200"/>
      <w:outlineLvl w:val="4"/>
    </w:pPr>
    <w:rPr>
      <w:rFonts w:ascii="Arial" w:hAnsi="Arial" w:eastAsia="Arial"/>
      <w:b/>
      <w:bCs/>
      <w:sz w:val="24"/>
      <w:szCs w:val="24"/>
    </w:rPr>
  </w:style>
  <w:style w:type="character" w:styleId="1281">
    <w:name w:val="Heading 5 Char"/>
    <w:next w:val="1281"/>
    <w:link w:val="1280"/>
    <w:uiPriority w:val="9"/>
    <w:qFormat/>
    <w:rPr>
      <w:rFonts w:ascii="Arial" w:hAnsi="Arial" w:eastAsia="Arial" w:cs="Arial"/>
      <w:b/>
      <w:bCs/>
      <w:sz w:val="24"/>
      <w:szCs w:val="24"/>
    </w:rPr>
  </w:style>
  <w:style w:type="paragraph" w:styleId="1282">
    <w:name w:val="标题 61"/>
    <w:basedOn w:val="1015"/>
    <w:next w:val="1015"/>
    <w:link w:val="1283"/>
    <w:uiPriority w:val="9"/>
    <w:unhideWhenUsed/>
    <w:qFormat/>
    <w:pPr>
      <w:keepLines/>
      <w:keepNext/>
      <w:spacing w:before="320" w:after="200"/>
      <w:outlineLvl w:val="5"/>
    </w:pPr>
    <w:rPr>
      <w:rFonts w:ascii="Arial" w:hAnsi="Arial" w:eastAsia="Arial"/>
      <w:b/>
      <w:bCs/>
      <w:sz w:val="22"/>
      <w:szCs w:val="22"/>
    </w:rPr>
  </w:style>
  <w:style w:type="character" w:styleId="1283">
    <w:name w:val="Heading 6 Char"/>
    <w:next w:val="1283"/>
    <w:link w:val="1282"/>
    <w:uiPriority w:val="9"/>
    <w:qFormat/>
    <w:rPr>
      <w:rFonts w:ascii="Arial" w:hAnsi="Arial" w:eastAsia="Arial" w:cs="Arial"/>
      <w:b/>
      <w:bCs/>
      <w:sz w:val="22"/>
      <w:szCs w:val="22"/>
    </w:rPr>
  </w:style>
  <w:style w:type="paragraph" w:styleId="1284">
    <w:name w:val="标题 71"/>
    <w:basedOn w:val="1015"/>
    <w:next w:val="1015"/>
    <w:link w:val="1285"/>
    <w:uiPriority w:val="9"/>
    <w:unhideWhenUsed/>
    <w:qFormat/>
    <w:pPr>
      <w:keepLines/>
      <w:keepNext/>
      <w:spacing w:before="320" w:after="200"/>
      <w:outlineLvl w:val="6"/>
    </w:pPr>
    <w:rPr>
      <w:rFonts w:ascii="Arial" w:hAnsi="Arial" w:eastAsia="Arial"/>
      <w:b/>
      <w:bCs/>
      <w:i/>
      <w:iCs/>
      <w:sz w:val="22"/>
      <w:szCs w:val="22"/>
    </w:rPr>
  </w:style>
  <w:style w:type="character" w:styleId="1285">
    <w:name w:val="Heading 7 Char"/>
    <w:next w:val="1285"/>
    <w:link w:val="1284"/>
    <w:uiPriority w:val="9"/>
    <w:qFormat/>
    <w:rPr>
      <w:rFonts w:ascii="Arial" w:hAnsi="Arial" w:eastAsia="Arial" w:cs="Arial"/>
      <w:b/>
      <w:bCs/>
      <w:i/>
      <w:iCs/>
      <w:sz w:val="22"/>
      <w:szCs w:val="22"/>
    </w:rPr>
  </w:style>
  <w:style w:type="paragraph" w:styleId="1286">
    <w:name w:val="标题 81"/>
    <w:basedOn w:val="1015"/>
    <w:next w:val="1015"/>
    <w:link w:val="1287"/>
    <w:uiPriority w:val="9"/>
    <w:unhideWhenUsed/>
    <w:qFormat/>
    <w:pPr>
      <w:keepLines/>
      <w:keepNext/>
      <w:spacing w:before="320" w:after="200"/>
      <w:outlineLvl w:val="7"/>
    </w:pPr>
    <w:rPr>
      <w:rFonts w:ascii="Arial" w:hAnsi="Arial" w:eastAsia="Arial"/>
      <w:i/>
      <w:iCs/>
      <w:sz w:val="22"/>
      <w:szCs w:val="22"/>
    </w:rPr>
  </w:style>
  <w:style w:type="character" w:styleId="1287">
    <w:name w:val="Heading 8 Char"/>
    <w:next w:val="1287"/>
    <w:link w:val="1286"/>
    <w:uiPriority w:val="9"/>
    <w:qFormat/>
    <w:rPr>
      <w:rFonts w:ascii="Arial" w:hAnsi="Arial" w:eastAsia="Arial" w:cs="Arial"/>
      <w:i/>
      <w:iCs/>
      <w:sz w:val="22"/>
      <w:szCs w:val="22"/>
    </w:rPr>
  </w:style>
  <w:style w:type="paragraph" w:styleId="1288">
    <w:name w:val="标题 91"/>
    <w:basedOn w:val="1015"/>
    <w:next w:val="1015"/>
    <w:link w:val="1289"/>
    <w:uiPriority w:val="9"/>
    <w:unhideWhenUsed/>
    <w:qFormat/>
    <w:pPr>
      <w:keepLines/>
      <w:keepNext/>
      <w:spacing w:before="320" w:after="200"/>
      <w:outlineLvl w:val="8"/>
    </w:pPr>
    <w:rPr>
      <w:rFonts w:ascii="Arial" w:hAnsi="Arial" w:eastAsia="Arial"/>
      <w:i/>
      <w:iCs/>
      <w:sz w:val="21"/>
      <w:szCs w:val="21"/>
    </w:rPr>
  </w:style>
  <w:style w:type="character" w:styleId="1289">
    <w:name w:val="Heading 9 Char"/>
    <w:next w:val="1289"/>
    <w:link w:val="1288"/>
    <w:uiPriority w:val="9"/>
    <w:qFormat/>
    <w:rPr>
      <w:rFonts w:ascii="Arial" w:hAnsi="Arial" w:eastAsia="Arial" w:cs="Arial"/>
      <w:i/>
      <w:iCs/>
      <w:sz w:val="21"/>
      <w:szCs w:val="21"/>
    </w:rPr>
  </w:style>
  <w:style w:type="paragraph" w:styleId="1290">
    <w:name w:val="列表段落1"/>
    <w:basedOn w:val="1015"/>
    <w:next w:val="1290"/>
    <w:link w:val="1291"/>
    <w:qFormat/>
    <w:pPr>
      <w:ind w:firstLine="420"/>
    </w:pPr>
    <w:rPr>
      <w:rFonts w:eastAsia="宋体"/>
      <w:sz w:val="21"/>
      <w:szCs w:val="24"/>
    </w:rPr>
  </w:style>
  <w:style w:type="character" w:styleId="1291">
    <w:name w:val="列表段落 字符"/>
    <w:next w:val="1291"/>
    <w:link w:val="1290"/>
    <w:qFormat/>
    <w:rPr>
      <w:sz w:val="21"/>
      <w:szCs w:val="24"/>
    </w:rPr>
  </w:style>
  <w:style w:type="paragraph" w:styleId="1292">
    <w:name w:val="无间隔1"/>
    <w:next w:val="1292"/>
    <w:link w:val="1015"/>
    <w:uiPriority w:val="99"/>
    <w:qFormat/>
    <w:pPr>
      <w:jc w:val="both"/>
      <w:widowControl w:val="off"/>
    </w:pPr>
    <w:rPr>
      <w:rFonts w:ascii="Times New Roman" w:hAnsi="Times New Roman" w:eastAsia="楷体_GB2312" w:cs="Times New Roman"/>
      <w:sz w:val="26"/>
      <w:lang w:val="en-US" w:eastAsia="zh-CN" w:bidi="ar-SA"/>
    </w:rPr>
  </w:style>
  <w:style w:type="paragraph" w:styleId="1293">
    <w:name w:val="引用1"/>
    <w:basedOn w:val="1015"/>
    <w:next w:val="1015"/>
    <w:link w:val="1294"/>
    <w:uiPriority w:val="29"/>
    <w:qFormat/>
    <w:pPr>
      <w:ind w:left="720" w:right="720"/>
    </w:pPr>
    <w:rPr>
      <w:rFonts w:eastAsia="宋体"/>
      <w:i/>
      <w:sz w:val="20"/>
    </w:rPr>
  </w:style>
  <w:style w:type="character" w:styleId="1294">
    <w:name w:val="引用 字符"/>
    <w:next w:val="1294"/>
    <w:link w:val="1293"/>
    <w:uiPriority w:val="29"/>
    <w:qFormat/>
    <w:rPr>
      <w:i/>
    </w:rPr>
  </w:style>
  <w:style w:type="paragraph" w:styleId="1295">
    <w:name w:val="明显引用1"/>
    <w:basedOn w:val="1015"/>
    <w:next w:val="1015"/>
    <w:link w:val="12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296">
    <w:name w:val="明显引用 字符"/>
    <w:next w:val="1296"/>
    <w:link w:val="1295"/>
    <w:uiPriority w:val="30"/>
    <w:qFormat/>
    <w:rPr>
      <w:i/>
    </w:rPr>
  </w:style>
  <w:style w:type="paragraph" w:styleId="1297">
    <w:name w:val="页眉1"/>
    <w:basedOn w:val="1015"/>
    <w:next w:val="1297"/>
    <w:link w:val="1298"/>
    <w:uiPriority w:val="99"/>
    <w:unhideWhenUsed/>
    <w:qFormat/>
    <w:pPr>
      <w:tabs>
        <w:tab w:val="center" w:pos="7143" w:leader="none"/>
        <w:tab w:val="right" w:pos="14287" w:leader="none"/>
      </w:tabs>
    </w:pPr>
    <w:rPr>
      <w:rFonts w:eastAsia="宋体"/>
      <w:sz w:val="18"/>
    </w:rPr>
  </w:style>
  <w:style w:type="character" w:styleId="1298">
    <w:name w:val="Header Char"/>
    <w:next w:val="1298"/>
    <w:link w:val="1297"/>
    <w:qFormat/>
    <w:rPr>
      <w:sz w:val="18"/>
    </w:rPr>
  </w:style>
  <w:style w:type="paragraph" w:styleId="1299">
    <w:name w:val="页脚1"/>
    <w:basedOn w:val="1015"/>
    <w:next w:val="1299"/>
    <w:link w:val="1300"/>
    <w:uiPriority w:val="99"/>
    <w:unhideWhenUsed/>
    <w:qFormat/>
    <w:pPr>
      <w:tabs>
        <w:tab w:val="center" w:pos="7143" w:leader="none"/>
        <w:tab w:val="right" w:pos="14287" w:leader="none"/>
      </w:tabs>
    </w:pPr>
  </w:style>
  <w:style w:type="character" w:styleId="1300">
    <w:name w:val="Caption Char"/>
    <w:next w:val="1300"/>
    <w:link w:val="1299"/>
    <w:uiPriority w:val="99"/>
    <w:qFormat/>
  </w:style>
  <w:style w:type="character" w:styleId="1301">
    <w:name w:val="Footer Char"/>
    <w:next w:val="1301"/>
    <w:link w:val="1015"/>
    <w:uiPriority w:val="99"/>
    <w:qFormat/>
  </w:style>
  <w:style w:type="paragraph" w:styleId="1302">
    <w:name w:val="题注1"/>
    <w:basedOn w:val="1015"/>
    <w:next w:val="1015"/>
    <w:link w:val="1015"/>
    <w:uiPriority w:val="35"/>
    <w:unhideWhenUsed/>
    <w:qFormat/>
    <w:pPr>
      <w:spacing w:line="276" w:lineRule="auto"/>
    </w:pPr>
    <w:rPr>
      <w:b/>
      <w:bCs/>
      <w:color w:val="4f81bd"/>
      <w:sz w:val="18"/>
      <w:szCs w:val="18"/>
    </w:rPr>
  </w:style>
  <w:style w:type="table" w:styleId="1303">
    <w:name w:val="Table Grid Light"/>
    <w:next w:val="1303"/>
    <w:link w:val="1015"/>
    <w:uiPriority w:val="59"/>
    <w:qFormat/>
    <w:tblPr/>
  </w:style>
  <w:style w:type="table" w:styleId="1304">
    <w:name w:val="Grid Table 1 Light - Accent 1"/>
    <w:next w:val="1304"/>
    <w:link w:val="1015"/>
    <w:uiPriority w:val="99"/>
    <w:qFormat/>
    <w:tblPr/>
  </w:style>
  <w:style w:type="table" w:styleId="1305">
    <w:name w:val="Grid Table 1 Light - Accent 2"/>
    <w:next w:val="1305"/>
    <w:link w:val="1015"/>
    <w:uiPriority w:val="99"/>
    <w:qFormat/>
    <w:tblPr/>
  </w:style>
  <w:style w:type="table" w:styleId="1306">
    <w:name w:val="Grid Table 1 Light - Accent 3"/>
    <w:next w:val="1306"/>
    <w:link w:val="1015"/>
    <w:uiPriority w:val="99"/>
    <w:qFormat/>
    <w:tblPr/>
  </w:style>
  <w:style w:type="table" w:styleId="1307">
    <w:name w:val="Grid Table 1 Light - Accent 4"/>
    <w:next w:val="1307"/>
    <w:link w:val="1015"/>
    <w:uiPriority w:val="99"/>
    <w:qFormat/>
    <w:tblPr/>
  </w:style>
  <w:style w:type="table" w:styleId="1308">
    <w:name w:val="Grid Table 1 Light - Accent 5"/>
    <w:next w:val="1308"/>
    <w:link w:val="1015"/>
    <w:uiPriority w:val="99"/>
    <w:qFormat/>
    <w:tblPr/>
  </w:style>
  <w:style w:type="table" w:styleId="1309">
    <w:name w:val="Grid Table 1 Light - Accent 6"/>
    <w:next w:val="1309"/>
    <w:link w:val="1015"/>
    <w:uiPriority w:val="99"/>
    <w:qFormat/>
    <w:tblPr/>
  </w:style>
  <w:style w:type="table" w:styleId="1310">
    <w:name w:val="Grid Table 2 - Accent 1"/>
    <w:next w:val="1310"/>
    <w:link w:val="1015"/>
    <w:uiPriority w:val="99"/>
    <w:qFormat/>
    <w:tblPr/>
  </w:style>
  <w:style w:type="table" w:styleId="1311">
    <w:name w:val="Grid Table 2 - Accent 2"/>
    <w:next w:val="1311"/>
    <w:link w:val="1015"/>
    <w:uiPriority w:val="99"/>
    <w:qFormat/>
    <w:tblPr/>
  </w:style>
  <w:style w:type="table" w:styleId="1312">
    <w:name w:val="Grid Table 2 - Accent 3"/>
    <w:next w:val="1312"/>
    <w:link w:val="1015"/>
    <w:uiPriority w:val="99"/>
    <w:qFormat/>
    <w:tblPr/>
  </w:style>
  <w:style w:type="table" w:styleId="1313">
    <w:name w:val="Grid Table 2 - Accent 4"/>
    <w:next w:val="1313"/>
    <w:link w:val="1015"/>
    <w:uiPriority w:val="99"/>
    <w:qFormat/>
    <w:tblPr/>
  </w:style>
  <w:style w:type="table" w:styleId="1314">
    <w:name w:val="Grid Table 2 - Accent 5"/>
    <w:next w:val="1314"/>
    <w:link w:val="1015"/>
    <w:uiPriority w:val="99"/>
    <w:qFormat/>
    <w:tblPr/>
  </w:style>
  <w:style w:type="table" w:styleId="1315">
    <w:name w:val="Grid Table 2 - Accent 6"/>
    <w:next w:val="1315"/>
    <w:link w:val="1015"/>
    <w:uiPriority w:val="99"/>
    <w:qFormat/>
    <w:tblPr/>
  </w:style>
  <w:style w:type="table" w:styleId="1316">
    <w:name w:val="Grid Table 3 - Accent 1"/>
    <w:next w:val="1316"/>
    <w:link w:val="1015"/>
    <w:uiPriority w:val="99"/>
    <w:qFormat/>
    <w:tblPr/>
  </w:style>
  <w:style w:type="table" w:styleId="1317">
    <w:name w:val="Grid Table 3 - Accent 2"/>
    <w:next w:val="1317"/>
    <w:link w:val="1015"/>
    <w:uiPriority w:val="99"/>
    <w:qFormat/>
    <w:tblPr/>
  </w:style>
  <w:style w:type="table" w:styleId="1318">
    <w:name w:val="Grid Table 3 - Accent 3"/>
    <w:next w:val="1318"/>
    <w:link w:val="1015"/>
    <w:uiPriority w:val="99"/>
    <w:qFormat/>
    <w:tblPr/>
  </w:style>
  <w:style w:type="table" w:styleId="1319">
    <w:name w:val="Grid Table 3 - Accent 4"/>
    <w:next w:val="1319"/>
    <w:link w:val="1015"/>
    <w:uiPriority w:val="99"/>
    <w:qFormat/>
    <w:tblPr/>
  </w:style>
  <w:style w:type="table" w:styleId="1320">
    <w:name w:val="Grid Table 3 - Accent 5"/>
    <w:next w:val="1320"/>
    <w:link w:val="1015"/>
    <w:uiPriority w:val="99"/>
    <w:qFormat/>
    <w:tblPr/>
  </w:style>
  <w:style w:type="table" w:styleId="1321">
    <w:name w:val="Grid Table 3 - Accent 6"/>
    <w:next w:val="1321"/>
    <w:link w:val="1015"/>
    <w:uiPriority w:val="99"/>
    <w:qFormat/>
    <w:tblPr/>
  </w:style>
  <w:style w:type="table" w:styleId="1322">
    <w:name w:val="Grid Table 4 - Accent 1"/>
    <w:next w:val="1322"/>
    <w:link w:val="1015"/>
    <w:uiPriority w:val="59"/>
    <w:qFormat/>
    <w:tblPr/>
  </w:style>
  <w:style w:type="table" w:styleId="1323">
    <w:name w:val="Grid Table 4 - Accent 2"/>
    <w:next w:val="1323"/>
    <w:link w:val="1015"/>
    <w:uiPriority w:val="59"/>
    <w:qFormat/>
    <w:tblPr/>
  </w:style>
  <w:style w:type="table" w:styleId="1324">
    <w:name w:val="Grid Table 4 - Accent 3"/>
    <w:next w:val="1324"/>
    <w:link w:val="1015"/>
    <w:uiPriority w:val="59"/>
    <w:qFormat/>
    <w:tblPr/>
  </w:style>
  <w:style w:type="table" w:styleId="1325">
    <w:name w:val="Grid Table 4 - Accent 4"/>
    <w:next w:val="1325"/>
    <w:link w:val="1015"/>
    <w:uiPriority w:val="59"/>
    <w:qFormat/>
    <w:tblPr/>
  </w:style>
  <w:style w:type="table" w:styleId="1326">
    <w:name w:val="Grid Table 4 - Accent 5"/>
    <w:next w:val="1326"/>
    <w:link w:val="1015"/>
    <w:uiPriority w:val="59"/>
    <w:qFormat/>
    <w:tblPr/>
  </w:style>
  <w:style w:type="table" w:styleId="1327">
    <w:name w:val="Grid Table 4 - Accent 6"/>
    <w:next w:val="1327"/>
    <w:link w:val="1015"/>
    <w:uiPriority w:val="59"/>
    <w:qFormat/>
    <w:tblPr/>
  </w:style>
  <w:style w:type="table" w:styleId="1328">
    <w:name w:val="Grid Table 5 Dark- Accent 1"/>
    <w:next w:val="1328"/>
    <w:link w:val="1015"/>
    <w:uiPriority w:val="99"/>
    <w:qFormat/>
    <w:tblPr/>
  </w:style>
  <w:style w:type="table" w:styleId="1329">
    <w:name w:val="Grid Table 5 Dark - Accent 2"/>
    <w:next w:val="1329"/>
    <w:link w:val="1015"/>
    <w:uiPriority w:val="99"/>
    <w:qFormat/>
    <w:tblPr/>
  </w:style>
  <w:style w:type="table" w:styleId="1330">
    <w:name w:val="Grid Table 5 Dark - Accent 3"/>
    <w:next w:val="1330"/>
    <w:link w:val="1015"/>
    <w:uiPriority w:val="99"/>
    <w:qFormat/>
    <w:tblPr/>
  </w:style>
  <w:style w:type="table" w:styleId="1331">
    <w:name w:val="Grid Table 5 Dark- Accent 4"/>
    <w:next w:val="1331"/>
    <w:link w:val="1015"/>
    <w:uiPriority w:val="99"/>
    <w:qFormat/>
    <w:tblPr/>
  </w:style>
  <w:style w:type="table" w:styleId="1332">
    <w:name w:val="Grid Table 5 Dark - Accent 5"/>
    <w:next w:val="1332"/>
    <w:link w:val="1015"/>
    <w:uiPriority w:val="99"/>
    <w:qFormat/>
    <w:tblPr/>
  </w:style>
  <w:style w:type="table" w:styleId="1333">
    <w:name w:val="Grid Table 5 Dark - Accent 6"/>
    <w:next w:val="1333"/>
    <w:link w:val="1015"/>
    <w:uiPriority w:val="99"/>
    <w:qFormat/>
    <w:tblPr/>
  </w:style>
  <w:style w:type="table" w:styleId="1334">
    <w:name w:val="Grid Table 6 Colorful - Accent 1"/>
    <w:next w:val="1334"/>
    <w:link w:val="1015"/>
    <w:uiPriority w:val="99"/>
    <w:qFormat/>
    <w:tblPr/>
  </w:style>
  <w:style w:type="table" w:styleId="1335">
    <w:name w:val="Grid Table 6 Colorful - Accent 2"/>
    <w:next w:val="1335"/>
    <w:link w:val="1015"/>
    <w:uiPriority w:val="99"/>
    <w:qFormat/>
    <w:tblPr/>
  </w:style>
  <w:style w:type="table" w:styleId="1336">
    <w:name w:val="Grid Table 6 Colorful - Accent 3"/>
    <w:next w:val="1336"/>
    <w:link w:val="1015"/>
    <w:uiPriority w:val="99"/>
    <w:qFormat/>
    <w:tblPr/>
  </w:style>
  <w:style w:type="table" w:styleId="1337">
    <w:name w:val="Grid Table 6 Colorful - Accent 4"/>
    <w:next w:val="1337"/>
    <w:link w:val="1015"/>
    <w:uiPriority w:val="99"/>
    <w:qFormat/>
    <w:tblPr/>
  </w:style>
  <w:style w:type="table" w:styleId="1338">
    <w:name w:val="Grid Table 6 Colorful - Accent 5"/>
    <w:next w:val="1338"/>
    <w:link w:val="1015"/>
    <w:uiPriority w:val="99"/>
    <w:qFormat/>
    <w:tblPr/>
  </w:style>
  <w:style w:type="table" w:styleId="1339">
    <w:name w:val="Grid Table 6 Colorful - Accent 6"/>
    <w:next w:val="1339"/>
    <w:link w:val="1015"/>
    <w:uiPriority w:val="99"/>
    <w:qFormat/>
    <w:tblPr/>
  </w:style>
  <w:style w:type="table" w:styleId="1340">
    <w:name w:val="Grid Table 7 Colorful - Accent 1"/>
    <w:next w:val="1340"/>
    <w:link w:val="1015"/>
    <w:uiPriority w:val="99"/>
    <w:qFormat/>
    <w:tblPr/>
  </w:style>
  <w:style w:type="table" w:styleId="1341">
    <w:name w:val="Grid Table 7 Colorful - Accent 2"/>
    <w:next w:val="1341"/>
    <w:link w:val="1015"/>
    <w:uiPriority w:val="99"/>
    <w:qFormat/>
    <w:tblPr/>
  </w:style>
  <w:style w:type="table" w:styleId="1342">
    <w:name w:val="Grid Table 7 Colorful - Accent 3"/>
    <w:next w:val="1342"/>
    <w:link w:val="1015"/>
    <w:uiPriority w:val="99"/>
    <w:qFormat/>
    <w:tblPr/>
  </w:style>
  <w:style w:type="table" w:styleId="1343">
    <w:name w:val="Grid Table 7 Colorful - Accent 4"/>
    <w:next w:val="1343"/>
    <w:link w:val="1015"/>
    <w:uiPriority w:val="99"/>
    <w:qFormat/>
    <w:tblPr/>
  </w:style>
  <w:style w:type="table" w:styleId="1344">
    <w:name w:val="Grid Table 7 Colorful - Accent 5"/>
    <w:next w:val="1344"/>
    <w:link w:val="1015"/>
    <w:uiPriority w:val="99"/>
    <w:qFormat/>
    <w:tblPr/>
  </w:style>
  <w:style w:type="table" w:styleId="1345">
    <w:name w:val="Grid Table 7 Colorful - Accent 6"/>
    <w:next w:val="1345"/>
    <w:link w:val="1015"/>
    <w:uiPriority w:val="99"/>
    <w:qFormat/>
    <w:tblPr/>
  </w:style>
  <w:style w:type="table" w:styleId="1346">
    <w:name w:val="List Table 1 Light - Accent 1"/>
    <w:next w:val="1346"/>
    <w:link w:val="1015"/>
    <w:uiPriority w:val="99"/>
    <w:qFormat/>
    <w:tblPr/>
  </w:style>
  <w:style w:type="table" w:styleId="1347">
    <w:name w:val="List Table 1 Light - Accent 2"/>
    <w:next w:val="1347"/>
    <w:link w:val="1015"/>
    <w:uiPriority w:val="99"/>
    <w:qFormat/>
    <w:tblPr/>
  </w:style>
  <w:style w:type="table" w:styleId="1348">
    <w:name w:val="List Table 1 Light - Accent 3"/>
    <w:next w:val="1348"/>
    <w:link w:val="1015"/>
    <w:uiPriority w:val="99"/>
    <w:qFormat/>
    <w:tblPr/>
  </w:style>
  <w:style w:type="table" w:styleId="1349">
    <w:name w:val="List Table 1 Light - Accent 4"/>
    <w:next w:val="1349"/>
    <w:link w:val="1015"/>
    <w:uiPriority w:val="99"/>
    <w:qFormat/>
    <w:tblPr/>
  </w:style>
  <w:style w:type="table" w:styleId="1350">
    <w:name w:val="List Table 1 Light - Accent 5"/>
    <w:next w:val="1350"/>
    <w:link w:val="1015"/>
    <w:uiPriority w:val="99"/>
    <w:qFormat/>
    <w:tblPr/>
  </w:style>
  <w:style w:type="table" w:styleId="1351">
    <w:name w:val="List Table 1 Light - Accent 6"/>
    <w:next w:val="1351"/>
    <w:link w:val="1015"/>
    <w:uiPriority w:val="99"/>
    <w:qFormat/>
    <w:tblPr/>
  </w:style>
  <w:style w:type="table" w:styleId="1352">
    <w:name w:val="List Table 2 - Accent 1"/>
    <w:next w:val="1352"/>
    <w:link w:val="1015"/>
    <w:uiPriority w:val="99"/>
    <w:qFormat/>
    <w:tblPr/>
  </w:style>
  <w:style w:type="table" w:styleId="1353">
    <w:name w:val="List Table 2 - Accent 2"/>
    <w:next w:val="1353"/>
    <w:link w:val="1015"/>
    <w:uiPriority w:val="99"/>
    <w:qFormat/>
    <w:tblPr/>
  </w:style>
  <w:style w:type="table" w:styleId="1354">
    <w:name w:val="List Table 2 - Accent 3"/>
    <w:next w:val="1354"/>
    <w:link w:val="1015"/>
    <w:uiPriority w:val="99"/>
    <w:qFormat/>
    <w:tblPr/>
  </w:style>
  <w:style w:type="table" w:styleId="1355">
    <w:name w:val="List Table 2 - Accent 4"/>
    <w:next w:val="1355"/>
    <w:link w:val="1015"/>
    <w:uiPriority w:val="99"/>
    <w:qFormat/>
    <w:tblPr/>
  </w:style>
  <w:style w:type="table" w:styleId="1356">
    <w:name w:val="List Table 2 - Accent 5"/>
    <w:next w:val="1356"/>
    <w:link w:val="1015"/>
    <w:uiPriority w:val="99"/>
    <w:qFormat/>
    <w:tblPr/>
  </w:style>
  <w:style w:type="table" w:styleId="1357">
    <w:name w:val="List Table 2 - Accent 6"/>
    <w:next w:val="1357"/>
    <w:link w:val="1015"/>
    <w:uiPriority w:val="99"/>
    <w:qFormat/>
    <w:tblPr/>
  </w:style>
  <w:style w:type="table" w:styleId="1358">
    <w:name w:val="List Table 3 - Accent 1"/>
    <w:next w:val="1358"/>
    <w:link w:val="1015"/>
    <w:uiPriority w:val="99"/>
    <w:qFormat/>
    <w:tblPr/>
  </w:style>
  <w:style w:type="table" w:styleId="1359">
    <w:name w:val="List Table 3 - Accent 2"/>
    <w:next w:val="1359"/>
    <w:link w:val="1015"/>
    <w:uiPriority w:val="99"/>
    <w:qFormat/>
    <w:tblPr/>
  </w:style>
  <w:style w:type="table" w:styleId="1360">
    <w:name w:val="List Table 3 - Accent 3"/>
    <w:next w:val="1360"/>
    <w:link w:val="1015"/>
    <w:uiPriority w:val="99"/>
    <w:qFormat/>
    <w:tblPr/>
  </w:style>
  <w:style w:type="table" w:styleId="1361">
    <w:name w:val="List Table 3 - Accent 4"/>
    <w:next w:val="1361"/>
    <w:link w:val="1015"/>
    <w:uiPriority w:val="99"/>
    <w:qFormat/>
    <w:tblPr/>
  </w:style>
  <w:style w:type="table" w:styleId="1362">
    <w:name w:val="List Table 3 - Accent 5"/>
    <w:next w:val="1362"/>
    <w:link w:val="1015"/>
    <w:uiPriority w:val="99"/>
    <w:qFormat/>
    <w:tblPr/>
  </w:style>
  <w:style w:type="table" w:styleId="1363">
    <w:name w:val="List Table 3 - Accent 6"/>
    <w:next w:val="1363"/>
    <w:link w:val="1015"/>
    <w:uiPriority w:val="99"/>
    <w:qFormat/>
    <w:tblPr/>
  </w:style>
  <w:style w:type="table" w:styleId="1364">
    <w:name w:val="List Table 4 - Accent 1"/>
    <w:next w:val="1364"/>
    <w:link w:val="1015"/>
    <w:uiPriority w:val="99"/>
    <w:qFormat/>
    <w:tblPr/>
  </w:style>
  <w:style w:type="table" w:styleId="1365">
    <w:name w:val="List Table 4 - Accent 2"/>
    <w:next w:val="1365"/>
    <w:link w:val="1015"/>
    <w:uiPriority w:val="99"/>
    <w:qFormat/>
    <w:tblPr/>
  </w:style>
  <w:style w:type="table" w:styleId="1366">
    <w:name w:val="List Table 4 - Accent 3"/>
    <w:next w:val="1366"/>
    <w:link w:val="1015"/>
    <w:uiPriority w:val="99"/>
    <w:qFormat/>
    <w:tblPr/>
  </w:style>
  <w:style w:type="table" w:styleId="1367">
    <w:name w:val="List Table 4 - Accent 4"/>
    <w:next w:val="1367"/>
    <w:link w:val="1015"/>
    <w:uiPriority w:val="99"/>
    <w:qFormat/>
    <w:tblPr/>
  </w:style>
  <w:style w:type="table" w:styleId="1368">
    <w:name w:val="List Table 4 - Accent 5"/>
    <w:next w:val="1368"/>
    <w:link w:val="1015"/>
    <w:uiPriority w:val="99"/>
    <w:qFormat/>
    <w:tblPr/>
  </w:style>
  <w:style w:type="table" w:styleId="1369">
    <w:name w:val="List Table 4 - Accent 6"/>
    <w:next w:val="1369"/>
    <w:link w:val="1015"/>
    <w:uiPriority w:val="99"/>
    <w:qFormat/>
    <w:tblPr/>
  </w:style>
  <w:style w:type="table" w:styleId="1370">
    <w:name w:val="List Table 5 Dark - Accent 1"/>
    <w:next w:val="1370"/>
    <w:link w:val="1015"/>
    <w:uiPriority w:val="99"/>
    <w:qFormat/>
    <w:tblPr/>
  </w:style>
  <w:style w:type="table" w:styleId="1371">
    <w:name w:val="List Table 5 Dark - Accent 2"/>
    <w:next w:val="1371"/>
    <w:link w:val="1015"/>
    <w:uiPriority w:val="99"/>
    <w:qFormat/>
    <w:tblPr/>
  </w:style>
  <w:style w:type="table" w:styleId="1372">
    <w:name w:val="List Table 5 Dark - Accent 3"/>
    <w:next w:val="1372"/>
    <w:link w:val="1015"/>
    <w:uiPriority w:val="99"/>
    <w:qFormat/>
    <w:tblPr/>
  </w:style>
  <w:style w:type="table" w:styleId="1373">
    <w:name w:val="List Table 5 Dark - Accent 4"/>
    <w:next w:val="1373"/>
    <w:link w:val="1015"/>
    <w:uiPriority w:val="99"/>
    <w:qFormat/>
    <w:tblPr/>
  </w:style>
  <w:style w:type="table" w:styleId="1374">
    <w:name w:val="List Table 5 Dark - Accent 5"/>
    <w:next w:val="1374"/>
    <w:link w:val="1015"/>
    <w:uiPriority w:val="99"/>
    <w:qFormat/>
    <w:tblPr/>
  </w:style>
  <w:style w:type="table" w:styleId="1375">
    <w:name w:val="List Table 5 Dark - Accent 6"/>
    <w:next w:val="1375"/>
    <w:link w:val="1015"/>
    <w:uiPriority w:val="99"/>
    <w:qFormat/>
    <w:tblPr/>
  </w:style>
  <w:style w:type="table" w:styleId="1376">
    <w:name w:val="List Table 6 Colorful - Accent 1"/>
    <w:next w:val="1376"/>
    <w:link w:val="1015"/>
    <w:uiPriority w:val="99"/>
    <w:qFormat/>
    <w:tblPr/>
  </w:style>
  <w:style w:type="table" w:styleId="1377">
    <w:name w:val="List Table 6 Colorful - Accent 2"/>
    <w:next w:val="1377"/>
    <w:link w:val="1015"/>
    <w:uiPriority w:val="99"/>
    <w:qFormat/>
    <w:tblPr/>
  </w:style>
  <w:style w:type="table" w:styleId="1378">
    <w:name w:val="List Table 6 Colorful - Accent 3"/>
    <w:next w:val="1378"/>
    <w:link w:val="1015"/>
    <w:uiPriority w:val="99"/>
    <w:qFormat/>
    <w:tblPr/>
  </w:style>
  <w:style w:type="table" w:styleId="1379">
    <w:name w:val="List Table 6 Colorful - Accent 4"/>
    <w:next w:val="1379"/>
    <w:link w:val="1015"/>
    <w:uiPriority w:val="99"/>
    <w:qFormat/>
    <w:tblPr/>
  </w:style>
  <w:style w:type="table" w:styleId="1380">
    <w:name w:val="List Table 6 Colorful - Accent 5"/>
    <w:next w:val="1380"/>
    <w:link w:val="1015"/>
    <w:uiPriority w:val="99"/>
    <w:qFormat/>
    <w:tblPr/>
  </w:style>
  <w:style w:type="table" w:styleId="1381">
    <w:name w:val="List Table 6 Colorful - Accent 6"/>
    <w:next w:val="1381"/>
    <w:link w:val="1015"/>
    <w:uiPriority w:val="99"/>
    <w:qFormat/>
    <w:tblPr/>
  </w:style>
  <w:style w:type="table" w:styleId="1382">
    <w:name w:val="List Table 7 Colorful - Accent 1"/>
    <w:next w:val="1382"/>
    <w:link w:val="1015"/>
    <w:uiPriority w:val="99"/>
    <w:qFormat/>
    <w:tblPr/>
  </w:style>
  <w:style w:type="table" w:styleId="1383">
    <w:name w:val="List Table 7 Colorful - Accent 2"/>
    <w:next w:val="1383"/>
    <w:link w:val="1015"/>
    <w:uiPriority w:val="99"/>
    <w:qFormat/>
    <w:tblPr/>
  </w:style>
  <w:style w:type="table" w:styleId="1384">
    <w:name w:val="List Table 7 Colorful - Accent 3"/>
    <w:next w:val="1384"/>
    <w:link w:val="1015"/>
    <w:uiPriority w:val="99"/>
    <w:qFormat/>
    <w:tblPr/>
  </w:style>
  <w:style w:type="table" w:styleId="1385">
    <w:name w:val="List Table 7 Colorful - Accent 4"/>
    <w:next w:val="1385"/>
    <w:link w:val="1015"/>
    <w:uiPriority w:val="99"/>
    <w:qFormat/>
    <w:tblPr/>
  </w:style>
  <w:style w:type="table" w:styleId="1386">
    <w:name w:val="List Table 7 Colorful - Accent 5"/>
    <w:next w:val="1386"/>
    <w:link w:val="1015"/>
    <w:uiPriority w:val="99"/>
    <w:qFormat/>
    <w:tblPr/>
  </w:style>
  <w:style w:type="table" w:styleId="1387">
    <w:name w:val="List Table 7 Colorful - Accent 6"/>
    <w:next w:val="1387"/>
    <w:link w:val="1015"/>
    <w:uiPriority w:val="99"/>
    <w:qFormat/>
    <w:tblPr/>
  </w:style>
  <w:style w:type="table" w:styleId="1388">
    <w:name w:val="Lined - Accent"/>
    <w:next w:val="1388"/>
    <w:link w:val="1015"/>
    <w:uiPriority w:val="99"/>
    <w:qFormat/>
    <w:rPr>
      <w:color w:val="404040"/>
    </w:rPr>
    <w:tblPr/>
  </w:style>
  <w:style w:type="table" w:styleId="1389">
    <w:name w:val="Lined - Accent 1"/>
    <w:next w:val="1389"/>
    <w:link w:val="1015"/>
    <w:uiPriority w:val="99"/>
    <w:qFormat/>
    <w:rPr>
      <w:color w:val="404040"/>
    </w:rPr>
    <w:tblPr/>
  </w:style>
  <w:style w:type="table" w:styleId="1390">
    <w:name w:val="Lined - Accent 2"/>
    <w:next w:val="1390"/>
    <w:link w:val="1015"/>
    <w:uiPriority w:val="99"/>
    <w:qFormat/>
    <w:rPr>
      <w:color w:val="404040"/>
    </w:rPr>
    <w:tblPr/>
  </w:style>
  <w:style w:type="table" w:styleId="1391">
    <w:name w:val="Lined - Accent 3"/>
    <w:next w:val="1391"/>
    <w:link w:val="1015"/>
    <w:uiPriority w:val="99"/>
    <w:qFormat/>
    <w:rPr>
      <w:color w:val="404040"/>
    </w:rPr>
    <w:tblPr/>
  </w:style>
  <w:style w:type="table" w:styleId="1392">
    <w:name w:val="Lined - Accent 4"/>
    <w:next w:val="1392"/>
    <w:link w:val="1015"/>
    <w:uiPriority w:val="99"/>
    <w:qFormat/>
    <w:rPr>
      <w:color w:val="404040"/>
    </w:rPr>
    <w:tblPr/>
  </w:style>
  <w:style w:type="table" w:styleId="1393">
    <w:name w:val="Lined - Accent 5"/>
    <w:next w:val="1393"/>
    <w:link w:val="1015"/>
    <w:uiPriority w:val="99"/>
    <w:qFormat/>
    <w:rPr>
      <w:color w:val="404040"/>
    </w:rPr>
    <w:tblPr/>
  </w:style>
  <w:style w:type="table" w:styleId="1394">
    <w:name w:val="Lined - Accent 6"/>
    <w:next w:val="1394"/>
    <w:link w:val="1015"/>
    <w:uiPriority w:val="99"/>
    <w:qFormat/>
    <w:rPr>
      <w:color w:val="404040"/>
    </w:rPr>
    <w:tblPr/>
  </w:style>
  <w:style w:type="table" w:styleId="1395">
    <w:name w:val="Bordered &amp; Lined - Accent"/>
    <w:next w:val="1395"/>
    <w:link w:val="1015"/>
    <w:uiPriority w:val="99"/>
    <w:qFormat/>
    <w:rPr>
      <w:color w:val="404040"/>
    </w:rPr>
    <w:tblPr/>
  </w:style>
  <w:style w:type="table" w:styleId="1396">
    <w:name w:val="Bordered &amp; Lined - Accent 1"/>
    <w:next w:val="1396"/>
    <w:link w:val="1015"/>
    <w:uiPriority w:val="99"/>
    <w:qFormat/>
    <w:rPr>
      <w:color w:val="404040"/>
    </w:rPr>
    <w:tblPr/>
  </w:style>
  <w:style w:type="table" w:styleId="1397">
    <w:name w:val="Bordered &amp; Lined - Accent 2"/>
    <w:next w:val="1397"/>
    <w:link w:val="1015"/>
    <w:uiPriority w:val="99"/>
    <w:qFormat/>
    <w:rPr>
      <w:color w:val="404040"/>
    </w:rPr>
    <w:tblPr/>
  </w:style>
  <w:style w:type="table" w:styleId="1398">
    <w:name w:val="Bordered &amp; Lined - Accent 3"/>
    <w:next w:val="1398"/>
    <w:link w:val="1015"/>
    <w:uiPriority w:val="99"/>
    <w:qFormat/>
    <w:rPr>
      <w:color w:val="404040"/>
    </w:rPr>
    <w:tblPr/>
  </w:style>
  <w:style w:type="table" w:styleId="1399">
    <w:name w:val="Bordered &amp; Lined - Accent 4"/>
    <w:next w:val="1399"/>
    <w:link w:val="1015"/>
    <w:uiPriority w:val="99"/>
    <w:qFormat/>
    <w:rPr>
      <w:color w:val="404040"/>
    </w:rPr>
    <w:tblPr/>
  </w:style>
  <w:style w:type="table" w:styleId="1400">
    <w:name w:val="Bordered &amp; Lined - Accent 5"/>
    <w:next w:val="1400"/>
    <w:link w:val="1015"/>
    <w:uiPriority w:val="99"/>
    <w:qFormat/>
    <w:rPr>
      <w:color w:val="404040"/>
    </w:rPr>
    <w:tblPr/>
  </w:style>
  <w:style w:type="table" w:styleId="1401">
    <w:name w:val="Bordered &amp; Lined - Accent 6"/>
    <w:next w:val="1401"/>
    <w:link w:val="1015"/>
    <w:uiPriority w:val="99"/>
    <w:qFormat/>
    <w:rPr>
      <w:color w:val="404040"/>
    </w:rPr>
    <w:tblPr/>
  </w:style>
  <w:style w:type="table" w:styleId="1402">
    <w:name w:val="Bordered"/>
    <w:next w:val="1402"/>
    <w:link w:val="1015"/>
    <w:uiPriority w:val="99"/>
    <w:qFormat/>
    <w:tblPr/>
  </w:style>
  <w:style w:type="table" w:styleId="1403">
    <w:name w:val="Bordered - Accent 1"/>
    <w:next w:val="1403"/>
    <w:link w:val="1015"/>
    <w:uiPriority w:val="99"/>
    <w:qFormat/>
    <w:tblPr/>
  </w:style>
  <w:style w:type="table" w:styleId="1404">
    <w:name w:val="Bordered - Accent 2"/>
    <w:next w:val="1404"/>
    <w:link w:val="1015"/>
    <w:uiPriority w:val="99"/>
    <w:qFormat/>
    <w:tblPr/>
  </w:style>
  <w:style w:type="table" w:styleId="1405">
    <w:name w:val="Bordered - Accent 3"/>
    <w:next w:val="1405"/>
    <w:link w:val="1015"/>
    <w:uiPriority w:val="99"/>
    <w:qFormat/>
    <w:tblPr/>
  </w:style>
  <w:style w:type="table" w:styleId="1406">
    <w:name w:val="Bordered - Accent 4"/>
    <w:next w:val="1406"/>
    <w:link w:val="1015"/>
    <w:uiPriority w:val="99"/>
    <w:qFormat/>
    <w:tblPr/>
  </w:style>
  <w:style w:type="table" w:styleId="1407">
    <w:name w:val="Bordered - Accent 5"/>
    <w:next w:val="1407"/>
    <w:link w:val="1015"/>
    <w:uiPriority w:val="99"/>
    <w:qFormat/>
    <w:tblPr/>
  </w:style>
  <w:style w:type="table" w:styleId="1408">
    <w:name w:val="Bordered - Accent 6"/>
    <w:next w:val="1408"/>
    <w:link w:val="1015"/>
    <w:uiPriority w:val="99"/>
    <w:qFormat/>
    <w:tblPr/>
  </w:style>
  <w:style w:type="paragraph" w:styleId="1409">
    <w:name w:val="TOC 标题11"/>
    <w:next w:val="1409"/>
    <w:link w:val="1015"/>
    <w:uiPriority w:val="39"/>
    <w:unhideWhenUsed/>
    <w:qFormat/>
    <w:rPr>
      <w:rFonts w:ascii="Times New Roman" w:hAnsi="Times New Roman" w:eastAsia="宋体" w:cs="Times New Roman"/>
      <w:lang w:val="en-US" w:eastAsia="zh-CN" w:bidi="ar-SA"/>
    </w:rPr>
  </w:style>
  <w:style w:type="character" w:styleId="1410">
    <w:name w:val="正文文本首行缩进 字符"/>
    <w:next w:val="1410"/>
    <w:link w:val="1015"/>
    <w:qFormat/>
    <w:rPr>
      <w:rFonts w:eastAsia="楷体_GB2312"/>
      <w:sz w:val="26"/>
    </w:rPr>
  </w:style>
  <w:style w:type="character" w:styleId="1411">
    <w:name w:val="Char Char4"/>
    <w:next w:val="1411"/>
    <w:link w:val="1015"/>
    <w:qFormat/>
    <w:rPr>
      <w:rFonts w:ascii="方正仿宋简体" w:hAnsi="创艺简仿宋" w:eastAsia="方正仿宋简体"/>
      <w:sz w:val="24"/>
      <w:lang w:val="en-US" w:eastAsia="zh-CN" w:bidi="ar-SA"/>
    </w:rPr>
  </w:style>
  <w:style w:type="character" w:styleId="1412">
    <w:name w:val="state"/>
    <w:next w:val="1412"/>
    <w:link w:val="1015"/>
    <w:qFormat/>
    <w:rPr>
      <w:b/>
      <w:color w:val="ffffff"/>
      <w:sz w:val="19"/>
      <w:szCs w:val="19"/>
    </w:rPr>
  </w:style>
  <w:style w:type="character" w:styleId="1413">
    <w:name w:val="bds_more6"/>
    <w:next w:val="1413"/>
    <w:link w:val="1015"/>
    <w:qFormat/>
  </w:style>
  <w:style w:type="character" w:styleId="1414">
    <w:name w:val="hilite"/>
    <w:next w:val="1414"/>
    <w:link w:val="1015"/>
    <w:qFormat/>
    <w:rPr>
      <w:color w:val="ffffff"/>
      <w:shd w:val="clear" w:color="auto" w:fill="776666"/>
    </w:rPr>
  </w:style>
  <w:style w:type="character" w:styleId="1415">
    <w:name w:val="bds_nopic"/>
    <w:next w:val="1415"/>
    <w:link w:val="1015"/>
    <w:qFormat/>
  </w:style>
  <w:style w:type="character" w:styleId="1416">
    <w:name w:val="Char Char2"/>
    <w:next w:val="1416"/>
    <w:link w:val="1015"/>
    <w:qFormat/>
    <w:rPr>
      <w:rFonts w:ascii="宋体" w:hAnsi="宋体" w:eastAsia="楷体_GB2312"/>
      <w:b/>
      <w:sz w:val="26"/>
      <w:lang w:val="en-US" w:eastAsia="zh-CN" w:bidi="ar-SA"/>
    </w:rPr>
  </w:style>
  <w:style w:type="character" w:styleId="1417">
    <w:name w:val="hover61"/>
    <w:next w:val="1417"/>
    <w:link w:val="1015"/>
    <w:qFormat/>
    <w:rPr>
      <w:shd w:val="clear" w:color="auto" w:fill="ff0000"/>
    </w:rPr>
  </w:style>
  <w:style w:type="character" w:styleId="1418">
    <w:name w:val="font51"/>
    <w:next w:val="1418"/>
    <w:link w:val="1015"/>
    <w:uiPriority w:val="99"/>
    <w:qFormat/>
    <w:rPr>
      <w:rFonts w:hint="eastAsia" w:ascii="宋体" w:hAnsi="宋体" w:eastAsia="宋体" w:cs="宋体"/>
      <w:color w:val="ff0000"/>
      <w:sz w:val="20"/>
      <w:szCs w:val="20"/>
      <w:u w:val="none"/>
    </w:rPr>
  </w:style>
  <w:style w:type="character" w:styleId="1419">
    <w:name w:val="grid"/>
    <w:next w:val="1419"/>
    <w:link w:val="1015"/>
    <w:qFormat/>
  </w:style>
  <w:style w:type="character" w:styleId="1420">
    <w:name w:val="bds_more7"/>
    <w:next w:val="1420"/>
    <w:link w:val="1015"/>
    <w:qFormat/>
  </w:style>
  <w:style w:type="character" w:styleId="1421">
    <w:name w:val="bds_more8"/>
    <w:next w:val="1421"/>
    <w:link w:val="1015"/>
    <w:qFormat/>
    <w:rPr>
      <w:rFonts w:hint="eastAsia" w:ascii="宋体" w:hAnsi="宋体" w:eastAsia="宋体" w:cs="宋体"/>
    </w:rPr>
  </w:style>
  <w:style w:type="character" w:styleId="1422">
    <w:name w:val="bds_more4"/>
    <w:next w:val="1422"/>
    <w:link w:val="1015"/>
    <w:qFormat/>
    <w:rPr>
      <w:rFonts w:hint="eastAsia" w:ascii="宋体" w:hAnsi="宋体" w:eastAsia="宋体" w:cs="宋体"/>
    </w:rPr>
  </w:style>
  <w:style w:type="character" w:styleId="1423">
    <w:name w:val="bds_nopic1"/>
    <w:next w:val="1423"/>
    <w:link w:val="1015"/>
    <w:qFormat/>
  </w:style>
  <w:style w:type="character" w:styleId="1424">
    <w:name w:val="hilite6"/>
    <w:next w:val="1424"/>
    <w:link w:val="1015"/>
    <w:qFormat/>
    <w:rPr>
      <w:color w:val="ffffff"/>
      <w:shd w:val="clear" w:color="auto" w:fill="776666"/>
    </w:rPr>
  </w:style>
  <w:style w:type="character" w:styleId="1425">
    <w:name w:val="正文缩进2格 Char Char"/>
    <w:next w:val="1425"/>
    <w:link w:val="1426"/>
    <w:qFormat/>
    <w:rPr>
      <w:rFonts w:ascii="仿宋_GB2312" w:hAnsi="宋体" w:eastAsia="仿宋_GB2312"/>
      <w:sz w:val="31"/>
      <w:szCs w:val="28"/>
    </w:rPr>
  </w:style>
  <w:style w:type="paragraph" w:styleId="1426">
    <w:name w:val="正文缩进2格"/>
    <w:basedOn w:val="1015"/>
    <w:next w:val="1426"/>
    <w:link w:val="1425"/>
    <w:qFormat/>
    <w:pPr>
      <w:ind w:firstLine="639"/>
      <w:spacing w:line="600" w:lineRule="exact"/>
    </w:pPr>
    <w:rPr>
      <w:rFonts w:ascii="仿宋_GB2312" w:hAnsi="宋体" w:eastAsia="仿宋_GB2312"/>
      <w:sz w:val="31"/>
      <w:szCs w:val="28"/>
    </w:rPr>
  </w:style>
  <w:style w:type="character" w:styleId="1427">
    <w:name w:val="grid2"/>
    <w:next w:val="1427"/>
    <w:link w:val="1015"/>
    <w:qFormat/>
  </w:style>
  <w:style w:type="character" w:styleId="1428">
    <w:name w:val="other"/>
    <w:next w:val="1428"/>
    <w:link w:val="1015"/>
    <w:qFormat/>
  </w:style>
  <w:style w:type="character" w:styleId="1429">
    <w:name w:val="font01"/>
    <w:next w:val="1429"/>
    <w:link w:val="1015"/>
    <w:qFormat/>
    <w:rPr>
      <w:rFonts w:hint="eastAsia" w:ascii="宋体" w:hAnsi="宋体" w:eastAsia="宋体" w:cs="宋体"/>
      <w:b/>
      <w:color w:val="000000"/>
      <w:sz w:val="20"/>
      <w:szCs w:val="20"/>
      <w:u w:val="none"/>
    </w:rPr>
  </w:style>
  <w:style w:type="character" w:styleId="1430">
    <w:name w:val="noused"/>
    <w:next w:val="1430"/>
    <w:link w:val="1015"/>
    <w:qFormat/>
    <w:rPr>
      <w:b/>
      <w:color w:val="ffffff"/>
      <w:sz w:val="21"/>
      <w:szCs w:val="21"/>
    </w:rPr>
  </w:style>
  <w:style w:type="character" w:styleId="1431">
    <w:name w:val="active8"/>
    <w:next w:val="1431"/>
    <w:link w:val="1015"/>
    <w:qFormat/>
    <w:rPr>
      <w:color w:val="00ff00"/>
      <w:shd w:val="clear" w:color="auto" w:fill="000000"/>
    </w:rPr>
  </w:style>
  <w:style w:type="character" w:styleId="1432">
    <w:name w:val="font61"/>
    <w:next w:val="1432"/>
    <w:link w:val="1015"/>
    <w:qFormat/>
    <w:rPr>
      <w:rFonts w:hint="eastAsia" w:ascii="宋体" w:hAnsi="宋体" w:eastAsia="宋体" w:cs="宋体"/>
      <w:color w:val="000000"/>
      <w:sz w:val="20"/>
      <w:szCs w:val="20"/>
      <w:u w:val="none"/>
    </w:rPr>
  </w:style>
  <w:style w:type="character" w:styleId="1433">
    <w:name w:val="bds_more5"/>
    <w:next w:val="1433"/>
    <w:link w:val="1015"/>
    <w:qFormat/>
  </w:style>
  <w:style w:type="character" w:styleId="1434">
    <w:name w:val="bds_nopic2"/>
    <w:next w:val="1434"/>
    <w:link w:val="1015"/>
    <w:qFormat/>
  </w:style>
  <w:style w:type="character" w:styleId="1435">
    <w:name w:val="active"/>
    <w:next w:val="1435"/>
    <w:link w:val="1015"/>
    <w:qFormat/>
    <w:rPr>
      <w:color w:val="00ff00"/>
      <w:shd w:val="clear" w:color="auto" w:fill="000000"/>
    </w:rPr>
  </w:style>
  <w:style w:type="character" w:styleId="1436">
    <w:name w:val="font41"/>
    <w:next w:val="1436"/>
    <w:link w:val="1015"/>
    <w:qFormat/>
    <w:rPr>
      <w:rFonts w:hint="eastAsia" w:ascii="宋体" w:hAnsi="宋体" w:eastAsia="宋体" w:cs="宋体"/>
      <w:color w:val="000000"/>
      <w:sz w:val="20"/>
      <w:szCs w:val="20"/>
      <w:u w:val="none"/>
    </w:rPr>
  </w:style>
  <w:style w:type="character" w:styleId="1437">
    <w:name w:val="font11"/>
    <w:next w:val="1437"/>
    <w:link w:val="1015"/>
    <w:qFormat/>
    <w:rPr>
      <w:rFonts w:ascii="宋体" w:hAnsi="宋体" w:eastAsia="宋体"/>
      <w:color w:val="000000"/>
      <w:sz w:val="28"/>
      <w:u w:val="none"/>
    </w:rPr>
  </w:style>
  <w:style w:type="character" w:styleId="1438">
    <w:name w:val="font81"/>
    <w:next w:val="1438"/>
    <w:link w:val="1015"/>
    <w:qFormat/>
    <w:rPr>
      <w:rFonts w:ascii="宋体" w:hAnsi="宋体" w:eastAsia="宋体"/>
      <w:b/>
      <w:color w:val="000000"/>
      <w:sz w:val="18"/>
      <w:u w:val="none"/>
    </w:rPr>
  </w:style>
  <w:style w:type="character" w:styleId="1439">
    <w:name w:val="font71"/>
    <w:next w:val="1439"/>
    <w:link w:val="1015"/>
    <w:qFormat/>
    <w:rPr>
      <w:rFonts w:hint="eastAsia" w:ascii="宋体" w:hAnsi="宋体" w:eastAsia="宋体" w:cs="宋体"/>
      <w:color w:val="000000"/>
      <w:sz w:val="20"/>
      <w:szCs w:val="20"/>
      <w:u w:val="none"/>
      <w:vertAlign w:val="superscript"/>
    </w:rPr>
  </w:style>
  <w:style w:type="character" w:styleId="1440">
    <w:name w:val="正文文本缩进 Char1"/>
    <w:next w:val="1440"/>
    <w:link w:val="1015"/>
    <w:qFormat/>
    <w:rPr>
      <w:rFonts w:eastAsia="楷体_GB2312"/>
      <w:sz w:val="26"/>
    </w:rPr>
  </w:style>
  <w:style w:type="character" w:styleId="1441">
    <w:name w:val="font101"/>
    <w:next w:val="1441"/>
    <w:link w:val="1015"/>
    <w:qFormat/>
    <w:rPr>
      <w:rFonts w:hint="eastAsia" w:ascii="微软雅黑" w:hAnsi="微软雅黑" w:eastAsia="微软雅黑" w:cs="微软雅黑"/>
      <w:color w:val="000000"/>
      <w:sz w:val="20"/>
      <w:szCs w:val="20"/>
      <w:u w:val="none"/>
      <w:vertAlign w:val="superscript"/>
    </w:rPr>
  </w:style>
  <w:style w:type="character" w:styleId="1442">
    <w:name w:val="日期 Char1"/>
    <w:next w:val="1442"/>
    <w:link w:val="1015"/>
    <w:qFormat/>
    <w:rPr>
      <w:rFonts w:eastAsia="楷体_GB2312"/>
      <w:sz w:val="26"/>
      <w:szCs w:val="26"/>
    </w:rPr>
  </w:style>
  <w:style w:type="character" w:styleId="1443">
    <w:name w:val="Balloon Text Char"/>
    <w:next w:val="1443"/>
    <w:link w:val="1015"/>
    <w:semiHidden/>
    <w:qFormat/>
    <w:rPr>
      <w:rFonts w:eastAsia="宋体"/>
      <w:sz w:val="18"/>
      <w:lang w:val="en-US" w:eastAsia="zh-CN"/>
    </w:rPr>
  </w:style>
  <w:style w:type="character" w:styleId="1444">
    <w:name w:val="font21"/>
    <w:next w:val="1444"/>
    <w:link w:val="1015"/>
    <w:qFormat/>
    <w:rPr>
      <w:rFonts w:hint="eastAsia" w:ascii="宋体" w:hAnsi="宋体" w:eastAsia="宋体" w:cs="宋体"/>
      <w:b/>
      <w:color w:val="000000"/>
      <w:sz w:val="20"/>
      <w:szCs w:val="20"/>
      <w:u w:val="none"/>
    </w:rPr>
  </w:style>
  <w:style w:type="character" w:styleId="1445">
    <w:name w:val="font31"/>
    <w:next w:val="1445"/>
    <w:link w:val="1015"/>
    <w:qFormat/>
    <w:rPr>
      <w:rFonts w:ascii="宋体" w:hAnsi="宋体" w:eastAsia="宋体"/>
      <w:color w:val="000000"/>
      <w:sz w:val="20"/>
      <w:u w:val="none"/>
    </w:rPr>
  </w:style>
  <w:style w:type="character" w:styleId="1446">
    <w:name w:val="Body Text Indent Char"/>
    <w:next w:val="1446"/>
    <w:link w:val="1015"/>
    <w:qFormat/>
    <w:rPr>
      <w:rFonts w:ascii="方正仿宋简体" w:hAnsi="创艺简仿宋" w:eastAsia="方正仿宋简体"/>
      <w:sz w:val="24"/>
    </w:rPr>
  </w:style>
  <w:style w:type="character" w:styleId="1447">
    <w:name w:val="Header Char1"/>
    <w:next w:val="1447"/>
    <w:link w:val="1015"/>
    <w:qFormat/>
    <w:rPr>
      <w:rFonts w:eastAsia="楷体_GB2312"/>
      <w:sz w:val="18"/>
    </w:rPr>
  </w:style>
  <w:style w:type="character" w:styleId="1448">
    <w:name w:val="正文文本缩进 Char2"/>
    <w:next w:val="1448"/>
    <w:link w:val="1015"/>
    <w:qFormat/>
    <w:rPr>
      <w:rFonts w:eastAsia="楷体_GB2312"/>
      <w:sz w:val="26"/>
      <w:szCs w:val="26"/>
    </w:rPr>
  </w:style>
  <w:style w:type="character" w:styleId="1449">
    <w:name w:val="NormalCharacter1"/>
    <w:next w:val="1449"/>
    <w:link w:val="1015"/>
    <w:qFormat/>
  </w:style>
  <w:style w:type="paragraph" w:styleId="1450">
    <w:name w:val="列出段落1"/>
    <w:basedOn w:val="1015"/>
    <w:next w:val="1450"/>
    <w:link w:val="1015"/>
    <w:qFormat/>
    <w:pPr>
      <w:ind w:firstLine="420"/>
    </w:pPr>
    <w:rPr>
      <w:rFonts w:ascii="Calibri" w:hAnsi="Calibri" w:eastAsia="宋体" w:cs="黑体"/>
      <w:szCs w:val="22"/>
    </w:rPr>
  </w:style>
  <w:style w:type="paragraph" w:styleId="1451">
    <w:name w:val="p0"/>
    <w:basedOn w:val="1015"/>
    <w:next w:val="1451"/>
    <w:link w:val="1015"/>
    <w:qFormat/>
    <w:pPr>
      <w:widowControl/>
    </w:pPr>
    <w:rPr>
      <w:rFonts w:eastAsia="宋体"/>
      <w:sz w:val="21"/>
      <w:szCs w:val="21"/>
    </w:rPr>
  </w:style>
  <w:style w:type="paragraph" w:styleId="1452">
    <w:name w:val="Char Char1 Char Char Char Char"/>
    <w:basedOn w:val="1190"/>
    <w:next w:val="1452"/>
    <w:link w:val="1015"/>
    <w:qFormat/>
    <w:pPr>
      <w:spacing w:line="360" w:lineRule="auto"/>
    </w:pPr>
    <w:rPr>
      <w:rFonts w:ascii="Tahoma" w:hAnsi="Tahoma" w:eastAsia="宋体"/>
      <w:sz w:val="24"/>
      <w:szCs w:val="24"/>
    </w:rPr>
  </w:style>
  <w:style w:type="paragraph" w:styleId="1453">
    <w:name w:val="Char Char1 Char Char Char Char Char Char Char"/>
    <w:basedOn w:val="1015"/>
    <w:next w:val="1453"/>
    <w:link w:val="1015"/>
    <w:qFormat/>
    <w:rPr>
      <w:rFonts w:ascii="Tahoma" w:hAnsi="Tahoma"/>
      <w:sz w:val="24"/>
    </w:rPr>
  </w:style>
  <w:style w:type="paragraph" w:styleId="1454">
    <w:name w:val="Char"/>
    <w:basedOn w:val="1015"/>
    <w:next w:val="1454"/>
    <w:link w:val="1015"/>
    <w:qFormat/>
    <w:pPr>
      <w:jc w:val="left"/>
      <w:spacing w:after="160" w:line="240" w:lineRule="exact"/>
      <w:widowControl/>
    </w:pPr>
    <w:rPr>
      <w:rFonts w:ascii="Verdana" w:hAnsi="Verdana" w:eastAsia="宋体"/>
      <w:sz w:val="21"/>
      <w:lang w:eastAsia="en-US"/>
    </w:rPr>
  </w:style>
  <w:style w:type="paragraph" w:styleId="1455">
    <w:name w:val="Char1"/>
    <w:basedOn w:val="1015"/>
    <w:next w:val="1455"/>
    <w:link w:val="1015"/>
    <w:qFormat/>
    <w:rPr>
      <w:rFonts w:ascii="Tahoma" w:hAnsi="Tahoma" w:eastAsia="宋体"/>
      <w:sz w:val="24"/>
    </w:rPr>
  </w:style>
  <w:style w:type="paragraph" w:styleId="1456">
    <w:name w:val="图"/>
    <w:basedOn w:val="1015"/>
    <w:next w:val="1456"/>
    <w:link w:val="1015"/>
    <w:qFormat/>
    <w:pPr>
      <w:jc w:val="center"/>
      <w:keepNext/>
      <w:spacing w:before="60" w:after="60" w:line="300" w:lineRule="auto"/>
    </w:pPr>
    <w:rPr>
      <w:rFonts w:eastAsia="宋体"/>
      <w:spacing w:val="20"/>
      <w:sz w:val="24"/>
    </w:rPr>
  </w:style>
  <w:style w:type="paragraph" w:styleId="1457">
    <w:name w:val="纯文本2"/>
    <w:basedOn w:val="1015"/>
    <w:next w:val="1457"/>
    <w:link w:val="1015"/>
    <w:qFormat/>
    <w:rPr>
      <w:rFonts w:ascii="宋体" w:hAnsi="Courier New"/>
    </w:rPr>
  </w:style>
  <w:style w:type="paragraph" w:styleId="1458">
    <w:name w:val="Table Paragraph"/>
    <w:basedOn w:val="1015"/>
    <w:next w:val="1458"/>
    <w:link w:val="1015"/>
    <w:uiPriority w:val="1"/>
    <w:qFormat/>
    <w:rPr>
      <w:rFonts w:ascii="仿宋" w:hAnsi="仿宋" w:eastAsia="仿宋" w:cs="仿宋"/>
      <w:sz w:val="21"/>
      <w:szCs w:val="22"/>
      <w:lang w:val="zh-CN" w:bidi="zh-CN"/>
    </w:rPr>
  </w:style>
  <w:style w:type="paragraph" w:styleId="1459">
    <w:name w:val="xl107"/>
    <w:basedOn w:val="1015"/>
    <w:next w:val="1459"/>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60">
    <w:name w:val="font10"/>
    <w:basedOn w:val="1015"/>
    <w:next w:val="1460"/>
    <w:link w:val="1015"/>
    <w:qFormat/>
    <w:pPr>
      <w:jc w:val="left"/>
      <w:spacing w:before="100" w:beforeAutospacing="1" w:after="100" w:afterAutospacing="1"/>
      <w:widowControl/>
    </w:pPr>
    <w:rPr>
      <w:rFonts w:ascii="宋体" w:hAnsi="宋体" w:eastAsia="宋体" w:cs="宋体"/>
      <w:sz w:val="18"/>
      <w:szCs w:val="18"/>
    </w:rPr>
  </w:style>
  <w:style w:type="paragraph" w:styleId="1461">
    <w:name w:val="xl108"/>
    <w:basedOn w:val="1015"/>
    <w:next w:val="1461"/>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62">
    <w:name w:val="xl127"/>
    <w:basedOn w:val="1015"/>
    <w:next w:val="146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63">
    <w:name w:val="xl124"/>
    <w:basedOn w:val="1015"/>
    <w:next w:val="146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64">
    <w:name w:val="font7"/>
    <w:basedOn w:val="1015"/>
    <w:next w:val="1464"/>
    <w:link w:val="1015"/>
    <w:qFormat/>
    <w:pPr>
      <w:jc w:val="left"/>
      <w:spacing w:before="100" w:beforeAutospacing="1" w:after="100" w:afterAutospacing="1"/>
      <w:widowControl/>
    </w:pPr>
    <w:rPr>
      <w:rFonts w:ascii="宋体" w:hAnsi="宋体" w:eastAsia="宋体" w:cs="宋体"/>
      <w:sz w:val="18"/>
      <w:szCs w:val="18"/>
    </w:rPr>
  </w:style>
  <w:style w:type="paragraph" w:styleId="1465">
    <w:name w:val="xl162"/>
    <w:basedOn w:val="1015"/>
    <w:next w:val="1465"/>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466">
    <w:name w:val="xl123"/>
    <w:basedOn w:val="1015"/>
    <w:next w:val="1466"/>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67">
    <w:name w:val="xl113"/>
    <w:basedOn w:val="1015"/>
    <w:next w:val="1467"/>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468">
    <w:name w:val="font12"/>
    <w:basedOn w:val="1015"/>
    <w:next w:val="1468"/>
    <w:link w:val="1015"/>
    <w:qFormat/>
    <w:pPr>
      <w:jc w:val="left"/>
      <w:spacing w:before="100" w:beforeAutospacing="1" w:after="100" w:afterAutospacing="1"/>
      <w:widowControl/>
    </w:pPr>
    <w:rPr>
      <w:rFonts w:ascii="宋体" w:hAnsi="宋体" w:eastAsia="宋体" w:cs="宋体"/>
      <w:sz w:val="18"/>
      <w:szCs w:val="18"/>
    </w:rPr>
  </w:style>
  <w:style w:type="paragraph" w:styleId="1469">
    <w:name w:val="xl145"/>
    <w:basedOn w:val="1015"/>
    <w:next w:val="1469"/>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470">
    <w:name w:val="font22"/>
    <w:basedOn w:val="1015"/>
    <w:next w:val="1470"/>
    <w:link w:val="1015"/>
    <w:qFormat/>
    <w:pPr>
      <w:jc w:val="left"/>
      <w:spacing w:before="100" w:beforeAutospacing="1" w:after="100" w:afterAutospacing="1"/>
      <w:widowControl/>
    </w:pPr>
    <w:rPr>
      <w:rFonts w:ascii="宋体" w:hAnsi="宋体" w:eastAsia="宋体" w:cs="宋体"/>
      <w:sz w:val="18"/>
      <w:szCs w:val="18"/>
    </w:rPr>
  </w:style>
  <w:style w:type="paragraph" w:styleId="1471">
    <w:name w:val="xl157"/>
    <w:basedOn w:val="1015"/>
    <w:next w:val="1471"/>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472">
    <w:name w:val="xl156"/>
    <w:basedOn w:val="1015"/>
    <w:next w:val="1472"/>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473">
    <w:name w:val="xl111"/>
    <w:basedOn w:val="1015"/>
    <w:next w:val="147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74">
    <w:name w:val="xl143"/>
    <w:basedOn w:val="1015"/>
    <w:next w:val="1474"/>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75">
    <w:name w:val="xl128"/>
    <w:basedOn w:val="1015"/>
    <w:next w:val="1475"/>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76">
    <w:name w:val="xl138"/>
    <w:basedOn w:val="1015"/>
    <w:next w:val="1476"/>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77">
    <w:name w:val="xl152"/>
    <w:basedOn w:val="1015"/>
    <w:next w:val="1477"/>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78">
    <w:name w:val="xl117"/>
    <w:basedOn w:val="1015"/>
    <w:next w:val="1478"/>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79">
    <w:name w:val="xl149"/>
    <w:basedOn w:val="1015"/>
    <w:next w:val="1479"/>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80">
    <w:name w:val="xl154"/>
    <w:basedOn w:val="1015"/>
    <w:next w:val="1480"/>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81">
    <w:name w:val="xl146"/>
    <w:basedOn w:val="1015"/>
    <w:next w:val="1481"/>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82">
    <w:name w:val="xl122"/>
    <w:basedOn w:val="1015"/>
    <w:next w:val="1482"/>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83">
    <w:name w:val="font8"/>
    <w:basedOn w:val="1015"/>
    <w:next w:val="1483"/>
    <w:link w:val="1015"/>
    <w:qFormat/>
    <w:pPr>
      <w:jc w:val="left"/>
      <w:spacing w:before="100" w:beforeAutospacing="1" w:after="100" w:afterAutospacing="1"/>
      <w:widowControl/>
    </w:pPr>
    <w:rPr>
      <w:rFonts w:ascii="宋体" w:hAnsi="宋体" w:eastAsia="宋体" w:cs="宋体"/>
      <w:sz w:val="18"/>
      <w:szCs w:val="18"/>
    </w:rPr>
  </w:style>
  <w:style w:type="paragraph" w:styleId="1484">
    <w:name w:val="xl142"/>
    <w:basedOn w:val="1015"/>
    <w:next w:val="1484"/>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85">
    <w:name w:val="xl125"/>
    <w:basedOn w:val="1015"/>
    <w:next w:val="1485"/>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86">
    <w:name w:val="font6"/>
    <w:basedOn w:val="1015"/>
    <w:next w:val="1486"/>
    <w:link w:val="1015"/>
    <w:qFormat/>
    <w:pPr>
      <w:jc w:val="left"/>
      <w:spacing w:before="100" w:beforeAutospacing="1" w:after="100" w:afterAutospacing="1"/>
      <w:widowControl/>
    </w:pPr>
    <w:rPr>
      <w:rFonts w:ascii="宋体" w:hAnsi="宋体" w:eastAsia="宋体" w:cs="宋体"/>
      <w:sz w:val="18"/>
      <w:szCs w:val="18"/>
    </w:rPr>
  </w:style>
  <w:style w:type="paragraph" w:styleId="1487">
    <w:name w:val="xl126"/>
    <w:basedOn w:val="1015"/>
    <w:next w:val="1487"/>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88">
    <w:name w:val="xl105"/>
    <w:basedOn w:val="1015"/>
    <w:next w:val="1488"/>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89">
    <w:name w:val="xl109"/>
    <w:basedOn w:val="1015"/>
    <w:next w:val="1489"/>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90">
    <w:name w:val="xl136"/>
    <w:basedOn w:val="1015"/>
    <w:next w:val="149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91">
    <w:name w:val="xl101"/>
    <w:basedOn w:val="1015"/>
    <w:next w:val="1491"/>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492">
    <w:name w:val="列出段落11"/>
    <w:basedOn w:val="1015"/>
    <w:next w:val="1492"/>
    <w:link w:val="1015"/>
    <w:uiPriority w:val="34"/>
    <w:qFormat/>
    <w:pPr>
      <w:ind w:firstLine="420"/>
    </w:pPr>
    <w:rPr>
      <w:rFonts w:ascii="Calibri" w:hAnsi="Calibri" w:eastAsia="宋体"/>
      <w:szCs w:val="26"/>
    </w:rPr>
  </w:style>
  <w:style w:type="paragraph" w:styleId="1493">
    <w:name w:val="font15"/>
    <w:basedOn w:val="1015"/>
    <w:next w:val="1493"/>
    <w:link w:val="1015"/>
    <w:qFormat/>
    <w:pPr>
      <w:jc w:val="left"/>
      <w:spacing w:before="100" w:beforeAutospacing="1" w:after="100" w:afterAutospacing="1"/>
      <w:widowControl/>
    </w:pPr>
    <w:rPr>
      <w:rFonts w:ascii="宋体" w:hAnsi="宋体" w:eastAsia="宋体" w:cs="宋体"/>
      <w:sz w:val="18"/>
      <w:szCs w:val="18"/>
    </w:rPr>
  </w:style>
  <w:style w:type="paragraph" w:styleId="1494">
    <w:name w:val="xl161"/>
    <w:basedOn w:val="1015"/>
    <w:next w:val="1494"/>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495">
    <w:name w:val="xl141"/>
    <w:basedOn w:val="1015"/>
    <w:next w:val="1495"/>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96">
    <w:name w:val="xl118"/>
    <w:basedOn w:val="1015"/>
    <w:next w:val="1496"/>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497">
    <w:name w:val="xl153"/>
    <w:basedOn w:val="1015"/>
    <w:next w:val="1497"/>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498">
    <w:name w:val="xl133"/>
    <w:basedOn w:val="1015"/>
    <w:next w:val="149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99">
    <w:name w:val="font17"/>
    <w:basedOn w:val="1015"/>
    <w:next w:val="1499"/>
    <w:link w:val="1015"/>
    <w:qFormat/>
    <w:pPr>
      <w:jc w:val="left"/>
      <w:spacing w:before="100" w:beforeAutospacing="1" w:after="100" w:afterAutospacing="1"/>
      <w:widowControl/>
    </w:pPr>
    <w:rPr>
      <w:rFonts w:ascii="宋体" w:hAnsi="宋体" w:eastAsia="宋体" w:cs="宋体"/>
      <w:sz w:val="18"/>
      <w:szCs w:val="18"/>
    </w:rPr>
  </w:style>
  <w:style w:type="paragraph" w:styleId="1500">
    <w:name w:val="xl140"/>
    <w:basedOn w:val="1015"/>
    <w:next w:val="1500"/>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01">
    <w:name w:val="xl159"/>
    <w:basedOn w:val="1015"/>
    <w:next w:val="150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02">
    <w:name w:val="xl103"/>
    <w:basedOn w:val="1015"/>
    <w:next w:val="1502"/>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03">
    <w:name w:val="xl120"/>
    <w:basedOn w:val="1015"/>
    <w:next w:val="150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04">
    <w:name w:val="xl148"/>
    <w:basedOn w:val="1015"/>
    <w:next w:val="150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05">
    <w:name w:val="xl150"/>
    <w:basedOn w:val="1015"/>
    <w:next w:val="1505"/>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506">
    <w:name w:val="xl110"/>
    <w:basedOn w:val="1015"/>
    <w:next w:val="1506"/>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07">
    <w:name w:val="正文1"/>
    <w:next w:val="1507"/>
    <w:link w:val="1015"/>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508">
    <w:name w:val="xl132"/>
    <w:basedOn w:val="1015"/>
    <w:next w:val="1508"/>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09">
    <w:name w:val="font16"/>
    <w:basedOn w:val="1015"/>
    <w:next w:val="1509"/>
    <w:link w:val="1015"/>
    <w:qFormat/>
    <w:pPr>
      <w:jc w:val="left"/>
      <w:spacing w:before="100" w:beforeAutospacing="1" w:after="100" w:afterAutospacing="1"/>
      <w:widowControl/>
    </w:pPr>
    <w:rPr>
      <w:rFonts w:ascii="宋体" w:hAnsi="宋体" w:eastAsia="宋体" w:cs="宋体"/>
      <w:sz w:val="18"/>
      <w:szCs w:val="18"/>
    </w:rPr>
  </w:style>
  <w:style w:type="paragraph" w:styleId="1510">
    <w:name w:val="Normal_20"/>
    <w:next w:val="1510"/>
    <w:link w:val="1015"/>
    <w:qFormat/>
    <w:pPr>
      <w:jc w:val="both"/>
      <w:spacing w:before="120" w:after="240"/>
    </w:pPr>
    <w:rPr>
      <w:rFonts w:ascii="Times New Roman" w:hAnsi="Times New Roman" w:eastAsia="Calibri" w:cs="Times New Roman"/>
      <w:sz w:val="22"/>
      <w:szCs w:val="22"/>
      <w:lang w:val="ru-RU" w:eastAsia="en-US" w:bidi="ar-SA"/>
    </w:rPr>
  </w:style>
  <w:style w:type="paragraph" w:styleId="1511">
    <w:name w:val="xl114"/>
    <w:basedOn w:val="1015"/>
    <w:next w:val="151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512">
    <w:name w:val="xl131"/>
    <w:basedOn w:val="1015"/>
    <w:next w:val="151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13">
    <w:name w:val="_Style 7"/>
    <w:basedOn w:val="1015"/>
    <w:next w:val="1513"/>
    <w:link w:val="1015"/>
    <w:qFormat/>
    <w:pPr>
      <w:ind w:firstLine="420"/>
    </w:pPr>
    <w:rPr>
      <w:rFonts w:eastAsia="宋体"/>
      <w:szCs w:val="26"/>
    </w:rPr>
  </w:style>
  <w:style w:type="paragraph" w:styleId="1514">
    <w:name w:val="xl106"/>
    <w:basedOn w:val="1015"/>
    <w:next w:val="1514"/>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15">
    <w:name w:val="xl137"/>
    <w:basedOn w:val="1015"/>
    <w:next w:val="1515"/>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16">
    <w:name w:val="font14"/>
    <w:basedOn w:val="1015"/>
    <w:next w:val="1516"/>
    <w:link w:val="1015"/>
    <w:qFormat/>
    <w:pPr>
      <w:jc w:val="left"/>
      <w:spacing w:before="100" w:beforeAutospacing="1" w:after="100" w:afterAutospacing="1"/>
      <w:widowControl/>
    </w:pPr>
    <w:rPr>
      <w:rFonts w:ascii="宋体" w:hAnsi="宋体" w:eastAsia="宋体" w:cs="宋体"/>
      <w:sz w:val="18"/>
      <w:szCs w:val="18"/>
    </w:rPr>
  </w:style>
  <w:style w:type="paragraph" w:styleId="1517">
    <w:name w:val="xl100"/>
    <w:basedOn w:val="1015"/>
    <w:next w:val="1517"/>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518">
    <w:name w:val="xl99"/>
    <w:basedOn w:val="1015"/>
    <w:next w:val="1518"/>
    <w:link w:val="1015"/>
    <w:qFormat/>
    <w:pPr>
      <w:jc w:val="center"/>
      <w:spacing w:before="100" w:beforeAutospacing="1" w:after="100" w:afterAutospacing="1"/>
      <w:widowControl/>
    </w:pPr>
    <w:rPr>
      <w:rFonts w:ascii="Courier New" w:hAnsi="Courier New" w:eastAsia="宋体" w:cs="Courier New"/>
      <w:color w:val="000000"/>
      <w:sz w:val="20"/>
    </w:rPr>
  </w:style>
  <w:style w:type="paragraph" w:styleId="1519">
    <w:name w:val="xl151"/>
    <w:basedOn w:val="1015"/>
    <w:next w:val="1519"/>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20">
    <w:name w:val="_Style 26"/>
    <w:next w:val="1015"/>
    <w:link w:val="1015"/>
    <w:uiPriority w:val="99"/>
    <w:qFormat/>
    <w:pPr>
      <w:jc w:val="both"/>
      <w:widowControl w:val="off"/>
    </w:pPr>
    <w:rPr>
      <w:rFonts w:ascii="Times New Roman" w:hAnsi="Times New Roman" w:eastAsia="楷体_GB2312" w:cs="Times New Roman"/>
      <w:sz w:val="26"/>
      <w:szCs w:val="26"/>
      <w:lang w:val="en-US" w:eastAsia="zh-CN" w:bidi="ar-SA"/>
    </w:rPr>
  </w:style>
  <w:style w:type="paragraph" w:styleId="1521">
    <w:name w:val="样式 标题 1 + 宋体 段前: 0 磅 段后: 0 磅 行距: 单倍行距"/>
    <w:basedOn w:val="1170"/>
    <w:next w:val="1015"/>
    <w:link w:val="1015"/>
    <w:qFormat/>
    <w:pPr>
      <w:jc w:val="center"/>
      <w:spacing w:line="240" w:lineRule="auto"/>
    </w:pPr>
    <w:rPr>
      <w:rFonts w:ascii="仿宋_GB2312" w:hAnsi="宋体" w:eastAsia="仿宋_GB2312" w:cs="宋体"/>
      <w:bCs/>
      <w:szCs w:val="44"/>
    </w:rPr>
  </w:style>
  <w:style w:type="paragraph" w:styleId="1522">
    <w:name w:val="font9"/>
    <w:basedOn w:val="1015"/>
    <w:next w:val="1522"/>
    <w:link w:val="1015"/>
    <w:qFormat/>
    <w:pPr>
      <w:jc w:val="left"/>
      <w:spacing w:before="100" w:beforeAutospacing="1" w:after="100" w:afterAutospacing="1"/>
      <w:widowControl/>
    </w:pPr>
    <w:rPr>
      <w:rFonts w:ascii="宋体" w:hAnsi="宋体" w:eastAsia="宋体" w:cs="宋体"/>
      <w:sz w:val="18"/>
      <w:szCs w:val="18"/>
    </w:rPr>
  </w:style>
  <w:style w:type="paragraph" w:styleId="1523">
    <w:name w:val="font20"/>
    <w:basedOn w:val="1015"/>
    <w:next w:val="1523"/>
    <w:link w:val="1015"/>
    <w:qFormat/>
    <w:pPr>
      <w:jc w:val="left"/>
      <w:spacing w:before="100" w:beforeAutospacing="1" w:after="100" w:afterAutospacing="1"/>
      <w:widowControl/>
    </w:pPr>
    <w:rPr>
      <w:rFonts w:ascii="Courier New" w:hAnsi="Courier New" w:eastAsia="宋体" w:cs="Courier New"/>
      <w:color w:val="000000"/>
      <w:sz w:val="20"/>
    </w:rPr>
  </w:style>
  <w:style w:type="paragraph" w:styleId="1524">
    <w:name w:val="font13"/>
    <w:basedOn w:val="1015"/>
    <w:next w:val="1524"/>
    <w:link w:val="1015"/>
    <w:qFormat/>
    <w:pPr>
      <w:jc w:val="left"/>
      <w:spacing w:before="100" w:beforeAutospacing="1" w:after="100" w:afterAutospacing="1"/>
      <w:widowControl/>
    </w:pPr>
    <w:rPr>
      <w:rFonts w:ascii="宋体" w:hAnsi="宋体" w:eastAsia="宋体" w:cs="宋体"/>
      <w:sz w:val="18"/>
      <w:szCs w:val="18"/>
    </w:rPr>
  </w:style>
  <w:style w:type="paragraph" w:styleId="1525">
    <w:name w:val="xl102"/>
    <w:basedOn w:val="1015"/>
    <w:next w:val="1525"/>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526">
    <w:name w:val="xl116"/>
    <w:basedOn w:val="1015"/>
    <w:next w:val="1526"/>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27">
    <w:name w:val="xl134"/>
    <w:basedOn w:val="1015"/>
    <w:next w:val="1527"/>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28">
    <w:name w:val="font18"/>
    <w:basedOn w:val="1015"/>
    <w:next w:val="1528"/>
    <w:link w:val="1015"/>
    <w:qFormat/>
    <w:pPr>
      <w:jc w:val="left"/>
      <w:spacing w:before="100" w:beforeAutospacing="1" w:after="100" w:afterAutospacing="1"/>
      <w:widowControl/>
    </w:pPr>
    <w:rPr>
      <w:rFonts w:ascii="宋体" w:hAnsi="宋体" w:eastAsia="宋体" w:cs="宋体"/>
      <w:sz w:val="18"/>
      <w:szCs w:val="18"/>
    </w:rPr>
  </w:style>
  <w:style w:type="paragraph" w:styleId="1529">
    <w:name w:val="xl121"/>
    <w:basedOn w:val="1015"/>
    <w:next w:val="1529"/>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30">
    <w:name w:val="xl158"/>
    <w:basedOn w:val="1015"/>
    <w:next w:val="1530"/>
    <w:link w:val="1015"/>
    <w:qFormat/>
    <w:pPr>
      <w:jc w:val="left"/>
      <w:spacing w:before="100" w:beforeAutospacing="1" w:after="100" w:afterAutospacing="1"/>
      <w:widowControl/>
    </w:pPr>
    <w:rPr>
      <w:rFonts w:ascii="Courier New" w:hAnsi="Courier New" w:eastAsia="宋体" w:cs="Courier New"/>
      <w:color w:val="000000"/>
      <w:sz w:val="20"/>
    </w:rPr>
  </w:style>
  <w:style w:type="paragraph" w:styleId="1531">
    <w:name w:val="xl119"/>
    <w:basedOn w:val="1015"/>
    <w:next w:val="1531"/>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32">
    <w:name w:val="xl135"/>
    <w:basedOn w:val="1015"/>
    <w:next w:val="1532"/>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33">
    <w:name w:val="font5"/>
    <w:basedOn w:val="1015"/>
    <w:next w:val="1533"/>
    <w:link w:val="1015"/>
    <w:qFormat/>
    <w:pPr>
      <w:jc w:val="left"/>
      <w:spacing w:before="100" w:beforeAutospacing="1" w:after="100" w:afterAutospacing="1"/>
      <w:widowControl/>
    </w:pPr>
    <w:rPr>
      <w:rFonts w:ascii="宋体" w:hAnsi="宋体" w:eastAsia="宋体" w:cs="宋体"/>
      <w:sz w:val="18"/>
      <w:szCs w:val="18"/>
    </w:rPr>
  </w:style>
  <w:style w:type="paragraph" w:styleId="1534">
    <w:name w:val="xl155"/>
    <w:basedOn w:val="1015"/>
    <w:next w:val="153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35">
    <w:name w:val="font19"/>
    <w:basedOn w:val="1015"/>
    <w:next w:val="1535"/>
    <w:link w:val="1015"/>
    <w:qFormat/>
    <w:pPr>
      <w:jc w:val="left"/>
      <w:spacing w:before="100" w:beforeAutospacing="1" w:after="100" w:afterAutospacing="1"/>
      <w:widowControl/>
    </w:pPr>
    <w:rPr>
      <w:rFonts w:ascii="宋体" w:hAnsi="宋体" w:eastAsia="宋体" w:cs="宋体"/>
      <w:sz w:val="18"/>
      <w:szCs w:val="18"/>
    </w:rPr>
  </w:style>
  <w:style w:type="paragraph" w:styleId="1536">
    <w:name w:val="xl160"/>
    <w:basedOn w:val="1015"/>
    <w:next w:val="1536"/>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537">
    <w:name w:val="xl112"/>
    <w:basedOn w:val="1015"/>
    <w:next w:val="153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38">
    <w:name w:val="xl104"/>
    <w:basedOn w:val="1015"/>
    <w:next w:val="153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39">
    <w:name w:val="xl139"/>
    <w:basedOn w:val="1015"/>
    <w:next w:val="1539"/>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540">
    <w:name w:val="xl130"/>
    <w:basedOn w:val="1015"/>
    <w:next w:val="1540"/>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41">
    <w:name w:val="xl129"/>
    <w:basedOn w:val="1015"/>
    <w:next w:val="154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42">
    <w:name w:val="xl115"/>
    <w:basedOn w:val="1015"/>
    <w:next w:val="154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543">
    <w:name w:val="xl147"/>
    <w:basedOn w:val="1015"/>
    <w:next w:val="1543"/>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544">
    <w:name w:val="xl144"/>
    <w:basedOn w:val="1015"/>
    <w:next w:val="1544"/>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545">
    <w:name w:val="网格型1"/>
    <w:basedOn w:val="1186"/>
    <w:next w:val="1545"/>
    <w:link w:val="1015"/>
    <w:qFormat/>
    <w:pPr>
      <w:jc w:val="both"/>
      <w:widowControl w:val="off"/>
    </w:pPr>
    <w:tblPr/>
  </w:style>
  <w:style w:type="character" w:styleId="1546">
    <w:name w:val="纯文本 字符"/>
    <w:next w:val="1546"/>
    <w:link w:val="1015"/>
    <w:qFormat/>
    <w:rPr>
      <w:rFonts w:ascii="宋体" w:hAnsi="Courier New" w:eastAsia="楷体_GB2312"/>
      <w:sz w:val="26"/>
      <w:lang w:val="en-US" w:eastAsia="zh-CN" w:bidi="ar-SA"/>
    </w:rPr>
  </w:style>
  <w:style w:type="paragraph" w:styleId="1547">
    <w:name w:val="_Style 225"/>
    <w:next w:val="1547"/>
    <w:link w:val="1015"/>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548">
    <w:name w:val="正文文本 字符"/>
    <w:next w:val="1548"/>
    <w:link w:val="1015"/>
    <w:qFormat/>
    <w:rPr>
      <w:rFonts w:ascii="楷体_GB2312" w:eastAsia="楷体_GB2312"/>
      <w:sz w:val="28"/>
    </w:rPr>
  </w:style>
  <w:style w:type="character" w:styleId="1549">
    <w:name w:val="正文文本 字符1"/>
    <w:next w:val="1549"/>
    <w:link w:val="1015"/>
    <w:qFormat/>
    <w:rPr>
      <w:rFonts w:ascii="楷体_GB2312" w:eastAsia="楷体_GB2312"/>
      <w:sz w:val="28"/>
    </w:rPr>
  </w:style>
  <w:style w:type="table" w:styleId="1550">
    <w:name w:val="Table Normal"/>
    <w:next w:val="1550"/>
    <w:link w:val="1015"/>
    <w:uiPriority w:val="2"/>
    <w:unhideWhenUsed/>
    <w:qFormat/>
    <w:pPr>
      <w:widowControl w:val="off"/>
    </w:pPr>
    <w:rPr>
      <w:sz w:val="22"/>
      <w:szCs w:val="22"/>
      <w:lang w:eastAsia="en-US"/>
    </w:rPr>
    <w:tblPr/>
  </w:style>
  <w:style w:type="table" w:styleId="1551">
    <w:name w:val="Table Normal1"/>
    <w:next w:val="1551"/>
    <w:link w:val="1015"/>
    <w:uiPriority w:val="2"/>
    <w:unhideWhenUsed/>
    <w:qFormat/>
    <w:pPr>
      <w:widowControl w:val="off"/>
    </w:pPr>
    <w:rPr>
      <w:sz w:val="22"/>
      <w:szCs w:val="22"/>
      <w:lang w:eastAsia="en-US"/>
    </w:rPr>
    <w:tblPr/>
  </w:style>
  <w:style w:type="table" w:styleId="1552">
    <w:name w:val="Table Normal2"/>
    <w:next w:val="1552"/>
    <w:link w:val="1015"/>
    <w:uiPriority w:val="2"/>
    <w:unhideWhenUsed/>
    <w:qFormat/>
    <w:pPr>
      <w:widowControl w:val="off"/>
    </w:pPr>
    <w:rPr>
      <w:sz w:val="22"/>
      <w:szCs w:val="22"/>
      <w:lang w:eastAsia="en-US"/>
    </w:rPr>
    <w:tblPr/>
  </w:style>
  <w:style w:type="table" w:styleId="1553">
    <w:name w:val="Table Normal3"/>
    <w:next w:val="1553"/>
    <w:link w:val="1015"/>
    <w:uiPriority w:val="2"/>
    <w:unhideWhenUsed/>
    <w:qFormat/>
    <w:pPr>
      <w:widowControl w:val="off"/>
    </w:pPr>
    <w:rPr>
      <w:sz w:val="22"/>
      <w:szCs w:val="22"/>
      <w:lang w:eastAsia="en-US"/>
    </w:rPr>
    <w:tblPr/>
  </w:style>
  <w:style w:type="character" w:styleId="1554">
    <w:name w:val="UserStyle_2"/>
    <w:next w:val="1554"/>
    <w:link w:val="1555"/>
    <w:qFormat/>
    <w:rPr>
      <w:rFonts w:ascii="宋体" w:hAnsi="宋体"/>
      <w:color w:val="000000"/>
      <w:sz w:val="21"/>
    </w:rPr>
  </w:style>
  <w:style w:type="paragraph" w:styleId="1555">
    <w:name w:val="UserStyle_3"/>
    <w:basedOn w:val="1015"/>
    <w:next w:val="1555"/>
    <w:link w:val="1554"/>
    <w:qFormat/>
    <w:pPr>
      <w:ind w:firstLine="420"/>
      <w:jc w:val="left"/>
      <w:spacing w:before="40" w:after="160" w:line="288" w:lineRule="auto"/>
      <w:widowControl/>
    </w:pPr>
    <w:rPr>
      <w:rFonts w:ascii="宋体" w:hAnsi="宋体" w:eastAsia="宋体"/>
      <w:color w:val="000000"/>
      <w:sz w:val="21"/>
    </w:rPr>
  </w:style>
  <w:style w:type="table" w:styleId="1556">
    <w:name w:val="网格型2"/>
    <w:basedOn w:val="1186"/>
    <w:next w:val="1556"/>
    <w:link w:val="1015"/>
    <w:uiPriority w:val="39"/>
    <w:qFormat/>
    <w:rPr>
      <w:rFonts w:ascii="等线" w:hAnsi="等线" w:eastAsia="等线"/>
    </w:rPr>
    <w:tblPr/>
  </w:style>
  <w:style w:type="paragraph" w:styleId="1557">
    <w:name w:val="样式4"/>
    <w:basedOn w:val="1015"/>
    <w:next w:val="1557"/>
    <w:link w:val="1015"/>
    <w:qFormat/>
    <w:rPr>
      <w:sz w:val="24"/>
      <w:szCs w:val="24"/>
    </w:rPr>
  </w:style>
  <w:style w:type="paragraph" w:styleId="1558">
    <w:name w:val="Char Char Char Char Char Char Char1 Char"/>
    <w:next w:val="1558"/>
    <w:link w:val="1015"/>
    <w:qFormat/>
    <w:pPr>
      <w:jc w:val="both"/>
      <w:widowControl w:val="off"/>
    </w:pPr>
    <w:rPr>
      <w:rFonts w:ascii="Tahoma" w:hAnsi="Tahoma" w:eastAsia="宋体" w:cs="Times New Roman"/>
      <w:sz w:val="24"/>
      <w:lang w:val="en-US" w:eastAsia="zh-CN" w:bidi="ar-SA"/>
    </w:rPr>
  </w:style>
  <w:style w:type="character" w:styleId="1559">
    <w:name w:val="fontstyle01"/>
    <w:next w:val="1559"/>
    <w:link w:val="1015"/>
    <w:qFormat/>
    <w:rPr>
      <w:rFonts w:ascii="PingFangSC-Regular-Identity-H" w:hAnsi="PingFangSC-Regular-Identity-H"/>
      <w:color w:val="000008"/>
      <w:sz w:val="24"/>
      <w:szCs w:val="24"/>
    </w:rPr>
  </w:style>
  <w:style w:type="character" w:styleId="1560">
    <w:name w:val="fontstyle21"/>
    <w:next w:val="1560"/>
    <w:link w:val="1015"/>
    <w:qFormat/>
    <w:rPr>
      <w:rFonts w:ascii="TimesNewRomanPSMT" w:hAnsi="TimesNewRomanPSMT"/>
      <w:color w:val="000008"/>
      <w:sz w:val="24"/>
      <w:szCs w:val="24"/>
    </w:rPr>
  </w:style>
  <w:style w:type="character" w:styleId="1561">
    <w:name w:val="fontstyle11"/>
    <w:next w:val="1561"/>
    <w:link w:val="1015"/>
    <w:qFormat/>
    <w:rPr>
      <w:rFonts w:ascii="TimesNewRomanPSMT" w:hAnsi="TimesNewRomanPSMT"/>
      <w:color w:val="000008"/>
      <w:sz w:val="24"/>
      <w:szCs w:val="24"/>
    </w:rPr>
  </w:style>
  <w:style w:type="paragraph" w:styleId="1562">
    <w:name w:val="页脚11"/>
    <w:basedOn w:val="1015"/>
    <w:next w:val="1562"/>
    <w:link w:val="1015"/>
    <w:uiPriority w:val="99"/>
    <w:qFormat/>
    <w:pPr>
      <w:jc w:val="left"/>
      <w:tabs>
        <w:tab w:val="center" w:pos="4153" w:leader="none"/>
        <w:tab w:val="right" w:pos="8306" w:leader="none"/>
      </w:tabs>
    </w:pPr>
    <w:rPr>
      <w:sz w:val="18"/>
      <w:lang w:eastAsia="en-US"/>
    </w:rPr>
  </w:style>
  <w:style w:type="character" w:styleId="1563">
    <w:name w:val="页脚 字符"/>
    <w:next w:val="1563"/>
    <w:link w:val="1015"/>
    <w:uiPriority w:val="99"/>
    <w:qFormat/>
    <w:rPr>
      <w:rFonts w:eastAsia="楷体_GB2312"/>
      <w:sz w:val="18"/>
    </w:rPr>
  </w:style>
  <w:style w:type="paragraph" w:styleId="1564">
    <w:name w:val="样式 首行缩进:  2 字符"/>
    <w:basedOn w:val="1015"/>
    <w:next w:val="1564"/>
    <w:link w:val="1015"/>
    <w:qFormat/>
    <w:pPr>
      <w:ind w:firstLine="560"/>
      <w:spacing w:line="360" w:lineRule="auto"/>
    </w:pPr>
    <w:rPr>
      <w:rFonts w:eastAsia="仿宋_GB2312" w:cs="宋体"/>
      <w:sz w:val="24"/>
    </w:rPr>
  </w:style>
  <w:style w:type="paragraph" w:styleId="1565">
    <w:name w:val="无间隔11"/>
    <w:next w:val="1565"/>
    <w:link w:val="1015"/>
    <w:qFormat/>
    <w:pPr>
      <w:spacing w:line="300" w:lineRule="auto"/>
      <w:widowControl w:val="off"/>
    </w:pPr>
    <w:rPr>
      <w:rFonts w:ascii="Times New Roman" w:hAnsi="Times New Roman" w:eastAsia="华文仿宋" w:cs="Times New Roman"/>
      <w:sz w:val="24"/>
      <w:szCs w:val="21"/>
      <w:lang w:val="en-US" w:eastAsia="zh-CN" w:bidi="ar-SA"/>
    </w:rPr>
  </w:style>
  <w:style w:type="paragraph" w:styleId="1566">
    <w:name w:val="列出段落3"/>
    <w:basedOn w:val="1015"/>
    <w:next w:val="1566"/>
    <w:link w:val="1015"/>
    <w:qFormat/>
    <w:pPr>
      <w:ind w:firstLine="420"/>
    </w:pPr>
    <w:rPr>
      <w:rFonts w:ascii="Calibri" w:hAnsi="Calibri" w:eastAsia="宋体"/>
      <w:szCs w:val="22"/>
    </w:rPr>
  </w:style>
  <w:style w:type="paragraph" w:styleId="1567">
    <w:name w:val="_Style 62"/>
    <w:basedOn w:val="1015"/>
    <w:next w:val="1290"/>
    <w:link w:val="1015"/>
    <w:uiPriority w:val="34"/>
    <w:qFormat/>
    <w:pPr>
      <w:ind w:firstLine="420"/>
    </w:pPr>
    <w:rPr>
      <w:sz w:val="20"/>
    </w:rPr>
  </w:style>
  <w:style w:type="paragraph" w:styleId="1568">
    <w:name w:val="null3"/>
    <w:next w:val="1568"/>
    <w:link w:val="1015"/>
    <w:qFormat/>
    <w:rPr>
      <w:rFonts w:hint="eastAsia" w:ascii="Calibri" w:hAnsi="Calibri" w:eastAsia="宋体" w:cs="Times New Roman"/>
      <w:lang w:val="en-US" w:eastAsia="zh-CN" w:bidi="ar-SA"/>
    </w:rPr>
  </w:style>
  <w:style w:type="paragraph" w:styleId="1569">
    <w:name w:val="HtmlNormal1"/>
    <w:basedOn w:val="1015"/>
    <w:next w:val="1569"/>
    <w:link w:val="1015"/>
    <w:qFormat/>
    <w:pPr>
      <w:jc w:val="left"/>
    </w:pPr>
    <w:rPr>
      <w:sz w:val="24"/>
    </w:rPr>
  </w:style>
  <w:style w:type="paragraph" w:styleId="1570">
    <w:name w:val="正文2"/>
    <w:basedOn w:val="1015"/>
    <w:next w:val="1570"/>
    <w:link w:val="1015"/>
    <w:qFormat/>
    <w:pPr>
      <w:ind w:firstLine="510"/>
      <w:spacing w:before="156" w:line="360" w:lineRule="auto"/>
    </w:pPr>
    <w:rPr>
      <w:rFonts w:eastAsia="宋体"/>
      <w:sz w:val="24"/>
    </w:rPr>
  </w:style>
  <w:style w:type="paragraph" w:styleId="1571">
    <w:name w:val="Table Text"/>
    <w:basedOn w:val="1015"/>
    <w:next w:val="1571"/>
    <w:link w:val="1015"/>
    <w:semiHidden/>
    <w:qFormat/>
    <w:rPr>
      <w:rFonts w:ascii="宋体" w:hAnsi="宋体" w:eastAsia="宋体" w:cs="宋体"/>
      <w:sz w:val="24"/>
      <w:szCs w:val="24"/>
      <w:lang w:eastAsia="en-US"/>
    </w:rPr>
  </w:style>
  <w:style w:type="paragraph" w:styleId="1572">
    <w:name w:val="WPSOffice手动目录 1"/>
    <w:next w:val="1572"/>
    <w:link w:val="1015"/>
    <w:qFormat/>
    <w:rPr>
      <w:rFonts w:ascii="Times New Roman" w:hAnsi="Times New Roman" w:eastAsia="宋体" w:cs="Times New Roman"/>
      <w:lang w:val="en-US" w:eastAsia="zh-CN" w:bidi="ar-SA"/>
    </w:rPr>
  </w:style>
  <w:style w:type="paragraph" w:styleId="1573">
    <w:name w:val="WPSOffice手动目录 2"/>
    <w:next w:val="1573"/>
    <w:link w:val="1015"/>
    <w:qFormat/>
    <w:rPr>
      <w:rFonts w:ascii="Times New Roman" w:hAnsi="Times New Roman" w:eastAsia="宋体" w:cs="Times New Roman"/>
      <w:lang w:val="en-US" w:eastAsia="zh-CN" w:bidi="ar-SA"/>
    </w:rPr>
  </w:style>
  <w:style w:type="paragraph" w:styleId="1574">
    <w:name w:val="样式 正文缩进 + 首行缩进:  2 字符"/>
    <w:basedOn w:val="1084"/>
    <w:next w:val="1574"/>
    <w:link w:val="1015"/>
    <w:qFormat/>
    <w:pPr>
      <w:ind w:firstLine="200"/>
      <w:spacing w:line="360" w:lineRule="auto"/>
    </w:pPr>
    <w:rPr>
      <w:rFonts w:eastAsia="宋体" w:cs="宋体"/>
      <w:sz w:val="24"/>
    </w:rPr>
  </w:style>
  <w:style w:type="character" w:styleId="1575" w:default="1">
    <w:name w:val="Default Paragraph Font"/>
    <w:uiPriority w:val="1"/>
    <w:semiHidden/>
    <w:unhideWhenUsed/>
  </w:style>
  <w:style w:type="numbering" w:styleId="1576" w:default="1">
    <w:name w:val="No List"/>
    <w:uiPriority w:val="99"/>
    <w:semiHidden/>
    <w:unhideWhenUsed/>
  </w:style>
  <w:style w:type="table" w:styleId="15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董安国</cp:lastModifiedBy>
  <cp:revision>7</cp:revision>
  <dcterms:created xsi:type="dcterms:W3CDTF">2025-12-02T05:53:00Z</dcterms:created>
  <dcterms:modified xsi:type="dcterms:W3CDTF">2026-06-08T06:06:00Z</dcterms:modified>
</cp:coreProperties>
</file>