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0"/>
        <w:jc w:val="center"/>
        <w:rPr>
          <w:rFonts w:hint="eastAsia" w:ascii="宋体" w:hAnsi="宋体"/>
          <w:b/>
          <w:bCs/>
          <w:sz w:val="72"/>
          <w:szCs w:val="72"/>
        </w:rPr>
      </w:pPr>
      <w:r>
        <w:rPr>
          <w:rFonts w:hint="eastAsia" w:ascii="宋体" w:hAnsi="宋体"/>
          <w:b/>
          <w:bCs/>
          <w:sz w:val="72"/>
          <w:szCs w:val="72"/>
        </w:rPr>
      </w:r>
      <w:r/>
    </w:p>
    <w:p>
      <w:pPr>
        <w:pStyle w:val="937"/>
        <w:ind w:firstLine="0"/>
        <w:jc w:val="center"/>
        <w:rPr>
          <w:rStyle w:val="936"/>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37"/>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37"/>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张家港市第一人民医院服务器</w:t>
      </w:r>
      <w:r/>
    </w:p>
    <w:p>
      <w:pPr>
        <w:pStyle w:val="937"/>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JSZC-320582-JZCG-G2026-0021</w:t>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7"/>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8"/>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37"/>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7"/>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39"/>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40"/>
        <w:spacing w:line="440" w:lineRule="exact"/>
        <w:rPr>
          <w:rStyle w:val="934"/>
          <w:rFonts w:hint="eastAsia" w:ascii="宋体" w:hAnsi="宋体"/>
          <w:color w:val="auto"/>
          <w:spacing w:val="7"/>
          <w:highlight w:val="none"/>
        </w:rPr>
      </w:pPr>
      <w:r>
        <w:rPr>
          <w:rFonts w:hint="eastAsia" w:ascii="宋体" w:hAnsi="宋体"/>
          <w:color w:val="auto"/>
          <w:spacing w:val="7"/>
          <w:highlight w:val="none"/>
        </w:rPr>
      </w:r>
      <w:r/>
    </w:p>
    <w:p>
      <w:pPr>
        <w:pStyle w:val="921"/>
        <w:ind w:firstLine="961"/>
        <w:jc w:val="center"/>
        <w:keepLines w:val="0"/>
        <w:keepNext w:val="0"/>
        <w:spacing w:before="0" w:after="0" w:line="580" w:lineRule="exact"/>
        <w:widowControl/>
        <w:tabs>
          <w:tab w:val="left" w:pos="0" w:leader="none"/>
        </w:tabs>
        <w:rPr>
          <w:rStyle w:val="932"/>
          <w:rFonts w:hint="eastAsia" w:ascii="华文中宋" w:hAnsi="华文中宋" w:eastAsia="华文中宋"/>
          <w:color w:val="auto"/>
          <w:sz w:val="48"/>
          <w:szCs w:val="48"/>
          <w:highlight w:val="none"/>
        </w:rPr>
      </w:pPr>
      <w:r/>
      <w:bookmarkStart w:id="2" w:name="_Toc21529"/>
      <w:r/>
      <w:bookmarkStart w:id="3" w:name="_Toc2781"/>
      <w:r>
        <w:rPr>
          <w:rStyle w:val="932"/>
          <w:rFonts w:hint="eastAsia" w:ascii="华文中宋" w:hAnsi="华文中宋" w:eastAsia="华文中宋"/>
          <w:color w:val="auto"/>
          <w:sz w:val="48"/>
          <w:szCs w:val="48"/>
          <w:highlight w:val="none"/>
        </w:rPr>
        <w:t xml:space="preserve">第一章  投标邀请</w:t>
      </w:r>
      <w:bookmarkEnd w:id="2"/>
      <w:r/>
      <w:bookmarkEnd w:id="3"/>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张家港市第一人民医院服务器项目</w:t>
      </w:r>
      <w:r>
        <w:rPr>
          <w:rFonts w:hint="eastAsia" w:ascii="宋体" w:hAnsi="宋体"/>
          <w:color w:val="auto"/>
          <w:szCs w:val="24"/>
          <w:highlight w:val="none"/>
          <w:lang w:val="en-US" w:eastAsia="zh-CN"/>
        </w:rPr>
        <w:t xml:space="preserve">JSZC-320582-JZCG-G2026-0021</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7</w:t>
      </w:r>
      <w:r>
        <w:rPr>
          <w:rFonts w:hint="eastAsia" w:ascii="宋体" w:hAnsi="宋体"/>
          <w:color w:val="auto"/>
          <w:szCs w:val="24"/>
          <w:highlight w:val="none"/>
        </w:rPr>
        <w:t xml:space="preserve">-</w:t>
      </w:r>
      <w:r>
        <w:rPr>
          <w:rFonts w:hint="eastAsia" w:ascii="宋体" w:hAnsi="宋体"/>
          <w:color w:val="auto"/>
          <w:szCs w:val="24"/>
          <w:highlight w:val="none"/>
        </w:rPr>
        <w:t xml:space="preserve">21 09:30（北京时间）前递交投标文件。</w:t>
      </w:r>
      <w:r/>
    </w:p>
    <w:p>
      <w:pPr>
        <w:pStyle w:val="929"/>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29"/>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34"/>
          <w:rFonts w:hint="eastAsia" w:ascii="宋体" w:hAnsi="宋体"/>
          <w:color w:val="auto"/>
          <w:spacing w:val="7"/>
          <w:sz w:val="24"/>
          <w:szCs w:val="24"/>
          <w:highlight w:val="none"/>
          <w:lang w:val="en-US"/>
        </w:rPr>
        <w:t xml:space="preserve">JSZC-320582-JZCG-G2026-0021</w:t>
      </w:r>
      <w:r/>
    </w:p>
    <w:p>
      <w:pPr>
        <w:pStyle w:val="929"/>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张家港市第一人民医院服务器</w:t>
      </w:r>
      <w:r/>
    </w:p>
    <w:p>
      <w:pPr>
        <w:pStyle w:val="929"/>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300 万元</w:t>
      </w:r>
      <w:r/>
    </w:p>
    <w:p>
      <w:pPr>
        <w:pStyle w:val="929"/>
        <w:ind w:firstLine="480"/>
        <w:spacing w:beforeAutospacing="0" w:afterAutospacing="0" w:line="440" w:lineRule="exact"/>
        <w:widowControl/>
        <w:rPr>
          <w:rFonts w:hint="eastAsia" w:ascii="宋体" w:hAnsi="宋体"/>
          <w:color w:val="auto"/>
          <w:szCs w:val="24"/>
          <w:highlight w:val="none"/>
          <w:lang w:val="en-US" w:eastAsia="zh-CN"/>
        </w:rPr>
      </w:pPr>
      <w:r>
        <w:rPr>
          <w:rFonts w:hint="eastAsia" w:ascii="宋体" w:hAnsi="宋体"/>
          <w:color w:val="auto"/>
          <w:szCs w:val="24"/>
          <w:highlight w:val="none"/>
        </w:rPr>
        <w:t xml:space="preserve">最高限价（如有）：</w:t>
      </w:r>
      <w:bookmarkEnd w:id="5"/>
      <w:r>
        <w:rPr>
          <w:rFonts w:hint="eastAsia" w:ascii="宋体" w:hAnsi="宋体"/>
          <w:color w:val="auto"/>
          <w:szCs w:val="24"/>
          <w:highlight w:val="none"/>
          <w:lang w:val="en-US" w:eastAsia="zh-CN"/>
        </w:rPr>
        <w:t xml:space="preserve">300 万元</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6" w:name="OLE_LINK24"/>
      <w:r/>
      <w:bookmarkStart w:id="7" w:name="OLE_LINK18"/>
      <w:r>
        <w:rPr>
          <w:rFonts w:hint="eastAsia" w:ascii="宋体" w:hAnsi="宋体"/>
          <w:color w:val="auto"/>
          <w:sz w:val="24"/>
          <w:szCs w:val="24"/>
          <w:highlight w:val="none"/>
          <w:lang w:val="en-US" w:eastAsia="zh-CN"/>
        </w:rPr>
        <w:t xml:space="preserve">通过本次服务器和存储资源的扩容，调整整体HIS的底座架构，保证全院打造一个强核心、高智能的HIS系统以确保数据的安全、可靠、高效存取。同时满足现数据治理和HIS系统未来3-5年的存储需求。</w:t>
      </w:r>
      <w:bookmarkEnd w:id="6"/>
      <w:r/>
      <w:bookmarkEnd w:id="7"/>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8" w:name="OLE_LINK25"/>
      <w:r/>
      <w:bookmarkStart w:id="9" w:name="OLE_LINK20"/>
      <w:r>
        <w:rPr>
          <w:rFonts w:hint="eastAsia" w:ascii="宋体" w:hAnsi="宋体"/>
          <w:color w:val="auto"/>
          <w:sz w:val="24"/>
          <w:szCs w:val="24"/>
          <w:highlight w:val="none"/>
        </w:rPr>
        <w:t xml:space="preserve">合同签订后90天内完成整个项目的建设及调试工作。</w:t>
      </w:r>
      <w:bookmarkEnd w:id="8"/>
      <w:r/>
      <w:bookmarkEnd w:id="9"/>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二、申请人的资格要求</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四、提交投标文件截止时间、开标时间和地点</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07</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21 </w:t>
      </w:r>
      <w:r>
        <w:rPr>
          <w:rFonts w:hint="eastAsia" w:ascii="宋体" w:hAnsi="宋体"/>
          <w:color w:val="auto"/>
          <w:szCs w:val="24"/>
          <w:highlight w:val="none"/>
        </w:rPr>
        <w:t xml:space="preserve"> 09:30（北京时间）</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五、公告期限</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六、其他补充事宜</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29"/>
        <w:ind w:firstLine="482"/>
        <w:spacing w:beforeAutospacing="0" w:afterAutospacing="0" w:line="440" w:lineRule="exact"/>
        <w:widowControl/>
        <w:rPr>
          <w:rStyle w:val="932"/>
          <w:rFonts w:hint="eastAsia" w:ascii="宋体" w:hAnsi="宋体"/>
          <w:color w:val="auto"/>
          <w:szCs w:val="24"/>
          <w:highlight w:val="none"/>
        </w:rPr>
      </w:pPr>
      <w:r>
        <w:rPr>
          <w:rStyle w:val="932"/>
          <w:rFonts w:hint="eastAsia" w:ascii="宋体" w:hAnsi="宋体"/>
          <w:color w:val="auto"/>
          <w:szCs w:val="24"/>
          <w:highlight w:val="none"/>
        </w:rPr>
        <w:t xml:space="preserve">七、对本次招标提出询问，请按以下方式联系</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单位名称：张家港市第一人民医院</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单位地址：张家港市暨阳西路68号</w:t>
      </w:r>
      <w:r/>
    </w:p>
    <w:p>
      <w:pPr>
        <w:pStyle w:val="929"/>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联系人：</w:t>
      </w:r>
      <w:bookmarkStart w:id="10" w:name="OLE_LINK2"/>
      <w:r>
        <w:rPr>
          <w:rFonts w:hint="eastAsia" w:ascii="宋体" w:hAnsi="宋体"/>
          <w:color w:val="auto"/>
          <w:szCs w:val="24"/>
          <w:highlight w:val="none"/>
          <w:lang w:val="en-US" w:eastAsia="zh-CN"/>
        </w:rPr>
        <w:t xml:space="preserve">李老师</w:t>
      </w:r>
      <w:bookmarkEnd w:id="10"/>
      <w:r/>
      <w:r/>
    </w:p>
    <w:p>
      <w:pPr>
        <w:pStyle w:val="929"/>
        <w:ind w:firstLine="480"/>
        <w:spacing w:beforeAutospacing="0" w:afterAutospacing="0" w:line="440" w:lineRule="exact"/>
        <w:widowControl/>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联系电话：</w:t>
      </w:r>
      <w:bookmarkStart w:id="11" w:name="OLE_LINK19"/>
      <w:r>
        <w:rPr>
          <w:rFonts w:hint="eastAsia" w:ascii="宋体" w:hAnsi="宋体"/>
          <w:color w:val="auto"/>
          <w:szCs w:val="24"/>
          <w:highlight w:val="none"/>
          <w:lang w:val="en-US" w:eastAsia="zh-CN"/>
        </w:rPr>
        <w:t xml:space="preserve">0512-56919817</w:t>
      </w:r>
      <w:bookmarkEnd w:id="11"/>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929"/>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40"/>
        <w:ind w:firstLine="500"/>
        <w:spacing w:line="440" w:lineRule="exact"/>
        <w:rPr>
          <w:rStyle w:val="934"/>
          <w:rFonts w:hint="eastAsia" w:ascii="宋体" w:hAnsi="宋体"/>
          <w:color w:val="auto"/>
          <w:spacing w:val="7"/>
          <w:highlight w:val="none"/>
        </w:rPr>
      </w:pPr>
      <w:r>
        <w:rPr>
          <w:rFonts w:hint="eastAsia" w:ascii="宋体" w:hAnsi="宋体"/>
          <w:color w:val="auto"/>
          <w:spacing w:val="7"/>
          <w:highlight w:val="none"/>
        </w:rPr>
      </w:r>
      <w:r/>
    </w:p>
    <w:p>
      <w:pPr>
        <w:pStyle w:val="940"/>
        <w:ind w:firstLine="500"/>
        <w:spacing w:line="440" w:lineRule="exact"/>
        <w:rPr>
          <w:rStyle w:val="934"/>
          <w:rFonts w:hint="eastAsia" w:ascii="宋体" w:hAnsi="宋体"/>
          <w:color w:val="auto"/>
          <w:spacing w:val="7"/>
          <w:highlight w:val="none"/>
        </w:rPr>
      </w:pPr>
      <w:r>
        <w:rPr>
          <w:rFonts w:hint="eastAsia" w:ascii="宋体" w:hAnsi="宋体"/>
          <w:color w:val="auto"/>
          <w:spacing w:val="7"/>
          <w:highlight w:val="none"/>
        </w:rPr>
      </w:r>
      <w:r/>
    </w:p>
    <w:p>
      <w:pPr>
        <w:pStyle w:val="941"/>
        <w:pageBreakBefore/>
        <w:spacing w:line="360" w:lineRule="auto"/>
        <w:rPr>
          <w:rFonts w:hint="eastAsia" w:ascii="宋体" w:hAnsi="宋体" w:eastAsia="宋体"/>
          <w:color w:val="auto"/>
          <w:highlight w:val="none"/>
        </w:rPr>
      </w:pPr>
      <w:r/>
      <w:bookmarkStart w:id="12" w:name="_Toc10079"/>
      <w:r/>
      <w:bookmarkStart w:id="13" w:name="_Toc4059"/>
      <w:r>
        <w:rPr>
          <w:rFonts w:hint="eastAsia" w:ascii="宋体" w:hAnsi="宋体" w:eastAsia="宋体"/>
          <w:color w:val="auto"/>
          <w:highlight w:val="none"/>
        </w:rPr>
        <w:t xml:space="preserve">第二章  </w:t>
      </w:r>
      <w:bookmarkStart w:id="14" w:name="_Toc20823274"/>
      <w:r/>
      <w:bookmarkStart w:id="15" w:name="_Toc120614213"/>
      <w:r/>
      <w:bookmarkStart w:id="16" w:name="_Toc513029202"/>
      <w:r/>
      <w:bookmarkStart w:id="17" w:name="_Toc16938518"/>
      <w:r>
        <w:rPr>
          <w:rFonts w:hint="eastAsia" w:ascii="宋体" w:hAnsi="宋体" w:eastAsia="宋体"/>
          <w:color w:val="auto"/>
          <w:highlight w:val="none"/>
        </w:rPr>
        <w:t xml:space="preserve">投标人须知</w:t>
      </w:r>
      <w:bookmarkEnd w:id="12"/>
      <w:r/>
      <w:bookmarkEnd w:id="13"/>
      <w:r/>
      <w:bookmarkEnd w:id="14"/>
      <w:r/>
      <w:bookmarkEnd w:id="15"/>
      <w:r/>
      <w:bookmarkEnd w:id="16"/>
      <w:r/>
      <w:bookmarkEnd w:id="17"/>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18" w:name="_Toc16938519"/>
      <w:r/>
      <w:bookmarkStart w:id="19" w:name="_Toc513029203"/>
      <w:r/>
      <w:bookmarkStart w:id="20" w:name="_Toc20823275"/>
      <w:r/>
      <w:bookmarkStart w:id="21" w:name="_Toc120614214"/>
      <w:r/>
      <w:bookmarkStart w:id="22" w:name="_Toc38368120"/>
      <w:r/>
      <w:bookmarkStart w:id="23" w:name="_Toc54615239"/>
      <w:r/>
      <w:bookmarkStart w:id="24" w:name="_Toc35266020"/>
      <w:r/>
      <w:bookmarkStart w:id="25" w:name="_Toc29619"/>
      <w:r>
        <w:rPr>
          <w:rStyle w:val="943"/>
          <w:rFonts w:hint="eastAsia" w:ascii="宋体" w:hAnsi="宋体"/>
          <w:b w:val="0"/>
          <w:bCs w:val="0"/>
          <w:color w:val="auto"/>
          <w:sz w:val="24"/>
          <w:szCs w:val="24"/>
          <w:highlight w:val="none"/>
        </w:rPr>
        <w:t xml:space="preserve">一、总则</w:t>
      </w:r>
      <w:bookmarkEnd w:id="18"/>
      <w:r/>
      <w:bookmarkEnd w:id="19"/>
      <w:r/>
      <w:bookmarkEnd w:id="20"/>
      <w:r/>
      <w:bookmarkEnd w:id="21"/>
      <w:r/>
      <w:bookmarkEnd w:id="22"/>
      <w:r/>
      <w:bookmarkEnd w:id="23"/>
      <w:r/>
      <w:bookmarkEnd w:id="24"/>
      <w:r/>
      <w:bookmarkEnd w:id="25"/>
      <w:r/>
      <w:r/>
    </w:p>
    <w:p>
      <w:pPr>
        <w:ind w:firstLine="482"/>
        <w:keepLines/>
        <w:keepNext/>
        <w:spacing w:line="440" w:lineRule="exact"/>
        <w:rPr>
          <w:rFonts w:hint="eastAsia" w:ascii="宋体" w:hAnsi="宋体"/>
          <w:b/>
          <w:bCs/>
          <w:color w:val="auto"/>
          <w:sz w:val="24"/>
          <w:szCs w:val="24"/>
          <w:highlight w:val="none"/>
        </w:rPr>
        <w:outlineLvl w:val="3"/>
      </w:pPr>
      <w:r/>
      <w:bookmarkStart w:id="26" w:name="_Hlt16619475"/>
      <w:r/>
      <w:bookmarkEnd w:id="26"/>
      <w:r/>
      <w:bookmarkStart w:id="27" w:name="_Toc458694821"/>
      <w:r/>
      <w:bookmarkStart w:id="28" w:name="_Toc16938520"/>
      <w:r/>
      <w:bookmarkStart w:id="29" w:name="_Toc513029204"/>
      <w:r/>
      <w:bookmarkStart w:id="30" w:name="_Toc20823276"/>
      <w:r>
        <w:rPr>
          <w:rFonts w:hint="eastAsia" w:ascii="宋体" w:hAnsi="宋体"/>
          <w:b/>
          <w:bCs/>
          <w:color w:val="auto"/>
          <w:sz w:val="24"/>
          <w:szCs w:val="24"/>
          <w:highlight w:val="none"/>
        </w:rPr>
        <w:t xml:space="preserve">1</w:t>
      </w:r>
      <w:bookmarkEnd w:id="27"/>
      <w:r>
        <w:rPr>
          <w:rFonts w:hint="eastAsia" w:ascii="宋体" w:hAnsi="宋体"/>
          <w:b/>
          <w:bCs/>
          <w:color w:val="auto"/>
          <w:sz w:val="24"/>
          <w:szCs w:val="24"/>
          <w:highlight w:val="none"/>
        </w:rPr>
        <w:t xml:space="preserve">.招标方式</w:t>
      </w:r>
      <w:bookmarkEnd w:id="28"/>
      <w:r/>
      <w:bookmarkEnd w:id="29"/>
      <w:r/>
      <w:bookmarkEnd w:id="30"/>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1" w:name="_Toc513029205"/>
      <w:r/>
      <w:bookmarkStart w:id="32" w:name="_Toc16938521"/>
      <w:r/>
      <w:bookmarkStart w:id="33" w:name="_Toc20823277"/>
      <w:r>
        <w:rPr>
          <w:rFonts w:hint="eastAsia" w:ascii="宋体" w:hAnsi="宋体"/>
          <w:b/>
          <w:bCs/>
          <w:color w:val="auto"/>
          <w:sz w:val="24"/>
          <w:szCs w:val="24"/>
          <w:highlight w:val="none"/>
        </w:rPr>
        <w:t xml:space="preserve">2.合格的投标人</w:t>
      </w:r>
      <w:bookmarkEnd w:id="31"/>
      <w:r/>
      <w:bookmarkEnd w:id="32"/>
      <w:r/>
      <w:bookmarkEnd w:id="33"/>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4" w:name="_Toc20823278"/>
      <w:r/>
      <w:bookmarkStart w:id="35" w:name="_Toc16938522"/>
      <w:r/>
      <w:bookmarkStart w:id="36" w:name="_Toc513029206"/>
      <w:r>
        <w:rPr>
          <w:rFonts w:hint="eastAsia" w:ascii="宋体" w:hAnsi="宋体"/>
          <w:b/>
          <w:bCs/>
          <w:color w:val="auto"/>
          <w:sz w:val="24"/>
          <w:szCs w:val="24"/>
          <w:highlight w:val="none"/>
        </w:rPr>
        <w:t xml:space="preserve">3.适用法律</w:t>
      </w:r>
      <w:bookmarkEnd w:id="34"/>
      <w:r/>
      <w:bookmarkEnd w:id="35"/>
      <w:r/>
      <w:bookmarkEnd w:id="36"/>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7" w:name="_Toc16938523"/>
      <w:r/>
      <w:bookmarkStart w:id="38" w:name="_Toc462564067"/>
      <w:r/>
      <w:bookmarkStart w:id="39" w:name="_Toc20823279"/>
      <w:r/>
      <w:bookmarkStart w:id="40" w:name="_Toc513029207"/>
      <w:r>
        <w:rPr>
          <w:rFonts w:hint="eastAsia" w:ascii="宋体" w:hAnsi="宋体"/>
          <w:b/>
          <w:bCs/>
          <w:color w:val="auto"/>
          <w:sz w:val="24"/>
          <w:szCs w:val="24"/>
          <w:highlight w:val="none"/>
        </w:rPr>
        <w:t xml:space="preserve">4.投标费用</w:t>
      </w:r>
      <w:bookmarkEnd w:id="37"/>
      <w:r/>
      <w:bookmarkEnd w:id="38"/>
      <w:r/>
      <w:bookmarkEnd w:id="39"/>
      <w:r/>
      <w:bookmarkEnd w:id="4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1"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1"/>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4.2本次招标公共资源交易中心和采购人不收取标书工本费与中标服务费。</w:t>
      </w:r>
      <w:bookmarkStart w:id="42" w:name="EB4bef91ec166246f78c716ddc8194a87a"/>
      <w:r/>
      <w:bookmarkEnd w:id="42"/>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43" w:name="_Toc12536"/>
      <w:r/>
      <w:bookmarkStart w:id="44" w:name="_Toc120614215"/>
      <w:r/>
      <w:bookmarkStart w:id="45" w:name="_Toc513029209"/>
      <w:r/>
      <w:bookmarkStart w:id="46" w:name="_Toc35266021"/>
      <w:r/>
      <w:bookmarkStart w:id="47" w:name="_Toc20823281"/>
      <w:r/>
      <w:bookmarkStart w:id="48" w:name="_Toc16938525"/>
      <w:r/>
      <w:bookmarkStart w:id="49" w:name="_Toc54615240"/>
      <w:r/>
      <w:bookmarkStart w:id="50" w:name="_Toc38368121"/>
      <w:r>
        <w:rPr>
          <w:rStyle w:val="943"/>
          <w:rFonts w:hint="eastAsia" w:ascii="宋体" w:hAnsi="宋体"/>
          <w:b w:val="0"/>
          <w:bCs w:val="0"/>
          <w:color w:val="auto"/>
          <w:sz w:val="24"/>
          <w:szCs w:val="24"/>
          <w:highlight w:val="none"/>
        </w:rPr>
        <w:t xml:space="preserve">二、招标文件</w:t>
      </w:r>
      <w:bookmarkEnd w:id="43"/>
      <w:r/>
      <w:bookmarkEnd w:id="44"/>
      <w:r/>
      <w:bookmarkEnd w:id="45"/>
      <w:r/>
      <w:bookmarkEnd w:id="46"/>
      <w:r/>
      <w:bookmarkEnd w:id="47"/>
      <w:r/>
      <w:bookmarkEnd w:id="48"/>
      <w:r/>
      <w:bookmarkEnd w:id="49"/>
      <w:r/>
      <w:bookmarkEnd w:id="50"/>
      <w:r/>
      <w:r/>
    </w:p>
    <w:p>
      <w:pPr>
        <w:ind w:firstLine="482"/>
        <w:keepLines/>
        <w:keepNext/>
        <w:spacing w:line="440" w:lineRule="exact"/>
        <w:rPr>
          <w:rFonts w:hint="eastAsia" w:ascii="宋体" w:hAnsi="宋体"/>
          <w:b/>
          <w:bCs/>
          <w:color w:val="auto"/>
          <w:sz w:val="24"/>
          <w:szCs w:val="24"/>
          <w:highlight w:val="none"/>
        </w:rPr>
        <w:outlineLvl w:val="3"/>
      </w:pPr>
      <w:r/>
      <w:bookmarkStart w:id="51" w:name="_Toc20823282"/>
      <w:r/>
      <w:bookmarkStart w:id="52" w:name="_Toc16938526"/>
      <w:r/>
      <w:bookmarkStart w:id="53" w:name="_Toc513029210"/>
      <w:r>
        <w:rPr>
          <w:rFonts w:hint="eastAsia" w:ascii="宋体" w:hAnsi="宋体"/>
          <w:b/>
          <w:bCs/>
          <w:color w:val="auto"/>
          <w:sz w:val="24"/>
          <w:szCs w:val="24"/>
          <w:highlight w:val="none"/>
        </w:rPr>
        <w:t xml:space="preserve">6.招标文件构成</w:t>
      </w:r>
      <w:bookmarkEnd w:id="51"/>
      <w:r/>
      <w:bookmarkEnd w:id="52"/>
      <w:r/>
      <w:bookmarkEnd w:id="5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4" w:name="EBbdde166065d14b62851231a61e89e609"/>
      <w:r>
        <w:rPr>
          <w:rFonts w:hint="eastAsia" w:ascii="宋体" w:hAnsi="宋体"/>
          <w:color w:val="auto"/>
          <w:sz w:val="24"/>
          <w:szCs w:val="24"/>
          <w:highlight w:val="none"/>
        </w:rPr>
        <w:t xml:space="preserve">公共资源交易中心</w:t>
      </w:r>
      <w:bookmarkEnd w:id="54"/>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5" w:name="_Toc20823284"/>
      <w:r/>
      <w:bookmarkStart w:id="56" w:name="_Toc513029212"/>
      <w:r/>
      <w:bookmarkStart w:id="57" w:name="_Toc16938528"/>
      <w:r/>
      <w:bookmarkStart w:id="58" w:name="_Toc462564071"/>
      <w:r>
        <w:rPr>
          <w:rFonts w:hint="eastAsia" w:ascii="宋体" w:hAnsi="宋体"/>
          <w:b/>
          <w:bCs/>
          <w:color w:val="auto"/>
          <w:sz w:val="24"/>
          <w:szCs w:val="24"/>
          <w:highlight w:val="none"/>
        </w:rPr>
        <w:t xml:space="preserve">7.招标文件的澄清或修改</w:t>
      </w:r>
      <w:bookmarkEnd w:id="55"/>
      <w:r/>
      <w:bookmarkEnd w:id="56"/>
      <w:r/>
      <w:bookmarkEnd w:id="57"/>
      <w:r/>
      <w:bookmarkEnd w:id="5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9" w:name="EBeec936f32a574d52a4992a8b94773f89"/>
      <w:r>
        <w:rPr>
          <w:rFonts w:hint="eastAsia" w:ascii="宋体" w:hAnsi="宋体"/>
          <w:color w:val="auto"/>
          <w:sz w:val="24"/>
          <w:szCs w:val="24"/>
          <w:highlight w:val="none"/>
        </w:rPr>
        <w:t xml:space="preserve">，公共资源交易中心</w:t>
      </w:r>
      <w:bookmarkEnd w:id="59"/>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60" w:name="EB14f04c7329d342c2b5d53bfcbbeaa167"/>
      <w:r>
        <w:rPr>
          <w:rFonts w:hint="eastAsia" w:ascii="宋体" w:hAnsi="宋体"/>
          <w:bCs/>
          <w:color w:val="auto"/>
          <w:sz w:val="24"/>
          <w:szCs w:val="24"/>
          <w:highlight w:val="none"/>
        </w:rPr>
        <w:t xml:space="preserve">公共资源交易中心</w:t>
      </w:r>
      <w:bookmarkEnd w:id="60"/>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2"/>
        <w:ind w:firstLine="480"/>
        <w:jc w:val="left"/>
        <w:spacing w:before="0" w:after="0" w:line="440" w:lineRule="exact"/>
        <w:rPr>
          <w:rStyle w:val="943"/>
          <w:rFonts w:hint="eastAsia" w:ascii="宋体" w:hAnsi="宋体"/>
          <w:b w:val="0"/>
          <w:bCs w:val="0"/>
          <w:color w:val="auto"/>
          <w:sz w:val="24"/>
          <w:szCs w:val="24"/>
          <w:highlight w:val="none"/>
        </w:rPr>
      </w:pPr>
      <w:r/>
      <w:bookmarkStart w:id="61" w:name="_Toc12827"/>
      <w:r/>
      <w:bookmarkStart w:id="62" w:name="_Toc35266022"/>
      <w:r/>
      <w:bookmarkStart w:id="63" w:name="_Toc513029213"/>
      <w:r/>
      <w:bookmarkStart w:id="64" w:name="_Toc38368122"/>
      <w:r/>
      <w:bookmarkStart w:id="65" w:name="_Toc16938529"/>
      <w:r/>
      <w:bookmarkStart w:id="66" w:name="_Toc120614216"/>
      <w:r/>
      <w:bookmarkStart w:id="67" w:name="_Toc462564072"/>
      <w:r/>
      <w:bookmarkStart w:id="68" w:name="_Toc20823285"/>
      <w:r/>
      <w:bookmarkStart w:id="69" w:name="_Toc54615241"/>
      <w:r>
        <w:rPr>
          <w:rStyle w:val="943"/>
          <w:rFonts w:hint="eastAsia" w:ascii="宋体" w:hAnsi="宋体"/>
          <w:b w:val="0"/>
          <w:bCs w:val="0"/>
          <w:color w:val="auto"/>
          <w:sz w:val="24"/>
          <w:szCs w:val="24"/>
          <w:highlight w:val="none"/>
        </w:rPr>
        <w:t xml:space="preserve">三、投标文件的编制</w:t>
      </w:r>
      <w:bookmarkEnd w:id="61"/>
      <w:r/>
      <w:bookmarkEnd w:id="62"/>
      <w:r/>
      <w:bookmarkEnd w:id="63"/>
      <w:r/>
      <w:bookmarkEnd w:id="64"/>
      <w:r/>
      <w:bookmarkEnd w:id="65"/>
      <w:r/>
      <w:bookmarkEnd w:id="66"/>
      <w:r/>
      <w:bookmarkEnd w:id="67"/>
      <w:r/>
      <w:bookmarkEnd w:id="68"/>
      <w:r/>
      <w:bookmarkEnd w:id="69"/>
      <w:r/>
      <w:r/>
    </w:p>
    <w:p>
      <w:pPr>
        <w:ind w:firstLine="482"/>
        <w:keepLines/>
        <w:keepNext/>
        <w:spacing w:line="440" w:lineRule="exact"/>
        <w:rPr>
          <w:rFonts w:hint="eastAsia" w:ascii="宋体" w:hAnsi="宋体"/>
          <w:b/>
          <w:bCs/>
          <w:color w:val="auto"/>
          <w:sz w:val="24"/>
          <w:szCs w:val="24"/>
          <w:highlight w:val="none"/>
        </w:rPr>
        <w:outlineLvl w:val="3"/>
      </w:pPr>
      <w:r/>
      <w:bookmarkStart w:id="70" w:name="_Toc16938530"/>
      <w:r/>
      <w:bookmarkStart w:id="71" w:name="_Toc20823286"/>
      <w:r/>
      <w:bookmarkStart w:id="72" w:name="_Toc462564073"/>
      <w:r/>
      <w:bookmarkStart w:id="73" w:name="_Toc513029214"/>
      <w:r>
        <w:rPr>
          <w:rFonts w:hint="eastAsia" w:ascii="宋体" w:hAnsi="宋体"/>
          <w:b/>
          <w:bCs/>
          <w:color w:val="auto"/>
          <w:sz w:val="24"/>
          <w:szCs w:val="24"/>
          <w:highlight w:val="none"/>
        </w:rPr>
        <w:t xml:space="preserve">8.投标文件的语言及度量衡单位</w:t>
      </w:r>
      <w:bookmarkEnd w:id="70"/>
      <w:r/>
      <w:bookmarkEnd w:id="71"/>
      <w:r/>
      <w:bookmarkEnd w:id="72"/>
      <w:r/>
      <w:bookmarkEnd w:id="7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4" w:name="EB93850d2cac274df984aa2f93878c3cfe"/>
      <w:r>
        <w:rPr>
          <w:rFonts w:hint="eastAsia" w:ascii="宋体" w:hAnsi="宋体"/>
          <w:color w:val="auto"/>
          <w:sz w:val="24"/>
          <w:szCs w:val="24"/>
          <w:highlight w:val="none"/>
        </w:rPr>
        <w:t xml:space="preserve">公共资源交易中心</w:t>
      </w:r>
      <w:bookmarkEnd w:id="74"/>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5" w:name="_Toc20823287"/>
      <w:r/>
      <w:bookmarkStart w:id="76" w:name="_Toc16938531"/>
      <w:r/>
      <w:bookmarkStart w:id="77" w:name="_Toc513029215"/>
      <w:r/>
      <w:bookmarkStart w:id="78" w:name="_Toc462564074"/>
      <w:r>
        <w:rPr>
          <w:rFonts w:hint="eastAsia" w:ascii="宋体" w:hAnsi="宋体"/>
          <w:b/>
          <w:bCs/>
          <w:color w:val="auto"/>
          <w:sz w:val="24"/>
          <w:szCs w:val="24"/>
          <w:highlight w:val="none"/>
        </w:rPr>
        <w:t xml:space="preserve">9.投标文件构成</w:t>
      </w:r>
      <w:bookmarkEnd w:id="75"/>
      <w:r/>
      <w:bookmarkEnd w:id="76"/>
      <w:r/>
      <w:bookmarkEnd w:id="77"/>
      <w:r/>
      <w:bookmarkEnd w:id="78"/>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9" w:name="_Hlt26670360"/>
      <w:r/>
      <w:bookmarkEnd w:id="79"/>
      <w:r/>
      <w:bookmarkStart w:id="80" w:name="_Hlt26954838"/>
      <w:r/>
      <w:bookmarkEnd w:id="80"/>
      <w:r/>
      <w:bookmarkStart w:id="81" w:name="_Hlt26668975"/>
      <w:r/>
      <w:bookmarkEnd w:id="81"/>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2" w:name="_Hlt26668999"/>
      <w:r/>
      <w:bookmarkEnd w:id="82"/>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3" w:name="_Toc14577355"/>
      <w:r/>
      <w:bookmarkStart w:id="84" w:name="_Toc49090508"/>
      <w:r>
        <w:rPr>
          <w:rFonts w:hint="eastAsia" w:ascii="宋体" w:hAnsi="宋体"/>
          <w:b/>
          <w:bCs/>
          <w:color w:val="auto"/>
          <w:sz w:val="24"/>
          <w:szCs w:val="24"/>
          <w:highlight w:val="none"/>
        </w:rPr>
        <w:t xml:space="preserve">12.投标配置与分项报价</w:t>
      </w:r>
      <w:bookmarkStart w:id="85" w:name="_Hlt26670373"/>
      <w:r/>
      <w:bookmarkEnd w:id="85"/>
      <w:r>
        <w:rPr>
          <w:rFonts w:hint="eastAsia" w:ascii="宋体" w:hAnsi="宋体"/>
          <w:b/>
          <w:bCs/>
          <w:color w:val="auto"/>
          <w:sz w:val="24"/>
          <w:szCs w:val="24"/>
          <w:highlight w:val="none"/>
        </w:rPr>
        <w:t xml:space="preserve">表</w:t>
      </w:r>
      <w:bookmarkEnd w:id="83"/>
      <w:r/>
      <w:bookmarkEnd w:id="84"/>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6" w:name="EB8486dd9157984dc9aa62437fb6aa6f0f"/>
      <w:r/>
      <w:bookmarkEnd w:id="86"/>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7" w:name="_Hlt26954731"/>
      <w:r/>
      <w:bookmarkEnd w:id="87"/>
      <w:r/>
      <w:bookmarkStart w:id="88" w:name="_Hlt26954848"/>
      <w:r/>
      <w:bookmarkEnd w:id="88"/>
      <w:r/>
      <w:bookmarkStart w:id="89" w:name="_Hlt26670486"/>
      <w:r/>
      <w:bookmarkEnd w:id="89"/>
      <w:r/>
      <w:bookmarkStart w:id="90" w:name="_Hlt26954846"/>
      <w:r/>
      <w:bookmarkEnd w:id="90"/>
      <w:r/>
      <w:bookmarkStart w:id="91" w:name="_Hlt26670482"/>
      <w:r/>
      <w:bookmarkEnd w:id="9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44"/>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44"/>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34"/>
          <w:rFonts w:hint="eastAsia" w:ascii="宋体" w:hAnsi="宋体"/>
          <w:color w:val="auto"/>
          <w:spacing w:val="7"/>
          <w:sz w:val="24"/>
          <w:szCs w:val="24"/>
          <w:highlight w:val="none"/>
        </w:rPr>
        <w:outlineLvl w:val="3"/>
      </w:pPr>
      <w:r>
        <w:rPr>
          <w:rStyle w:val="934"/>
          <w:rFonts w:hint="eastAsia" w:ascii="宋体" w:hAnsi="宋体"/>
          <w:color w:val="auto"/>
          <w:spacing w:val="7"/>
          <w:sz w:val="24"/>
          <w:szCs w:val="24"/>
          <w:highlight w:val="none"/>
        </w:rPr>
        <w:t xml:space="preserve">14.1 投标人的总体情况应在电子投标文件中作出说明。</w:t>
      </w:r>
      <w:bookmarkStart w:id="92" w:name="_Hlt26954734"/>
      <w:r/>
      <w:bookmarkEnd w:id="92"/>
      <w:r/>
      <w:bookmarkStart w:id="93" w:name="_Hlt26670489"/>
      <w:r/>
      <w:bookmarkEnd w:id="93"/>
      <w:r/>
      <w:bookmarkStart w:id="94" w:name="_Hlt26954850"/>
      <w:r/>
      <w:bookmarkEnd w:id="94"/>
      <w:r/>
      <w:bookmarkStart w:id="95" w:name="EBf6e5e332cb7245ab8f3a9801503c122b"/>
      <w:r/>
      <w:bookmarkEnd w:id="95"/>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44"/>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44"/>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6" w:name="EB42bffacbc3774d8f9be92be41fabfc13"/>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7" w:name="EB1a73f2f6d8ff43b6a705c8d1929594b0"/>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8" w:name="EBcd0282bdfe9441e3bba982eac64d1aaa"/>
      <w:r>
        <w:rPr>
          <w:rFonts w:hint="eastAsia" w:ascii="宋体" w:hAnsi="宋体"/>
          <w:bCs/>
          <w:color w:val="auto"/>
          <w:sz w:val="24"/>
          <w:szCs w:val="24"/>
          <w:highlight w:val="none"/>
        </w:rPr>
        <w:t xml:space="preserve">公共资源交易中心</w:t>
      </w:r>
      <w:bookmarkEnd w:id="98"/>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9" w:name="_Hlt26954739"/>
      <w:r/>
      <w:bookmarkEnd w:id="99"/>
      <w:r/>
      <w:bookmarkStart w:id="100" w:name="EBfdb2e00cf1ee477a9cdb47d13b603829"/>
      <w:r/>
      <w:bookmarkEnd w:id="100"/>
      <w:r/>
      <w:bookmarkStart w:id="101" w:name="_Hlt26954852"/>
      <w:r/>
      <w:bookmarkEnd w:id="101"/>
      <w:r/>
      <w:r/>
    </w:p>
    <w:p>
      <w:pPr>
        <w:pStyle w:val="945"/>
        <w:ind w:firstLine="482"/>
        <w:spacing w:line="440" w:lineRule="exact"/>
        <w:rPr>
          <w:rStyle w:val="943"/>
          <w:rFonts w:hint="eastAsia" w:ascii="宋体" w:hAnsi="宋体"/>
          <w:color w:val="auto"/>
          <w:sz w:val="24"/>
          <w:szCs w:val="24"/>
          <w:highlight w:val="none"/>
        </w:rPr>
      </w:pPr>
      <w:r>
        <w:rPr>
          <w:rStyle w:val="943"/>
          <w:rFonts w:hint="eastAsia" w:ascii="宋体" w:hAnsi="宋体"/>
          <w:color w:val="auto"/>
          <w:sz w:val="24"/>
          <w:szCs w:val="24"/>
          <w:highlight w:val="none"/>
        </w:rPr>
        <w:t xml:space="preserve">四、投标文件的制作、上传、递交</w:t>
      </w:r>
      <w:r/>
    </w:p>
    <w:p>
      <w:pPr>
        <w:pStyle w:val="946"/>
        <w:ind w:firstLine="500"/>
        <w:spacing w:line="440" w:lineRule="exact"/>
        <w:rPr>
          <w:rStyle w:val="934"/>
          <w:rFonts w:hint="eastAsia" w:ascii="宋体" w:hAnsi="宋体"/>
          <w:b/>
          <w:bCs/>
          <w:color w:val="auto"/>
          <w:spacing w:val="7"/>
          <w:sz w:val="24"/>
          <w:szCs w:val="24"/>
          <w:highlight w:val="none"/>
        </w:rPr>
        <w:outlineLvl w:val="3"/>
      </w:pPr>
      <w:r>
        <w:rPr>
          <w:rStyle w:val="934"/>
          <w:rFonts w:hint="eastAsia" w:ascii="宋体" w:hAnsi="宋体"/>
          <w:b/>
          <w:bCs/>
          <w:color w:val="auto"/>
          <w:spacing w:val="7"/>
          <w:sz w:val="24"/>
          <w:szCs w:val="24"/>
          <w:highlight w:val="none"/>
        </w:rPr>
        <w:t xml:space="preserve">18.投标文件的递交</w:t>
      </w:r>
      <w:r/>
    </w:p>
    <w:p>
      <w:pPr>
        <w:pStyle w:val="946"/>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18.1电子投标文件的递交</w:t>
      </w:r>
      <w:r/>
    </w:p>
    <w:p>
      <w:pPr>
        <w:pStyle w:val="946"/>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2" w:name="EB5e78b12e89984a20ab881c475623475b"/>
      <w:r/>
      <w:bookmarkEnd w:id="102"/>
      <w:r/>
      <w:r/>
    </w:p>
    <w:p>
      <w:pPr>
        <w:pStyle w:val="946"/>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47"/>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47"/>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3" w:name="EB4c6421107b4c4e38bf2769d0237905a7"/>
      <w:r/>
      <w:bookmarkEnd w:id="103"/>
      <w:r/>
      <w:r/>
    </w:p>
    <w:p>
      <w:pPr>
        <w:pStyle w:val="947"/>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47"/>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4" w:name="EBfffe463a2deb4e7cad93cb8e37ffda5e"/>
      <w:r>
        <w:rPr>
          <w:rFonts w:hint="eastAsia" w:ascii="宋体" w:hAnsi="宋体" w:eastAsia="宋体"/>
          <w:color w:val="auto"/>
          <w:highlight w:val="none"/>
        </w:rPr>
        <w:t xml:space="preserve">公共资源交易中心</w:t>
      </w:r>
      <w:bookmarkEnd w:id="104"/>
      <w:r>
        <w:rPr>
          <w:rFonts w:hint="eastAsia" w:ascii="宋体" w:hAnsi="宋体" w:eastAsia="宋体"/>
          <w:color w:val="auto"/>
          <w:highlight w:val="none"/>
        </w:rPr>
        <w:t xml:space="preserve">拒绝接收在其规定的投标截止时间后递交的任何投标文件。</w:t>
      </w:r>
      <w:r/>
    </w:p>
    <w:p>
      <w:pPr>
        <w:pStyle w:val="947"/>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47"/>
        <w:ind w:firstLine="508"/>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21.2 投标人撤回电子投标文件，则认为其不再参与本项目投标活动。</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21.3 在投标截止时间之后，投标人不得对其电子投标文件作任何修改。</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48"/>
        <w:ind w:firstLine="500"/>
        <w:spacing w:line="440" w:lineRule="exact"/>
        <w:rPr>
          <w:rStyle w:val="934"/>
          <w:rFonts w:hint="eastAsia" w:ascii="宋体" w:hAnsi="宋体"/>
          <w:color w:val="auto"/>
          <w:spacing w:val="7"/>
          <w:sz w:val="24"/>
          <w:szCs w:val="28"/>
          <w:highlight w:val="none"/>
        </w:rPr>
      </w:pPr>
      <w:r>
        <w:rPr>
          <w:rStyle w:val="934"/>
          <w:rFonts w:hint="eastAsia" w:ascii="宋体" w:hAnsi="宋体"/>
          <w:color w:val="auto"/>
          <w:spacing w:val="7"/>
          <w:sz w:val="24"/>
          <w:szCs w:val="28"/>
          <w:highlight w:val="none"/>
        </w:rPr>
        <w:t xml:space="preserve">21.5 不论投标人中标与否，投标文件均不退回。</w:t>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105" w:name="EB7c302f080cf342679641097daf23b42b"/>
      <w:r/>
      <w:bookmarkEnd w:id="105"/>
      <w:r/>
      <w:bookmarkStart w:id="106" w:name="_Toc16938545"/>
      <w:r/>
      <w:bookmarkStart w:id="107" w:name="_Toc35266024"/>
      <w:r/>
      <w:bookmarkStart w:id="108" w:name="_Toc513029229"/>
      <w:r/>
      <w:bookmarkStart w:id="109" w:name="_Toc120614218"/>
      <w:r/>
      <w:bookmarkStart w:id="110" w:name="_Toc54615243"/>
      <w:r/>
      <w:bookmarkStart w:id="111" w:name="_Toc20823301"/>
      <w:r/>
      <w:bookmarkStart w:id="112" w:name="_Toc38368124"/>
      <w:r/>
      <w:bookmarkStart w:id="113" w:name="_Toc17299"/>
      <w:r>
        <w:rPr>
          <w:rStyle w:val="943"/>
          <w:rFonts w:hint="eastAsia" w:ascii="宋体" w:hAnsi="宋体"/>
          <w:b w:val="0"/>
          <w:bCs w:val="0"/>
          <w:color w:val="auto"/>
          <w:sz w:val="24"/>
          <w:szCs w:val="24"/>
          <w:highlight w:val="none"/>
        </w:rPr>
        <w:t xml:space="preserve">五、开标与评标</w:t>
      </w:r>
      <w:bookmarkEnd w:id="106"/>
      <w:r/>
      <w:bookmarkEnd w:id="107"/>
      <w:r/>
      <w:bookmarkEnd w:id="108"/>
      <w:r/>
      <w:bookmarkEnd w:id="109"/>
      <w:r/>
      <w:bookmarkEnd w:id="110"/>
      <w:r/>
      <w:bookmarkEnd w:id="111"/>
      <w:r/>
      <w:bookmarkEnd w:id="112"/>
      <w:r/>
      <w:bookmarkEnd w:id="113"/>
      <w:r/>
      <w:r/>
    </w:p>
    <w:p>
      <w:pPr>
        <w:ind w:firstLine="482"/>
        <w:keepLines/>
        <w:keepNext/>
        <w:spacing w:line="440" w:lineRule="exact"/>
        <w:rPr>
          <w:rFonts w:hint="eastAsia" w:ascii="宋体" w:hAnsi="宋体"/>
          <w:b/>
          <w:bCs/>
          <w:color w:val="auto"/>
          <w:sz w:val="24"/>
          <w:szCs w:val="24"/>
          <w:highlight w:val="none"/>
        </w:rPr>
        <w:outlineLvl w:val="3"/>
      </w:pPr>
      <w:r/>
      <w:bookmarkStart w:id="114" w:name="_Toc16938546"/>
      <w:r/>
      <w:bookmarkStart w:id="115" w:name="_Toc20823302"/>
      <w:r/>
      <w:bookmarkStart w:id="116" w:name="_Toc513029230"/>
      <w:r>
        <w:rPr>
          <w:rFonts w:hint="eastAsia" w:ascii="宋体" w:hAnsi="宋体"/>
          <w:b/>
          <w:bCs/>
          <w:color w:val="auto"/>
          <w:sz w:val="24"/>
          <w:szCs w:val="24"/>
          <w:highlight w:val="none"/>
        </w:rPr>
        <w:t xml:space="preserve">22.开标</w:t>
      </w:r>
      <w:bookmarkEnd w:id="114"/>
      <w:r/>
      <w:bookmarkEnd w:id="115"/>
      <w:r/>
      <w:bookmarkEnd w:id="116"/>
      <w:r/>
      <w:r/>
    </w:p>
    <w:p>
      <w:pPr>
        <w:ind w:firstLine="480"/>
        <w:spacing w:line="440" w:lineRule="exact"/>
        <w:rPr>
          <w:rStyle w:val="934"/>
          <w:rFonts w:hint="eastAsia" w:ascii="宋体" w:hAnsi="宋体"/>
          <w:color w:val="auto"/>
          <w:spacing w:val="7"/>
          <w:sz w:val="24"/>
          <w:szCs w:val="24"/>
          <w:highlight w:val="none"/>
        </w:rPr>
      </w:pPr>
      <w:r/>
      <w:bookmarkStart w:id="117" w:name="EB45a41a7a147945c0bb92535f2d40058d"/>
      <w:r/>
      <w:bookmarkEnd w:id="117"/>
      <w:r>
        <w:rPr>
          <w:rStyle w:val="934"/>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8" w:name="EBd93f728e80de47e5afd77299c0ffdfa6"/>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9" w:name="EB8495c46e8cb146ec80ae8c0f7928221c"/>
      <w:r>
        <w:rPr>
          <w:rFonts w:hint="eastAsia" w:ascii="宋体" w:hAnsi="宋体"/>
          <w:color w:val="auto"/>
          <w:sz w:val="24"/>
          <w:szCs w:val="24"/>
          <w:highlight w:val="none"/>
        </w:rPr>
        <w:t xml:space="preserve">公共资源交易中心</w:t>
      </w:r>
      <w:bookmarkEnd w:id="119"/>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20" w:name="_Toc513029232"/>
      <w:r/>
      <w:bookmarkStart w:id="121" w:name="_Toc20823304"/>
      <w:r/>
      <w:bookmarkStart w:id="122" w:name="_Toc16938548"/>
      <w:r>
        <w:rPr>
          <w:rFonts w:hint="eastAsia" w:ascii="宋体" w:hAnsi="宋体"/>
          <w:b/>
          <w:bCs/>
          <w:color w:val="auto"/>
          <w:sz w:val="24"/>
          <w:szCs w:val="24"/>
          <w:highlight w:val="none"/>
        </w:rPr>
        <w:t xml:space="preserve">25．投标的澄清</w:t>
      </w:r>
      <w:bookmarkEnd w:id="120"/>
      <w:r/>
      <w:bookmarkEnd w:id="121"/>
      <w:r/>
      <w:bookmarkEnd w:id="12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49"/>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34"/>
          <w:rFonts w:hint="eastAsia" w:ascii="宋体" w:hAnsi="宋体"/>
          <w:b/>
          <w:bCs/>
          <w:color w:val="auto"/>
          <w:spacing w:val="7"/>
          <w:sz w:val="24"/>
          <w:szCs w:val="24"/>
          <w:highlight w:val="none"/>
          <w:lang w:val="zh-CN"/>
        </w:rPr>
      </w:pPr>
      <w:r>
        <w:rPr>
          <w:rStyle w:val="934"/>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34"/>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3" w:name="EB3164982f155e42e086cd4685f4d2aafa"/>
      <w:r/>
      <w:bookmarkEnd w:id="123"/>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4" w:name="_Toc20823305"/>
      <w:r/>
      <w:bookmarkStart w:id="125" w:name="_Toc16938549"/>
      <w:r/>
      <w:bookmarkStart w:id="126" w:name="_Toc513029233"/>
      <w:r>
        <w:rPr>
          <w:rFonts w:hint="eastAsia" w:ascii="宋体" w:hAnsi="宋体"/>
          <w:b/>
          <w:bCs/>
          <w:color w:val="auto"/>
          <w:sz w:val="24"/>
          <w:szCs w:val="24"/>
          <w:highlight w:val="none"/>
        </w:rPr>
        <w:t xml:space="preserve">26</w:t>
      </w:r>
      <w:bookmarkEnd w:id="124"/>
      <w:r/>
      <w:bookmarkEnd w:id="125"/>
      <w:r/>
      <w:bookmarkEnd w:id="126"/>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7" w:name="EB8e3ec86c09a94dac9cc9034e6027ee19"/>
      <w:r/>
      <w:bookmarkEnd w:id="127"/>
      <w:r/>
      <w:r/>
    </w:p>
    <w:p>
      <w:pPr>
        <w:pStyle w:val="772"/>
        <w:spacing w:line="440" w:lineRule="exact"/>
        <w:rPr>
          <w:rFonts w:hint="eastAsia"/>
          <w:b/>
          <w:bCs/>
          <w:color w:val="auto"/>
          <w:highlight w:val="none"/>
        </w:rPr>
      </w:pPr>
      <w:r>
        <w:rPr>
          <w:rFonts w:hint="eastAsia"/>
          <w:b/>
          <w:bCs/>
          <w:color w:val="auto"/>
          <w:highlight w:val="none"/>
        </w:rPr>
        <w:t xml:space="preserve">26.6 异常低价投标审查</w:t>
      </w:r>
      <w:r/>
    </w:p>
    <w:p>
      <w:pPr>
        <w:pStyle w:val="772"/>
        <w:spacing w:line="440" w:lineRule="exact"/>
        <w:rPr>
          <w:rFonts w:hint="eastAsia" w:ascii="宋体" w:hAnsi="宋体" w:eastAsia="宋体" w:cs="宋体"/>
          <w:sz w:val="24"/>
          <w:szCs w:val="28"/>
          <w:highlight w:val="none"/>
        </w:rPr>
      </w:pPr>
      <w:r/>
      <w:bookmarkStart w:id="128" w:name="_Toc513029234"/>
      <w:r/>
      <w:bookmarkStart w:id="129" w:name="_Toc16938550"/>
      <w:r/>
      <w:bookmarkStart w:id="130" w:name="_Toc20823306"/>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8"/>
      <w:r/>
      <w:bookmarkEnd w:id="129"/>
      <w:r/>
      <w:bookmarkEnd w:id="130"/>
      <w:r>
        <w:rPr>
          <w:rFonts w:hint="eastAsia" w:ascii="宋体" w:hAnsi="宋体"/>
          <w:b/>
          <w:bCs/>
          <w:color w:val="auto"/>
          <w:sz w:val="24"/>
          <w:szCs w:val="24"/>
          <w:highlight w:val="none"/>
        </w:rPr>
        <w:t xml:space="preserve">.无效投标条款和废标条款</w:t>
      </w:r>
      <w:r/>
    </w:p>
    <w:p>
      <w:pPr>
        <w:pStyle w:val="950"/>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 无效投标条款</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 投标人未按照招标文件要求上传电子投标文件的；</w:t>
      </w:r>
      <w:r/>
    </w:p>
    <w:p>
      <w:pPr>
        <w:pStyle w:val="951"/>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27.1.3 投标文件中没有《开标一览表》或《开标一览表》未加盖投标人公章的；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27.1.4 投标文件中任何有选择的报价；</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27.1.6 不同投标人的投标文件由同一单位或者个人编制；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27.1.7 不同投标人委托同一单位或者个人办理投标事宜；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27.1.8 不同投标人的投标文件制作机器码一致的；</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27.1.9 不同投标人的投标文件载明的项目管理成员或者联系人员为同一人；</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27.1.10 不同投标人的投标文件异常一致或者投标报价呈规律性差异；</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27.1.11 </w:t>
      </w:r>
      <w:r>
        <w:rPr>
          <w:rStyle w:val="934"/>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34"/>
          <w:rFonts w:hint="eastAsia" w:ascii="宋体" w:hAnsi="宋体"/>
          <w:color w:val="auto"/>
          <w:spacing w:val="7"/>
          <w:sz w:val="24"/>
          <w:szCs w:val="24"/>
          <w:highlight w:val="none"/>
        </w:rPr>
        <w:t xml:space="preserve">；</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27.1.14 不同供应商的单位负责人为同一人或者存在直接控股、管理关系的；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27.1.15 为采购项目提供整体设计、规范编制或者项目管理、监理、检测等服务的；</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27.1.16 资格证明文件中要求加盖公章而未加盖公章的；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27.1.17 投标文件未按招标文件要求签署、盖章的；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27.1.19 报价超过招标文件中规定的预算金额或者最高限价的；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27.1.20 投标文件含有采购人不能接受的附加条件的； </w:t>
      </w:r>
      <w:r/>
    </w:p>
    <w:p>
      <w:pPr>
        <w:pStyle w:val="951"/>
        <w:ind w:firstLine="500"/>
        <w:spacing w:line="440" w:lineRule="exact"/>
        <w:rPr>
          <w:rStyle w:val="934"/>
          <w:rFonts w:hint="eastAsia" w:ascii="宋体" w:hAnsi="宋体"/>
          <w:b/>
          <w:bCs/>
          <w:color w:val="auto"/>
          <w:spacing w:val="7"/>
          <w:sz w:val="24"/>
          <w:szCs w:val="24"/>
          <w:highlight w:val="none"/>
        </w:rPr>
      </w:pPr>
      <w:r>
        <w:rPr>
          <w:rStyle w:val="934"/>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34"/>
          <w:rFonts w:hint="eastAsia" w:ascii="宋体" w:hAnsi="宋体"/>
          <w:color w:val="auto"/>
          <w:spacing w:val="7"/>
          <w:sz w:val="24"/>
          <w:szCs w:val="24"/>
          <w:highlight w:val="none"/>
        </w:rPr>
        <w:t xml:space="preserve"> </w:t>
      </w:r>
      <w:r/>
    </w:p>
    <w:p>
      <w:pPr>
        <w:pStyle w:val="951"/>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27.1.22 法律、法规和采购文件规定的其他无效情形; </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27.2 废标条款：</w:t>
      </w:r>
      <w:r/>
    </w:p>
    <w:p>
      <w:pPr>
        <w:pStyle w:val="952"/>
        <w:ind w:firstLine="508"/>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(1)符合专业条件的供应商或者对招标文件作实质响应的供应商不足三家的； </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(2)出现影响采购公正的违法、违规行为的；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(3)投标人的报价均超过了采购预算，采购人不能支付的；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(4)因重大变故，采购任务取消的。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(5)因苏采云系统系统故障原因造成开标不成功的。</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27.3 投标截止时间结束后参加投标的供应商不足三家的处理：</w:t>
      </w:r>
      <w:r/>
    </w:p>
    <w:p>
      <w:pPr>
        <w:pStyle w:val="952"/>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42"/>
        <w:ind w:firstLine="482"/>
        <w:jc w:val="left"/>
        <w:spacing w:before="0" w:after="0" w:line="440" w:lineRule="exact"/>
        <w:rPr>
          <w:rStyle w:val="943"/>
          <w:rFonts w:hint="eastAsia" w:ascii="宋体" w:hAnsi="宋体"/>
          <w:b w:val="0"/>
          <w:bCs w:val="0"/>
          <w:color w:val="auto"/>
          <w:sz w:val="24"/>
          <w:szCs w:val="24"/>
          <w:highlight w:val="none"/>
        </w:rPr>
      </w:pPr>
      <w:r/>
      <w:bookmarkStart w:id="131" w:name="_Toc16938551"/>
      <w:r/>
      <w:bookmarkStart w:id="132" w:name="_Toc513029235"/>
      <w:r/>
      <w:bookmarkStart w:id="133" w:name="_Toc20823307"/>
      <w:r/>
      <w:bookmarkStart w:id="134" w:name="_Toc35266025"/>
      <w:r/>
      <w:bookmarkStart w:id="135" w:name="_Toc38368125"/>
      <w:r/>
      <w:bookmarkStart w:id="136" w:name="_Toc54615244"/>
      <w:r/>
      <w:bookmarkStart w:id="137" w:name="_Toc28184"/>
      <w:r/>
      <w:bookmarkStart w:id="138" w:name="_Toc120614219"/>
      <w:r>
        <w:rPr>
          <w:rStyle w:val="943"/>
          <w:rFonts w:hint="eastAsia" w:ascii="宋体" w:hAnsi="宋体"/>
          <w:b w:val="0"/>
          <w:bCs w:val="0"/>
          <w:color w:val="auto"/>
          <w:sz w:val="24"/>
          <w:szCs w:val="24"/>
          <w:highlight w:val="none"/>
        </w:rPr>
        <w:t xml:space="preserve">六、</w:t>
      </w:r>
      <w:bookmarkEnd w:id="131"/>
      <w:r/>
      <w:bookmarkEnd w:id="132"/>
      <w:r/>
      <w:bookmarkEnd w:id="133"/>
      <w:r>
        <w:rPr>
          <w:rStyle w:val="943"/>
          <w:rFonts w:hint="eastAsia" w:ascii="宋体" w:hAnsi="宋体"/>
          <w:b w:val="0"/>
          <w:bCs w:val="0"/>
          <w:color w:val="auto"/>
          <w:sz w:val="24"/>
          <w:szCs w:val="24"/>
          <w:highlight w:val="none"/>
        </w:rPr>
        <w:t xml:space="preserve">定标</w:t>
      </w:r>
      <w:bookmarkEnd w:id="134"/>
      <w:r/>
      <w:bookmarkEnd w:id="135"/>
      <w:r/>
      <w:bookmarkEnd w:id="136"/>
      <w:r/>
      <w:bookmarkEnd w:id="137"/>
      <w:r/>
      <w:bookmarkEnd w:id="138"/>
      <w:r/>
      <w:r/>
    </w:p>
    <w:p>
      <w:pPr>
        <w:ind w:firstLine="482"/>
        <w:keepLines/>
        <w:keepNext/>
        <w:spacing w:line="440" w:lineRule="exact"/>
        <w:rPr>
          <w:rFonts w:hint="eastAsia" w:ascii="宋体" w:hAnsi="宋体"/>
          <w:b/>
          <w:bCs/>
          <w:color w:val="auto"/>
          <w:sz w:val="24"/>
          <w:szCs w:val="24"/>
          <w:highlight w:val="none"/>
        </w:rPr>
        <w:outlineLvl w:val="3"/>
      </w:pPr>
      <w:r/>
      <w:bookmarkStart w:id="139" w:name="_Toc513029238"/>
      <w:r/>
      <w:bookmarkStart w:id="140" w:name="_Toc16938554"/>
      <w:r/>
      <w:bookmarkStart w:id="141" w:name="_Toc20823310"/>
      <w:r>
        <w:rPr>
          <w:rFonts w:hint="eastAsia" w:ascii="宋体" w:hAnsi="宋体"/>
          <w:b/>
          <w:bCs/>
          <w:color w:val="auto"/>
          <w:sz w:val="24"/>
          <w:szCs w:val="24"/>
          <w:highlight w:val="none"/>
        </w:rPr>
        <w:t xml:space="preserve">28</w:t>
      </w:r>
      <w:bookmarkEnd w:id="139"/>
      <w:r>
        <w:rPr>
          <w:rFonts w:hint="eastAsia" w:ascii="宋体" w:hAnsi="宋体"/>
          <w:b/>
          <w:bCs/>
          <w:color w:val="auto"/>
          <w:sz w:val="24"/>
          <w:szCs w:val="24"/>
          <w:highlight w:val="none"/>
        </w:rPr>
        <w:t xml:space="preserve">.确定</w:t>
      </w:r>
      <w:bookmarkEnd w:id="140"/>
      <w:r/>
      <w:bookmarkEnd w:id="141"/>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2" w:name="EB0a0bb8d9f8954ef79aa564dbfd72d9f1"/>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3" w:name="EB099f29e99fec42e0b68e9bb29a0c4ea8"/>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4" w:name="EB8773124fd4fb4b248e75c3aa7fb3bbda"/>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5" w:name="EB74ca8e7cbd0c43048dde3bacda3415fd"/>
      <w:r>
        <w:rPr>
          <w:rFonts w:hint="eastAsia" w:ascii="宋体" w:hAnsi="宋体"/>
          <w:color w:val="auto"/>
          <w:sz w:val="24"/>
          <w:szCs w:val="24"/>
          <w:highlight w:val="none"/>
        </w:rPr>
        <w:t xml:space="preserve">公共资源交易中心</w:t>
      </w:r>
      <w:bookmarkEnd w:id="145"/>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53"/>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32.1合同签订前，中标人向采购单位交付的履约保证金为合同总价款的</w:t>
      </w:r>
      <w:r>
        <w:rPr>
          <w:rStyle w:val="934"/>
          <w:rFonts w:hint="eastAsia" w:ascii="宋体" w:hAnsi="宋体"/>
          <w:color w:val="auto"/>
          <w:spacing w:val="7"/>
          <w:sz w:val="24"/>
          <w:szCs w:val="24"/>
          <w:highlight w:val="none"/>
          <w:lang w:val="en-US"/>
        </w:rPr>
        <w:t xml:space="preserve">2</w:t>
      </w:r>
      <w:r>
        <w:rPr>
          <w:rStyle w:val="934"/>
          <w:rFonts w:hint="eastAsia" w:ascii="宋体" w:hAnsi="宋体"/>
          <w:color w:val="auto"/>
          <w:spacing w:val="7"/>
          <w:sz w:val="24"/>
          <w:szCs w:val="24"/>
          <w:highlight w:val="none"/>
        </w:rPr>
        <w:t xml:space="preserve">％。</w:t>
      </w:r>
      <w:bookmarkStart w:id="146" w:name="EB8c6891da72364e93a7598f4884fbe954"/>
      <w:r/>
      <w:bookmarkEnd w:id="146"/>
      <w:r>
        <w:rPr>
          <w:rStyle w:val="934"/>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41"/>
        <w:pageBreakBefore/>
        <w:spacing w:line="360" w:lineRule="auto"/>
        <w:rPr>
          <w:rFonts w:hint="eastAsia" w:ascii="宋体" w:hAnsi="宋体" w:eastAsia="宋体"/>
          <w:color w:val="auto"/>
          <w:highlight w:val="none"/>
        </w:rPr>
      </w:pPr>
      <w:r/>
      <w:bookmarkStart w:id="147" w:name="_Toc35266027"/>
      <w:r/>
      <w:bookmarkStart w:id="148" w:name="_Toc12745"/>
      <w:r/>
      <w:bookmarkStart w:id="149" w:name="_Toc38368127"/>
      <w:r/>
      <w:bookmarkStart w:id="150" w:name="_Toc3449"/>
      <w:r/>
      <w:bookmarkStart w:id="151" w:name="_Toc31775"/>
      <w:r/>
      <w:bookmarkStart w:id="152" w:name="_Toc54615245"/>
      <w:r/>
      <w:bookmarkStart w:id="153" w:name="_Toc22460"/>
      <w:r>
        <w:rPr>
          <w:rFonts w:hint="eastAsia" w:ascii="宋体" w:hAnsi="宋体" w:eastAsia="宋体"/>
          <w:color w:val="auto"/>
          <w:highlight w:val="none"/>
        </w:rPr>
        <w:t xml:space="preserve">第三章 合同条款及格式</w:t>
      </w:r>
      <w:bookmarkEnd w:id="147"/>
      <w:r/>
      <w:bookmarkEnd w:id="148"/>
      <w:r/>
      <w:bookmarkEnd w:id="149"/>
      <w:r/>
      <w:bookmarkEnd w:id="150"/>
      <w:r/>
      <w:bookmarkEnd w:id="151"/>
      <w:r/>
      <w:bookmarkEnd w:id="152"/>
      <w:r/>
      <w:bookmarkEnd w:id="153"/>
      <w:r/>
      <w:r/>
    </w:p>
    <w:p>
      <w:pPr>
        <w:pStyle w:val="954"/>
        <w:ind w:firstLine="480"/>
        <w:spacing w:line="440" w:lineRule="exact"/>
        <w:rPr>
          <w:rStyle w:val="934"/>
          <w:rFonts w:hAnsi="宋体" w:eastAsia="Times New Roman"/>
          <w:color w:val="auto"/>
          <w:sz w:val="24"/>
          <w:highlight w:val="none"/>
        </w:rPr>
      </w:pPr>
      <w:r>
        <w:rPr>
          <w:rStyle w:val="934"/>
          <w:rFonts w:hAnsi="宋体" w:eastAsia="Times New Roman"/>
          <w:color w:val="auto"/>
          <w:sz w:val="24"/>
          <w:highlight w:val="none"/>
        </w:rPr>
        <w:t xml:space="preserve">以下为中标</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成交</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后签定本项目合同的通用条款，中标</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成交</w:t>
      </w:r>
      <w:r>
        <w:rPr>
          <w:rStyle w:val="934"/>
          <w:rFonts w:hint="eastAsia" w:ascii="宋体" w:hAnsi="宋体"/>
          <w:color w:val="auto"/>
          <w:sz w:val="24"/>
          <w:highlight w:val="none"/>
        </w:rPr>
        <w:t xml:space="preserve">)</w:t>
      </w:r>
      <w:r>
        <w:rPr>
          <w:rStyle w:val="934"/>
          <w:rFonts w:hAnsi="宋体" w:eastAsia="Times New Roman"/>
          <w:color w:val="auto"/>
          <w:sz w:val="24"/>
          <w:highlight w:val="none"/>
        </w:rPr>
        <w:t xml:space="preserve">供应商不得提出实质性的修改。</w:t>
      </w:r>
      <w:r/>
    </w:p>
    <w:p>
      <w:pPr>
        <w:pStyle w:val="954"/>
        <w:jc w:val="center"/>
        <w:rPr>
          <w:rStyle w:val="934"/>
          <w:rFonts w:hint="eastAsia"/>
          <w:b/>
          <w:color w:val="auto"/>
          <w:sz w:val="32"/>
          <w:highlight w:val="none"/>
        </w:rPr>
      </w:pPr>
      <w:r>
        <w:rPr>
          <w:rStyle w:val="934"/>
          <w:rFonts w:hint="eastAsia"/>
          <w:b/>
          <w:color w:val="auto"/>
          <w:sz w:val="32"/>
          <w:highlight w:val="none"/>
        </w:rPr>
        <w:t xml:space="preserve">张家港市政府采购合同</w:t>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项目名称：</w:t>
      </w:r>
      <w:bookmarkStart w:id="154" w:name="biaoduanname_1"/>
      <w:r>
        <w:rPr>
          <w:rStyle w:val="934"/>
          <w:rFonts w:hint="eastAsia" w:ascii="宋体" w:hAnsi="宋体"/>
          <w:color w:val="auto"/>
          <w:sz w:val="24"/>
          <w:highlight w:val="none"/>
        </w:rPr>
        <w:t xml:space="preserve">                   </w:t>
      </w:r>
      <w:bookmarkEnd w:id="154"/>
      <w:r>
        <w:rPr>
          <w:rStyle w:val="934"/>
          <w:rFonts w:hint="eastAsia" w:ascii="宋体" w:hAnsi="宋体"/>
          <w:color w:val="auto"/>
          <w:sz w:val="24"/>
          <w:highlight w:val="none"/>
        </w:rPr>
        <w:t xml:space="preserve">         </w:t>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项目编号：</w:t>
      </w:r>
      <w:bookmarkStart w:id="155" w:name="projectno"/>
      <w:r>
        <w:rPr>
          <w:rStyle w:val="934"/>
          <w:rFonts w:hint="eastAsia" w:ascii="宋体" w:hAnsi="宋体"/>
          <w:color w:val="auto"/>
          <w:sz w:val="24"/>
          <w:highlight w:val="none"/>
        </w:rPr>
        <w:t xml:space="preserve">                  </w:t>
      </w:r>
      <w:bookmarkEnd w:id="155"/>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甲方：（买方）</w:t>
      </w:r>
      <w:r>
        <w:rPr>
          <w:rStyle w:val="934"/>
          <w:rFonts w:hint="eastAsia" w:ascii="宋体" w:hAnsi="宋体"/>
          <w:color w:val="auto"/>
          <w:sz w:val="24"/>
          <w:highlight w:val="none"/>
          <w:u w:val="single"/>
        </w:rPr>
        <w:t xml:space="preserve"> </w:t>
      </w:r>
      <w:bookmarkStart w:id="156" w:name="jianshedanwei_1"/>
      <w:r>
        <w:rPr>
          <w:rStyle w:val="934"/>
          <w:rFonts w:hint="eastAsia" w:ascii="宋体" w:hAnsi="宋体"/>
          <w:color w:val="auto"/>
          <w:sz w:val="24"/>
          <w:highlight w:val="none"/>
          <w:u w:val="single"/>
        </w:rPr>
        <w:t xml:space="preserve">                  </w:t>
      </w:r>
      <w:bookmarkEnd w:id="156"/>
      <w:r>
        <w:rPr>
          <w:rStyle w:val="934"/>
          <w:rFonts w:hint="eastAsia" w:ascii="宋体" w:hAnsi="宋体"/>
          <w:color w:val="auto"/>
          <w:sz w:val="24"/>
          <w:highlight w:val="none"/>
          <w:u w:val="single"/>
        </w:rPr>
        <w:t xml:space="preserve"> </w:t>
      </w:r>
      <w:r/>
    </w:p>
    <w:p>
      <w:pPr>
        <w:pStyle w:val="954"/>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乙方：（卖方）</w:t>
      </w:r>
      <w:r>
        <w:rPr>
          <w:rStyle w:val="934"/>
          <w:rFonts w:hint="eastAsia" w:ascii="宋体" w:hAnsi="宋体"/>
          <w:color w:val="auto"/>
          <w:sz w:val="24"/>
          <w:highlight w:val="none"/>
          <w:u w:val="single"/>
        </w:rPr>
        <w:t xml:space="preserve"> </w:t>
      </w:r>
      <w:bookmarkStart w:id="157" w:name="zhongbiaodanweiname_1"/>
      <w:r>
        <w:rPr>
          <w:rStyle w:val="934"/>
          <w:rFonts w:hint="eastAsia" w:ascii="宋体" w:hAnsi="宋体"/>
          <w:color w:val="auto"/>
          <w:sz w:val="24"/>
          <w:highlight w:val="none"/>
          <w:u w:val="single"/>
        </w:rPr>
        <w:t xml:space="preserve">                    </w:t>
      </w:r>
      <w:bookmarkEnd w:id="157"/>
      <w:r>
        <w:rPr>
          <w:rStyle w:val="934"/>
          <w:rFonts w:hint="eastAsia" w:ascii="宋体" w:hAnsi="宋体"/>
          <w:color w:val="auto"/>
          <w:sz w:val="24"/>
          <w:highlight w:val="none"/>
          <w:u w:val="single"/>
        </w:rPr>
        <w:t xml:space="preserve"> </w:t>
      </w:r>
      <w:r/>
    </w:p>
    <w:p>
      <w:pPr>
        <w:pStyle w:val="954"/>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47"/>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itemname"/>
            <w:r>
              <w:rPr>
                <w:rFonts w:hint="eastAsia" w:ascii="宋体" w:hAnsi="宋体"/>
                <w:color w:val="auto"/>
                <w:sz w:val="24"/>
                <w:szCs w:val="24"/>
                <w:highlight w:val="none"/>
              </w:rPr>
              <w:t xml:space="preserve">      </w:t>
            </w:r>
            <w:bookmarkEnd w:id="158"/>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9"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9"/>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54"/>
        <w:ind w:firstLine="480"/>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2.1 本合同金额为（大写）：</w:t>
      </w:r>
      <w:r>
        <w:rPr>
          <w:rStyle w:val="934"/>
          <w:rFonts w:hint="eastAsia" w:ascii="宋体" w:hAnsi="宋体"/>
          <w:color w:val="auto"/>
          <w:sz w:val="24"/>
          <w:highlight w:val="none"/>
          <w:u w:val="single"/>
        </w:rPr>
        <w:t xml:space="preserve"> </w:t>
      </w:r>
      <w:bookmarkStart w:id="160" w:name="zhongbiaopriceup"/>
      <w:r>
        <w:rPr>
          <w:rStyle w:val="934"/>
          <w:rFonts w:hint="eastAsia" w:ascii="宋体" w:hAnsi="宋体"/>
          <w:color w:val="auto"/>
          <w:sz w:val="24"/>
          <w:highlight w:val="none"/>
          <w:u w:val="single"/>
        </w:rPr>
        <w:t xml:space="preserve">             </w:t>
      </w:r>
      <w:bookmarkEnd w:id="160"/>
      <w:r>
        <w:rPr>
          <w:rStyle w:val="934"/>
          <w:rFonts w:hint="eastAsia" w:ascii="宋体" w:hAnsi="宋体"/>
          <w:color w:val="auto"/>
          <w:sz w:val="24"/>
          <w:highlight w:val="none"/>
        </w:rPr>
        <w:t xml:space="preserve">（</w:t>
      </w:r>
      <w:r>
        <w:rPr>
          <w:rStyle w:val="934"/>
          <w:rFonts w:hint="eastAsia" w:ascii="宋体" w:hAnsi="宋体"/>
          <w:color w:val="auto"/>
          <w:sz w:val="24"/>
          <w:highlight w:val="none"/>
          <w:u w:val="single"/>
        </w:rPr>
        <w:t xml:space="preserve"> </w:t>
      </w:r>
      <w:bookmarkStart w:id="161" w:name="zhongbiaopricelow"/>
      <w:r>
        <w:rPr>
          <w:rStyle w:val="934"/>
          <w:rFonts w:hint="eastAsia" w:ascii="宋体" w:hAnsi="宋体"/>
          <w:color w:val="auto"/>
          <w:sz w:val="24"/>
          <w:highlight w:val="none"/>
          <w:u w:val="single"/>
        </w:rPr>
        <w:t xml:space="preserve">           </w:t>
      </w:r>
      <w:bookmarkEnd w:id="161"/>
      <w:r>
        <w:rPr>
          <w:rStyle w:val="934"/>
          <w:rFonts w:hint="eastAsia" w:ascii="宋体" w:hAnsi="宋体"/>
          <w:color w:val="auto"/>
          <w:sz w:val="24"/>
          <w:highlight w:val="none"/>
          <w:u w:val="single"/>
        </w:rPr>
        <w:t xml:space="preserve"> </w:t>
      </w:r>
      <w:r>
        <w:rPr>
          <w:rStyle w:val="934"/>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54"/>
        <w:ind w:left="407"/>
        <w:spacing w:line="440" w:lineRule="exact"/>
        <w:rPr>
          <w:rStyle w:val="934"/>
          <w:rFonts w:hint="eastAsia" w:ascii="宋体" w:hAnsi="宋体"/>
          <w:b/>
          <w:color w:val="auto"/>
          <w:sz w:val="24"/>
          <w:highlight w:val="none"/>
        </w:rPr>
      </w:pPr>
      <w:r>
        <w:rPr>
          <w:rStyle w:val="934"/>
          <w:rFonts w:hint="eastAsia" w:ascii="宋体" w:hAnsi="宋体"/>
          <w:b/>
          <w:color w:val="auto"/>
          <w:sz w:val="24"/>
          <w:highlight w:val="none"/>
        </w:rPr>
        <w:t xml:space="preserve">六、履约保证金</w:t>
      </w:r>
      <w:r/>
    </w:p>
    <w:p>
      <w:pPr>
        <w:pStyle w:val="954"/>
        <w:ind w:firstLine="480"/>
        <w:spacing w:line="440" w:lineRule="exact"/>
        <w:rPr>
          <w:rStyle w:val="934"/>
          <w:rFonts w:hint="eastAsia" w:ascii="宋体" w:hAnsi="宋体"/>
          <w:color w:val="auto"/>
          <w:sz w:val="24"/>
          <w:highlight w:val="none"/>
        </w:rPr>
      </w:pPr>
      <w:r>
        <w:rPr>
          <w:rStyle w:val="934"/>
          <w:rFonts w:hint="eastAsia" w:ascii="宋体" w:hAnsi="宋体"/>
          <w:color w:val="auto"/>
          <w:sz w:val="24"/>
          <w:highlight w:val="none"/>
        </w:rPr>
        <w:t xml:space="preserve">6.1合同签订前，乙方向采购单位交纳人民币</w:t>
      </w:r>
      <w:r>
        <w:rPr>
          <w:rStyle w:val="934"/>
          <w:rFonts w:hint="eastAsia" w:ascii="宋体" w:hAnsi="宋体"/>
          <w:color w:val="auto"/>
          <w:sz w:val="24"/>
          <w:highlight w:val="none"/>
          <w:u w:val="single"/>
        </w:rPr>
        <w:t xml:space="preserve"> </w:t>
      </w:r>
      <w:bookmarkStart w:id="162" w:name="lvbzj"/>
      <w:r>
        <w:rPr>
          <w:rStyle w:val="934"/>
          <w:rFonts w:hint="eastAsia" w:ascii="宋体" w:hAnsi="宋体"/>
          <w:color w:val="auto"/>
          <w:sz w:val="24"/>
          <w:highlight w:val="none"/>
          <w:u w:val="single"/>
        </w:rPr>
        <w:t xml:space="preserve">  </w:t>
      </w:r>
      <w:bookmarkEnd w:id="162"/>
      <w:r>
        <w:rPr>
          <w:rStyle w:val="934"/>
          <w:rFonts w:hint="eastAsia" w:ascii="宋体" w:hAnsi="宋体"/>
          <w:color w:val="auto"/>
          <w:sz w:val="24"/>
          <w:highlight w:val="none"/>
          <w:u w:val="single"/>
        </w:rPr>
        <w:t xml:space="preserve"> </w:t>
      </w:r>
      <w:r>
        <w:rPr>
          <w:rStyle w:val="934"/>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55"/>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55"/>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55"/>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55"/>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55"/>
        <w:spacing w:line="440" w:lineRule="exact"/>
        <w:rPr>
          <w:rFonts w:hint="eastAsia"/>
          <w:b/>
          <w:color w:val="auto"/>
          <w:highlight w:val="none"/>
        </w:rPr>
      </w:pPr>
      <w:r>
        <w:rPr>
          <w:rFonts w:hint="eastAsia"/>
          <w:b/>
          <w:color w:val="auto"/>
          <w:highlight w:val="none"/>
        </w:rPr>
        <w:t xml:space="preserve">七、转包或分包 </w:t>
      </w:r>
      <w:r/>
    </w:p>
    <w:p>
      <w:pPr>
        <w:pStyle w:val="955"/>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55"/>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3" w:name="jiaohuoq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4" w:name="jiaohuofangshi"/>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5" w:name="jiaohuodidian"/>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p>
    <w:p>
      <w:pPr>
        <w:pStyle w:val="955"/>
        <w:spacing w:line="440" w:lineRule="exact"/>
        <w:rPr>
          <w:rFonts w:hint="eastAsia"/>
          <w:b/>
          <w:color w:val="auto"/>
          <w:highlight w:val="none"/>
        </w:rPr>
      </w:pPr>
      <w:r>
        <w:rPr>
          <w:rFonts w:hint="eastAsia"/>
          <w:b/>
          <w:color w:val="auto"/>
          <w:highlight w:val="none"/>
        </w:rPr>
        <w:t xml:space="preserve">九、货款支付 </w:t>
      </w:r>
      <w:r/>
    </w:p>
    <w:p>
      <w:pPr>
        <w:pStyle w:val="955"/>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55"/>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55"/>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55"/>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55"/>
        <w:spacing w:line="440" w:lineRule="exact"/>
        <w:rPr>
          <w:rFonts w:hint="eastAsia"/>
          <w:b/>
          <w:color w:val="auto"/>
          <w:highlight w:val="none"/>
        </w:rPr>
      </w:pPr>
      <w:r>
        <w:rPr>
          <w:rFonts w:hint="eastAsia"/>
          <w:b/>
          <w:color w:val="auto"/>
          <w:highlight w:val="none"/>
        </w:rPr>
        <w:t xml:space="preserve">十、税 </w:t>
      </w:r>
      <w:r/>
    </w:p>
    <w:p>
      <w:pPr>
        <w:pStyle w:val="955"/>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6" w:name="xiangyingdate"/>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7"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7"/>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8" w:name="wanchengyanshou"/>
      <w:r>
        <w:rPr>
          <w:rFonts w:hint="eastAsia" w:ascii="宋体" w:hAnsi="宋体"/>
          <w:b/>
          <w:color w:val="auto"/>
          <w:sz w:val="24"/>
          <w:szCs w:val="24"/>
          <w:highlight w:val="none"/>
          <w:u w:val="single"/>
        </w:rPr>
        <w:t xml:space="preserve">       </w:t>
      </w:r>
      <w:bookmarkEnd w:id="168"/>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55"/>
        <w:spacing w:line="440" w:lineRule="exact"/>
        <w:rPr>
          <w:rFonts w:hint="eastAsia"/>
          <w:color w:val="auto"/>
          <w:highlight w:val="none"/>
        </w:rPr>
      </w:pPr>
      <w:r>
        <w:rPr>
          <w:rFonts w:hint="eastAsia"/>
          <w:color w:val="auto"/>
          <w:highlight w:val="none"/>
        </w:rPr>
      </w:r>
      <w:r/>
    </w:p>
    <w:p>
      <w:pPr>
        <w:pStyle w:val="955"/>
        <w:spacing w:line="440" w:lineRule="exact"/>
        <w:rPr>
          <w:rFonts w:hint="eastAsia"/>
          <w:color w:val="auto"/>
          <w:highlight w:val="none"/>
        </w:rPr>
      </w:pPr>
      <w:r>
        <w:rPr>
          <w:rFonts w:hint="eastAsia"/>
          <w:color w:val="auto"/>
          <w:highlight w:val="none"/>
        </w:rPr>
        <w:t xml:space="preserve">甲方： </w:t>
      </w:r>
      <w:r/>
    </w:p>
    <w:p>
      <w:pPr>
        <w:pStyle w:val="955"/>
        <w:spacing w:line="440" w:lineRule="exact"/>
        <w:rPr>
          <w:rFonts w:hint="eastAsia"/>
          <w:color w:val="auto"/>
          <w:highlight w:val="none"/>
        </w:rPr>
      </w:pPr>
      <w:r>
        <w:rPr>
          <w:rFonts w:hint="eastAsia"/>
          <w:color w:val="auto"/>
          <w:highlight w:val="none"/>
        </w:rPr>
        <w:t xml:space="preserve">地址： </w:t>
      </w:r>
      <w:r/>
    </w:p>
    <w:p>
      <w:pPr>
        <w:pStyle w:val="955"/>
        <w:spacing w:line="440" w:lineRule="exact"/>
        <w:rPr>
          <w:rFonts w:hint="eastAsia"/>
          <w:color w:val="auto"/>
          <w:highlight w:val="none"/>
        </w:rPr>
      </w:pPr>
      <w:r>
        <w:rPr>
          <w:rFonts w:hint="eastAsia"/>
          <w:color w:val="auto"/>
          <w:highlight w:val="none"/>
        </w:rPr>
        <w:t xml:space="preserve">法定代表人或授权代表： </w:t>
      </w:r>
      <w:r/>
    </w:p>
    <w:p>
      <w:pPr>
        <w:pStyle w:val="955"/>
        <w:spacing w:line="440" w:lineRule="exact"/>
        <w:rPr>
          <w:rFonts w:hint="eastAsia"/>
          <w:color w:val="auto"/>
          <w:highlight w:val="none"/>
        </w:rPr>
      </w:pPr>
      <w:r>
        <w:rPr>
          <w:rFonts w:hint="eastAsia"/>
          <w:color w:val="auto"/>
          <w:highlight w:val="none"/>
        </w:rPr>
        <w:t xml:space="preserve">联系电话： </w:t>
      </w:r>
      <w:r/>
    </w:p>
    <w:p>
      <w:pPr>
        <w:pStyle w:val="955"/>
        <w:spacing w:line="440" w:lineRule="exact"/>
        <w:rPr>
          <w:rFonts w:hint="eastAsia"/>
          <w:color w:val="auto"/>
          <w:highlight w:val="none"/>
        </w:rPr>
      </w:pPr>
      <w:r>
        <w:rPr>
          <w:rFonts w:hint="eastAsia"/>
          <w:color w:val="auto"/>
          <w:highlight w:val="none"/>
        </w:rPr>
        <w:t xml:space="preserve">签订日期： 年 月 日 </w:t>
      </w:r>
      <w:r/>
    </w:p>
    <w:p>
      <w:pPr>
        <w:pStyle w:val="955"/>
        <w:spacing w:line="440" w:lineRule="exact"/>
        <w:rPr>
          <w:color w:val="auto"/>
          <w:highlight w:val="none"/>
        </w:rPr>
      </w:pPr>
      <w:r>
        <w:rPr>
          <w:color w:val="auto"/>
          <w:highlight w:val="none"/>
        </w:rPr>
      </w:r>
      <w:r/>
    </w:p>
    <w:p>
      <w:pPr>
        <w:pStyle w:val="955"/>
        <w:spacing w:line="440" w:lineRule="exact"/>
        <w:rPr>
          <w:rFonts w:hint="eastAsia"/>
          <w:color w:val="auto"/>
          <w:highlight w:val="none"/>
        </w:rPr>
      </w:pPr>
      <w:r>
        <w:rPr>
          <w:rFonts w:hint="eastAsia"/>
          <w:color w:val="auto"/>
          <w:highlight w:val="none"/>
        </w:rPr>
        <w:t xml:space="preserve">乙方： </w:t>
      </w:r>
      <w:r/>
    </w:p>
    <w:p>
      <w:pPr>
        <w:pStyle w:val="955"/>
        <w:spacing w:line="440" w:lineRule="exact"/>
        <w:rPr>
          <w:rFonts w:hint="eastAsia"/>
          <w:color w:val="auto"/>
          <w:highlight w:val="none"/>
        </w:rPr>
      </w:pPr>
      <w:r>
        <w:rPr>
          <w:rFonts w:hint="eastAsia"/>
          <w:color w:val="auto"/>
          <w:highlight w:val="none"/>
        </w:rPr>
        <w:t xml:space="preserve">地址： </w:t>
      </w:r>
      <w:r/>
    </w:p>
    <w:p>
      <w:pPr>
        <w:pStyle w:val="955"/>
        <w:spacing w:line="440" w:lineRule="exact"/>
        <w:rPr>
          <w:rFonts w:hint="eastAsia"/>
          <w:color w:val="auto"/>
          <w:highlight w:val="none"/>
        </w:rPr>
      </w:pPr>
      <w:r>
        <w:rPr>
          <w:rFonts w:hint="eastAsia"/>
          <w:color w:val="auto"/>
          <w:highlight w:val="none"/>
        </w:rPr>
        <w:t xml:space="preserve">法定代表人（或负责人）或授权代表： </w:t>
      </w:r>
      <w:r/>
    </w:p>
    <w:p>
      <w:pPr>
        <w:pStyle w:val="955"/>
        <w:spacing w:line="440" w:lineRule="exact"/>
        <w:rPr>
          <w:rFonts w:hint="eastAsia"/>
          <w:color w:val="auto"/>
          <w:highlight w:val="none"/>
        </w:rPr>
      </w:pPr>
      <w:r>
        <w:rPr>
          <w:rFonts w:hint="eastAsia"/>
          <w:color w:val="auto"/>
          <w:highlight w:val="none"/>
        </w:rPr>
        <w:t xml:space="preserve">联系电话： </w:t>
      </w:r>
      <w:r/>
    </w:p>
    <w:p>
      <w:pPr>
        <w:pStyle w:val="955"/>
        <w:spacing w:line="440" w:lineRule="exact"/>
        <w:rPr>
          <w:rFonts w:hint="eastAsia"/>
          <w:color w:val="auto"/>
          <w:highlight w:val="none"/>
        </w:rPr>
      </w:pPr>
      <w:r>
        <w:rPr>
          <w:rFonts w:hint="eastAsia"/>
          <w:color w:val="auto"/>
          <w:highlight w:val="none"/>
        </w:rPr>
        <w:t xml:space="preserve">签订日期： 年 月 日</w:t>
      </w:r>
      <w:r/>
    </w:p>
    <w:p>
      <w:pPr>
        <w:pStyle w:val="941"/>
        <w:pageBreakBefore/>
        <w:spacing w:line="360" w:lineRule="auto"/>
        <w:rPr>
          <w:rFonts w:hint="eastAsia" w:ascii="宋体" w:hAnsi="宋体" w:eastAsia="宋体"/>
          <w:color w:val="auto"/>
          <w:highlight w:val="none"/>
        </w:rPr>
      </w:pPr>
      <w:r/>
      <w:bookmarkStart w:id="169" w:name="_Toc31993"/>
      <w:r>
        <w:rPr>
          <w:rFonts w:hint="eastAsia" w:ascii="宋体" w:hAnsi="宋体" w:eastAsia="宋体"/>
          <w:color w:val="auto"/>
          <w:highlight w:val="none"/>
        </w:rPr>
        <w:t xml:space="preserve">第四章 项目需求</w:t>
      </w:r>
      <w:bookmarkEnd w:id="169"/>
      <w:r/>
      <w:bookmarkStart w:id="170" w:name="_Toc274321794"/>
      <w:r/>
      <w:bookmarkEnd w:id="170"/>
      <w:r/>
      <w:bookmarkStart w:id="171" w:name="_Toc319429198"/>
      <w:r/>
      <w:bookmarkEnd w:id="171"/>
      <w:r/>
      <w:r/>
    </w:p>
    <w:p>
      <w:pPr>
        <w:spacing w:line="360" w:lineRule="auto"/>
        <w:rPr>
          <w:rFonts w:hint="eastAsia" w:ascii="宋体" w:hAnsi="宋体"/>
          <w:b/>
          <w:color w:val="auto"/>
          <w:sz w:val="28"/>
          <w:szCs w:val="28"/>
          <w:highlight w:val="none"/>
        </w:rPr>
        <w:outlineLvl w:val="1"/>
      </w:pPr>
      <w:r>
        <w:rPr>
          <w:rFonts w:hint="eastAsia" w:ascii="宋体" w:hAnsi="宋体"/>
          <w:b/>
          <w:color w:val="auto"/>
          <w:sz w:val="28"/>
          <w:szCs w:val="28"/>
          <w:highlight w:val="none"/>
        </w:rPr>
        <w:t xml:space="preserve">一、清单</w:t>
      </w:r>
      <w:r/>
    </w:p>
    <w:p>
      <w:pPr>
        <w:ind w:firstLine="500"/>
        <w:spacing w:line="440" w:lineRule="exact"/>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1.清单</w:t>
      </w:r>
      <w:r/>
    </w:p>
    <w:tbl>
      <w:tblPr>
        <w:tblStyle w:val="747"/>
        <w:tblW w:w="4589" w:type="pct"/>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398"/>
        <w:gridCol w:w="770"/>
        <w:gridCol w:w="698"/>
        <w:gridCol w:w="2338"/>
        <w:gridCol w:w="1234"/>
        <w:gridCol w:w="1141"/>
      </w:tblGrid>
      <w:tr>
        <w:trPr>
          <w:trHeight w:val="655"/>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标的属性</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57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存储大数据底座</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572"/>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一体化管理平台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统一维护服务</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服务类</w:t>
            </w:r>
            <w:r/>
          </w:p>
        </w:tc>
      </w:tr>
    </w:tbl>
    <w:p>
      <w:pPr>
        <w:pStyle w:val="958"/>
        <w:ind w:firstLine="500"/>
        <w:spacing w:line="440" w:lineRule="exact"/>
        <w:rPr>
          <w:rStyle w:val="934"/>
          <w:rFonts w:ascii="宋体" w:hAnsi="宋体"/>
          <w:color w:val="auto"/>
          <w:spacing w:val="7"/>
          <w:sz w:val="24"/>
          <w:szCs w:val="24"/>
          <w:highlight w:val="none"/>
        </w:rPr>
      </w:pPr>
      <w:r>
        <w:rPr>
          <w:rFonts w:ascii="宋体" w:hAnsi="宋体"/>
          <w:color w:val="auto"/>
          <w:spacing w:val="7"/>
          <w:sz w:val="24"/>
          <w:szCs w:val="24"/>
          <w:highlight w:val="none"/>
        </w:rPr>
      </w:r>
      <w:r/>
    </w:p>
    <w:p>
      <w:pPr>
        <w:pStyle w:val="958"/>
        <w:ind w:firstLine="500"/>
        <w:spacing w:line="440" w:lineRule="exact"/>
        <w:rPr>
          <w:rStyle w:val="934"/>
          <w:rFonts w:ascii="宋体" w:hAnsi="宋体"/>
          <w:color w:val="auto"/>
          <w:spacing w:val="7"/>
          <w:sz w:val="24"/>
          <w:szCs w:val="24"/>
          <w:highlight w:val="none"/>
        </w:rPr>
      </w:pPr>
      <w:r>
        <w:rPr>
          <w:rFonts w:ascii="宋体" w:hAnsi="宋体"/>
          <w:color w:val="auto"/>
          <w:spacing w:val="7"/>
          <w:sz w:val="24"/>
          <w:szCs w:val="24"/>
          <w:highlight w:val="none"/>
        </w:rPr>
      </w:r>
      <w:r/>
    </w:p>
    <w:p>
      <w:pPr>
        <w:pStyle w:val="958"/>
        <w:ind w:firstLine="500"/>
        <w:spacing w:line="440" w:lineRule="exact"/>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6"/>
        <w:numPr>
          <w:ilvl w:val="0"/>
          <w:numId w:val="2"/>
        </w:numPr>
        <w:ind w:firstLine="499"/>
        <w:spacing w:before="120" w:line="440" w:lineRule="exact"/>
        <w:rPr>
          <w:rStyle w:val="934"/>
          <w:rFonts w:ascii="宋体" w:hAnsi="宋体"/>
          <w:b/>
          <w:bCs/>
          <w:color w:val="auto"/>
          <w:spacing w:val="7"/>
          <w:sz w:val="24"/>
          <w:szCs w:val="24"/>
          <w:highlight w:val="none"/>
        </w:rPr>
      </w:pPr>
      <w:r>
        <w:rPr>
          <w:rStyle w:val="934"/>
          <w:rFonts w:ascii="宋体" w:hAnsi="宋体"/>
          <w:b/>
          <w:bCs/>
          <w:color w:val="auto"/>
          <w:spacing w:val="7"/>
          <w:sz w:val="24"/>
          <w:szCs w:val="24"/>
          <w:highlight w:val="none"/>
        </w:rPr>
        <w:t xml:space="preserve">核心产品清单</w:t>
      </w:r>
      <w:r/>
    </w:p>
    <w:tbl>
      <w:tblPr>
        <w:tblStyle w:val="747"/>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服务器</w:t>
            </w:r>
            <w:r/>
          </w:p>
        </w:tc>
      </w:tr>
    </w:tbl>
    <w:p>
      <w:pPr>
        <w:pStyle w:val="962"/>
        <w:jc w:val="center"/>
        <w:rPr>
          <w:rStyle w:val="746"/>
          <w:rFonts w:ascii="宋体" w:hAnsi="宋体" w:eastAsia="宋体" w:cs="宋体"/>
          <w:color w:val="auto"/>
          <w:sz w:val="24"/>
          <w:highlight w:val="none"/>
        </w:rPr>
      </w:pPr>
      <w:r>
        <w:rPr>
          <w:rFonts w:ascii="宋体" w:hAnsi="宋体" w:eastAsia="宋体" w:cs="宋体"/>
          <w:color w:val="auto"/>
          <w:sz w:val="24"/>
          <w:highlight w:val="none"/>
        </w:rPr>
      </w:r>
      <w:r/>
    </w:p>
    <w:p>
      <w:pPr>
        <w:pStyle w:val="956"/>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59"/>
        <w:ind w:firstLine="500"/>
        <w:spacing w:line="440" w:lineRule="exact"/>
        <w:rPr>
          <w:rStyle w:val="934"/>
          <w:rFonts w:hint="eastAsia"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56"/>
        <w:ind w:firstLine="499"/>
        <w:spacing w:before="120" w:line="440" w:lineRule="exact"/>
        <w:rPr>
          <w:rStyle w:val="934"/>
          <w:rFonts w:ascii="宋体" w:hAnsi="宋体"/>
          <w:b/>
          <w:bCs/>
          <w:color w:val="auto"/>
          <w:spacing w:val="7"/>
          <w:sz w:val="24"/>
          <w:szCs w:val="24"/>
          <w:highlight w:val="none"/>
        </w:rPr>
      </w:pPr>
      <w:r>
        <w:rPr>
          <w:rStyle w:val="934"/>
          <w:rFonts w:ascii="宋体" w:hAnsi="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62"/>
        <w:ind w:firstLine="508"/>
        <w:keepLines w:val="0"/>
        <w:keepNext w:val="0"/>
        <w:pageBreakBefore w:val="0"/>
        <w:widowControl/>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节能产品政府采购品目清单：</w:t>
      </w:r>
      <w:r/>
    </w:p>
    <w:p>
      <w:pPr>
        <w:pStyle w:val="959"/>
        <w:ind w:firstLine="508"/>
        <w:keepLines w:val="0"/>
        <w:keepNext w:val="0"/>
        <w:pageBreakBefore w:val="0"/>
        <w:spacing w:line="440" w:lineRule="exact"/>
        <w:widowControl/>
        <w:rPr>
          <w:rStyle w:val="934"/>
          <w:rFonts w:ascii="宋体" w:hAnsi="宋体"/>
          <w:color w:val="auto"/>
          <w:spacing w:val="7"/>
          <w:sz w:val="24"/>
          <w:szCs w:val="24"/>
          <w:highlight w:val="none"/>
        </w:rPr>
      </w:pPr>
      <w:r>
        <w:rPr>
          <w:rStyle w:val="934"/>
          <w:rFonts w:hint="eastAsia" w:ascii="宋体" w:hAnsi="宋体"/>
          <w:color w:val="auto"/>
          <w:spacing w:val="7"/>
          <w:sz w:val="24"/>
          <w:szCs w:val="24"/>
          <w:highlight w:val="none"/>
        </w:rPr>
        <w:t xml:space="preserve">无</w:t>
      </w:r>
      <w:r/>
    </w:p>
    <w:p>
      <w:pPr>
        <w:pStyle w:val="959"/>
        <w:ind w:firstLine="500"/>
        <w:spacing w:line="440" w:lineRule="exact"/>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 </w:t>
      </w:r>
      <w:r>
        <w:rPr>
          <w:rStyle w:val="934"/>
          <w:rFonts w:hint="eastAsia" w:ascii="宋体" w:hAnsi="宋体"/>
          <w:color w:val="auto"/>
          <w:spacing w:val="7"/>
          <w:sz w:val="24"/>
          <w:szCs w:val="24"/>
          <w:highlight w:val="none"/>
          <w:lang w:val="zh-CN"/>
        </w:rPr>
        <w:t xml:space="preserve">注：以</w:t>
      </w:r>
      <w:r>
        <w:rPr>
          <w:rStyle w:val="934"/>
          <w:rFonts w:hint="eastAsia" w:ascii="宋体" w:hAnsi="宋体"/>
          <w:color w:val="auto"/>
          <w:spacing w:val="7"/>
          <w:sz w:val="24"/>
          <w:szCs w:val="24"/>
          <w:highlight w:val="none"/>
        </w:rPr>
        <w:t xml:space="preserve">★</w:t>
      </w:r>
      <w:r>
        <w:rPr>
          <w:rStyle w:val="934"/>
          <w:rFonts w:hint="eastAsia" w:ascii="宋体" w:hAnsi="宋体"/>
          <w:color w:val="auto"/>
          <w:spacing w:val="7"/>
          <w:sz w:val="24"/>
          <w:szCs w:val="24"/>
          <w:highlight w:val="none"/>
          <w:lang w:val="zh-CN"/>
        </w:rPr>
        <w:t xml:space="preserve">标注的为政府强制采购产品</w:t>
      </w:r>
      <w:r/>
    </w:p>
    <w:p>
      <w:pPr>
        <w:pStyle w:val="959"/>
        <w:ind w:firstLine="500"/>
        <w:spacing w:line="440" w:lineRule="exact"/>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凡“节能产品政府采购品目清单”中以★标注的为政府强制采购产品</w:t>
      </w:r>
      <w:r/>
    </w:p>
    <w:p>
      <w:pPr>
        <w:pStyle w:val="962"/>
        <w:ind w:firstLine="508"/>
        <w:rPr>
          <w:rStyle w:val="934"/>
          <w:rFonts w:ascii="宋体" w:hAnsi="宋体"/>
          <w:color w:val="auto"/>
          <w:spacing w:val="7"/>
          <w:sz w:val="24"/>
          <w:szCs w:val="24"/>
          <w:highlight w:val="none"/>
        </w:rPr>
      </w:pPr>
      <w:r>
        <w:rPr>
          <w:rStyle w:val="934"/>
          <w:rFonts w:ascii="宋体" w:hAnsi="宋体"/>
          <w:color w:val="auto"/>
          <w:spacing w:val="7"/>
          <w:sz w:val="24"/>
          <w:szCs w:val="24"/>
          <w:highlight w:val="none"/>
        </w:rPr>
        <w:t xml:space="preserve">环境标志产品政府采购品目清单:</w:t>
      </w:r>
      <w:r/>
    </w:p>
    <w:tbl>
      <w:tblPr>
        <w:tblStyle w:val="747"/>
        <w:tblpPr w:horzAnchor="page" w:tblpX="2411" w:vertAnchor="text" w:tblpY="577"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 xml:space="preserve">名称</w:t>
            </w:r>
            <w:r/>
          </w:p>
        </w:tc>
      </w:tr>
      <w:tr>
        <w:trPr/>
        <w:tc>
          <w:tcPr>
            <w:tcMar>
              <w:top w:w="100" w:type="dxa"/>
              <w:bottom w:w="100" w:type="dxa"/>
            </w:tcMar>
            <w:tcW w:w="739" w:type="pct"/>
            <w:vAlign w:val="center"/>
            <w:textDirection w:val="lrTb"/>
            <w:noWrap w:val="false"/>
          </w:tcPr>
          <w:p>
            <w:pPr>
              <w:jc w:val="center"/>
              <w:widowControl/>
              <w:rPr>
                <w:rFonts w:hint="eastAsia" w:ascii="宋体" w:hAnsi="宋体" w:eastAsia="宋体" w:cs="Times New Roman"/>
                <w:color w:val="auto"/>
                <w:sz w:val="24"/>
                <w:szCs w:val="24"/>
                <w:lang w:val="en-US" w:eastAsia="zh-CN" w:bidi="ar-SA"/>
              </w:rPr>
            </w:pPr>
            <w:r>
              <w:rPr>
                <w:rFonts w:hint="default" w:ascii="宋体" w:hAnsi="宋体" w:eastAsia="宋体" w:cs="宋体"/>
                <w:color w:val="auto"/>
                <w:sz w:val="24"/>
                <w:szCs w:val="24"/>
                <w:lang w:val="en-US" w:eastAsia="zh-CN" w:bidi="ar-SA"/>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color w:val="auto"/>
                <w:sz w:val="22"/>
                <w:szCs w:val="24"/>
                <w:lang w:val="en-US" w:eastAsia="zh-CN" w:bidi="ar"/>
              </w:rPr>
            </w:pPr>
            <w:r>
              <w:rPr>
                <w:rFonts w:hint="eastAsia" w:ascii="宋体" w:hAnsi="宋体" w:cs="宋体"/>
                <w:sz w:val="24"/>
                <w:szCs w:val="24"/>
              </w:rPr>
              <w:t xml:space="preserve">服务器</w:t>
            </w:r>
            <w:r/>
          </w:p>
        </w:tc>
      </w:tr>
    </w:tbl>
    <w:p>
      <w:pPr>
        <w:pStyle w:val="961"/>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r>
      <w:r/>
    </w:p>
    <w:p>
      <w:pPr>
        <w:pStyle w:val="961"/>
        <w:ind w:firstLine="500"/>
        <w:spacing w:line="440" w:lineRule="exact"/>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t xml:space="preserve">4、绿色采购其他政策： </w:t>
      </w:r>
      <w:r/>
    </w:p>
    <w:p>
      <w:pPr>
        <w:pStyle w:val="961"/>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61"/>
        <w:ind w:firstLine="500"/>
        <w:spacing w:line="440" w:lineRule="exact"/>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8"/>
        <w:ind w:firstLine="500"/>
        <w:spacing w:line="440" w:lineRule="exact"/>
        <w:rPr>
          <w:rStyle w:val="934"/>
          <w:rFonts w:hint="eastAsia" w:ascii="宋体" w:hAnsi="宋体"/>
          <w:b/>
          <w:bCs/>
          <w:spacing w:val="7"/>
          <w:sz w:val="24"/>
          <w:szCs w:val="24"/>
          <w:highlight w:val="none"/>
        </w:rPr>
      </w:pPr>
      <w:r/>
      <w:bookmarkStart w:id="172" w:name="OLE_LINK22"/>
      <w:r>
        <w:rPr>
          <w:rStyle w:val="934"/>
          <w:rFonts w:hint="eastAsia" w:ascii="宋体" w:hAnsi="宋体"/>
          <w:b/>
          <w:bCs/>
          <w:spacing w:val="7"/>
          <w:sz w:val="24"/>
          <w:szCs w:val="24"/>
          <w:highlight w:val="none"/>
          <w:lang w:val="en-US"/>
        </w:rPr>
        <w:t xml:space="preserve">5、</w:t>
      </w:r>
      <w:r>
        <w:rPr>
          <w:rStyle w:val="934"/>
          <w:rFonts w:hint="eastAsia" w:ascii="宋体" w:hAnsi="宋体"/>
          <w:b/>
          <w:bCs/>
          <w:spacing w:val="7"/>
          <w:sz w:val="24"/>
          <w:szCs w:val="24"/>
          <w:highlight w:val="none"/>
        </w:rPr>
        <w:t xml:space="preserve">政府采购中实施本国产品标准及相关政策</w:t>
      </w:r>
      <w:r/>
    </w:p>
    <w:p>
      <w:pPr>
        <w:pStyle w:val="958"/>
        <w:ind w:firstLine="500"/>
        <w:spacing w:line="440" w:lineRule="exact"/>
        <w:rPr>
          <w:rStyle w:val="934"/>
          <w:rFonts w:hint="eastAsia" w:ascii="宋体" w:hAnsi="宋体"/>
          <w:spacing w:val="7"/>
          <w:sz w:val="24"/>
          <w:szCs w:val="24"/>
          <w:highlight w:val="none"/>
        </w:rPr>
      </w:pPr>
      <w:r>
        <w:rPr>
          <w:rStyle w:val="934"/>
          <w:rFonts w:hint="eastAsia" w:ascii="宋体" w:hAnsi="宋体"/>
          <w:spacing w:val="7"/>
          <w:sz w:val="24"/>
          <w:szCs w:val="24"/>
          <w:highlight w:val="none"/>
        </w:rPr>
        <w:t xml:space="preserve">（</w:t>
      </w:r>
      <w:r>
        <w:rPr>
          <w:rStyle w:val="934"/>
          <w:rFonts w:hint="eastAsia" w:ascii="宋体" w:hAnsi="宋体"/>
          <w:spacing w:val="7"/>
          <w:sz w:val="24"/>
          <w:szCs w:val="24"/>
          <w:highlight w:val="none"/>
          <w:lang w:val="en-US"/>
        </w:rPr>
        <w:t xml:space="preserve">1</w:t>
      </w:r>
      <w:r>
        <w:rPr>
          <w:rStyle w:val="934"/>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8"/>
        <w:ind w:firstLine="500"/>
        <w:spacing w:line="440" w:lineRule="exact"/>
        <w:rPr>
          <w:rFonts w:hint="eastAsia" w:ascii="宋体" w:hAnsi="宋体" w:eastAsia="宋体"/>
          <w:color w:val="auto"/>
          <w:spacing w:val="7"/>
          <w:szCs w:val="22"/>
          <w:highlight w:val="none"/>
          <w:lang w:eastAsia="zh-CN"/>
        </w:rPr>
      </w:pPr>
      <w:r>
        <w:rPr>
          <w:rStyle w:val="934"/>
          <w:rFonts w:hint="eastAsia" w:ascii="宋体" w:hAnsi="宋体"/>
          <w:spacing w:val="7"/>
          <w:sz w:val="24"/>
          <w:szCs w:val="24"/>
          <w:highlight w:val="none"/>
        </w:rPr>
        <w:t xml:space="preserve">（</w:t>
      </w:r>
      <w:r>
        <w:rPr>
          <w:rStyle w:val="934"/>
          <w:rFonts w:hint="eastAsia" w:ascii="宋体" w:hAnsi="宋体"/>
          <w:spacing w:val="7"/>
          <w:sz w:val="24"/>
          <w:szCs w:val="24"/>
          <w:highlight w:val="none"/>
          <w:lang w:val="en-US"/>
        </w:rPr>
        <w:t xml:space="preserve">2</w:t>
      </w:r>
      <w:r>
        <w:rPr>
          <w:rStyle w:val="934"/>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934"/>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 xml:space="preserve">注意事项：</w:t>
      </w:r>
      <w:r/>
    </w:p>
    <w:p>
      <w:pPr>
        <w:ind w:firstLine="510"/>
        <w:spacing w:line="440" w:lineRule="exact"/>
        <w:rPr>
          <w:rFonts w:hint="eastAsia"/>
          <w:b w:val="0"/>
          <w:bCs w:val="0"/>
          <w:spacing w:val="7"/>
          <w:sz w:val="24"/>
          <w:szCs w:val="24"/>
          <w:highlight w:val="none"/>
          <w:lang w:eastAsia="zh-CN"/>
        </w:rPr>
      </w:pPr>
      <w:r>
        <w:rPr>
          <w:rFonts w:hint="eastAsia"/>
          <w:b w:val="0"/>
          <w:bCs w:val="0"/>
          <w:spacing w:val="7"/>
          <w:sz w:val="24"/>
          <w:szCs w:val="24"/>
          <w:highlight w:val="none"/>
          <w:lang w:eastAsia="zh-CN"/>
        </w:rPr>
        <w:t xml:space="preserve">在项目实施过程中，涉及到与第三方系统对接的，由采购单位负责与第三方系统主管单位、第三方系统供应商沟通协调，确保第三方系统接口免费开放。</w:t>
      </w:r>
      <w:bookmarkEnd w:id="172"/>
      <w:r/>
      <w:r/>
    </w:p>
    <w:p>
      <w:pPr>
        <w:spacing w:line="360" w:lineRule="auto"/>
        <w:rPr>
          <w:rFonts w:hint="eastAsia" w:ascii="宋体" w:hAnsi="宋体" w:eastAsia="宋体"/>
          <w:b/>
          <w:color w:val="auto"/>
          <w:sz w:val="28"/>
          <w:szCs w:val="28"/>
          <w:highlight w:val="none"/>
        </w:rPr>
        <w:outlineLvl w:val="1"/>
      </w:pPr>
      <w:r>
        <w:rPr>
          <w:rFonts w:hint="eastAsia" w:ascii="宋体" w:hAnsi="宋体" w:eastAsia="宋体"/>
          <w:b/>
          <w:color w:val="auto"/>
          <w:sz w:val="28"/>
          <w:szCs w:val="28"/>
          <w:highlight w:val="none"/>
        </w:rPr>
      </w:r>
      <w:r/>
    </w:p>
    <w:p>
      <w:pPr>
        <w:ind w:firstLine="56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b/>
          <w:color w:val="auto"/>
          <w:sz w:val="28"/>
          <w:szCs w:val="28"/>
          <w:highlight w:val="none"/>
          <w:lang w:eastAsia="zh-CN"/>
        </w:rPr>
        <w:t xml:space="preserve">二、</w:t>
      </w:r>
      <w:r>
        <w:rPr>
          <w:rFonts w:hint="eastAsia" w:ascii="宋体" w:hAnsi="宋体" w:eastAsia="宋体"/>
          <w:b/>
          <w:color w:val="auto"/>
          <w:sz w:val="28"/>
          <w:szCs w:val="28"/>
          <w:highlight w:val="none"/>
        </w:rPr>
        <w:t xml:space="preserve">技术要求</w:t>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（一）项目概述</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1）院HIS系统经过近年来的建设，有效的支撑了医院业务的稳定运行，随着医疗技术的不断发展，数据量增长较快，并且对计算的要求越来越高，存放数据的存储资源面临容量与性能的巨大挑战，且现使用服务器超过5年，按相关规定应降级使用。为满足临床诊断、教学科研及患者服务的需求，必须对HIS业务进行架构调整，以确保数据的安全、可靠、高效存取。</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（2）数据治理涉及大量清洗、标准化任务，现有服务器 CPU/内存资源在高峰期无法满足要求，从而容易导致数据延迟。并且现有的物理服务器老旧，虚拟化率低，没法满足数据治理要求。</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（3）存储容量不足：影像数据和日志数据增长迅速，存储容量严重不足，对于医院现有存储的性能也无法满足数据治理的要求。对于结构化与非结构化数据混存，容易挤压业务数据库资源。</w:t>
      </w:r>
      <w:r/>
    </w:p>
    <w:p>
      <w:pPr>
        <w:ind w:firstLine="482"/>
        <w:spacing w:line="520" w:lineRule="exact"/>
        <w:tabs>
          <w:tab w:val="left" w:pos="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（4）现医院内部存在 HIS、LIS、PACS、EMR 等多个异构系统，数据标准不一，为打破数据孤岛，需要强大的硬件算力进行 ETL（抽取、转换、加载）处理。</w:t>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（二）技术需求</w:t>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1、服务器技术参数：</w:t>
      </w:r>
      <w:r/>
    </w:p>
    <w:tbl>
      <w:tblPr>
        <w:tblStyle w:val="747"/>
        <w:tblW w:w="46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65"/>
        <w:gridCol w:w="1308"/>
        <w:gridCol w:w="5281"/>
      </w:tblGrid>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序号</w:t>
            </w:r>
            <w:r/>
          </w:p>
        </w:tc>
        <w:tc>
          <w:tcPr>
            <w:shd w:val="clear" w:color="auto" w:fill="auto"/>
            <w:tcW w:w="650"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一级指标</w:t>
            </w:r>
            <w:r/>
          </w:p>
        </w:tc>
        <w:tc>
          <w:tcPr>
            <w:shd w:val="clear" w:color="auto" w:fill="auto"/>
            <w:tcW w:w="797"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二级指标</w:t>
            </w:r>
            <w:r/>
          </w:p>
        </w:tc>
        <w:tc>
          <w:tcPr>
            <w:shd w:val="clear" w:color="auto" w:fill="auto"/>
            <w:tcW w:w="3210" w:type="pct"/>
            <w:vAlign w:val="center"/>
            <w:textDirection w:val="lrTb"/>
            <w:noWrap w:val="false"/>
          </w:tcPr>
          <w:p>
            <w:pPr>
              <w:ind w:left="0"/>
              <w:jc w:val="center"/>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sz w:val="24"/>
                <w:szCs w:val="24"/>
              </w:rPr>
              <w:t xml:space="preserve">指标要求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CPU信息</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rPr>
              <w:t xml:space="preserve">配置</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个国产处理器，单颗CPU核心数≥48核，主频≥2.6GHz</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lang w:val="en-US" w:eastAsia="zh-CN"/>
              </w:rPr>
              <w:t xml:space="preserve">≥96线程，末级缓存大于等于48MB，热设计功耗≤138W，内存最高速率2933MT/S，通道数≥8，位宽≥512bit</w:t>
            </w:r>
            <w:r/>
          </w:p>
        </w:tc>
      </w:tr>
      <w:tr>
        <w:trPr>
          <w:jc w:val="center"/>
          <w:trHeight w:val="132"/>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主板支持的CPU和内存情况</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主板需支持</w:t>
            </w:r>
            <w:r>
              <w:rPr>
                <w:rFonts w:hint="eastAsia" w:ascii="宋体" w:hAnsi="宋体" w:eastAsia="宋体" w:cs="Times New Roman"/>
                <w:i/>
                <w:iCs/>
                <w:color w:val="auto"/>
                <w:sz w:val="24"/>
                <w:szCs w:val="24"/>
                <w:u w:val="single"/>
                <w:lang w:val="en-US" w:eastAsia="zh-CN"/>
              </w:rPr>
              <w:t xml:space="preserve">2</w:t>
            </w:r>
            <w:r>
              <w:rPr>
                <w:rFonts w:hint="eastAsia" w:ascii="宋体" w:hAnsi="宋体" w:eastAsia="宋体" w:cs="Times New Roman"/>
                <w:i/>
                <w:iCs/>
                <w:color w:val="auto"/>
                <w:sz w:val="24"/>
                <w:szCs w:val="24"/>
                <w:u w:val="single"/>
              </w:rPr>
              <w:t xml:space="preserve">个国产处理器处理器，单颗CPU核心数≥48核，主频≥2.6GHz；</w:t>
            </w:r>
            <w:r>
              <w:rPr>
                <w:rFonts w:hint="eastAsia" w:ascii="宋体" w:hAnsi="宋体" w:eastAsia="宋体" w:cs="Times New Roman"/>
                <w:i/>
                <w:iCs/>
                <w:color w:val="auto"/>
                <w:sz w:val="24"/>
                <w:szCs w:val="24"/>
                <w:u w:val="single"/>
              </w:rPr>
              <w:br/>
            </w:r>
            <w:r>
              <w:rPr>
                <w:rFonts w:hint="eastAsia" w:ascii="宋体" w:hAnsi="宋体" w:eastAsia="宋体" w:cs="Times New Roman"/>
                <w:i/>
                <w:iCs/>
                <w:color w:val="auto"/>
                <w:sz w:val="24"/>
                <w:szCs w:val="24"/>
                <w:u w:val="single"/>
              </w:rPr>
              <w:t xml:space="preserve">内存配置≥</w:t>
            </w:r>
            <w:r>
              <w:rPr>
                <w:rFonts w:hint="eastAsia" w:ascii="宋体" w:hAnsi="宋体" w:cs="Times New Roman"/>
                <w:i/>
                <w:iCs/>
                <w:color w:val="auto"/>
                <w:sz w:val="24"/>
                <w:szCs w:val="24"/>
                <w:u w:val="single"/>
                <w:lang w:val="en-US" w:eastAsia="zh-CN"/>
              </w:rPr>
              <w:t xml:space="preserve">32</w:t>
            </w:r>
            <w:r>
              <w:rPr>
                <w:rFonts w:hint="eastAsia" w:ascii="宋体" w:hAnsi="宋体" w:eastAsia="宋体" w:cs="Times New Roman"/>
                <w:i/>
                <w:iCs/>
                <w:color w:val="auto"/>
                <w:sz w:val="24"/>
                <w:szCs w:val="24"/>
                <w:u w:val="single"/>
                <w:lang w:val="en-US" w:eastAsia="zh-CN"/>
              </w:rPr>
              <w:t xml:space="preserve">条</w:t>
            </w:r>
            <w:r>
              <w:rPr>
                <w:rFonts w:hint="eastAsia" w:ascii="宋体" w:hAnsi="宋体" w:cs="Times New Roman"/>
                <w:i/>
                <w:iCs/>
                <w:color w:val="auto"/>
                <w:sz w:val="24"/>
                <w:szCs w:val="24"/>
                <w:u w:val="single"/>
                <w:lang w:val="en-US" w:eastAsia="zh-CN"/>
              </w:rPr>
              <w:t xml:space="preserve">32</w:t>
            </w:r>
            <w:r>
              <w:rPr>
                <w:rFonts w:hint="eastAsia" w:ascii="宋体" w:hAnsi="宋体" w:eastAsia="宋体" w:cs="Times New Roman"/>
                <w:i/>
                <w:iCs/>
                <w:color w:val="auto"/>
                <w:sz w:val="24"/>
                <w:szCs w:val="24"/>
                <w:u w:val="single"/>
                <w:lang w:val="en-US" w:eastAsia="zh-CN"/>
              </w:rPr>
              <w:t xml:space="preserve">GB</w:t>
            </w:r>
            <w:r>
              <w:rPr>
                <w:rFonts w:hint="eastAsia" w:ascii="宋体" w:hAnsi="宋体" w:eastAsia="宋体" w:cs="Times New Roman"/>
                <w:i/>
                <w:iCs/>
                <w:color w:val="auto"/>
                <w:sz w:val="24"/>
                <w:szCs w:val="24"/>
                <w:u w:val="single"/>
                <w:lang w:eastAsia="zh-CN"/>
              </w:rPr>
              <w:t xml:space="preserve">，</w:t>
            </w:r>
            <w:r>
              <w:rPr>
                <w:rFonts w:hint="eastAsia" w:ascii="宋体" w:hAnsi="宋体" w:eastAsia="宋体" w:cs="Times New Roman"/>
                <w:i/>
                <w:iCs/>
                <w:color w:val="auto"/>
                <w:sz w:val="24"/>
                <w:szCs w:val="24"/>
                <w:u w:val="single"/>
                <w:lang w:val="en-US" w:eastAsia="zh-CN"/>
              </w:rPr>
              <w:t xml:space="preserve">≥2666频率</w:t>
            </w:r>
            <w:r>
              <w:rPr>
                <w:rFonts w:hint="eastAsia" w:ascii="宋体" w:hAnsi="宋体" w:eastAsia="宋体" w:cs="Times New Roman"/>
                <w:i/>
                <w:iCs/>
                <w:color w:val="auto"/>
                <w:sz w:val="24"/>
                <w:szCs w:val="24"/>
                <w:u w:val="single"/>
              </w:rPr>
              <w:t xml:space="preserve"> ；整体内存最大可支持2TB内存容量；</w:t>
            </w:r>
            <w:r/>
          </w:p>
        </w:tc>
      </w:tr>
      <w:tr>
        <w:trPr>
          <w:jc w:val="center"/>
          <w:trHeight w:val="52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主板内存槽数量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≥32个</w:t>
            </w:r>
            <w:r/>
          </w:p>
        </w:tc>
      </w:tr>
      <w:tr>
        <w:trPr>
          <w:jc w:val="center"/>
          <w:trHeight w:val="52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主板存储接口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支持 SATA、SAS存储接口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PCIe 插槽接口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符合PCIe4.0或以上的高速串行计算机扩展总线标准，PCIe的接口速率与位宽需保证向下兼容</w:t>
            </w:r>
            <w:r/>
          </w:p>
        </w:tc>
      </w:tr>
      <w:tr>
        <w:trPr>
          <w:jc w:val="center"/>
          <w:trHeight w:val="903"/>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主板PCIe插槽数量及规格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iCs/>
                <w:sz w:val="24"/>
                <w:szCs w:val="24"/>
                <w:highlight w:val="none"/>
                <w:u w:val="single"/>
              </w:rPr>
              <w:t xml:space="preserve">本次采购至少为</w:t>
            </w:r>
            <w:r>
              <w:rPr>
                <w:rFonts w:hint="eastAsia" w:ascii="宋体" w:hAnsi="宋体" w:eastAsia="宋体" w:cs="Times New Roman"/>
                <w:i/>
                <w:iCs/>
                <w:sz w:val="24"/>
                <w:szCs w:val="24"/>
                <w:highlight w:val="none"/>
                <w:u w:val="single"/>
                <w:lang w:val="en-US" w:eastAsia="zh-CN"/>
              </w:rPr>
              <w:t xml:space="preserve">2</w:t>
            </w:r>
            <w:r>
              <w:rPr>
                <w:rFonts w:hint="eastAsia" w:ascii="宋体" w:hAnsi="宋体" w:eastAsia="宋体" w:cs="Times New Roman"/>
                <w:i/>
                <w:iCs/>
                <w:sz w:val="24"/>
                <w:szCs w:val="24"/>
                <w:highlight w:val="none"/>
                <w:u w:val="single"/>
              </w:rPr>
              <w:t xml:space="preserve">路服务器</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服务器高度大于44.45mmPCIe插槽或接口</w:t>
            </w:r>
            <w:r>
              <w:rPr>
                <w:rFonts w:hint="eastAsia" w:ascii="宋体" w:hAnsi="宋体" w:eastAsia="宋体" w:cs="Times New Roman"/>
                <w:i/>
                <w:iCs/>
                <w:sz w:val="24"/>
                <w:szCs w:val="24"/>
                <w:highlight w:val="none"/>
                <w:u w:val="single"/>
                <w:lang w:val="en-US" w:eastAsia="zh-CN"/>
              </w:rPr>
              <w:t xml:space="preserve">≥8</w:t>
            </w:r>
            <w:r>
              <w:rPr>
                <w:rFonts w:hint="eastAsia" w:ascii="宋体" w:hAnsi="宋体" w:eastAsia="宋体" w:cs="Times New Roman"/>
                <w:i/>
                <w:iCs/>
                <w:sz w:val="24"/>
                <w:szCs w:val="24"/>
                <w:highlight w:val="none"/>
                <w:u w:val="single"/>
              </w:rPr>
              <w:t xml:space="preserve">个</w:t>
            </w:r>
            <w:r/>
          </w:p>
        </w:tc>
      </w:tr>
      <w:tr>
        <w:trPr>
          <w:jc w:val="center"/>
          <w:trHeight w:val="263"/>
        </w:trPr>
        <w:tc>
          <w:tcPr>
            <w:shd w:val="clear" w:color="auto" w:fill="auto"/>
            <w:tcW w:w="342" w:type="pct"/>
            <w:vAlign w:val="center"/>
            <w:vMerge w:val="restart"/>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特殊孔位及接口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a)服务器机箱内主板可根据用户实际使用需求支持安装多功能导入装置板卡，机箱内需预留多功能导入装置板卡安装位置，容量不小于55mm×45mm×15mm（长×宽×高，单位毫米）；</w:t>
            </w:r>
            <w:r/>
          </w:p>
        </w:tc>
      </w:tr>
      <w:tr>
        <w:trPr>
          <w:jc w:val="center"/>
          <w:trHeight w:val="201"/>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b)服务器主板可根据用户实际使用需求预留满足 USB2.0 或 USB3.0 数据传输规范的接口，工作电压 5V，采用 USB2.0 时，最大过电流应不小于 0.5A，采用 USB3.0 时，最大过电流应不小于 1A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板载网络接口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板载网络接口不少于4个1GE 网口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主板OCP插槽数量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支持OCP2.0及以上插槽的数量不少于1个</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≥16</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≥DDR4</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内存通道</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支持≥4个内存接口通道，支持 2DPC，印制电路板上应具备插槽的序号标识</w:t>
            </w:r>
            <w:r/>
          </w:p>
        </w:tc>
      </w:tr>
      <w:tr>
        <w:trPr>
          <w:jc w:val="center"/>
          <w:trHeight w:val="537"/>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rPr>
              <w:t xml:space="preserve">支持固态硬盘</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rPr>
              <w:t xml:space="preserve">≥</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w:t>
            </w:r>
            <w:r>
              <w:rPr>
                <w:rFonts w:hint="eastAsia" w:ascii="宋体" w:hAnsi="宋体" w:eastAsia="宋体"/>
                <w:i/>
                <w:iCs/>
                <w:color w:val="000000"/>
                <w:sz w:val="24"/>
                <w:szCs w:val="24"/>
                <w:u w:val="single"/>
              </w:rPr>
              <w:t xml:space="preserve">960G</w:t>
            </w:r>
            <w:r>
              <w:rPr>
                <w:rFonts w:hint="eastAsia" w:ascii="宋体" w:hAnsi="宋体" w:eastAsia="宋体" w:cs="Times New Roman"/>
                <w:i/>
                <w:iCs/>
                <w:sz w:val="24"/>
                <w:szCs w:val="24"/>
                <w:u w:val="single"/>
              </w:rPr>
              <w:t xml:space="preserve">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硬磁盘实配容量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配备固态硬盘，≥</w:t>
            </w:r>
            <w:r>
              <w:rPr>
                <w:rFonts w:hint="eastAsia" w:ascii="宋体" w:hAnsi="宋体" w:eastAsia="宋体" w:cs="Times New Roman"/>
                <w:i/>
                <w:iCs/>
                <w:sz w:val="24"/>
                <w:szCs w:val="24"/>
                <w:u w:val="single"/>
                <w:lang w:val="en-US" w:eastAsia="zh-CN"/>
              </w:rPr>
              <w:t xml:space="preserve">2</w:t>
            </w:r>
            <w:r>
              <w:rPr>
                <w:rFonts w:hint="eastAsia" w:ascii="宋体" w:hAnsi="宋体" w:eastAsia="宋体" w:cs="Times New Roman"/>
                <w:i/>
                <w:iCs/>
                <w:sz w:val="24"/>
                <w:szCs w:val="24"/>
                <w:u w:val="single"/>
              </w:rPr>
              <w:t xml:space="preserve">*</w:t>
            </w:r>
            <w:r>
              <w:rPr>
                <w:rFonts w:hint="eastAsia" w:ascii="宋体" w:hAnsi="宋体" w:eastAsia="宋体"/>
                <w:i/>
                <w:iCs/>
                <w:color w:val="000000"/>
                <w:sz w:val="24"/>
                <w:szCs w:val="24"/>
                <w:u w:val="single"/>
              </w:rPr>
              <w:t xml:space="preserve">960G</w:t>
            </w:r>
            <w:r>
              <w:rPr>
                <w:rFonts w:hint="eastAsia" w:ascii="宋体" w:hAnsi="宋体" w:eastAsia="宋体" w:cs="Times New Roman"/>
                <w:i/>
                <w:iCs/>
                <w:sz w:val="24"/>
                <w:szCs w:val="24"/>
                <w:u w:val="single"/>
              </w:rPr>
              <w:t xml:space="preserve">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支持SATA</w:t>
            </w:r>
            <w:r>
              <w:rPr>
                <w:rFonts w:hint="eastAsia" w:ascii="宋体" w:hAnsi="宋体" w:eastAsia="宋体" w:cs="Times New Roman"/>
                <w:i/>
                <w:iCs/>
                <w:sz w:val="24"/>
                <w:szCs w:val="24"/>
                <w:u w:val="single"/>
                <w:lang w:val="en-US" w:eastAsia="zh-CN"/>
              </w:rPr>
              <w:t xml:space="preserve"> 3.0及以上</w:t>
            </w:r>
            <w:r>
              <w:rPr>
                <w:rFonts w:hint="eastAsia" w:ascii="宋体" w:hAnsi="宋体" w:eastAsia="宋体" w:cs="Times New Roman"/>
                <w:i/>
                <w:iCs/>
                <w:sz w:val="24"/>
                <w:szCs w:val="24"/>
                <w:u w:val="single"/>
              </w:rPr>
              <w:t xml:space="preserve">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硬盘实配数量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配备固态硬盘，≥</w:t>
            </w:r>
            <w:r>
              <w:rPr>
                <w:rFonts w:hint="eastAsia" w:ascii="宋体" w:hAnsi="宋体" w:eastAsia="宋体" w:cs="Times New Roman"/>
                <w:i/>
                <w:iCs/>
                <w:sz w:val="24"/>
                <w:szCs w:val="24"/>
                <w:highlight w:val="none"/>
                <w:u w:val="single"/>
                <w:lang w:val="en-US" w:eastAsia="zh-CN"/>
              </w:rPr>
              <w:t xml:space="preserve">2</w:t>
            </w:r>
            <w:r>
              <w:rPr>
                <w:rFonts w:hint="eastAsia" w:ascii="宋体" w:hAnsi="宋体" w:eastAsia="宋体" w:cs="Times New Roman"/>
                <w:i/>
                <w:iCs/>
                <w:sz w:val="24"/>
                <w:szCs w:val="24"/>
                <w:highlight w:val="none"/>
                <w:u w:val="single"/>
              </w:rPr>
              <w:t xml:space="preserve">*960GB SATA SSD</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硬盘插槽数量及规格</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支持的硬盘数量应不少于8 </w:t>
            </w:r>
            <w:r>
              <w:rPr>
                <w:rFonts w:hint="eastAsia" w:ascii="宋体" w:hAnsi="宋体" w:eastAsia="宋体" w:cs="Times New Roman"/>
                <w:i/>
                <w:iCs/>
                <w:sz w:val="24"/>
                <w:szCs w:val="24"/>
                <w:highlight w:val="none"/>
                <w:u w:val="single"/>
                <w:lang w:val="en-US" w:eastAsia="zh-CN"/>
              </w:rPr>
              <w:t xml:space="preserve">块2.5英寸磁盘（存储型服务器可支持硬盘数量不少于24块）</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硬盘其他参数要求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服务器支持固态盘，固态盘符合 SJ/T 11654 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color w:val="auto"/>
                <w:sz w:val="24"/>
                <w:szCs w:val="24"/>
                <w:u w:val="none"/>
                <w:lang w:val="en-US" w:eastAsia="zh-CN"/>
              </w:rPr>
            </w:pPr>
            <w:r>
              <w:rPr>
                <w:rFonts w:hint="eastAsia" w:ascii="宋体" w:hAnsi="宋体" w:eastAsia="宋体" w:cs="Times New Roman"/>
                <w:i w:val="0"/>
                <w:iCs w:val="0"/>
                <w:color w:val="auto"/>
                <w:sz w:val="24"/>
                <w:szCs w:val="24"/>
                <w:u w:val="none"/>
              </w:rPr>
              <w:t xml:space="preserve">1</w:t>
            </w:r>
            <w:r>
              <w:rPr>
                <w:rFonts w:hint="eastAsia" w:ascii="宋体" w:hAnsi="宋体" w:eastAsia="宋体" w:cs="Times New Roman"/>
                <w:i w:val="0"/>
                <w:iCs w:val="0"/>
                <w:color w:val="auto"/>
                <w:sz w:val="24"/>
                <w:szCs w:val="24"/>
                <w:u w:val="none"/>
                <w:lang w:val="en-US" w:eastAsia="zh-CN"/>
              </w:rPr>
              <w:t xml:space="preserve">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RAID卡规格（若支持RAID卡）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卡支持的 SAS接口数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yellow"/>
                <w:u w:val="none"/>
              </w:rPr>
            </w:pPr>
            <w:r>
              <w:rPr>
                <w:rFonts w:hint="eastAsia" w:ascii="宋体" w:hAnsi="宋体" w:eastAsia="宋体" w:cs="宋体"/>
                <w:color w:val="auto"/>
                <w:sz w:val="24"/>
                <w:szCs w:val="24"/>
                <w:lang w:eastAsia="zh-CN"/>
              </w:rPr>
              <w:t xml:space="preserve">◆</w:t>
            </w:r>
            <w:r>
              <w:rPr>
                <w:rFonts w:hint="eastAsia" w:ascii="宋体" w:hAnsi="宋体" w:eastAsia="宋体" w:cs="Times New Roman"/>
                <w:i w:val="0"/>
                <w:iCs w:val="0"/>
                <w:color w:val="auto"/>
                <w:sz w:val="24"/>
                <w:szCs w:val="24"/>
                <w:u w:val="none"/>
              </w:rPr>
              <w:t xml:space="preserve">≥16</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20</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SAS直通卡规格（若支持SAS直通卡）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SAS直通卡SAS接口数量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rPr>
              <w:t xml:space="preserve">≥</w:t>
            </w:r>
            <w:r>
              <w:rPr>
                <w:rFonts w:hint="eastAsia" w:ascii="宋体" w:hAnsi="宋体" w:eastAsia="宋体" w:cs="Times New Roman"/>
                <w:i w:val="0"/>
                <w:iCs w:val="0"/>
                <w:sz w:val="24"/>
                <w:szCs w:val="24"/>
                <w:u w:val="none"/>
                <w:lang w:val="en-US" w:eastAsia="zh-CN"/>
              </w:rPr>
              <w:t xml:space="preserve">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HBA卡规格（若支持HBA直通卡）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HBA卡端口数量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w:t>
            </w:r>
            <w:r>
              <w:rPr>
                <w:rFonts w:hint="eastAsia" w:ascii="宋体" w:hAnsi="宋体" w:eastAsia="宋体" w:cs="Times New Roman"/>
                <w:i w:val="0"/>
                <w:iCs w:val="0"/>
                <w:sz w:val="24"/>
                <w:szCs w:val="24"/>
                <w:u w:val="none"/>
                <w:lang w:val="en-US" w:eastAsia="zh-CN"/>
              </w:rPr>
              <w:t xml:space="preserve">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网口速率和数量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配备光网口数量不少于4个（含多模光模块），且网口速率不少于</w:t>
            </w:r>
            <w:r>
              <w:rPr>
                <w:rFonts w:hint="eastAsia" w:ascii="宋体" w:hAnsi="宋体" w:eastAsia="宋体" w:cs="Times New Roman"/>
                <w:i/>
                <w:iCs/>
                <w:sz w:val="24"/>
                <w:szCs w:val="24"/>
                <w:highlight w:val="none"/>
                <w:u w:val="single"/>
                <w:lang w:val="en-US" w:eastAsia="zh-CN"/>
              </w:rPr>
              <w:t xml:space="preserve">25</w:t>
            </w:r>
            <w:r>
              <w:rPr>
                <w:rFonts w:hint="eastAsia" w:ascii="宋体" w:hAnsi="宋体" w:eastAsia="宋体" w:cs="Times New Roman"/>
                <w:i/>
                <w:iCs/>
                <w:sz w:val="24"/>
                <w:szCs w:val="24"/>
                <w:highlight w:val="none"/>
                <w:u w:val="single"/>
              </w:rPr>
              <w:t xml:space="preserve">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存储型服务器网口速率和数量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配备32G FC光口不少于2个，含多模光模块</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rPr>
              <w:t xml:space="preserve">且网口速率不少于</w:t>
            </w:r>
            <w:r>
              <w:rPr>
                <w:rFonts w:hint="eastAsia" w:ascii="宋体" w:hAnsi="宋体" w:eastAsia="宋体" w:cs="Times New Roman"/>
                <w:i/>
                <w:iCs/>
                <w:sz w:val="24"/>
                <w:szCs w:val="24"/>
                <w:highlight w:val="none"/>
                <w:u w:val="single"/>
                <w:lang w:val="en-US" w:eastAsia="zh-CN"/>
              </w:rPr>
              <w:t xml:space="preserve">25</w:t>
            </w:r>
            <w:r>
              <w:rPr>
                <w:rFonts w:hint="eastAsia" w:ascii="宋体" w:hAnsi="宋体" w:eastAsia="宋体" w:cs="Times New Roman"/>
                <w:i/>
                <w:iCs/>
                <w:sz w:val="24"/>
                <w:szCs w:val="24"/>
                <w:highlight w:val="none"/>
                <w:u w:val="single"/>
              </w:rPr>
              <w:t xml:space="preserve">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独立网卡网口数量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配备独立网卡，独立网卡网口数量≥4</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支持SFP</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板载网卡接口类型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 RJ45</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7</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外部接口规格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显示接口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显示接口类型为VGA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2</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USB 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配备不少于4个USB3.0接口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29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特殊接口及孔位</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前面板预留一个专用USB母座接口孔位</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其他接口</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a) 串口数量不少于1 个，并可实现</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GB/T 6107 或GB/T 26803.2 的相关</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功能；</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b) 服务器主机前面板可根据用户</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实际使用需求预留1 个专用USB 母</w:t>
            </w:r>
            <w:r/>
          </w:p>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座接口孔位</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31</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i w:val="0"/>
                <w:iCs w:val="0"/>
                <w:color w:val="000000"/>
                <w:sz w:val="24"/>
                <w:szCs w:val="24"/>
                <w:u w:val="none"/>
              </w:rPr>
              <w:t xml:space="preserve">电源</w:t>
            </w:r>
            <w:r>
              <w:rPr>
                <w:rFonts w:hint="eastAsia" w:ascii="宋体" w:hAnsi="宋体" w:eastAsia="宋体" w:cs="Times New Roman"/>
                <w:i w:val="0"/>
                <w:iCs w:val="0"/>
                <w:sz w:val="24"/>
                <w:szCs w:val="24"/>
                <w:u w:val="none"/>
              </w:rPr>
              <w:t xml:space="preserve">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电源冗余模式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整机电源模块按 1+1 冗余或 N+1 冗余配置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电源模块数量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w:t>
            </w:r>
            <w:r/>
          </w:p>
        </w:tc>
      </w:tr>
      <w:tr>
        <w:trPr>
          <w:jc w:val="center"/>
          <w:trHeight w:val="552"/>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电源模块功率应有一定冗余，满足处理器满载时的需求。</w:t>
            </w:r>
            <w:r>
              <w:rPr>
                <w:rFonts w:hint="eastAsia" w:ascii="宋体" w:hAnsi="宋体" w:eastAsia="宋体" w:cs="Times New Roman"/>
                <w:i/>
                <w:iCs/>
                <w:sz w:val="24"/>
                <w:szCs w:val="24"/>
                <w:highlight w:val="none"/>
                <w:u w:val="single"/>
              </w:rPr>
              <w:t xml:space="preserve">单电源功率≥2000W</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电源指示灯</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配备电源指示灯，指示待机、工作异常等状态</w:t>
            </w:r>
            <w:r/>
          </w:p>
        </w:tc>
      </w:tr>
      <w:tr>
        <w:trPr>
          <w:jc w:val="center"/>
          <w:trHeight w:val="90"/>
        </w:trPr>
        <w:tc>
          <w:tcPr>
            <w:shd w:val="clear" w:color="auto" w:fill="auto"/>
            <w:tcW w:w="342" w:type="pct"/>
            <w:vAlign w:val="center"/>
            <w:vMerge w:val="restart"/>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整机规格</w:t>
            </w:r>
            <w:r/>
          </w:p>
        </w:tc>
        <w:tc>
          <w:tcPr>
            <w:shd w:val="clear" w:color="auto" w:fill="auto"/>
            <w:tcW w:w="797"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外观和结构</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a)服务器的零部件应紧固无松动，可插拔部件应可靠连接，开关、按钮和其它控制部件应灵活可靠，布局应方便使用；</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b) 产品表面不应有明显的凹痕、划伤、裂缝、变形和污染等。表面涂层均匀，不应起泡、龟裂、脱落和磨损，金属零部件无锈蚀及其它机械损伤；</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 产品表面说明功能的文字、符号和标志应清晰、端正且牢固；</w:t>
            </w:r>
            <w:r/>
          </w:p>
        </w:tc>
      </w:tr>
      <w:tr>
        <w:trPr>
          <w:jc w:val="center"/>
          <w:trHeight w:val="604"/>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iCs/>
                <w:sz w:val="24"/>
                <w:szCs w:val="24"/>
                <w:highlight w:val="none"/>
                <w:u w:val="single"/>
              </w:rPr>
              <w:t xml:space="preserve">d) </w:t>
            </w:r>
            <w:r>
              <w:rPr>
                <w:rFonts w:hint="default" w:ascii="宋体" w:hAnsi="宋体" w:eastAsia="宋体" w:cs="Times New Roman"/>
                <w:i/>
                <w:iCs/>
                <w:sz w:val="24"/>
                <w:szCs w:val="24"/>
                <w:highlight w:val="none"/>
                <w:u w:val="single"/>
                <w:lang w:val="en-US" w:eastAsia="zh-CN"/>
              </w:rPr>
              <w:t xml:space="preserve">在服务器的显著位置提供运</w:t>
            </w:r>
            <w:r>
              <w:rPr>
                <w:rFonts w:hint="eastAsia" w:ascii="宋体" w:hAnsi="宋体" w:eastAsia="宋体" w:cs="Times New Roman"/>
                <w:i/>
                <w:iCs/>
                <w:sz w:val="24"/>
                <w:szCs w:val="24"/>
                <w:highlight w:val="none"/>
                <w:u w:val="single"/>
                <w:lang w:val="en-US" w:eastAsia="zh-CN"/>
              </w:rPr>
              <w:t xml:space="preserve">行状态的指示功能，并在随机文件中明确具体含义</w:t>
            </w:r>
            <w:r/>
          </w:p>
        </w:tc>
      </w:tr>
      <w:tr>
        <w:trPr>
          <w:jc w:val="center"/>
          <w:trHeight w:val="90"/>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e) 机架、机箱的尺寸应符合通用机柜的安装要求，插入总线插座的电路板接口外形尺寸应符合有关总线标准的规定，将机箱固定在机柜上，机箱底面最大下垂变形不得干涉相邻机体；</w:t>
            </w:r>
            <w:r/>
          </w:p>
        </w:tc>
      </w:tr>
      <w:tr>
        <w:trPr>
          <w:jc w:val="center"/>
          <w:trHeight w:val="213"/>
        </w:trPr>
        <w:tc>
          <w:tcPr>
            <w:shd w:val="clear" w:color="auto" w:fill="auto"/>
            <w:tcW w:w="342" w:type="pct"/>
            <w:vAlign w:val="center"/>
            <w:vMerge w:val="continue"/>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default" w:ascii="宋体" w:hAnsi="宋体" w:eastAsia="宋体" w:cs="Times New Roman"/>
                <w:i w:val="0"/>
                <w:iCs w:val="0"/>
                <w:sz w:val="24"/>
                <w:szCs w:val="24"/>
                <w:highlight w:val="none"/>
                <w:u w:val="none"/>
              </w:rPr>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f) CPU</w:t>
            </w:r>
            <w:r>
              <w:rPr>
                <w:rFonts w:hint="eastAsia" w:ascii="宋体" w:hAnsi="宋体" w:eastAsia="宋体" w:cs="Times New Roman"/>
                <w:i/>
                <w:iCs/>
                <w:sz w:val="24"/>
                <w:szCs w:val="24"/>
                <w:highlight w:val="none"/>
                <w:u w:val="single"/>
                <w:lang w:val="en-US" w:eastAsia="zh-CN"/>
              </w:rPr>
              <w:t xml:space="preserve"> </w:t>
            </w:r>
            <w:r>
              <w:rPr>
                <w:rFonts w:hint="eastAsia" w:ascii="宋体" w:hAnsi="宋体" w:eastAsia="宋体" w:cs="Times New Roman"/>
                <w:i/>
                <w:iCs/>
                <w:sz w:val="24"/>
                <w:szCs w:val="24"/>
                <w:highlight w:val="none"/>
                <w:u w:val="single"/>
              </w:rPr>
              <w:t xml:space="preserve">2颗，单台服务器机箱2U高度</w:t>
            </w:r>
            <w:r/>
          </w:p>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lang w:val="en-US" w:eastAsia="zh-CN"/>
              </w:rPr>
              <w:t xml:space="preserve">g</w:t>
            </w:r>
            <w:r>
              <w:rPr>
                <w:rFonts w:hint="eastAsia" w:ascii="宋体" w:hAnsi="宋体" w:eastAsia="宋体" w:cs="Times New Roman"/>
                <w:i/>
                <w:iCs/>
                <w:sz w:val="24"/>
                <w:szCs w:val="24"/>
                <w:highlight w:val="none"/>
                <w:u w:val="single"/>
              </w:rPr>
              <w:t xml:space="preserve">) </w:t>
            </w:r>
            <w:r>
              <w:rPr>
                <w:rFonts w:hint="default" w:ascii="宋体" w:hAnsi="宋体" w:eastAsia="宋体" w:cs="Times New Roman"/>
                <w:i/>
                <w:iCs/>
                <w:sz w:val="24"/>
                <w:szCs w:val="24"/>
                <w:highlight w:val="none"/>
                <w:u w:val="single"/>
                <w:lang w:val="en-US" w:eastAsia="zh-CN"/>
              </w:rPr>
              <w:t xml:space="preserve">服务器尺寸具体要求在随机文</w:t>
            </w:r>
            <w:r>
              <w:rPr>
                <w:rFonts w:hint="eastAsia" w:ascii="宋体" w:hAnsi="宋体" w:eastAsia="宋体" w:cs="Times New Roman"/>
                <w:i/>
                <w:iCs/>
                <w:sz w:val="24"/>
                <w:szCs w:val="24"/>
                <w:highlight w:val="none"/>
                <w:u w:val="single"/>
                <w:lang w:val="en-US" w:eastAsia="zh-CN"/>
              </w:rPr>
              <w:t xml:space="preserve">件中明确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尺寸（高</w:t>
            </w:r>
            <w:r>
              <w:rPr>
                <w:rFonts w:hint="eastAsia" w:ascii="宋体" w:hAnsi="宋体" w:eastAsia="宋体" w:cs="Times New Roman"/>
                <w:i w:val="0"/>
                <w:iCs w:val="0"/>
                <w:sz w:val="24"/>
                <w:szCs w:val="24"/>
                <w:u w:val="none"/>
              </w:rPr>
              <w:br/>
            </w:r>
            <w:r>
              <w:rPr>
                <w:rFonts w:hint="eastAsia" w:ascii="宋体" w:hAnsi="宋体" w:eastAsia="宋体" w:cs="Times New Roman"/>
                <w:i w:val="0"/>
                <w:iCs w:val="0"/>
                <w:sz w:val="24"/>
                <w:szCs w:val="24"/>
                <w:u w:val="none"/>
              </w:rPr>
              <w:t xml:space="preserve">×宽×深）</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2U机架式，</w:t>
            </w:r>
            <w:r>
              <w:rPr>
                <w:rFonts w:hint="eastAsia" w:ascii="宋体" w:hAnsi="宋体" w:eastAsia="宋体" w:cs="Times New Roman"/>
                <w:i/>
                <w:iCs/>
                <w:sz w:val="24"/>
                <w:szCs w:val="24"/>
                <w:u w:val="single"/>
                <w:lang w:val="en-US" w:eastAsia="zh-CN"/>
              </w:rPr>
              <w:t xml:space="preserve">尺寸为:</w:t>
            </w:r>
            <w:r>
              <w:rPr>
                <w:rFonts w:hint="eastAsia" w:ascii="宋体" w:hAnsi="宋体" w:eastAsia="宋体" w:cs="Times New Roman"/>
                <w:i/>
                <w:iCs/>
                <w:sz w:val="24"/>
                <w:szCs w:val="24"/>
                <w:u w:val="single"/>
              </w:rPr>
              <w:t xml:space="preserve">86.1 mm × 447 mm × 790 mm</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37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服务器导轨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highlight w:val="none"/>
                <w:u w:val="single"/>
                <w:lang w:val="en-US" w:eastAsia="zh-CN"/>
              </w:rPr>
              <w:t xml:space="preserve">导轨安装适配宽度19英寸，伸缩式安装</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个数与机柜高度单位(U)比</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rPr>
              <w:t xml:space="preserve">2颗，单台服务器机箱2U高度</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rPr>
              <w:t xml:space="preserve">3</w:t>
            </w:r>
            <w:r>
              <w:rPr>
                <w:rFonts w:hint="eastAsia" w:ascii="宋体" w:hAnsi="宋体" w:eastAsia="宋体" w:cs="Times New Roman"/>
                <w:i w:val="0"/>
                <w:iCs w:val="0"/>
                <w:sz w:val="24"/>
                <w:szCs w:val="24"/>
                <w:u w:val="none"/>
                <w:lang w:val="en-US" w:eastAsia="zh-CN"/>
              </w:rPr>
              <w:t xml:space="preserve">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环境适应性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气候环境适应性应符合 GB/T9813.3 的有关规定，工作温度 10～35℃，贮存运输温度-40～55℃；工作相对湿度 35%～80%，贮存运输相对湿度 20％～93%（40℃）；大气压86～106kPa</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default" w:ascii="宋体" w:hAnsi="宋体" w:eastAsia="宋体" w:cs="Times New Roman"/>
                <w:i w:val="0"/>
                <w:iCs w:val="0"/>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特殊机型环境适应度</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highlight w:val="none"/>
                <w:u w:val="single"/>
                <w:lang w:val="en-US" w:eastAsia="zh-CN"/>
              </w:rPr>
            </w:pPr>
            <w:r>
              <w:rPr>
                <w:rFonts w:hint="eastAsia" w:ascii="宋体" w:hAnsi="宋体" w:eastAsia="宋体" w:cs="Times New Roman"/>
                <w:i w:val="0"/>
                <w:iCs w:val="0"/>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机械环境适应性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机械环境适应性应符合 GB/T9813.3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噪声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的有关规定，在产品说明中给出具体测试值塔式服务器噪声在空闲状态下不大于 50dB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AI 计算单元规格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AI 计算单元</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val="0"/>
                <w:iCs w:val="0"/>
                <w:color w:val="auto"/>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44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一键式迁移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highlight w:val="none"/>
                <w:u w:val="single"/>
                <w:lang w:eastAsia="zh-CN"/>
              </w:rPr>
            </w:pPr>
            <w:r>
              <w:rPr>
                <w:rFonts w:hint="eastAsia" w:ascii="宋体" w:hAnsi="宋体" w:eastAsia="宋体" w:cs="Times New Roman"/>
                <w:i w:val="0"/>
                <w:iCs w:val="0"/>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机柜规格</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机柜尺寸</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2000*600*1000（42U）</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机柜管理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配备机柜管理面板</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机柜电源规格</w:t>
            </w:r>
            <w:r/>
          </w:p>
        </w:tc>
        <w:tc>
          <w:tcPr>
            <w:shd w:val="clear" w:color="auto" w:fill="auto"/>
            <w:tcW w:w="3210" w:type="pct"/>
            <w:vAlign w:val="center"/>
            <w:textDirection w:val="lrTb"/>
            <w:noWrap w:val="false"/>
          </w:tcPr>
          <w:p>
            <w:pPr>
              <w:numPr>
                <w:ilvl w:val="0"/>
                <w:numId w:val="0"/>
              </w:numPr>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机柜电源支持集中供电，电源输入不少于2路且支持自动切换；</w:t>
            </w:r>
            <w:r/>
          </w:p>
          <w:p>
            <w:pPr>
              <w:numPr>
                <w:ilvl w:val="0"/>
                <w:numId w:val="0"/>
              </w:numPr>
              <w:jc w:val="both"/>
              <w:spacing w:line="240" w:lineRule="auto"/>
              <w:tabs>
                <w:tab w:val="left" w:pos="420" w:leader="none"/>
              </w:tabs>
              <w:rPr>
                <w:rFonts w:hint="default" w:eastAsia="宋体"/>
                <w:sz w:val="24"/>
                <w:szCs w:val="24"/>
                <w:lang w:val="en-US" w:eastAsia="zh-CN"/>
              </w:rPr>
            </w:pPr>
            <w:r>
              <w:rPr>
                <w:rFonts w:hint="eastAsia" w:ascii="宋体" w:hAnsi="宋体" w:eastAsia="宋体" w:cs="Times New Roman"/>
                <w:i/>
                <w:iCs/>
                <w:sz w:val="24"/>
                <w:szCs w:val="24"/>
                <w:u w:val="single"/>
                <w:lang w:val="en-US" w:eastAsia="zh-CN"/>
              </w:rPr>
              <w:t xml:space="preserve">机柜电源模块支持N+1冗余配置，电源模块可独立更换</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4</w:t>
            </w:r>
            <w:r>
              <w:rPr>
                <w:rFonts w:hint="eastAsia" w:ascii="宋体" w:hAnsi="宋体" w:eastAsia="宋体" w:cs="Times New Roman"/>
                <w:i w:val="0"/>
                <w:iCs w:val="0"/>
                <w:sz w:val="24"/>
                <w:szCs w:val="24"/>
                <w:u w:val="none"/>
              </w:rPr>
              <w:t xml:space="preserve">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主板外部接口种类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支持USB、显示、管理等接口，VGA、USB3.0、BMC管理端口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49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主板防烧板设计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支持主板防烧板设计，保证电源故障后不扩散</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扩展功能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支持网络功能卡扩展</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支持网络连接、网络访问、数据交换和网络管控功能</w:t>
            </w:r>
            <w:r/>
          </w:p>
        </w:tc>
      </w:tr>
      <w:tr>
        <w:trPr>
          <w:jc w:val="center"/>
          <w:trHeight w:val="133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计算处理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密码算法实现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 芯片应符合 GM/T 0008 的相关规定，或芯片密码模块应</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rPr>
              <w:t xml:space="preserve">符合 GB/T37092 或 GM/T 0028 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存储功能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内存校验</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支持内存校验或内存增强型纠错功能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SATA SSD NAND 健康状态上报</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支持关键外部存储器 （硬磁盘、SSD等）的健康状态上报并进行故障诊断</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SATA SSD单 die 故障隔离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 SSD 关键外部存储器中单存储晶元故障隔离</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57</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RAID卡功能（若支持RAID卡）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卡RAID 级别支持</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szCs w:val="24"/>
              </w:rPr>
              <w:t xml:space="preserve">RAID 模式支持 RAID 0/1/10/5</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存储型支持</w:t>
            </w:r>
            <w:r>
              <w:rPr>
                <w:rFonts w:hint="eastAsia" w:ascii="宋体" w:hAnsi="宋体" w:eastAsia="宋体" w:cs="Times New Roman"/>
                <w:color w:val="auto"/>
                <w:sz w:val="24"/>
                <w:szCs w:val="24"/>
              </w:rPr>
              <w:t xml:space="preserve">RAID 0/1/</w:t>
            </w:r>
            <w:r>
              <w:rPr>
                <w:rFonts w:hint="eastAsia" w:ascii="宋体" w:hAnsi="宋体" w:eastAsia="宋体" w:cs="Times New Roman"/>
                <w:color w:val="auto"/>
                <w:sz w:val="24"/>
                <w:szCs w:val="24"/>
                <w:lang w:val="en-US" w:eastAsia="zh-CN"/>
              </w:rPr>
              <w:t xml:space="preserve">5/6/10/50/60</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RAID 卡BBU 单元</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RAID 卡支持电容备份单元</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59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光驱功能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光驱类型（是否支持RW，以及光盘类型CD/DVD）</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电源热插拔</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整机电源模块应具备热插拔功能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电源过流保护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支持过流及短路保护的功能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散热方式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支持风冷散热方式</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其他功能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 支持关键部件冗余（包括电源、风扇等）；</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支持熔断保护与恢复功能</w:t>
            </w:r>
            <w:r/>
          </w:p>
        </w:tc>
      </w:tr>
      <w:tr>
        <w:trPr>
          <w:jc w:val="center"/>
          <w:trHeight w:val="889"/>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管理系统功能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BMC 固件基础功能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 支持 DHCP 设置网络功能；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2)支持静态 IP 设置网络功能；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3)支持设备日志记录，包括但不限于登录日志、操作日志和报警日志等功能；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4)支持日志信息导出和记录删除功能；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5)支持通过管理接口向外输出准确的报警信息功能；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6)设备的 BMC 管理软件应能够按报警的严重程度进行区分；</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7)支持 IPMI2.0、SNMP 或 Redfish等接口功能；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8)支持键盘、鼠标和视频的重定向、文本控制台的重定向、远程虚拟媒体、高可靠的硬件监控和管理功能；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9)支持基于网络开启、关闭和重启设备的功能，并查询当前设备开机运行状态；</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10)支持故障提示功能，并可通过接口读取服务器故障信息；</w:t>
            </w:r>
            <w:r/>
          </w:p>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11)支持基于网络的固件更新功能，包括 BMC 和 BIOS 等；</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12)支持基于网络安装操作系统的功能，并可通过网络控制台访问设备；</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13)支持通过本地的硬盘或光驱等存储设备，基于网络完成设备的操作系统安装功能；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14)支持通过浏览器打开管理界面并登录功能；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15)支持设置口令策略功能；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16)支持访问权限设置功能，并通过日志记录访问事件；</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17)支持对出厂默认的用户名及口令进行安全保护功能，并提供默认口令修改提示；</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18)支持读取设备主板的工作环境温度功能；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19)支持读取服务器 CPU 等核心器件的温度功能；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20)支持通过外部管理工具进行 BMC参数设置的功能，并可基于网络通过外部管理工具对 BMC 进行管理；</w:t>
            </w:r>
            <w:r/>
          </w:p>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21)应支持固件版本查询、固件升级</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22)支持基于网络实现开关机和复位控制的功能；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23)BMC 启动时间应不超过 180s，实现功能包括网络、IPMI、散热、传感器服务可用；</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24)支持 BMC 固件设置的恢复出厂功能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BMC固件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a）网络控制、安装提供图形访问界面网络；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b）设备的 BMC 管理软件界面显示报警信息，且能够按报警的严重程度进行区分；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c）Web GUI 采用 BMC 端口直连，平均响应时间为不大于1s；</w:t>
            </w:r>
            <w:r/>
          </w:p>
        </w:tc>
      </w:tr>
      <w:tr>
        <w:trPr>
          <w:jc w:val="center"/>
          <w:trHeight w:val="2138"/>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BIOS 固件基础功能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a）支持查看固件版本、内存信息、主板信息、处理器信息和系统时间信息功能；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b）支持上电初始化界面显示 CPU 信息、内存信息、固件版本和部分快捷键信息功能；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c）支持设置界面中英文显示切换功能；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d）支持查看 PCIe 设备信息，SATA设备信息功能；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e）支持操作系统安装和引导功能，应并向操作系统提供计算机主板信息和服务接口；</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f）支持设置启动顺序，并按照设置的启动顺序启动功能；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g）支持安全启动功能；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h）支持设置口令、修改口令、验证口令功能；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i）支持板载显示控制或独立显卡的显示控制功能；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j）支持 RAID 识别和启动功能；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k）支持串口重定向功能；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l）支持固件更新功能；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m）支持 BIOS 固件设置的恢复出厂功能；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n）支持网络引导启用和关闭功能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远程控制</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支持远程关机和重新启动功能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操作系统及驱动功能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操作系统及驱动的升级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支持通过网络、闪存盘对操作系统、驱动进行升级</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69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操作系统及驱动的备份还原</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支持操作系统备份及还原功能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70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操作系统功能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a) 支持访问控制、安全审计、网络接入鉴别等功能；</w:t>
            </w:r>
            <w:r>
              <w:rPr>
                <w:rFonts w:hint="eastAsia" w:ascii="宋体" w:hAnsi="宋体" w:eastAsia="宋体" w:cs="Times New Roman"/>
                <w:i/>
                <w:iCs/>
                <w:sz w:val="24"/>
                <w:szCs w:val="24"/>
                <w:u w:val="single"/>
              </w:rPr>
              <w:br/>
            </w:r>
            <w:r>
              <w:rPr>
                <w:rFonts w:hint="eastAsia" w:ascii="宋体" w:hAnsi="宋体" w:eastAsia="宋体" w:cs="Times New Roman"/>
                <w:i/>
                <w:iCs/>
                <w:color w:val="auto"/>
                <w:sz w:val="24"/>
                <w:szCs w:val="24"/>
                <w:u w:val="single"/>
              </w:rPr>
              <w:t xml:space="preserve">b) 操作系统其他功能应满足操作系统政府采购需求标准中加*的指标要求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71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中文信息处理功能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中文信息处理</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 18030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72</w:t>
            </w:r>
            <w:r/>
          </w:p>
        </w:tc>
        <w:tc>
          <w:tcPr>
            <w:shd w:val="clear" w:color="auto" w:fill="auto"/>
            <w:tcW w:w="650" w:type="pct"/>
            <w:vAlign w:val="center"/>
            <w:vMerge w:val="restart"/>
            <w:textDirection w:val="lrTb"/>
            <w:noWrap w:val="false"/>
          </w:tcPr>
          <w:p>
            <w:pPr>
              <w:jc w:val="left"/>
              <w:keepLines w:val="0"/>
              <w:keepNext w:val="0"/>
              <w:widowControl/>
              <w:rPr>
                <w:rFonts w:hint="eastAsia" w:ascii="宋体" w:hAnsi="宋体" w:eastAsia="宋体" w:cs="Times New Roman"/>
                <w:i w:val="0"/>
                <w:iCs w:val="0"/>
                <w:sz w:val="24"/>
                <w:szCs w:val="24"/>
                <w:u w:val="none"/>
              </w:rPr>
              <w:suppressLineNumbers w:val="0"/>
            </w:pPr>
            <w:r>
              <w:rPr>
                <w:rFonts w:hint="default" w:ascii="黑体" w:hAnsi="宋体" w:eastAsia="黑体" w:cs="黑体"/>
                <w:color w:val="000000"/>
                <w:sz w:val="18"/>
                <w:szCs w:val="18"/>
                <w:lang w:val="en-US" w:eastAsia="zh-CN" w:bidi="ar"/>
              </w:rPr>
              <w:t xml:space="preserve">机柜</w:t>
            </w:r>
            <w:r>
              <w:rPr>
                <w:rFonts w:hint="eastAsia" w:ascii="黑体" w:hAnsi="宋体" w:eastAsia="黑体" w:cs="黑体"/>
                <w:color w:val="000000"/>
                <w:sz w:val="18"/>
                <w:szCs w:val="18"/>
                <w:lang w:val="en-US" w:eastAsia="zh-CN" w:bidi="ar"/>
              </w:rPr>
              <w:t xml:space="preserve">功能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机柜管理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功能</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机柜通信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方式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多集群作 </w:t>
            </w:r>
            <w:r/>
          </w:p>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业管理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val="0"/>
                <w:iCs w:val="0"/>
                <w:sz w:val="24"/>
                <w:szCs w:val="24"/>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75</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关键部件安全要求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关键部件安全要求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CPU 和操作系统等关键部件应当符合安全可靠测评要求</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76</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固件安全要求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故障检测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支持故障检测功能，可以检测到具体的 FRU（内存、硬盘等）的故障并发出告警</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内存故障智能预测和自愈修复</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支持内存故障智能预测和自愈修复，提前自动硬隔离，避免内存故障引起的非预期宕机以及内存寿命的降低</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硬盘故障智能预测</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支持硬盘故障智能预测，基于故障模型预测出硬盘的故障</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79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PCIe 链路故障智能诊断</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PCIe 链路故障智能诊断，判断出现故障的 PCIe 链路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内存故障隔离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支持内存故障隔离，在内存产生 CE故障时，内存地址被隔离成功，服务器正常运行，业务系统不中断</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内存、PCIe 卡的故障精准告警功能</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支持内存、PCIe 卡的故障精准告警功能，触发告警并明确指示具体的故障位置</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异常下电关键数据保护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支持异常下电关键数据保护，支持数据备份恢复机制，防止系统异常掉电导致的数据文件丢失</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BMC/BIOS固件双镜像保护</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BMC/BIOS 固件双镜像保护，运行异常时自动切换到备份镜像运行，提升系统稳定性</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核重启隔离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 CPU 核发生不可纠正故障后，重启后由 BIOS 隔离该故障核，OS不可见，防止 OS 再次使用导致系统异常，核 0 除外</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内存地址隔离</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在硬件支持的情况下，支持故障内存地址重启后隔离</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内存存储阵列替换</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在硬件支持的情况下，支持故障内存存储阵列替换</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安全启动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支持执行环境要求在整个系统启动的过程中，系统应提供一个机制来保护平台的完整性</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88</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系统安全要求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syslog 双向鉴别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支持系统日志双向鉴别，对服务器根证书和客户端根证书进行鉴别</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89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弱口令字典检查</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支持弱口令字典检查功能，出现在弱口令字典中的字符串不能被设置为用户口令</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白名单访问控制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支持基于时间、IP 或 MAC 白名单访问控制</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双因素鉴别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支持使用客户端证书和证书密码的双因素鉴别方式登录管理系统</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二次鉴别</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支持二次鉴别功能。对于用户配置、权限配置、公钥导入等重要的管理操作，已登录用户应通过二次鉴别后，才能执行操作</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匿名化用户告警接收邮箱</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支持带外管理系统中的用户告警接收邮箱进行匿名化处理</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密码证书安全加密存储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支持对带外管理系统中的用户口令和证书等敏感信息进行加密存储，禁止使用私有的和业界已知不安全的密码算法</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敏感信息安全加密传输</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支持使用安全的传输加密协议（如SSH 或 HTTPS 等）传输用户的敏感信息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96</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信息安全要求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研发过程安全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漏洞管理</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供应商承诺，生产商已建立漏洞全量视图，保证产品版本涉及到的所有漏洞(如驱动程序、BMC 软件等)都可以查看</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网络关键设备服务器要求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作为网络关键设备的服务器应符合GB 40050 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99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lang w:val="en-US" w:eastAsia="zh-CN"/>
              </w:rPr>
              <w:t xml:space="preserve">增强要求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a) 嵌入物理可信根，实现设备的信任链构建；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b) 支持可信平台控制模块(TPCM)；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c) 支持在固件系统（BMC、BIOS）启动前实现对固件度量的功能，支持物理可信根对 BMC 固件或 BIOS 固 件进行完整性检测、更新和恢复；</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d) 支持对 CPU、网络控制器等关键处理器进行身份识别与度量的功能；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e) 支持基于处理器或可信计算模块度量的功能； </w:t>
            </w:r>
            <w:r/>
          </w:p>
          <w:p>
            <w:pPr>
              <w:ind w:left="0"/>
              <w:jc w:val="both"/>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f) 所采用的可信密码模块接口应符合 GM/T 0012 的相关规定； </w:t>
            </w:r>
            <w:r/>
          </w:p>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lang w:val="en-US" w:eastAsia="zh-CN"/>
              </w:rPr>
              <w:t xml:space="preserve">g) 可信安全管理模块、处理器等硬件载体应通过国家相关部门的认证和许可</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100</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物理安全</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物理安全</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安全要求应符合 GB 4943.1 的规定</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限用物质的限量要求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限用物质的限量要求</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限用物质的限量应符合 GB/T 26572的要求</w:t>
            </w:r>
            <w:r>
              <w:rPr>
                <w:rFonts w:hint="eastAsia" w:ascii="宋体" w:hAnsi="宋体" w:eastAsia="宋体" w:cs="Times New Roman"/>
                <w:i/>
                <w:iCs/>
                <w:sz w:val="24"/>
                <w:szCs w:val="24"/>
                <w:u w:val="single"/>
                <w:lang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CPU 主频</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≥2.6GHz</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103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单 CPU 核数</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≥48</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default" w:ascii="宋体" w:hAnsi="宋体" w:eastAsia="宋体" w:cs="Times New Roman"/>
                <w:i w:val="0"/>
                <w:iCs w:val="0"/>
                <w:color w:val="auto"/>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单 CPU 末级缓存容量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≥48MB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lang w:val="en-US" w:eastAsia="zh-CN"/>
              </w:rPr>
              <w:t xml:space="preserve">105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内存性能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单内存模</w:t>
            </w:r>
            <w:r>
              <w:rPr>
                <w:rFonts w:hint="eastAsia" w:ascii="宋体" w:hAnsi="宋体" w:eastAsia="宋体" w:cs="Times New Roman"/>
                <w:i w:val="0"/>
                <w:iCs w:val="0"/>
                <w:color w:val="auto"/>
                <w:sz w:val="24"/>
                <w:szCs w:val="24"/>
                <w:u w:val="none"/>
              </w:rPr>
              <w:br/>
            </w:r>
            <w:r>
              <w:rPr>
                <w:rFonts w:hint="eastAsia" w:ascii="宋体" w:hAnsi="宋体" w:eastAsia="宋体" w:cs="Times New Roman"/>
                <w:i w:val="0"/>
                <w:iCs w:val="0"/>
                <w:color w:val="auto"/>
                <w:sz w:val="24"/>
                <w:szCs w:val="24"/>
                <w:u w:val="none"/>
              </w:rPr>
              <w:t xml:space="preserve">块容量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u w:val="single"/>
              </w:rPr>
            </w:pPr>
            <w:r>
              <w:rPr>
                <w:rFonts w:hint="eastAsia" w:ascii="宋体" w:hAnsi="宋体" w:eastAsia="宋体" w:cs="Times New Roman"/>
                <w:i/>
                <w:iCs/>
                <w:color w:val="auto"/>
                <w:sz w:val="24"/>
                <w:szCs w:val="24"/>
                <w:u w:val="single"/>
              </w:rPr>
              <w:t xml:space="preserve">≥64GB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default" w:ascii="宋体" w:hAnsi="宋体" w:eastAsia="宋体" w:cs="Times New Roman"/>
                <w:i w:val="0"/>
                <w:iCs w:val="0"/>
                <w:color w:val="auto"/>
                <w:sz w:val="24"/>
                <w:szCs w:val="24"/>
                <w:highlight w:val="none"/>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内存速率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≥2666MT/s</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107</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存储性能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硬盘转速</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lang w:val="en-US" w:eastAsia="zh-CN"/>
              </w:rPr>
              <w:t xml:space="preserve">108</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RAID卡性能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RAID 卡缓存容量大小</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color w:val="auto"/>
                <w:sz w:val="24"/>
                <w:szCs w:val="24"/>
                <w:u w:val="single"/>
              </w:rPr>
            </w:pPr>
            <w:r>
              <w:rPr>
                <w:rFonts w:hint="eastAsia" w:ascii="宋体" w:hAnsi="宋体" w:eastAsia="宋体" w:cs="Times New Roman"/>
                <w:i/>
                <w:iCs/>
                <w:color w:val="auto"/>
                <w:sz w:val="24"/>
                <w:szCs w:val="24"/>
                <w:u w:val="single"/>
              </w:rPr>
              <w:t xml:space="preserve">配备 RAID 卡且RAID 卡缓存容量不少于 4GB</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bidi="ar-SA"/>
              </w:rPr>
            </w:pPr>
            <w:r>
              <w:rPr>
                <w:rFonts w:hint="eastAsia" w:ascii="宋体" w:hAnsi="宋体" w:eastAsia="宋体" w:cs="Times New Roman"/>
                <w:i w:val="0"/>
                <w:iCs w:val="0"/>
                <w:color w:val="auto"/>
                <w:sz w:val="24"/>
                <w:szCs w:val="24"/>
                <w:highlight w:val="none"/>
                <w:u w:val="none"/>
                <w:lang w:val="en-US" w:eastAsia="zh-CN"/>
              </w:rPr>
              <w:t xml:space="preserve">109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FC HBA卡性能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FC HBA卡速率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color w:val="auto"/>
                <w:sz w:val="24"/>
                <w:szCs w:val="24"/>
                <w:highlight w:val="none"/>
                <w:u w:val="single"/>
                <w:lang w:val="en-US" w:eastAsia="zh-CN"/>
              </w:rPr>
            </w:pPr>
            <w:r>
              <w:rPr>
                <w:rFonts w:hint="eastAsia" w:eastAsia="宋体"/>
                <w:color w:val="auto"/>
                <w:highlight w:val="none"/>
                <w:lang w:val="en-US" w:eastAsia="zh-CN"/>
              </w:rPr>
              <w:t xml:space="preserve">/</w:t>
            </w:r>
            <w:r/>
          </w:p>
        </w:tc>
      </w:tr>
      <w:tr>
        <w:trPr>
          <w:jc w:val="center"/>
          <w:trHeight w:val="5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网络性能</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独立网卡速率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≥10GE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板载网卡速率</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≥1GE</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112</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电源能耗</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电源能耗</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的有关规定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113</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部件兼容性要求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内存兼容性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适配 3 种及以上厂商的内存产品，且均不低于产品支持的内存规格</w:t>
            </w:r>
            <w:r/>
          </w:p>
        </w:tc>
      </w:tr>
      <w:tr>
        <w:trPr>
          <w:jc w:val="center"/>
          <w:trHeight w:val="95"/>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固态存储兼容性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适配 3 种或以上厂商的固态存储产品，且均不低于产品支持的固态存储设备规格</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FC HBA卡兼容性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FC HBA卡应适配两种或以上厂商产品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RAID 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RAID 卡适配两种或以上厂商产品</w:t>
            </w:r>
            <w:r/>
          </w:p>
        </w:tc>
      </w:tr>
      <w:tr>
        <w:trPr>
          <w:jc w:val="center"/>
          <w:trHeight w:val="256"/>
        </w:trPr>
        <w:tc>
          <w:tcPr>
            <w:shd w:val="clear" w:color="auto" w:fill="auto"/>
            <w:tcW w:w="342"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网卡兼容性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iCs/>
                <w:sz w:val="24"/>
                <w:szCs w:val="24"/>
                <w:u w:val="single"/>
              </w:rPr>
              <w:t xml:space="preserve">网卡应适配两种或以上厂商产品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功能卡兼容性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内置或适配符合 PCIe 的功能卡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119</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外设兼容性</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外设兼容性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兼容多种主流生产商的外部设备，包括显示器、键盘、鼠标、闪存盘、移动硬盘、USB光驱及KVM等，要求使用不同厂商的外部设备时，系统均能政采识别和安装驱动</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120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软件兼容性</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数据库兼容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个及以上厂商的数据库产品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中间件兼容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个及以上厂商的中间件产品</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平台软件兼容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3 个及以上厂商的大数据平台</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虚拟化软件兼容</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兼容 2 款及以上虚拟化软件</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color w:val="auto"/>
                <w:sz w:val="24"/>
                <w:szCs w:val="24"/>
                <w:u w:val="none"/>
                <w:lang w:val="en-US" w:eastAsia="zh-CN" w:bidi="ar-SA"/>
              </w:rPr>
            </w:pPr>
            <w:r>
              <w:rPr>
                <w:rFonts w:hint="eastAsia" w:ascii="宋体" w:hAnsi="宋体" w:eastAsia="宋体" w:cs="Times New Roman"/>
                <w:i w:val="0"/>
                <w:iCs w:val="0"/>
                <w:color w:val="auto"/>
                <w:sz w:val="24"/>
                <w:szCs w:val="24"/>
                <w:u w:val="none"/>
              </w:rPr>
              <w:t xml:space="preserve">1</w:t>
            </w:r>
            <w:r>
              <w:rPr>
                <w:rFonts w:hint="eastAsia" w:ascii="宋体" w:hAnsi="宋体" w:eastAsia="宋体" w:cs="Times New Roman"/>
                <w:i w:val="0"/>
                <w:iCs w:val="0"/>
                <w:color w:val="auto"/>
                <w:sz w:val="24"/>
                <w:szCs w:val="24"/>
                <w:u w:val="none"/>
                <w:lang w:val="en-US" w:eastAsia="zh-CN"/>
              </w:rPr>
              <w:t xml:space="preserve">24</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存储可靠性要求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color w:val="auto"/>
                <w:sz w:val="24"/>
                <w:szCs w:val="24"/>
                <w:u w:val="none"/>
              </w:rPr>
            </w:pPr>
            <w:r>
              <w:rPr>
                <w:rFonts w:hint="eastAsia" w:ascii="宋体" w:hAnsi="宋体" w:eastAsia="宋体" w:cs="Times New Roman"/>
                <w:i w:val="0"/>
                <w:iCs w:val="0"/>
                <w:color w:val="auto"/>
                <w:sz w:val="24"/>
                <w:szCs w:val="24"/>
                <w:u w:val="none"/>
              </w:rPr>
              <w:t xml:space="preserve">SATA SSD可靠性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Times New Roman"/>
                <w:color w:val="auto"/>
                <w:sz w:val="24"/>
                <w:szCs w:val="24"/>
              </w:rPr>
              <w:t xml:space="preserve">SSD 的 m1 值（MTBF 的不可接受值）不低于 200000h</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25</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整机可靠性要求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整机可靠性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m1 值（MTBF 的不可接受值）不得低于 30000h</w:t>
            </w:r>
            <w:r/>
          </w:p>
        </w:tc>
      </w:tr>
      <w:tr>
        <w:trPr>
          <w:jc w:val="center"/>
          <w:trHeight w:val="535"/>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风扇可靠性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风扇寿命应不低于 40000h</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部件可靠性</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支持硬盘、电源、风扇热插拔(内置风扇除外)</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28</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包装及运输要求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标志、包装、运输和贮存</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符合 GB/T 9813.3 和商品包装政府采购需求标准的相关规定</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29</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服务响应</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服务响应</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a) 提供电话、电子邮件、远程连接等多种形式服务；</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提供同城 4h、异地 12h 技术响应服务，2 个工作日解决问题，对于未能解决的问题和故障应提供可行的升级方案，并提供周转设备；</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建立全国技术服务体系和服务团体，符合专业服务体系标准要求，提供原厂中文服务；</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服务周期内提供产品的维修、换件和升级服务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30</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培训服务</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供应商提供培训材料、产品手册、培训视频等培训相关内容</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31</w:t>
            </w:r>
            <w:r/>
          </w:p>
        </w:tc>
        <w:tc>
          <w:tcPr>
            <w:shd w:val="clear" w:color="auto" w:fill="auto"/>
            <w:tcW w:w="65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服务周期</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服务周期</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a) 产品免费服务周期（含换件和维修） </w:t>
            </w:r>
            <w:r>
              <w:rPr>
                <w:rFonts w:hint="eastAsia" w:ascii="宋体" w:hAnsi="宋体" w:eastAsia="宋体" w:cs="Times New Roman"/>
                <w:i/>
                <w:iCs/>
                <w:sz w:val="24"/>
                <w:szCs w:val="24"/>
                <w:u w:val="single"/>
                <w:lang w:val="en-US" w:eastAsia="zh-CN"/>
              </w:rPr>
              <w:t xml:space="preserve">5</w:t>
            </w:r>
            <w:r>
              <w:rPr>
                <w:rFonts w:hint="eastAsia" w:ascii="宋体" w:hAnsi="宋体" w:eastAsia="宋体" w:cs="Times New Roman"/>
                <w:i/>
                <w:iCs/>
                <w:sz w:val="24"/>
                <w:szCs w:val="24"/>
                <w:u w:val="single"/>
              </w:rPr>
              <w:t xml:space="preserve">年；</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设备停产后继续提供质量保障服务（含备品备件），服务终止时间与最后一批设备交付时间间隔不低于6年；</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产品停止服务时间应提前1年告知客户；</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产品发布日期需在随机文件中明确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132</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服务工具要求</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工具要求</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供应商提供设置服务器硬件、辅助操作系统安装等功能的辅助工具和管理软件。且随附软件应具有合法授权或版权</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辅助工具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支持如下功能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a) 本地的数据备份和还原功能；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b) 网络的数据备份和还原功能；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c) 服务器操作系统的自动安装功能；</w:t>
            </w:r>
            <w:r>
              <w:rPr>
                <w:rFonts w:hint="eastAsia" w:ascii="宋体" w:hAnsi="宋体" w:eastAsia="宋体" w:cs="Times New Roman"/>
                <w:i/>
                <w:iCs/>
                <w:sz w:val="24"/>
                <w:szCs w:val="24"/>
                <w:u w:val="single"/>
              </w:rPr>
              <w:br/>
            </w:r>
            <w:r>
              <w:rPr>
                <w:rFonts w:hint="eastAsia" w:ascii="宋体" w:hAnsi="宋体" w:eastAsia="宋体" w:cs="Times New Roman"/>
                <w:i/>
                <w:iCs/>
                <w:sz w:val="24"/>
                <w:szCs w:val="24"/>
                <w:u w:val="single"/>
              </w:rPr>
              <w:t xml:space="preserve">d) 服务器所配硬件需要的驱动程序和系统补丁</w:t>
            </w:r>
            <w:r/>
          </w:p>
        </w:tc>
      </w:tr>
      <w:tr>
        <w:trPr>
          <w:jc w:val="center"/>
          <w:trHeight w:val="94"/>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rPr>
              <w:t xml:space="preserve">134</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驱动安装升级指引</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供应商提供出厂安装的配件所需的驱动程序，形式包括但不限于驱动光盘、驱动下载链接等。其他配件应提供指引</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随机附开盖工具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随服务器打包提供开机箱工具</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36</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代码迁移工具</w:t>
            </w:r>
            <w:r/>
          </w:p>
        </w:tc>
        <w:tc>
          <w:tcPr>
            <w:shd w:val="clear" w:color="auto" w:fill="auto"/>
            <w:tcW w:w="3210"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供应商提供从其他CPU 架构到当前服务器CPU 架构的软件迁移工具产品，支持软件包迁移评估，对满足</w:t>
            </w:r>
            <w:r/>
          </w:p>
          <w:p>
            <w:pPr>
              <w:ind w:left="0"/>
              <w:jc w:val="left"/>
              <w:spacing w:line="240" w:lineRule="auto"/>
              <w:tabs>
                <w:tab w:val="left" w:pos="420" w:leader="none"/>
              </w:tabs>
              <w:rPr>
                <w:rFonts w:hint="eastAsia" w:ascii="宋体" w:hAnsi="宋体" w:eastAsia="宋体" w:cs="Times New Roman"/>
                <w:i/>
                <w:iCs/>
                <w:sz w:val="24"/>
                <w:szCs w:val="24"/>
                <w:u w:val="single"/>
                <w:lang w:eastAsia="zh-CN"/>
              </w:rPr>
            </w:pPr>
            <w:r>
              <w:rPr>
                <w:rFonts w:hint="eastAsia" w:ascii="宋体" w:hAnsi="宋体" w:eastAsia="宋体" w:cs="Times New Roman"/>
                <w:i/>
                <w:iCs/>
                <w:sz w:val="24"/>
                <w:szCs w:val="24"/>
                <w:u w:val="single"/>
              </w:rPr>
              <w:t xml:space="preserve">产品重构要求的软件包，能重构为当前服务器CPU 架构的软件包。提供源码迁移功能，检查分析C/C++/Fortran/Go/解释型语言/汇编等源码文件，基于产品功能给出迁移指导</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37</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性能分析工具</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供应商提供支持当前服务器CPU 架构的性能分析工具产品，支持系统性能分析、Java 性能分析和系统诊断，可分析系统或应用在CPU、内存、IO、网络等方面的性能，并给出优化建议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38</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跨架构平台应用兼容</w:t>
            </w:r>
            <w:r/>
          </w:p>
        </w:tc>
        <w:tc>
          <w:tcPr>
            <w:shd w:val="clear" w:color="auto" w:fill="auto"/>
            <w:tcW w:w="3210" w:type="pct"/>
            <w:vAlign w:val="center"/>
            <w:textDirection w:val="lrTb"/>
            <w:noWrap w:val="false"/>
          </w:tcPr>
          <w:p>
            <w:pPr>
              <w:ind w:left="0"/>
              <w:jc w:val="both"/>
              <w:spacing w:line="240" w:lineRule="auto"/>
              <w:tabs>
                <w:tab w:val="left" w:pos="420" w:leader="none"/>
              </w:tabs>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跨CPU 架构平台应用兼容工具，可兼容一种或者一种以上不同架构平台的应用</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39</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管理软件</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具备资源管理、系统管理、性能监控、健康监控、基于网络控制、报警设置功能</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40</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增值服务</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厂家升级产品软件与扩容服务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sz w:val="24"/>
                <w:szCs w:val="24"/>
              </w:rPr>
            </w:pPr>
            <w:r>
              <w:rPr>
                <w:rFonts w:hint="eastAsia" w:ascii="宋体" w:hAnsi="宋体" w:eastAsia="宋体" w:cs="Times New Roman"/>
                <w:i/>
                <w:iCs/>
                <w:sz w:val="24"/>
                <w:szCs w:val="24"/>
                <w:u w:val="single"/>
              </w:rPr>
              <w:t xml:space="preserve">供应商提供原厂级的部件/软件产品升级和扩容能力</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rPr>
              <w:t xml:space="preserve">1</w:t>
            </w:r>
            <w:r>
              <w:rPr>
                <w:rFonts w:hint="eastAsia" w:ascii="宋体" w:hAnsi="宋体" w:eastAsia="宋体" w:cs="Times New Roman"/>
                <w:i w:val="0"/>
                <w:iCs w:val="0"/>
                <w:sz w:val="24"/>
                <w:szCs w:val="24"/>
                <w:u w:val="none"/>
                <w:lang w:val="en-US" w:eastAsia="zh-CN"/>
              </w:rPr>
              <w:t xml:space="preserve">41</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服务保障升级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供应商有偿提供远程技术支持、软件授权服务、备件更换服务、现场支承服务</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bidi="ar-SA"/>
              </w:rPr>
            </w:pPr>
            <w:r>
              <w:rPr>
                <w:rFonts w:hint="eastAsia" w:ascii="宋体" w:hAnsi="宋体" w:eastAsia="宋体" w:cs="Times New Roman"/>
                <w:i w:val="0"/>
                <w:iCs w:val="0"/>
                <w:sz w:val="24"/>
                <w:szCs w:val="24"/>
                <w:u w:val="none"/>
                <w:lang w:val="en-US" w:eastAsia="zh-CN" w:bidi="ar-SA"/>
              </w:rPr>
              <w:t xml:space="preserve">142</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提供上门服务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供应商具备提供上门服务的能力(可收费)</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143</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业务场景性能优化服务及整体架构升级服务</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对于部署在该服务器上的HIS数据库，配合软件开发厂商调优</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144</w:t>
            </w:r>
            <w:r/>
          </w:p>
        </w:tc>
        <w:tc>
          <w:tcPr>
            <w:shd w:val="clear" w:color="auto" w:fill="auto"/>
            <w:tcW w:w="650" w:type="pct"/>
            <w:vAlign w:val="center"/>
            <w:vMerge w:val="restart"/>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供应链质量</w:t>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抗干扰性</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当产品部件出现供应风险时，应通知客户并提供风险应对方案确保产品的服务保障，必要时应停止相关受影响产品的销售</w:t>
            </w:r>
            <w:r/>
          </w:p>
        </w:tc>
      </w:tr>
      <w:tr>
        <w:trPr>
          <w:jc w:val="center"/>
          <w:trHeight w:val="90"/>
        </w:trPr>
        <w:tc>
          <w:tcPr>
            <w:shd w:val="clear" w:color="auto" w:fill="auto"/>
            <w:tcW w:w="342" w:type="pct"/>
            <w:vAlign w:val="center"/>
            <w:textDirection w:val="lrTb"/>
            <w:noWrap w:val="false"/>
          </w:tcPr>
          <w:p>
            <w:pPr>
              <w:ind w:left="0"/>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4"/>
                <w:szCs w:val="24"/>
                <w:u w:val="none"/>
                <w:lang w:val="en-US" w:eastAsia="zh-CN"/>
              </w:rPr>
              <w:t xml:space="preserve">145</w:t>
            </w:r>
            <w:r/>
          </w:p>
        </w:tc>
        <w:tc>
          <w:tcPr>
            <w:shd w:val="clear" w:color="auto" w:fill="auto"/>
            <w:tcW w:w="650" w:type="pct"/>
            <w:vAlign w:val="center"/>
            <w:vMerge w:val="continue"/>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default" w:ascii="宋体" w:hAnsi="宋体" w:eastAsia="宋体" w:cs="Times New Roman"/>
                <w:i w:val="0"/>
                <w:iCs w:val="0"/>
                <w:sz w:val="24"/>
                <w:szCs w:val="24"/>
                <w:u w:val="none"/>
              </w:rPr>
            </w:r>
            <w:r/>
          </w:p>
        </w:tc>
        <w:tc>
          <w:tcPr>
            <w:shd w:val="clear" w:color="auto" w:fill="auto"/>
            <w:tcW w:w="797" w:type="pct"/>
            <w:vAlign w:val="center"/>
            <w:textDirection w:val="lrTb"/>
            <w:noWrap w:val="false"/>
          </w:tcPr>
          <w:p>
            <w:pPr>
              <w:ind w:left="0"/>
              <w:jc w:val="both"/>
              <w:spacing w:line="240" w:lineRule="auto"/>
              <w:tabs>
                <w:tab w:val="left" w:pos="420" w:leader="none"/>
              </w:tabs>
              <w:rPr>
                <w:rFonts w:hint="default"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供应能力证明</w:t>
            </w:r>
            <w:r/>
          </w:p>
        </w:tc>
        <w:tc>
          <w:tcPr>
            <w:shd w:val="clear" w:color="auto" w:fill="auto"/>
            <w:tcW w:w="3210" w:type="pct"/>
            <w:vAlign w:val="center"/>
            <w:textDirection w:val="lrTb"/>
            <w:noWrap w:val="false"/>
          </w:tcPr>
          <w:p>
            <w:pPr>
              <w:ind w:left="0"/>
              <w:jc w:val="both"/>
              <w:spacing w:line="240" w:lineRule="auto"/>
              <w:tabs>
                <w:tab w:val="left" w:pos="420" w:leader="none"/>
              </w:tabs>
              <w:rPr>
                <w:rFonts w:hint="default"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供应商提供供应链稳定承诺书，确保产品的部件在产品服务周期内稳定供货</w:t>
            </w:r>
            <w:r/>
          </w:p>
        </w:tc>
      </w:tr>
    </w:tbl>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br w:type="page" w:clear="all"/>
      </w:r>
      <w:r/>
    </w:p>
    <w:p>
      <w:pPr>
        <w:rPr>
          <w:rFonts w:hint="eastAsia" w:eastAsia="宋体"/>
          <w:lang w:val="en-US" w:eastAsia="zh-CN"/>
        </w:rPr>
      </w:pPr>
      <w:r>
        <w:rPr>
          <w:rFonts w:hint="eastAsia" w:eastAsia="宋体"/>
          <w:lang w:val="en-US" w:eastAsia="zh-CN"/>
        </w:rPr>
      </w:r>
      <w:r/>
    </w:p>
    <w:p>
      <w:pPr>
        <w:numPr>
          <w:ilvl w:val="0"/>
          <w:numId w:val="0"/>
        </w:num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2、存储大数据底座技术参数：</w:t>
      </w:r>
      <w:r/>
    </w:p>
    <w:tbl>
      <w:tblPr>
        <w:tblStyle w:val="1030"/>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44"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283"/>
        </w:trPr>
        <w:tc>
          <w:tcPr>
            <w:tcW w:w="655" w:type="pct"/>
            <w:vAlign w:val="center"/>
            <w:textDirection w:val="lrTb"/>
            <w:noWrap w:val="false"/>
          </w:tcPr>
          <w:p>
            <w:pPr>
              <w:ind w:left="0"/>
              <w:jc w:val="left"/>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数据治理存储大数据底座</w:t>
            </w:r>
            <w:r/>
          </w:p>
        </w:tc>
        <w:tc>
          <w:tcPr>
            <w:tcW w:w="4344" w:type="pct"/>
            <w:textDirection w:val="lrTb"/>
            <w:noWrap w:val="false"/>
          </w:tcPr>
          <w:p>
            <w:pPr>
              <w:jc w:val="left"/>
              <w:keepLines w:val="0"/>
              <w:keepNext w:val="0"/>
              <w:pageBreakBefore w:val="0"/>
              <w:spacing w:line="390" w:lineRule="exact"/>
              <w:widowControl w:val="off"/>
              <w:rPr>
                <w:rFonts w:hint="eastAsia" w:ascii="宋体" w:hAnsi="宋体" w:eastAsia="宋体" w:cs="宋体"/>
                <w:i/>
                <w:iCs/>
                <w:sz w:val="24"/>
                <w:szCs w:val="24"/>
                <w:highlight w:val="yellow"/>
                <w:u w:val="single"/>
              </w:rPr>
            </w:pPr>
            <w:r>
              <w:rPr>
                <w:rFonts w:hint="eastAsia" w:ascii="宋体" w:hAnsi="宋体" w:eastAsia="宋体" w:cs="宋体"/>
                <w:i/>
                <w:iCs/>
                <w:sz w:val="24"/>
                <w:szCs w:val="24"/>
                <w:u w:val="single"/>
              </w:rPr>
              <w:t xml:space="preserve">1、所投存储底层</w:t>
            </w:r>
            <w:r>
              <w:rPr>
                <w:rFonts w:hint="eastAsia" w:ascii="宋体" w:hAnsi="宋体" w:eastAsia="宋体" w:cs="宋体"/>
                <w:i/>
                <w:iCs/>
                <w:sz w:val="24"/>
                <w:szCs w:val="24"/>
                <w:highlight w:val="none"/>
                <w:u w:val="single"/>
              </w:rPr>
              <w:t xml:space="preserve">操作系统采用开源系统衍生的国产系统，不得采用国外开源社区操作系统；</w:t>
            </w:r>
            <w:r/>
          </w:p>
          <w:p>
            <w:pPr>
              <w:jc w:val="left"/>
              <w:keepLines w:val="0"/>
              <w:keepNext w:val="0"/>
              <w:pageBreakBefore w:val="0"/>
              <w:spacing w:line="39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rPr>
              <w:t xml:space="preserve">2、所投存储产品使用国产品牌自主研发</w:t>
            </w:r>
            <w:r>
              <w:rPr>
                <w:rFonts w:hint="eastAsia" w:ascii="宋体" w:hAnsi="宋体" w:eastAsia="宋体" w:cs="宋体"/>
                <w:i/>
                <w:iCs/>
                <w:sz w:val="24"/>
                <w:szCs w:val="24"/>
                <w:highlight w:val="none"/>
                <w:u w:val="single"/>
                <w:lang w:val="en-US" w:eastAsia="zh-CN"/>
              </w:rPr>
              <w:t xml:space="preserve">CPU；</w:t>
            </w:r>
            <w:r/>
          </w:p>
          <w:p>
            <w:pPr>
              <w:jc w:val="left"/>
              <w:keepLines w:val="0"/>
              <w:keepNext w:val="0"/>
              <w:pageBreakBefore w:val="0"/>
              <w:spacing w:line="39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3、请在投标文件中提供</w:t>
            </w:r>
            <w:r>
              <w:rPr>
                <w:rFonts w:hint="eastAsia" w:ascii="宋体" w:hAnsi="宋体" w:eastAsia="宋体" w:cs="宋体"/>
                <w:i/>
                <w:iCs/>
                <w:sz w:val="24"/>
                <w:szCs w:val="24"/>
                <w:highlight w:val="none"/>
                <w:u w:val="single"/>
                <w:lang w:val="zh-CN"/>
              </w:rPr>
              <w:t xml:space="preserve">《</w:t>
            </w:r>
            <w:r>
              <w:rPr>
                <w:rFonts w:hint="eastAsia" w:ascii="宋体" w:hAnsi="宋体" w:eastAsia="宋体" w:cs="宋体"/>
                <w:i/>
                <w:iCs/>
                <w:sz w:val="24"/>
                <w:szCs w:val="24"/>
                <w:highlight w:val="none"/>
                <w:u w:val="single"/>
                <w:lang w:val="en-US" w:eastAsia="zh-CN"/>
              </w:rPr>
              <w:t xml:space="preserve">存储大数据底座所投产品</w:t>
            </w:r>
            <w:r>
              <w:rPr>
                <w:rFonts w:hint="eastAsia" w:ascii="宋体" w:hAnsi="宋体" w:eastAsia="宋体" w:cs="宋体"/>
                <w:i/>
                <w:iCs/>
                <w:sz w:val="24"/>
                <w:szCs w:val="24"/>
                <w:highlight w:val="none"/>
                <w:u w:val="single"/>
                <w:lang w:val="zh-CN"/>
              </w:rPr>
              <w:t xml:space="preserve">主要技术参数及配置表》</w:t>
            </w:r>
            <w:r>
              <w:rPr>
                <w:rFonts w:hint="eastAsia" w:ascii="宋体" w:hAnsi="宋体" w:eastAsia="宋体" w:cs="宋体"/>
                <w:i/>
                <w:iCs/>
                <w:sz w:val="24"/>
                <w:szCs w:val="24"/>
                <w:highlight w:val="none"/>
                <w:u w:val="single"/>
                <w:lang w:val="zh-CN" w:eastAsia="zh-CN"/>
              </w:rPr>
              <w:t xml:space="preserve">（应包含</w:t>
            </w:r>
            <w:r>
              <w:rPr>
                <w:rFonts w:hint="eastAsia" w:ascii="宋体" w:hAnsi="宋体" w:eastAsia="宋体" w:cs="宋体"/>
                <w:i/>
                <w:iCs/>
                <w:sz w:val="24"/>
                <w:szCs w:val="24"/>
                <w:highlight w:val="none"/>
                <w:u w:val="single"/>
                <w:lang w:val="en-US" w:eastAsia="zh-CN"/>
              </w:rPr>
              <w:t xml:space="preserve">所投产品使用的国产CPU品牌、规格型号、主频参数以及国产系统品牌、版本信息</w:t>
            </w:r>
            <w:r>
              <w:rPr>
                <w:rFonts w:hint="eastAsia" w:ascii="宋体" w:hAnsi="宋体" w:eastAsia="宋体" w:cs="宋体"/>
                <w:i/>
                <w:iCs/>
                <w:sz w:val="24"/>
                <w:szCs w:val="24"/>
                <w:highlight w:val="none"/>
                <w:u w:val="single"/>
                <w:lang w:val="zh-CN" w:eastAsia="zh-CN"/>
              </w:rPr>
              <w:t xml:space="preserve">）</w:t>
            </w:r>
            <w:r>
              <w:rPr>
                <w:rFonts w:hint="eastAsia" w:ascii="宋体" w:hAnsi="宋体" w:eastAsia="宋体" w:cs="宋体"/>
                <w:i/>
                <w:iCs/>
                <w:sz w:val="24"/>
                <w:szCs w:val="24"/>
                <w:highlight w:val="none"/>
                <w:u w:val="single"/>
                <w:lang w:val="en-US" w:eastAsia="zh-CN"/>
              </w:rPr>
              <w:t xml:space="preserve">；</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支持无中断升级，采用模块化软件架构设计，超过90%的组件用户态，升级无需重启控制器；</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配置≥2个控制器，控制器处理器总核心数≥128核，主频≥2.6GHz；</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系统内总一级缓存容量配置≥384G，且任意控制器一级缓存容量≥192G（不含任何性能加速模块、FlashCache、PAM卡，SSD Cache、SCM等）；</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配置≥15个7.68TB NVMe SSD硬盘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配置≥8*25Gb光口（含多模光模块）；</w:t>
            </w:r>
            <w:r/>
          </w:p>
          <w:p>
            <w:pPr>
              <w:jc w:val="left"/>
              <w:keepLines w:val="0"/>
              <w:keepNext w:val="0"/>
              <w:pageBreakBefore w:val="0"/>
              <w:spacing w:line="390" w:lineRule="exact"/>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8</w:t>
            </w:r>
            <w:r>
              <w:rPr>
                <w:rFonts w:hint="eastAsia" w:ascii="宋体" w:hAnsi="宋体" w:eastAsia="宋体" w:cs="宋体"/>
                <w:i/>
                <w:iCs/>
                <w:sz w:val="24"/>
                <w:szCs w:val="24"/>
                <w:u w:val="single"/>
              </w:rPr>
              <w:t xml:space="preserve">、支持高级RAID功能，在同一个RAID组内容忍任意3盘同时失效，数据不丢&amp;不中断业务。</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配置Qos功能，支持按照LUN、LUN组和主机的方式进行流量控制。提供上限控制和下限保障两种QoS策略，分别都支持从IOPS和带宽两个维度进行配置。同时上限控制策略支持burst配置，下限保障策略支持时延配置；</w:t>
            </w:r>
            <w:r/>
          </w:p>
          <w:p>
            <w:pPr>
              <w:jc w:val="left"/>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配置存储双活功能，满足如下：1.提供A-A免网关双活架构，实现两套核心存储数据双活（主机能够并发读写同一双活卷），任何一套设备宕机均不影响上层业务系统运行；2.一个站点发生故障后，另一个站点可自动快速拉起业务（秒级）；一个站点故障恢复后，双活关系可自动恢复；</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▲提供SSD寿命监控技术，并在系统中显示每一块SSD硬盘的磨损度以及预估剩余寿命；</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、▲稳定时延≤0.5ms，包括开启增值功能的情况下，包括开启快照等功能；</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、▲配置ROW无损快照，系统提供每3秒做一次快照备份；恢复任意时间点快照，其他时间点快照不丢失；（</w:t>
            </w:r>
            <w:r>
              <w:rPr>
                <w:rFonts w:hint="eastAsia" w:ascii="宋体" w:hAnsi="宋体" w:cs="宋体"/>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sz w:val="24"/>
                <w:szCs w:val="24"/>
                <w:highlight w:val="none"/>
              </w:rPr>
              <w:t xml:space="preserve">）</w:t>
            </w:r>
            <w:r/>
          </w:p>
          <w:p>
            <w:pPr>
              <w:jc w:val="left"/>
              <w:keepLines w:val="0"/>
              <w:keepNext w:val="0"/>
              <w:pageBreakBefore w:val="0"/>
              <w:spacing w:line="390" w:lineRule="exact"/>
              <w:widowControl w:val="off"/>
              <w:rPr>
                <w:rFonts w:hint="eastAsia" w:ascii="宋体" w:hAnsi="宋体" w:eastAsia="宋体" w:cs="Times New Roman"/>
                <w:i w:val="0"/>
                <w:iCs w:val="0"/>
                <w:sz w:val="24"/>
                <w:szCs w:val="24"/>
                <w:u w:val="none"/>
              </w:rPr>
            </w:pPr>
            <w:r>
              <w:rPr>
                <w:rFonts w:hint="eastAsia" w:ascii="宋体" w:hAnsi="宋体" w:eastAsia="宋体" w:cs="宋体"/>
                <w:b/>
                <w:bCs/>
                <w:sz w:val="24"/>
                <w:szCs w:val="24"/>
                <w:highlight w:val="none"/>
                <w:shd w:val="clear" w:color="auto"/>
              </w:rPr>
              <w:t xml:space="preserve">1</w:t>
            </w:r>
            <w:r>
              <w:rPr>
                <w:rFonts w:hint="eastAsia" w:ascii="宋体" w:hAnsi="宋体" w:eastAsia="宋体" w:cs="宋体"/>
                <w:b/>
                <w:bCs/>
                <w:sz w:val="24"/>
                <w:szCs w:val="24"/>
                <w:highlight w:val="none"/>
                <w:shd w:val="clear" w:color="auto"/>
                <w:lang w:val="en-US" w:eastAsia="zh-CN"/>
              </w:rPr>
              <w:t xml:space="preserve">4</w:t>
            </w:r>
            <w:r>
              <w:rPr>
                <w:rFonts w:hint="eastAsia" w:ascii="宋体" w:hAnsi="宋体" w:eastAsia="宋体" w:cs="宋体"/>
                <w:b/>
                <w:bCs/>
                <w:sz w:val="24"/>
                <w:szCs w:val="24"/>
                <w:highlight w:val="none"/>
                <w:shd w:val="clear" w:color="auto"/>
              </w:rPr>
              <w:t xml:space="preserve">、▲配置克隆功能，满足如下：1).支持克隆功能，可为快照和源LUN提供一个实体副本；2).支持克隆立即可用、克隆一致性组、级联克隆、正向和反向同步；3).分裂后支持实体副本；（</w:t>
            </w:r>
            <w:r>
              <w:rPr>
                <w:rFonts w:hint="eastAsia" w:ascii="宋体" w:hAnsi="宋体" w:cs="宋体"/>
                <w:b/>
                <w:bCs/>
                <w:sz w:val="24"/>
                <w:szCs w:val="24"/>
                <w:highlight w:val="none"/>
                <w:shd w:val="clear" w:color="auto"/>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shd w:val="clear" w:color="auto"/>
              </w:rPr>
              <w:t xml:space="preserve">）</w:t>
            </w:r>
            <w:r/>
          </w:p>
        </w:tc>
      </w:tr>
    </w:tbl>
    <w:p>
      <w:pPr>
        <w:jc w:val="left"/>
        <w:rPr>
          <w:rFonts w:hint="default" w:eastAsia="宋体"/>
        </w:rPr>
      </w:pPr>
      <w:r>
        <w:rPr>
          <w:rFonts w:hint="default" w:eastAsia="宋体"/>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3、一体化管理平台技术参数：</w:t>
      </w:r>
      <w:r/>
    </w:p>
    <w:tbl>
      <w:tblPr>
        <w:tblStyle w:val="1030"/>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29"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1134"/>
        </w:trPr>
        <w:tc>
          <w:tcPr>
            <w:tcW w:w="670" w:type="pct"/>
            <w:vAlign w:val="center"/>
            <w:textDirection w:val="tbLrV"/>
            <w:noWrap w:val="false"/>
          </w:tcPr>
          <w:p>
            <w:pPr>
              <w:ind w:left="113" w:right="113"/>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宋体"/>
                <w:sz w:val="28"/>
                <w:szCs w:val="28"/>
              </w:rPr>
              <w:t xml:space="preserve">一体化管理平台</w:t>
            </w:r>
            <w:r/>
          </w:p>
        </w:tc>
        <w:tc>
          <w:tcPr>
            <w:tcW w:w="4329"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支持异构架构及多品牌AI，具备统一算力调度和资源管理能力。</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支持用户权限管理、用户管理、组织管理、硬件资源管理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支持模型运行任务故障自恢复能力，实现算力负载均衡和任务的灾备。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提供精细化监控指标体系，支持对节点级的CPU、内存、磁盘、网络及加速卡进行全维度、高精度的实时监控。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原生支持全场景推理拓扑（单机、多机、单机PD、多机PD分离等），支持模型实例基于算力拓扑的按需定义与资源精细化配额。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可视化模型推理任务，一键启动模型推理，同事支持多机和多副本模型推理任务的创建。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覆盖包括业内的100+主流开源模型，一键启动模型部署；支持客户自定义镜像的导入，快速构架模型基础服务。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具备企业级权限治理能力：原生支持多组织层级与接口级自定义权限角色；支持资源池化管理模式，支持算力资源按组织需求细化为资源组，确保复杂业务场景下的资源精准投产。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支持Notebook快速构建开发环境，提供web端交互式开发平台，辅助用户完成开发。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支持全链路操作审计，完整记录操作人、时间戳、状态码、源 IP、请求方法/路径及关键报文（请求与响应体），确保行为可追溯。</w:t>
            </w:r>
            <w:r/>
          </w:p>
          <w:p>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支持实例级全栈监控，涵盖 Prefill/Decode 均值耗时、TTFT 及端到端延迟分布；实时统计请求/响应 Tokens 吞吐，并实现业务指标与底层算力（显存/算力/CPU/内存）的多维关联分析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基于云原生微服务架构的管算分离架构设计，原生支持控制平面与计算集群的可解耦及多活高可用部署方案。</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集成智能网关计量体系，支持全量网关API调用追踪与Token消耗统计。通过可视化指标矩阵（分布饼图、趋势折线等），提供覆盖用户、模型及网关实例的多用户用量画像与流量分析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内置智能模型画像引擎，可自动识别模型结构与规模，结合不同硬件兼容性矩阵映射，实现推理资源（卡数、显存、内存、CPU）的精准量化评估与部署方案资源推荐</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、▲构建全渠道模型路由矩阵：支持主流大模型 API 的快速接入与封装，配合高性能网关实现请求分发、限流熔断及 Token 级用量监控，屏蔽底层服务差异</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虚拟化系统平台支持轻量化部署，操作系统+组件大小不超过2GB,降低小规模集群场景下有限资源的管理占用</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highlight w:val="none"/>
              </w:rPr>
              <w:t xml:space="preserve">支持虚拟机克隆、迁移、备份、快照等功能,支持基于模版完整克隆与链接克隆,支持内存快照,带快照信息迁移,迁移后可进行虚拟机快照恢复。</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虚拟化系统支持数字孪生一键大屏显示，可以根据机架数量，机架中主机数量，主机安装位置灵活配置，自动读取生数字孪生监测大屏，3D元素包含数据中心、机架、主机、虚拟机等对象以及各层对象对应的cpu、内存、存储、网络等资源实时状态信息</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虚拟化平台内置虚拟机备份一体机应用，无需第三方服务，云管提供一键虚拟机备份一体机应用部署与配置，可以灵活挂接到多个集群，可支持zstd/gzip/lzo等多种压缩方式，提供小时级的周期性自动备份，通过云管可以查看虚拟机备份一体机运行状态；支持利用本地资源创建和远程导入方式创建多个备份服务器，同时支持备份服务器回收站</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、▲虚拟化平台支持智能节能降噪策略，带内负载，带外环境融合分析，动态控制风扇转速、CPU降频熄核，智能降低噪音与整机功耗</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、▲虚拟化平台产品可自主可控，标称产品代码自主率(“未识别开源代码比例”)大于95%</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bookmarkStart w:id="279" w:name="_GoBack"/>
            <w:r/>
            <w:bookmarkEnd w:id="279"/>
            <w:r>
              <w:rPr>
                <w:rFonts w:hint="eastAsia" w:ascii="宋体" w:hAnsi="宋体" w:cs="宋体"/>
                <w:b/>
                <w:bCs/>
                <w:sz w:val="24"/>
                <w:szCs w:val="24"/>
                <w:highlight w:val="none"/>
                <w:lang w:eastAsia="zh-CN"/>
              </w:rPr>
              <w:t xml:space="preserve">投标时须在响应文件中提供第三方检测机构出具的合格的检验报告或功能截图等相关证明材料</w:t>
            </w:r>
            <w:r>
              <w:rPr>
                <w:rFonts w:hint="eastAsia" w:ascii="宋体" w:hAnsi="宋体" w:eastAsia="宋体" w:cs="宋体"/>
                <w:b/>
                <w:bCs/>
                <w:sz w:val="24"/>
                <w:szCs w:val="24"/>
                <w:highlight w:val="none"/>
              </w:rPr>
              <w:t xml:space="preserve">）</w:t>
            </w:r>
            <w:r/>
          </w:p>
          <w:p>
            <w:pPr>
              <w:jc w:val="left"/>
              <w:spacing w:line="360" w:lineRule="auto"/>
              <w:rPr>
                <w:rFonts w:hint="eastAsia" w:ascii="宋体" w:hAnsi="宋体" w:eastAsia="宋体" w:cs="Times New Roman"/>
                <w:i w:val="0"/>
                <w:iCs w:val="0"/>
                <w:sz w:val="24"/>
                <w:szCs w:val="24"/>
                <w:u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w:t>
            </w:r>
            <w:r>
              <w:rPr>
                <w:rFonts w:hint="eastAsia" w:ascii="宋体" w:hAnsi="宋体" w:eastAsia="宋体" w:cs="宋体"/>
                <w:i/>
                <w:iCs/>
                <w:sz w:val="24"/>
                <w:szCs w:val="24"/>
                <w:highlight w:val="none"/>
                <w:u w:val="single"/>
              </w:rPr>
              <w:t xml:space="preserve">虚拟化平台提供4节点永久授权license，5年软件订阅与保障服务。</w:t>
            </w:r>
            <w:r/>
          </w:p>
        </w:tc>
      </w:tr>
    </w:tbl>
    <w:p>
      <w:pPr>
        <w:ind w:left="0" w:firstLine="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numPr>
          <w:ilvl w:val="0"/>
          <w:numId w:val="0"/>
        </w:numPr>
        <w:ind w:firstLine="482"/>
        <w:jc w:val="left"/>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4、统一维护服务技术参数：</w:t>
      </w:r>
      <w:r/>
    </w:p>
    <w:tbl>
      <w:tblPr>
        <w:tblStyle w:val="1030"/>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功能及技术指标</w:t>
            </w:r>
            <w:r/>
          </w:p>
        </w:tc>
        <w:tc>
          <w:tcPr>
            <w:tcW w:w="4344" w:type="pct"/>
            <w:vAlign w:val="center"/>
            <w:textDirection w:val="lrTb"/>
            <w:noWrap w:val="false"/>
          </w:tcPr>
          <w:p>
            <w:pPr>
              <w:ind w:left="0"/>
              <w:jc w:val="center"/>
              <w:spacing w:line="240" w:lineRule="auto"/>
              <w:tabs>
                <w:tab w:val="left" w:pos="420" w:leader="none"/>
              </w:tabs>
              <w:rPr>
                <w:rFonts w:hint="eastAsia" w:ascii="宋体" w:hAnsi="宋体" w:eastAsia="宋体" w:cs="Times New Roman"/>
                <w:i w:val="0"/>
                <w:iCs w:val="0"/>
                <w:sz w:val="24"/>
                <w:szCs w:val="24"/>
                <w:u w:val="none"/>
              </w:rPr>
            </w:pPr>
            <w:r>
              <w:rPr>
                <w:rFonts w:hint="eastAsia" w:ascii="宋体" w:hAnsi="宋体" w:eastAsia="宋体" w:cs="Times New Roman"/>
                <w:i w:val="0"/>
                <w:iCs w:val="0"/>
                <w:sz w:val="24"/>
                <w:szCs w:val="24"/>
                <w:u w:val="none"/>
              </w:rPr>
              <w:t xml:space="preserve">参数要求</w:t>
            </w:r>
            <w:r/>
          </w:p>
        </w:tc>
      </w:tr>
      <w:tr>
        <w:trPr>
          <w:jc w:val="center"/>
          <w:trHeight w:val="1134"/>
        </w:trPr>
        <w:tc>
          <w:tcPr>
            <w:tcW w:w="655" w:type="pct"/>
            <w:vAlign w:val="center"/>
            <w:textDirection w:val="tbLrV"/>
            <w:noWrap w:val="false"/>
          </w:tcPr>
          <w:p>
            <w:pPr>
              <w:ind w:left="113" w:right="113"/>
              <w:jc w:val="center"/>
              <w:spacing w:line="240" w:lineRule="auto"/>
              <w:tabs>
                <w:tab w:val="left" w:pos="420" w:leader="none"/>
              </w:tabs>
              <w:rPr>
                <w:rFonts w:hint="default" w:ascii="宋体" w:hAnsi="宋体" w:eastAsia="宋体" w:cs="Times New Roman"/>
                <w:i w:val="0"/>
                <w:iCs w:val="0"/>
                <w:sz w:val="24"/>
                <w:szCs w:val="24"/>
                <w:u w:val="none"/>
                <w:lang w:val="en-US" w:eastAsia="zh-CN"/>
              </w:rPr>
            </w:pPr>
            <w:r>
              <w:rPr>
                <w:rFonts w:hint="eastAsia" w:ascii="宋体" w:hAnsi="宋体" w:eastAsia="宋体" w:cs="Times New Roman"/>
                <w:i w:val="0"/>
                <w:iCs w:val="0"/>
                <w:sz w:val="28"/>
                <w:szCs w:val="28"/>
                <w:u w:val="none"/>
                <w:lang w:val="en-US" w:eastAsia="zh-CN"/>
              </w:rPr>
              <w:t xml:space="preserve">统一维护服务</w:t>
            </w:r>
            <w:r/>
          </w:p>
        </w:tc>
        <w:tc>
          <w:tcPr>
            <w:tcW w:w="4344"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资产管理：资产模型全覆盖，包括硬件资产（交换机、路由器、防火墙等）、软件资产（操作系统、数据库、中间件）、虚拟资产（Docker容器），并支持自定义资产属性；支持批量纳管资产、批量导出资产；具备资产自动发现能力，支持通过IP网段自动识别设备，并支持纳管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支持监控管理</w:t>
            </w:r>
            <w:r>
              <w:rPr>
                <w:rFonts w:hint="eastAsia" w:ascii="宋体" w:hAnsi="宋体" w:eastAsia="宋体" w:cs="宋体"/>
                <w:sz w:val="24"/>
                <w:szCs w:val="24"/>
              </w:rPr>
              <w:t xml:space="preserve">：（1）支持对纳管设备进行监控，采集资产关键性能指标（如CPU、内存、磁盘、流量等），并提供历史趋势图表，支持按时间回溯分析，内置告警规则，当采集指标达到一定条件，自动触发告警；（2）具备拨测能力，包括PING联通性测试、端口可达性检测、接口可用性拨测，并可基于拨测结果自动触发告警；（3）支持对平台监控资产自定义巡检策略与模版，可定时自动执行巡检任务并生成结构化报告；</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告警管理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多源告警统一接入：支持汇聚自有监控告警，并提供标准接口对接第三方监控系统，实现告警统一汇聚；（2）告警监控处置：提供告警集中展示，分类查询能力，并支持对告警去重降噪，避免告警风暴；（3）告警通知能力：内置规则引擎，支持按照资产、告警级别等条件灵活配置通知策略，支持多渠道通知，包括钉钉、企业微信、微信、外呼等，确保告警即时触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工单管理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基于规则引擎，支持告警工单的自动生成和受理；（2）自定义工单审批流程，支持按照部门、角色等方式配置处理岗，工单可在多岗位间流转；（3）针对派发的工单，能够实现回单、转派、退回等操作；（4）可根据需求、故障、变更等任务类型，分类建立工单，实现流程调度能力；（5）集成API接口进行告警透传，实现与综合调度系统工单平台无缝对接，实现工单的自动创建，告警协同处置，流程贯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可视化展示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提供开箱即用的运维驾驶舱，动态展示资产分布、告警分布等核心数据；（2）具备自定义驾驶舱能力，支持通过拖拉拽图形化组件，自主创建、编辑可视化大屏，并支持动态绑定数据源；（3）支持自定义拓扑视图，手动构建资产关系，并实现告警联动展示。</w:t>
            </w:r>
            <w:r/>
          </w:p>
          <w:p>
            <w:pPr>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6.项目验收后提供</w:t>
            </w:r>
            <w:r>
              <w:rPr>
                <w:rFonts w:ascii="宋体" w:hAnsi="宋体" w:eastAsia="宋体" w:cs="宋体"/>
                <w:i/>
                <w:spacing w:val="7"/>
                <w:sz w:val="24"/>
                <w:szCs w:val="24"/>
                <w:highlight w:val="none"/>
                <w:u w:val="single"/>
                <w:lang w:val="en-US" w:eastAsia="zh-CN" w:bidi="ar-SA"/>
              </w:rPr>
              <w:t xml:space="preserve">5年维保服务</w:t>
            </w:r>
            <w:r>
              <w:rPr>
                <w:rFonts w:hint="eastAsia" w:ascii="宋体" w:hAnsi="宋体" w:eastAsia="宋体" w:cs="宋体"/>
                <w:i/>
                <w:iCs/>
                <w:sz w:val="24"/>
                <w:szCs w:val="24"/>
                <w:u w:val="single"/>
                <w:lang w:val="en-US" w:eastAsia="zh-CN"/>
              </w:rPr>
              <w:t xml:space="preserve">，</w:t>
            </w:r>
            <w:r>
              <w:rPr>
                <w:rFonts w:hint="eastAsia" w:ascii="宋体" w:hAnsi="宋体" w:cs="宋体"/>
                <w:i/>
                <w:iCs/>
                <w:sz w:val="24"/>
                <w:szCs w:val="24"/>
                <w:u w:val="single"/>
                <w:lang w:val="en-US" w:eastAsia="zh-CN"/>
              </w:rPr>
              <w:t xml:space="preserve">维保</w:t>
            </w:r>
            <w:r>
              <w:rPr>
                <w:rFonts w:hint="eastAsia" w:ascii="宋体" w:hAnsi="宋体" w:eastAsia="宋体" w:cs="宋体"/>
                <w:i/>
                <w:iCs/>
                <w:sz w:val="24"/>
                <w:szCs w:val="24"/>
                <w:u w:val="single"/>
                <w:lang w:val="en-US" w:eastAsia="zh-CN"/>
              </w:rPr>
              <w:t xml:space="preserve">内容包含</w:t>
            </w:r>
            <w:r>
              <w:rPr>
                <w:rFonts w:ascii="宋体" w:hAnsi="宋体" w:eastAsia="宋体" w:cs="宋体"/>
                <w:i/>
                <w:spacing w:val="7"/>
                <w:sz w:val="24"/>
                <w:szCs w:val="24"/>
                <w:highlight w:val="none"/>
                <w:u w:val="single"/>
                <w:lang w:val="en-US" w:eastAsia="zh-CN" w:bidi="ar-SA"/>
              </w:rPr>
              <w:t xml:space="preserve">原厂维保服务及原厂授权，软件终身授权维保服务</w:t>
            </w:r>
            <w:r>
              <w:rPr>
                <w:rFonts w:hint="eastAsia" w:ascii="宋体" w:hAnsi="宋体" w:cs="宋体"/>
                <w:i/>
                <w:spacing w:val="7"/>
                <w:sz w:val="24"/>
                <w:szCs w:val="24"/>
                <w:highlight w:val="none"/>
                <w:u w:val="single"/>
                <w:lang w:val="en-US" w:eastAsia="zh-CN" w:bidi="ar-SA"/>
              </w:rPr>
              <w:t xml:space="preserve">，涉及</w:t>
            </w:r>
            <w:r>
              <w:rPr>
                <w:rFonts w:hint="eastAsia" w:ascii="宋体" w:hAnsi="宋体" w:eastAsia="宋体" w:cs="宋体"/>
                <w:i/>
                <w:iCs/>
                <w:sz w:val="24"/>
                <w:szCs w:val="24"/>
                <w:u w:val="single"/>
                <w:lang w:val="en-US" w:eastAsia="zh-CN"/>
              </w:rPr>
              <w:t xml:space="preserve">项目内所有硬件设备、虚拟化系统、虚拟化系统里面所有虚拟机，同时也要配合采购人提出的配置更改需求。</w:t>
            </w:r>
            <w:r/>
          </w:p>
          <w:p>
            <w:pPr>
              <w:ind w:left="0"/>
              <w:jc w:val="left"/>
              <w:spacing w:line="240" w:lineRule="auto"/>
              <w:shd w:val="clear" w:color="auto"/>
              <w:tabs>
                <w:tab w:val="left" w:pos="42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机房托管</w:t>
            </w:r>
            <w:r>
              <w:rPr>
                <w:rFonts w:hint="eastAsia" w:ascii="宋体" w:hAnsi="宋体" w:eastAsia="宋体" w:cs="宋体"/>
                <w:sz w:val="24"/>
                <w:szCs w:val="24"/>
                <w:highlight w:val="none"/>
                <w:lang w:val="en-US" w:eastAsia="zh-CN"/>
              </w:rPr>
              <w:t xml:space="preserve">服务(4台服务器+一套一体化底座）：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机房不得在居住场所或对外经营性场所楼内，所提供机房需为相对独立空间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本项目涉及的硬件设备需要全部托管</w:t>
            </w:r>
            <w:r>
              <w:rPr>
                <w:rFonts w:hint="eastAsia" w:ascii="宋体" w:hAnsi="宋体" w:eastAsia="宋体" w:cs="宋体"/>
                <w:sz w:val="24"/>
                <w:szCs w:val="24"/>
                <w:highlight w:val="none"/>
                <w:lang w:eastAsia="zh-CN"/>
              </w:rPr>
              <w:t xml:space="preserve">，</w:t>
            </w:r>
            <w:r>
              <w:rPr>
                <w:rFonts w:hint="default" w:ascii="宋体" w:hAnsi="宋体" w:eastAsia="宋体" w:cs="宋体"/>
                <w:sz w:val="24"/>
                <w:szCs w:val="24"/>
                <w:highlight w:val="none"/>
                <w:lang w:val="en-US" w:eastAsia="zh-CN"/>
              </w:rPr>
              <w:t xml:space="preserve">机房面积不低于</w:t>
            </w: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lang w:val="en-US" w:eastAsia="zh-CN"/>
              </w:rPr>
              <w:t xml:space="preserve">0平方米；</w:t>
            </w:r>
            <w:r>
              <w:rPr>
                <w:rFonts w:hint="eastAsia" w:ascii="宋体" w:hAnsi="宋体" w:eastAsia="宋体" w:cs="宋体"/>
                <w:sz w:val="24"/>
                <w:szCs w:val="24"/>
                <w:highlight w:val="none"/>
              </w:rPr>
              <w:t xml:space="preserve">机柜提供双路不间断供电</w:t>
            </w:r>
            <w:r>
              <w:rPr>
                <w:rFonts w:hint="eastAsia" w:ascii="宋体" w:hAnsi="宋体" w:eastAsia="宋体" w:cs="宋体"/>
                <w:sz w:val="24"/>
                <w:szCs w:val="24"/>
              </w:rPr>
              <w:t xml:space="preserve">，电力总功率单机柜不低于4KW。</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动力保障：所有设备机架供电应由两套不同UPS提供，UPS电池满负荷放</w:t>
            </w:r>
            <w:r>
              <w:rPr>
                <w:rFonts w:hint="eastAsia" w:ascii="宋体" w:hAnsi="宋体" w:eastAsia="宋体" w:cs="宋体"/>
                <w:sz w:val="24"/>
                <w:szCs w:val="24"/>
                <w:highlight w:val="none"/>
              </w:rPr>
              <w:t xml:space="preserve">电时间不少于30分钟；配备后备柴油发电机组，可在满符合情况下持续运行8小时以上。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空调系统：机房必须设置机房专用的精密空调，应采取N+1冗余备份方式设置，避免出现单点故障。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机房安防：配备专用门禁和24小时监控服务。</w:t>
            </w:r>
            <w:r/>
          </w:p>
          <w:p>
            <w:pPr>
              <w:jc w:val="lef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color w:val="0000ff"/>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▲机房支持双路市电接入及固定式发电机发点，机房双路市电接入应不小于2000KVA（单路），固定式发电机功率应不小于2000KW。（投标时请提供承诺函并加盖公章，承诺函格式见第六章投标文件格式）</w:t>
            </w:r>
            <w:r/>
          </w:p>
        </w:tc>
      </w:tr>
    </w:tbl>
    <w:p>
      <w:pPr>
        <w:rPr>
          <w:rFonts w:hint="default" w:eastAsia="宋体"/>
        </w:rPr>
      </w:pPr>
      <w:r>
        <w:rPr>
          <w:rFonts w:hint="default" w:eastAsia="宋体"/>
        </w:rPr>
      </w:r>
      <w:r/>
    </w:p>
    <w:p>
      <w:pPr>
        <w:ind w:firstLine="482"/>
        <w:spacing w:line="520" w:lineRule="exact"/>
        <w:tabs>
          <w:tab w:val="left" w:pos="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（三）项目要求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（1）项目实施要求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1.1总体实施要求</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中标供应商在项目服务期间应制定项目安全实施管理措施，并严格遵守安全管理要求，中标供应商在项目服务过程中因管理不当、维护措施不当等因素或不按安全管理要求，造成人员安全或财产损失事故的，其责任均由中标供应商自行承担，采购人不承担责任。</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2.如因中标供应商投入人员</w:t>
      </w:r>
      <w:r>
        <w:rPr>
          <w:rFonts w:hint="eastAsia" w:ascii="宋体" w:hAnsi="宋体" w:eastAsia="宋体" w:cs="宋体"/>
          <w:bCs/>
          <w:sz w:val="24"/>
          <w:szCs w:val="24"/>
        </w:rPr>
        <w:t xml:space="preserve">过少原因，造成无法在承诺工期内完成服务，由此产生的一切责任</w:t>
      </w:r>
      <w:r>
        <w:rPr>
          <w:rFonts w:hint="eastAsia" w:ascii="宋体" w:hAnsi="宋体" w:eastAsia="宋体" w:cs="宋体"/>
          <w:bCs/>
          <w:sz w:val="24"/>
          <w:szCs w:val="24"/>
          <w:highlight w:val="none"/>
        </w:rPr>
        <w:t xml:space="preserve">由中标供应商承担。</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供应商应根据项目建设要求，提供针对本项目的项目实施方案、施工组织措施方案和服务保障方案，各方案需求如下：</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项目实施方案</w:t>
      </w:r>
      <w:r>
        <w:rPr>
          <w:rFonts w:hint="eastAsia" w:ascii="宋体" w:hAnsi="宋体" w:eastAsia="宋体" w:cs="宋体"/>
          <w:bCs/>
          <w:sz w:val="24"/>
          <w:szCs w:val="24"/>
          <w:highlight w:val="none"/>
        </w:rPr>
        <w:t xml:space="preserve">应至少包含：整体架构方案、安全与可靠性规划、集成部署、备份与可用性规划、运维管理方案</w:t>
      </w:r>
      <w:r>
        <w:rPr>
          <w:rFonts w:hint="eastAsia" w:ascii="宋体" w:hAnsi="宋体" w:eastAsia="宋体" w:cs="宋体"/>
          <w:bCs/>
          <w:sz w:val="24"/>
          <w:szCs w:val="24"/>
          <w:highlight w:val="none"/>
          <w:lang w:eastAsia="zh-CN"/>
        </w:rPr>
        <w:t xml:space="preserve">。</w:t>
      </w:r>
      <w:r/>
    </w:p>
    <w:p>
      <w:pPr>
        <w:ind w:firstLine="480"/>
        <w:jc w:val="left"/>
        <w:keepLines w:val="0"/>
        <w:keepNext w:val="0"/>
        <w:pageBreakBefore w:val="0"/>
        <w:spacing w:line="420" w:lineRule="exact"/>
        <w:shd w:val="clear" w:color="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施工组织方案</w:t>
      </w:r>
      <w:r>
        <w:rPr>
          <w:rFonts w:hint="eastAsia" w:ascii="宋体" w:hAnsi="宋体" w:eastAsia="宋体" w:cs="宋体"/>
          <w:bCs/>
          <w:sz w:val="24"/>
          <w:szCs w:val="24"/>
          <w:highlight w:val="none"/>
        </w:rPr>
        <w:t xml:space="preserve">应至少包含：实施团队</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设备供货、进度控制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系统定制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安装调试。</w:t>
      </w:r>
      <w:r/>
    </w:p>
    <w:p>
      <w:pPr>
        <w:ind w:firstLine="480"/>
        <w:jc w:val="left"/>
        <w:keepLines w:val="0"/>
        <w:keepNext w:val="0"/>
        <w:pageBreakBefore w:val="0"/>
        <w:spacing w:line="420" w:lineRule="exact"/>
        <w:shd w:val="clear" w:color="auto"/>
        <w:widowControl w:val="off"/>
        <w:rPr>
          <w:rFonts w:hint="eastAsia" w:eastAsia="宋体"/>
          <w:highlight w:val="none"/>
        </w:rPr>
      </w:pPr>
      <w:r>
        <w:rPr>
          <w:rFonts w:hint="eastAsia" w:ascii="宋体" w:hAnsi="宋体" w:eastAsia="宋体" w:cs="宋体"/>
          <w:bCs/>
          <w:sz w:val="24"/>
          <w:szCs w:val="24"/>
          <w:highlight w:val="none"/>
        </w:rPr>
        <w:t xml:space="preserve">服务保障方案应至少包含：售后服务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培训服务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质量管理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风险应急管理</w:t>
      </w:r>
      <w:r>
        <w:rPr>
          <w:rFonts w:hint="eastAsia" w:ascii="宋体" w:hAnsi="宋体" w:eastAsia="宋体" w:cs="宋体"/>
          <w:bCs/>
          <w:sz w:val="24"/>
          <w:szCs w:val="24"/>
          <w:highlight w:val="none"/>
          <w:lang w:eastAsia="zh-CN"/>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1.2人员要求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highlight w:val="none"/>
        </w:rPr>
        <w:t xml:space="preserve">供应商应熟悉本项目相</w:t>
      </w:r>
      <w:r>
        <w:rPr>
          <w:rFonts w:hint="eastAsia" w:ascii="宋体" w:hAnsi="宋体" w:eastAsia="宋体" w:cs="宋体"/>
          <w:bCs/>
          <w:sz w:val="24"/>
          <w:szCs w:val="24"/>
        </w:rPr>
        <w:t xml:space="preserve">关情况，根据自身专业优势和项目需要，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项目组人员岗位不得兼任，具体需求如下：</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项目经理1名</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负责IT服务与系统规划、信创生态和跨架构迁移、医疗数据安全与风险合规管理工作。</w:t>
      </w:r>
      <w:r>
        <w:rPr>
          <w:rFonts w:hint="eastAsia" w:ascii="宋体" w:hAnsi="宋体" w:eastAsia="宋体" w:cs="宋体"/>
          <w:bCs/>
          <w:sz w:val="24"/>
          <w:szCs w:val="24"/>
          <w:highlight w:val="none"/>
          <w:lang w:val="en-US" w:eastAsia="zh-CN"/>
        </w:rPr>
        <w:t xml:space="preserve">具备系统规划与管理师证书、信息技术应用创新服务项目经理证书、注册信息安全管理人员证书。</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项目管理工程师1名</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负责信创生态集合和迁移管理、网络安全防御和合规管控工作。</w:t>
      </w:r>
      <w:r>
        <w:rPr>
          <w:rFonts w:hint="eastAsia" w:ascii="宋体" w:hAnsi="宋体" w:eastAsia="宋体" w:cs="宋体"/>
          <w:bCs/>
          <w:sz w:val="24"/>
          <w:szCs w:val="24"/>
          <w:highlight w:val="none"/>
          <w:lang w:val="en-US" w:eastAsia="zh-CN"/>
        </w:rPr>
        <w:t xml:space="preserve">具备信创集成项目管理师证书、网络安全能力认证（网络安全管理Ⅰ级）。</w:t>
      </w:r>
      <w:r/>
    </w:p>
    <w:p>
      <w:pPr>
        <w:ind w:firstLine="480"/>
        <w:jc w:val="left"/>
        <w:keepLines w:val="0"/>
        <w:keepNext w:val="0"/>
        <w:pageBreakBefore w:val="0"/>
        <w:spacing w:line="42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技术负责工程师1名</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cs="宋体"/>
          <w:bCs/>
          <w:sz w:val="24"/>
          <w:szCs w:val="24"/>
          <w:highlight w:val="none"/>
          <w:lang w:val="en-US" w:eastAsia="zh-CN"/>
        </w:rPr>
        <w:t xml:space="preserve">负责信创生态架构规划与异构底座适配调优、医疗数据中心信息安全防御和高可靠设计、突发技术时间应急处置与业务连续性保障工作。</w:t>
      </w:r>
      <w:r>
        <w:rPr>
          <w:rFonts w:hint="eastAsia" w:ascii="宋体" w:hAnsi="宋体" w:eastAsia="宋体" w:cs="宋体"/>
          <w:bCs/>
          <w:sz w:val="24"/>
          <w:szCs w:val="24"/>
          <w:highlight w:val="none"/>
          <w:lang w:val="en-US" w:eastAsia="zh-CN"/>
        </w:rPr>
        <w:t xml:space="preserve">具备信息技术应用创</w:t>
      </w:r>
      <w:r>
        <w:rPr>
          <w:rFonts w:hint="eastAsia" w:ascii="宋体" w:hAnsi="宋体" w:eastAsia="宋体" w:cs="宋体"/>
          <w:bCs/>
          <w:sz w:val="24"/>
          <w:szCs w:val="24"/>
          <w:lang w:val="en-US" w:eastAsia="zh-CN"/>
        </w:rPr>
        <w:t xml:space="preserve">新服务工程师证书、信息安全工程师证书、信息安全保障人员认证证书（应急服务）。</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1.3售后服务要求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1、提供7X24小时热线仍值守以及响应电话，7X24小时全天候技术支持响应。</w:t>
      </w:r>
      <w:r/>
    </w:p>
    <w:p>
      <w:pPr>
        <w:ind w:left="479"/>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2、机房具备环境智能监控，实现对设备电流量的监控、机房温度监控、机房湿度监控。</w:t>
      </w:r>
      <w:r/>
    </w:p>
    <w:p>
      <w:pPr>
        <w:ind w:left="479"/>
        <w:jc w:val="left"/>
        <w:keepLines w:val="0"/>
        <w:keepNext w:val="0"/>
        <w:pageBreakBefore w:val="0"/>
        <w:spacing w:line="420" w:lineRule="exact"/>
        <w:widowControl w:val="off"/>
        <w:rPr>
          <w:rFonts w:hint="eastAsia" w:eastAsia="宋体"/>
        </w:rPr>
      </w:pPr>
      <w:r>
        <w:rPr>
          <w:rFonts w:hint="eastAsia" w:ascii="宋体" w:hAnsi="宋体" w:eastAsia="宋体" w:cs="宋体"/>
          <w:bCs/>
          <w:i/>
          <w:iCs/>
          <w:sz w:val="24"/>
          <w:szCs w:val="24"/>
          <w:u w:val="single"/>
        </w:rPr>
        <w:t xml:space="preserve">3、应急响应时间≤4小时。</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（2）培训要求</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2.1项目实施过程中，投标人应免费提供专业培训，通过一系列专业化培训，使相关操作人员和系统运行维护管理人员等能够正确、熟练、有效地利用本系统进行信息系统的安全业务的操作、处理、管理和维护。</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2.2投标人应保证提供最有经验的教员，使采购人相关人员在培训后能够独立地对系统进行管理、维护。</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2.3培训教材应使用标准中文；为进行有效的技术交流，所有培训教员必须具备熟练的中文会话和书写能力。</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2.4投标人需要与用户协商专业的培训的时间及培训地点。</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2.5培训内容：系统功能、日常操作、维护等方面。</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2.6投标人应针对本项目提出详细的技术培训方案。</w:t>
      </w:r>
      <w:r/>
    </w:p>
    <w:p>
      <w:pPr>
        <w:ind w:firstLine="480"/>
        <w:jc w:val="left"/>
        <w:keepLines w:val="0"/>
        <w:keepNext w:val="0"/>
        <w:pageBreakBefore w:val="0"/>
        <w:spacing w:line="4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（3）保密要求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3.1供应商负责对采购人所提供资料及最终成果的保密，供应商及其工作人员需遵守采购人的保密规定，不以任何形式将收集的资料、数据等进行泄漏、传播。</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3.2项目服务人员须承担在工作中接触相关内容的保密义务。</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3.3项目成果最终所有权属采购人，在项目完成时供应商必须全部移交。</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rPr>
        <w:t xml:space="preserve">3.4供应商须维护项目服务成果，不得转让给第三方重复使用。</w:t>
      </w:r>
      <w:r/>
    </w:p>
    <w:p>
      <w:pPr>
        <w:ind w:firstLine="480"/>
        <w:jc w:val="left"/>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（4）知识产权要求</w:t>
      </w:r>
      <w:r/>
    </w:p>
    <w:p>
      <w:pPr>
        <w:ind w:firstLine="480"/>
        <w:jc w:val="left"/>
        <w:keepLines w:val="0"/>
        <w:keepNext w:val="0"/>
        <w:pageBreakBefore w:val="0"/>
        <w:spacing w:line="420" w:lineRule="exact"/>
        <w:widowControl w:val="off"/>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采购方具有所购软件的原厂正版软件授权和软件永久使用权。</w:t>
      </w:r>
      <w:r/>
    </w:p>
    <w:p>
      <w:pPr>
        <w:ind w:firstLine="480"/>
        <w:jc w:val="left"/>
        <w:keepLines w:val="0"/>
        <w:keepNext w:val="0"/>
        <w:pageBreakBefore w:val="0"/>
        <w:spacing w:line="420" w:lineRule="exact"/>
        <w:widowControl w:val="off"/>
        <w:rPr>
          <w:rFonts w:hint="eastAsia" w:ascii="宋体" w:hAnsi="宋体" w:eastAsia="宋体" w:cs="宋体"/>
          <w:bCs/>
          <w:i/>
          <w:iCs/>
          <w:sz w:val="30"/>
          <w:szCs w:val="30"/>
          <w:u w:val="single"/>
        </w:rPr>
      </w:pP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lang w:val="en-US" w:eastAsia="zh-CN"/>
        </w:rPr>
        <w:t xml:space="preserve">5</w:t>
      </w:r>
      <w:r>
        <w:rPr>
          <w:rFonts w:hint="eastAsia" w:ascii="宋体" w:hAnsi="宋体" w:eastAsia="宋体" w:cs="宋体"/>
          <w:bCs/>
          <w:i/>
          <w:iCs/>
          <w:sz w:val="24"/>
          <w:szCs w:val="24"/>
          <w:u w:val="single"/>
          <w:lang w:eastAsia="zh-CN"/>
        </w:rPr>
        <w:t xml:space="preserve">）</w:t>
      </w:r>
      <w:r>
        <w:rPr>
          <w:rFonts w:hint="eastAsia" w:ascii="宋体" w:hAnsi="宋体" w:eastAsia="宋体" w:cs="宋体"/>
          <w:bCs/>
          <w:i/>
          <w:iCs/>
          <w:sz w:val="24"/>
          <w:szCs w:val="24"/>
          <w:u w:val="single"/>
        </w:rPr>
        <w:t xml:space="preserve">系统支持信创。</w:t>
      </w:r>
      <w:r/>
    </w:p>
    <w:p>
      <w:pPr>
        <w:jc w:val="left"/>
        <w:widowControl/>
        <w:rPr>
          <w:rFonts w:hint="default" w:eastAsia="宋体" w:cs="Times New Roman"/>
          <w:sz w:val="24"/>
          <w:szCs w:val="24"/>
        </w:rPr>
      </w:pPr>
      <w:r>
        <w:rPr>
          <w:rFonts w:hint="default" w:eastAsia="宋体" w:cs="Times New Roman"/>
          <w:sz w:val="24"/>
          <w:szCs w:val="24"/>
        </w:rPr>
      </w:r>
      <w:r/>
    </w:p>
    <w:p>
      <w:pPr>
        <w:jc w:val="left"/>
        <w:widowControl/>
        <w:rPr>
          <w:rFonts w:hint="default" w:eastAsia="宋体" w:cs="Times New Roman"/>
          <w:sz w:val="24"/>
          <w:szCs w:val="24"/>
        </w:rPr>
      </w:pPr>
      <w:r>
        <w:rPr>
          <w:rFonts w:hint="default" w:eastAsia="宋体" w:cs="Times New Roman"/>
          <w:sz w:val="24"/>
          <w:szCs w:val="24"/>
        </w:rPr>
        <w:br w:type="page" w:clear="all"/>
      </w:r>
      <w:r/>
    </w:p>
    <w:p>
      <w:pPr>
        <w:ind w:firstLine="480"/>
        <w:spacing w:line="360" w:lineRule="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r>
      <w:r/>
    </w:p>
    <w:p>
      <w:pPr>
        <w:numPr>
          <w:ilvl w:val="0"/>
          <w:numId w:val="0"/>
        </w:numPr>
        <w:ind w:firstLine="562"/>
        <w:jc w:val="left"/>
        <w:keepLines w:val="0"/>
        <w:keepNext w:val="0"/>
        <w:pageBreakBefore w:val="0"/>
        <w:spacing w:line="400" w:lineRule="exact"/>
        <w:widowControl/>
        <w:rPr>
          <w:rFonts w:hint="default" w:ascii="宋体" w:hAnsi="宋体" w:eastAsia="宋体" w:cs="Times New Roman"/>
          <w:b/>
          <w:sz w:val="28"/>
          <w:szCs w:val="28"/>
        </w:rPr>
      </w:pPr>
      <w:r>
        <w:rPr>
          <w:rFonts w:hint="eastAsia" w:ascii="宋体" w:hAnsi="宋体" w:cs="Times New Roman"/>
          <w:b/>
          <w:sz w:val="28"/>
          <w:szCs w:val="28"/>
          <w:lang w:eastAsia="zh-CN"/>
        </w:rPr>
        <w:t xml:space="preserve">三、</w:t>
      </w:r>
      <w:r>
        <w:rPr>
          <w:rFonts w:hint="eastAsia" w:ascii="宋体" w:hAnsi="宋体" w:eastAsia="宋体" w:cs="Times New Roman"/>
          <w:b/>
          <w:sz w:val="28"/>
          <w:szCs w:val="28"/>
        </w:rPr>
        <w:t xml:space="preserve">商务条款</w:t>
      </w:r>
      <w:r/>
    </w:p>
    <w:p>
      <w:pPr>
        <w:ind w:firstLine="500"/>
        <w:spacing w:line="440" w:lineRule="exact"/>
        <w:rPr>
          <w:rFonts w:hint="eastAsia" w:ascii="宋体" w:hAnsi="宋体" w:eastAsia="宋体" w:cs="宋体"/>
          <w:b/>
          <w:bCs/>
          <w:iCs/>
          <w:spacing w:val="7"/>
          <w:sz w:val="24"/>
          <w:szCs w:val="24"/>
          <w:lang w:val="en-US" w:eastAsia="zh-CN" w:bidi="ar-SA"/>
        </w:rPr>
      </w:pPr>
      <w:r>
        <w:rPr>
          <w:rFonts w:hint="eastAsia" w:ascii="宋体" w:hAnsi="宋体" w:eastAsia="宋体" w:cs="宋体"/>
          <w:b/>
          <w:bCs/>
          <w:iCs/>
          <w:spacing w:val="7"/>
          <w:sz w:val="24"/>
          <w:szCs w:val="24"/>
          <w:lang w:val="en-US" w:eastAsia="zh-CN" w:bidi="ar-SA"/>
        </w:rPr>
        <w:t xml:space="preserve">1交货期限及地点</w:t>
      </w:r>
      <w:r/>
    </w:p>
    <w:p>
      <w:pPr>
        <w:ind w:firstLine="500"/>
        <w:spacing w:line="440" w:lineRule="exact"/>
        <w:rPr>
          <w:rFonts w:hint="eastAsia" w:ascii="宋体" w:hAnsi="宋体" w:eastAsia="宋体" w:cs="宋体"/>
          <w:i/>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1.</w:t>
      </w:r>
      <w:r>
        <w:rPr>
          <w:rFonts w:hint="eastAsia" w:ascii="宋体" w:hAnsi="宋体" w:eastAsia="宋体" w:cs="宋体"/>
          <w:i/>
          <w:spacing w:val="7"/>
          <w:sz w:val="24"/>
          <w:szCs w:val="24"/>
          <w:u w:val="single"/>
          <w:lang w:val="en-US" w:eastAsia="zh-CN" w:bidi="ar-SA"/>
        </w:rPr>
        <w:t xml:space="preserve">1交货</w:t>
      </w:r>
      <w:r>
        <w:rPr>
          <w:rFonts w:ascii="宋体" w:hAnsi="宋体" w:eastAsia="宋体" w:cs="宋体"/>
          <w:i/>
          <w:spacing w:val="7"/>
          <w:sz w:val="24"/>
          <w:szCs w:val="24"/>
          <w:u w:val="single"/>
          <w:lang w:val="en-US" w:eastAsia="zh-CN" w:bidi="ar-SA"/>
        </w:rPr>
        <w:t xml:space="preserve">期限</w:t>
      </w:r>
      <w:r/>
    </w:p>
    <w:p>
      <w:pPr>
        <w:ind w:firstLine="500"/>
        <w:spacing w:line="440" w:lineRule="exact"/>
        <w:rPr>
          <w:rFonts w:hint="eastAsia" w:ascii="宋体" w:hAnsi="宋体" w:eastAsia="宋体" w:cs="宋体"/>
          <w:i/>
          <w:spacing w:val="7"/>
          <w:sz w:val="24"/>
          <w:szCs w:val="24"/>
          <w:highlight w:val="none"/>
          <w:u w:val="single"/>
          <w:lang w:val="en-US" w:eastAsia="zh-CN" w:bidi="ar-SA"/>
        </w:rPr>
      </w:pPr>
      <w:r>
        <w:rPr>
          <w:rFonts w:ascii="宋体" w:hAnsi="宋体" w:eastAsia="宋体" w:cs="宋体"/>
          <w:i/>
          <w:spacing w:val="7"/>
          <w:sz w:val="24"/>
          <w:szCs w:val="24"/>
          <w:highlight w:val="none"/>
          <w:u w:val="single"/>
          <w:lang w:val="en-US" w:eastAsia="zh-CN" w:bidi="ar-SA"/>
        </w:rPr>
        <w:t xml:space="preserve">合同签订后90天内完成整个项目的建设及调试工作。项目实施完成后由中标人申请试运行，不间断试运行一个月后进行项目验收。自本项目终验合格后（以双方验收报告签订日期为准），所供硬件提供5年原厂维保服务及原厂授权，软件终身授权维保服务。</w:t>
      </w:r>
      <w:r/>
    </w:p>
    <w:p>
      <w:pPr>
        <w:ind w:firstLine="480"/>
        <w:spacing w:line="500" w:lineRule="exact"/>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1.2交货地点</w:t>
      </w:r>
      <w:r/>
    </w:p>
    <w:p>
      <w:pPr>
        <w:ind w:firstLine="480"/>
        <w:spacing w:line="500" w:lineRule="exact"/>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张家港市第一人民医院。</w:t>
      </w:r>
      <w:r/>
    </w:p>
    <w:p>
      <w:pPr>
        <w:ind w:firstLine="510"/>
        <w:spacing w:line="360" w:lineRule="auto"/>
        <w:rPr>
          <w:rFonts w:hint="eastAsia" w:ascii="宋体" w:hAnsi="宋体" w:eastAsia="宋体" w:cs="宋体"/>
          <w:b/>
          <w:spacing w:val="7"/>
          <w:sz w:val="24"/>
          <w:szCs w:val="24"/>
          <w:highlight w:val="none"/>
          <w:lang w:val="en-US" w:eastAsia="zh-CN" w:bidi="ar-SA"/>
        </w:rPr>
      </w:pPr>
      <w:r>
        <w:rPr>
          <w:rFonts w:hint="eastAsia" w:ascii="宋体" w:hAnsi="宋体" w:eastAsia="宋体" w:cs="宋体"/>
          <w:b/>
          <w:spacing w:val="7"/>
          <w:sz w:val="24"/>
          <w:szCs w:val="24"/>
          <w:highlight w:val="none"/>
          <w:lang w:val="en-US" w:eastAsia="zh-CN" w:bidi="ar-SA"/>
        </w:rPr>
        <w:t xml:space="preserve">2货款支付</w:t>
      </w:r>
      <w:r/>
    </w:p>
    <w:p>
      <w:pPr>
        <w:ind w:firstLine="508"/>
        <w:spacing w:line="440" w:lineRule="exact"/>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2.1结付程序</w:t>
      </w:r>
      <w:r/>
    </w:p>
    <w:p>
      <w:pPr>
        <w:ind w:firstLine="508"/>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中标人按合同内容合格地履行义务后，凭销售合同、验收报告、销售发票到采购单位办理结算手续。</w:t>
      </w:r>
      <w:r/>
    </w:p>
    <w:p>
      <w:pPr>
        <w:ind w:firstLine="508"/>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2.2结付期限</w:t>
      </w:r>
      <w:r/>
    </w:p>
    <w:p>
      <w:pPr>
        <w:ind w:firstLine="508"/>
        <w:spacing w:line="360" w:lineRule="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（1）合同签订生效后，采购人支付合同总价的</w:t>
      </w:r>
      <w:r>
        <w:rPr>
          <w:rFonts w:hint="eastAsia" w:ascii="宋体" w:hAnsi="宋体" w:eastAsia="宋体" w:cs="宋体"/>
          <w:i/>
          <w:iCs/>
          <w:color w:val="auto"/>
          <w:spacing w:val="7"/>
          <w:sz w:val="24"/>
          <w:szCs w:val="24"/>
          <w:highlight w:val="none"/>
          <w:u w:val="single"/>
          <w:lang w:val="en-US" w:eastAsia="zh-CN" w:bidi="ar-SA"/>
        </w:rPr>
        <w:t xml:space="preserve">30</w:t>
      </w:r>
      <w:r>
        <w:rPr>
          <w:rFonts w:ascii="宋体" w:hAnsi="宋体" w:eastAsia="宋体" w:cs="宋体"/>
          <w:i/>
          <w:iCs/>
          <w:color w:val="auto"/>
          <w:spacing w:val="7"/>
          <w:sz w:val="24"/>
          <w:szCs w:val="24"/>
          <w:highlight w:val="none"/>
          <w:u w:val="single"/>
          <w:lang w:val="en-US" w:eastAsia="zh-CN" w:bidi="ar-SA"/>
        </w:rPr>
        <w:t xml:space="preserve">%</w:t>
      </w:r>
      <w:r>
        <w:rPr>
          <w:rFonts w:hint="eastAsia" w:ascii="Times New Roman" w:hAnsi="Times New Roman" w:eastAsia="宋体" w:cs="Times New Roman"/>
          <w:i/>
          <w:iCs/>
          <w:color w:val="auto"/>
          <w:sz w:val="24"/>
          <w:szCs w:val="24"/>
          <w:highlight w:val="none"/>
          <w:u w:val="single"/>
          <w:lang w:val="en-US" w:eastAsia="zh-CN" w:bidi="ar-SA"/>
        </w:rPr>
        <w:t xml:space="preserve">作为预付款</w:t>
      </w:r>
      <w:r>
        <w:rPr>
          <w:rFonts w:hint="eastAsia" w:ascii="宋体" w:hAnsi="宋体" w:eastAsia="宋体" w:cs="宋体"/>
          <w:i/>
          <w:iCs/>
          <w:color w:val="auto"/>
          <w:spacing w:val="7"/>
          <w:sz w:val="24"/>
          <w:szCs w:val="24"/>
          <w:highlight w:val="none"/>
          <w:u w:val="single"/>
          <w:lang w:val="en-US" w:eastAsia="zh-CN" w:bidi="ar-SA"/>
        </w:rPr>
        <w:t xml:space="preserve">；</w:t>
      </w:r>
      <w:r/>
    </w:p>
    <w:p>
      <w:pPr>
        <w:ind w:firstLine="508"/>
        <w:spacing w:line="360" w:lineRule="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（2）项目服务完成并验收合格后，甲方支付本项目合同总价的70%</w:t>
      </w:r>
      <w:r>
        <w:rPr>
          <w:rFonts w:hint="eastAsia" w:ascii="宋体" w:hAnsi="宋体" w:eastAsia="宋体" w:cs="宋体"/>
          <w:i/>
          <w:iCs/>
          <w:color w:val="auto"/>
          <w:spacing w:val="7"/>
          <w:sz w:val="24"/>
          <w:szCs w:val="24"/>
          <w:highlight w:val="none"/>
          <w:u w:val="single"/>
          <w:lang w:val="en-US" w:eastAsia="zh-CN" w:bidi="ar-SA"/>
        </w:rPr>
        <w:t xml:space="preserve">并返还履约保证金</w:t>
      </w:r>
      <w:r>
        <w:rPr>
          <w:rFonts w:ascii="宋体" w:hAnsi="宋体" w:eastAsia="宋体" w:cs="宋体"/>
          <w:i/>
          <w:iCs/>
          <w:color w:val="auto"/>
          <w:spacing w:val="7"/>
          <w:sz w:val="24"/>
          <w:szCs w:val="24"/>
          <w:highlight w:val="none"/>
          <w:u w:val="single"/>
          <w:lang w:val="en-US" w:eastAsia="zh-CN" w:bidi="ar-SA"/>
        </w:rPr>
        <w:t xml:space="preserve">。</w:t>
      </w:r>
      <w:r/>
    </w:p>
    <w:p>
      <w:pPr>
        <w:ind w:firstLine="510"/>
        <w:spacing w:line="360" w:lineRule="auto"/>
        <w:rPr>
          <w:rFonts w:hint="eastAsia" w:ascii="宋体" w:hAnsi="宋体" w:eastAsia="宋体" w:cs="宋体"/>
          <w:b/>
          <w:color w:val="auto"/>
          <w:spacing w:val="7"/>
          <w:sz w:val="24"/>
          <w:szCs w:val="24"/>
          <w:highlight w:val="none"/>
          <w:lang w:val="en-US" w:eastAsia="zh-CN" w:bidi="ar-SA"/>
        </w:rPr>
      </w:pPr>
      <w:r>
        <w:rPr>
          <w:rFonts w:ascii="宋体" w:hAnsi="宋体" w:eastAsia="宋体" w:cs="宋体"/>
          <w:b/>
          <w:color w:val="auto"/>
          <w:spacing w:val="7"/>
          <w:sz w:val="24"/>
          <w:szCs w:val="24"/>
          <w:highlight w:val="none"/>
          <w:lang w:val="en-US" w:eastAsia="zh-CN" w:bidi="ar-SA"/>
        </w:rPr>
        <w:t xml:space="preserve">3投标货币</w:t>
      </w:r>
      <w:r/>
    </w:p>
    <w:p>
      <w:pPr>
        <w:ind w:firstLine="508"/>
        <w:spacing w:line="440" w:lineRule="exact"/>
        <w:rPr>
          <w:rFonts w:hint="eastAsia" w:ascii="宋体" w:hAnsi="宋体" w:eastAsia="宋体" w:cs="Times New Roman"/>
          <w:sz w:val="24"/>
          <w:szCs w:val="22"/>
          <w:lang w:val="en-US" w:eastAsia="zh-CN" w:bidi="ar-SA"/>
        </w:rPr>
      </w:pPr>
      <w:r>
        <w:rPr>
          <w:rFonts w:hint="eastAsia" w:ascii="宋体" w:hAnsi="宋体" w:eastAsia="宋体" w:cs="宋体"/>
          <w:i/>
          <w:iCs/>
          <w:spacing w:val="7"/>
          <w:sz w:val="24"/>
          <w:szCs w:val="24"/>
          <w:u w:val="single"/>
        </w:rPr>
        <w:t xml:space="preserve">3.1投标货币：人民币</w:t>
      </w:r>
      <w:r/>
    </w:p>
    <w:p>
      <w:pPr>
        <w:ind w:firstLine="500"/>
        <w:spacing w:line="440" w:lineRule="exact"/>
        <w:rPr>
          <w:rFonts w:ascii="宋体" w:hAnsi="宋体" w:eastAsia="宋体" w:cs="Times New Roman"/>
          <w:i/>
          <w:color w:val="000000"/>
          <w:spacing w:val="7"/>
          <w:sz w:val="24"/>
          <w:szCs w:val="24"/>
          <w:u w:val="single"/>
          <w:lang w:val="en-US" w:eastAsia="zh-CN" w:bidi="ar-SA"/>
        </w:rPr>
      </w:pPr>
      <w:r>
        <w:rPr>
          <w:rFonts w:ascii="宋体" w:hAnsi="宋体" w:eastAsia="宋体" w:cs="Times New Roman"/>
          <w:i/>
          <w:color w:val="000000"/>
          <w:spacing w:val="7"/>
          <w:sz w:val="24"/>
          <w:szCs w:val="24"/>
          <w:u w:val="single"/>
          <w:lang w:val="en-US" w:eastAsia="zh-CN" w:bidi="ar-SA"/>
        </w:rPr>
        <w:t xml:space="preserve">人民币</w:t>
      </w:r>
      <w:r/>
    </w:p>
    <w:p>
      <w:pPr>
        <w:ind w:left="562"/>
        <w:jc w:val="left"/>
        <w:spacing w:line="400" w:lineRule="exact"/>
        <w:widowControl/>
        <w:rPr>
          <w:rFonts w:hint="default" w:ascii="宋体" w:hAnsi="宋体" w:eastAsia="宋体" w:cs="Times New Roman"/>
          <w:b/>
          <w:sz w:val="28"/>
          <w:szCs w:val="28"/>
        </w:rPr>
      </w:pPr>
      <w:r>
        <w:rPr>
          <w:rFonts w:hint="default" w:ascii="宋体" w:hAnsi="宋体" w:eastAsia="宋体" w:cs="Times New Roman"/>
          <w:b/>
          <w:sz w:val="28"/>
          <w:szCs w:val="28"/>
        </w:rPr>
      </w:r>
      <w:r/>
    </w:p>
    <w:p>
      <w:pPr>
        <w:pStyle w:val="941"/>
        <w:jc w:val="center"/>
        <w:pageBreakBefore/>
        <w:spacing w:line="360" w:lineRule="auto"/>
        <w:rPr>
          <w:rFonts w:hint="eastAsia" w:ascii="宋体" w:hAnsi="宋体" w:eastAsia="宋体"/>
          <w:color w:val="auto"/>
          <w:highlight w:val="none"/>
        </w:rPr>
      </w:pPr>
      <w:r/>
      <w:bookmarkStart w:id="173" w:name="_Toc17224"/>
      <w:r>
        <w:rPr>
          <w:rFonts w:hint="eastAsia" w:ascii="宋体" w:hAnsi="宋体" w:eastAsia="宋体"/>
          <w:color w:val="auto"/>
          <w:highlight w:val="none"/>
        </w:rPr>
        <w:t xml:space="preserve">第五章 评标方法与评标标准</w:t>
      </w:r>
      <w:bookmarkEnd w:id="173"/>
      <w:r/>
      <w:r/>
    </w:p>
    <w:p>
      <w:pPr>
        <w:pStyle w:val="964"/>
        <w:ind w:firstLine="450"/>
        <w:spacing w:line="440" w:lineRule="exact"/>
        <w:rPr>
          <w:rStyle w:val="934"/>
          <w:rFonts w:hint="eastAsia"/>
          <w:b/>
          <w:bCs/>
          <w:color w:val="auto"/>
          <w:spacing w:val="7"/>
          <w:sz w:val="24"/>
          <w:szCs w:val="24"/>
          <w:highlight w:val="none"/>
        </w:rPr>
        <w:outlineLvl w:val="1"/>
      </w:pPr>
      <w:r>
        <w:rPr>
          <w:rStyle w:val="934"/>
          <w:rFonts w:hint="eastAsia"/>
          <w:b/>
          <w:bCs/>
          <w:color w:val="auto"/>
          <w:spacing w:val="7"/>
          <w:sz w:val="24"/>
          <w:szCs w:val="24"/>
          <w:highlight w:val="none"/>
        </w:rPr>
        <w:t xml:space="preserve">一、评标方法与定标原则</w:t>
      </w:r>
      <w:r/>
    </w:p>
    <w:p>
      <w:pPr>
        <w:pStyle w:val="965"/>
        <w:ind w:firstLine="508"/>
        <w:spacing w:line="440" w:lineRule="exact"/>
        <w:rPr>
          <w:rStyle w:val="934"/>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1</w:t>
      </w:r>
      <w:bookmarkStart w:id="174" w:name="EB7fb355fa72914ecb929ae586b8e28d83"/>
      <w:r/>
      <w:bookmarkEnd w:id="174"/>
      <w:r/>
      <w:bookmarkStart w:id="175" w:name="EB62ffe30267be4d9da459adf3124e9fe5"/>
      <w:r/>
      <w:bookmarkEnd w:id="175"/>
      <w:r>
        <w:rPr>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6" w:name="EB5665b3cc3ef142c8a0c8bc5d3e5d286b"/>
      <w:r/>
      <w:bookmarkEnd w:id="176"/>
      <w:r/>
      <w:r/>
    </w:p>
    <w:p>
      <w:pPr>
        <w:pStyle w:val="965"/>
        <w:ind w:firstLine="508"/>
        <w:spacing w:line="440" w:lineRule="exact"/>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 xml:space="preserve">2</w:t>
      </w:r>
      <w:r>
        <w:rPr>
          <w:rFonts w:hint="eastAsia" w:ascii="宋体" w:hAnsi="宋体" w:eastAsia="宋体" w:cs="宋体"/>
          <w:b/>
          <w:bCs/>
          <w:color w:val="auto"/>
          <w:spacing w:val="7"/>
          <w:sz w:val="24"/>
          <w:szCs w:val="24"/>
          <w:highlight w:val="none"/>
        </w:rPr>
        <w:t xml:space="preserve">、针对中小型企业的评审：</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65"/>
        <w:ind w:firstLine="508"/>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965"/>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lang w:eastAsia="zh-CN"/>
        </w:rPr>
        <w:t xml:space="preserve">采购本国产品的支持政策 </w:t>
      </w:r>
      <w:r/>
    </w:p>
    <w:p>
      <w:pPr>
        <w:pStyle w:val="965"/>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）供应商需按照招标文件的要求提供《关于符合本国产品标准的声明函》（以下简称《声明函》），如不提供将不享受本国产品价格评审优惠。</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2"/>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82"/>
        <w:keepLines/>
        <w:keepNext/>
        <w:spacing w:line="440" w:lineRule="exact"/>
        <w:rPr>
          <w:rFonts w:ascii="宋体" w:hAnsi="宋体"/>
          <w:b/>
          <w:color w:val="auto"/>
          <w:sz w:val="24"/>
          <w:szCs w:val="24"/>
          <w:highlight w:val="none"/>
        </w:rPr>
      </w:pPr>
      <w:r>
        <w:rPr>
          <w:rStyle w:val="934"/>
          <w:rFonts w:hint="eastAsia"/>
          <w:b/>
          <w:bCs/>
          <w:color w:val="auto"/>
          <w:spacing w:val="7"/>
          <w:sz w:val="24"/>
          <w:szCs w:val="24"/>
          <w:highlight w:val="none"/>
        </w:rPr>
        <w:t xml:space="preserve">二、评标标准</w:t>
      </w:r>
      <w:r/>
    </w:p>
    <w:p>
      <w:pPr>
        <w:ind w:firstLine="538"/>
        <w:jc w:val="left"/>
        <w:keepLines w:val="0"/>
        <w:keepNext w:val="0"/>
        <w:pageBreakBefore w:val="0"/>
        <w:spacing w:before="79" w:line="480" w:lineRule="exact"/>
        <w:widowControl/>
        <w:rPr>
          <w:rFonts w:hint="default" w:ascii="宋体" w:hAnsi="宋体" w:eastAsia="宋体" w:cs="Times New Roman"/>
          <w:b/>
          <w:sz w:val="24"/>
          <w:szCs w:val="24"/>
        </w:rPr>
      </w:pPr>
      <w:r/>
      <w:bookmarkStart w:id="177" w:name="_Toc822"/>
      <w:r>
        <w:rPr>
          <w:rFonts w:hint="default" w:ascii="宋体" w:hAnsi="宋体" w:eastAsia="宋体" w:cs="Times New Roman"/>
          <w:b/>
          <w:sz w:val="24"/>
          <w:szCs w:val="24"/>
        </w:rPr>
        <w:t xml:space="preserve">1价格分</w:t>
      </w:r>
      <w:r>
        <w:rPr>
          <w:rFonts w:hint="eastAsia" w:ascii="宋体" w:hAnsi="宋体" w:cs="Times New Roman"/>
          <w:b/>
          <w:sz w:val="24"/>
          <w:szCs w:val="24"/>
          <w:lang w:val="en-US" w:eastAsia="zh-CN"/>
        </w:rPr>
        <w:t xml:space="preserve">35</w:t>
      </w:r>
      <w:r>
        <w:rPr>
          <w:rFonts w:hint="eastAsia" w:ascii="宋体" w:hAnsi="宋体" w:eastAsia="宋体" w:cs="Times New Roman"/>
          <w:b/>
          <w:sz w:val="24"/>
          <w:szCs w:val="24"/>
        </w:rPr>
        <w:t xml:space="preserve">.0</w:t>
      </w:r>
      <w:r>
        <w:rPr>
          <w:rFonts w:hint="default" w:ascii="宋体" w:hAnsi="宋体" w:eastAsia="宋体" w:cs="Times New Roman"/>
          <w:b/>
          <w:sz w:val="24"/>
          <w:szCs w:val="24"/>
        </w:rPr>
        <w:t xml:space="preserve">分</w:t>
      </w:r>
      <w:r/>
    </w:p>
    <w:p>
      <w:pPr>
        <w:ind w:left="22" w:right="118" w:firstLine="497"/>
        <w:jc w:val="left"/>
        <w:keepLines w:val="0"/>
        <w:keepNext w:val="0"/>
        <w:pageBreakBefore w:val="0"/>
        <w:spacing w:before="200" w:line="480" w:lineRule="exact"/>
        <w:widowControl/>
        <w:rPr>
          <w:rFonts w:hint="default" w:ascii="宋体" w:hAnsi="宋体" w:eastAsia="宋体" w:cs="Times New Roman"/>
          <w:spacing w:val="13"/>
          <w:sz w:val="24"/>
          <w:szCs w:val="24"/>
        </w:rPr>
      </w:pPr>
      <w:r/>
      <w:bookmarkStart w:id="178"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cs="Times New Roman"/>
          <w:spacing w:val="3"/>
          <w:sz w:val="24"/>
          <w:szCs w:val="24"/>
          <w:lang w:val="en-US" w:eastAsia="zh-CN"/>
        </w:rPr>
        <w:t xml:space="preserve">35</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keepLines w:val="0"/>
        <w:keepNext w:val="0"/>
        <w:pageBreakBefore w:val="0"/>
        <w:spacing w:before="199" w:line="480" w:lineRule="exact"/>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cs="Times New Roman"/>
          <w:spacing w:val="4"/>
          <w:sz w:val="24"/>
          <w:szCs w:val="24"/>
          <w:lang w:val="en-US" w:eastAsia="zh-CN"/>
        </w:rPr>
        <w:t xml:space="preserve">35</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78"/>
      <w:r/>
      <w:r/>
    </w:p>
    <w:p>
      <w:pPr>
        <w:ind w:firstLine="523"/>
        <w:jc w:val="left"/>
        <w:keepLines w:val="0"/>
        <w:keepNext w:val="0"/>
        <w:pageBreakBefore w:val="0"/>
        <w:spacing w:before="79" w:line="480" w:lineRule="exact"/>
        <w:widowControl/>
        <w:rPr>
          <w:rFonts w:hint="default" w:ascii="宋体" w:hAnsi="宋体" w:eastAsia="宋体" w:cs="Times New Roman"/>
          <w:b/>
          <w:spacing w:val="5"/>
          <w:sz w:val="24"/>
          <w:szCs w:val="24"/>
          <w:lang w:val="en-US" w:eastAsia="zh-CN"/>
        </w:rPr>
        <w:outlineLvl w:val="0"/>
      </w:pPr>
      <w:r>
        <w:rPr>
          <w:rFonts w:hint="default" w:ascii="宋体" w:hAnsi="宋体" w:eastAsia="宋体" w:cs="Times New Roman"/>
          <w:b/>
          <w:spacing w:val="5"/>
          <w:sz w:val="24"/>
          <w:szCs w:val="24"/>
        </w:rPr>
        <w:t xml:space="preserve">2性能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rPr>
          <w:rFonts w:hint="eastAsia" w:ascii="宋体" w:hAnsi="宋体" w:cs="Times New Roman"/>
          <w:b/>
          <w:spacing w:val="5"/>
          <w:sz w:val="24"/>
          <w:szCs w:val="24"/>
          <w:lang w:val="en-US" w:eastAsia="zh-CN"/>
        </w:rPr>
        <w:t xml:space="preserve">32.0分</w:t>
      </w:r>
      <w:r/>
    </w:p>
    <w:p>
      <w:pPr>
        <w:ind w:firstLine="523"/>
        <w:jc w:val="left"/>
        <w:keepLines w:val="0"/>
        <w:keepNext w:val="0"/>
        <w:pageBreakBefore w:val="0"/>
        <w:spacing w:before="199" w:line="480" w:lineRule="exact"/>
        <w:widowControl/>
        <w:rPr>
          <w:rFonts w:hint="eastAsia" w:ascii="宋体" w:hAnsi="宋体" w:eastAsia="宋体" w:cs="Times New Roman"/>
          <w:spacing w:val="9"/>
          <w:sz w:val="24"/>
          <w:szCs w:val="24"/>
          <w:lang w:val="en-US" w:eastAsia="zh-CN"/>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00"/>
        <w:jc w:val="left"/>
        <w:keepLines w:val="0"/>
        <w:keepNext w:val="0"/>
        <w:pageBreakBefore w:val="0"/>
        <w:spacing w:line="480" w:lineRule="exact"/>
        <w:widowControl/>
        <w:rPr>
          <w:rFonts w:hint="default" w:ascii="宋体" w:hAnsi="宋体" w:eastAsia="宋体" w:cs="Times New Roman"/>
          <w:spacing w:val="13"/>
          <w:sz w:val="24"/>
          <w:szCs w:val="24"/>
        </w:rPr>
      </w:pPr>
      <w:r>
        <w:rPr>
          <w:rFonts w:hint="eastAsia" w:ascii="宋体" w:hAnsi="宋体" w:eastAsia="宋体" w:cs="宋体"/>
          <w:color w:val="auto"/>
          <w:sz w:val="24"/>
          <w:szCs w:val="24"/>
          <w:highlight w:val="none"/>
          <w:lang w:val="en-US" w:eastAsia="zh-CN" w:bidi="ar-SA"/>
        </w:rPr>
        <w:t xml:space="preserve">根据投标人提供的物品性能质量、技术指标和系统功能要求进行评定，技术要求中标注“▲”的为重要指标项(共 10条)，有1项负偏离减2分，技术要求中标注“◆”的为一般指标项(共 30条)，有1项负偏离减 0.4分。（标注“▲”为重要指标项，须按项目需求中技术参数对应要求提供相关证明材料作为佐证，不提供则视为负偏离。)</w:t>
      </w:r>
      <w:r/>
    </w:p>
    <w:p>
      <w:pPr>
        <w:ind w:firstLine="523"/>
        <w:jc w:val="left"/>
        <w:keepLines w:val="0"/>
        <w:keepNext w:val="0"/>
        <w:pageBreakBefore w:val="0"/>
        <w:spacing w:before="79" w:line="480" w:lineRule="exact"/>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3</w:t>
      </w:r>
      <w:r>
        <w:rPr>
          <w:rFonts w:hint="eastAsia" w:ascii="宋体" w:hAnsi="宋体" w:eastAsia="宋体" w:cs="Times New Roman"/>
          <w:b/>
          <w:spacing w:val="5"/>
          <w:sz w:val="24"/>
          <w:szCs w:val="24"/>
        </w:rPr>
        <w:t xml:space="preserve"> 技术方案及实施方案</w:t>
      </w:r>
      <w:r>
        <w:rPr>
          <w:rFonts w:hint="default" w:ascii="宋体" w:hAnsi="宋体" w:eastAsia="宋体" w:cs="Times New Roman"/>
          <w:b/>
          <w:spacing w:val="5"/>
          <w:sz w:val="24"/>
          <w:szCs w:val="24"/>
        </w:rPr>
        <w:t xml:space="preserve">分</w:t>
      </w:r>
      <w:r/>
    </w:p>
    <w:p>
      <w:pPr>
        <w:ind w:firstLine="525"/>
        <w:jc w:val="left"/>
        <w:keepLines w:val="0"/>
        <w:keepNext w:val="0"/>
        <w:pageBreakBefore w:val="0"/>
        <w:spacing w:after="240" w:line="480" w:lineRule="exact"/>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项目实施方案6分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项目实施方案进行综合评定，方案内容包含但不仅限于整体架构方案、安全与可靠性规划、集成部署、备份与可用性规划、运维管理方案，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keepLines w:val="0"/>
        <w:keepNext w:val="0"/>
        <w:pageBreakBefore w:val="0"/>
        <w:spacing w:before="199" w:line="480" w:lineRule="exact"/>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施工组织方案</w:t>
      </w:r>
      <w:r>
        <w:rPr>
          <w:rFonts w:hint="eastAsia" w:ascii="宋体" w:hAnsi="宋体" w:cs="Times New Roman"/>
          <w:spacing w:val="8"/>
          <w:sz w:val="24"/>
          <w:szCs w:val="24"/>
          <w:lang w:val="en-US" w:eastAsia="zh-CN"/>
        </w:rPr>
        <w:t xml:space="preserve">6</w:t>
      </w:r>
      <w:r>
        <w:rPr>
          <w:rFonts w:hint="eastAsia" w:ascii="宋体" w:hAnsi="宋体" w:eastAsia="宋体" w:cs="Times New Roman"/>
          <w:spacing w:val="8"/>
          <w:sz w:val="24"/>
          <w:szCs w:val="24"/>
        </w:rPr>
        <w:t xml:space="preserve">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bookmarkStart w:id="179" w:name="OLE_LINK28"/>
      <w:r>
        <w:rPr>
          <w:rFonts w:hint="eastAsia" w:ascii="宋体" w:hAnsi="宋体" w:eastAsia="宋体" w:cs="Times New Roman"/>
          <w:spacing w:val="13"/>
          <w:sz w:val="24"/>
          <w:szCs w:val="24"/>
        </w:rPr>
        <w:t xml:space="preserve">根据投标人提供的施工组织方案进行综合评定，方案内容包含但不仅限于实施团队、设备供货、进度控制、系统定制、安装调试，方案完全包含上述内容且内容有实质性意义满足项目需求的，得</w:t>
      </w:r>
      <w:r>
        <w:rPr>
          <w:rFonts w:hint="eastAsia" w:ascii="宋体" w:hAnsi="宋体" w:cs="Times New Roman"/>
          <w:spacing w:val="13"/>
          <w:sz w:val="24"/>
          <w:szCs w:val="24"/>
          <w:lang w:val="en-US" w:eastAsia="zh-CN"/>
        </w:rPr>
        <w:t xml:space="preserve">6</w:t>
      </w:r>
      <w:r>
        <w:rPr>
          <w:rFonts w:hint="eastAsia" w:ascii="宋体" w:hAnsi="宋体" w:eastAsia="宋体" w:cs="Times New Roman"/>
          <w:spacing w:val="13"/>
          <w:sz w:val="24"/>
          <w:szCs w:val="24"/>
        </w:rPr>
        <w:t xml:space="preserve">分；方案内有部分缺少或部分内容无实质性意义，但缺少量不满2项上述内容的，得</w:t>
      </w:r>
      <w:r>
        <w:rPr>
          <w:rFonts w:hint="eastAsia" w:ascii="宋体" w:hAnsi="宋体" w:cs="Times New Roman"/>
          <w:spacing w:val="13"/>
          <w:sz w:val="24"/>
          <w:szCs w:val="24"/>
          <w:lang w:val="en-US" w:eastAsia="zh-CN"/>
        </w:rPr>
        <w:t xml:space="preserve">4</w:t>
      </w:r>
      <w:r>
        <w:rPr>
          <w:rFonts w:hint="eastAsia" w:ascii="宋体" w:hAnsi="宋体" w:eastAsia="宋体" w:cs="Times New Roman"/>
          <w:spacing w:val="13"/>
          <w:sz w:val="24"/>
          <w:szCs w:val="24"/>
        </w:rPr>
        <w:t xml:space="preserve">分；方案内有缺少或部分内容无实质性意义，缺少量大于等于2项上述内容的，只能满足基本要求的，得</w:t>
      </w:r>
      <w:r>
        <w:rPr>
          <w:rFonts w:hint="eastAsia" w:ascii="宋体" w:hAnsi="宋体" w:cs="Times New Roman"/>
          <w:spacing w:val="13"/>
          <w:sz w:val="24"/>
          <w:szCs w:val="24"/>
          <w:lang w:val="en-US" w:eastAsia="zh-CN"/>
        </w:rPr>
        <w:t xml:space="preserve">2</w:t>
      </w:r>
      <w:r>
        <w:rPr>
          <w:rFonts w:hint="eastAsia" w:ascii="宋体" w:hAnsi="宋体" w:eastAsia="宋体" w:cs="Times New Roman"/>
          <w:spacing w:val="13"/>
          <w:sz w:val="24"/>
          <w:szCs w:val="24"/>
        </w:rPr>
        <w:t xml:space="preserve">分；方案内容无实质性意义或未提供方案说明的，不得分</w:t>
      </w:r>
      <w:r>
        <w:rPr>
          <w:rFonts w:hint="default" w:ascii="宋体" w:hAnsi="宋体" w:eastAsia="宋体" w:cs="Times New Roman"/>
          <w:spacing w:val="13"/>
          <w:sz w:val="24"/>
          <w:szCs w:val="24"/>
        </w:rPr>
        <w:t xml:space="preserve">。</w:t>
      </w:r>
      <w:bookmarkEnd w:id="179"/>
      <w:r/>
      <w:r/>
    </w:p>
    <w:p>
      <w:pPr>
        <w:ind w:firstLine="525"/>
        <w:jc w:val="left"/>
        <w:keepLines w:val="0"/>
        <w:keepNext w:val="0"/>
        <w:pageBreakBefore w:val="0"/>
        <w:spacing w:before="200" w:line="480" w:lineRule="exact"/>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.服务保障方案</w:t>
      </w:r>
      <w:r>
        <w:rPr>
          <w:rFonts w:hint="eastAsia" w:ascii="宋体" w:hAnsi="宋体" w:eastAsia="宋体" w:cs="Times New Roman"/>
          <w:spacing w:val="8"/>
          <w:sz w:val="24"/>
          <w:szCs w:val="24"/>
        </w:rPr>
        <w:t xml:space="preserve">5分</w:t>
      </w:r>
      <w:r/>
    </w:p>
    <w:p>
      <w:pPr>
        <w:ind w:left="21" w:right="12" w:firstLine="498"/>
        <w:jc w:val="left"/>
        <w:keepLines w:val="0"/>
        <w:keepNext w:val="0"/>
        <w:pageBreakBefore w:val="0"/>
        <w:spacing w:before="198" w:line="480" w:lineRule="exact"/>
        <w:widowControl/>
        <w:rPr>
          <w:rFonts w:hint="default" w:ascii="宋体" w:hAnsi="宋体" w:eastAsia="宋体" w:cs="Times New Roman"/>
          <w:spacing w:val="13"/>
          <w:sz w:val="24"/>
          <w:szCs w:val="24"/>
        </w:rPr>
      </w:pPr>
      <w:r/>
      <w:bookmarkStart w:id="180" w:name="OLE_LINK4"/>
      <w:r>
        <w:rPr>
          <w:rFonts w:hint="eastAsia" w:ascii="宋体" w:hAnsi="宋体" w:eastAsia="宋体" w:cs="宋体"/>
          <w:color w:val="auto"/>
          <w:sz w:val="24"/>
          <w:szCs w:val="24"/>
          <w:highlight w:val="none"/>
        </w:rPr>
        <w:t xml:space="preserve">根据投标人提供的服务保障方案进行综合评定，方案内容包含但不仅限于售后服务、培训服务、质量管理、风险应急管理，方案完全包含上述内容且内容有实质性意义满足项目需求的，得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分；方案内有部分缺少或部分内容无实质性意义，但缺少量不满2项上述内容的，得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分；方案内有缺少或部分内容无实质性意义，缺少量大于等于2项上述内容的，只能满足基本要求的，得1分；方案内容无实质性意义或未提供方案说明的，不得分</w:t>
      </w:r>
      <w:r>
        <w:rPr>
          <w:rFonts w:hint="eastAsia" w:ascii="宋体" w:hAnsi="宋体" w:eastAsia="宋体" w:cs="Times New Roman"/>
          <w:spacing w:val="13"/>
          <w:sz w:val="24"/>
          <w:szCs w:val="24"/>
        </w:rPr>
        <w:t xml:space="preserve">。</w:t>
      </w:r>
      <w:bookmarkEnd w:id="180"/>
      <w:r/>
      <w:r/>
    </w:p>
    <w:p>
      <w:pPr>
        <w:ind w:firstLine="519"/>
        <w:jc w:val="left"/>
        <w:keepLines w:val="0"/>
        <w:keepNext w:val="0"/>
        <w:pageBreakBefore w:val="0"/>
        <w:spacing w:before="198" w:line="480" w:lineRule="exact"/>
        <w:widowControl/>
        <w:rPr>
          <w:rFonts w:hint="default" w:ascii="宋体" w:hAnsi="宋体" w:eastAsia="宋体" w:cs="Times New Roman"/>
          <w:b/>
          <w:color w:val="auto"/>
          <w:spacing w:val="4"/>
          <w:sz w:val="24"/>
          <w:szCs w:val="24"/>
          <w:highlight w:val="none"/>
        </w:rPr>
        <w:outlineLvl w:val="0"/>
      </w:pPr>
      <w:r>
        <w:rPr>
          <w:rFonts w:hint="default" w:ascii="宋体" w:hAnsi="宋体" w:eastAsia="宋体" w:cs="Times New Roman"/>
          <w:b/>
          <w:color w:val="auto"/>
          <w:spacing w:val="4"/>
          <w:sz w:val="24"/>
          <w:szCs w:val="24"/>
          <w:highlight w:val="none"/>
        </w:rPr>
        <w:t xml:space="preserve">4履约能力分</w:t>
      </w:r>
      <w:r/>
    </w:p>
    <w:p>
      <w:pPr>
        <w:ind w:left="21" w:firstLine="501"/>
        <w:jc w:val="left"/>
        <w:keepLines w:val="0"/>
        <w:keepNext w:val="0"/>
        <w:pageBreakBefore w:val="0"/>
        <w:spacing w:before="201" w:line="480" w:lineRule="exact"/>
        <w:widowControl/>
        <w:rPr>
          <w:rFonts w:hint="eastAsia"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4.</w:t>
      </w:r>
      <w:r>
        <w:rPr>
          <w:rFonts w:hint="eastAsia" w:ascii="宋体" w:hAnsi="宋体" w:eastAsia="宋体" w:cs="Times New Roman"/>
          <w:color w:val="auto"/>
          <w:spacing w:val="13"/>
          <w:sz w:val="24"/>
          <w:szCs w:val="24"/>
          <w:highlight w:val="none"/>
          <w:lang w:val="en-US" w:eastAsia="zh-CN"/>
        </w:rPr>
        <w:t xml:space="preserve">1</w:t>
      </w:r>
      <w:r>
        <w:rPr>
          <w:rFonts w:hint="eastAsia" w:ascii="宋体" w:hAnsi="宋体" w:eastAsia="宋体" w:cs="Times New Roman"/>
          <w:color w:val="auto"/>
          <w:spacing w:val="13"/>
          <w:sz w:val="24"/>
          <w:szCs w:val="24"/>
          <w:highlight w:val="none"/>
        </w:rPr>
        <w:t xml:space="preserve">项目经理1名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eastAsia" w:ascii="宋体" w:hAnsi="宋体" w:eastAsia="宋体" w:cs="Times New Roman"/>
          <w:color w:val="auto"/>
          <w:spacing w:val="13"/>
          <w:sz w:val="24"/>
          <w:szCs w:val="24"/>
          <w:highlight w:val="none"/>
        </w:rPr>
        <w:t xml:space="preserve">拟派的项目经理具备系统规划与管理师证书、信息技术应用创新服务项目经理证书、注册信息安全管理人员证书，有1个得1分，最高得3分。</w:t>
      </w:r>
      <w:r>
        <w:rPr>
          <w:rFonts w:hint="default" w:ascii="宋体" w:hAnsi="宋体" w:eastAsia="宋体" w:cs="Times New Roman"/>
          <w:color w:val="auto"/>
          <w:spacing w:val="13"/>
          <w:sz w:val="24"/>
          <w:szCs w:val="24"/>
          <w:highlight w:val="none"/>
        </w:rPr>
        <w:t xml:space="preserve">（</w:t>
      </w:r>
      <w:r>
        <w:rPr>
          <w:rFonts w:hint="eastAsia" w:ascii="宋体" w:hAnsi="宋体" w:eastAsia="宋体" w:cs="Times New Roman"/>
          <w:color w:val="auto"/>
          <w:spacing w:val="13"/>
          <w:sz w:val="24"/>
          <w:szCs w:val="24"/>
          <w:highlight w:val="none"/>
          <w:lang w:val="en-US" w:eastAsia="zh-CN"/>
        </w:rPr>
        <w:t xml:space="preserve">请在投标文件中提供相关证书，并附投标人为该员工缴纳社保的证明材料，不提供或提供不全的不得分</w:t>
      </w:r>
      <w:r>
        <w:rPr>
          <w:rFonts w:hint="default" w:ascii="宋体" w:hAnsi="宋体" w:eastAsia="宋体" w:cs="Times New Roman"/>
          <w:color w:val="auto"/>
          <w:spacing w:val="13"/>
          <w:sz w:val="24"/>
          <w:szCs w:val="24"/>
          <w:highlight w:val="none"/>
        </w:rPr>
        <w:t xml:space="preserve">）</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4.</w:t>
      </w:r>
      <w:r>
        <w:rPr>
          <w:rFonts w:hint="eastAsia" w:ascii="宋体" w:hAnsi="宋体" w:cs="Times New Roman"/>
          <w:color w:val="auto"/>
          <w:spacing w:val="13"/>
          <w:sz w:val="24"/>
          <w:szCs w:val="24"/>
          <w:highlight w:val="none"/>
          <w:lang w:val="en-US" w:eastAsia="zh-CN"/>
        </w:rPr>
        <w:t xml:space="preserve">2</w:t>
      </w:r>
      <w:r>
        <w:rPr>
          <w:rFonts w:hint="default" w:ascii="宋体" w:hAnsi="宋体" w:eastAsia="宋体" w:cs="Times New Roman"/>
          <w:color w:val="auto"/>
          <w:spacing w:val="13"/>
          <w:sz w:val="24"/>
          <w:szCs w:val="24"/>
          <w:highlight w:val="none"/>
        </w:rPr>
        <w:t xml:space="preserve">项目管理工程师1名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default" w:ascii="宋体" w:hAnsi="宋体" w:eastAsia="宋体" w:cs="Times New Roman"/>
          <w:color w:val="auto"/>
          <w:spacing w:val="13"/>
          <w:sz w:val="24"/>
          <w:szCs w:val="24"/>
          <w:highlight w:val="none"/>
        </w:rPr>
        <w:t xml:space="preserve">拟派的项目管理工程师具备信创集成项目管理师证书、网络安全能力认证（网络安全管理Ⅰ级），有1个得1分，最高得</w:t>
      </w:r>
      <w:r>
        <w:rPr>
          <w:rFonts w:hint="eastAsia" w:ascii="宋体" w:hAnsi="宋体" w:cs="Times New Roman"/>
          <w:color w:val="auto"/>
          <w:spacing w:val="13"/>
          <w:sz w:val="24"/>
          <w:szCs w:val="24"/>
          <w:highlight w:val="none"/>
          <w:lang w:val="en-US" w:eastAsia="zh-CN"/>
        </w:rPr>
        <w:t xml:space="preserve">2</w:t>
      </w:r>
      <w:r>
        <w:rPr>
          <w:rFonts w:hint="default" w:ascii="宋体" w:hAnsi="宋体" w:eastAsia="宋体" w:cs="Times New Roman"/>
          <w:color w:val="auto"/>
          <w:spacing w:val="13"/>
          <w:sz w:val="24"/>
          <w:szCs w:val="24"/>
          <w:highlight w:val="none"/>
        </w:rPr>
        <w:t xml:space="preserve">分。（请在投标文件中提供相关证书，并附投标人为该员工缴纳社保的证明材料，不提供或提供不全的不得分）</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rPr>
          <w:rFonts w:hint="eastAsia" w:ascii="宋体" w:hAnsi="宋体" w:cs="Times New Roman"/>
          <w:color w:val="auto"/>
          <w:spacing w:val="13"/>
          <w:sz w:val="24"/>
          <w:szCs w:val="24"/>
          <w:highlight w:val="none"/>
          <w:lang w:val="en-US" w:eastAsia="zh-CN"/>
        </w:rPr>
        <w:t xml:space="preserve">4.3</w:t>
      </w:r>
      <w:r>
        <w:rPr>
          <w:rFonts w:hint="default" w:ascii="宋体" w:hAnsi="宋体" w:eastAsia="宋体" w:cs="Times New Roman"/>
          <w:color w:val="auto"/>
          <w:spacing w:val="13"/>
          <w:sz w:val="24"/>
          <w:szCs w:val="24"/>
          <w:highlight w:val="none"/>
        </w:rPr>
        <w:t xml:space="preserve">技术负责工程师1名</w:t>
      </w:r>
      <w:r/>
    </w:p>
    <w:p>
      <w:pPr>
        <w:ind w:left="21" w:firstLine="501"/>
        <w:jc w:val="left"/>
        <w:keepLines w:val="0"/>
        <w:keepNext w:val="0"/>
        <w:pageBreakBefore w:val="0"/>
        <w:spacing w:before="201" w:line="480" w:lineRule="exact"/>
        <w:widowControl/>
        <w:rPr>
          <w:rFonts w:hint="default" w:ascii="宋体" w:hAnsi="宋体" w:eastAsia="宋体" w:cs="Times New Roman"/>
          <w:color w:val="auto"/>
          <w:spacing w:val="13"/>
          <w:sz w:val="24"/>
          <w:szCs w:val="24"/>
          <w:highlight w:val="none"/>
        </w:rPr>
      </w:pPr>
      <w:r/>
      <w:bookmarkStart w:id="181" w:name="OLE_LINK26"/>
      <w:r>
        <w:rPr>
          <w:rFonts w:hint="default" w:ascii="宋体" w:hAnsi="宋体" w:eastAsia="宋体" w:cs="Times New Roman"/>
          <w:color w:val="auto"/>
          <w:spacing w:val="13"/>
          <w:sz w:val="24"/>
          <w:szCs w:val="24"/>
          <w:highlight w:val="none"/>
        </w:rPr>
        <w:t xml:space="preserve">拟投入的技术负责工程师具备信息技术应用创新服务工程师证书、信息安全工程师证书、信息安全保障人员认证证书（应急服务），有1个得1分，最高得3分。（请在投标文件中提供相关证书，并附投标人为该员工缴纳社保的证明材料，不提供或提供不全的不得分）</w:t>
      </w:r>
      <w:bookmarkEnd w:id="181"/>
      <w:r/>
      <w:r/>
    </w:p>
    <w:p>
      <w:pPr>
        <w:ind w:firstLine="500"/>
        <w:keepLines w:val="0"/>
        <w:keepNext w:val="0"/>
        <w:pageBreakBefore w:val="0"/>
        <w:spacing w:line="480" w:lineRule="exact"/>
        <w:rPr>
          <w:rFonts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4.4</w:t>
      </w:r>
      <w:r>
        <w:rPr>
          <w:rFonts w:ascii="宋体" w:hAnsi="宋体" w:eastAsia="宋体" w:cs="宋体"/>
          <w:color w:val="auto"/>
          <w:spacing w:val="7"/>
          <w:sz w:val="24"/>
          <w:szCs w:val="24"/>
          <w:highlight w:val="none"/>
          <w:lang w:val="en-US" w:eastAsia="zh-CN" w:bidi="ar-SA"/>
        </w:rPr>
        <w:t xml:space="preserve">类似业绩</w:t>
      </w:r>
      <w:r/>
    </w:p>
    <w:p>
      <w:pPr>
        <w:ind w:firstLine="500"/>
        <w:keepLines w:val="0"/>
        <w:keepNext w:val="0"/>
        <w:pageBreakBefore w:val="0"/>
        <w:spacing w:line="480" w:lineRule="exact"/>
        <w:rPr>
          <w:rFonts w:ascii="宋体" w:hAnsi="宋体" w:eastAsia="Times New Roman" w:cs="Times New Roman"/>
          <w:b/>
          <w:color w:val="auto"/>
          <w:spacing w:val="4"/>
          <w:sz w:val="24"/>
          <w:szCs w:val="24"/>
          <w:lang w:val="en-US" w:eastAsia="zh-CN" w:bidi="ar-SA"/>
        </w:rPr>
      </w:pPr>
      <w:r>
        <w:rPr>
          <w:rFonts w:hint="eastAsia" w:ascii="宋体" w:hAnsi="宋体" w:eastAsia="宋体" w:cs="宋体"/>
          <w:color w:val="auto"/>
          <w:spacing w:val="7"/>
          <w:sz w:val="24"/>
          <w:szCs w:val="24"/>
          <w:lang w:val="en-US" w:eastAsia="zh-CN" w:bidi="ar-SA"/>
        </w:rPr>
        <w:t xml:space="preserve">投标人提供202</w:t>
      </w:r>
      <w:r>
        <w:rPr>
          <w:rFonts w:hint="eastAsia" w:ascii="宋体" w:hAnsi="宋体" w:cs="宋体"/>
          <w:color w:val="auto"/>
          <w:spacing w:val="7"/>
          <w:sz w:val="24"/>
          <w:szCs w:val="24"/>
          <w:lang w:val="en-US" w:eastAsia="zh-CN" w:bidi="ar-SA"/>
        </w:rPr>
        <w:t xml:space="preserve">3</w:t>
      </w:r>
      <w:r>
        <w:rPr>
          <w:rFonts w:hint="eastAsia" w:ascii="宋体" w:hAnsi="宋体" w:eastAsia="宋体" w:cs="宋体"/>
          <w:color w:val="auto"/>
          <w:spacing w:val="7"/>
          <w:sz w:val="24"/>
          <w:szCs w:val="24"/>
          <w:lang w:val="en-US" w:eastAsia="zh-CN" w:bidi="ar-SA"/>
        </w:rPr>
        <w:t xml:space="preserve">年1月1日以来承接的类似项目业绩，每提供一个得1分，本项最多得</w:t>
      </w:r>
      <w:r>
        <w:rPr>
          <w:rFonts w:hint="eastAsia" w:ascii="宋体" w:hAnsi="宋体" w:cs="宋体"/>
          <w:color w:val="auto"/>
          <w:spacing w:val="7"/>
          <w:sz w:val="24"/>
          <w:szCs w:val="24"/>
          <w:lang w:val="en-US" w:eastAsia="zh-CN" w:bidi="ar-SA"/>
        </w:rPr>
        <w:t xml:space="preserve">3</w:t>
      </w:r>
      <w:r>
        <w:rPr>
          <w:rFonts w:hint="eastAsia" w:ascii="宋体" w:hAnsi="宋体" w:eastAsia="宋体" w:cs="宋体"/>
          <w:color w:val="auto"/>
          <w:spacing w:val="7"/>
          <w:sz w:val="24"/>
          <w:szCs w:val="24"/>
          <w:lang w:val="en-US" w:eastAsia="zh-CN" w:bidi="ar-SA"/>
        </w:rPr>
        <w:t xml:space="preserve">分（请在投标文件中提供相关业绩合同，合同中须反映出相关内容，如合同中不能反映，须提供其他材料予以佐证，不提供的不得分）</w:t>
      </w:r>
      <w:r>
        <w:rPr>
          <w:rFonts w:ascii="宋体" w:hAnsi="宋体" w:eastAsia="宋体" w:cs="宋体"/>
          <w:color w:val="auto"/>
          <w:spacing w:val="7"/>
          <w:sz w:val="24"/>
          <w:szCs w:val="24"/>
          <w:lang w:val="en-US" w:eastAsia="zh-CN" w:bidi="ar-SA"/>
        </w:rPr>
        <w:t xml:space="preserve">。</w:t>
      </w:r>
      <w:r/>
    </w:p>
    <w:p>
      <w:pPr>
        <w:ind w:firstLine="519"/>
        <w:jc w:val="left"/>
        <w:keepLines w:val="0"/>
        <w:keepNext w:val="0"/>
        <w:pageBreakBefore w:val="0"/>
        <w:spacing w:before="199" w:line="480" w:lineRule="exact"/>
        <w:widowControl/>
        <w:rPr>
          <w:rFonts w:hint="default" w:ascii="宋体" w:hAnsi="宋体" w:eastAsia="宋体" w:cs="Times New Roman"/>
          <w:color w:val="auto"/>
          <w:spacing w:val="9"/>
          <w:sz w:val="24"/>
          <w:szCs w:val="24"/>
        </w:rPr>
        <w:outlineLvl w:val="0"/>
      </w:pPr>
      <w:r>
        <w:rPr>
          <w:rFonts w:hint="default" w:ascii="宋体" w:hAnsi="宋体" w:eastAsia="宋体" w:cs="Times New Roman"/>
          <w:color w:val="auto"/>
          <w:spacing w:val="9"/>
          <w:sz w:val="24"/>
          <w:szCs w:val="24"/>
        </w:rPr>
        <w:t xml:space="preserve">4.</w:t>
      </w:r>
      <w:r>
        <w:rPr>
          <w:rFonts w:hint="eastAsia" w:ascii="宋体" w:hAnsi="宋体" w:eastAsia="宋体" w:cs="Times New Roman"/>
          <w:color w:val="auto"/>
          <w:spacing w:val="9"/>
          <w:sz w:val="24"/>
          <w:szCs w:val="24"/>
          <w:lang w:val="en-US" w:eastAsia="zh-CN"/>
        </w:rPr>
        <w:t xml:space="preserve">5</w:t>
      </w:r>
      <w:r>
        <w:rPr>
          <w:rFonts w:hint="default" w:ascii="宋体" w:hAnsi="宋体" w:eastAsia="宋体" w:cs="Times New Roman"/>
          <w:color w:val="auto"/>
          <w:spacing w:val="9"/>
          <w:sz w:val="24"/>
          <w:szCs w:val="24"/>
        </w:rPr>
        <w:t xml:space="preserve">投标人获得的证书</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投标人具有信息技术服务管理体系认证证书、信息安全管理体系认证证书、隐私信息管理体系认证证书，有1个得1.5分，最多得4.5分。（请在投标文件中提供相关证书，不提供的不得分）</w:t>
      </w:r>
      <w:r/>
    </w:p>
    <w:p>
      <w:pPr>
        <w:ind w:left="21" w:firstLine="501"/>
        <w:jc w:val="left"/>
        <w:keepLines w:val="0"/>
        <w:keepNext w:val="0"/>
        <w:pageBreakBefore w:val="0"/>
        <w:spacing w:before="201" w:line="480" w:lineRule="exact"/>
        <w:widowControl/>
        <w:rPr>
          <w:rFonts w:hint="eastAsia"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5其他分</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5.1</w:t>
      </w:r>
      <w:r>
        <w:rPr>
          <w:rFonts w:hint="default" w:ascii="宋体" w:hAnsi="宋体" w:eastAsia="宋体" w:cs="Times New Roman"/>
          <w:spacing w:val="13"/>
          <w:sz w:val="24"/>
          <w:szCs w:val="24"/>
          <w:lang w:val="en-US" w:eastAsia="zh-CN"/>
        </w:rPr>
        <w:t xml:space="preserve">环境标志产品</w:t>
      </w:r>
      <w:r/>
    </w:p>
    <w:p>
      <w:pPr>
        <w:ind w:left="21" w:firstLine="501"/>
        <w:jc w:val="left"/>
        <w:keepLines w:val="0"/>
        <w:keepNext w:val="0"/>
        <w:pageBreakBefore w:val="0"/>
        <w:spacing w:before="201" w:line="480" w:lineRule="exact"/>
        <w:widowControl/>
        <w:rPr>
          <w:rFonts w:hint="default" w:ascii="宋体" w:hAnsi="宋体" w:eastAsia="宋体" w:cs="Times New Roman"/>
          <w:spacing w:val="13"/>
          <w:sz w:val="24"/>
          <w:szCs w:val="24"/>
          <w:lang w:val="en-US" w:eastAsia="zh-CN"/>
        </w:rPr>
      </w:pPr>
      <w:r/>
      <w:bookmarkStart w:id="182" w:name="OLE_LINK27"/>
      <w:r>
        <w:rPr>
          <w:rFonts w:hint="eastAsia" w:ascii="宋体" w:hAnsi="宋体" w:eastAsia="宋体" w:cs="宋体"/>
          <w:sz w:val="24"/>
          <w:szCs w:val="24"/>
        </w:rPr>
        <w:t xml:space="preserve">评委根据其投报产品是否属于环境标志产品政府采购品目清单进行评分，有一个得</w:t>
      </w:r>
      <w:r>
        <w:rPr>
          <w:rFonts w:hint="eastAsia" w:cs="宋体"/>
          <w:sz w:val="24"/>
          <w:szCs w:val="24"/>
          <w:lang w:val="en-US" w:eastAsia="zh-CN"/>
        </w:rPr>
        <w:t xml:space="preserve">0.5</w:t>
      </w:r>
      <w:r>
        <w:rPr>
          <w:rFonts w:hint="eastAsia" w:ascii="宋体" w:hAnsi="宋体" w:eastAsia="宋体" w:cs="宋体"/>
          <w:sz w:val="24"/>
          <w:szCs w:val="24"/>
        </w:rPr>
        <w:t xml:space="preserve">分，最多得</w:t>
      </w:r>
      <w:r>
        <w:rPr>
          <w:rFonts w:hint="eastAsia" w:cs="宋体"/>
          <w:sz w:val="24"/>
          <w:szCs w:val="24"/>
          <w:lang w:val="en-US" w:eastAsia="zh-CN"/>
        </w:rPr>
        <w:t xml:space="preserve">0.5</w:t>
      </w:r>
      <w:r>
        <w:rPr>
          <w:rFonts w:hint="eastAsia" w:ascii="宋体" w:hAnsi="宋体" w:eastAsia="宋体" w:cs="宋体"/>
          <w:sz w:val="24"/>
          <w:szCs w:val="24"/>
        </w:rPr>
        <w:t xml:space="preserve">分（请在投标文件中提供国家确定的认证机构出具的、处于有效期之内的环境标志产品认证证书（若证书有附件（附录）的，附件（附录）须随证书一起提供），不提供的不得分）</w:t>
      </w:r>
      <w:r>
        <w:rPr>
          <w:rFonts w:hint="eastAsia" w:ascii="宋体" w:hAnsi="宋体" w:eastAsia="宋体" w:cs="宋体"/>
          <w:bCs/>
          <w:color w:val="000000"/>
          <w:sz w:val="24"/>
          <w:szCs w:val="24"/>
        </w:rPr>
        <w:t xml:space="preserve">。</w:t>
      </w:r>
      <w:bookmarkEnd w:id="182"/>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3" w:name="EB5003b8401c234a0bb384207e4933917f"/>
      <w:r/>
      <w:bookmarkEnd w:id="183"/>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rPr>
          <w:rFonts w:hint="default" w:ascii="宋体" w:hAnsi="宋体" w:eastAsia="宋体" w:cs="宋体"/>
          <w:spacing w:val="7"/>
          <w:sz w:val="24"/>
          <w:szCs w:val="24"/>
        </w:rPr>
      </w:r>
      <w:r/>
    </w:p>
    <w:p>
      <w:pPr>
        <w:pStyle w:val="941"/>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77"/>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68"/>
        <w:jc w:val="center"/>
        <w:spacing w:after="400"/>
        <w:rPr>
          <w:rStyle w:val="934"/>
          <w:rFonts w:ascii="宋体" w:hAnsi="宋体"/>
          <w:color w:val="auto"/>
          <w:sz w:val="40"/>
          <w:szCs w:val="40"/>
          <w:highlight w:val="none"/>
        </w:rPr>
        <w:outlineLvl w:val="0"/>
      </w:pPr>
      <w:r/>
      <w:bookmarkStart w:id="184" w:name="_Toc290"/>
      <w:r/>
      <w:bookmarkStart w:id="185" w:name="_Toc29010"/>
      <w:r/>
      <w:bookmarkStart w:id="186" w:name="_Toc653"/>
      <w:r/>
      <w:bookmarkStart w:id="187" w:name="_Toc18049"/>
      <w:r>
        <w:rPr>
          <w:rStyle w:val="934"/>
          <w:rFonts w:ascii="宋体" w:hAnsi="宋体"/>
          <w:color w:val="auto"/>
          <w:sz w:val="40"/>
          <w:szCs w:val="40"/>
          <w:highlight w:val="none"/>
        </w:rPr>
        <w:t xml:space="preserve">投标主要文件目录</w:t>
      </w:r>
      <w:bookmarkEnd w:id="184"/>
      <w:r/>
      <w:bookmarkEnd w:id="185"/>
      <w:r/>
      <w:bookmarkEnd w:id="186"/>
      <w:r/>
      <w:bookmarkEnd w:id="187"/>
      <w:r/>
      <w:r/>
    </w:p>
    <w:p>
      <w:pPr>
        <w:pStyle w:val="968"/>
        <w:spacing w:before="240" w:after="240" w:line="200" w:lineRule="atLeast"/>
        <w:rPr>
          <w:rStyle w:val="934"/>
          <w:rFonts w:ascii="宋体" w:hAnsi="宋体"/>
          <w:color w:val="auto"/>
          <w:sz w:val="24"/>
          <w:szCs w:val="24"/>
          <w:highlight w:val="none"/>
        </w:rPr>
        <w:outlineLvl w:val="0"/>
      </w:pPr>
      <w:r/>
      <w:bookmarkStart w:id="188" w:name="_Toc8210"/>
      <w:r/>
      <w:bookmarkStart w:id="189" w:name="_Toc14924"/>
      <w:r/>
      <w:bookmarkStart w:id="190" w:name="_Toc15242"/>
      <w:r>
        <w:rPr>
          <w:rStyle w:val="934"/>
          <w:rFonts w:ascii="宋体" w:hAnsi="宋体"/>
          <w:color w:val="auto"/>
          <w:sz w:val="24"/>
          <w:szCs w:val="24"/>
          <w:highlight w:val="none"/>
        </w:rPr>
        <w:t xml:space="preserve">一、封面</w:t>
      </w:r>
      <w:bookmarkEnd w:id="188"/>
      <w:r/>
      <w:bookmarkEnd w:id="189"/>
      <w:r/>
      <w:bookmarkEnd w:id="190"/>
      <w:r/>
      <w:r/>
    </w:p>
    <w:p>
      <w:pPr>
        <w:pStyle w:val="968"/>
        <w:spacing w:before="240" w:after="240" w:line="200" w:lineRule="atLeast"/>
        <w:rPr>
          <w:rStyle w:val="934"/>
          <w:rFonts w:ascii="宋体" w:hAnsi="宋体"/>
          <w:color w:val="auto"/>
          <w:sz w:val="24"/>
          <w:szCs w:val="24"/>
          <w:highlight w:val="none"/>
        </w:rPr>
        <w:outlineLvl w:val="0"/>
      </w:pPr>
      <w:r/>
      <w:bookmarkStart w:id="191" w:name="_Toc10768"/>
      <w:r/>
      <w:bookmarkStart w:id="192" w:name="_Toc8337"/>
      <w:r/>
      <w:bookmarkStart w:id="193" w:name="_Toc9750"/>
      <w:r>
        <w:rPr>
          <w:rStyle w:val="934"/>
          <w:rFonts w:ascii="宋体" w:hAnsi="宋体"/>
          <w:color w:val="auto"/>
          <w:sz w:val="24"/>
          <w:szCs w:val="24"/>
          <w:highlight w:val="none"/>
        </w:rPr>
        <w:t xml:space="preserve">二、投标函</w:t>
      </w:r>
      <w:bookmarkEnd w:id="191"/>
      <w:r/>
      <w:bookmarkEnd w:id="192"/>
      <w:r/>
      <w:bookmarkEnd w:id="193"/>
      <w:r/>
      <w:r/>
    </w:p>
    <w:p>
      <w:pPr>
        <w:pStyle w:val="968"/>
        <w:spacing w:before="240" w:after="240" w:line="200" w:lineRule="atLeast"/>
        <w:rPr>
          <w:rStyle w:val="934"/>
          <w:rFonts w:ascii="宋体" w:hAnsi="宋体"/>
          <w:color w:val="auto"/>
          <w:sz w:val="24"/>
          <w:szCs w:val="24"/>
          <w:highlight w:val="none"/>
        </w:rPr>
        <w:outlineLvl w:val="0"/>
      </w:pPr>
      <w:r/>
      <w:bookmarkStart w:id="194" w:name="_Toc31912"/>
      <w:r/>
      <w:bookmarkStart w:id="195" w:name="_Toc5193"/>
      <w:r/>
      <w:bookmarkStart w:id="196" w:name="_Toc1247"/>
      <w:r>
        <w:rPr>
          <w:rStyle w:val="934"/>
          <w:rFonts w:ascii="宋体" w:hAnsi="宋体"/>
          <w:color w:val="auto"/>
          <w:sz w:val="24"/>
          <w:szCs w:val="24"/>
          <w:highlight w:val="none"/>
        </w:rPr>
        <w:t xml:space="preserve">三、开标一览表</w:t>
      </w:r>
      <w:bookmarkEnd w:id="194"/>
      <w:r/>
      <w:bookmarkEnd w:id="195"/>
      <w:r/>
      <w:bookmarkEnd w:id="196"/>
      <w:r/>
      <w:r/>
    </w:p>
    <w:p>
      <w:pPr>
        <w:pStyle w:val="968"/>
        <w:spacing w:before="240" w:after="240" w:line="200" w:lineRule="atLeast"/>
        <w:rPr>
          <w:rStyle w:val="934"/>
          <w:rFonts w:ascii="宋体" w:hAnsi="宋体"/>
          <w:color w:val="auto"/>
          <w:sz w:val="24"/>
          <w:szCs w:val="24"/>
          <w:highlight w:val="none"/>
        </w:rPr>
        <w:outlineLvl w:val="0"/>
      </w:pPr>
      <w:r/>
      <w:bookmarkStart w:id="197" w:name="_Toc25567"/>
      <w:r/>
      <w:bookmarkStart w:id="198" w:name="_Toc12064"/>
      <w:r/>
      <w:bookmarkStart w:id="199" w:name="_Toc26828"/>
      <w:r>
        <w:rPr>
          <w:rStyle w:val="934"/>
          <w:rFonts w:ascii="宋体" w:hAnsi="宋体"/>
          <w:color w:val="auto"/>
          <w:sz w:val="24"/>
          <w:szCs w:val="24"/>
          <w:highlight w:val="none"/>
        </w:rPr>
        <w:t xml:space="preserve">四、资格证明文件</w:t>
      </w:r>
      <w:bookmarkEnd w:id="197"/>
      <w:r/>
      <w:bookmarkEnd w:id="198"/>
      <w:r/>
      <w:bookmarkEnd w:id="199"/>
      <w:r/>
      <w:r/>
    </w:p>
    <w:p>
      <w:pPr>
        <w:pStyle w:val="969"/>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34"/>
          <w:rFonts w:ascii="宋体" w:hAnsi="宋体"/>
          <w:color w:val="auto"/>
          <w:sz w:val="24"/>
          <w:szCs w:val="24"/>
          <w:highlight w:val="none"/>
        </w:rPr>
        <w:t xml:space="preserve">第四章项目需求中实质性要求响应对照表</w:t>
      </w:r>
      <w:r/>
    </w:p>
    <w:p>
      <w:pPr>
        <w:pStyle w:val="968"/>
        <w:spacing w:before="240" w:after="240" w:line="200" w:lineRule="atLeast"/>
        <w:rPr>
          <w:rStyle w:val="934"/>
          <w:rFonts w:hint="eastAsia" w:ascii="宋体" w:hAnsi="宋体"/>
          <w:color w:val="auto"/>
          <w:sz w:val="24"/>
          <w:szCs w:val="24"/>
          <w:highlight w:val="none"/>
        </w:rPr>
        <w:outlineLvl w:val="0"/>
      </w:pPr>
      <w:r/>
      <w:bookmarkStart w:id="200" w:name="_Toc10544"/>
      <w:r/>
      <w:bookmarkStart w:id="201" w:name="_Toc1004"/>
      <w:r>
        <w:rPr>
          <w:rStyle w:val="934"/>
          <w:rFonts w:hint="eastAsia" w:ascii="宋体" w:hAnsi="宋体"/>
          <w:color w:val="auto"/>
          <w:sz w:val="24"/>
          <w:szCs w:val="24"/>
          <w:highlight w:val="none"/>
        </w:rPr>
        <w:t xml:space="preserve">六、投标配置及分项报价表</w:t>
      </w:r>
      <w:bookmarkEnd w:id="200"/>
      <w:r/>
      <w:bookmarkEnd w:id="201"/>
      <w:r/>
      <w:r/>
    </w:p>
    <w:p>
      <w:pPr>
        <w:pStyle w:val="968"/>
        <w:spacing w:before="240" w:after="240" w:line="200" w:lineRule="atLeast"/>
        <w:rPr>
          <w:rStyle w:val="934"/>
          <w:rFonts w:hint="eastAsia" w:ascii="宋体" w:hAnsi="宋体"/>
          <w:color w:val="auto"/>
          <w:sz w:val="24"/>
          <w:szCs w:val="24"/>
          <w:highlight w:val="none"/>
        </w:rPr>
        <w:outlineLvl w:val="0"/>
      </w:pPr>
      <w:r/>
      <w:bookmarkStart w:id="202" w:name="_Toc12806"/>
      <w:r/>
      <w:bookmarkStart w:id="203" w:name="_Toc5514"/>
      <w:r>
        <w:rPr>
          <w:rStyle w:val="934"/>
          <w:rFonts w:hint="eastAsia" w:ascii="宋体" w:hAnsi="宋体"/>
          <w:color w:val="auto"/>
          <w:sz w:val="24"/>
          <w:szCs w:val="24"/>
          <w:highlight w:val="none"/>
        </w:rPr>
        <w:t xml:space="preserve">七、常用零件及耗材报价表</w:t>
      </w:r>
      <w:bookmarkEnd w:id="202"/>
      <w:r/>
      <w:bookmarkEnd w:id="203"/>
      <w:r/>
      <w:r/>
    </w:p>
    <w:p>
      <w:pPr>
        <w:pStyle w:val="968"/>
        <w:spacing w:before="240" w:after="240" w:line="200" w:lineRule="atLeast"/>
        <w:rPr>
          <w:rStyle w:val="934"/>
          <w:rFonts w:hint="eastAsia" w:ascii="宋体" w:hAnsi="宋体" w:eastAsia="宋体"/>
          <w:color w:val="auto"/>
          <w:sz w:val="24"/>
          <w:szCs w:val="24"/>
          <w:highlight w:val="none"/>
        </w:rPr>
        <w:outlineLvl w:val="0"/>
      </w:pPr>
      <w:r/>
      <w:bookmarkStart w:id="204" w:name="_Toc5199"/>
      <w:r/>
      <w:bookmarkStart w:id="205" w:name="_Toc25418"/>
      <w:r>
        <w:rPr>
          <w:rStyle w:val="934"/>
          <w:rFonts w:hint="eastAsia" w:ascii="宋体" w:hAnsi="宋体" w:eastAsia="宋体"/>
          <w:color w:val="auto"/>
          <w:sz w:val="24"/>
          <w:szCs w:val="24"/>
          <w:highlight w:val="none"/>
        </w:rPr>
        <w:t xml:space="preserve">八、技术参数响应及偏离表</w:t>
      </w:r>
      <w:bookmarkEnd w:id="204"/>
      <w:r/>
      <w:bookmarkEnd w:id="205"/>
      <w:r/>
      <w:r/>
    </w:p>
    <w:p>
      <w:pPr>
        <w:pStyle w:val="968"/>
        <w:spacing w:before="240" w:after="240" w:line="200" w:lineRule="atLeast"/>
        <w:rPr>
          <w:rStyle w:val="934"/>
          <w:rFonts w:hint="eastAsia" w:ascii="宋体" w:hAnsi="宋体" w:eastAsia="宋体"/>
          <w:color w:val="auto"/>
          <w:sz w:val="24"/>
          <w:szCs w:val="24"/>
          <w:highlight w:val="none"/>
        </w:rPr>
        <w:outlineLvl w:val="0"/>
      </w:pPr>
      <w:r/>
      <w:bookmarkStart w:id="206" w:name="_Toc27270"/>
      <w:r/>
      <w:bookmarkStart w:id="207" w:name="_Toc3301"/>
      <w:r>
        <w:rPr>
          <w:rStyle w:val="934"/>
          <w:rFonts w:hint="eastAsia" w:ascii="宋体" w:hAnsi="宋体" w:eastAsia="宋体"/>
          <w:color w:val="auto"/>
          <w:sz w:val="24"/>
          <w:szCs w:val="24"/>
          <w:highlight w:val="none"/>
        </w:rPr>
        <w:t xml:space="preserve">九、存储大数据底座所投产品主要技术参数及配置表</w:t>
      </w:r>
      <w:r/>
    </w:p>
    <w:p>
      <w:pPr>
        <w:pStyle w:val="968"/>
        <w:spacing w:before="240" w:after="240" w:line="200" w:lineRule="atLeast"/>
        <w:rPr>
          <w:rStyle w:val="934"/>
          <w:rFonts w:hint="eastAsia" w:ascii="宋体" w:hAnsi="宋体"/>
          <w:color w:val="auto"/>
          <w:sz w:val="24"/>
          <w:szCs w:val="24"/>
          <w:highlight w:val="none"/>
        </w:rPr>
        <w:outlineLvl w:val="0"/>
      </w:pPr>
      <w:r>
        <w:rPr>
          <w:rStyle w:val="934"/>
          <w:rFonts w:hint="eastAsia" w:ascii="宋体" w:hAnsi="宋体" w:eastAsia="宋体"/>
          <w:color w:val="auto"/>
          <w:sz w:val="24"/>
          <w:szCs w:val="24"/>
          <w:highlight w:val="none"/>
          <w:lang w:val="en-US" w:eastAsia="zh-CN"/>
        </w:rPr>
        <w:t xml:space="preserve">十</w:t>
      </w:r>
      <w:r>
        <w:rPr>
          <w:rStyle w:val="934"/>
          <w:rFonts w:hint="eastAsia" w:ascii="宋体" w:hAnsi="宋体" w:eastAsia="宋体"/>
          <w:color w:val="auto"/>
          <w:sz w:val="24"/>
          <w:szCs w:val="24"/>
          <w:highlight w:val="none"/>
        </w:rPr>
        <w:t xml:space="preserve">、</w:t>
      </w:r>
      <w:r>
        <w:rPr>
          <w:rStyle w:val="934"/>
          <w:rFonts w:hint="eastAsia" w:ascii="宋体" w:hAnsi="宋体" w:eastAsia="宋体"/>
          <w:color w:val="auto"/>
          <w:sz w:val="24"/>
          <w:szCs w:val="24"/>
          <w:highlight w:val="none"/>
          <w:lang w:val="en-US" w:eastAsia="zh-CN"/>
        </w:rPr>
        <w:t xml:space="preserve">统一维护服务承诺函格式</w:t>
      </w:r>
      <w:r/>
    </w:p>
    <w:p>
      <w:pPr>
        <w:pStyle w:val="968"/>
        <w:spacing w:before="240" w:after="240" w:line="200" w:lineRule="atLeast"/>
        <w:rPr>
          <w:rStyle w:val="934"/>
          <w:rFonts w:hint="eastAsia" w:ascii="宋体" w:hAnsi="宋体"/>
          <w:color w:val="auto"/>
          <w:sz w:val="24"/>
          <w:szCs w:val="24"/>
          <w:highlight w:val="none"/>
        </w:rPr>
        <w:outlineLvl w:val="0"/>
      </w:pPr>
      <w:r>
        <w:rPr>
          <w:rStyle w:val="934"/>
          <w:rFonts w:hint="eastAsia" w:ascii="宋体" w:hAnsi="宋体"/>
          <w:color w:val="auto"/>
          <w:sz w:val="24"/>
          <w:szCs w:val="24"/>
          <w:highlight w:val="none"/>
        </w:rPr>
        <w:t xml:space="preserve">十一、服务方案</w:t>
      </w:r>
      <w:bookmarkEnd w:id="206"/>
      <w:r/>
      <w:bookmarkEnd w:id="207"/>
      <w:r/>
      <w:r/>
    </w:p>
    <w:p>
      <w:pPr>
        <w:pStyle w:val="968"/>
        <w:spacing w:before="240" w:after="240" w:line="200" w:lineRule="atLeast"/>
        <w:rPr>
          <w:rStyle w:val="934"/>
          <w:rFonts w:hint="eastAsia" w:ascii="宋体" w:hAnsi="宋体"/>
          <w:color w:val="auto"/>
          <w:sz w:val="24"/>
          <w:szCs w:val="24"/>
          <w:highlight w:val="none"/>
        </w:rPr>
        <w:outlineLvl w:val="0"/>
      </w:pPr>
      <w:r/>
      <w:bookmarkStart w:id="208" w:name="_Toc14133"/>
      <w:r/>
      <w:bookmarkStart w:id="209" w:name="_Toc12514"/>
      <w:r>
        <w:rPr>
          <w:rStyle w:val="934"/>
          <w:rFonts w:hint="eastAsia" w:ascii="宋体" w:hAnsi="宋体"/>
          <w:color w:val="auto"/>
          <w:sz w:val="24"/>
          <w:szCs w:val="24"/>
          <w:highlight w:val="none"/>
        </w:rPr>
        <w:t xml:space="preserve">十二、投标人情况介绍</w:t>
      </w:r>
      <w:bookmarkEnd w:id="208"/>
      <w:r/>
      <w:bookmarkEnd w:id="209"/>
      <w:r/>
      <w:r/>
    </w:p>
    <w:p>
      <w:pPr>
        <w:pStyle w:val="968"/>
        <w:spacing w:before="240" w:after="240" w:line="200" w:lineRule="atLeast"/>
        <w:rPr>
          <w:rStyle w:val="934"/>
          <w:rFonts w:hint="eastAsia" w:ascii="宋体" w:hAnsi="宋体"/>
          <w:color w:val="auto"/>
          <w:sz w:val="24"/>
          <w:szCs w:val="24"/>
          <w:highlight w:val="none"/>
        </w:rPr>
        <w:outlineLvl w:val="0"/>
      </w:pPr>
      <w:r/>
      <w:bookmarkStart w:id="210" w:name="_Toc11742"/>
      <w:r/>
      <w:bookmarkStart w:id="211" w:name="_Toc113"/>
      <w:r>
        <w:rPr>
          <w:rStyle w:val="934"/>
          <w:rFonts w:hint="eastAsia" w:ascii="宋体" w:hAnsi="宋体"/>
          <w:color w:val="auto"/>
          <w:sz w:val="24"/>
          <w:szCs w:val="24"/>
          <w:highlight w:val="none"/>
        </w:rPr>
        <w:t xml:space="preserve">十三、中小企业声明函等</w:t>
      </w:r>
      <w:bookmarkEnd w:id="210"/>
      <w:r/>
      <w:bookmarkEnd w:id="211"/>
      <w:r/>
      <w:r/>
    </w:p>
    <w:p>
      <w:pPr>
        <w:pStyle w:val="968"/>
        <w:spacing w:before="240" w:after="240" w:line="200" w:lineRule="atLeast"/>
        <w:rPr>
          <w:rStyle w:val="934"/>
          <w:rFonts w:hint="eastAsia" w:ascii="宋体" w:hAnsi="宋体"/>
          <w:sz w:val="24"/>
          <w:szCs w:val="24"/>
        </w:rPr>
        <w:outlineLvl w:val="0"/>
      </w:pPr>
      <w:r>
        <w:rPr>
          <w:rStyle w:val="934"/>
          <w:rFonts w:hint="eastAsia" w:ascii="宋体" w:hAnsi="宋体"/>
          <w:sz w:val="24"/>
          <w:szCs w:val="24"/>
        </w:rPr>
        <w:t xml:space="preserve">十四、关于符合本国产品标准的声明函</w:t>
      </w:r>
      <w:r/>
    </w:p>
    <w:p>
      <w:pPr>
        <w:pStyle w:val="968"/>
        <w:spacing w:before="240" w:after="240" w:line="200" w:lineRule="atLeast"/>
        <w:rPr>
          <w:rStyle w:val="934"/>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70"/>
        <w:rPr>
          <w:rStyle w:val="934"/>
          <w:color w:val="auto"/>
          <w:highlight w:val="none"/>
        </w:rPr>
        <w:outlineLvl w:val="0"/>
      </w:pPr>
      <w:r>
        <w:rPr>
          <w:rStyle w:val="934"/>
          <w:color w:val="auto"/>
          <w:highlight w:val="none"/>
        </w:rPr>
        <w:br w:type="page" w:clear="all"/>
      </w:r>
      <w:bookmarkStart w:id="212" w:name="_Toc28279"/>
      <w:r/>
      <w:bookmarkStart w:id="213" w:name="_Toc11328"/>
      <w:r/>
      <w:bookmarkStart w:id="214" w:name="_Toc21398"/>
      <w:r/>
      <w:bookmarkStart w:id="215" w:name="_Toc1406"/>
      <w:r/>
      <w:bookmarkStart w:id="216" w:name="_Toc795"/>
      <w:r>
        <w:rPr>
          <w:rStyle w:val="934"/>
          <w:rFonts w:ascii="宋体" w:hAnsi="宋体"/>
          <w:b/>
          <w:color w:val="auto"/>
          <w:sz w:val="32"/>
          <w:highlight w:val="none"/>
        </w:rPr>
        <w:t xml:space="preserve">一、封面</w:t>
      </w:r>
      <w:bookmarkEnd w:id="212"/>
      <w:r/>
      <w:bookmarkEnd w:id="213"/>
      <w:r/>
      <w:bookmarkEnd w:id="214"/>
      <w:r/>
      <w:bookmarkEnd w:id="215"/>
      <w:r/>
      <w:bookmarkEnd w:id="216"/>
      <w:r/>
      <w:r/>
    </w:p>
    <w:p>
      <w:pPr>
        <w:pStyle w:val="971"/>
        <w:spacing w:line="440" w:lineRule="exact"/>
        <w:rPr>
          <w:rStyle w:val="934"/>
          <w:rFonts w:ascii="宋体" w:hAnsi="宋体"/>
          <w:color w:val="auto"/>
          <w:highlight w:val="none"/>
        </w:rPr>
      </w:pPr>
      <w:r>
        <w:rPr>
          <w:rStyle w:val="934"/>
          <w:rFonts w:ascii="宋体" w:hAnsi="宋体"/>
          <w:color w:val="auto"/>
          <w:highlight w:val="none"/>
        </w:rPr>
        <w:t xml:space="preserve">﻿ </w:t>
      </w:r>
      <w:r/>
    </w:p>
    <w:p>
      <w:pPr>
        <w:pStyle w:val="971"/>
        <w:jc w:val="center"/>
        <w:spacing w:before="540" w:after="540"/>
        <w:rPr>
          <w:rStyle w:val="934"/>
          <w:rFonts w:ascii="宋体" w:hAnsi="宋体"/>
          <w:color w:val="auto"/>
          <w:sz w:val="54"/>
          <w:szCs w:val="54"/>
          <w:highlight w:val="none"/>
        </w:rPr>
        <w:outlineLvl w:val="1"/>
      </w:pPr>
      <w:r/>
      <w:bookmarkStart w:id="217" w:name="_Toc5639"/>
      <w:r>
        <w:rPr>
          <w:rStyle w:val="934"/>
          <w:rFonts w:ascii="宋体" w:hAnsi="宋体"/>
          <w:color w:val="auto"/>
          <w:sz w:val="54"/>
          <w:szCs w:val="54"/>
          <w:highlight w:val="none"/>
        </w:rPr>
        <w:t xml:space="preserve">投 标 文 件</w:t>
      </w:r>
      <w:bookmarkEnd w:id="217"/>
      <w:r/>
      <w:r/>
    </w:p>
    <w:p>
      <w:pPr>
        <w:pStyle w:val="971"/>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1"/>
        <w:jc w:val="center"/>
        <w:spacing w:before="400" w:after="400"/>
        <w:rPr>
          <w:rStyle w:val="934"/>
          <w:rFonts w:ascii="宋体" w:hAnsi="宋体"/>
          <w:color w:val="auto"/>
          <w:sz w:val="40"/>
          <w:szCs w:val="40"/>
          <w:highlight w:val="none"/>
        </w:rPr>
      </w:pPr>
      <w:r>
        <w:rPr>
          <w:rStyle w:val="934"/>
          <w:rFonts w:ascii="宋体" w:hAnsi="宋体"/>
          <w:color w:val="auto"/>
          <w:sz w:val="40"/>
          <w:szCs w:val="40"/>
          <w:highlight w:val="none"/>
        </w:rPr>
        <w:t xml:space="preserve"> </w:t>
      </w:r>
      <w:r/>
    </w:p>
    <w:p>
      <w:pPr>
        <w:pStyle w:val="971"/>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1"/>
        <w:jc w:val="center"/>
        <w:spacing w:before="360" w:after="360"/>
        <w:rPr>
          <w:rStyle w:val="934"/>
          <w:rFonts w:ascii="宋体" w:hAnsi="宋体"/>
          <w:color w:val="auto"/>
          <w:sz w:val="36"/>
          <w:szCs w:val="36"/>
          <w:highlight w:val="none"/>
        </w:rPr>
        <w:outlineLvl w:val="1"/>
      </w:pPr>
      <w:r/>
      <w:bookmarkStart w:id="218" w:name="_Toc26027"/>
      <w:r>
        <w:rPr>
          <w:rStyle w:val="934"/>
          <w:rFonts w:ascii="宋体" w:hAnsi="宋体"/>
          <w:color w:val="auto"/>
          <w:sz w:val="36"/>
          <w:szCs w:val="36"/>
          <w:highlight w:val="none"/>
        </w:rPr>
        <w:t xml:space="preserve">项目名称：   </w:t>
      </w:r>
      <w:bookmarkEnd w:id="218"/>
      <w:r/>
      <w:r/>
    </w:p>
    <w:p>
      <w:pPr>
        <w:pStyle w:val="971"/>
        <w:jc w:val="center"/>
        <w:spacing w:before="360" w:after="360"/>
        <w:rPr>
          <w:rStyle w:val="934"/>
          <w:rFonts w:ascii="宋体" w:hAnsi="宋体"/>
          <w:color w:val="auto"/>
          <w:sz w:val="36"/>
          <w:szCs w:val="36"/>
          <w:highlight w:val="none"/>
        </w:rPr>
        <w:outlineLvl w:val="1"/>
      </w:pPr>
      <w:r/>
      <w:bookmarkStart w:id="219" w:name="_Toc5574"/>
      <w:r>
        <w:rPr>
          <w:rStyle w:val="934"/>
          <w:rFonts w:ascii="宋体" w:hAnsi="宋体"/>
          <w:color w:val="auto"/>
          <w:sz w:val="36"/>
          <w:szCs w:val="36"/>
          <w:highlight w:val="none"/>
        </w:rPr>
        <w:t xml:space="preserve">招标编号：   </w:t>
      </w:r>
      <w:bookmarkEnd w:id="219"/>
      <w:r/>
      <w:r/>
    </w:p>
    <w:p>
      <w:pPr>
        <w:pStyle w:val="971"/>
        <w:jc w:val="center"/>
        <w:spacing w:before="360" w:after="360"/>
        <w:rPr>
          <w:rStyle w:val="934"/>
          <w:rFonts w:ascii="宋体" w:hAnsi="宋体"/>
          <w:color w:val="auto"/>
          <w:sz w:val="36"/>
          <w:szCs w:val="36"/>
          <w:highlight w:val="none"/>
        </w:rPr>
      </w:pPr>
      <w:r>
        <w:rPr>
          <w:rStyle w:val="934"/>
          <w:rFonts w:ascii="宋体" w:hAnsi="宋体"/>
          <w:color w:val="auto"/>
          <w:sz w:val="36"/>
          <w:szCs w:val="36"/>
          <w:highlight w:val="none"/>
        </w:rPr>
        <w:t xml:space="preserve"> </w:t>
      </w:r>
      <w:r/>
    </w:p>
    <w:p>
      <w:pPr>
        <w:pStyle w:val="971"/>
        <w:jc w:val="center"/>
        <w:spacing w:before="360" w:after="360"/>
        <w:rPr>
          <w:rStyle w:val="934"/>
          <w:rFonts w:ascii="宋体" w:hAnsi="宋体"/>
          <w:color w:val="auto"/>
          <w:sz w:val="36"/>
          <w:szCs w:val="36"/>
          <w:highlight w:val="none"/>
        </w:rPr>
      </w:pPr>
      <w:r>
        <w:rPr>
          <w:rStyle w:val="934"/>
          <w:rFonts w:ascii="宋体" w:hAnsi="宋体"/>
          <w:color w:val="auto"/>
          <w:sz w:val="36"/>
          <w:szCs w:val="36"/>
          <w:highlight w:val="none"/>
        </w:rPr>
        <w:t xml:space="preserve"> </w:t>
      </w:r>
      <w:r/>
    </w:p>
    <w:p>
      <w:pPr>
        <w:pStyle w:val="971"/>
        <w:jc w:val="center"/>
        <w:spacing w:before="360" w:after="360"/>
        <w:rPr>
          <w:rStyle w:val="934"/>
          <w:rFonts w:ascii="宋体" w:hAnsi="宋体"/>
          <w:color w:val="auto"/>
          <w:sz w:val="36"/>
          <w:szCs w:val="36"/>
          <w:highlight w:val="none"/>
        </w:rPr>
        <w:outlineLvl w:val="1"/>
      </w:pPr>
      <w:r/>
      <w:bookmarkStart w:id="220" w:name="_Toc5779"/>
      <w:r>
        <w:rPr>
          <w:rStyle w:val="934"/>
          <w:rFonts w:ascii="宋体" w:hAnsi="宋体"/>
          <w:color w:val="auto"/>
          <w:sz w:val="36"/>
          <w:szCs w:val="36"/>
          <w:highlight w:val="none"/>
        </w:rPr>
        <w:t xml:space="preserve">投标人名称：   </w:t>
      </w:r>
      <w:bookmarkEnd w:id="220"/>
      <w:r/>
      <w:r/>
    </w:p>
    <w:p>
      <w:pPr>
        <w:pStyle w:val="971"/>
        <w:jc w:val="center"/>
        <w:spacing w:before="360" w:after="360"/>
        <w:rPr>
          <w:rStyle w:val="934"/>
          <w:rFonts w:ascii="宋体" w:hAnsi="宋体"/>
          <w:color w:val="auto"/>
          <w:sz w:val="36"/>
          <w:szCs w:val="36"/>
          <w:highlight w:val="none"/>
        </w:rPr>
        <w:outlineLvl w:val="1"/>
      </w:pPr>
      <w:r/>
      <w:bookmarkStart w:id="221" w:name="_Toc22080"/>
      <w:r>
        <w:rPr>
          <w:rStyle w:val="934"/>
          <w:rFonts w:ascii="宋体" w:hAnsi="宋体"/>
          <w:color w:val="auto"/>
          <w:sz w:val="36"/>
          <w:szCs w:val="36"/>
          <w:highlight w:val="none"/>
        </w:rPr>
        <w:t xml:space="preserve">日期：   </w:t>
      </w:r>
      <w:bookmarkEnd w:id="221"/>
      <w:r/>
      <w:r/>
    </w:p>
    <w:p>
      <w:pPr>
        <w:pStyle w:val="971"/>
        <w:jc w:val="center"/>
        <w:spacing w:before="360" w:after="360"/>
        <w:rPr>
          <w:rStyle w:val="934"/>
          <w:rFonts w:ascii="宋体" w:hAnsi="宋体"/>
          <w:color w:val="auto"/>
          <w:sz w:val="36"/>
          <w:szCs w:val="36"/>
          <w:highlight w:val="none"/>
        </w:rPr>
      </w:pPr>
      <w:r>
        <w:rPr>
          <w:rStyle w:val="934"/>
          <w:rFonts w:ascii="宋体" w:hAnsi="宋体"/>
          <w:color w:val="auto"/>
          <w:sz w:val="36"/>
          <w:szCs w:val="36"/>
          <w:highlight w:val="none"/>
        </w:rPr>
        <w:t xml:space="preserve"> </w:t>
      </w:r>
      <w:r/>
    </w:p>
    <w:p>
      <w:pPr>
        <w:pStyle w:val="971"/>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2"/>
        <w:rPr>
          <w:rStyle w:val="934"/>
          <w:color w:val="auto"/>
          <w:highlight w:val="none"/>
        </w:rPr>
        <w:outlineLvl w:val="0"/>
      </w:pPr>
      <w:r>
        <w:rPr>
          <w:rStyle w:val="934"/>
          <w:color w:val="auto"/>
          <w:highlight w:val="none"/>
        </w:rPr>
        <w:br w:type="page" w:clear="all"/>
      </w:r>
      <w:bookmarkStart w:id="222" w:name="_Toc12462"/>
      <w:r/>
      <w:bookmarkStart w:id="223" w:name="_Toc15138"/>
      <w:r/>
      <w:bookmarkStart w:id="224" w:name="_Toc24046"/>
      <w:r/>
      <w:bookmarkStart w:id="225" w:name="_Toc13967"/>
      <w:r/>
      <w:bookmarkStart w:id="226" w:name="_Toc22409"/>
      <w:r>
        <w:rPr>
          <w:rStyle w:val="934"/>
          <w:rFonts w:ascii="宋体" w:hAnsi="宋体"/>
          <w:b/>
          <w:color w:val="auto"/>
          <w:sz w:val="32"/>
          <w:highlight w:val="none"/>
        </w:rPr>
        <w:t xml:space="preserve">二、投标函格式</w:t>
      </w:r>
      <w:bookmarkEnd w:id="222"/>
      <w:r/>
      <w:bookmarkEnd w:id="223"/>
      <w:r/>
      <w:bookmarkEnd w:id="224"/>
      <w:r/>
      <w:bookmarkEnd w:id="225"/>
      <w:r/>
      <w:bookmarkEnd w:id="226"/>
      <w:r/>
      <w:r/>
    </w:p>
    <w:p>
      <w:pPr>
        <w:pStyle w:val="973"/>
        <w:spacing w:line="440" w:lineRule="exact"/>
        <w:rPr>
          <w:rStyle w:val="934"/>
          <w:rFonts w:ascii="宋体" w:hAnsi="宋体"/>
          <w:color w:val="auto"/>
          <w:highlight w:val="none"/>
        </w:rPr>
      </w:pPr>
      <w:r>
        <w:rPr>
          <w:rStyle w:val="934"/>
          <w:rFonts w:ascii="宋体" w:hAnsi="宋体"/>
          <w:color w:val="auto"/>
          <w:highlight w:val="none"/>
        </w:rPr>
        <w:t xml:space="preserve">﻿ </w:t>
      </w:r>
      <w:r/>
    </w:p>
    <w:p>
      <w:pPr>
        <w:pStyle w:val="973"/>
        <w:ind w:firstLine="420"/>
        <w:jc w:val="center"/>
        <w:spacing w:before="320" w:after="320"/>
        <w:rPr>
          <w:rStyle w:val="934"/>
          <w:rFonts w:ascii="宋体" w:hAnsi="宋体"/>
          <w:b/>
          <w:bCs/>
          <w:color w:val="auto"/>
          <w:sz w:val="32"/>
          <w:szCs w:val="32"/>
          <w:highlight w:val="none"/>
        </w:rPr>
      </w:pPr>
      <w:r>
        <w:rPr>
          <w:rStyle w:val="934"/>
          <w:rFonts w:ascii="宋体" w:hAnsi="宋体"/>
          <w:b/>
          <w:bCs/>
          <w:color w:val="auto"/>
          <w:sz w:val="32"/>
          <w:szCs w:val="32"/>
          <w:highlight w:val="none"/>
        </w:rPr>
        <w:t xml:space="preserve">投标函</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致</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根据贵方的</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号招标文件，正式授权下述签字人</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 (姓名和职务)代表我方</w:t>
      </w:r>
      <w:r>
        <w:rPr>
          <w:rStyle w:val="934"/>
          <w:rFonts w:ascii="宋体" w:hAnsi="宋体"/>
          <w:color w:val="auto"/>
          <w:sz w:val="24"/>
          <w:szCs w:val="24"/>
          <w:highlight w:val="none"/>
          <w:u w:val="single"/>
        </w:rPr>
        <w:t xml:space="preserve">   </w:t>
      </w:r>
      <w:r>
        <w:rPr>
          <w:rStyle w:val="934"/>
          <w:rFonts w:ascii="宋体" w:hAnsi="宋体"/>
          <w:color w:val="auto"/>
          <w:sz w:val="24"/>
          <w:szCs w:val="24"/>
          <w:highlight w:val="none"/>
        </w:rPr>
        <w:t xml:space="preserve">（投标人的名称），全权处理本次项目投标的有关事宜。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据此函，签字人兹宣布同意如下：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1、同意向贵方提供贵方可能另外要求的与投标有关的任何证据或资料；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2、我们完全理解贵方不一定将合同授予最低报价的投标人；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5、与本投标有关的正式通讯地址为：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地址：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邮编：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电话：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传真：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投标单位代表姓名：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投标单位名称：    </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公章：</w:t>
      </w:r>
      <w:r/>
    </w:p>
    <w:p>
      <w:pPr>
        <w:pStyle w:val="973"/>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日期：   </w:t>
      </w:r>
      <w:r/>
    </w:p>
    <w:p>
      <w:pPr>
        <w:pStyle w:val="973"/>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74"/>
        <w:rPr>
          <w:rStyle w:val="934"/>
          <w:color w:val="auto"/>
          <w:highlight w:val="none"/>
        </w:rPr>
        <w:outlineLvl w:val="0"/>
      </w:pPr>
      <w:r>
        <w:rPr>
          <w:rStyle w:val="934"/>
          <w:color w:val="auto"/>
          <w:highlight w:val="none"/>
        </w:rPr>
        <w:br w:type="page" w:clear="all"/>
      </w:r>
      <w:bookmarkStart w:id="227" w:name="_Toc24631"/>
      <w:r/>
      <w:bookmarkStart w:id="228" w:name="_Toc20603"/>
      <w:r/>
      <w:bookmarkStart w:id="229" w:name="_Toc30137"/>
      <w:r/>
      <w:bookmarkStart w:id="230" w:name="_Toc30201"/>
      <w:r/>
      <w:bookmarkStart w:id="231" w:name="_Toc689"/>
      <w:r>
        <w:rPr>
          <w:rStyle w:val="934"/>
          <w:rFonts w:ascii="宋体" w:hAnsi="宋体"/>
          <w:b/>
          <w:color w:val="auto"/>
          <w:sz w:val="32"/>
          <w:highlight w:val="none"/>
        </w:rPr>
        <w:t xml:space="preserve">三、开标一览表</w:t>
      </w:r>
      <w:bookmarkEnd w:id="227"/>
      <w:r/>
      <w:bookmarkEnd w:id="228"/>
      <w:r/>
      <w:bookmarkEnd w:id="229"/>
      <w:r/>
      <w:bookmarkEnd w:id="230"/>
      <w:r/>
      <w:bookmarkEnd w:id="231"/>
      <w:r/>
      <w:r/>
    </w:p>
    <w:p>
      <w:pPr>
        <w:pStyle w:val="975"/>
        <w:jc w:val="center"/>
        <w:spacing w:line="440" w:lineRule="exact"/>
        <w:rPr>
          <w:rStyle w:val="934"/>
          <w:rFonts w:ascii="宋体" w:hAnsi="宋体"/>
          <w:color w:val="auto"/>
          <w:sz w:val="24"/>
          <w:szCs w:val="24"/>
          <w:highlight w:val="none"/>
        </w:rPr>
      </w:pPr>
      <w:r>
        <w:rPr>
          <w:rStyle w:val="934"/>
          <w:rFonts w:ascii="宋体" w:hAnsi="宋体"/>
          <w:color w:val="auto"/>
          <w:sz w:val="24"/>
          <w:szCs w:val="24"/>
          <w:highlight w:val="none"/>
        </w:rPr>
        <w:t xml:space="preserve">﻿ </w:t>
      </w:r>
      <w:r>
        <w:rPr>
          <w:rStyle w:val="934"/>
          <w:rFonts w:hint="eastAsia" w:ascii="宋体" w:hAnsi="宋体"/>
          <w:color w:val="auto"/>
          <w:sz w:val="24"/>
          <w:szCs w:val="24"/>
          <w:highlight w:val="none"/>
        </w:rPr>
        <w:t xml:space="preserve">开标一览表（总报价）</w:t>
      </w:r>
      <w:r/>
    </w:p>
    <w:p>
      <w:pPr>
        <w:pStyle w:val="975"/>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投标</w:t>
      </w:r>
      <w:r>
        <w:rPr>
          <w:rStyle w:val="934"/>
          <w:rFonts w:hint="eastAsia" w:ascii="宋体" w:hAnsi="宋体"/>
          <w:color w:val="auto"/>
          <w:sz w:val="24"/>
          <w:szCs w:val="24"/>
          <w:highlight w:val="none"/>
        </w:rPr>
        <w:t xml:space="preserve">人</w:t>
      </w:r>
      <w:r>
        <w:rPr>
          <w:rStyle w:val="934"/>
          <w:rFonts w:ascii="宋体" w:hAnsi="宋体"/>
          <w:color w:val="auto"/>
          <w:sz w:val="24"/>
          <w:szCs w:val="24"/>
          <w:highlight w:val="none"/>
        </w:rPr>
        <w:t xml:space="preserve">全称（加盖公章）：</w:t>
      </w:r>
      <w:r/>
    </w:p>
    <w:p>
      <w:pPr>
        <w:pStyle w:val="975"/>
        <w:spacing w:before="240" w:after="240"/>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项目编号：</w:t>
      </w:r>
      <w:r>
        <w:rPr>
          <w:rStyle w:val="934"/>
          <w:rFonts w:ascii="宋体" w:hAnsi="宋体"/>
          <w:color w:val="auto"/>
          <w:sz w:val="24"/>
          <w:szCs w:val="24"/>
          <w:highlight w:val="none"/>
        </w:rPr>
        <w:t xml:space="preserve">    </w:t>
      </w:r>
      <w:r/>
    </w:p>
    <w:p>
      <w:pPr>
        <w:pStyle w:val="975"/>
        <w:spacing w:before="240" w:after="240"/>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分包号：</w:t>
      </w:r>
      <w:r/>
    </w:p>
    <w:tbl>
      <w:tblPr>
        <w:tblStyle w:val="747"/>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5"/>
              <w:jc w:val="both"/>
              <w:rPr>
                <w:rStyle w:val="934"/>
                <w:rFonts w:ascii="宋体" w:hAnsi="宋体"/>
                <w:color w:val="auto"/>
                <w:sz w:val="24"/>
                <w:szCs w:val="24"/>
                <w:highlight w:val="none"/>
              </w:rPr>
            </w:pPr>
            <w:r>
              <w:rPr>
                <w:rStyle w:val="934"/>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5"/>
              <w:jc w:val="both"/>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投标总报价</w:t>
            </w:r>
            <w:r>
              <w:rPr>
                <w:rStyle w:val="934"/>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5"/>
              <w:jc w:val="both"/>
              <w:rPr>
                <w:rStyle w:val="934"/>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  </w:t>
            </w:r>
            <w:r/>
          </w:p>
          <w:p>
            <w:pPr>
              <w:pStyle w:val="975"/>
              <w:rPr>
                <w:rStyle w:val="934"/>
                <w:rFonts w:hint="eastAsia" w:ascii="宋体" w:hAnsi="宋体"/>
                <w:color w:val="auto"/>
                <w:sz w:val="24"/>
                <w:szCs w:val="24"/>
                <w:highlight w:val="none"/>
              </w:rPr>
            </w:pPr>
            <w:r>
              <w:rPr>
                <w:rStyle w:val="934"/>
                <w:rFonts w:hint="eastAsia" w:ascii="宋体" w:hAnsi="宋体"/>
                <w:color w:val="auto"/>
                <w:sz w:val="24"/>
                <w:szCs w:val="24"/>
                <w:highlight w:val="none"/>
              </w:rPr>
              <w:t xml:space="preserve">小写：      （元人民币）</w:t>
            </w:r>
            <w:r/>
          </w:p>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投标</w:t>
            </w:r>
            <w:r>
              <w:rPr>
                <w:rStyle w:val="934"/>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5"/>
              <w:rPr>
                <w:rStyle w:val="934"/>
                <w:rFonts w:ascii="宋体" w:hAnsi="宋体"/>
                <w:color w:val="auto"/>
                <w:sz w:val="24"/>
                <w:szCs w:val="24"/>
                <w:highlight w:val="none"/>
              </w:rPr>
            </w:pPr>
            <w:r>
              <w:rPr>
                <w:rStyle w:val="934"/>
                <w:rFonts w:ascii="宋体" w:hAnsi="宋体"/>
                <w:color w:val="auto"/>
                <w:sz w:val="24"/>
                <w:szCs w:val="24"/>
                <w:highlight w:val="none"/>
              </w:rPr>
              <w:t xml:space="preserve">  </w:t>
            </w:r>
            <w:r>
              <w:rPr>
                <w:rStyle w:val="934"/>
                <w:rFonts w:hint="eastAsia" w:ascii="宋体" w:hAnsi="宋体"/>
                <w:color w:val="auto"/>
                <w:sz w:val="24"/>
                <w:szCs w:val="24"/>
                <w:highlight w:val="none"/>
              </w:rPr>
              <w:t xml:space="preserve">金额大写</w:t>
            </w:r>
            <w:r>
              <w:rPr>
                <w:rStyle w:val="934"/>
                <w:rFonts w:ascii="宋体" w:hAnsi="宋体"/>
                <w:color w:val="auto"/>
                <w:sz w:val="24"/>
                <w:szCs w:val="24"/>
                <w:highlight w:val="none"/>
              </w:rPr>
              <w:t xml:space="preserve">  </w:t>
            </w:r>
            <w:r/>
          </w:p>
        </w:tc>
      </w:tr>
    </w:tbl>
    <w:p>
      <w:pPr>
        <w:pStyle w:val="975"/>
        <w:spacing w:before="240" w:after="240"/>
        <w:rPr>
          <w:rStyle w:val="934"/>
          <w:rFonts w:ascii="宋体" w:hAnsi="宋体"/>
          <w:color w:val="auto"/>
          <w:sz w:val="24"/>
          <w:szCs w:val="24"/>
          <w:highlight w:val="none"/>
        </w:rPr>
      </w:pPr>
      <w:r>
        <w:rPr>
          <w:rStyle w:val="934"/>
          <w:rFonts w:ascii="宋体" w:hAnsi="宋体"/>
          <w:color w:val="auto"/>
          <w:sz w:val="24"/>
          <w:szCs w:val="24"/>
          <w:highlight w:val="none"/>
        </w:rPr>
        <w:t xml:space="preserve"> </w:t>
      </w:r>
      <w:r>
        <w:rPr>
          <w:rStyle w:val="934"/>
          <w:rFonts w:hint="eastAsia" w:ascii="宋体" w:hAnsi="宋体"/>
          <w:color w:val="auto"/>
          <w:sz w:val="24"/>
          <w:szCs w:val="24"/>
          <w:highlight w:val="none"/>
        </w:rPr>
        <w:t xml:space="preserve">                                           日期：  年   月   日</w:t>
      </w:r>
      <w:r/>
    </w:p>
    <w:p>
      <w:pPr>
        <w:pStyle w:val="976"/>
        <w:rPr>
          <w:rStyle w:val="934"/>
          <w:rFonts w:hint="eastAsia"/>
          <w:color w:val="auto"/>
          <w:sz w:val="24"/>
          <w:szCs w:val="28"/>
          <w:highlight w:val="none"/>
        </w:rPr>
        <w:outlineLvl w:val="0"/>
      </w:pPr>
      <w:r/>
      <w:bookmarkStart w:id="232" w:name="_Toc15499"/>
      <w:r/>
      <w:bookmarkStart w:id="233" w:name="_Toc30336"/>
      <w:r/>
      <w:bookmarkStart w:id="234" w:name="_Toc1415"/>
      <w:r>
        <w:rPr>
          <w:rStyle w:val="934"/>
          <w:rFonts w:hint="eastAsia"/>
          <w:color w:val="auto"/>
          <w:sz w:val="24"/>
          <w:szCs w:val="28"/>
          <w:highlight w:val="none"/>
        </w:rPr>
        <w:t xml:space="preserve">填写说明：</w:t>
      </w:r>
      <w:bookmarkEnd w:id="232"/>
      <w:r/>
      <w:bookmarkEnd w:id="233"/>
      <w:r/>
      <w:bookmarkEnd w:id="234"/>
      <w:r/>
      <w:r/>
    </w:p>
    <w:p>
      <w:pPr>
        <w:pStyle w:val="976"/>
        <w:numPr>
          <w:ilvl w:val="0"/>
          <w:numId w:val="3"/>
        </w:numPr>
        <w:keepLines w:val="0"/>
        <w:keepNext w:val="0"/>
        <w:pageBreakBefore w:val="0"/>
        <w:spacing w:line="440" w:lineRule="exact"/>
        <w:widowControl/>
        <w:rPr>
          <w:rStyle w:val="934"/>
          <w:rFonts w:hint="eastAsia"/>
          <w:i/>
          <w:iCs/>
          <w:color w:val="auto"/>
          <w:sz w:val="24"/>
          <w:szCs w:val="28"/>
          <w:highlight w:val="none"/>
          <w:u w:val="single"/>
        </w:rPr>
        <w:outlineLvl w:val="0"/>
      </w:pPr>
      <w:r/>
      <w:bookmarkStart w:id="235" w:name="_Toc18256"/>
      <w:r/>
      <w:bookmarkStart w:id="236" w:name="_Toc24830"/>
      <w:r/>
      <w:bookmarkStart w:id="237" w:name="_Toc5584"/>
      <w:r>
        <w:rPr>
          <w:rStyle w:val="934"/>
          <w:rFonts w:hint="eastAsia"/>
          <w:i/>
          <w:iCs/>
          <w:color w:val="auto"/>
          <w:sz w:val="24"/>
          <w:szCs w:val="28"/>
          <w:highlight w:val="none"/>
          <w:u w:val="single"/>
        </w:rPr>
        <w:t xml:space="preserve">开标一览表必须加盖投标人公章（复印件无效）。</w:t>
      </w:r>
      <w:bookmarkEnd w:id="235"/>
      <w:r/>
      <w:bookmarkEnd w:id="236"/>
      <w:r/>
      <w:bookmarkEnd w:id="237"/>
      <w:r/>
      <w:r/>
    </w:p>
    <w:p>
      <w:pPr>
        <w:pStyle w:val="976"/>
        <w:numPr>
          <w:ilvl w:val="0"/>
          <w:numId w:val="3"/>
        </w:numPr>
        <w:keepLines w:val="0"/>
        <w:keepNext w:val="0"/>
        <w:pageBreakBefore w:val="0"/>
        <w:spacing w:line="440" w:lineRule="exact"/>
        <w:widowControl/>
        <w:rPr>
          <w:rStyle w:val="934"/>
          <w:rFonts w:hint="eastAsia"/>
          <w:i/>
          <w:iCs/>
          <w:color w:val="auto"/>
          <w:sz w:val="24"/>
          <w:szCs w:val="28"/>
          <w:highlight w:val="none"/>
          <w:u w:val="single"/>
        </w:rPr>
        <w:outlineLvl w:val="0"/>
      </w:pPr>
      <w:r/>
      <w:bookmarkStart w:id="238" w:name="_Toc30690"/>
      <w:r/>
      <w:bookmarkStart w:id="239" w:name="_Toc30436"/>
      <w:r/>
      <w:bookmarkStart w:id="240" w:name="_Toc1241"/>
      <w:r>
        <w:rPr>
          <w:rStyle w:val="934"/>
          <w:rFonts w:hint="eastAsia"/>
          <w:i/>
          <w:iCs/>
          <w:color w:val="auto"/>
          <w:sz w:val="24"/>
          <w:szCs w:val="28"/>
          <w:highlight w:val="none"/>
          <w:u w:val="single"/>
        </w:rPr>
        <w:t xml:space="preserve">如有分包，投标人投任何一个包的标的，都需单独填写开标一览表。</w:t>
      </w:r>
      <w:bookmarkEnd w:id="238"/>
      <w:r/>
      <w:bookmarkEnd w:id="239"/>
      <w:r/>
      <w:bookmarkEnd w:id="240"/>
      <w:r/>
      <w:r/>
    </w:p>
    <w:p>
      <w:pPr>
        <w:pStyle w:val="976"/>
        <w:rPr>
          <w:rStyle w:val="934"/>
          <w:color w:val="auto"/>
          <w:highlight w:val="none"/>
        </w:rPr>
        <w:outlineLvl w:val="0"/>
      </w:pPr>
      <w:r>
        <w:rPr>
          <w:rStyle w:val="934"/>
          <w:color w:val="auto"/>
          <w:highlight w:val="none"/>
        </w:rPr>
        <w:br w:type="page" w:clear="all"/>
      </w:r>
      <w:bookmarkStart w:id="241" w:name="_Toc32613"/>
      <w:r/>
      <w:bookmarkStart w:id="242" w:name="_Toc4776"/>
      <w:r/>
      <w:bookmarkStart w:id="243" w:name="_Toc25301"/>
      <w:r/>
      <w:bookmarkStart w:id="244" w:name="_Toc13295"/>
      <w:r/>
      <w:bookmarkStart w:id="245" w:name="_Toc10307"/>
      <w:r>
        <w:rPr>
          <w:rStyle w:val="934"/>
          <w:rFonts w:ascii="宋体" w:hAnsi="宋体"/>
          <w:b/>
          <w:color w:val="auto"/>
          <w:sz w:val="32"/>
          <w:highlight w:val="none"/>
        </w:rPr>
        <w:t xml:space="preserve">四、资格证明文件</w:t>
      </w:r>
      <w:bookmarkEnd w:id="241"/>
      <w:r/>
      <w:bookmarkEnd w:id="242"/>
      <w:r/>
      <w:bookmarkEnd w:id="243"/>
      <w:r/>
      <w:bookmarkEnd w:id="244"/>
      <w:r/>
      <w:bookmarkEnd w:id="245"/>
      <w:r/>
      <w:r/>
    </w:p>
    <w:p>
      <w:pPr>
        <w:pStyle w:val="977"/>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8"/>
        <w:spacing w:before="240" w:after="240" w:line="360" w:lineRule="auto"/>
        <w:rPr>
          <w:rStyle w:val="934"/>
          <w:rFonts w:ascii="宋体" w:hAnsi="宋体"/>
          <w:b/>
          <w:color w:val="auto"/>
          <w:sz w:val="28"/>
          <w:highlight w:val="none"/>
        </w:rPr>
      </w:pPr>
      <w:r>
        <w:rPr>
          <w:rFonts w:ascii="宋体" w:hAnsi="宋体"/>
          <w:b/>
          <w:color w:val="auto"/>
          <w:sz w:val="28"/>
          <w:highlight w:val="none"/>
        </w:rPr>
      </w:r>
      <w:r/>
    </w:p>
    <w:p>
      <w:pPr>
        <w:pStyle w:val="979"/>
        <w:spacing w:line="440" w:lineRule="exact"/>
        <w:rPr>
          <w:rStyle w:val="934"/>
          <w:color w:val="auto"/>
          <w:highlight w:val="none"/>
        </w:rPr>
      </w:pPr>
      <w:r>
        <w:rPr>
          <w:rStyle w:val="934"/>
          <w:color w:val="auto"/>
          <w:highlight w:val="none"/>
        </w:rPr>
        <w:t xml:space="preserve">﻿ </w:t>
      </w:r>
      <w:r/>
    </w:p>
    <w:p>
      <w:pPr>
        <w:pStyle w:val="980"/>
        <w:ind w:firstLine="420"/>
        <w:jc w:val="center"/>
        <w:spacing w:before="320" w:after="320"/>
        <w:rPr>
          <w:rStyle w:val="934"/>
          <w:rFonts w:ascii="宋体" w:hAnsi="宋体"/>
          <w:b/>
          <w:bCs/>
          <w:color w:val="auto"/>
          <w:sz w:val="32"/>
          <w:szCs w:val="32"/>
          <w:highlight w:val="none"/>
        </w:rPr>
        <w:outlineLvl w:val="1"/>
      </w:pPr>
      <w:r/>
      <w:bookmarkStart w:id="246" w:name="_Toc27904"/>
      <w:r/>
      <w:bookmarkStart w:id="247" w:name="OLE_LINK5"/>
      <w:r/>
      <w:bookmarkStart w:id="248" w:name="OLE_LINK9"/>
      <w:r>
        <w:rPr>
          <w:rStyle w:val="934"/>
          <w:rFonts w:ascii="宋体" w:hAnsi="宋体"/>
          <w:b/>
          <w:bCs/>
          <w:color w:val="auto"/>
          <w:sz w:val="32"/>
          <w:szCs w:val="32"/>
          <w:highlight w:val="none"/>
        </w:rPr>
        <w:t xml:space="preserve">具备履行合同所必需的设备和专业技术能力的书面声明</w:t>
      </w:r>
      <w:bookmarkEnd w:id="246"/>
      <w:r/>
      <w:r/>
    </w:p>
    <w:p>
      <w:pPr>
        <w:pStyle w:val="980"/>
        <w:ind w:firstLine="420"/>
        <w:spacing w:before="240" w:after="240"/>
        <w:rPr>
          <w:rStyle w:val="934"/>
          <w:rFonts w:ascii="宋体" w:hAnsi="宋体"/>
          <w:color w:val="auto"/>
          <w:highlight w:val="none"/>
        </w:rPr>
      </w:pPr>
      <w:r>
        <w:rPr>
          <w:rStyle w:val="934"/>
          <w:rFonts w:ascii="宋体" w:hAnsi="宋体"/>
          <w:color w:val="auto"/>
          <w:highlight w:val="none"/>
        </w:rPr>
        <w:t xml:space="preserve"> </w:t>
      </w:r>
      <w:r/>
    </w:p>
    <w:p>
      <w:pPr>
        <w:pStyle w:val="980"/>
        <w:ind w:firstLine="420"/>
        <w:spacing w:before="320" w:after="320"/>
        <w:rPr>
          <w:rStyle w:val="934"/>
          <w:rFonts w:ascii="宋体" w:hAnsi="宋体"/>
          <w:color w:val="auto"/>
          <w:sz w:val="24"/>
          <w:szCs w:val="24"/>
          <w:highlight w:val="none"/>
        </w:rPr>
      </w:pPr>
      <w:r>
        <w:rPr>
          <w:rStyle w:val="934"/>
          <w:rFonts w:ascii="宋体" w:hAnsi="宋体"/>
          <w:color w:val="auto"/>
          <w:sz w:val="24"/>
          <w:szCs w:val="24"/>
          <w:highlight w:val="none"/>
        </w:rPr>
        <w:t xml:space="preserve">我单位郑重声明： </w:t>
      </w:r>
      <w:r/>
    </w:p>
    <w:p>
      <w:pPr>
        <w:pStyle w:val="980"/>
        <w:ind w:firstLine="420"/>
        <w:spacing w:before="320" w:after="320"/>
        <w:rPr>
          <w:rStyle w:val="934"/>
          <w:rFonts w:ascii="宋体" w:hAnsi="宋体"/>
          <w:color w:val="auto"/>
          <w:sz w:val="24"/>
          <w:szCs w:val="24"/>
          <w:highlight w:val="none"/>
        </w:rPr>
      </w:pPr>
      <w:r>
        <w:rPr>
          <w:rStyle w:val="934"/>
          <w:rFonts w:ascii="宋体" w:hAnsi="宋体"/>
          <w:color w:val="auto"/>
          <w:sz w:val="24"/>
          <w:szCs w:val="24"/>
          <w:highlight w:val="none"/>
        </w:rPr>
        <w:t xml:space="preserve">我单位具备履行本项采购合同所必需的设备和专业技术能力。 </w:t>
      </w:r>
      <w:r/>
    </w:p>
    <w:p>
      <w:pPr>
        <w:pStyle w:val="980"/>
        <w:ind w:firstLine="420"/>
        <w:spacing w:before="360" w:after="360"/>
        <w:rPr>
          <w:rStyle w:val="934"/>
          <w:rFonts w:ascii="宋体" w:hAnsi="宋体"/>
          <w:color w:val="auto"/>
          <w:highlight w:val="none"/>
        </w:rPr>
      </w:pPr>
      <w:r>
        <w:rPr>
          <w:rStyle w:val="934"/>
          <w:rFonts w:ascii="宋体" w:hAnsi="宋体"/>
          <w:color w:val="auto"/>
          <w:highlight w:val="none"/>
        </w:rPr>
        <w:t xml:space="preserve"> </w:t>
      </w:r>
      <w:r/>
    </w:p>
    <w:p>
      <w:pPr>
        <w:pStyle w:val="980"/>
        <w:ind w:firstLine="420"/>
        <w:jc w:val="center"/>
        <w:spacing w:before="360" w:after="360"/>
        <w:rPr>
          <w:rStyle w:val="934"/>
          <w:rFonts w:ascii="宋体" w:hAnsi="宋体"/>
          <w:color w:val="auto"/>
          <w:sz w:val="36"/>
          <w:szCs w:val="36"/>
          <w:highlight w:val="none"/>
        </w:rPr>
        <w:outlineLvl w:val="1"/>
      </w:pPr>
      <w:r/>
      <w:bookmarkStart w:id="249" w:name="_Toc419"/>
      <w:r>
        <w:rPr>
          <w:rStyle w:val="934"/>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49"/>
      <w:r/>
      <w:bookmarkEnd w:id="247"/>
      <w:r/>
      <w:r/>
    </w:p>
    <w:p>
      <w:pPr>
        <w:pStyle w:val="981"/>
        <w:rPr>
          <w:rStyle w:val="934"/>
          <w:rFonts w:ascii="宋体" w:hAnsi="宋体"/>
          <w:color w:val="auto"/>
          <w:sz w:val="36"/>
          <w:szCs w:val="36"/>
          <w:highlight w:val="none"/>
        </w:rPr>
      </w:pPr>
      <w:r>
        <w:rPr>
          <w:rStyle w:val="934"/>
          <w:rFonts w:ascii="宋体" w:hAnsi="宋体"/>
          <w:color w:val="auto"/>
          <w:sz w:val="36"/>
          <w:szCs w:val="36"/>
          <w:highlight w:val="none"/>
        </w:rPr>
        <w:t xml:space="preserve"> </w:t>
      </w:r>
      <w:bookmarkEnd w:id="248"/>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1"/>
        <w:rPr>
          <w:rStyle w:val="934"/>
          <w:rFonts w:ascii="宋体" w:hAnsi="宋体"/>
          <w:color w:val="auto"/>
          <w:sz w:val="36"/>
          <w:szCs w:val="36"/>
          <w:highlight w:val="none"/>
        </w:rPr>
      </w:pPr>
      <w:r>
        <w:rPr>
          <w:rFonts w:ascii="宋体" w:hAnsi="宋体"/>
          <w:color w:val="auto"/>
          <w:sz w:val="36"/>
          <w:szCs w:val="36"/>
          <w:highlight w:val="none"/>
        </w:rPr>
      </w:r>
      <w:r/>
    </w:p>
    <w:p>
      <w:pPr>
        <w:pStyle w:val="982"/>
        <w:spacing w:line="440" w:lineRule="exact"/>
        <w:rPr>
          <w:rStyle w:val="934"/>
          <w:rFonts w:ascii="宋体" w:hAnsi="宋体"/>
          <w:color w:val="auto"/>
          <w:highlight w:val="none"/>
        </w:rPr>
      </w:pPr>
      <w:r>
        <w:rPr>
          <w:rStyle w:val="934"/>
          <w:rFonts w:ascii="宋体" w:hAnsi="宋体"/>
          <w:color w:val="auto"/>
          <w:highlight w:val="none"/>
        </w:rPr>
        <w:t xml:space="preserve">﻿ </w:t>
      </w:r>
      <w:r/>
    </w:p>
    <w:p>
      <w:pPr>
        <w:ind w:firstLine="480"/>
        <w:jc w:val="center"/>
        <w:spacing w:line="560" w:lineRule="exact"/>
        <w:rPr>
          <w:rFonts w:hint="eastAsia" w:ascii="宋体" w:hAnsi="宋体"/>
          <w:b/>
          <w:color w:val="auto"/>
          <w:sz w:val="32"/>
          <w:szCs w:val="32"/>
          <w:highlight w:val="none"/>
        </w:rPr>
        <w:outlineLvl w:val="1"/>
      </w:pPr>
      <w:r/>
      <w:bookmarkStart w:id="250" w:name="_Toc18420"/>
      <w:r/>
      <w:bookmarkStart w:id="251" w:name="OLE_LINK10"/>
      <w:r/>
      <w:bookmarkStart w:id="252" w:name="OLE_LINK29"/>
      <w:r>
        <w:rPr>
          <w:rFonts w:hint="eastAsia" w:ascii="宋体" w:hAnsi="宋体"/>
          <w:b/>
          <w:color w:val="auto"/>
          <w:sz w:val="32"/>
          <w:szCs w:val="32"/>
          <w:highlight w:val="none"/>
        </w:rPr>
        <w:t xml:space="preserve">参加政府采购活动前3年内在经营活动中没有重大违法记录的书面声明</w:t>
      </w:r>
      <w:bookmarkEnd w:id="250"/>
      <w:r/>
      <w:r/>
    </w:p>
    <w:p>
      <w:pPr>
        <w:spacing w:line="360" w:lineRule="auto"/>
        <w:rPr>
          <w:color w:val="auto"/>
          <w:highlight w:val="none"/>
        </w:rPr>
      </w:pPr>
      <w:r>
        <w:rPr>
          <w:color w:val="auto"/>
          <w:highlight w:val="none"/>
        </w:rPr>
      </w:r>
      <w:r/>
    </w:p>
    <w:p>
      <w:pPr>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rFonts w:hint="eastAsia"/>
          <w:color w:val="auto"/>
          <w:sz w:val="24"/>
          <w:highlight w:val="none"/>
        </w:rPr>
      </w:pPr>
      <w:r>
        <w:rPr>
          <w:rFonts w:hint="eastAsia"/>
          <w:color w:val="auto"/>
          <w:sz w:val="24"/>
          <w:highlight w:val="none"/>
        </w:rPr>
        <w:t xml:space="preserve"> </w:t>
      </w:r>
      <w:r/>
    </w:p>
    <w:p>
      <w:pPr>
        <w:ind w:firstLine="480"/>
        <w:spacing w:line="360" w:lineRule="auto"/>
        <w:rPr>
          <w:rFonts w:hint="eastAsia"/>
          <w:color w:val="auto"/>
          <w:sz w:val="24"/>
          <w:highlight w:val="none"/>
        </w:rPr>
      </w:pPr>
      <w:r>
        <w:rPr>
          <w:rFonts w:hint="eastAsia"/>
          <w:color w:val="auto"/>
          <w:sz w:val="24"/>
          <w:highlight w:val="none"/>
        </w:rPr>
        <w:t xml:space="preserve">                                供应商名称（加盖公章）：</w:t>
      </w:r>
      <w:bookmarkEnd w:id="251"/>
      <w:r/>
      <w:r/>
    </w:p>
    <w:p>
      <w:pPr>
        <w:pStyle w:val="982"/>
        <w:spacing w:before="240" w:after="240"/>
        <w:rPr>
          <w:rStyle w:val="934"/>
          <w:rFonts w:ascii="宋体" w:hAnsi="宋体"/>
          <w:color w:val="auto"/>
          <w:highlight w:val="none"/>
        </w:rPr>
      </w:pPr>
      <w:r>
        <w:rPr>
          <w:rStyle w:val="934"/>
          <w:rFonts w:ascii="宋体" w:hAnsi="宋体"/>
          <w:color w:val="auto"/>
          <w:highlight w:val="none"/>
        </w:rPr>
        <w:t xml:space="preserve"> </w:t>
      </w:r>
      <w:bookmarkEnd w:id="252"/>
      <w:r/>
      <w:r/>
    </w:p>
    <w:p>
      <w:pPr>
        <w:ind w:firstLine="420"/>
        <w:jc w:val="center"/>
        <w:spacing w:line="360" w:lineRule="auto"/>
        <w:rPr>
          <w:rStyle w:val="934"/>
          <w:rFonts w:ascii="Times New Roman" w:hAnsi="Times New Roman" w:eastAsia="Times New Roman"/>
          <w:color w:val="auto"/>
          <w:highlight w:val="none"/>
        </w:rPr>
      </w:pPr>
      <w:r>
        <w:rPr>
          <w:rStyle w:val="934"/>
          <w:rFonts w:ascii="Times New Roman" w:hAnsi="Times New Roman" w:eastAsia="Times New Roman"/>
          <w:color w:val="auto"/>
          <w:highlight w:val="none"/>
        </w:rPr>
        <w:br w:type="page" w:clear="all"/>
      </w:r>
      <w:r/>
    </w:p>
    <w:p>
      <w:pPr>
        <w:ind w:firstLine="420"/>
        <w:jc w:val="center"/>
        <w:spacing w:line="360" w:lineRule="auto"/>
        <w:rPr>
          <w:rStyle w:val="934"/>
          <w:rFonts w:ascii="Times New Roman" w:hAnsi="Times New Roman" w:eastAsia="Times New Roman"/>
          <w:color w:val="auto"/>
          <w:highlight w:val="none"/>
        </w:rPr>
      </w:pPr>
      <w:r/>
      <w:bookmarkStart w:id="253" w:name="OLE_LINK7"/>
      <w:r/>
      <w:r/>
    </w:p>
    <w:p>
      <w:pPr>
        <w:ind w:firstLine="562"/>
        <w:jc w:val="center"/>
        <w:spacing w:line="360" w:lineRule="auto"/>
        <w:rPr>
          <w:rStyle w:val="934"/>
          <w:rFonts w:ascii="宋体" w:hAnsi="宋体"/>
          <w:b/>
          <w:color w:val="auto"/>
          <w:sz w:val="28"/>
          <w:highlight w:val="none"/>
        </w:rPr>
        <w:outlineLvl w:val="1"/>
      </w:pPr>
      <w:r/>
      <w:bookmarkStart w:id="254" w:name="OLE_LINK6"/>
      <w:r/>
      <w:bookmarkStart w:id="255" w:name="OLE_LINK11"/>
      <w:r>
        <w:rPr>
          <w:rStyle w:val="934"/>
          <w:rFonts w:ascii="宋体" w:hAnsi="宋体"/>
          <w:b/>
          <w:color w:val="auto"/>
          <w:sz w:val="28"/>
          <w:highlight w:val="none"/>
        </w:rPr>
        <w:t xml:space="preserve">  </w:t>
      </w:r>
      <w:bookmarkStart w:id="256"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6"/>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83"/>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57" w:name="_Toc5040"/>
      <w:r>
        <w:rPr>
          <w:rFonts w:hint="eastAsia" w:ascii="宋体" w:hAnsi="宋体"/>
          <w:color w:val="auto"/>
          <w:sz w:val="24"/>
          <w:highlight w:val="none"/>
        </w:rPr>
        <w:t xml:space="preserve">供应商名称（加盖公章）：</w:t>
      </w:r>
      <w:bookmarkEnd w:id="257"/>
      <w:r/>
      <w:bookmarkEnd w:id="253"/>
      <w:r/>
      <w:bookmarkEnd w:id="254"/>
      <w:r/>
      <w:r/>
    </w:p>
    <w:p>
      <w:pPr>
        <w:pStyle w:val="984"/>
        <w:rPr>
          <w:rStyle w:val="934"/>
          <w:rFonts w:ascii="宋体" w:hAnsi="宋体"/>
          <w:b/>
          <w:color w:val="auto"/>
          <w:sz w:val="28"/>
          <w:highlight w:val="none"/>
        </w:rPr>
      </w:pPr>
      <w:r>
        <w:rPr>
          <w:rFonts w:ascii="宋体" w:hAnsi="宋体"/>
          <w:b/>
          <w:color w:val="auto"/>
          <w:sz w:val="28"/>
          <w:highlight w:val="none"/>
        </w:rPr>
      </w:r>
      <w:bookmarkEnd w:id="255"/>
      <w:r/>
      <w:r/>
    </w:p>
    <w:p>
      <w:pPr>
        <w:rPr>
          <w:rStyle w:val="934"/>
          <w:rFonts w:ascii="宋体" w:hAnsi="宋体"/>
          <w:b/>
          <w:color w:val="auto"/>
          <w:sz w:val="28"/>
          <w:highlight w:val="none"/>
        </w:rPr>
      </w:pPr>
      <w:r>
        <w:rPr>
          <w:rStyle w:val="934"/>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58"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59" w:name="sys_STR"/>
      <w:r/>
      <w:bookmarkEnd w:id="259"/>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58"/>
      <w:r/>
      <w:r/>
    </w:p>
    <w:p>
      <w:pPr>
        <w:rPr>
          <w:rStyle w:val="934"/>
          <w:rFonts w:ascii="宋体" w:hAnsi="宋体"/>
          <w:b/>
          <w:color w:val="auto"/>
          <w:sz w:val="28"/>
          <w:highlight w:val="none"/>
        </w:rPr>
      </w:pPr>
      <w:r>
        <w:rPr>
          <w:rFonts w:ascii="宋体" w:hAnsi="宋体"/>
          <w:b/>
          <w:color w:val="auto"/>
          <w:sz w:val="28"/>
          <w:highlight w:val="none"/>
        </w:rPr>
      </w:r>
      <w:r/>
    </w:p>
    <w:p>
      <w:pPr>
        <w:pStyle w:val="1012"/>
        <w:rPr>
          <w:rStyle w:val="934"/>
          <w:rFonts w:ascii="宋体"/>
          <w:b/>
          <w:color w:val="auto"/>
          <w:sz w:val="28"/>
          <w:highlight w:val="none"/>
        </w:rPr>
      </w:pPr>
      <w:r>
        <w:rPr>
          <w:rFonts w:ascii="宋体"/>
          <w:b/>
          <w:color w:val="auto"/>
          <w:sz w:val="28"/>
          <w:highlight w:val="none"/>
        </w:rPr>
      </w:r>
      <w:r/>
    </w:p>
    <w:p>
      <w:pPr>
        <w:pStyle w:val="984"/>
        <w:rPr>
          <w:rStyle w:val="934"/>
          <w:rFonts w:ascii="宋体" w:hAnsi="宋体"/>
          <w:b/>
          <w:color w:val="auto"/>
          <w:sz w:val="28"/>
          <w:highlight w:val="none"/>
        </w:rPr>
        <w:outlineLvl w:val="0"/>
      </w:pPr>
      <w:r>
        <w:rPr>
          <w:rFonts w:ascii="宋体" w:hAnsi="宋体"/>
          <w:b/>
          <w:color w:val="auto"/>
          <w:sz w:val="28"/>
          <w:highlight w:val="none"/>
        </w:rPr>
      </w:r>
      <w:r/>
    </w:p>
    <w:p>
      <w:pPr>
        <w:pStyle w:val="984"/>
        <w:rPr>
          <w:rStyle w:val="934"/>
          <w:rFonts w:ascii="宋体" w:hAnsi="宋体"/>
          <w:b/>
          <w:color w:val="auto"/>
          <w:sz w:val="32"/>
          <w:highlight w:val="none"/>
        </w:rPr>
        <w:outlineLvl w:val="0"/>
      </w:pPr>
      <w:r/>
      <w:bookmarkStart w:id="260" w:name="_Toc15093"/>
      <w:r/>
      <w:bookmarkStart w:id="261" w:name="_Toc13868"/>
      <w:r>
        <w:rPr>
          <w:rStyle w:val="934"/>
          <w:rFonts w:ascii="宋体" w:hAnsi="宋体"/>
          <w:b/>
          <w:color w:val="auto"/>
          <w:sz w:val="32"/>
          <w:highlight w:val="none"/>
        </w:rPr>
        <w:t xml:space="preserve">五、第四章项目需求中实质性要求响应对照表</w:t>
      </w:r>
      <w:bookmarkEnd w:id="260"/>
      <w:r/>
      <w:bookmarkEnd w:id="261"/>
      <w:r/>
      <w:r/>
    </w:p>
    <w:p>
      <w:pPr>
        <w:pStyle w:val="992"/>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62"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47"/>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92"/>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963"/>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963"/>
              <w:ind w:firstLine="500"/>
              <w:spacing w:line="440" w:lineRule="exact"/>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662"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44" w:type="dxa"/>
            <w:vAlign w:val="center"/>
            <w:textDirection w:val="lrTb"/>
            <w:noWrap w:val="false"/>
          </w:tcPr>
          <w:p>
            <w:pPr>
              <w:pStyle w:val="963"/>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40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2"/>
      <w:r/>
      <w:r/>
    </w:p>
    <w:p>
      <w:pPr>
        <w:pStyle w:val="992"/>
        <w:rPr>
          <w:rFonts w:ascii="宋体" w:hAnsi="宋体" w:eastAsia="宋体"/>
          <w:color w:val="auto"/>
          <w:highlight w:val="none"/>
        </w:rPr>
      </w:pPr>
      <w:r>
        <w:rPr>
          <w:rFonts w:ascii="宋体" w:hAnsi="宋体" w:eastAsia="宋体"/>
          <w:color w:val="auto"/>
          <w:highlight w:val="none"/>
        </w:rPr>
      </w:r>
      <w:r/>
    </w:p>
    <w:p>
      <w:pPr>
        <w:pStyle w:val="992"/>
        <w:ind w:firstLine="482"/>
        <w:rPr>
          <w:rFonts w:ascii="宋体" w:hAnsi="宋体" w:eastAsia="宋体"/>
          <w:b/>
          <w:bCs/>
          <w:color w:val="auto"/>
          <w:highlight w:val="none"/>
        </w:rPr>
      </w:pPr>
      <w:r>
        <w:rPr>
          <w:rFonts w:ascii="宋体" w:hAnsi="宋体" w:eastAsia="宋体"/>
          <w:b/>
          <w:bCs/>
          <w:color w:val="auto"/>
          <w:highlight w:val="none"/>
        </w:rPr>
      </w:r>
      <w:r/>
    </w:p>
    <w:p>
      <w:pPr>
        <w:pStyle w:val="992"/>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3" w:name="OLE_LINK8"/>
      <w:r/>
      <w:bookmarkStart w:id="264" w:name="OLE_LINK14"/>
      <w:r>
        <w:rPr>
          <w:rFonts w:hint="eastAsia" w:ascii="宋体" w:hAnsi="宋体" w:eastAsia="宋体"/>
          <w:b/>
          <w:bCs/>
          <w:color w:val="auto"/>
          <w:highlight w:val="none"/>
        </w:rPr>
        <w:t xml:space="preserve">技术要求的实质性格式</w:t>
      </w:r>
      <w:r/>
    </w:p>
    <w:tbl>
      <w:tblPr>
        <w:tblStyle w:val="747"/>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510"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92"/>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510" w:type="dxa"/>
            <w:vAlign w:val="center"/>
            <w:textDirection w:val="lrTb"/>
            <w:noWrap w:val="false"/>
          </w:tcPr>
          <w:p>
            <w:pPr>
              <w:pStyle w:val="992"/>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510" w:type="dxa"/>
            <w:vAlign w:val="center"/>
            <w:textDirection w:val="lrTb"/>
            <w:noWrap w:val="false"/>
          </w:tcPr>
          <w:p>
            <w:pPr>
              <w:pStyle w:val="992"/>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510"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510" w:type="dxa"/>
            <w:vAlign w:val="center"/>
            <w:textDirection w:val="lrTb"/>
            <w:noWrap w:val="false"/>
          </w:tcPr>
          <w:p>
            <w:pPr>
              <w:pStyle w:val="992"/>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3"/>
      <w:r/>
      <w:r/>
    </w:p>
    <w:p>
      <w:pPr>
        <w:spacing w:line="400" w:lineRule="exact"/>
        <w:rPr>
          <w:rStyle w:val="934"/>
          <w:rFonts w:ascii="Times New Roman" w:hAnsi="Times New Roman" w:eastAsia="Times New Roman"/>
          <w:color w:val="auto"/>
          <w:highlight w:val="none"/>
        </w:rPr>
      </w:pPr>
      <w:r>
        <w:rPr>
          <w:rFonts w:ascii="Times New Roman" w:hAnsi="Times New Roman" w:eastAsia="Times New Roman"/>
          <w:color w:val="auto"/>
          <w:highlight w:val="none"/>
        </w:rPr>
      </w:r>
      <w:bookmarkEnd w:id="264"/>
      <w:r/>
      <w:r/>
    </w:p>
    <w:p>
      <w:pPr>
        <w:pStyle w:val="993"/>
        <w:rPr>
          <w:rStyle w:val="934"/>
          <w:color w:val="auto"/>
          <w:highlight w:val="none"/>
        </w:rPr>
      </w:pPr>
      <w:r>
        <w:rPr>
          <w:rStyle w:val="934"/>
          <w:color w:val="auto"/>
          <w:highlight w:val="none"/>
        </w:rPr>
        <w:br w:type="page" w:clear="all"/>
      </w:r>
      <w:bookmarkStart w:id="265" w:name="_Toc256000018"/>
      <w:r/>
      <w:bookmarkEnd w:id="265"/>
      <w:r/>
      <w:r/>
    </w:p>
    <w:p>
      <w:pPr>
        <w:pStyle w:val="984"/>
        <w:rPr>
          <w:rStyle w:val="934"/>
          <w:rFonts w:hint="eastAsia" w:ascii="宋体" w:hAnsi="宋体"/>
          <w:b/>
          <w:color w:val="auto"/>
          <w:sz w:val="32"/>
          <w:highlight w:val="none"/>
        </w:rPr>
        <w:outlineLvl w:val="1"/>
      </w:pPr>
      <w:r/>
      <w:bookmarkStart w:id="266" w:name="_Toc23281"/>
      <w:r/>
      <w:bookmarkStart w:id="267" w:name="_Toc31328"/>
      <w:r>
        <w:rPr>
          <w:rStyle w:val="934"/>
          <w:rFonts w:hint="eastAsia" w:ascii="宋体" w:hAnsi="宋体"/>
          <w:b/>
          <w:color w:val="auto"/>
          <w:sz w:val="32"/>
          <w:highlight w:val="none"/>
        </w:rPr>
        <w:t xml:space="preserve">六、</w:t>
      </w:r>
      <w:bookmarkEnd w:id="266"/>
      <w:r/>
      <w:bookmarkEnd w:id="267"/>
      <w:r>
        <w:rPr>
          <w:rFonts w:ascii="宋体" w:hAnsi="宋体" w:eastAsia="宋体"/>
          <w:b/>
          <w:color w:val="auto"/>
          <w:sz w:val="32"/>
          <w:highlight w:val="none"/>
        </w:rPr>
        <w:t xml:space="preserve">投标配置及分项报价表</w:t>
      </w:r>
      <w:r/>
    </w:p>
    <w:p>
      <w:pPr>
        <w:pStyle w:val="992"/>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92"/>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47"/>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2"/>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92"/>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92"/>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992"/>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92"/>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92"/>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93"/>
        <w:rPr>
          <w:rFonts w:ascii="宋体" w:hAnsi="宋体" w:eastAsia="宋体"/>
          <w:b/>
          <w:color w:val="auto"/>
          <w:sz w:val="32"/>
          <w:highlight w:val="none"/>
        </w:rPr>
      </w:pPr>
      <w:r>
        <w:rPr>
          <w:rFonts w:ascii="宋体" w:hAnsi="宋体" w:eastAsia="宋体"/>
          <w:b/>
          <w:color w:val="auto"/>
          <w:sz w:val="32"/>
          <w:highlight w:val="none"/>
        </w:rPr>
      </w:r>
      <w:r/>
    </w:p>
    <w:p>
      <w:pPr>
        <w:pStyle w:val="993"/>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94"/>
        <w:spacing w:line="440" w:lineRule="exact"/>
        <w:rPr>
          <w:rFonts w:ascii="宋体" w:hAnsi="宋体" w:eastAsia="宋体"/>
        </w:rPr>
      </w:pPr>
      <w:r>
        <w:rPr>
          <w:rFonts w:ascii="宋体" w:hAnsi="宋体" w:eastAsia="宋体"/>
        </w:rPr>
        <w:t xml:space="preserve">﻿ </w:t>
      </w:r>
      <w:r/>
    </w:p>
    <w:p>
      <w:pPr>
        <w:pStyle w:val="992"/>
        <w:ind w:firstLine="420"/>
        <w:jc w:val="center"/>
        <w:spacing w:before="400" w:after="400" w:line="300" w:lineRule="auto"/>
        <w:rPr>
          <w:rFonts w:hint="eastAsia" w:ascii="黑体" w:hAnsi="黑体" w:eastAsia="黑体"/>
          <w:b/>
          <w:bCs/>
          <w:sz w:val="40"/>
          <w:szCs w:val="40"/>
        </w:rPr>
      </w:pPr>
      <w:r/>
      <w:bookmarkStart w:id="268" w:name="OLE_LINK23"/>
      <w:r>
        <w:rPr>
          <w:rFonts w:hint="eastAsia" w:ascii="黑体" w:hAnsi="黑体" w:eastAsia="黑体"/>
          <w:b/>
          <w:bCs/>
          <w:sz w:val="40"/>
          <w:szCs w:val="40"/>
        </w:rPr>
        <w:t xml:space="preserve">常用零配件及耗材报价表</w:t>
      </w:r>
      <w:r/>
    </w:p>
    <w:p>
      <w:pPr>
        <w:pStyle w:val="994"/>
        <w:spacing w:before="240" w:after="240"/>
        <w:rPr>
          <w:rFonts w:ascii="宋体" w:hAnsi="宋体" w:eastAsia="宋体"/>
        </w:rPr>
      </w:pPr>
      <w:r>
        <w:rPr>
          <w:rFonts w:ascii="宋体" w:hAnsi="宋体" w:eastAsia="宋体"/>
        </w:rPr>
        <w:t xml:space="preserve"> </w:t>
      </w:r>
      <w:r/>
    </w:p>
    <w:tbl>
      <w:tblPr>
        <w:tblStyle w:val="747"/>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94"/>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94"/>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94"/>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94"/>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94"/>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94"/>
              <w:jc w:val="center"/>
              <w:rPr>
                <w:rFonts w:ascii="宋体" w:hAnsi="宋体" w:eastAsia="宋体"/>
              </w:rPr>
            </w:pPr>
            <w:r>
              <w:rPr>
                <w:rFonts w:ascii="宋体" w:hAnsi="宋体" w:eastAsia="宋体"/>
              </w:rPr>
              <w:t xml:space="preserve">    </w:t>
            </w:r>
            <w:r/>
          </w:p>
        </w:tc>
      </w:tr>
    </w:tbl>
    <w:p>
      <w:pPr>
        <w:pStyle w:val="994"/>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68"/>
      <w:r/>
      <w:r/>
    </w:p>
    <w:p>
      <w:pPr>
        <w:rPr>
          <w:rStyle w:val="934"/>
          <w:rFonts w:ascii="宋体" w:hAnsi="宋体"/>
          <w:b/>
          <w:sz w:val="32"/>
        </w:rPr>
      </w:pPr>
      <w:r>
        <w:rPr>
          <w:rStyle w:val="934"/>
          <w:rFonts w:hint="eastAsia" w:ascii="宋体" w:hAnsi="宋体"/>
          <w:b/>
          <w:sz w:val="32"/>
        </w:rPr>
        <w:br w:type="page" w:clear="all"/>
      </w:r>
      <w:r/>
    </w:p>
    <w:p>
      <w:pPr>
        <w:pStyle w:val="772"/>
      </w:pPr>
      <w:r/>
      <w:r/>
    </w:p>
    <w:p>
      <w:pPr>
        <w:pStyle w:val="995"/>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34"/>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23"/>
        <w:jc w:val="center"/>
        <w:spacing w:before="320" w:after="320" w:line="300" w:lineRule="auto"/>
        <w:rPr>
          <w:rFonts w:hint="eastAsia" w:ascii="黑体" w:hAnsi="黑体" w:eastAsia="黑体" w:cs="黑体"/>
          <w:b/>
          <w:bCs/>
          <w:sz w:val="32"/>
          <w:szCs w:val="32"/>
        </w:rPr>
      </w:pPr>
      <w:r/>
      <w:bookmarkStart w:id="269" w:name="OLE_LINK21"/>
      <w:r/>
      <w:bookmarkStart w:id="270"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69"/>
      <w:r/>
      <w:r/>
    </w:p>
    <w:p>
      <w:pPr>
        <w:rPr>
          <w:rStyle w:val="934"/>
          <w:rFonts w:ascii="宋体" w:hAnsi="宋体"/>
          <w:b/>
          <w:sz w:val="32"/>
        </w:rPr>
      </w:pPr>
      <w:r>
        <w:rPr>
          <w:rFonts w:ascii="宋体" w:hAnsi="宋体"/>
          <w:b/>
          <w:sz w:val="32"/>
        </w:rPr>
      </w:r>
      <w:bookmarkEnd w:id="270"/>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Style w:val="934"/>
          <w:rFonts w:ascii="宋体" w:hAnsi="宋体"/>
          <w:b/>
          <w:sz w:val="32"/>
        </w:rPr>
      </w:pPr>
      <w:r>
        <w:rPr>
          <w:rFonts w:ascii="宋体" w:hAnsi="宋体"/>
          <w:b/>
          <w:sz w:val="32"/>
        </w:rPr>
      </w:r>
      <w:r/>
    </w:p>
    <w:p>
      <w:pPr>
        <w:pStyle w:val="772"/>
        <w:rPr>
          <w:rStyle w:val="934"/>
          <w:rFonts w:ascii="宋体" w:hAnsi="宋体"/>
          <w:b/>
          <w:sz w:val="32"/>
        </w:rPr>
      </w:pPr>
      <w:r>
        <w:rPr>
          <w:rFonts w:ascii="宋体" w:hAnsi="宋体"/>
          <w:b/>
          <w:sz w:val="32"/>
        </w:rPr>
      </w:r>
      <w:r/>
    </w:p>
    <w:p>
      <w:pPr>
        <w:rPr>
          <w:rFonts w:hint="default" w:ascii="宋体" w:hAnsi="宋体" w:eastAsia="宋体" w:cs="宋体"/>
          <w:b/>
          <w:sz w:val="32"/>
          <w:szCs w:val="24"/>
          <w:highlight w:val="none"/>
          <w:lang w:val="en-US" w:eastAsia="zh-CN"/>
        </w:rPr>
        <w:outlineLvl w:val="0"/>
      </w:pPr>
      <w:r>
        <w:rPr>
          <w:rFonts w:hint="eastAsia" w:ascii="宋体" w:hAnsi="宋体" w:eastAsia="宋体" w:cs="宋体"/>
          <w:b/>
          <w:sz w:val="32"/>
          <w:szCs w:val="24"/>
          <w:highlight w:val="none"/>
          <w:lang w:val="en-US" w:eastAsia="zh-CN"/>
        </w:rPr>
        <w:t xml:space="preserve">九</w:t>
      </w:r>
      <w:r>
        <w:rPr>
          <w:rFonts w:hint="eastAsia" w:ascii="宋体" w:hAnsi="宋体" w:eastAsia="宋体" w:cs="宋体"/>
          <w:b/>
          <w:sz w:val="32"/>
          <w:szCs w:val="24"/>
          <w:highlight w:val="none"/>
        </w:rPr>
        <w:t xml:space="preserve">、</w:t>
      </w:r>
      <w:r>
        <w:rPr>
          <w:rFonts w:hint="eastAsia" w:ascii="宋体" w:hAnsi="宋体" w:eastAsia="宋体" w:cs="宋体"/>
          <w:b/>
          <w:sz w:val="32"/>
          <w:szCs w:val="24"/>
          <w:highlight w:val="none"/>
          <w:lang w:val="en-US" w:eastAsia="zh-CN"/>
        </w:rPr>
        <w:t xml:space="preserve">存储大数据底座所投产品主要技术参数及配置表</w:t>
      </w:r>
      <w:r/>
    </w:p>
    <w:tbl>
      <w:tblPr>
        <w:tblStyle w:val="767"/>
        <w:tblpPr w:horzAnchor="page" w:tblpX="1787" w:vertAnchor="text" w:tblpY="1078"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1182"/>
        <w:gridCol w:w="4288"/>
        <w:gridCol w:w="1912"/>
      </w:tblGrid>
      <w:tr>
        <w:trPr>
          <w:trHeight w:val="454"/>
        </w:trPr>
        <w:tc>
          <w:tcPr>
            <w:tcW w:w="831" w:type="pct"/>
            <w:vAlign w:val="center"/>
            <w:textDirection w:val="lrTb"/>
            <w:noWrap w:val="false"/>
          </w:tcPr>
          <w:p>
            <w:pPr>
              <w:jc w:val="center"/>
              <w:rPr>
                <w:rFonts w:hint="default" w:eastAsia="宋体"/>
                <w:b/>
                <w:bCs/>
                <w:highlight w:val="none"/>
                <w:vertAlign w:val="baseline"/>
                <w:lang w:val="en-US" w:eastAsia="zh-CN"/>
              </w:rPr>
            </w:pPr>
            <w:r>
              <w:rPr>
                <w:rFonts w:hint="eastAsia" w:ascii="Calibri" w:eastAsia="宋体"/>
                <w:b/>
                <w:bCs/>
                <w:highlight w:val="none"/>
                <w:vertAlign w:val="baseline"/>
                <w:lang w:val="en-US" w:eastAsia="zh-CN"/>
              </w:rPr>
              <w:t xml:space="preserve">序号</w:t>
            </w:r>
            <w:r/>
          </w:p>
        </w:tc>
        <w:tc>
          <w:tcPr>
            <w:tcW w:w="667" w:type="pct"/>
            <w:vAlign w:val="center"/>
            <w:textDirection w:val="lrTb"/>
            <w:noWrap w:val="false"/>
          </w:tcPr>
          <w:p>
            <w:pPr>
              <w:jc w:val="center"/>
              <w:rPr>
                <w:rFonts w:hint="eastAsia" w:eastAsia="宋体"/>
                <w:b/>
                <w:bCs/>
                <w:highlight w:val="none"/>
                <w:vertAlign w:val="baseline"/>
                <w:lang w:val="en-US" w:eastAsia="zh-CN"/>
              </w:rPr>
            </w:pPr>
            <w:r>
              <w:rPr>
                <w:rFonts w:hint="eastAsia" w:ascii="Calibri" w:eastAsia="宋体"/>
                <w:b/>
                <w:bCs/>
                <w:highlight w:val="none"/>
                <w:vertAlign w:val="baseline"/>
                <w:lang w:val="en-US" w:eastAsia="zh-CN"/>
              </w:rPr>
              <w:t xml:space="preserve">名称</w:t>
            </w:r>
            <w:r/>
          </w:p>
        </w:tc>
        <w:tc>
          <w:tcPr>
            <w:tcW w:w="2420" w:type="pct"/>
            <w:vAlign w:val="center"/>
            <w:textDirection w:val="lrTb"/>
            <w:noWrap w:val="false"/>
          </w:tcPr>
          <w:p>
            <w:pPr>
              <w:jc w:val="center"/>
              <w:rPr>
                <w:rFonts w:hint="eastAsia" w:ascii="Calibri" w:eastAsia="宋体"/>
                <w:b/>
                <w:bCs/>
                <w:highlight w:val="none"/>
                <w:vertAlign w:val="baseline"/>
                <w:lang w:val="en-US" w:eastAsia="zh-CN"/>
              </w:rPr>
            </w:pPr>
            <w:r>
              <w:rPr>
                <w:rFonts w:hint="eastAsia" w:eastAsia="宋体"/>
                <w:b/>
                <w:bCs/>
                <w:highlight w:val="none"/>
                <w:vertAlign w:val="baseline"/>
                <w:lang w:val="en-US" w:eastAsia="zh-CN"/>
              </w:rPr>
              <w:t xml:space="preserve">主要技术参数</w:t>
            </w:r>
            <w:r/>
          </w:p>
        </w:tc>
        <w:tc>
          <w:tcPr>
            <w:tcW w:w="1079" w:type="pct"/>
            <w:vAlign w:val="center"/>
            <w:textDirection w:val="lrTb"/>
            <w:noWrap w:val="false"/>
          </w:tcPr>
          <w:p>
            <w:pPr>
              <w:jc w:val="center"/>
              <w:rPr>
                <w:rFonts w:hint="eastAsia" w:eastAsia="宋体"/>
                <w:b/>
                <w:bCs/>
                <w:highlight w:val="none"/>
                <w:vertAlign w:val="baseline"/>
                <w:lang w:val="en-US" w:eastAsia="zh-CN"/>
              </w:rPr>
            </w:pPr>
            <w:r>
              <w:rPr>
                <w:rFonts w:hint="eastAsia" w:ascii="Calibri" w:eastAsia="宋体"/>
                <w:b/>
                <w:bCs/>
                <w:highlight w:val="none"/>
                <w:vertAlign w:val="baseline"/>
                <w:lang w:val="en-US" w:eastAsia="zh-CN"/>
              </w:rPr>
              <w:t xml:space="preserve">备注</w:t>
            </w:r>
            <w:r/>
          </w:p>
        </w:tc>
      </w:tr>
      <w:tr>
        <w:trPr>
          <w:trHeight w:val="454"/>
        </w:trPr>
        <w:tc>
          <w:tcPr>
            <w:tcW w:w="831" w:type="pct"/>
            <w:vAlign w:val="center"/>
            <w:textDirection w:val="lrTb"/>
            <w:noWrap w:val="false"/>
          </w:tcPr>
          <w:p>
            <w:pPr>
              <w:jc w:val="center"/>
              <w:rPr>
                <w:rFonts w:hint="eastAsia" w:eastAsia="宋体"/>
                <w:highlight w:val="none"/>
                <w:vertAlign w:val="baseline"/>
                <w:lang w:val="en-US" w:eastAsia="zh-CN"/>
              </w:rPr>
            </w:pPr>
            <w:r>
              <w:rPr>
                <w:rFonts w:hint="eastAsia" w:eastAsia="宋体"/>
                <w:highlight w:val="none"/>
                <w:vertAlign w:val="baseline"/>
                <w:lang w:val="en-US" w:eastAsia="zh-CN"/>
              </w:rPr>
              <w:t xml:space="preserve">1</w:t>
            </w:r>
            <w:r/>
          </w:p>
        </w:tc>
        <w:tc>
          <w:tcPr>
            <w:tcW w:w="667" w:type="pct"/>
            <w:vAlign w:val="center"/>
            <w:textDirection w:val="lrTb"/>
            <w:noWrap w:val="false"/>
          </w:tcPr>
          <w:p>
            <w:pPr>
              <w:jc w:val="center"/>
              <w:rPr>
                <w:rFonts w:hint="eastAsia" w:eastAsia="宋体"/>
                <w:highlight w:val="none"/>
                <w:vertAlign w:val="baseline"/>
                <w:lang w:eastAsia="zh-CN"/>
              </w:rPr>
            </w:pPr>
            <w:r>
              <w:rPr>
                <w:rFonts w:hint="eastAsia" w:ascii="宋体" w:hAnsi="宋体" w:eastAsia="宋体" w:cs="宋体"/>
                <w:color w:val="000000"/>
                <w:sz w:val="24"/>
                <w:szCs w:val="24"/>
                <w:highlight w:val="none"/>
                <w:lang w:val="en-US" w:eastAsia="zh-CN" w:bidi="ar-SA"/>
              </w:rPr>
              <w:t xml:space="preserve">国产CPU</w:t>
            </w:r>
            <w:r/>
          </w:p>
        </w:tc>
        <w:tc>
          <w:tcPr>
            <w:tcW w:w="2420" w:type="pct"/>
            <w:vAlign w:val="center"/>
            <w:textDirection w:val="lrTb"/>
            <w:noWrap w:val="false"/>
          </w:tcPr>
          <w:p>
            <w:pPr>
              <w:jc w:val="center"/>
              <w:rPr>
                <w:rFonts w:hint="default" w:eastAsia="宋体"/>
                <w:sz w:val="24"/>
                <w:szCs w:val="28"/>
                <w:highlight w:val="none"/>
                <w:vertAlign w:val="baseline"/>
                <w:lang w:val="en-US" w:eastAsia="zh-CN"/>
              </w:rPr>
            </w:pPr>
            <w:r>
              <w:rPr>
                <w:rFonts w:hint="eastAsia" w:eastAsia="宋体"/>
                <w:sz w:val="24"/>
                <w:szCs w:val="28"/>
                <w:highlight w:val="none"/>
                <w:vertAlign w:val="baseline"/>
                <w:lang w:eastAsia="zh-CN"/>
              </w:rPr>
              <w:t xml:space="preserve">品牌：</w:t>
            </w:r>
            <w:r>
              <w:rPr>
                <w:rFonts w:hint="eastAsia" w:eastAsia="宋体"/>
                <w:sz w:val="24"/>
                <w:szCs w:val="28"/>
                <w:highlight w:val="none"/>
                <w:vertAlign w:val="baseline"/>
                <w:lang w:val="en-US" w:eastAsia="zh-CN"/>
              </w:rPr>
              <w:t xml:space="preserve">   ；规格型号：   ；主频参数：   </w:t>
            </w:r>
            <w:r/>
          </w:p>
        </w:tc>
        <w:tc>
          <w:tcPr>
            <w:tcW w:w="1079" w:type="pct"/>
            <w:vAlign w:val="center"/>
            <w:textDirection w:val="lrTb"/>
            <w:noWrap w:val="false"/>
          </w:tcPr>
          <w:p>
            <w:pPr>
              <w:jc w:val="center"/>
              <w:rPr>
                <w:rFonts w:hint="eastAsia" w:eastAsia="宋体"/>
                <w:highlight w:val="none"/>
                <w:vertAlign w:val="baseline"/>
              </w:rPr>
            </w:pPr>
            <w:r>
              <w:rPr>
                <w:rFonts w:hint="eastAsia" w:eastAsia="宋体"/>
                <w:highlight w:val="none"/>
                <w:vertAlign w:val="baseline"/>
              </w:rPr>
            </w:r>
            <w:r/>
          </w:p>
        </w:tc>
      </w:tr>
      <w:tr>
        <w:trPr>
          <w:trHeight w:val="454"/>
        </w:trPr>
        <w:tc>
          <w:tcPr>
            <w:tcW w:w="831" w:type="pct"/>
            <w:vAlign w:val="center"/>
            <w:textDirection w:val="lrTb"/>
            <w:noWrap w:val="false"/>
          </w:tcPr>
          <w:p>
            <w:pPr>
              <w:jc w:val="center"/>
              <w:rPr>
                <w:rFonts w:hint="default" w:eastAsia="宋体"/>
                <w:highlight w:val="none"/>
                <w:vertAlign w:val="baseline"/>
                <w:lang w:val="en-US" w:eastAsia="zh-CN"/>
              </w:rPr>
            </w:pPr>
            <w:r>
              <w:rPr>
                <w:rFonts w:hint="eastAsia" w:eastAsia="宋体"/>
                <w:highlight w:val="none"/>
                <w:vertAlign w:val="baseline"/>
                <w:lang w:val="en-US" w:eastAsia="zh-CN"/>
              </w:rPr>
              <w:t xml:space="preserve">2</w:t>
            </w:r>
            <w:r/>
          </w:p>
        </w:tc>
        <w:tc>
          <w:tcPr>
            <w:tcW w:w="667" w:type="pct"/>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国产操作系统</w:t>
            </w:r>
            <w:r/>
          </w:p>
        </w:tc>
        <w:tc>
          <w:tcPr>
            <w:tcW w:w="2420" w:type="pct"/>
            <w:vAlign w:val="center"/>
            <w:textDirection w:val="lrTb"/>
            <w:noWrap w:val="false"/>
          </w:tcPr>
          <w:p>
            <w:pPr>
              <w:jc w:val="center"/>
              <w:rPr>
                <w:rFonts w:hint="default" w:eastAsia="宋体"/>
                <w:sz w:val="24"/>
                <w:szCs w:val="28"/>
                <w:highlight w:val="none"/>
                <w:vertAlign w:val="baseline"/>
                <w:lang w:val="en-US" w:eastAsia="zh-CN"/>
              </w:rPr>
            </w:pPr>
            <w:r>
              <w:rPr>
                <w:rFonts w:hint="eastAsia" w:eastAsia="宋体"/>
                <w:sz w:val="24"/>
                <w:szCs w:val="28"/>
                <w:highlight w:val="none"/>
                <w:vertAlign w:val="baseline"/>
                <w:lang w:eastAsia="zh-CN"/>
              </w:rPr>
              <w:t xml:space="preserve">品牌：</w:t>
            </w:r>
            <w:r>
              <w:rPr>
                <w:rFonts w:hint="eastAsia" w:eastAsia="宋体"/>
                <w:sz w:val="24"/>
                <w:szCs w:val="28"/>
                <w:highlight w:val="none"/>
                <w:vertAlign w:val="baseline"/>
                <w:lang w:val="en-US" w:eastAsia="zh-CN"/>
              </w:rPr>
              <w:t xml:space="preserve">   ；版本：   </w:t>
            </w:r>
            <w:r/>
          </w:p>
        </w:tc>
        <w:tc>
          <w:tcPr>
            <w:tcW w:w="1079" w:type="pct"/>
            <w:vAlign w:val="center"/>
            <w:textDirection w:val="lrTb"/>
            <w:noWrap w:val="false"/>
          </w:tcPr>
          <w:p>
            <w:pPr>
              <w:jc w:val="center"/>
              <w:rPr>
                <w:rFonts w:hint="eastAsia" w:eastAsia="宋体"/>
                <w:highlight w:val="none"/>
                <w:vertAlign w:val="baseline"/>
              </w:rPr>
            </w:pPr>
            <w:r>
              <w:rPr>
                <w:rFonts w:hint="eastAsia" w:eastAsia="宋体"/>
                <w:highlight w:val="none"/>
                <w:vertAlign w:val="baseline"/>
              </w:rPr>
            </w:r>
            <w:r/>
          </w:p>
        </w:tc>
      </w:tr>
    </w:tbl>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ascii="宋体" w:hAnsi="宋体" w:eastAsia="Times New Roman" w:cs="Times New Roman"/>
          <w:b/>
          <w:bCs/>
          <w:sz w:val="20"/>
          <w:szCs w:val="32"/>
          <w:highlight w:val="none"/>
          <w:lang w:val="en-US" w:eastAsia="zh-CN" w:bidi="ar-SA"/>
        </w:rPr>
      </w:r>
      <w:r/>
    </w:p>
    <w:p>
      <w:pPr>
        <w:rPr>
          <w:rFonts w:ascii="宋体" w:hAnsi="宋体" w:eastAsia="Times New Roman" w:cs="Times New Roman"/>
          <w:b/>
          <w:bCs/>
          <w:sz w:val="20"/>
          <w:szCs w:val="32"/>
          <w:highlight w:val="none"/>
          <w:lang w:val="en-US" w:eastAsia="zh-CN" w:bidi="ar-SA"/>
        </w:rPr>
      </w:pPr>
      <w:r>
        <w:rPr>
          <w:rFonts w:hint="eastAsia" w:ascii="宋体" w:hAnsi="宋体" w:eastAsia="Times New Roman" w:cs="Times New Roman"/>
          <w:b/>
          <w:bCs/>
          <w:sz w:val="20"/>
          <w:szCs w:val="32"/>
          <w:highlight w:val="none"/>
          <w:lang w:val="en-US" w:eastAsia="zh-CN" w:bidi="ar-SA"/>
        </w:rPr>
        <w:t xml:space="preserve">注：</w:t>
      </w:r>
      <w:r/>
    </w:p>
    <w:p>
      <w:pPr>
        <w:rPr>
          <w:rFonts w:ascii="宋体" w:hAnsi="宋体" w:eastAsia="Times New Roman" w:cs="Times New Roman"/>
          <w:b/>
          <w:bCs/>
          <w:i/>
          <w:iCs/>
          <w:sz w:val="20"/>
          <w:szCs w:val="32"/>
          <w:highlight w:val="none"/>
          <w:u w:val="single"/>
          <w:lang w:val="en-US" w:eastAsia="zh-CN" w:bidi="ar-SA"/>
        </w:rPr>
      </w:pPr>
      <w:r>
        <w:rPr>
          <w:rFonts w:hint="eastAsia" w:ascii="宋体" w:hAnsi="宋体" w:eastAsia="宋体" w:cs="Times New Roman"/>
          <w:b/>
          <w:bCs/>
          <w:i/>
          <w:iCs/>
          <w:sz w:val="20"/>
          <w:szCs w:val="32"/>
          <w:highlight w:val="none"/>
          <w:u w:val="single"/>
          <w:lang w:val="en-US" w:eastAsia="zh-CN" w:bidi="ar-SA"/>
        </w:rPr>
        <w:t xml:space="preserve">1.</w:t>
      </w:r>
      <w:r>
        <w:rPr>
          <w:rFonts w:hint="eastAsia" w:ascii="宋体" w:hAnsi="宋体" w:eastAsia="Times New Roman" w:cs="Times New Roman"/>
          <w:b/>
          <w:bCs/>
          <w:i/>
          <w:iCs/>
          <w:sz w:val="20"/>
          <w:szCs w:val="32"/>
          <w:highlight w:val="none"/>
          <w:u w:val="single"/>
          <w:lang w:val="en-US" w:eastAsia="zh-CN" w:bidi="ar-SA"/>
        </w:rPr>
        <w:t xml:space="preserve">投标人必须在投标文件中提供针对存储大数据底座所投产品使用的国产CPU</w:t>
      </w:r>
      <w:r>
        <w:rPr>
          <w:rFonts w:hint="eastAsia" w:ascii="宋体" w:hAnsi="宋体" w:eastAsia="宋体" w:cs="Times New Roman"/>
          <w:b/>
          <w:bCs/>
          <w:i/>
          <w:iCs/>
          <w:sz w:val="20"/>
          <w:szCs w:val="32"/>
          <w:highlight w:val="none"/>
          <w:u w:val="single"/>
          <w:lang w:val="en-US" w:eastAsia="zh-CN" w:bidi="ar-SA"/>
        </w:rPr>
        <w:t xml:space="preserve">品牌、规格</w:t>
      </w:r>
      <w:r>
        <w:rPr>
          <w:rFonts w:hint="eastAsia" w:ascii="宋体" w:hAnsi="宋体" w:eastAsia="Times New Roman" w:cs="Times New Roman"/>
          <w:b/>
          <w:bCs/>
          <w:i/>
          <w:iCs/>
          <w:sz w:val="20"/>
          <w:szCs w:val="32"/>
          <w:highlight w:val="none"/>
          <w:u w:val="single"/>
          <w:lang w:val="en-US" w:eastAsia="zh-CN" w:bidi="ar-SA"/>
        </w:rPr>
        <w:t xml:space="preserve">型号、主频参数以及国产系统</w:t>
      </w:r>
      <w:r>
        <w:rPr>
          <w:rFonts w:hint="eastAsia" w:ascii="宋体" w:hAnsi="宋体" w:eastAsia="宋体" w:cs="Times New Roman"/>
          <w:b/>
          <w:bCs/>
          <w:i/>
          <w:iCs/>
          <w:sz w:val="20"/>
          <w:szCs w:val="32"/>
          <w:highlight w:val="none"/>
          <w:u w:val="single"/>
          <w:lang w:val="en-US" w:eastAsia="zh-CN" w:bidi="ar-SA"/>
        </w:rPr>
        <w:t xml:space="preserve">品牌、版本信息，</w:t>
      </w:r>
      <w:r>
        <w:rPr>
          <w:rFonts w:hint="eastAsia" w:ascii="宋体" w:hAnsi="宋体" w:eastAsia="Times New Roman" w:cs="Times New Roman"/>
          <w:b/>
          <w:bCs/>
          <w:i/>
          <w:iCs/>
          <w:sz w:val="20"/>
          <w:szCs w:val="32"/>
          <w:highlight w:val="none"/>
          <w:u w:val="single"/>
          <w:lang w:val="en-US" w:eastAsia="zh-CN" w:bidi="ar-SA"/>
        </w:rPr>
        <w:t xml:space="preserve">否则作无效投标处理。</w:t>
      </w:r>
      <w:r/>
    </w:p>
    <w:p>
      <w:pPr>
        <w:rPr>
          <w:rStyle w:val="934"/>
          <w:rFonts w:ascii="宋体" w:hAnsi="宋体"/>
          <w:b/>
          <w:sz w:val="32"/>
        </w:rPr>
      </w:pPr>
      <w:r>
        <w:rPr>
          <w:rStyle w:val="934"/>
          <w:rFonts w:ascii="宋体" w:hAnsi="宋体"/>
          <w:b/>
          <w:sz w:val="32"/>
        </w:rPr>
        <w:br w:type="page" w:clear="all"/>
      </w:r>
      <w:r/>
    </w:p>
    <w:p>
      <w:pPr>
        <w:rPr>
          <w:rStyle w:val="934"/>
          <w:rFonts w:ascii="宋体" w:hAnsi="宋体"/>
          <w:b/>
          <w:sz w:val="32"/>
        </w:rPr>
      </w:pPr>
      <w:r>
        <w:rPr>
          <w:rFonts w:ascii="宋体" w:hAnsi="宋体"/>
          <w:b/>
          <w:sz w:val="32"/>
        </w:rPr>
      </w:r>
      <w:r/>
    </w:p>
    <w:p>
      <w:pPr>
        <w:rPr>
          <w:rFonts w:hint="default" w:ascii="宋体" w:hAnsi="宋体" w:eastAsia="宋体" w:cs="宋体"/>
          <w:b/>
          <w:sz w:val="32"/>
          <w:szCs w:val="24"/>
          <w:lang w:val="en-US" w:eastAsia="zh-CN"/>
        </w:rPr>
        <w:outlineLvl w:val="0"/>
      </w:pPr>
      <w:r>
        <w:rPr>
          <w:rFonts w:hint="eastAsia" w:ascii="宋体" w:hAnsi="宋体" w:eastAsia="宋体" w:cs="宋体"/>
          <w:b/>
          <w:sz w:val="32"/>
          <w:szCs w:val="24"/>
          <w:lang w:val="en-US" w:eastAsia="zh-CN"/>
        </w:rPr>
        <w:t xml:space="preserve">十</w:t>
      </w:r>
      <w:r>
        <w:rPr>
          <w:rFonts w:hint="eastAsia" w:ascii="宋体" w:hAnsi="宋体" w:eastAsia="宋体" w:cs="宋体"/>
          <w:b/>
          <w:sz w:val="32"/>
          <w:szCs w:val="24"/>
        </w:rPr>
        <w:t xml:space="preserve">、</w:t>
      </w:r>
      <w:r>
        <w:rPr>
          <w:rFonts w:hint="eastAsia" w:ascii="宋体" w:hAnsi="宋体" w:eastAsia="宋体" w:cs="宋体"/>
          <w:b/>
          <w:sz w:val="32"/>
          <w:szCs w:val="24"/>
          <w:lang w:val="en-US" w:eastAsia="zh-CN"/>
        </w:rPr>
        <w:t xml:space="preserve">统一维护</w:t>
      </w:r>
      <w:r>
        <w:rPr>
          <w:rFonts w:hint="eastAsia" w:ascii="宋体" w:hAnsi="宋体" w:cs="宋体"/>
          <w:b/>
          <w:sz w:val="32"/>
          <w:szCs w:val="24"/>
          <w:lang w:val="en-US" w:eastAsia="zh-CN"/>
        </w:rPr>
        <w:t xml:space="preserve">服务</w:t>
      </w:r>
      <w:r>
        <w:rPr>
          <w:rFonts w:hint="eastAsia" w:ascii="宋体" w:hAnsi="宋体" w:eastAsia="宋体" w:cs="宋体"/>
          <w:b/>
          <w:sz w:val="32"/>
          <w:szCs w:val="24"/>
          <w:lang w:val="en-US" w:eastAsia="zh-CN"/>
        </w:rPr>
        <w:t xml:space="preserve">承诺函格式</w:t>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jc w:val="center"/>
        <w:spacing w:line="360" w:lineRule="auto"/>
        <w:rPr>
          <w:rFonts w:hint="eastAsia" w:eastAsia="宋体"/>
          <w:b/>
          <w:bCs/>
          <w:sz w:val="44"/>
          <w:szCs w:val="44"/>
        </w:rPr>
      </w:pPr>
      <w:r>
        <w:rPr>
          <w:rFonts w:hint="eastAsia" w:eastAsia="宋体"/>
          <w:b/>
          <w:bCs/>
          <w:sz w:val="44"/>
          <w:szCs w:val="44"/>
        </w:rPr>
      </w:r>
      <w:r/>
    </w:p>
    <w:p>
      <w:pPr>
        <w:jc w:val="center"/>
        <w:spacing w:line="360" w:lineRule="auto"/>
        <w:rPr>
          <w:rFonts w:hint="eastAsia" w:eastAsia="宋体"/>
          <w:lang w:eastAsia="zh-CN"/>
        </w:rPr>
      </w:pPr>
      <w:r>
        <w:rPr>
          <w:rFonts w:hint="eastAsia" w:eastAsia="宋体"/>
          <w:b/>
          <w:bCs/>
          <w:sz w:val="44"/>
          <w:szCs w:val="44"/>
        </w:rPr>
        <w:t xml:space="preserve">承诺</w:t>
      </w:r>
      <w:r>
        <w:rPr>
          <w:rFonts w:hint="eastAsia" w:eastAsia="宋体"/>
          <w:b/>
          <w:bCs/>
          <w:sz w:val="44"/>
          <w:szCs w:val="44"/>
          <w:lang w:val="en-US" w:eastAsia="zh-CN"/>
        </w:rPr>
        <w:t xml:space="preserve">函</w:t>
      </w:r>
      <w:r/>
    </w:p>
    <w:p>
      <w:pPr>
        <w:rPr>
          <w:rFonts w:hint="eastAsia" w:eastAsia="宋体"/>
        </w:rPr>
      </w:pPr>
      <w:r>
        <w:rPr>
          <w:rFonts w:hint="eastAsia" w:eastAsia="宋体"/>
        </w:rPr>
        <w:t xml:space="preserve">致[</w:t>
      </w:r>
      <w:r>
        <w:rPr>
          <w:rFonts w:hint="eastAsia" w:eastAsia="宋体"/>
          <w:b/>
          <w:bCs/>
        </w:rPr>
        <w:t xml:space="preserve">招标单位名称</w:t>
      </w:r>
      <w:r>
        <w:rPr>
          <w:rFonts w:hint="eastAsia" w:eastAsia="宋体"/>
        </w:rPr>
        <w:t xml:space="preserve">]：</w:t>
      </w:r>
      <w:r/>
    </w:p>
    <w:p>
      <w:pPr>
        <w:rPr>
          <w:rFonts w:hint="eastAsia" w:eastAsia="宋体"/>
        </w:rPr>
      </w:pPr>
      <w:r>
        <w:rPr>
          <w:rFonts w:hint="eastAsia" w:eastAsia="宋体"/>
        </w:rPr>
      </w:r>
      <w:r/>
    </w:p>
    <w:p>
      <w:pPr>
        <w:ind w:firstLine="420"/>
        <w:spacing w:line="360" w:lineRule="auto"/>
        <w:rPr>
          <w:rFonts w:hint="eastAsia" w:eastAsia="宋体"/>
        </w:rPr>
      </w:pPr>
      <w:r>
        <w:rPr>
          <w:rFonts w:hint="eastAsia" w:eastAsia="宋体"/>
        </w:rPr>
        <w:t xml:space="preserve">我方承诺所投</w:t>
      </w:r>
      <w:r>
        <w:rPr>
          <w:rFonts w:hint="eastAsia" w:eastAsia="宋体"/>
          <w:lang w:val="en-US" w:eastAsia="zh-CN"/>
        </w:rPr>
        <w:t xml:space="preserve">统一维护服务中机房托管服务满足</w:t>
      </w:r>
      <w:r>
        <w:rPr>
          <w:rFonts w:hint="eastAsia" w:eastAsia="宋体"/>
        </w:rPr>
        <w:t xml:space="preserve">招标文件规定，</w:t>
      </w:r>
      <w:r>
        <w:rPr>
          <w:rFonts w:hint="eastAsia" w:eastAsia="宋体"/>
          <w:lang w:val="en-US" w:eastAsia="zh-CN"/>
        </w:rPr>
        <w:t xml:space="preserve">标注“▲”</w:t>
      </w:r>
      <w:r>
        <w:rPr>
          <w:rFonts w:hint="eastAsia" w:eastAsia="宋体"/>
        </w:rPr>
        <w:t xml:space="preserve">技术指标</w:t>
      </w:r>
      <w:r>
        <w:rPr>
          <w:rFonts w:hint="eastAsia" w:eastAsia="宋体"/>
          <w:lang w:val="en-US" w:eastAsia="zh-CN"/>
        </w:rPr>
        <w:t xml:space="preserve">项</w:t>
      </w:r>
      <w:r>
        <w:rPr>
          <w:rFonts w:hint="eastAsia" w:eastAsia="宋体"/>
        </w:rPr>
        <w:t xml:space="preserve">响应如下：</w:t>
      </w:r>
      <w:r/>
    </w:p>
    <w:tbl>
      <w:tblPr>
        <w:tblStyle w:val="747"/>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3"/>
        <w:gridCol w:w="4245"/>
        <w:gridCol w:w="3349"/>
      </w:tblGrid>
      <w:tr>
        <w:trPr>
          <w:jc w:val="center"/>
          <w:trHeight w:val="917"/>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sz w:val="24"/>
                <w:szCs w:val="24"/>
                <w:highlight w:val="none"/>
                <w:lang w:val="en-US" w:eastAsia="zh-CN"/>
              </w:rPr>
              <w:t xml:space="preserve">功能及技术指标</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是否响应</w:t>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6" w:type="pct"/>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lang w:eastAsia="zh-CN"/>
              </w:rPr>
              <w:suppressLineNumbers w:val="0"/>
            </w:pPr>
            <w:r>
              <w:rPr>
                <w:rFonts w:hint="eastAsia" w:ascii="宋体" w:hAnsi="宋体" w:eastAsia="宋体" w:cs="宋体"/>
                <w:sz w:val="24"/>
                <w:szCs w:val="24"/>
                <w:highlight w:val="none"/>
              </w:rPr>
              <w:t xml:space="preserve">机房</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双路市电接入及固定式发电机</w:t>
            </w:r>
            <w:r>
              <w:rPr>
                <w:rFonts w:hint="eastAsia" w:ascii="宋体" w:hAnsi="宋体" w:eastAsia="宋体" w:cs="宋体"/>
                <w:sz w:val="24"/>
                <w:szCs w:val="24"/>
                <w:highlight w:val="none"/>
                <w:lang w:val="en-US" w:eastAsia="zh-CN"/>
              </w:rPr>
              <w:t xml:space="preserve">发点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机房双路市电接入应不小于2000KVA（单路），固定式发电机功率应不小于2000KW</w:t>
            </w:r>
            <w:r>
              <w:rPr>
                <w:rFonts w:hint="eastAsia" w:ascii="宋体" w:hAnsi="宋体" w:eastAsia="宋体" w:cs="宋体"/>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widowControl/>
              <w:rPr>
                <w:rFonts w:hint="default" w:ascii="宋体" w:hAnsi="宋体" w:eastAsia="宋体" w:cs="宋体"/>
                <w:i/>
                <w:iCs/>
                <w:color w:val="auto"/>
                <w:sz w:val="24"/>
                <w:szCs w:val="24"/>
                <w:highlight w:val="none"/>
                <w:u w:val="singl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是或否</w:t>
            </w:r>
            <w:r/>
          </w:p>
        </w:tc>
      </w:tr>
    </w:tbl>
    <w:p>
      <w:pPr>
        <w:spacing w:line="360" w:lineRule="auto"/>
        <w:rPr>
          <w:rFonts w:hint="eastAsia" w:eastAsia="宋体"/>
        </w:rPr>
      </w:pPr>
      <w:r>
        <w:rPr>
          <w:rFonts w:hint="eastAsia" w:eastAsia="宋体"/>
        </w:rPr>
      </w:r>
      <w:r/>
    </w:p>
    <w:p>
      <w:pPr>
        <w:ind w:firstLine="420"/>
        <w:spacing w:line="360" w:lineRule="auto"/>
        <w:rPr>
          <w:rFonts w:hint="eastAsia" w:eastAsia="宋体"/>
        </w:rPr>
      </w:pPr>
      <w:r>
        <w:rPr>
          <w:rFonts w:hint="eastAsia" w:eastAsia="宋体"/>
        </w:rPr>
        <w:t xml:space="preserve">本承诺书为投标文件组成部分，与投标文件具有同等法律效力。我方将严格履约，接受招标单位及监管部门全程监督。</w:t>
      </w:r>
      <w:r/>
    </w:p>
    <w:p>
      <w:pPr>
        <w:spacing w:line="360" w:lineRule="auto"/>
        <w:rPr>
          <w:rFonts w:hint="eastAsia" w:eastAsia="宋体"/>
        </w:rPr>
      </w:pPr>
      <w:r>
        <w:rPr>
          <w:rFonts w:hint="eastAsia" w:eastAsia="宋体"/>
        </w:rPr>
        <w:t xml:space="preserve"> </w:t>
      </w:r>
      <w:r/>
    </w:p>
    <w:p>
      <w:pPr>
        <w:jc w:val="center"/>
        <w:spacing w:line="360" w:lineRule="auto"/>
        <w:rPr>
          <w:rFonts w:hint="default" w:eastAsia="宋体"/>
          <w:lang w:val="en-US" w:eastAsia="zh-CN"/>
        </w:rPr>
      </w:pPr>
      <w:r>
        <w:rPr>
          <w:rFonts w:hint="eastAsia" w:eastAsia="宋体"/>
          <w:lang w:val="en-US" w:eastAsia="zh-CN"/>
        </w:rPr>
        <w:t xml:space="preserve">         </w:t>
      </w:r>
      <w:r>
        <w:rPr>
          <w:rFonts w:hint="eastAsia" w:eastAsia="宋体"/>
        </w:rPr>
        <w:t xml:space="preserve">投标单位（盖章）：</w:t>
      </w:r>
      <w:r>
        <w:rPr>
          <w:rFonts w:hint="eastAsia" w:eastAsia="宋体"/>
          <w:u w:val="single"/>
          <w:lang w:val="en-US" w:eastAsia="zh-CN"/>
        </w:rPr>
        <w:t xml:space="preserve">                          </w:t>
      </w:r>
      <w:r>
        <w:rPr>
          <w:rFonts w:hint="eastAsia" w:eastAsia="宋体"/>
          <w:lang w:val="en-US" w:eastAsia="zh-CN"/>
        </w:rPr>
        <w:t xml:space="preserve">  </w:t>
      </w:r>
      <w:r/>
    </w:p>
    <w:p>
      <w:pPr>
        <w:jc w:val="center"/>
        <w:spacing w:line="360" w:lineRule="auto"/>
        <w:rPr>
          <w:rFonts w:hint="eastAsia" w:eastAsia="宋体"/>
        </w:rPr>
      </w:pPr>
      <w:r>
        <w:rPr>
          <w:rFonts w:hint="eastAsia" w:eastAsia="宋体"/>
          <w:lang w:val="en-US" w:eastAsia="zh-CN"/>
        </w:rPr>
        <w:t xml:space="preserve">                                   </w:t>
      </w:r>
      <w:r>
        <w:rPr>
          <w:rFonts w:hint="eastAsia" w:eastAsia="宋体"/>
        </w:rPr>
        <w:t xml:space="preserve">法定代表人/授权代表（签字）：________________</w:t>
      </w:r>
      <w:r/>
    </w:p>
    <w:p>
      <w:pPr>
        <w:ind w:firstLine="4830"/>
        <w:jc w:val="both"/>
        <w:spacing w:line="360" w:lineRule="auto"/>
        <w:rPr>
          <w:rFonts w:hint="default" w:eastAsia="宋体"/>
        </w:rPr>
      </w:pPr>
      <w:r>
        <w:rPr>
          <w:rFonts w:hint="eastAsia" w:eastAsia="宋体"/>
        </w:rPr>
        <w:t xml:space="preserve">日期：</w:t>
      </w:r>
      <w:r>
        <w:rPr>
          <w:rFonts w:hint="eastAsia" w:eastAsia="宋体"/>
          <w:lang w:val="en-US" w:eastAsia="zh-CN"/>
        </w:rPr>
        <w:t xml:space="preserve"> </w:t>
      </w:r>
      <w:r>
        <w:rPr>
          <w:rFonts w:hint="eastAsia" w:eastAsia="宋体"/>
          <w:u w:val="single"/>
          <w:lang w:val="en-US" w:eastAsia="zh-CN"/>
        </w:rPr>
        <w:t xml:space="preserve">       </w:t>
      </w:r>
      <w:r>
        <w:rPr>
          <w:rFonts w:hint="eastAsia" w:eastAsia="宋体"/>
        </w:rPr>
        <w:t xml:space="preserve">年</w:t>
      </w:r>
      <w:r>
        <w:rPr>
          <w:rFonts w:hint="eastAsia" w:eastAsia="宋体"/>
          <w:u w:val="single"/>
          <w:lang w:val="en-US" w:eastAsia="zh-CN"/>
        </w:rPr>
        <w:t xml:space="preserve">      </w:t>
      </w:r>
      <w:r>
        <w:rPr>
          <w:rFonts w:hint="eastAsia" w:eastAsia="宋体"/>
        </w:rPr>
        <w:t xml:space="preserve">月</w:t>
      </w:r>
      <w:r>
        <w:rPr>
          <w:rFonts w:hint="eastAsia" w:eastAsia="宋体"/>
          <w:u w:val="single"/>
          <w:lang w:val="en-US" w:eastAsia="zh-CN"/>
        </w:rPr>
        <w:t xml:space="preserve">        </w:t>
      </w:r>
      <w:r>
        <w:rPr>
          <w:rFonts w:hint="eastAsia" w:eastAsia="宋体"/>
        </w:rPr>
        <w:t xml:space="preserve">日</w:t>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pPr>
        <w:rPr>
          <w:rFonts w:ascii="宋体" w:hAnsi="宋体" w:eastAsia="Times New Roman" w:cs="Times New Roman"/>
          <w:b/>
          <w:bCs/>
          <w:sz w:val="20"/>
          <w:szCs w:val="32"/>
          <w:lang w:val="en-US" w:eastAsia="zh-CN" w:bidi="ar-SA"/>
        </w:rPr>
      </w:pPr>
      <w:r>
        <w:rPr>
          <w:rFonts w:ascii="宋体" w:hAnsi="宋体" w:eastAsia="Times New Roman" w:cs="Times New Roman"/>
          <w:b/>
          <w:bCs/>
          <w:sz w:val="20"/>
          <w:szCs w:val="32"/>
          <w:lang w:val="en-US" w:eastAsia="zh-CN" w:bidi="ar-SA"/>
        </w:rPr>
      </w:r>
      <w:r/>
    </w:p>
    <w:p>
      <w:r>
        <w:br w:type="page" w:clear="all"/>
      </w:r>
      <w:r/>
    </w:p>
    <w:p>
      <w:r/>
      <w:r/>
    </w:p>
    <w:p>
      <w:pPr>
        <w:pStyle w:val="995"/>
        <w:rPr>
          <w:rStyle w:val="934"/>
          <w:rFonts w:hint="default"/>
        </w:rPr>
      </w:pPr>
      <w:r>
        <w:rPr>
          <w:rStyle w:val="934"/>
          <w:rFonts w:hint="eastAsia" w:ascii="宋体" w:hAnsi="宋体" w:cs="宋体"/>
          <w:b/>
          <w:sz w:val="32"/>
        </w:rPr>
        <w:t xml:space="preserve">十一、</w:t>
      </w:r>
      <w:r>
        <w:rPr>
          <w:rStyle w:val="934"/>
          <w:rFonts w:hint="default" w:ascii="宋体" w:hAnsi="宋体" w:cs="宋体"/>
          <w:b/>
          <w:sz w:val="32"/>
        </w:rPr>
        <w:t xml:space="preserve">服务方案</w:t>
      </w:r>
      <w:r/>
    </w:p>
    <w:p>
      <w:pPr>
        <w:jc w:val="center"/>
        <w:keepLines/>
        <w:keepNext/>
        <w:spacing w:before="260" w:after="260" w:line="415" w:lineRule="auto"/>
        <w:widowControl w:val="off"/>
        <w:rPr>
          <w:rStyle w:val="934"/>
          <w:rFonts w:hint="eastAsia" w:ascii="宋体" w:hAnsi="宋体" w:eastAsia="宋体" w:cs="Times New Roman"/>
          <w:b/>
          <w:bCs/>
          <w:sz w:val="28"/>
          <w:szCs w:val="28"/>
          <w:lang w:val="en-US" w:eastAsia="zh-CN" w:bidi="ar-SA"/>
        </w:rPr>
        <w:outlineLvl w:val="1"/>
      </w:pPr>
      <w:r>
        <w:rPr>
          <w:rStyle w:val="934"/>
          <w:rFonts w:hint="eastAsia" w:ascii="宋体" w:hAnsi="宋体"/>
          <w:b/>
          <w:bCs/>
          <w:sz w:val="28"/>
          <w:szCs w:val="28"/>
        </w:rPr>
        <w:t xml:space="preserve">服务方案</w:t>
      </w:r>
      <w:r/>
    </w:p>
    <w:p>
      <w:pPr>
        <w:jc w:val="left"/>
        <w:spacing w:line="360" w:lineRule="auto"/>
        <w:widowControl w:val="off"/>
        <w:rPr>
          <w:rStyle w:val="934"/>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34"/>
          <w:rFonts w:hint="eastAsia" w:ascii="宋体" w:hAnsi="宋体" w:eastAsia="宋体" w:cs="Arial"/>
          <w:sz w:val="24"/>
          <w:szCs w:val="21"/>
          <w:lang w:val="en-US" w:eastAsia="zh-CN" w:bidi="ar-SA"/>
        </w:rPr>
        <w:outlineLvl w:val="1"/>
      </w:pPr>
      <w:r>
        <w:rPr>
          <w:rStyle w:val="934"/>
          <w:rFonts w:hint="eastAsia" w:ascii="宋体" w:hAnsi="宋体" w:cs="Arial"/>
          <w:sz w:val="24"/>
          <w:szCs w:val="21"/>
        </w:rPr>
        <w:t xml:space="preserve">（服务方案的内容编排等由投标人自定）</w:t>
      </w:r>
      <w:r/>
    </w:p>
    <w:p>
      <w:pPr>
        <w:pStyle w:val="996"/>
        <w:rPr>
          <w:rFonts w:hint="eastAsia" w:ascii="宋体" w:hAnsi="宋体" w:eastAsia="宋体" w:cs="宋体"/>
          <w:sz w:val="24"/>
          <w:szCs w:val="24"/>
          <w:lang w:bidi="ar"/>
        </w:rPr>
        <w:outlineLvl w:val="0"/>
      </w:pPr>
      <w:r>
        <w:rPr>
          <w:rStyle w:val="934"/>
          <w:rFonts w:hint="default"/>
        </w:rPr>
        <w:br w:type="page" w:clear="all"/>
      </w:r>
      <w:bookmarkStart w:id="271" w:name="_Toc16991"/>
      <w:r/>
      <w:bookmarkStart w:id="272" w:name="_Toc11335"/>
      <w:r/>
      <w:bookmarkStart w:id="273" w:name="_Toc17468"/>
      <w:r>
        <w:rPr>
          <w:rStyle w:val="934"/>
          <w:rFonts w:hint="eastAsia" w:ascii="宋体" w:hAnsi="宋体" w:cs="宋体"/>
          <w:b/>
          <w:sz w:val="32"/>
        </w:rPr>
        <w:t xml:space="preserve">十二</w:t>
      </w:r>
      <w:r>
        <w:rPr>
          <w:rStyle w:val="934"/>
          <w:rFonts w:hint="default" w:ascii="宋体" w:hAnsi="宋体" w:cs="宋体"/>
          <w:b/>
          <w:sz w:val="32"/>
        </w:rPr>
        <w:t xml:space="preserve">、投标人情况介绍</w:t>
      </w:r>
      <w:r>
        <w:rPr>
          <w:rStyle w:val="934"/>
          <w:rFonts w:hint="eastAsia" w:ascii="宋体" w:hAnsi="宋体" w:cs="Arial"/>
          <w:sz w:val="24"/>
          <w:szCs w:val="24"/>
        </w:rPr>
        <w:t xml:space="preserve">（内容自定，可参考如下）</w:t>
      </w:r>
      <w:bookmarkEnd w:id="271"/>
      <w:r/>
      <w:bookmarkEnd w:id="272"/>
      <w:r/>
      <w:bookmarkEnd w:id="273"/>
      <w:r/>
      <w:r/>
    </w:p>
    <w:p>
      <w:pPr>
        <w:spacing w:line="440" w:lineRule="exact"/>
        <w:widowControl/>
        <w:rPr>
          <w:rFonts w:hint="eastAsia" w:ascii="宋体" w:hAnsi="宋体" w:cs="宋体"/>
          <w:color w:val="000000"/>
          <w:sz w:val="24"/>
          <w:szCs w:val="24"/>
          <w:lang w:bidi="ar"/>
        </w:rPr>
      </w:pPr>
      <w:r/>
      <w:bookmarkStart w:id="274"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b/>
          <w:sz w:val="32"/>
        </w:rPr>
        <w:outlineLvl w:val="0"/>
      </w:pPr>
      <w:r>
        <w:rPr>
          <w:rFonts w:hint="eastAsia" w:ascii="宋体" w:hAnsi="宋体" w:eastAsia="宋体" w:cs="宋体"/>
          <w:b/>
          <w:sz w:val="32"/>
        </w:rPr>
      </w:r>
      <w:r/>
    </w:p>
    <w:p>
      <w:pPr>
        <w:pStyle w:val="997"/>
        <w:rPr>
          <w:rFonts w:hint="eastAsia" w:ascii="宋体" w:hAnsi="宋体" w:eastAsia="宋体" w:cs="宋体"/>
        </w:rPr>
        <w:outlineLvl w:val="0"/>
      </w:pPr>
      <w:r/>
      <w:bookmarkStart w:id="275" w:name="_Toc20966"/>
      <w:r/>
      <w:bookmarkStart w:id="276" w:name="_Toc11441"/>
      <w:r>
        <w:rPr>
          <w:rFonts w:hint="eastAsia" w:ascii="宋体" w:hAnsi="宋体" w:eastAsia="宋体" w:cs="宋体"/>
          <w:b/>
          <w:sz w:val="32"/>
        </w:rPr>
        <w:t xml:space="preserve">十</w:t>
      </w:r>
      <w:r>
        <w:rPr>
          <w:rFonts w:hint="eastAsia" w:ascii="宋体" w:hAnsi="宋体" w:eastAsia="宋体" w:cs="宋体"/>
          <w:b/>
          <w:sz w:val="32"/>
          <w:lang w:eastAsia="zh-CN"/>
        </w:rPr>
        <w:t xml:space="preserve">三</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4"/>
      <w:r/>
      <w:bookmarkEnd w:id="275"/>
      <w:r/>
      <w:bookmarkEnd w:id="276"/>
      <w:r/>
      <w:r/>
    </w:p>
    <w:p>
      <w:pPr>
        <w:pStyle w:val="985"/>
        <w:jc w:val="center"/>
        <w:spacing w:before="320" w:after="320"/>
        <w:rPr>
          <w:rFonts w:hint="eastAsia" w:ascii="宋体" w:hAnsi="宋体" w:eastAsia="宋体" w:cs="宋体"/>
          <w:sz w:val="32"/>
          <w:szCs w:val="32"/>
        </w:rPr>
      </w:pPr>
      <w:r/>
      <w:bookmarkStart w:id="277"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85"/>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86"/>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86"/>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85"/>
        <w:spacing w:before="240" w:after="240"/>
        <w:rPr>
          <w:rFonts w:hint="eastAsia" w:ascii="宋体" w:hAnsi="宋体" w:eastAsia="宋体" w:cs="宋体"/>
        </w:rPr>
      </w:pPr>
      <w:r>
        <w:rPr>
          <w:rFonts w:hint="eastAsia" w:ascii="宋体" w:hAnsi="宋体" w:eastAsia="宋体" w:cs="宋体"/>
        </w:rPr>
        <w:t xml:space="preserve">3.</w:t>
      </w:r>
      <w:r/>
    </w:p>
    <w:p>
      <w:pPr>
        <w:pStyle w:val="985"/>
        <w:spacing w:before="240" w:after="240"/>
        <w:rPr>
          <w:rFonts w:hint="eastAsia" w:ascii="宋体" w:hAnsi="宋体" w:eastAsia="宋体" w:cs="宋体"/>
        </w:rPr>
      </w:pPr>
      <w:r>
        <w:rPr>
          <w:rFonts w:hint="eastAsia" w:ascii="宋体" w:hAnsi="宋体" w:eastAsia="宋体" w:cs="宋体"/>
        </w:rPr>
        <w:t xml:space="preserve">4.</w:t>
      </w:r>
      <w:r/>
    </w:p>
    <w:p>
      <w:pPr>
        <w:pStyle w:val="985"/>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85"/>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85"/>
        <w:spacing w:before="240" w:after="240"/>
        <w:rPr>
          <w:rFonts w:hint="eastAsia" w:ascii="宋体" w:hAnsi="宋体" w:eastAsia="宋体" w:cs="宋体"/>
        </w:rPr>
      </w:pPr>
      <w:r>
        <w:rPr>
          <w:rFonts w:hint="default" w:ascii="宋体" w:hAnsi="宋体" w:eastAsia="宋体" w:cs="宋体"/>
        </w:rPr>
        <w:t xml:space="preserve">企业名称（盖章）：   </w:t>
      </w:r>
      <w:r/>
    </w:p>
    <w:p>
      <w:pPr>
        <w:pStyle w:val="985"/>
        <w:spacing w:before="240" w:after="240"/>
        <w:rPr>
          <w:rFonts w:hint="eastAsia" w:ascii="宋体" w:hAnsi="宋体" w:eastAsia="宋体" w:cs="宋体"/>
        </w:rPr>
      </w:pPr>
      <w:r>
        <w:rPr>
          <w:rFonts w:hint="default" w:ascii="宋体" w:hAnsi="宋体" w:eastAsia="宋体" w:cs="宋体"/>
        </w:rPr>
        <w:t xml:space="preserve">日期：   </w:t>
      </w:r>
      <w:r/>
    </w:p>
    <w:p>
      <w:pPr>
        <w:pStyle w:val="985"/>
        <w:spacing w:before="240" w:after="240"/>
        <w:rPr>
          <w:rFonts w:hint="eastAsia" w:ascii="宋体" w:hAnsi="宋体" w:eastAsia="宋体" w:cs="宋体"/>
        </w:rPr>
      </w:pPr>
      <w:r>
        <w:rPr>
          <w:rFonts w:hint="eastAsia" w:ascii="宋体" w:hAnsi="宋体" w:eastAsia="宋体" w:cs="宋体"/>
        </w:rPr>
      </w:r>
      <w:r/>
    </w:p>
    <w:p>
      <w:pPr>
        <w:pStyle w:val="985"/>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85"/>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85"/>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85"/>
        <w:spacing w:before="240" w:after="240"/>
        <w:rPr>
          <w:rStyle w:val="934"/>
          <w:rFonts w:hint="eastAsia" w:ascii="宋体" w:hAnsi="宋体" w:cs="宋体"/>
          <w:b/>
          <w:bCs/>
          <w:color w:val="000000"/>
          <w:sz w:val="24"/>
          <w:szCs w:val="24"/>
        </w:rPr>
      </w:pPr>
      <w:r>
        <w:rPr>
          <w:rStyle w:val="934"/>
          <w:rFonts w:hint="eastAsia" w:ascii="宋体" w:hAnsi="宋体" w:cs="宋体"/>
          <w:color w:val="000000"/>
          <w:sz w:val="24"/>
          <w:szCs w:val="24"/>
        </w:rPr>
        <w:t xml:space="preserve">3.</w:t>
      </w:r>
      <w:r>
        <w:rPr>
          <w:rStyle w:val="934"/>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34"/>
          <w:rFonts w:hint="default" w:ascii="宋体" w:hAnsi="宋体" w:cs="宋体"/>
          <w:b/>
          <w:bCs/>
          <w:color w:val="000000"/>
          <w:sz w:val="24"/>
          <w:szCs w:val="24"/>
        </w:rPr>
        <w:t xml:space="preserve">服务类项目中供应商若使用退休人员，将不享受相应扶持政策。</w:t>
      </w:r>
      <w:r/>
    </w:p>
    <w:p>
      <w:pPr>
        <w:pStyle w:val="985"/>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85"/>
        <w:spacing w:before="240" w:after="240"/>
        <w:rPr>
          <w:rFonts w:hint="eastAsia" w:ascii="宋体" w:hAnsi="宋体" w:eastAsia="宋体" w:cs="宋体"/>
        </w:rPr>
      </w:pPr>
      <w:r>
        <w:rPr>
          <w:rFonts w:hint="eastAsia" w:ascii="宋体" w:hAnsi="宋体" w:eastAsia="宋体" w:cs="宋体"/>
        </w:rPr>
      </w:r>
      <w:r/>
    </w:p>
    <w:p>
      <w:pPr>
        <w:pStyle w:val="985"/>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85"/>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85"/>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5"/>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default" w:ascii="宋体" w:hAnsi="宋体" w:eastAsia="宋体" w:cs="宋体"/>
        </w:rPr>
        <w:t xml:space="preserve"> </w:t>
      </w:r>
      <w:r/>
    </w:p>
    <w:p>
      <w:pPr>
        <w:pStyle w:val="987"/>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87"/>
        <w:spacing w:before="240" w:after="240"/>
        <w:rPr>
          <w:rFonts w:hint="eastAsia" w:ascii="宋体" w:hAnsi="宋体" w:eastAsia="宋体" w:cs="宋体"/>
        </w:rPr>
      </w:pPr>
      <w:r>
        <w:rPr>
          <w:rFonts w:hint="default" w:ascii="宋体" w:hAnsi="宋体" w:eastAsia="宋体" w:cs="宋体"/>
        </w:rPr>
        <w:t xml:space="preserve"> </w:t>
      </w:r>
      <w:r/>
    </w:p>
    <w:p>
      <w:pPr>
        <w:pStyle w:val="987"/>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87"/>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87"/>
        <w:jc w:val="center"/>
        <w:spacing w:before="240" w:after="240"/>
        <w:rPr>
          <w:rFonts w:hint="eastAsia" w:ascii="宋体" w:hAnsi="宋体" w:eastAsia="宋体" w:cs="宋体"/>
        </w:rPr>
      </w:pPr>
      <w:r>
        <w:rPr>
          <w:rFonts w:hint="default" w:ascii="宋体" w:hAnsi="宋体" w:eastAsia="宋体" w:cs="宋体"/>
        </w:rPr>
        <w:t xml:space="preserve"> </w:t>
      </w:r>
      <w:r/>
    </w:p>
    <w:p>
      <w:pPr>
        <w:pStyle w:val="987"/>
        <w:jc w:val="center"/>
        <w:spacing w:before="240" w:after="240"/>
        <w:rPr>
          <w:rFonts w:hint="eastAsia" w:ascii="宋体" w:hAnsi="宋体" w:eastAsia="宋体" w:cs="宋体"/>
        </w:rPr>
      </w:pPr>
      <w:r>
        <w:rPr>
          <w:rFonts w:hint="default" w:ascii="宋体" w:hAnsi="宋体" w:eastAsia="宋体" w:cs="宋体"/>
        </w:rPr>
        <w:t xml:space="preserve"> </w:t>
      </w:r>
      <w:r/>
    </w:p>
    <w:p>
      <w:pPr>
        <w:pStyle w:val="987"/>
        <w:jc w:val="center"/>
        <w:spacing w:before="240" w:after="240"/>
        <w:rPr>
          <w:rFonts w:hint="eastAsia" w:ascii="宋体" w:hAnsi="宋体" w:eastAsia="宋体" w:cs="宋体"/>
        </w:rPr>
      </w:pPr>
      <w:r>
        <w:rPr>
          <w:rFonts w:hint="default" w:ascii="宋体" w:hAnsi="宋体" w:eastAsia="宋体" w:cs="宋体"/>
        </w:rPr>
        <w:t xml:space="preserve"> </w:t>
      </w:r>
      <w:r/>
    </w:p>
    <w:p>
      <w:pPr>
        <w:pStyle w:val="987"/>
        <w:spacing w:before="240" w:after="240"/>
        <w:rPr>
          <w:rFonts w:hint="eastAsia" w:ascii="宋体" w:hAnsi="宋体" w:eastAsia="宋体" w:cs="宋体"/>
        </w:rPr>
      </w:pPr>
      <w:r>
        <w:rPr>
          <w:rFonts w:hint="default" w:ascii="宋体" w:hAnsi="宋体" w:eastAsia="宋体" w:cs="宋体"/>
        </w:rPr>
        <w:t xml:space="preserve">单位名称（盖章）：   </w:t>
      </w:r>
      <w:r/>
    </w:p>
    <w:p>
      <w:pPr>
        <w:pStyle w:val="987"/>
        <w:spacing w:before="240" w:after="240"/>
        <w:rPr>
          <w:rFonts w:hint="eastAsia" w:ascii="宋体" w:hAnsi="宋体" w:eastAsia="宋体" w:cs="宋体"/>
        </w:rPr>
      </w:pPr>
      <w:r>
        <w:rPr>
          <w:rFonts w:hint="default" w:ascii="宋体" w:hAnsi="宋体" w:eastAsia="宋体" w:cs="宋体"/>
        </w:rPr>
        <w:t xml:space="preserve">日期：   </w:t>
      </w:r>
      <w:r/>
    </w:p>
    <w:p>
      <w:pPr>
        <w:pStyle w:val="987"/>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87"/>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87"/>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87"/>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88"/>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77"/>
      <w:r/>
      <w:r/>
    </w:p>
    <w:p>
      <w:pPr>
        <w:pStyle w:val="994"/>
        <w:rPr>
          <w:rStyle w:val="934"/>
          <w:rFonts w:hint="default"/>
        </w:rPr>
      </w:pPr>
      <w:r>
        <w:rPr>
          <w:rFonts w:hint="default"/>
        </w:rPr>
      </w:r>
      <w:r/>
    </w:p>
    <w:p>
      <w:pPr>
        <w:pStyle w:val="1024"/>
        <w:jc w:val="center"/>
        <w:spacing w:before="240" w:after="240"/>
        <w:rPr>
          <w:rStyle w:val="934"/>
          <w:rFonts w:hint="default"/>
        </w:rPr>
      </w:pPr>
      <w:r>
        <w:rPr>
          <w:rStyle w:val="934"/>
          <w:rFonts w:hint="default" w:ascii="宋体" w:hAnsi="宋体" w:cs="宋体"/>
          <w:b/>
          <w:sz w:val="28"/>
        </w:rPr>
        <w:t xml:space="preserve"> </w:t>
      </w:r>
      <w:r/>
    </w:p>
    <w:p>
      <w:pPr>
        <w:pStyle w:val="1025"/>
        <w:spacing w:before="240" w:after="240"/>
        <w:rPr>
          <w:rStyle w:val="934"/>
          <w:rFonts w:hint="default"/>
        </w:rPr>
      </w:pPr>
      <w:r>
        <w:rPr>
          <w:rStyle w:val="934"/>
          <w:rFonts w:hint="default"/>
        </w:rPr>
        <w:t xml:space="preserve"> </w:t>
      </w:r>
      <w:r/>
    </w:p>
    <w:p>
      <w:pPr>
        <w:pStyle w:val="1023"/>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997"/>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十四、</w:t>
      </w:r>
      <w:r>
        <w:rPr>
          <w:rFonts w:hint="default" w:ascii="宋体" w:hAnsi="宋体" w:eastAsia="宋体" w:cs="宋体"/>
          <w:b/>
          <w:sz w:val="32"/>
          <w:highlight w:val="none"/>
        </w:rPr>
        <w:t xml:space="preserve">关于符合本国产品标准的声明函</w:t>
      </w:r>
      <w:r/>
    </w:p>
    <w:p>
      <w:pPr>
        <w:pStyle w:val="997"/>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97"/>
        <w:numPr>
          <w:ilvl w:val="0"/>
          <w:numId w:val="0"/>
        </w:numPr>
        <w:ind w:firstLine="1920"/>
        <w:rPr>
          <w:rFonts w:hint="eastAsia" w:ascii="宋体" w:hAnsi="宋体" w:eastAsia="宋体" w:cs="宋体"/>
          <w:b w:val="0"/>
          <w:bCs/>
          <w:sz w:val="32"/>
        </w:rPr>
        <w:outlineLvl w:val="0"/>
      </w:pPr>
      <w:r/>
      <w:bookmarkStart w:id="278"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69"/>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69"/>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8"/>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995"/>
        <w:rPr>
          <w:rFonts w:ascii="宋体" w:hAnsi="宋体"/>
          <w:b/>
          <w:bCs/>
          <w:sz w:val="20"/>
          <w:szCs w:val="32"/>
          <w:highlight w:val="white"/>
        </w:rPr>
      </w:pPr>
      <w:r>
        <w:rPr>
          <w:rFonts w:ascii="宋体" w:hAnsi="宋体"/>
          <w:b/>
          <w:bCs/>
          <w:sz w:val="20"/>
          <w:szCs w:val="32"/>
          <w:highlight w:val="white"/>
        </w:rPr>
      </w:r>
      <w:r/>
    </w:p>
    <w:p>
      <w:pPr>
        <w:pStyle w:val="772"/>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framePr w:wrap="around" w:vAnchor="text" w:hAnchor="margin" w:xAlign="center" w:y="1"/>
    </w:pPr>
    <w:r>
      <w:fldChar w:fldCharType="begin"/>
    </w:r>
    <w:r>
      <w:rPr>
        <w:rStyle w:val="1000"/>
        <w:sz w:val="21"/>
        <w:szCs w:val="22"/>
        <w:highlight w:val="white"/>
      </w:rPr>
      <w:instrText xml:space="preserve">PAGE  </w:instrText>
    </w:r>
    <w:r>
      <w:fldChar w:fldCharType="separate"/>
    </w:r>
    <w:r>
      <w:rPr>
        <w:rStyle w:val="1000"/>
        <w:sz w:val="21"/>
        <w:szCs w:val="22"/>
        <w:highlight w:val="white"/>
      </w:rPr>
      <w:t xml:space="preserve">1</w:t>
    </w:r>
    <w:r>
      <w:fldChar w:fldCharType="end"/>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framePr w:wrap="around" w:vAnchor="text" w:hAnchor="margin" w:xAlign="center" w:y="1"/>
    </w:pPr>
    <w:r>
      <w:fldChar w:fldCharType="begin"/>
    </w:r>
    <w:r>
      <w:rPr>
        <w:rStyle w:val="1000"/>
        <w:sz w:val="21"/>
        <w:szCs w:val="22"/>
        <w:highlight w:val="white"/>
      </w:rPr>
      <w:instrText xml:space="preserve">PAGE  </w:instrTex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14"/>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link w:val="773"/>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4"/>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5"/>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7"/>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8"/>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0"/>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1"/>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0"/>
    <w:semiHidden/>
    <w:qFormat/>
  </w:style>
  <w:style w:type="table" w:styleId="747" w:default="1">
    <w:name w:val="Normal Table"/>
    <w:uiPriority w:val="0"/>
    <w:semiHidden/>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6"/>
    <w:uiPriority w:val="0"/>
    <w:qFormat/>
    <w:pPr>
      <w:jc w:val="left"/>
    </w:pPr>
  </w:style>
  <w:style w:type="paragraph" w:styleId="751">
    <w:name w:val="toc 5"/>
    <w:basedOn w:val="736"/>
    <w:next w:val="736"/>
    <w:uiPriority w:val="39"/>
    <w:unhideWhenUsed/>
    <w:qFormat/>
    <w:pPr>
      <w:ind w:left="1134" w:right="0" w:firstLine="0"/>
      <w:spacing w:after="57"/>
    </w:pPr>
  </w:style>
  <w:style w:type="paragraph" w:styleId="752">
    <w:name w:val="toc 3"/>
    <w:basedOn w:val="736"/>
    <w:next w:val="736"/>
    <w:uiPriority w:val="39"/>
    <w:unhideWhenUsed/>
    <w:qFormat/>
    <w:pPr>
      <w:ind w:left="567" w:right="0" w:firstLine="0"/>
      <w:spacing w:after="57"/>
    </w:pPr>
  </w:style>
  <w:style w:type="paragraph" w:styleId="753">
    <w:name w:val="toc 8"/>
    <w:basedOn w:val="736"/>
    <w:next w:val="736"/>
    <w:uiPriority w:val="39"/>
    <w:unhideWhenUsed/>
    <w:qFormat/>
    <w:pPr>
      <w:ind w:left="1984" w:right="0" w:firstLine="0"/>
      <w:spacing w:after="57"/>
    </w:pPr>
  </w:style>
  <w:style w:type="paragraph" w:styleId="754">
    <w:name w:val="endnote text"/>
    <w:basedOn w:val="736"/>
    <w:link w:val="919"/>
    <w:uiPriority w:val="99"/>
    <w:semiHidden/>
    <w:unhideWhenUsed/>
    <w:qFormat/>
    <w:pPr>
      <w:spacing w:after="0" w:line="240" w:lineRule="auto"/>
    </w:pPr>
    <w:rPr>
      <w:sz w:val="20"/>
    </w:rPr>
  </w:style>
  <w:style w:type="paragraph" w:styleId="755">
    <w:name w:val="Footer"/>
    <w:basedOn w:val="736"/>
    <w:uiPriority w:val="99"/>
    <w:unhideWhenUsed/>
    <w:qFormat/>
    <w:pPr>
      <w:tabs>
        <w:tab w:val="center" w:pos="7143" w:leader="none"/>
        <w:tab w:val="right" w:pos="14287" w:leader="none"/>
      </w:tabs>
    </w:pPr>
  </w:style>
  <w:style w:type="paragraph" w:styleId="756">
    <w:name w:val="Header"/>
    <w:basedOn w:val="736"/>
    <w:uiPriority w:val="99"/>
    <w:unhideWhenUsed/>
    <w:qFormat/>
    <w:pPr>
      <w:tabs>
        <w:tab w:val="center" w:pos="7143" w:leader="none"/>
        <w:tab w:val="right" w:pos="14287" w:leader="none"/>
      </w:tabs>
    </w:pPr>
  </w:style>
  <w:style w:type="paragraph" w:styleId="757">
    <w:name w:val="toc 1"/>
    <w:basedOn w:val="736"/>
    <w:next w:val="736"/>
    <w:uiPriority w:val="0"/>
    <w:qFormat/>
  </w:style>
  <w:style w:type="paragraph" w:styleId="758">
    <w:name w:val="toc 4"/>
    <w:basedOn w:val="736"/>
    <w:next w:val="736"/>
    <w:uiPriority w:val="39"/>
    <w:unhideWhenUsed/>
    <w:qFormat/>
    <w:pPr>
      <w:ind w:left="850" w:right="0" w:firstLine="0"/>
      <w:spacing w:after="57"/>
    </w:pPr>
  </w:style>
  <w:style w:type="paragraph" w:styleId="759">
    <w:name w:val="Subtitle"/>
    <w:basedOn w:val="736"/>
    <w:next w:val="736"/>
    <w:link w:val="785"/>
    <w:uiPriority w:val="11"/>
    <w:qFormat/>
    <w:pPr>
      <w:spacing w:before="200" w:after="200"/>
    </w:pPr>
    <w:rPr>
      <w:sz w:val="24"/>
      <w:szCs w:val="24"/>
    </w:rPr>
  </w:style>
  <w:style w:type="paragraph" w:styleId="760">
    <w:name w:val="footnote text"/>
    <w:basedOn w:val="736"/>
    <w:link w:val="918"/>
    <w:uiPriority w:val="99"/>
    <w:semiHidden/>
    <w:unhideWhenUsed/>
    <w:qFormat/>
    <w:pPr>
      <w:spacing w:after="40" w:line="240" w:lineRule="auto"/>
    </w:pPr>
    <w:rPr>
      <w:sz w:val="18"/>
    </w:rPr>
  </w:style>
  <w:style w:type="paragraph" w:styleId="761">
    <w:name w:val="toc 6"/>
    <w:basedOn w:val="736"/>
    <w:next w:val="736"/>
    <w:uiPriority w:val="39"/>
    <w:unhideWhenUsed/>
    <w:qFormat/>
    <w:pPr>
      <w:ind w:left="1417" w:right="0" w:firstLine="0"/>
      <w:spacing w:after="57"/>
    </w:pPr>
  </w:style>
  <w:style w:type="paragraph" w:styleId="762">
    <w:name w:val="table of figures"/>
    <w:basedOn w:val="736"/>
    <w:next w:val="736"/>
    <w:uiPriority w:val="99"/>
    <w:unhideWhenUsed/>
    <w:qFormat/>
    <w:pPr>
      <w:spacing w:after="0" w:afterAutospacing="0"/>
    </w:pPr>
  </w:style>
  <w:style w:type="paragraph" w:styleId="763">
    <w:name w:val="toc 2"/>
    <w:basedOn w:val="736"/>
    <w:next w:val="736"/>
    <w:uiPriority w:val="39"/>
    <w:unhideWhenUsed/>
    <w:qFormat/>
    <w:pPr>
      <w:ind w:left="283" w:right="0" w:firstLine="0"/>
      <w:spacing w:after="57"/>
    </w:pPr>
  </w:style>
  <w:style w:type="paragraph" w:styleId="764">
    <w:name w:val="toc 9"/>
    <w:basedOn w:val="736"/>
    <w:next w:val="736"/>
    <w:uiPriority w:val="39"/>
    <w:unhideWhenUsed/>
    <w:qFormat/>
    <w:pPr>
      <w:ind w:left="2268" w:right="0" w:firstLine="0"/>
      <w:spacing w:after="57"/>
    </w:pPr>
  </w:style>
  <w:style w:type="paragraph" w:styleId="765">
    <w:name w:val="Normal (Web)"/>
    <w:basedOn w:val="736"/>
    <w:uiPriority w:val="99"/>
    <w:qFormat/>
    <w:pPr>
      <w:jc w:val="left"/>
      <w:spacing w:before="100" w:beforeAutospacing="1" w:after="100" w:afterAutospacing="1"/>
      <w:widowControl/>
    </w:pPr>
    <w:rPr>
      <w:rFonts w:ascii="宋体" w:hAnsi="宋体" w:eastAsia="宋体" w:cs="宋体"/>
      <w:sz w:val="24"/>
      <w:szCs w:val="24"/>
    </w:rPr>
  </w:style>
  <w:style w:type="paragraph" w:styleId="766">
    <w:name w:val="Title"/>
    <w:basedOn w:val="736"/>
    <w:next w:val="736"/>
    <w:link w:val="784"/>
    <w:uiPriority w:val="10"/>
    <w:qFormat/>
    <w:pPr>
      <w:contextualSpacing/>
      <w:spacing w:before="300" w:after="200"/>
    </w:pPr>
    <w:rPr>
      <w:sz w:val="48"/>
      <w:szCs w:val="48"/>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basedOn w:val="746"/>
    <w:uiPriority w:val="99"/>
    <w:semiHidden/>
    <w:unhideWhenUsed/>
    <w:qFormat/>
    <w:rPr>
      <w:vertAlign w:val="superscript"/>
    </w:rPr>
  </w:style>
  <w:style w:type="character" w:styleId="769">
    <w:name w:val="Emphasis"/>
    <w:uiPriority w:val="0"/>
    <w:qFormat/>
    <w:rPr>
      <w:i/>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basedOn w:val="746"/>
    <w:uiPriority w:val="99"/>
    <w:unhideWhenUsed/>
    <w:qFormat/>
    <w:rPr>
      <w:vertAlign w:val="superscript"/>
    </w:rPr>
  </w:style>
  <w:style w:type="paragraph" w:styleId="772" w:customStyle="1">
    <w:name w:val="首行缩进"/>
    <w:next w:val="736"/>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73" w:customStyle="1">
    <w:name w:val="Heading 1 Char"/>
    <w:basedOn w:val="746"/>
    <w:link w:val="737"/>
    <w:uiPriority w:val="9"/>
    <w:qFormat/>
    <w:rPr>
      <w:rFonts w:ascii="Arial" w:hAnsi="Arial" w:eastAsia="Arial" w:cs="Arial"/>
      <w:sz w:val="40"/>
      <w:szCs w:val="40"/>
    </w:rPr>
  </w:style>
  <w:style w:type="character" w:styleId="774" w:customStyle="1">
    <w:name w:val="Heading 2 Char"/>
    <w:basedOn w:val="746"/>
    <w:link w:val="738"/>
    <w:uiPriority w:val="9"/>
    <w:qFormat/>
    <w:rPr>
      <w:rFonts w:ascii="Arial" w:hAnsi="Arial" w:eastAsia="Arial" w:cs="Arial"/>
      <w:sz w:val="34"/>
    </w:rPr>
  </w:style>
  <w:style w:type="character" w:styleId="775" w:customStyle="1">
    <w:name w:val="Heading 3 Char"/>
    <w:basedOn w:val="746"/>
    <w:link w:val="739"/>
    <w:uiPriority w:val="9"/>
    <w:qFormat/>
    <w:rPr>
      <w:rFonts w:ascii="Arial" w:hAnsi="Arial" w:eastAsia="Arial" w:cs="Arial"/>
      <w:sz w:val="30"/>
      <w:szCs w:val="30"/>
    </w:rPr>
  </w:style>
  <w:style w:type="character" w:styleId="776" w:customStyle="1">
    <w:name w:val="Heading 4 Char"/>
    <w:basedOn w:val="746"/>
    <w:link w:val="740"/>
    <w:uiPriority w:val="9"/>
    <w:qFormat/>
    <w:rPr>
      <w:rFonts w:ascii="Arial" w:hAnsi="Arial" w:eastAsia="Arial" w:cs="Arial"/>
      <w:b/>
      <w:bCs/>
      <w:sz w:val="26"/>
      <w:szCs w:val="26"/>
    </w:rPr>
  </w:style>
  <w:style w:type="character" w:styleId="777" w:customStyle="1">
    <w:name w:val="Heading 5 Char"/>
    <w:basedOn w:val="746"/>
    <w:link w:val="741"/>
    <w:uiPriority w:val="9"/>
    <w:qFormat/>
    <w:rPr>
      <w:rFonts w:ascii="Arial" w:hAnsi="Arial" w:eastAsia="Arial" w:cs="Arial"/>
      <w:b/>
      <w:bCs/>
      <w:sz w:val="24"/>
      <w:szCs w:val="24"/>
    </w:rPr>
  </w:style>
  <w:style w:type="character" w:styleId="778" w:customStyle="1">
    <w:name w:val="Heading 6 Char"/>
    <w:basedOn w:val="746"/>
    <w:link w:val="742"/>
    <w:uiPriority w:val="9"/>
    <w:qFormat/>
    <w:rPr>
      <w:rFonts w:ascii="Arial" w:hAnsi="Arial" w:eastAsia="Arial" w:cs="Arial"/>
      <w:b/>
      <w:bCs/>
      <w:sz w:val="22"/>
      <w:szCs w:val="22"/>
    </w:rPr>
  </w:style>
  <w:style w:type="character" w:styleId="779" w:customStyle="1">
    <w:name w:val="Heading 7 Char"/>
    <w:basedOn w:val="746"/>
    <w:link w:val="743"/>
    <w:uiPriority w:val="9"/>
    <w:qFormat/>
    <w:rPr>
      <w:rFonts w:ascii="Arial" w:hAnsi="Arial" w:eastAsia="Arial" w:cs="Arial"/>
      <w:b/>
      <w:bCs/>
      <w:i/>
      <w:iCs/>
      <w:sz w:val="22"/>
      <w:szCs w:val="22"/>
    </w:rPr>
  </w:style>
  <w:style w:type="character" w:styleId="780" w:customStyle="1">
    <w:name w:val="Heading 8 Char"/>
    <w:basedOn w:val="746"/>
    <w:link w:val="744"/>
    <w:uiPriority w:val="9"/>
    <w:qFormat/>
    <w:rPr>
      <w:rFonts w:ascii="Arial" w:hAnsi="Arial" w:eastAsia="Arial" w:cs="Arial"/>
      <w:i/>
      <w:iCs/>
      <w:sz w:val="22"/>
      <w:szCs w:val="22"/>
    </w:rPr>
  </w:style>
  <w:style w:type="character" w:styleId="781" w:customStyle="1">
    <w:name w:val="Heading 9 Char"/>
    <w:basedOn w:val="746"/>
    <w:link w:val="745"/>
    <w:uiPriority w:val="9"/>
    <w:qFormat/>
    <w:rPr>
      <w:rFonts w:ascii="Arial" w:hAnsi="Arial" w:eastAsia="Arial" w:cs="Arial"/>
      <w:i/>
      <w:iCs/>
      <w:sz w:val="21"/>
      <w:szCs w:val="21"/>
    </w:rPr>
  </w:style>
  <w:style w:type="paragraph" w:styleId="782">
    <w:name w:val="List Paragraph"/>
    <w:basedOn w:val="736"/>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basedOn w:val="746"/>
    <w:link w:val="766"/>
    <w:uiPriority w:val="10"/>
    <w:qFormat/>
    <w:rPr>
      <w:sz w:val="48"/>
      <w:szCs w:val="48"/>
    </w:rPr>
  </w:style>
  <w:style w:type="character" w:styleId="785" w:customStyle="1">
    <w:name w:val="Subtitle Char"/>
    <w:basedOn w:val="746"/>
    <w:link w:val="759"/>
    <w:uiPriority w:val="11"/>
    <w:qFormat/>
    <w:rPr>
      <w:sz w:val="24"/>
      <w:szCs w:val="24"/>
    </w:rPr>
  </w:style>
  <w:style w:type="paragraph" w:styleId="786">
    <w:name w:val="Quote"/>
    <w:basedOn w:val="736"/>
    <w:next w:val="736"/>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6"/>
    <w:next w:val="736"/>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basedOn w:val="746"/>
    <w:uiPriority w:val="99"/>
    <w:qFormat/>
  </w:style>
  <w:style w:type="character" w:styleId="791" w:customStyle="1">
    <w:name w:val="Footer Char"/>
    <w:basedOn w:val="746"/>
    <w:uiPriority w:val="99"/>
    <w:qFormat/>
  </w:style>
  <w:style w:type="character" w:styleId="792" w:customStyle="1">
    <w:name w:val="Caption Char"/>
    <w:uiPriority w:val="99"/>
    <w:qFormat/>
  </w:style>
  <w:style w:type="table" w:styleId="793"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7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7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7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7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7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7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7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60"/>
    <w:uiPriority w:val="99"/>
    <w:qFormat/>
    <w:rPr>
      <w:sz w:val="18"/>
    </w:rPr>
  </w:style>
  <w:style w:type="character" w:styleId="919" w:customStyle="1">
    <w:name w:val="Endnote Text Char"/>
    <w:link w:val="754"/>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22" w:customStyle="1">
    <w:name w:val="标题 212"/>
    <w:basedOn w:val="736"/>
    <w:uiPriority w:val="0"/>
    <w:qFormat/>
    <w:pPr>
      <w:keepLines/>
      <w:keepNext/>
      <w:spacing w:before="360" w:after="200"/>
      <w:outlineLvl w:val="1"/>
    </w:pPr>
    <w:rPr>
      <w:rFonts w:ascii="Arial" w:hAnsi="Arial"/>
      <w:sz w:val="34"/>
      <w:szCs w:val="22"/>
    </w:rPr>
  </w:style>
  <w:style w:type="character" w:styleId="923" w:customStyle="1">
    <w:name w:val="默认段落字体13"/>
    <w:link w:val="736"/>
    <w:uiPriority w:val="0"/>
    <w:semiHidden/>
    <w:qFormat/>
  </w:style>
  <w:style w:type="table" w:styleId="92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25" w:customStyle="1">
    <w:name w:val="正文缩进11"/>
    <w:basedOn w:val="736"/>
    <w:uiPriority w:val="0"/>
    <w:qFormat/>
    <w:pPr>
      <w:ind w:firstLine="420"/>
      <w:jc w:val="left"/>
    </w:pPr>
    <w:rPr>
      <w:sz w:val="24"/>
      <w:szCs w:val="24"/>
    </w:rPr>
  </w:style>
  <w:style w:type="paragraph" w:styleId="926" w:customStyle="1">
    <w:name w:val="批注文字1"/>
    <w:basedOn w:val="736"/>
    <w:uiPriority w:val="0"/>
    <w:qFormat/>
    <w:pPr>
      <w:jc w:val="left"/>
    </w:pPr>
  </w:style>
  <w:style w:type="paragraph" w:styleId="927" w:customStyle="1">
    <w:name w:val="正文文本缩进11"/>
    <w:basedOn w:val="736"/>
    <w:uiPriority w:val="0"/>
    <w:qFormat/>
    <w:pPr>
      <w:ind w:firstLine="645"/>
      <w:jc w:val="both"/>
      <w:widowControl w:val="off"/>
    </w:pPr>
    <w:rPr>
      <w:rFonts w:ascii="楷体_GB2312" w:hAnsi="宋体" w:eastAsia="楷体_GB2312"/>
      <w:sz w:val="32"/>
      <w:szCs w:val="32"/>
      <w:lang w:val="en-US" w:eastAsia="zh-CN" w:bidi="ar-SA"/>
    </w:rPr>
  </w:style>
  <w:style w:type="paragraph" w:styleId="928"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29" w:customStyle="1">
    <w:name w:val="普通(网站)1"/>
    <w:basedOn w:val="736"/>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30" w:customStyle="1">
    <w:name w:val="正文首行缩进 21"/>
    <w:basedOn w:val="927"/>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31" w:customStyle="1">
    <w:name w:val="网格型11"/>
    <w:uiPriority w:val="0"/>
    <w:qFormat/>
    <w:rPr>
      <w:lang w:val="en-US" w:eastAsia="zh-CN" w:bidi="ar-SA"/>
    </w:rPr>
    <w:tblPr/>
  </w:style>
  <w:style w:type="character" w:styleId="932" w:customStyle="1">
    <w:name w:val="要点1"/>
    <w:link w:val="736"/>
    <w:uiPriority w:val="0"/>
    <w:qFormat/>
    <w:rPr>
      <w:b/>
    </w:rPr>
  </w:style>
  <w:style w:type="character" w:styleId="933" w:customStyle="1">
    <w:name w:val="超链接1"/>
    <w:basedOn w:val="923"/>
    <w:link w:val="736"/>
    <w:uiPriority w:val="0"/>
    <w:qFormat/>
    <w:rPr>
      <w:color w:val="0000ff"/>
      <w:u w:val="single"/>
    </w:rPr>
  </w:style>
  <w:style w:type="character" w:styleId="934" w:customStyle="1">
    <w:name w:val="默认段落字体11"/>
    <w:link w:val="736"/>
    <w:uiPriority w:val="0"/>
    <w:qFormat/>
    <w:rPr>
      <w:rFonts w:ascii="Calibri" w:hAnsi="Calibri" w:eastAsia="宋体"/>
      <w:sz w:val="21"/>
      <w:szCs w:val="22"/>
      <w:lang w:val="en-US" w:eastAsia="zh-CN" w:bidi="ar-SA"/>
    </w:rPr>
  </w:style>
  <w:style w:type="paragraph" w:styleId="935" w:customStyle="1">
    <w:name w:val="标题 211"/>
    <w:basedOn w:val="736"/>
    <w:uiPriority w:val="0"/>
    <w:qFormat/>
    <w:pPr>
      <w:jc w:val="center"/>
      <w:keepLines/>
      <w:keepNext/>
      <w:spacing w:before="260" w:after="260" w:line="416" w:lineRule="auto"/>
      <w:outlineLvl w:val="1"/>
    </w:pPr>
    <w:rPr>
      <w:rFonts w:ascii="幼圆" w:eastAsia="楷体_GB2312"/>
      <w:b/>
      <w:sz w:val="44"/>
      <w:szCs w:val="20"/>
    </w:rPr>
  </w:style>
  <w:style w:type="character" w:styleId="936" w:customStyle="1">
    <w:name w:val="已访问的超链接1"/>
    <w:link w:val="736"/>
    <w:uiPriority w:val="0"/>
    <w:qFormat/>
    <w:rPr>
      <w:color w:val="800080"/>
      <w:u w:val="single"/>
    </w:rPr>
  </w:style>
  <w:style w:type="paragraph" w:styleId="937"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38"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39" w:customStyle="1">
    <w:name w:val="WPSOffice手动目录 1"/>
    <w:uiPriority w:val="0"/>
    <w:qFormat/>
    <w:rPr>
      <w:rFonts w:hint="default" w:ascii="Times New Roman" w:hAnsi="Times New Roman" w:eastAsia="宋体" w:cs="Times New Roman"/>
      <w:lang w:val="en-US" w:eastAsia="zh-CN" w:bidi="ar-SA"/>
    </w:rPr>
  </w:style>
  <w:style w:type="paragraph" w:styleId="94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41"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42"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43" w:customStyle="1">
    <w:name w:val="标题 4 Char"/>
    <w:link w:val="736"/>
    <w:uiPriority w:val="0"/>
    <w:qFormat/>
    <w:rPr>
      <w:rFonts w:ascii="Cambria" w:hAnsi="Cambria" w:eastAsia="宋体"/>
      <w:b/>
      <w:bCs/>
      <w:sz w:val="28"/>
      <w:szCs w:val="28"/>
    </w:rPr>
  </w:style>
  <w:style w:type="paragraph" w:styleId="944" w:customStyle="1">
    <w:name w:val="p0"/>
    <w:uiPriority w:val="0"/>
    <w:qFormat/>
    <w:pPr>
      <w:jc w:val="both"/>
    </w:pPr>
    <w:rPr>
      <w:rFonts w:hint="default" w:ascii="Calibri" w:hAnsi="Calibri" w:eastAsia="宋体" w:cs="Times New Roman"/>
      <w:sz w:val="21"/>
      <w:szCs w:val="21"/>
      <w:lang w:val="en-US" w:eastAsia="zh-CN" w:bidi="ar-SA"/>
    </w:rPr>
  </w:style>
  <w:style w:type="paragraph" w:styleId="94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5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77"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7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83"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8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8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91"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9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98"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99"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00" w:customStyle="1">
    <w:name w:val="页码1"/>
    <w:link w:val="736"/>
    <w:uiPriority w:val="0"/>
    <w:qFormat/>
  </w:style>
  <w:style w:type="character" w:styleId="1001" w:customStyle="1">
    <w:name w:val="标题 4 Char3"/>
    <w:link w:val="736"/>
    <w:uiPriority w:val="0"/>
    <w:qFormat/>
    <w:rPr>
      <w:rFonts w:ascii="Cambria" w:hAnsi="Cambria" w:eastAsia="宋体"/>
      <w:b/>
      <w:bCs/>
      <w:sz w:val="28"/>
      <w:szCs w:val="28"/>
    </w:rPr>
  </w:style>
  <w:style w:type="paragraph" w:styleId="1002"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05" w:customStyle="1">
    <w:name w:val="默认段落字体12"/>
    <w:link w:val="736"/>
    <w:uiPriority w:val="0"/>
    <w:qFormat/>
  </w:style>
  <w:style w:type="character" w:styleId="1006" w:customStyle="1">
    <w:name w:val="默认段落字体111"/>
    <w:link w:val="736"/>
    <w:uiPriority w:val="0"/>
    <w:qFormat/>
  </w:style>
  <w:style w:type="paragraph" w:styleId="1007" w:customStyle="1">
    <w:name w:val="Plain Text1"/>
    <w:basedOn w:val="736"/>
    <w:uiPriority w:val="0"/>
    <w:qFormat/>
    <w:rPr>
      <w:rFonts w:ascii="宋体" w:hAnsi="Courier New"/>
      <w:szCs w:val="24"/>
    </w:rPr>
  </w:style>
  <w:style w:type="paragraph" w:styleId="1008" w:customStyle="1">
    <w:name w:val="纯文本11"/>
    <w:basedOn w:val="736"/>
    <w:uiPriority w:val="0"/>
    <w:qFormat/>
    <w:pPr>
      <w:jc w:val="left"/>
      <w:widowControl/>
    </w:pPr>
    <w:rPr>
      <w:rFonts w:ascii="宋体" w:hAnsi="Courier New" w:eastAsia="楷体_GB2312"/>
      <w:sz w:val="26"/>
    </w:rPr>
  </w:style>
  <w:style w:type="character" w:styleId="1009" w:customStyle="1">
    <w:name w:val="15"/>
    <w:basedOn w:val="923"/>
    <w:link w:val="736"/>
    <w:uiPriority w:val="0"/>
    <w:qFormat/>
    <w:rPr>
      <w:rFonts w:ascii="Times New Roman" w:hAnsi="Times New Roman"/>
    </w:rPr>
  </w:style>
  <w:style w:type="paragraph" w:styleId="1010" w:customStyle="1">
    <w:name w:val="纯文本1"/>
    <w:basedOn w:val="736"/>
    <w:uiPriority w:val="0"/>
    <w:qFormat/>
    <w:rPr>
      <w:rFonts w:hint="eastAsia" w:ascii="宋体" w:hAnsi="Courier New"/>
      <w:sz w:val="28"/>
      <w:szCs w:val="20"/>
    </w:rPr>
  </w:style>
  <w:style w:type="paragraph" w:styleId="1011" w:customStyle="1">
    <w:name w:val="寄信人地址1"/>
    <w:basedOn w:val="736"/>
    <w:uiPriority w:val="0"/>
    <w:qFormat/>
    <w:rPr>
      <w:rFonts w:ascii="Arial" w:hAnsi="Arial"/>
      <w:sz w:val="21"/>
      <w:szCs w:val="22"/>
    </w:rPr>
  </w:style>
  <w:style w:type="paragraph" w:styleId="1012"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13" w:customStyle="1">
    <w:name w:val="网格型1"/>
    <w:uiPriority w:val="0"/>
    <w:qFormat/>
    <w:rPr>
      <w:lang w:val="en-US" w:eastAsia="zh-CN" w:bidi="ar-SA"/>
    </w:rPr>
    <w:tblPr/>
  </w:style>
  <w:style w:type="character" w:styleId="1014" w:customStyle="1">
    <w:name w:val="默认段落字体1"/>
    <w:link w:val="736"/>
    <w:uiPriority w:val="0"/>
    <w:qFormat/>
  </w:style>
  <w:style w:type="paragraph" w:styleId="1015" w:customStyle="1">
    <w:name w:val="页眉2"/>
    <w:basedOn w:val="736"/>
    <w:link w:val="1016"/>
    <w:uiPriority w:val="0"/>
    <w:qFormat/>
    <w:pPr>
      <w:jc w:val="center"/>
      <w:tabs>
        <w:tab w:val="center" w:pos="4153" w:leader="none"/>
        <w:tab w:val="right" w:pos="8306" w:leader="none"/>
      </w:tabs>
      <w:pBdr>
        <w:bottom w:val="single" w:color="auto" w:sz="6" w:space="1"/>
      </w:pBdr>
    </w:pPr>
    <w:rPr>
      <w:sz w:val="18"/>
      <w:szCs w:val="18"/>
    </w:rPr>
  </w:style>
  <w:style w:type="character" w:styleId="1016" w:customStyle="1">
    <w:name w:val="页眉 Char"/>
    <w:basedOn w:val="923"/>
    <w:link w:val="1015"/>
    <w:uiPriority w:val="0"/>
    <w:qFormat/>
    <w:rPr>
      <w:rFonts w:ascii="Calibri" w:hAnsi="Calibri"/>
      <w:sz w:val="18"/>
      <w:szCs w:val="18"/>
    </w:rPr>
  </w:style>
  <w:style w:type="paragraph" w:styleId="1017" w:customStyle="1">
    <w:name w:val="页脚2"/>
    <w:basedOn w:val="736"/>
    <w:link w:val="1018"/>
    <w:uiPriority w:val="0"/>
    <w:qFormat/>
    <w:pPr>
      <w:jc w:val="left"/>
      <w:tabs>
        <w:tab w:val="center" w:pos="4153" w:leader="none"/>
        <w:tab w:val="right" w:pos="8306" w:leader="none"/>
      </w:tabs>
    </w:pPr>
    <w:rPr>
      <w:sz w:val="18"/>
      <w:szCs w:val="18"/>
    </w:rPr>
  </w:style>
  <w:style w:type="character" w:styleId="1018" w:customStyle="1">
    <w:name w:val="页脚 Char"/>
    <w:basedOn w:val="923"/>
    <w:link w:val="1017"/>
    <w:uiPriority w:val="0"/>
    <w:qFormat/>
    <w:rPr>
      <w:rFonts w:ascii="Calibri" w:hAnsi="Calibri"/>
      <w:sz w:val="18"/>
      <w:szCs w:val="18"/>
    </w:rPr>
  </w:style>
  <w:style w:type="paragraph" w:styleId="1019" w:customStyle="1">
    <w:name w:val="批注框文本1"/>
    <w:basedOn w:val="736"/>
    <w:link w:val="1020"/>
    <w:uiPriority w:val="0"/>
    <w:qFormat/>
    <w:rPr>
      <w:sz w:val="18"/>
      <w:szCs w:val="18"/>
    </w:rPr>
  </w:style>
  <w:style w:type="character" w:styleId="1020" w:customStyle="1">
    <w:name w:val="批注框文本 Char"/>
    <w:basedOn w:val="923"/>
    <w:link w:val="1019"/>
    <w:uiPriority w:val="0"/>
    <w:qFormat/>
    <w:rPr>
      <w:rFonts w:ascii="Calibri" w:hAnsi="Calibri"/>
      <w:sz w:val="18"/>
      <w:szCs w:val="18"/>
    </w:rPr>
  </w:style>
  <w:style w:type="paragraph" w:styleId="1021"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26" w:customStyle="1">
    <w:name w:val="段"/>
    <w:next w:val="736"/>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27" w:customStyle="1">
    <w:name w:val="Normal_1_0_0"/>
    <w:uiPriority w:val="0"/>
    <w:qFormat/>
    <w:rPr>
      <w:rFonts w:hint="default" w:ascii="Times New Roman" w:hAnsi="Times New Roman" w:eastAsia="Times New Roman" w:cs="Times New Roman"/>
      <w:sz w:val="24"/>
      <w:szCs w:val="24"/>
    </w:rPr>
  </w:style>
  <w:style w:type="paragraph" w:styleId="1028" w:customStyle="1">
    <w:name w:val="标题 411"/>
    <w:basedOn w:val="736"/>
    <w:next w:val="736"/>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29" w:customStyle="1">
    <w:name w:val="Table Normal"/>
    <w:uiPriority w:val="0"/>
    <w:semiHidden/>
    <w:unhideWhenUsed/>
    <w:qFormat/>
    <w:tblPr>
      <w:tblCellMar>
        <w:left w:w="0" w:type="dxa"/>
        <w:top w:w="0" w:type="dxa"/>
        <w:right w:w="0" w:type="dxa"/>
        <w:bottom w:w="0" w:type="dxa"/>
      </w:tblCellMar>
    </w:tblPr>
  </w:style>
  <w:style w:type="table" w:styleId="1030"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9</cp:revision>
  <dcterms:created xsi:type="dcterms:W3CDTF">2025-09-16T01:10:00Z</dcterms:created>
  <dcterms:modified xsi:type="dcterms:W3CDTF">2026-07-03T01:31:31Z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299FCFD5A8E14215A139AB1F486A0AC2_13</vt:lpwstr>
  </property>
  <property fmtid="{D5CDD505-2E9C-101B-9397-08002B2CF9AE}" pid="4" name="KSOTemplateDocerSaveRecord">
    <vt:lpwstr>eyJoZGlkIjoiYjJjOTQxYzhjODMyMDAzZmE0MDJkMWFkNmJlNDkwYTUiLCJ1c2VySWQiOiIxMTIxODM2MTI2In0=</vt:lpwstr>
  </property>
</Properties>
</file>