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 标 文 件</w:t>
      </w:r>
      <w:r/>
    </w:p>
    <w:p>
      <w:pPr>
        <w:ind w:firstLine="643"/>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643"/>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643"/>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723"/>
        <w:jc w:val="left"/>
        <w:spacing w:line="600" w:lineRule="exact"/>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 xml:space="preserve">项目编号：</w:t>
      </w:r>
      <w:r>
        <w:rPr>
          <w:rFonts w:hint="eastAsia" w:ascii="宋体" w:hAnsi="宋体" w:cs="宋体"/>
          <w:b/>
          <w:bCs/>
          <w:color w:val="auto"/>
          <w:sz w:val="36"/>
          <w:szCs w:val="24"/>
          <w:highlight w:val="none"/>
          <w:lang w:eastAsia="zh-CN"/>
        </w:rPr>
        <w:t xml:space="preserve">JSZC-320581-SZDS-G2026-0008</w:t>
      </w:r>
      <w:r/>
    </w:p>
    <w:p>
      <w:pPr>
        <w:ind w:firstLine="723"/>
        <w:spacing w:line="600" w:lineRule="exact"/>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 xml:space="preserve">项目名称：</w:t>
      </w:r>
      <w:r>
        <w:rPr>
          <w:rFonts w:hint="eastAsia" w:ascii="宋体" w:hAnsi="宋体" w:eastAsia="宋体" w:cs="宋体"/>
          <w:b/>
          <w:bCs/>
          <w:color w:val="auto"/>
          <w:sz w:val="36"/>
          <w:szCs w:val="24"/>
          <w:highlight w:val="none"/>
          <w:lang w:eastAsia="zh-CN"/>
        </w:rPr>
        <w:t xml:space="preserve">常熟第二人民医院医用氧采购项目</w:t>
      </w:r>
      <w:r/>
    </w:p>
    <w:p>
      <w:pPr>
        <w:ind w:firstLine="723"/>
        <w:jc w:val="left"/>
        <w:spacing w:line="600" w:lineRule="exac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 xml:space="preserve">项目属性：货物类项目</w:t>
      </w:r>
      <w:r/>
    </w:p>
    <w:p>
      <w:pPr>
        <w:ind w:firstLine="723"/>
        <w:jc w:val="left"/>
        <w:spacing w:line="600" w:lineRule="exac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 xml:space="preserve">标的所属行业：工业</w:t>
      </w:r>
      <w:r/>
    </w:p>
    <w:p>
      <w:pPr>
        <w:ind w:left="2100" w:firstLine="48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3"/>
        <w:jc w:val="center"/>
        <w:spacing w:before="120" w:after="120" w:line="360" w:lineRule="auto"/>
        <w:rPr>
          <w:rFonts w:hint="eastAsia" w:ascii="宋体" w:hAnsi="宋体" w:eastAsia="宋体" w:cs="宋体"/>
          <w:b/>
          <w:bCs/>
          <w:color w:val="auto"/>
          <w:sz w:val="40"/>
          <w:szCs w:val="28"/>
          <w:highlight w:val="none"/>
          <w:lang w:eastAsia="zh-CN"/>
        </w:rPr>
      </w:pPr>
      <w:r>
        <w:rPr>
          <w:rFonts w:hint="eastAsia" w:ascii="宋体" w:hAnsi="宋体" w:eastAsia="宋体" w:cs="宋体"/>
          <w:b/>
          <w:bCs/>
          <w:color w:val="auto"/>
          <w:sz w:val="40"/>
          <w:szCs w:val="28"/>
          <w:highlight w:val="none"/>
          <w:lang w:eastAsia="zh-CN"/>
        </w:rPr>
        <w:t xml:space="preserve">苏州信达顺工程建设咨询有限公司</w:t>
      </w:r>
      <w:r/>
    </w:p>
    <w:p>
      <w:pPr>
        <w:ind w:firstLine="723"/>
        <w:jc w:val="center"/>
        <w:spacing w:before="120" w:after="120" w:line="360" w:lineRule="auto"/>
        <w:rPr>
          <w:rFonts w:hint="eastAsia" w:ascii="宋体" w:hAnsi="宋体" w:eastAsia="宋体" w:cs="宋体"/>
          <w:color w:val="auto"/>
          <w:sz w:val="32"/>
          <w:szCs w:val="28"/>
          <w:highlight w:val="none"/>
        </w:rPr>
      </w:pPr>
      <w:r>
        <w:rPr>
          <w:rFonts w:hint="eastAsia" w:ascii="宋体" w:hAnsi="宋体" w:eastAsia="宋体" w:cs="宋体"/>
          <w:b/>
          <w:bCs/>
          <w:color w:val="auto"/>
          <w:sz w:val="40"/>
          <w:szCs w:val="28"/>
          <w:highlight w:val="none"/>
          <w:lang w:eastAsia="zh-CN"/>
        </w:rPr>
        <w:t xml:space="preserve">2026</w:t>
      </w:r>
      <w:r>
        <w:rPr>
          <w:rFonts w:hint="eastAsia" w:ascii="宋体" w:hAnsi="宋体" w:eastAsia="宋体" w:cs="宋体"/>
          <w:b/>
          <w:bCs/>
          <w:color w:val="auto"/>
          <w:sz w:val="40"/>
          <w:szCs w:val="28"/>
          <w:highlight w:val="none"/>
        </w:rPr>
        <w:t xml:space="preserve">年</w:t>
      </w:r>
      <w:r>
        <w:rPr>
          <w:rFonts w:hint="eastAsia" w:ascii="宋体" w:hAnsi="宋体" w:cs="宋体"/>
          <w:b/>
          <w:bCs/>
          <w:color w:val="auto"/>
          <w:sz w:val="40"/>
          <w:szCs w:val="28"/>
          <w:highlight w:val="none"/>
          <w:lang w:val="en-US" w:eastAsia="zh-CN"/>
        </w:rPr>
        <w:t xml:space="preserve">07</w:t>
      </w:r>
      <w:r>
        <w:rPr>
          <w:rFonts w:hint="eastAsia" w:ascii="宋体" w:hAnsi="宋体" w:eastAsia="宋体" w:cs="宋体"/>
          <w:b/>
          <w:bCs/>
          <w:color w:val="auto"/>
          <w:sz w:val="40"/>
          <w:szCs w:val="28"/>
          <w:highlight w:val="none"/>
        </w:rPr>
        <w:t xml:space="preserve">月</w:t>
      </w:r>
      <w:r>
        <w:rPr>
          <w:rFonts w:hint="eastAsia" w:ascii="宋体" w:hAnsi="宋体" w:cs="宋体"/>
          <w:b/>
          <w:bCs/>
          <w:color w:val="auto"/>
          <w:sz w:val="40"/>
          <w:szCs w:val="28"/>
          <w:highlight w:val="none"/>
          <w:lang w:val="en-US" w:eastAsia="zh-CN"/>
        </w:rPr>
        <w:t xml:space="preserve">03</w:t>
      </w:r>
      <w:r>
        <w:rPr>
          <w:rFonts w:hint="eastAsia" w:ascii="宋体" w:hAnsi="宋体" w:eastAsia="宋体" w:cs="宋体"/>
          <w:b/>
          <w:bCs/>
          <w:color w:val="auto"/>
          <w:sz w:val="40"/>
          <w:szCs w:val="28"/>
          <w:highlight w:val="none"/>
        </w:rPr>
        <w:t xml:space="preserve">日</w:t>
      </w:r>
      <w:r/>
    </w:p>
    <w:p>
      <w:pPr>
        <w:pStyle w:val="1134"/>
        <w:ind w:firstLine="640"/>
        <w:jc w:val="center"/>
        <w:rPr>
          <w:rFonts w:hint="eastAsia" w:ascii="宋体" w:hAnsi="宋体" w:eastAsia="宋体" w:cs="宋体"/>
          <w:b/>
          <w:bCs/>
          <w:color w:val="auto"/>
          <w:highlight w:val="none"/>
        </w:rPr>
      </w:pPr>
      <w:r>
        <w:rPr>
          <w:rFonts w:hint="eastAsia" w:ascii="宋体" w:hAnsi="宋体" w:eastAsia="宋体" w:cs="宋体"/>
          <w:color w:val="auto"/>
          <w:szCs w:val="21"/>
          <w:highlight w:val="none"/>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宋体" w:hAnsi="宋体" w:eastAsia="宋体" w:cs="宋体"/>
          <w:b/>
          <w:bCs/>
          <w:color w:val="auto"/>
          <w:highlight w:val="none"/>
          <w:lang w:val="zh-CN"/>
        </w:rPr>
        <w:t xml:space="preserve">目录</w:t>
      </w:r>
      <w:r/>
    </w:p>
    <w:p>
      <w:pPr>
        <w:pStyle w:val="802"/>
        <w:tabs>
          <w:tab w:val="right" w:pos="10466" w:leader="dot"/>
        </w:tabs>
        <w:rPr>
          <w:rFonts w:hint="eastAsia" w:ascii="宋体" w:hAnsi="宋体" w:eastAsia="宋体" w:cs="宋体"/>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_Toc7712 </w:instrText>
      </w:r>
      <w:r>
        <w:rPr>
          <w:rFonts w:hint="eastAsia" w:ascii="宋体" w:hAnsi="宋体" w:eastAsia="宋体" w:cs="宋体"/>
          <w:szCs w:val="24"/>
          <w:highlight w:val="none"/>
        </w:rPr>
        <w:fldChar w:fldCharType="separate"/>
      </w:r>
      <w:r>
        <w:rPr>
          <w:rFonts w:hint="eastAsia" w:ascii="宋体" w:hAnsi="宋体" w:eastAsia="宋体" w:cs="宋体"/>
          <w:bCs/>
          <w:szCs w:val="40"/>
          <w:highlight w:val="none"/>
        </w:rPr>
        <w:t xml:space="preserve">第一章  投标邀请</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_Toc7712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color w:val="auto"/>
          <w:szCs w:val="24"/>
          <w:highlight w:val="none"/>
        </w:rPr>
        <w:fldChar w:fldCharType="end"/>
      </w:r>
      <w:r/>
    </w:p>
    <w:p>
      <w:pPr>
        <w:pStyle w:val="802"/>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_Toc21902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_Toc21902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2"/>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_Toc21317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 xml:space="preserve">第三章  合同文本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_Toc21317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2"/>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_Toc1426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_Toc1426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_Toc26113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 xml:space="preserve">一、项目说明：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_Toc26113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_Toc12700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 xml:space="preserve">二、需求清单：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_Toc12700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_Toc20292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 xml:space="preserve">三、技术性能参数要求：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_Toc20292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_Toc24404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（一）技术规格要求：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_Toc24404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_Toc29881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（二）其他要求：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_Toc29881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_Toc8631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四</w:t>
      </w:r>
      <w:r>
        <w:rPr>
          <w:rFonts w:hint="eastAsia" w:ascii="宋体" w:hAnsi="宋体" w:eastAsia="宋体" w:cs="宋体"/>
          <w:bCs/>
          <w:highlight w:val="none"/>
        </w:rPr>
        <w:t xml:space="preserve">、投标报价要求：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_Toc8631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_Toc22892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五、质量保证及售后服务要求：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_Toc22892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_Toc9142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六、验收要求：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_Toc9142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_Toc10311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 xml:space="preserve">七、其他：</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_Toc10311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2"/>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_Toc2352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 xml:space="preserve">第五章  评标方法与评标标准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_Toc2352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2"/>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_Toc4052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 xml:space="preserve">第六章  投标文件格式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_Toc4052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_Toc24641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 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_Toc24641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_Toc24737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附件2 报价明细表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_Toc24737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_Toc28281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附件3 技术参数响应及偏离表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_Toc28281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_Toc11324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附件4 投标货物综合说明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_Toc11324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37</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_Toc16516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5</w:t>
      </w:r>
      <w:r>
        <w:rPr>
          <w:rFonts w:hint="eastAsia" w:ascii="宋体" w:hAnsi="宋体" w:eastAsia="宋体" w:cs="宋体"/>
          <w:bCs/>
          <w:szCs w:val="28"/>
          <w:highlight w:val="none"/>
        </w:rPr>
        <w:t xml:space="preserve"> 项目实施方案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_Toc16516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38</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_Toc20645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附件6 </w:t>
      </w:r>
      <w:r>
        <w:rPr>
          <w:rFonts w:hint="eastAsia" w:ascii="宋体" w:hAnsi="宋体" w:eastAsia="宋体" w:cs="宋体"/>
          <w:bCs/>
          <w:szCs w:val="28"/>
          <w:highlight w:val="none"/>
          <w:lang w:val="en-US" w:eastAsia="zh-CN"/>
        </w:rPr>
        <w:t xml:space="preserve">实质性要求响应及偏离表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_Toc20645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39</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_Toc22593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附件7 </w:t>
      </w:r>
      <w:r>
        <w:rPr>
          <w:rFonts w:hint="eastAsia" w:ascii="宋体" w:hAnsi="宋体" w:eastAsia="宋体" w:cs="宋体"/>
          <w:bCs/>
          <w:szCs w:val="28"/>
          <w:highlight w:val="none"/>
          <w:lang w:val="en-US" w:eastAsia="zh-CN"/>
        </w:rPr>
        <w:t xml:space="preserve">质量保证及售后服务承诺</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_Toc22593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40</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_Toc31904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附件8 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_Toc31904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_Toc29788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附件9 商务要求响应及偏离表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_Toc29788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_Toc23378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10</w:t>
      </w:r>
      <w:r>
        <w:rPr>
          <w:rFonts w:hint="eastAsia" w:ascii="宋体" w:hAnsi="宋体" w:eastAsia="宋体" w:cs="宋体"/>
          <w:bCs/>
          <w:szCs w:val="28"/>
          <w:highlight w:val="none"/>
        </w:rPr>
        <w:t xml:space="preserve"> 具备履行合同所必需的人员和专业技术能力的书面声明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_Toc23378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_Toc1505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11</w:t>
      </w:r>
      <w:r>
        <w:rPr>
          <w:rFonts w:hint="eastAsia" w:ascii="宋体" w:hAnsi="宋体" w:eastAsia="宋体" w:cs="宋体"/>
          <w:bCs/>
          <w:szCs w:val="28"/>
          <w:highlight w:val="none"/>
        </w:rPr>
        <w:t xml:space="preserve"> 参加政府采购活动前 3 年内在经营活动中没有重大违法记录的书面声明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_Toc1505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_Toc18957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12</w:t>
      </w:r>
      <w:r>
        <w:rPr>
          <w:rFonts w:hint="eastAsia" w:ascii="宋体" w:hAnsi="宋体" w:eastAsia="宋体" w:cs="宋体"/>
          <w:bCs/>
          <w:szCs w:val="28"/>
          <w:highlight w:val="none"/>
        </w:rPr>
        <w:t xml:space="preserve"> 法人授权书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_Toc18957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_Toc19314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13</w:t>
      </w:r>
      <w:r>
        <w:rPr>
          <w:rFonts w:hint="eastAsia" w:ascii="宋体" w:hAnsi="宋体" w:eastAsia="宋体" w:cs="宋体"/>
          <w:bCs/>
          <w:szCs w:val="28"/>
          <w:highlight w:val="none"/>
        </w:rPr>
        <w:t xml:space="preserve"> 中小企业声明函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_Toc19314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_Toc20792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4</w:t>
      </w:r>
      <w:r>
        <w:rPr>
          <w:rFonts w:hint="eastAsia" w:ascii="宋体" w:hAnsi="宋体" w:eastAsia="宋体" w:cs="宋体"/>
          <w:bCs/>
          <w:szCs w:val="28"/>
          <w:highlight w:val="none"/>
        </w:rPr>
        <w:t xml:space="preserve"> 残疾人福利性单位声明函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_Toc20792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47</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_Toc1783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5</w:t>
      </w:r>
      <w:r>
        <w:rPr>
          <w:rFonts w:hint="eastAsia" w:ascii="宋体" w:hAnsi="宋体" w:eastAsia="宋体" w:cs="宋体"/>
          <w:bCs/>
          <w:szCs w:val="28"/>
          <w:highlight w:val="none"/>
        </w:rPr>
        <w:t xml:space="preserve"> 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_Toc1783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48</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_Toc8628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6</w:t>
      </w:r>
      <w:r>
        <w:rPr>
          <w:rFonts w:hint="eastAsia" w:ascii="宋体" w:hAnsi="宋体" w:eastAsia="宋体" w:cs="宋体"/>
          <w:bCs/>
          <w:szCs w:val="28"/>
          <w:highlight w:val="none"/>
        </w:rPr>
        <w:t xml:space="preserve"> </w:t>
      </w:r>
      <w:r>
        <w:rPr>
          <w:rFonts w:hint="eastAsia" w:ascii="宋体" w:hAnsi="宋体" w:eastAsia="宋体" w:cs="宋体"/>
          <w:bCs/>
          <w:szCs w:val="28"/>
          <w:highlight w:val="none"/>
          <w:lang w:val="en-US" w:eastAsia="zh-CN"/>
        </w:rPr>
        <w:t xml:space="preserve">供应商与其他单位存在直接控股、管理关系情况表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_Toc8628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49</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_Toc10756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7 </w:t>
      </w:r>
      <w:r>
        <w:rPr>
          <w:rFonts w:hint="eastAsia" w:ascii="宋体" w:hAnsi="宋体" w:eastAsia="宋体" w:cs="宋体"/>
          <w:bCs/>
          <w:szCs w:val="28"/>
          <w:highlight w:val="none"/>
        </w:rPr>
        <w:t xml:space="preserve">关于符合本国产品标准的声明函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_Toc10756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50</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pStyle w:val="808"/>
        <w:tabs>
          <w:tab w:val="right" w:pos="10466" w:leader="dot"/>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_Toc8749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en-US" w:eastAsia="zh-CN"/>
        </w:rPr>
        <w:t xml:space="preserve">附件18 质疑函范本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_Toc8749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r/>
    </w:p>
    <w:p>
      <w:pPr>
        <w:jc w:val="left"/>
        <w:spacing w:line="440" w:lineRule="exact"/>
        <w:rPr>
          <w:rFonts w:hint="eastAsia" w:ascii="宋体" w:hAnsi="宋体" w:eastAsia="宋体" w:cs="宋体"/>
          <w:caps/>
          <w:color w:val="auto"/>
          <w:sz w:val="24"/>
          <w:szCs w:val="24"/>
          <w:highlight w:val="none"/>
        </w:rPr>
      </w:pPr>
      <w:r>
        <w:rPr>
          <w:rFonts w:hint="eastAsia" w:ascii="宋体" w:hAnsi="宋体" w:eastAsia="宋体" w:cs="宋体"/>
          <w:caps/>
          <w:color w:val="auto"/>
          <w:szCs w:val="24"/>
          <w:highlight w:val="none"/>
        </w:rPr>
        <w:fldChar w:fldCharType="end"/>
      </w:r>
      <w:r/>
    </w:p>
    <w:p>
      <w:pPr>
        <w:ind w:firstLine="880"/>
        <w:jc w:val="center"/>
        <w:keepNext/>
        <w:rPr>
          <w:rFonts w:hint="eastAsia" w:ascii="宋体" w:hAnsi="宋体" w:eastAsia="宋体" w:cs="宋体"/>
          <w:b/>
          <w:bCs/>
          <w:color w:val="auto"/>
          <w:sz w:val="24"/>
          <w:szCs w:val="24"/>
          <w:highlight w:val="none"/>
        </w:rPr>
        <w:sectPr>
          <w:headerReference w:type="default" r:id="rId9"/>
          <w:headerReference w:type="first" r:id="rId10"/>
          <w:footerReference w:type="default" r:id="rId11"/>
          <w:footerReference w:type="even" r:id="rId12"/>
          <w:footnotePr/>
          <w:endnotePr/>
          <w:type w:val="nextPage"/>
          <w:pgSz w:w="11906" w:h="16838" w:orient="portrait"/>
          <w:pgMar w:top="771" w:right="720" w:bottom="527" w:left="720" w:header="231" w:footer="200" w:gutter="0"/>
          <w:cols w:num="1" w:sep="0" w:space="720" w:equalWidth="1"/>
          <w:docGrid w:linePitch="360"/>
          <w:titlePg/>
        </w:sectPr>
        <w:outlineLvl w:val="0"/>
      </w:pPr>
      <w:r>
        <w:rPr>
          <w:rFonts w:hint="eastAsia" w:ascii="宋体" w:hAnsi="宋体" w:eastAsia="宋体" w:cs="宋体"/>
          <w:b/>
          <w:bCs/>
          <w:color w:val="auto"/>
          <w:sz w:val="24"/>
          <w:szCs w:val="24"/>
          <w:highlight w:val="none"/>
        </w:rPr>
      </w:r>
      <w:r/>
    </w:p>
    <w:p>
      <w:pPr>
        <w:ind w:firstLine="880"/>
        <w:jc w:val="center"/>
        <w:keepNext/>
        <w:rPr>
          <w:rFonts w:hint="eastAsia" w:ascii="宋体" w:hAnsi="宋体" w:eastAsia="宋体" w:cs="宋体"/>
          <w:b/>
          <w:bCs/>
          <w:color w:val="auto"/>
          <w:sz w:val="40"/>
          <w:szCs w:val="40"/>
          <w:highlight w:val="none"/>
        </w:rPr>
        <w:outlineLvl w:val="0"/>
      </w:pPr>
      <w:r/>
      <w:bookmarkStart w:id="6" w:name="_Toc7712"/>
      <w:r>
        <w:rPr>
          <w:rFonts w:hint="eastAsia" w:ascii="宋体" w:hAnsi="宋体" w:eastAsia="宋体" w:cs="宋体"/>
          <w:b/>
          <w:bCs/>
          <w:color w:val="auto"/>
          <w:sz w:val="40"/>
          <w:szCs w:val="40"/>
          <w:highlight w:val="none"/>
        </w:rPr>
        <w:t xml:space="preserve">第一章  </w:t>
      </w:r>
      <w:bookmarkEnd w:id="0"/>
      <w:r>
        <w:rPr>
          <w:rFonts w:hint="eastAsia" w:ascii="宋体" w:hAnsi="宋体" w:eastAsia="宋体" w:cs="宋体"/>
          <w:b/>
          <w:bCs/>
          <w:color w:val="auto"/>
          <w:sz w:val="40"/>
          <w:szCs w:val="40"/>
          <w:highlight w:val="none"/>
        </w:rPr>
        <w:t xml:space="preserve">投标邀请</w:t>
      </w:r>
      <w:bookmarkEnd w:id="6"/>
      <w:r/>
      <w:r/>
    </w:p>
    <w:p>
      <w:pPr>
        <w:spacing w:line="4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常熟第二人民医院医用氧采购项目</w:t>
      </w:r>
      <w:r>
        <w:rPr>
          <w:rFonts w:hint="eastAsia" w:ascii="宋体" w:hAnsi="宋体" w:cs="宋体"/>
          <w:color w:val="auto"/>
          <w:sz w:val="24"/>
          <w:szCs w:val="24"/>
          <w:highlight w:val="none"/>
          <w:u w:val="single"/>
          <w:lang w:eastAsia="zh-CN"/>
        </w:rPr>
        <w:t xml:space="preserve">JSZC-320581-SZDS-G2026-0008</w:t>
      </w:r>
      <w:r>
        <w:rPr>
          <w:rFonts w:hint="eastAsia" w:ascii="宋体" w:hAnsi="宋体" w:eastAsia="宋体" w:cs="宋体"/>
          <w:color w:val="auto"/>
          <w:sz w:val="24"/>
          <w:szCs w:val="24"/>
          <w:highlight w:val="none"/>
        </w:rPr>
        <w:t xml:space="preserve">招标项目的潜在投标人应在“苏采云政府采购一体化平台”获取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文件，并于</w:t>
      </w:r>
      <w:r>
        <w:rPr>
          <w:rFonts w:hint="eastAsia" w:ascii="宋体" w:hAnsi="宋体" w:eastAsia="宋体" w:cs="宋体"/>
          <w:color w:val="auto"/>
          <w:sz w:val="24"/>
          <w:szCs w:val="21"/>
          <w:highlight w:val="none"/>
          <w:u w:val="single"/>
          <w:lang w:eastAsia="zh-CN"/>
        </w:rPr>
        <w:t xml:space="preserve">2026</w:t>
      </w:r>
      <w:r>
        <w:rPr>
          <w:rFonts w:hint="eastAsia" w:ascii="宋体" w:hAnsi="宋体" w:eastAsia="宋体" w:cs="宋体"/>
          <w:color w:val="auto"/>
          <w:sz w:val="24"/>
          <w:szCs w:val="21"/>
          <w:highlight w:val="none"/>
          <w:u w:val="single"/>
        </w:rPr>
        <w:t xml:space="preserve">年</w:t>
      </w:r>
      <w:r>
        <w:rPr>
          <w:rFonts w:hint="eastAsia" w:ascii="宋体" w:hAnsi="宋体" w:cs="宋体"/>
          <w:color w:val="auto"/>
          <w:sz w:val="24"/>
          <w:szCs w:val="21"/>
          <w:highlight w:val="none"/>
          <w:u w:val="single"/>
          <w:lang w:val="en-US" w:eastAsia="zh-CN"/>
        </w:rPr>
        <w:t xml:space="preserve">07</w:t>
      </w:r>
      <w:r>
        <w:rPr>
          <w:rFonts w:hint="eastAsia" w:ascii="宋体" w:hAnsi="宋体" w:eastAsia="宋体" w:cs="宋体"/>
          <w:color w:val="auto"/>
          <w:sz w:val="24"/>
          <w:szCs w:val="21"/>
          <w:highlight w:val="none"/>
          <w:u w:val="single"/>
        </w:rPr>
        <w:t xml:space="preserve">月</w:t>
      </w:r>
      <w:r>
        <w:rPr>
          <w:rFonts w:hint="eastAsia" w:ascii="宋体" w:hAnsi="宋体" w:cs="宋体"/>
          <w:color w:val="auto"/>
          <w:sz w:val="24"/>
          <w:szCs w:val="21"/>
          <w:highlight w:val="none"/>
          <w:u w:val="single"/>
          <w:lang w:val="en-US" w:eastAsia="zh-CN"/>
        </w:rPr>
        <w:t xml:space="preserve">24</w:t>
      </w:r>
      <w:r>
        <w:rPr>
          <w:rFonts w:hint="eastAsia" w:ascii="宋体" w:hAnsi="宋体" w:eastAsia="宋体" w:cs="宋体"/>
          <w:color w:val="auto"/>
          <w:sz w:val="24"/>
          <w:szCs w:val="21"/>
          <w:highlight w:val="none"/>
          <w:u w:val="single"/>
        </w:rPr>
        <w:t xml:space="preserve">日</w:t>
      </w:r>
      <w:r>
        <w:rPr>
          <w:rFonts w:hint="eastAsia" w:ascii="宋体" w:hAnsi="宋体" w:cs="宋体"/>
          <w:color w:val="auto"/>
          <w:sz w:val="24"/>
          <w:szCs w:val="21"/>
          <w:highlight w:val="none"/>
          <w:u w:val="single"/>
          <w:lang w:val="en-US" w:eastAsia="zh-CN"/>
        </w:rPr>
        <w:t xml:space="preserve">9</w:t>
      </w:r>
      <w:r>
        <w:rPr>
          <w:rFonts w:hint="eastAsia" w:ascii="宋体" w:hAnsi="宋体" w:eastAsia="宋体" w:cs="宋体"/>
          <w:color w:val="auto"/>
          <w:sz w:val="24"/>
          <w:szCs w:val="21"/>
          <w:highlight w:val="none"/>
          <w:u w:val="single"/>
        </w:rPr>
        <w:t xml:space="preserve">点</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u w:val="single"/>
        </w:rPr>
        <w:t xml:space="preserve">0分（北京时间）</w:t>
      </w:r>
      <w:r>
        <w:rPr>
          <w:rFonts w:hint="eastAsia" w:ascii="宋体" w:hAnsi="宋体" w:eastAsia="宋体" w:cs="宋体"/>
          <w:color w:val="auto"/>
          <w:sz w:val="24"/>
          <w:szCs w:val="21"/>
          <w:highlight w:val="none"/>
        </w:rPr>
        <w:t xml:space="preserve">前</w:t>
      </w:r>
      <w:r>
        <w:rPr>
          <w:rFonts w:hint="eastAsia" w:ascii="宋体" w:hAnsi="宋体" w:eastAsia="宋体" w:cs="宋体"/>
          <w:color w:val="auto"/>
          <w:sz w:val="24"/>
          <w:szCs w:val="21"/>
          <w:highlight w:val="none"/>
          <w:lang w:val="en-US" w:eastAsia="zh-CN"/>
        </w:rPr>
        <w:t xml:space="preserve">递交</w:t>
      </w:r>
      <w:r>
        <w:rPr>
          <w:rFonts w:hint="eastAsia" w:ascii="宋体" w:hAnsi="宋体" w:eastAsia="宋体" w:cs="宋体"/>
          <w:color w:val="auto"/>
          <w:sz w:val="24"/>
          <w:szCs w:val="21"/>
          <w:highlight w:val="none"/>
        </w:rPr>
        <w:t xml:space="preserve">投标文件。</w:t>
      </w:r>
      <w:r/>
    </w:p>
    <w:p>
      <w:pPr>
        <w:ind w:firstLine="482"/>
        <w:keepLines/>
        <w:keepNext/>
        <w:spacing w:line="440" w:lineRule="exact"/>
        <w:rPr>
          <w:rFonts w:hint="eastAsia" w:ascii="宋体" w:hAnsi="宋体" w:eastAsia="宋体" w:cs="宋体"/>
          <w:b/>
          <w:bCs/>
          <w:color w:val="auto"/>
          <w:sz w:val="24"/>
          <w:szCs w:val="24"/>
          <w:highlight w:val="none"/>
        </w:rPr>
      </w:pPr>
      <w:r/>
      <w:bookmarkStart w:id="7" w:name="_Toc35393790"/>
      <w:r/>
      <w:bookmarkStart w:id="8" w:name="_Toc38985263"/>
      <w:r/>
      <w:bookmarkStart w:id="9" w:name="_Toc35393621"/>
      <w:r/>
      <w:bookmarkStart w:id="10" w:name="_Toc28359079"/>
      <w:r/>
      <w:bookmarkStart w:id="11" w:name="_Toc28359002"/>
      <w:r/>
      <w:bookmarkStart w:id="12" w:name="_Hlk24379207"/>
      <w:r>
        <w:rPr>
          <w:rFonts w:hint="eastAsia" w:ascii="宋体" w:hAnsi="宋体" w:eastAsia="宋体" w:cs="宋体"/>
          <w:b/>
          <w:bCs/>
          <w:color w:val="auto"/>
          <w:sz w:val="24"/>
          <w:szCs w:val="24"/>
          <w:highlight w:val="none"/>
        </w:rPr>
        <w:t xml:space="preserve">一、项目基本情况</w:t>
      </w:r>
      <w:bookmarkEnd w:id="7"/>
      <w:r/>
      <w:bookmarkEnd w:id="8"/>
      <w:r/>
      <w:bookmarkEnd w:id="9"/>
      <w:r/>
      <w:bookmarkEnd w:id="10"/>
      <w:r/>
      <w:bookmarkEnd w:id="11"/>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JSZC-320581-SZDS-G2026-0008</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常熟第二人民医院医用氧采购项目</w:t>
      </w:r>
      <w:bookmarkEnd w:id="12"/>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254.000000万</w:t>
      </w:r>
      <w:r>
        <w:rPr>
          <w:rFonts w:hint="eastAsia" w:ascii="宋体" w:hAnsi="宋体" w:eastAsia="宋体" w:cs="宋体"/>
          <w:color w:val="auto"/>
          <w:sz w:val="24"/>
          <w:szCs w:val="24"/>
          <w:highlight w:val="none"/>
        </w:rPr>
        <w:t xml:space="preserve">元</w:t>
      </w:r>
      <w:r/>
    </w:p>
    <w:p>
      <w:pPr>
        <w:ind w:firstLine="480"/>
        <w:spacing w:line="460" w:lineRule="exact"/>
        <w:rPr>
          <w:rFonts w:hint="eastAsia" w:ascii="宋体" w:hAnsi="宋体" w:eastAsia="宋体" w:cs="宋体"/>
          <w:color w:val="auto"/>
          <w:sz w:val="24"/>
          <w:szCs w:val="24"/>
          <w:highlight w:val="none"/>
        </w:rPr>
      </w:pPr>
      <w:r/>
      <w:bookmarkStart w:id="13" w:name="_Toc38985264"/>
      <w:r/>
      <w:bookmarkStart w:id="14" w:name="_Toc35393622"/>
      <w:r/>
      <w:bookmarkStart w:id="15" w:name="_Toc28359003"/>
      <w:r/>
      <w:bookmarkStart w:id="16" w:name="_Toc28359080"/>
      <w:r/>
      <w:bookmarkStart w:id="17" w:name="_Toc35393791"/>
      <w:r>
        <w:rPr>
          <w:rFonts w:hint="eastAsia" w:ascii="宋体" w:hAnsi="宋体" w:eastAsia="宋体" w:cs="宋体"/>
          <w:color w:val="auto"/>
          <w:sz w:val="24"/>
          <w:szCs w:val="24"/>
          <w:highlight w:val="none"/>
        </w:rPr>
        <w:t xml:space="preserve">采购需求概况：</w:t>
      </w:r>
      <w:r>
        <w:rPr>
          <w:rFonts w:hint="eastAsia" w:ascii="宋体" w:hAnsi="宋体" w:eastAsia="宋体" w:cs="宋体"/>
          <w:color w:val="auto"/>
          <w:sz w:val="24"/>
          <w:szCs w:val="24"/>
          <w:highlight w:val="none"/>
          <w:lang w:eastAsia="zh-CN"/>
        </w:rPr>
        <w:t xml:space="preserve">常熟市第二人民医院</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常熟第二人民医院医用氧采购项目，</w:t>
      </w:r>
      <w:r>
        <w:rPr>
          <w:rFonts w:hint="eastAsia" w:ascii="宋体" w:hAnsi="宋体" w:eastAsia="宋体" w:cs="宋体"/>
          <w:color w:val="auto"/>
          <w:sz w:val="24"/>
          <w:szCs w:val="24"/>
          <w:highlight w:val="none"/>
          <w:lang w:val="en-US" w:eastAsia="zh-CN"/>
        </w:rPr>
        <w:t xml:space="preserve">主要包括两院区的医用液态氧、瓶装医用氧气等</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自合同签订之日起2年</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13"/>
      <w:r/>
      <w:bookmarkEnd w:id="14"/>
      <w:r/>
      <w:bookmarkEnd w:id="15"/>
      <w:r/>
      <w:bookmarkEnd w:id="16"/>
      <w:r/>
      <w:bookmarkEnd w:id="17"/>
      <w:r/>
      <w:bookmarkStart w:id="18" w:name="_Toc35393792"/>
      <w:r/>
      <w:bookmarkStart w:id="19" w:name="_Toc28359081"/>
      <w:r/>
      <w:bookmarkStart w:id="20" w:name="_Toc38985265"/>
      <w:r/>
      <w:bookmarkStart w:id="21" w:name="_Toc35393623"/>
      <w:r/>
      <w:bookmarkStart w:id="22" w:name="_Toc28359004"/>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参加采购活动前三年内，在经营活动中没有重大违法记录。</w:t>
      </w:r>
      <w:r/>
    </w:p>
    <w:p>
      <w:pPr>
        <w:ind w:firstLine="7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本项目专门面向中小企业采购，所属行业为工业，投标时须提供《中小企业声明函》。</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注：对残疾人福利性单位、监狱企业视同小型、微型企业，但须按要求提供有关声明函或证明文件。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7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为生产企业</w:t>
      </w:r>
      <w:r>
        <w:rPr>
          <w:rFonts w:hint="eastAsia" w:ascii="宋体" w:hAnsi="宋体" w:eastAsia="宋体" w:cs="宋体"/>
          <w:color w:val="auto"/>
          <w:sz w:val="24"/>
          <w:szCs w:val="24"/>
          <w:highlight w:val="none"/>
          <w:lang w:val="en-US" w:eastAsia="zh-CN"/>
        </w:rPr>
        <w:t xml:space="preserve">的，必须</w:t>
      </w:r>
      <w:r>
        <w:rPr>
          <w:rFonts w:hint="eastAsia" w:ascii="宋体" w:hAnsi="宋体" w:eastAsia="宋体" w:cs="宋体"/>
          <w:color w:val="auto"/>
          <w:sz w:val="24"/>
          <w:szCs w:val="24"/>
          <w:highlight w:val="none"/>
        </w:rPr>
        <w:t xml:space="preserve">具备有效的《安全生产许可证》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《药品生产许可证》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药品注册证（药品注册批件或药品再注册批件）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《气瓶充装许可证》；投标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为经销商</w:t>
      </w:r>
      <w:r>
        <w:rPr>
          <w:rFonts w:hint="eastAsia" w:ascii="宋体" w:hAnsi="宋体" w:eastAsia="宋体" w:cs="宋体"/>
          <w:color w:val="auto"/>
          <w:sz w:val="24"/>
          <w:szCs w:val="24"/>
          <w:highlight w:val="none"/>
          <w:lang w:val="en-US" w:eastAsia="zh-CN"/>
        </w:rPr>
        <w:t xml:space="preserve">的，必须</w:t>
      </w:r>
      <w:r>
        <w:rPr>
          <w:rFonts w:hint="eastAsia" w:ascii="宋体" w:hAnsi="宋体" w:eastAsia="宋体" w:cs="宋体"/>
          <w:color w:val="auto"/>
          <w:sz w:val="24"/>
          <w:szCs w:val="24"/>
          <w:highlight w:val="none"/>
        </w:rPr>
        <w:t xml:space="preserve">具备有效的</w:t>
      </w:r>
      <w:r>
        <w:rPr>
          <w:rFonts w:hint="eastAsia" w:ascii="宋体" w:hAnsi="宋体" w:eastAsia="宋体" w:cs="宋体"/>
          <w:bCs/>
          <w:color w:val="auto"/>
          <w:sz w:val="24"/>
          <w:highlight w:val="none"/>
        </w:rPr>
        <w:t xml:space="preserve">《药品经营许可证》</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与生产企业的合作性协议</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生产企业的相关证件</w:t>
      </w:r>
      <w:r>
        <w:rPr>
          <w:rFonts w:hint="eastAsia" w:ascii="宋体" w:hAnsi="宋体" w:eastAsia="宋体" w:cs="宋体"/>
          <w:color w:val="auto"/>
          <w:sz w:val="24"/>
          <w:szCs w:val="24"/>
          <w:highlight w:val="none"/>
          <w:lang w:eastAsia="zh-CN"/>
        </w:rPr>
        <w:t xml:space="preserve">。</w:t>
      </w:r>
      <w:r/>
    </w:p>
    <w:p>
      <w:pPr>
        <w:ind w:firstLine="72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人必</w:t>
      </w:r>
      <w:r>
        <w:rPr>
          <w:rFonts w:hint="eastAsia" w:ascii="宋体" w:hAnsi="宋体" w:eastAsia="宋体" w:cs="宋体"/>
          <w:color w:val="auto"/>
          <w:sz w:val="24"/>
          <w:szCs w:val="24"/>
          <w:highlight w:val="none"/>
        </w:rPr>
        <w:t xml:space="preserve">须具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有效期内的《道路危险货物运输许可证》或《道路运输经营许可证》（须包含危险货物运输2类等类似描述）。如投标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委托第三方运输企业承担气体运输服务，则投标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需同时提供与该运输企业有效期内的协议书，且运输企业</w:t>
      </w:r>
      <w:r>
        <w:rPr>
          <w:rFonts w:hint="eastAsia" w:ascii="宋体" w:hAnsi="宋体" w:eastAsia="宋体" w:cs="宋体"/>
          <w:color w:val="auto"/>
          <w:sz w:val="24"/>
          <w:szCs w:val="24"/>
          <w:highlight w:val="none"/>
          <w:lang w:val="en-US" w:eastAsia="zh-CN"/>
        </w:rPr>
        <w:t xml:space="preserve">必</w:t>
      </w:r>
      <w:r>
        <w:rPr>
          <w:rFonts w:hint="eastAsia" w:ascii="宋体" w:hAnsi="宋体" w:eastAsia="宋体" w:cs="宋体"/>
          <w:color w:val="auto"/>
          <w:sz w:val="24"/>
          <w:szCs w:val="24"/>
          <w:highlight w:val="none"/>
        </w:rPr>
        <w:t xml:space="preserve">须具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有效期内</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《道路危险货物运输许可证》或《道路运输经营许可证》（须包含危险货物运输2类等类似描述）</w:t>
      </w:r>
      <w:r>
        <w:rPr>
          <w:rFonts w:hint="eastAsia" w:ascii="宋体" w:hAnsi="宋体" w:eastAsia="宋体" w:cs="宋体"/>
          <w:color w:val="auto"/>
          <w:sz w:val="24"/>
          <w:szCs w:val="24"/>
          <w:highlight w:val="none"/>
          <w:lang w:eastAsia="zh-CN"/>
        </w:rPr>
        <w:t xml:space="preserve">。</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8"/>
      <w:r/>
      <w:bookmarkEnd w:id="19"/>
      <w:r/>
      <w:bookmarkEnd w:id="20"/>
      <w:r/>
      <w:bookmarkEnd w:id="21"/>
      <w:r/>
      <w:bookmarkEnd w:id="22"/>
      <w:r/>
      <w:bookmarkStart w:id="23" w:name="_Toc35393624"/>
      <w:r/>
      <w:bookmarkStart w:id="24" w:name="_Toc38985266"/>
      <w:r/>
      <w:bookmarkStart w:id="25" w:name="_Toc28359005"/>
      <w:r/>
      <w:bookmarkStart w:id="26" w:name="_Toc28359082"/>
      <w:r/>
      <w:bookmarkStart w:id="27" w:name="_Toc35393793"/>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地点：苏采云政府采购一体化平台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方式：在“苏采云政府采购一体化平台”自行免费下载招标文件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End w:id="23"/>
      <w:r/>
      <w:bookmarkEnd w:id="24"/>
      <w:r/>
      <w:bookmarkEnd w:id="25"/>
      <w:r/>
      <w:bookmarkEnd w:id="26"/>
      <w:r/>
      <w:bookmarkEnd w:id="27"/>
      <w:r>
        <w:rPr>
          <w:rFonts w:hint="eastAsia" w:ascii="宋体" w:hAnsi="宋体" w:eastAsia="宋体" w:cs="宋体"/>
          <w:b/>
          <w:bCs/>
          <w:color w:val="auto"/>
          <w:sz w:val="24"/>
          <w:szCs w:val="24"/>
          <w:highlight w:val="none"/>
        </w:rPr>
        <w:t xml:space="preserve">提交投标文件截止时间、开标时间和地点</w:t>
      </w:r>
      <w:r/>
    </w:p>
    <w:p>
      <w:pPr>
        <w:ind w:firstLine="480"/>
        <w:spacing w:line="440" w:lineRule="exact"/>
        <w:rPr>
          <w:rFonts w:hint="eastAsia" w:ascii="宋体" w:hAnsi="宋体" w:eastAsia="宋体" w:cs="宋体"/>
          <w:color w:val="auto"/>
          <w:sz w:val="24"/>
          <w:szCs w:val="24"/>
          <w:highlight w:val="none"/>
        </w:rPr>
      </w:pPr>
      <w:r/>
      <w:bookmarkStart w:id="28" w:name="_Toc28359007"/>
      <w:r/>
      <w:bookmarkStart w:id="29" w:name="_Toc35393625"/>
      <w:r/>
      <w:bookmarkStart w:id="30" w:name="_Toc28359084"/>
      <w:r/>
      <w:bookmarkStart w:id="31" w:name="_Toc38985267"/>
      <w:r/>
      <w:bookmarkStart w:id="32" w:name="_Toc35393794"/>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地点：苏采云政府采购一体化平台</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bookmarkEnd w:id="28"/>
      <w:r/>
      <w:bookmarkEnd w:id="29"/>
      <w:r/>
      <w:bookmarkEnd w:id="30"/>
      <w:r/>
      <w:bookmarkEnd w:id="31"/>
      <w:r/>
      <w:bookmarkEnd w:id="32"/>
      <w:r>
        <w:rPr>
          <w:rFonts w:hint="eastAsia" w:ascii="宋体" w:hAnsi="宋体" w:eastAsia="宋体" w:cs="宋体"/>
          <w:b/>
          <w:bCs/>
          <w:color w:val="auto"/>
          <w:sz w:val="24"/>
          <w:szCs w:val="24"/>
          <w:highlight w:val="none"/>
        </w:rPr>
        <w:t xml:space="preserve">公告期限</w:t>
      </w:r>
      <w:r/>
    </w:p>
    <w:p>
      <w:pPr>
        <w:ind w:firstLine="480"/>
        <w:spacing w:line="440" w:lineRule="exact"/>
        <w:rPr>
          <w:rFonts w:hint="eastAsia" w:ascii="宋体" w:hAnsi="宋体" w:eastAsia="宋体" w:cs="宋体"/>
          <w:color w:val="auto"/>
          <w:sz w:val="24"/>
          <w:szCs w:val="24"/>
          <w:highlight w:val="none"/>
        </w:rPr>
      </w:pPr>
      <w:r/>
      <w:bookmarkStart w:id="33" w:name="_Toc35393626"/>
      <w:r/>
      <w:bookmarkStart w:id="34" w:name="_Toc38985268"/>
      <w:r/>
      <w:bookmarkStart w:id="35" w:name="_Toc35393795"/>
      <w:r>
        <w:rPr>
          <w:rFonts w:hint="eastAsia" w:ascii="宋体" w:hAnsi="宋体" w:eastAsia="宋体" w:cs="宋体"/>
          <w:color w:val="auto"/>
          <w:sz w:val="24"/>
          <w:szCs w:val="24"/>
          <w:highlight w:val="none"/>
        </w:rPr>
        <w:t xml:space="preserve">公告期限：自本公告发布之日起5个工作日。</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33"/>
      <w:r/>
      <w:bookmarkEnd w:id="34"/>
      <w:r/>
      <w:bookmarkEnd w:id="35"/>
      <w:r/>
      <w:r/>
    </w:p>
    <w:p>
      <w:pPr>
        <w:ind w:firstLine="480"/>
        <w:spacing w:line="440" w:lineRule="exact"/>
        <w:rPr>
          <w:rFonts w:hint="eastAsia" w:ascii="宋体" w:hAnsi="宋体" w:eastAsia="宋体" w:cs="宋体"/>
          <w:color w:val="auto"/>
          <w:sz w:val="24"/>
          <w:szCs w:val="32"/>
          <w:highlight w:val="none"/>
        </w:rPr>
      </w:pPr>
      <w:r/>
      <w:bookmarkStart w:id="36" w:name="_Toc35393796"/>
      <w:r/>
      <w:bookmarkStart w:id="37" w:name="_Toc38985269"/>
      <w:r/>
      <w:bookmarkStart w:id="38" w:name="_Toc28359008"/>
      <w:r/>
      <w:bookmarkStart w:id="39" w:name="_Toc28359085"/>
      <w:r/>
      <w:bookmarkStart w:id="40" w:name="_Toc35393627"/>
      <w:r>
        <w:rPr>
          <w:rFonts w:hint="eastAsia" w:ascii="宋体" w:hAnsi="宋体" w:eastAsia="宋体" w:cs="宋体"/>
          <w:color w:val="auto"/>
          <w:sz w:val="24"/>
          <w:szCs w:val="32"/>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2、供应商在“苏采云”系统操作过程中如有疑问，请按以下方式联系：</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技术咨询电话：400-608-6099；电子签章技术咨询电话:15380932027、13675197356、025-83633811、025-83633812；系统使用指导与咨询电话：18261002950、13914088964、0519-86722802；智能客服：登录苏采云系统后，联系系统右下方智能客服图标进行咨询。</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3、有关本次采购的事项若存在变动或修改，敬请及时关注“苏州市政府采购网”发布的更正公告</w:t>
      </w:r>
      <w:bookmarkStart w:id="41" w:name="_Hlk87882297"/>
      <w:r>
        <w:rPr>
          <w:rFonts w:hint="eastAsia" w:ascii="宋体" w:hAnsi="宋体" w:eastAsia="宋体" w:cs="宋体"/>
          <w:color w:val="auto"/>
          <w:sz w:val="24"/>
          <w:szCs w:val="32"/>
          <w:highlight w:val="none"/>
        </w:rPr>
        <w:t xml:space="preserve">，并按规定获取相关信息内容。</w:t>
      </w:r>
      <w:bookmarkEnd w:id="41"/>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4、本次采购项目有关时间要求均以北京时间为标准，使用24小时制。</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5、公告媒体：</w:t>
      </w:r>
      <w:r>
        <w:rPr>
          <w:rFonts w:hint="eastAsia" w:ascii="宋体" w:hAnsi="宋体" w:eastAsia="宋体" w:cs="宋体"/>
          <w:color w:val="auto"/>
          <w:sz w:val="24"/>
          <w:highlight w:val="none"/>
        </w:rPr>
        <w:t xml:space="preserve">苏州市政府采购网、江苏政府采购网</w:t>
      </w:r>
      <w:r>
        <w:rPr>
          <w:rFonts w:hint="eastAsia" w:ascii="宋体" w:hAnsi="宋体" w:eastAsia="宋体" w:cs="宋体"/>
          <w:color w:val="auto"/>
          <w:sz w:val="24"/>
          <w:szCs w:val="32"/>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6、</w:t>
      </w:r>
      <w:r>
        <w:rPr>
          <w:rFonts w:hint="eastAsia" w:ascii="宋体" w:hAnsi="宋体" w:eastAsia="宋体" w:cs="宋体"/>
          <w:color w:val="auto"/>
          <w:sz w:val="24"/>
          <w:szCs w:val="24"/>
          <w:highlight w:val="none"/>
        </w:rPr>
        <w:t xml:space="preserve">其他要求：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2"/>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（2）单位负责人为同一人或者存在直接控股、管理关系的不同投标人，不得参加同一合同项下的政府采购活动。</w:t>
      </w:r>
      <w:r/>
    </w:p>
    <w:p>
      <w:pPr>
        <w:ind w:firstLine="482"/>
        <w:keepLines/>
        <w:keepNex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w:t>
      </w:r>
      <w:bookmarkEnd w:id="36"/>
      <w:r/>
      <w:bookmarkEnd w:id="37"/>
      <w:r/>
      <w:bookmarkEnd w:id="38"/>
      <w:r/>
      <w:bookmarkEnd w:id="39"/>
      <w:r/>
      <w:bookmarkEnd w:id="40"/>
      <w:r>
        <w:rPr>
          <w:rFonts w:hint="eastAsia" w:ascii="宋体" w:hAnsi="宋体" w:eastAsia="宋体" w:cs="宋体"/>
          <w:b/>
          <w:bCs/>
          <w:color w:val="auto"/>
          <w:sz w:val="24"/>
          <w:szCs w:val="24"/>
          <w:highlight w:val="none"/>
        </w:rPr>
        <w:t xml:space="preserve">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常熟市第二人民医院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单位地址：常熟市</w:t>
      </w:r>
      <w:r>
        <w:rPr>
          <w:rFonts w:hint="eastAsia" w:ascii="宋体" w:hAnsi="宋体" w:eastAsia="宋体" w:cs="宋体"/>
          <w:color w:val="auto"/>
          <w:sz w:val="24"/>
          <w:szCs w:val="24"/>
          <w:highlight w:val="none"/>
          <w:lang w:val="en-US" w:eastAsia="zh-CN"/>
        </w:rPr>
        <w:t xml:space="preserve">台山</w:t>
      </w:r>
      <w:r>
        <w:rPr>
          <w:rFonts w:hint="eastAsia" w:ascii="宋体" w:hAnsi="宋体" w:eastAsia="宋体" w:cs="宋体"/>
          <w:color w:val="auto"/>
          <w:sz w:val="24"/>
          <w:szCs w:val="24"/>
          <w:highlight w:val="none"/>
        </w:rPr>
        <w:t xml:space="preserve">路1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号</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龚立强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86"/>
      <w:r/>
      <w:bookmarkStart w:id="43" w:name="_Toc28359009"/>
      <w:r>
        <w:rPr>
          <w:rFonts w:hint="eastAsia" w:ascii="宋体" w:hAnsi="宋体" w:eastAsia="宋体" w:cs="宋体"/>
          <w:color w:val="auto"/>
          <w:sz w:val="24"/>
          <w:szCs w:val="24"/>
          <w:highlight w:val="none"/>
          <w:lang w:eastAsia="zh-CN"/>
        </w:rPr>
        <w:t xml:space="preserve">0512-52277255</w:t>
      </w:r>
      <w:bookmarkEnd w:id="42"/>
      <w:bookmarkEnd w:id="43"/>
      <w:r/>
    </w:p>
    <w:p>
      <w:pPr>
        <w:ind w:firstLine="480"/>
        <w:spacing w:line="440" w:lineRule="exact"/>
        <w:rPr>
          <w:rFonts w:hint="eastAsia" w:ascii="宋体" w:hAnsi="宋体" w:eastAsia="宋体" w:cs="宋体"/>
          <w:color w:val="auto"/>
          <w:sz w:val="24"/>
          <w:szCs w:val="24"/>
          <w:highlight w:val="none"/>
        </w:rPr>
      </w:pPr>
      <w:r/>
      <w:bookmarkStart w:id="44" w:name="_Toc28359087"/>
      <w:r/>
      <w:bookmarkStart w:id="45" w:name="_Toc28359010"/>
      <w:r>
        <w:rPr>
          <w:rFonts w:hint="eastAsia" w:ascii="宋体" w:hAnsi="宋体" w:eastAsia="宋体" w:cs="宋体"/>
          <w:color w:val="auto"/>
          <w:sz w:val="24"/>
          <w:szCs w:val="24"/>
          <w:highlight w:val="none"/>
        </w:rPr>
        <w:t xml:space="preserve">2、采购代理机构信息</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单位名称：苏州信达顺工程建设咨询有限公司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单位地址：常熟市海虞镇河滨路100-5号</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王丹婷、王春佳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联系方式：0512-52156272</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项目联系人：王丹婷、王</w:t>
      </w:r>
      <w:r>
        <w:rPr>
          <w:rFonts w:hint="eastAsia" w:ascii="宋体" w:hAnsi="宋体" w:eastAsia="宋体" w:cs="宋体"/>
          <w:color w:val="auto"/>
          <w:sz w:val="24"/>
          <w:szCs w:val="24"/>
          <w:highlight w:val="none"/>
          <w:lang w:val="en-US" w:eastAsia="zh-CN"/>
        </w:rPr>
        <w:t xml:space="preserve">春佳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电话：0512-52156272</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bookmarkEnd w:id="45"/>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880"/>
        <w:jc w:val="center"/>
        <w:keepNext/>
        <w:rPr>
          <w:rFonts w:hint="eastAsia" w:ascii="宋体" w:hAnsi="宋体" w:eastAsia="宋体" w:cs="宋体"/>
          <w:b/>
          <w:bCs/>
          <w:color w:val="auto"/>
          <w:sz w:val="40"/>
          <w:szCs w:val="40"/>
          <w:highlight w:val="none"/>
        </w:rPr>
        <w:outlineLvl w:val="0"/>
      </w:pPr>
      <w:r/>
      <w:bookmarkStart w:id="46" w:name="_Toc120614211"/>
      <w:r/>
      <w:bookmarkStart w:id="47" w:name="_Toc21902"/>
      <w:r>
        <w:rPr>
          <w:rFonts w:hint="eastAsia" w:ascii="宋体" w:hAnsi="宋体" w:eastAsia="宋体" w:cs="宋体"/>
          <w:b/>
          <w:bCs/>
          <w:color w:val="auto"/>
          <w:sz w:val="40"/>
          <w:szCs w:val="40"/>
          <w:highlight w:val="none"/>
        </w:rPr>
        <w:t xml:space="preserve">第二章  </w:t>
      </w:r>
      <w:bookmarkEnd w:id="1"/>
      <w:r/>
      <w:bookmarkEnd w:id="2"/>
      <w:r/>
      <w:bookmarkEnd w:id="3"/>
      <w:r/>
      <w:bookmarkEnd w:id="4"/>
      <w:r/>
      <w:bookmarkEnd w:id="5"/>
      <w:r/>
      <w:bookmarkEnd w:id="46"/>
      <w:r/>
      <w:bookmarkStart w:id="48" w:name="_Toc16938518"/>
      <w:r/>
      <w:bookmarkStart w:id="49" w:name="_Toc513029202"/>
      <w:r/>
      <w:bookmarkStart w:id="50" w:name="_Toc120614213"/>
      <w:r/>
      <w:bookmarkStart w:id="51" w:name="_Toc20823274"/>
      <w:r>
        <w:rPr>
          <w:rFonts w:hint="eastAsia" w:ascii="宋体" w:hAnsi="宋体" w:eastAsia="宋体" w:cs="宋体"/>
          <w:b/>
          <w:bCs/>
          <w:color w:val="auto"/>
          <w:sz w:val="40"/>
          <w:szCs w:val="40"/>
          <w:highlight w:val="none"/>
        </w:rPr>
        <w:t xml:space="preserve">投标人须知</w:t>
      </w:r>
      <w:bookmarkEnd w:id="47"/>
      <w:r/>
      <w:bookmarkEnd w:id="48"/>
      <w:r/>
      <w:bookmarkEnd w:id="49"/>
      <w:r/>
      <w:bookmarkEnd w:id="50"/>
      <w:r/>
      <w:bookmarkEnd w:id="51"/>
      <w:r/>
      <w:r/>
    </w:p>
    <w:p>
      <w:pPr>
        <w:ind w:firstLine="562"/>
        <w:keepLines/>
        <w:keepNext/>
        <w:spacing w:line="440" w:lineRule="exact"/>
        <w:rPr>
          <w:rFonts w:hint="eastAsia" w:ascii="宋体" w:hAnsi="宋体" w:eastAsia="宋体" w:cs="宋体"/>
          <w:b/>
          <w:bCs/>
          <w:color w:val="auto"/>
          <w:sz w:val="28"/>
          <w:szCs w:val="28"/>
          <w:highlight w:val="none"/>
        </w:rPr>
      </w:pPr>
      <w:r/>
      <w:bookmarkStart w:id="52" w:name="_Toc16938519"/>
      <w:r/>
      <w:bookmarkStart w:id="53" w:name="_Toc20823275"/>
      <w:r/>
      <w:bookmarkStart w:id="54" w:name="_Toc513029203"/>
      <w:r/>
      <w:bookmarkStart w:id="55" w:name="_Toc120614214"/>
      <w:r>
        <w:rPr>
          <w:rFonts w:hint="eastAsia" w:ascii="宋体" w:hAnsi="宋体" w:eastAsia="宋体" w:cs="宋体"/>
          <w:b/>
          <w:bCs/>
          <w:color w:val="auto"/>
          <w:sz w:val="28"/>
          <w:szCs w:val="28"/>
          <w:highlight w:val="none"/>
        </w:rPr>
        <w:t xml:space="preserve">一、总则</w:t>
      </w:r>
      <w:bookmarkEnd w:id="52"/>
      <w:r/>
      <w:bookmarkEnd w:id="53"/>
      <w:r/>
      <w:bookmarkEnd w:id="54"/>
      <w:r/>
      <w:bookmarkEnd w:id="55"/>
      <w:r/>
      <w:r/>
    </w:p>
    <w:p>
      <w:pPr>
        <w:ind w:firstLine="480"/>
        <w:keepLines/>
        <w:keepNext/>
        <w:spacing w:line="440" w:lineRule="exact"/>
        <w:rPr>
          <w:rFonts w:hint="eastAsia" w:ascii="宋体" w:hAnsi="宋体" w:eastAsia="宋体" w:cs="宋体"/>
          <w:color w:val="auto"/>
          <w:sz w:val="24"/>
          <w:szCs w:val="24"/>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宋体" w:hAnsi="宋体" w:eastAsia="宋体" w:cs="宋体"/>
          <w:color w:val="auto"/>
          <w:sz w:val="24"/>
          <w:szCs w:val="24"/>
          <w:highlight w:val="none"/>
        </w:rPr>
        <w:t xml:space="preserve">1</w:t>
      </w:r>
      <w:bookmarkEnd w:id="57"/>
      <w:r>
        <w:rPr>
          <w:rFonts w:hint="eastAsia" w:ascii="宋体" w:hAnsi="宋体" w:eastAsia="宋体" w:cs="宋体"/>
          <w:color w:val="auto"/>
          <w:sz w:val="24"/>
          <w:szCs w:val="24"/>
          <w:highlight w:val="none"/>
        </w:rPr>
        <w:t xml:space="preserve">、</w:t>
      </w:r>
      <w:bookmarkEnd w:id="58"/>
      <w:r/>
      <w:bookmarkEnd w:id="59"/>
      <w:r/>
      <w:bookmarkEnd w:id="60"/>
      <w:r>
        <w:rPr>
          <w:rFonts w:hint="eastAsia" w:ascii="宋体" w:hAnsi="宋体" w:eastAsia="宋体" w:cs="宋体"/>
          <w:color w:val="auto"/>
          <w:sz w:val="24"/>
          <w:szCs w:val="24"/>
          <w:highlight w:val="none"/>
          <w:lang w:eastAsia="zh-CN"/>
        </w:rPr>
        <w:t xml:space="preserve">采购方式</w:t>
      </w:r>
      <w:r>
        <w:rPr>
          <w:rFonts w:hint="eastAsia" w:ascii="宋体" w:hAnsi="宋体" w:eastAsia="宋体" w:cs="宋体"/>
          <w:color w:val="auto"/>
          <w:sz w:val="24"/>
          <w:szCs w:val="24"/>
          <w:highlight w:val="none"/>
        </w:rPr>
        <w:t xml:space="preserve">及适用法律</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本次招标及由此产生的合同受中华人民共和国有关的法律法规制约和保护。</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2、定义</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“采购人”系指购买本项目货物并接受相关服务的国家机关、事业单位、团体组织。</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 xml:space="preserve">苏州信达顺工程建设咨询有限公司</w:t>
      </w:r>
      <w:r>
        <w:rPr>
          <w:rFonts w:hint="eastAsia" w:ascii="宋体" w:hAnsi="宋体" w:eastAsia="宋体" w:cs="宋体"/>
          <w:color w:val="auto"/>
          <w:sz w:val="24"/>
          <w:szCs w:val="24"/>
          <w:highlight w:val="none"/>
        </w:rPr>
        <w:t xml:space="preserve">。</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“投标人”系指响应招标、参加投标竞争的供应商。</w:t>
      </w:r>
      <w:r/>
    </w:p>
    <w:p>
      <w:pPr>
        <w:ind w:firstLine="480"/>
        <w:keepLines/>
        <w:keepNext/>
        <w:spacing w:line="440" w:lineRule="exact"/>
        <w:rPr>
          <w:rFonts w:hint="eastAsia" w:ascii="宋体" w:hAnsi="宋体" w:eastAsia="宋体" w:cs="宋体"/>
          <w:color w:val="auto"/>
          <w:sz w:val="24"/>
          <w:szCs w:val="24"/>
          <w:highlight w:val="none"/>
        </w:rPr>
      </w:pPr>
      <w:r/>
      <w:bookmarkStart w:id="61" w:name="_Toc20823277"/>
      <w:r/>
      <w:bookmarkStart w:id="62" w:name="_Toc513029205"/>
      <w:r/>
      <w:bookmarkStart w:id="63" w:name="_Toc16938521"/>
      <w:r>
        <w:rPr>
          <w:rFonts w:hint="eastAsia" w:ascii="宋体" w:hAnsi="宋体" w:eastAsia="宋体" w:cs="宋体"/>
          <w:color w:val="auto"/>
          <w:sz w:val="24"/>
          <w:szCs w:val="24"/>
          <w:highlight w:val="none"/>
        </w:rPr>
        <w:t xml:space="preserve">3、合格的投标人</w:t>
      </w:r>
      <w:bookmarkEnd w:id="61"/>
      <w:r/>
      <w:bookmarkEnd w:id="62"/>
      <w:r/>
      <w:bookmarkEnd w:id="63"/>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满足招标公告中供应商的资格要求的规定，详见《第一章 投标邀请》中投标人资格要求。</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满足本文件实质性要求和条件的规定。</w:t>
      </w:r>
      <w:r/>
    </w:p>
    <w:p>
      <w:pPr>
        <w:ind w:firstLine="480"/>
        <w:keepLines/>
        <w:keepNext/>
        <w:spacing w:line="440" w:lineRule="exact"/>
        <w:rPr>
          <w:rFonts w:hint="eastAsia" w:ascii="宋体" w:hAnsi="宋体" w:eastAsia="宋体" w:cs="宋体"/>
          <w:color w:val="auto"/>
          <w:sz w:val="24"/>
          <w:szCs w:val="24"/>
          <w:highlight w:val="none"/>
        </w:rPr>
      </w:pPr>
      <w:r/>
      <w:bookmarkStart w:id="64" w:name="_Toc513029207"/>
      <w:r/>
      <w:bookmarkStart w:id="65" w:name="_Toc20823279"/>
      <w:r/>
      <w:bookmarkStart w:id="66" w:name="_Toc462564067"/>
      <w:r/>
      <w:bookmarkStart w:id="67" w:name="_Toc16938523"/>
      <w:r>
        <w:rPr>
          <w:rFonts w:hint="eastAsia" w:ascii="宋体" w:hAnsi="宋体" w:eastAsia="宋体" w:cs="宋体"/>
          <w:color w:val="auto"/>
          <w:sz w:val="24"/>
          <w:szCs w:val="24"/>
          <w:highlight w:val="none"/>
        </w:rPr>
        <w:t xml:space="preserve">4、投标费用</w:t>
      </w:r>
      <w:bookmarkEnd w:id="64"/>
      <w:r/>
      <w:bookmarkEnd w:id="65"/>
      <w:r/>
      <w:bookmarkEnd w:id="66"/>
      <w:r/>
      <w:bookmarkEnd w:id="67"/>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无论投标过程中的做法和结果如何，投标人应自行承担所有与准备和参加投标有关的全部费用。</w:t>
      </w:r>
      <w:r/>
    </w:p>
    <w:p>
      <w:pPr>
        <w:ind w:firstLine="793"/>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 本次招标不收取采购文件工本费</w:t>
      </w:r>
      <w:r/>
    </w:p>
    <w:p>
      <w:pPr>
        <w:ind w:firstLine="793"/>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 采购代理服务费用：</w:t>
      </w:r>
      <w:r/>
    </w:p>
    <w:p>
      <w:pPr>
        <w:ind w:firstLine="79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本项目中标服务费由</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人支付，中标服务费</w:t>
      </w:r>
      <w:r>
        <w:rPr>
          <w:rFonts w:hint="eastAsia" w:ascii="宋体" w:hAnsi="宋体" w:eastAsia="宋体" w:cs="宋体"/>
          <w:b/>
          <w:bCs/>
          <w:color w:val="auto"/>
          <w:sz w:val="24"/>
          <w:szCs w:val="24"/>
          <w:highlight w:val="none"/>
          <w:lang w:val="en-US" w:eastAsia="zh-CN"/>
        </w:rPr>
        <w:t xml:space="preserve">金额¥18000.00元</w:t>
      </w:r>
      <w:r>
        <w:rPr>
          <w:rFonts w:hint="eastAsia" w:ascii="宋体" w:hAnsi="宋体" w:eastAsia="宋体" w:cs="宋体"/>
          <w:b/>
          <w:bCs/>
          <w:color w:val="auto"/>
          <w:sz w:val="24"/>
          <w:szCs w:val="24"/>
          <w:highlight w:val="none"/>
        </w:rPr>
        <w:t xml:space="preserve">（人民币</w:t>
      </w:r>
      <w:r>
        <w:rPr>
          <w:rFonts w:hint="eastAsia" w:ascii="宋体" w:hAnsi="宋体" w:eastAsia="宋体" w:cs="宋体"/>
          <w:b/>
          <w:bCs/>
          <w:color w:val="auto"/>
          <w:sz w:val="24"/>
          <w:szCs w:val="24"/>
          <w:highlight w:val="none"/>
          <w:lang w:val="en-US" w:eastAsia="zh-CN"/>
        </w:rPr>
        <w:t xml:space="preserve">壹万捌仟</w:t>
      </w:r>
      <w:r>
        <w:rPr>
          <w:rFonts w:hint="eastAsia" w:ascii="宋体" w:hAnsi="宋体" w:eastAsia="宋体" w:cs="宋体"/>
          <w:b/>
          <w:bCs/>
          <w:color w:val="auto"/>
          <w:sz w:val="24"/>
          <w:szCs w:val="24"/>
          <w:highlight w:val="none"/>
        </w:rPr>
        <w:t xml:space="preserve">元整）。</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562"/>
        <w:keepLines/>
        <w:keepNext/>
        <w:spacing w:line="440" w:lineRule="exact"/>
        <w:rPr>
          <w:rFonts w:hint="eastAsia" w:ascii="宋体" w:hAnsi="宋体" w:eastAsia="宋体" w:cs="宋体"/>
          <w:b/>
          <w:bCs/>
          <w:color w:val="auto"/>
          <w:sz w:val="28"/>
          <w:szCs w:val="28"/>
          <w:highlight w:val="none"/>
        </w:rPr>
      </w:pPr>
      <w:r/>
      <w:bookmarkStart w:id="68" w:name="_Toc20823281"/>
      <w:r/>
      <w:bookmarkStart w:id="69" w:name="_Toc16938525"/>
      <w:r/>
      <w:bookmarkStart w:id="70" w:name="_Toc120614215"/>
      <w:r/>
      <w:bookmarkStart w:id="71" w:name="_Toc513029209"/>
      <w:r>
        <w:rPr>
          <w:rFonts w:hint="eastAsia" w:ascii="宋体" w:hAnsi="宋体" w:eastAsia="宋体" w:cs="宋体"/>
          <w:b/>
          <w:bCs/>
          <w:color w:val="auto"/>
          <w:sz w:val="28"/>
          <w:szCs w:val="28"/>
          <w:highlight w:val="none"/>
        </w:rPr>
        <w:t xml:space="preserve">二、招标文件</w:t>
      </w:r>
      <w:bookmarkEnd w:id="68"/>
      <w:r/>
      <w:bookmarkEnd w:id="69"/>
      <w:r/>
      <w:bookmarkEnd w:id="70"/>
      <w:r/>
      <w:bookmarkEnd w:id="71"/>
      <w:r/>
      <w:r/>
    </w:p>
    <w:p>
      <w:pPr>
        <w:ind w:firstLine="480"/>
        <w:keepLines/>
        <w:keepNext/>
        <w:spacing w:line="440" w:lineRule="exact"/>
        <w:rPr>
          <w:rFonts w:hint="eastAsia" w:ascii="宋体" w:hAnsi="宋体" w:eastAsia="宋体" w:cs="宋体"/>
          <w:color w:val="auto"/>
          <w:sz w:val="24"/>
          <w:szCs w:val="24"/>
          <w:highlight w:val="none"/>
        </w:rPr>
      </w:pPr>
      <w:r/>
      <w:bookmarkStart w:id="72" w:name="_Toc20823282"/>
      <w:r/>
      <w:bookmarkStart w:id="73" w:name="_Toc513029210"/>
      <w:r/>
      <w:bookmarkStart w:id="74" w:name="_Toc16938526"/>
      <w:r>
        <w:rPr>
          <w:rFonts w:hint="eastAsia" w:ascii="宋体" w:hAnsi="宋体" w:eastAsia="宋体" w:cs="宋体"/>
          <w:color w:val="auto"/>
          <w:sz w:val="24"/>
          <w:szCs w:val="24"/>
          <w:highlight w:val="none"/>
        </w:rPr>
        <w:t xml:space="preserve">1、招标文件构成</w:t>
      </w:r>
      <w:bookmarkEnd w:id="72"/>
      <w:r/>
      <w:bookmarkEnd w:id="73"/>
      <w:r/>
      <w:bookmarkEnd w:id="74"/>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 招标文件由以下部分组成：</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hint="eastAsia" w:ascii="宋体" w:hAnsi="宋体" w:eastAsia="宋体" w:cs="宋体"/>
          <w:color w:val="auto"/>
          <w:sz w:val="24"/>
          <w:szCs w:val="24"/>
          <w:highlight w:val="none"/>
        </w:rPr>
      </w:pPr>
      <w:r/>
      <w:bookmarkStart w:id="75" w:name="_Toc462564070"/>
      <w:r/>
      <w:bookmarkStart w:id="76" w:name="_Toc513029211"/>
      <w:r/>
      <w:bookmarkStart w:id="77" w:name="_Toc16938527"/>
      <w:r/>
      <w:bookmarkStart w:id="78" w:name="_Toc20823283"/>
      <w:r>
        <w:rPr>
          <w:rFonts w:hint="eastAsia" w:ascii="宋体" w:hAnsi="宋体" w:eastAsia="宋体" w:cs="宋体"/>
          <w:color w:val="auto"/>
          <w:sz w:val="24"/>
          <w:szCs w:val="24"/>
          <w:highlight w:val="none"/>
        </w:rPr>
        <w:t xml:space="preserve">2、招标文件的澄清、修改</w:t>
      </w:r>
      <w:r/>
    </w:p>
    <w:p>
      <w:pPr>
        <w:ind w:firstLine="789"/>
        <w:spacing w:line="44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2.1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4"/>
          <w:highlight w:val="none"/>
        </w:rPr>
        <w:t xml:space="preserve">各投标人应在投标截止时间前关注政府采购信息发布媒体上“补充通知”栏，按规定获取相关信息内容，否则其投标风险由投标人承担。</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代理机构有权按照法定的要求顺延投标截止时间和开标时间。</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有关澄清或者修改的内容将作为招标文件的组成部分，对所有投标人具有约束力。</w:t>
      </w:r>
      <w:bookmarkEnd w:id="75"/>
      <w:bookmarkEnd w:id="76"/>
      <w:bookmarkEnd w:id="77"/>
      <w:bookmarkEnd w:id="78"/>
      <w:r/>
    </w:p>
    <w:p>
      <w:pPr>
        <w:ind w:firstLine="562"/>
        <w:keepLines/>
        <w:keepNext/>
        <w:spacing w:line="440" w:lineRule="exact"/>
        <w:rPr>
          <w:rFonts w:hint="eastAsia" w:ascii="宋体" w:hAnsi="宋体" w:eastAsia="宋体" w:cs="宋体"/>
          <w:b/>
          <w:bCs/>
          <w:color w:val="auto"/>
          <w:sz w:val="28"/>
          <w:szCs w:val="28"/>
          <w:highlight w:val="none"/>
        </w:rPr>
      </w:pPr>
      <w:r/>
      <w:bookmarkStart w:id="79" w:name="_Toc513029213"/>
      <w:r/>
      <w:bookmarkStart w:id="80" w:name="_Toc462564072"/>
      <w:r/>
      <w:bookmarkStart w:id="81" w:name="_Toc20823285"/>
      <w:r/>
      <w:bookmarkStart w:id="82" w:name="_Toc120614216"/>
      <w:r/>
      <w:bookmarkStart w:id="83" w:name="_Toc16938529"/>
      <w:r>
        <w:rPr>
          <w:rFonts w:hint="eastAsia" w:ascii="宋体" w:hAnsi="宋体" w:eastAsia="宋体" w:cs="宋体"/>
          <w:b/>
          <w:bCs/>
          <w:color w:val="auto"/>
          <w:sz w:val="28"/>
          <w:szCs w:val="28"/>
          <w:highlight w:val="none"/>
        </w:rPr>
        <w:t xml:space="preserve">三、投标文件的编制</w:t>
      </w:r>
      <w:bookmarkEnd w:id="79"/>
      <w:r/>
      <w:bookmarkEnd w:id="80"/>
      <w:r/>
      <w:bookmarkEnd w:id="81"/>
      <w:r/>
      <w:bookmarkEnd w:id="82"/>
      <w:r/>
      <w:bookmarkEnd w:id="83"/>
      <w:r/>
      <w:r/>
    </w:p>
    <w:p>
      <w:pPr>
        <w:ind w:firstLine="480"/>
        <w:keepLines/>
        <w:keepNext/>
        <w:spacing w:line="440" w:lineRule="exact"/>
        <w:rPr>
          <w:rFonts w:hint="eastAsia" w:ascii="宋体" w:hAnsi="宋体" w:eastAsia="宋体" w:cs="宋体"/>
          <w:b/>
          <w:color w:val="auto"/>
          <w:sz w:val="24"/>
          <w:szCs w:val="24"/>
          <w:highlight w:val="none"/>
        </w:rPr>
      </w:pPr>
      <w:r/>
      <w:bookmarkStart w:id="84" w:name="_Toc513029214"/>
      <w:r/>
      <w:bookmarkStart w:id="85" w:name="_Toc16938530"/>
      <w:r/>
      <w:bookmarkStart w:id="86" w:name="_Toc462564073"/>
      <w:r/>
      <w:bookmarkStart w:id="87" w:name="_Toc20823286"/>
      <w:r>
        <w:rPr>
          <w:rFonts w:hint="eastAsia" w:ascii="宋体" w:hAnsi="宋体" w:eastAsia="宋体" w:cs="宋体"/>
          <w:color w:val="auto"/>
          <w:sz w:val="24"/>
          <w:szCs w:val="24"/>
          <w:highlight w:val="none"/>
        </w:rPr>
        <w:t xml:space="preserve">1、投标文件的语言及度量衡单位</w:t>
      </w:r>
      <w:bookmarkEnd w:id="84"/>
      <w:r/>
      <w:bookmarkEnd w:id="85"/>
      <w:r/>
      <w:bookmarkEnd w:id="86"/>
      <w:r/>
      <w:bookmarkEnd w:id="87"/>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789"/>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1.2 除技术性能另有规定外，投标文件所使用的度量衡单位，均须采用国家法定计量单位。</w:t>
      </w:r>
      <w:r/>
    </w:p>
    <w:p>
      <w:pPr>
        <w:ind w:firstLine="480"/>
        <w:keepLines/>
        <w:keepNext/>
        <w:spacing w:line="440" w:lineRule="exact"/>
        <w:rPr>
          <w:rFonts w:hint="eastAsia" w:ascii="宋体" w:hAnsi="宋体" w:eastAsia="宋体" w:cs="宋体"/>
          <w:color w:val="auto"/>
          <w:sz w:val="24"/>
          <w:szCs w:val="24"/>
          <w:highlight w:val="none"/>
        </w:rPr>
      </w:pPr>
      <w:r/>
      <w:bookmarkStart w:id="88" w:name="_Toc513029215"/>
      <w:r/>
      <w:bookmarkStart w:id="89" w:name="_Toc20823287"/>
      <w:r/>
      <w:bookmarkStart w:id="90" w:name="_Toc462564074"/>
      <w:r/>
      <w:bookmarkStart w:id="91" w:name="_Toc16938531"/>
      <w:r>
        <w:rPr>
          <w:rFonts w:hint="eastAsia" w:ascii="宋体" w:hAnsi="宋体" w:eastAsia="宋体" w:cs="宋体"/>
          <w:color w:val="auto"/>
          <w:sz w:val="24"/>
          <w:szCs w:val="24"/>
          <w:highlight w:val="none"/>
        </w:rPr>
        <w:t xml:space="preserve">2、投标文件构成</w:t>
      </w:r>
      <w:bookmarkEnd w:id="88"/>
      <w:r/>
      <w:bookmarkEnd w:id="89"/>
      <w:r/>
      <w:bookmarkEnd w:id="90"/>
      <w:r/>
      <w:bookmarkEnd w:id="91"/>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如标书制作工具中格式和内容与指定媒体发布的招标文件不一致，请以指定媒体发布的招标文件为准。</w:t>
      </w:r>
      <w:r/>
    </w:p>
    <w:p>
      <w:pPr>
        <w:ind w:firstLine="480"/>
        <w:keepLines/>
        <w:keepNext/>
        <w:spacing w:line="440" w:lineRule="exact"/>
        <w:rPr>
          <w:rFonts w:hint="eastAsia" w:ascii="宋体" w:hAnsi="宋体" w:eastAsia="宋体" w:cs="宋体"/>
          <w:color w:val="auto"/>
          <w:sz w:val="24"/>
          <w:szCs w:val="24"/>
          <w:highlight w:val="none"/>
        </w:rPr>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bookmarkStart w:id="101" w:name="_Toc14577355"/>
      <w:r/>
      <w:bookmarkStart w:id="102" w:name="_Toc49090508"/>
      <w:r>
        <w:rPr>
          <w:rFonts w:hint="eastAsia" w:ascii="宋体" w:hAnsi="宋体" w:eastAsia="宋体" w:cs="宋体"/>
          <w:color w:val="auto"/>
          <w:sz w:val="24"/>
          <w:szCs w:val="24"/>
          <w:highlight w:val="none"/>
        </w:rPr>
        <w:t xml:space="preserve">3、证明投标人及投标标的符合招标文件规定的文件</w:t>
      </w:r>
      <w:bookmarkEnd w:id="95"/>
      <w:r/>
      <w:bookmarkEnd w:id="96"/>
      <w:r/>
      <w:bookmarkEnd w:id="97"/>
      <w:r/>
      <w:bookmarkEnd w:id="98"/>
      <w:bookmarkEnd w:id="99"/>
      <w:bookmarkEnd w:id="100"/>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投标人应按照招标文件要求提交证明文件，证明其及投标标的符合招标文件规定。</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3.2招标文件对证明文件无明确形式要求的，证明文件可以以文字资料、图纸和数据等形式提交。</w:t>
      </w:r>
      <w:bookmarkEnd w:id="101"/>
      <w:bookmarkEnd w:id="102"/>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4、投标函和开标一览表</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投标人应按照招标文件中提供的格式完整、正确填写投标函、开标一览表。</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5、报价明细表</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投标人应按照招标文件规定格式填报报价明细表。</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投标货币。投标文件中的单价和总价无特殊规定的采用人民币报价，以元为单位标注。招标文件中另有规定的按规定执行。</w:t>
      </w:r>
      <w:r/>
    </w:p>
    <w:p>
      <w:pPr>
        <w:ind w:firstLine="480"/>
        <w:keepLines/>
        <w:keepNext/>
        <w:spacing w:line="440" w:lineRule="exact"/>
        <w:rPr>
          <w:rFonts w:hint="eastAsia" w:ascii="宋体" w:hAnsi="宋体" w:eastAsia="宋体" w:cs="宋体"/>
          <w:color w:val="auto"/>
          <w:sz w:val="24"/>
          <w:szCs w:val="24"/>
          <w:highlight w:val="none"/>
        </w:rPr>
      </w:pPr>
      <w:r/>
      <w:bookmarkStart w:id="103" w:name="_Hlt26670486"/>
      <w:r/>
      <w:bookmarkEnd w:id="103"/>
      <w:r/>
      <w:bookmarkStart w:id="104" w:name="_Hlt26954846"/>
      <w:r/>
      <w:bookmarkEnd w:id="104"/>
      <w:r/>
      <w:bookmarkStart w:id="105" w:name="_Hlt26670482"/>
      <w:r/>
      <w:bookmarkEnd w:id="105"/>
      <w:r/>
      <w:bookmarkStart w:id="106" w:name="_Hlt26954731"/>
      <w:r/>
      <w:bookmarkEnd w:id="106"/>
      <w:r/>
      <w:bookmarkStart w:id="107" w:name="_Hlt26954848"/>
      <w:r/>
      <w:bookmarkEnd w:id="107"/>
      <w:r/>
      <w:bookmarkStart w:id="108" w:name="_Hlk155763835"/>
      <w:r>
        <w:rPr>
          <w:rFonts w:hint="eastAsia" w:ascii="宋体" w:hAnsi="宋体" w:eastAsia="宋体" w:cs="宋体"/>
          <w:color w:val="auto"/>
          <w:sz w:val="24"/>
          <w:szCs w:val="24"/>
          <w:highlight w:val="none"/>
        </w:rPr>
        <w:t xml:space="preserve">6、技术参数、商务要求响应及偏离表</w:t>
      </w:r>
      <w:r/>
    </w:p>
    <w:p>
      <w:pPr>
        <w:ind w:firstLine="789"/>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zh-CN"/>
        </w:rPr>
        <w:t xml:space="preserve"> 投标人需对招标文件中的技术参数与商务要求逐项作出响应或偏离，并说明原因。</w:t>
      </w:r>
      <w:r/>
    </w:p>
    <w:p>
      <w:pPr>
        <w:ind w:firstLine="789"/>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zh-CN"/>
        </w:rPr>
        <w:t xml:space="preserve"> 投标人需按照招标文件要求，在投标文件中提供与服务要求和商务要求相关的证明材料。</w:t>
      </w:r>
      <w:bookmarkEnd w:id="108"/>
      <w:r>
        <w:rPr>
          <w:rFonts w:hint="eastAsia" w:ascii="宋体" w:hAnsi="宋体" w:eastAsia="宋体" w:cs="宋体"/>
          <w:color w:val="auto"/>
          <w:sz w:val="24"/>
          <w:szCs w:val="24"/>
          <w:highlight w:val="none"/>
          <w:lang w:val="zh-CN"/>
        </w:rPr>
        <w:t xml:space="preserve">（如有）</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7、项目实施方案、项目组人员一览表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质量保证、业绩情况</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投标人需根据招标文件要求提供有关投标货物项目实施方案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质量保证等。</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投标人需根据招标文件要求提供实施的类似项目业绩情况。</w:t>
      </w:r>
      <w:bookmarkStart w:id="109" w:name="_Toc49090510"/>
      <w:r/>
      <w:bookmarkStart w:id="110" w:name="_Toc14577359"/>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End w:id="109"/>
      <w:r/>
      <w:bookmarkEnd w:id="110"/>
      <w:r/>
      <w:bookmarkStart w:id="111" w:name="_Toc49090511"/>
      <w:r/>
      <w:bookmarkStart w:id="112" w:name="_Toc14577360"/>
      <w:r>
        <w:rPr>
          <w:rFonts w:hint="eastAsia" w:ascii="宋体" w:hAnsi="宋体" w:eastAsia="宋体" w:cs="宋体"/>
          <w:color w:val="auto"/>
          <w:sz w:val="24"/>
          <w:szCs w:val="24"/>
          <w:highlight w:val="none"/>
        </w:rPr>
        <w:t xml:space="preserve">投标有效期</w:t>
      </w:r>
      <w:bookmarkEnd w:id="111"/>
      <w:r/>
      <w:bookmarkEnd w:id="112"/>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.1投标有效期为代理机构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、投标有效期的延长</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hint="eastAsia" w:ascii="宋体" w:hAnsi="宋体" w:eastAsia="宋体" w:cs="宋体"/>
          <w:b/>
          <w:bCs/>
          <w:color w:val="auto"/>
          <w:sz w:val="28"/>
          <w:szCs w:val="28"/>
          <w:highlight w:val="none"/>
        </w:rPr>
      </w:pPr>
      <w:r/>
      <w:bookmarkStart w:id="113" w:name="_Hlt26954739"/>
      <w:r/>
      <w:bookmarkEnd w:id="113"/>
      <w:r/>
      <w:bookmarkStart w:id="114" w:name="_Hlt26954852"/>
      <w:r/>
      <w:bookmarkEnd w:id="114"/>
      <w:r/>
      <w:bookmarkStart w:id="115" w:name="_Toc16938540"/>
      <w:r/>
      <w:bookmarkStart w:id="116" w:name="_Toc513029224"/>
      <w:r/>
      <w:bookmarkStart w:id="117" w:name="_Toc120614217"/>
      <w:r/>
      <w:bookmarkStart w:id="118" w:name="_Toc20823296"/>
      <w:r>
        <w:rPr>
          <w:rFonts w:hint="eastAsia" w:ascii="宋体" w:hAnsi="宋体" w:eastAsia="宋体" w:cs="宋体"/>
          <w:b/>
          <w:bCs/>
          <w:color w:val="auto"/>
          <w:sz w:val="28"/>
          <w:szCs w:val="28"/>
          <w:highlight w:val="none"/>
        </w:rPr>
        <w:t xml:space="preserve">四、投标文件的递交</w:t>
      </w:r>
      <w:bookmarkEnd w:id="115"/>
      <w:r/>
      <w:bookmarkEnd w:id="116"/>
      <w:r/>
      <w:bookmarkEnd w:id="117"/>
      <w:r/>
      <w:bookmarkEnd w:id="118"/>
      <w:r/>
      <w:r/>
    </w:p>
    <w:p>
      <w:pPr>
        <w:ind w:firstLine="480"/>
        <w:keepLines/>
        <w:keepNext/>
        <w:spacing w:line="440" w:lineRule="exact"/>
        <w:rPr>
          <w:rFonts w:hint="eastAsia" w:ascii="宋体" w:hAnsi="宋体" w:eastAsia="宋体" w:cs="宋体"/>
          <w:color w:val="auto"/>
          <w:sz w:val="24"/>
          <w:szCs w:val="24"/>
          <w:highlight w:val="none"/>
        </w:rPr>
      </w:pPr>
      <w:r/>
      <w:bookmarkStart w:id="119" w:name="_Toc20823297"/>
      <w:r/>
      <w:bookmarkStart w:id="120" w:name="_Toc462564084"/>
      <w:r/>
      <w:bookmarkStart w:id="121" w:name="_Toc16938541"/>
      <w:r/>
      <w:bookmarkStart w:id="122" w:name="_Toc513029225"/>
      <w:r>
        <w:rPr>
          <w:rFonts w:hint="eastAsia" w:ascii="宋体" w:hAnsi="宋体" w:eastAsia="宋体" w:cs="宋体"/>
          <w:color w:val="auto"/>
          <w:sz w:val="24"/>
          <w:szCs w:val="24"/>
          <w:highlight w:val="none"/>
        </w:rPr>
        <w:t xml:space="preserve">1、电子投标文件</w:t>
      </w:r>
      <w:bookmarkEnd w:id="119"/>
      <w:r/>
      <w:bookmarkEnd w:id="120"/>
      <w:r/>
      <w:bookmarkEnd w:id="121"/>
      <w:r/>
      <w:bookmarkEnd w:id="122"/>
      <w:r>
        <w:rPr>
          <w:rFonts w:hint="eastAsia" w:ascii="宋体" w:hAnsi="宋体" w:eastAsia="宋体" w:cs="宋体"/>
          <w:color w:val="auto"/>
          <w:sz w:val="24"/>
          <w:szCs w:val="24"/>
          <w:highlight w:val="none"/>
        </w:rPr>
        <w:t xml:space="preserve">的递交</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1.1投标人应当按照《苏采云系统供应商操作手册》规定，在投标截止时间前制作并上传电子投标文件。</w:t>
      </w:r>
      <w:bookmarkStart w:id="123" w:name="_Toc513029226"/>
      <w:r/>
      <w:bookmarkStart w:id="124" w:name="_Toc20823298"/>
      <w:r/>
      <w:bookmarkStart w:id="125" w:name="_Toc16938542"/>
      <w:r/>
      <w:r/>
    </w:p>
    <w:p>
      <w:pPr>
        <w:ind w:firstLine="480"/>
        <w:keepLines/>
        <w:keepNex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2、投标截止日期</w:t>
      </w:r>
      <w:bookmarkEnd w:id="123"/>
      <w:r/>
      <w:bookmarkEnd w:id="124"/>
      <w:r/>
      <w:bookmarkEnd w:id="125"/>
      <w:r/>
      <w:r/>
    </w:p>
    <w:p>
      <w:pPr>
        <w:ind w:firstLine="789"/>
        <w:spacing w:line="440" w:lineRule="exact"/>
        <w:rPr>
          <w:rFonts w:hint="eastAsia" w:ascii="宋体" w:hAnsi="宋体" w:eastAsia="宋体" w:cs="宋体"/>
          <w:bCs/>
          <w:iCs/>
          <w:color w:val="auto"/>
          <w:sz w:val="24"/>
          <w:szCs w:val="24"/>
          <w:highlight w:val="none"/>
          <w:u w:val="none"/>
        </w:rPr>
      </w:pPr>
      <w:r>
        <w:rPr>
          <w:rFonts w:hint="eastAsia" w:ascii="宋体" w:hAnsi="宋体" w:eastAsia="宋体" w:cs="宋体"/>
          <w:iCs/>
          <w:color w:val="auto"/>
          <w:sz w:val="24"/>
          <w:szCs w:val="24"/>
          <w:highlight w:val="none"/>
          <w:u w:val="none"/>
        </w:rPr>
        <w:t xml:space="preserve">2.1</w:t>
      </w:r>
      <w:r>
        <w:rPr>
          <w:rFonts w:hint="eastAsia" w:ascii="宋体" w:hAnsi="宋体" w:eastAsia="宋体" w:cs="宋体"/>
          <w:bCs/>
          <w:iCs/>
          <w:color w:val="auto"/>
          <w:sz w:val="24"/>
          <w:szCs w:val="24"/>
          <w:highlight w:val="none"/>
          <w:u w:val="none"/>
        </w:rPr>
        <w:t xml:space="preserve"> 投标人上传电子投标文件的时间不得迟于招标公告中规定的投标截止时间。</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hint="eastAsia" w:ascii="宋体" w:hAnsi="宋体" w:eastAsia="宋体" w:cs="宋体"/>
          <w:color w:val="auto"/>
          <w:sz w:val="24"/>
          <w:szCs w:val="24"/>
          <w:highlight w:val="none"/>
        </w:rPr>
      </w:pPr>
      <w:r/>
      <w:bookmarkStart w:id="126" w:name="_Toc20823299"/>
      <w:r/>
      <w:bookmarkStart w:id="127" w:name="_Toc16938543"/>
      <w:r/>
      <w:bookmarkStart w:id="128" w:name="_Toc513029227"/>
      <w:r>
        <w:rPr>
          <w:rFonts w:hint="eastAsia" w:ascii="宋体" w:hAnsi="宋体" w:eastAsia="宋体" w:cs="宋体"/>
          <w:color w:val="auto"/>
          <w:sz w:val="24"/>
          <w:szCs w:val="24"/>
          <w:highlight w:val="none"/>
        </w:rPr>
        <w:t xml:space="preserve">3、投标文件</w:t>
      </w:r>
      <w:bookmarkEnd w:id="126"/>
      <w:r/>
      <w:bookmarkEnd w:id="127"/>
      <w:r/>
      <w:bookmarkEnd w:id="128"/>
      <w:r>
        <w:rPr>
          <w:rFonts w:hint="eastAsia" w:ascii="宋体" w:hAnsi="宋体" w:eastAsia="宋体" w:cs="宋体"/>
          <w:color w:val="auto"/>
          <w:sz w:val="24"/>
          <w:szCs w:val="24"/>
          <w:highlight w:val="none"/>
        </w:rPr>
        <w:t xml:space="preserve">的拒收</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 代理机构拒绝接收在其规定的投标截止时间后上传的任何投标文件。</w:t>
      </w:r>
      <w:r/>
    </w:p>
    <w:p>
      <w:pPr>
        <w:ind w:firstLine="480"/>
        <w:keepLines/>
        <w:keepNext/>
        <w:spacing w:line="440" w:lineRule="exact"/>
        <w:rPr>
          <w:rFonts w:hint="eastAsia" w:ascii="宋体" w:hAnsi="宋体" w:eastAsia="宋体" w:cs="宋体"/>
          <w:color w:val="auto"/>
          <w:sz w:val="24"/>
          <w:szCs w:val="24"/>
          <w:highlight w:val="none"/>
        </w:rPr>
      </w:pPr>
      <w:r/>
      <w:bookmarkStart w:id="129" w:name="_Toc20823300"/>
      <w:r/>
      <w:bookmarkStart w:id="130" w:name="_Toc16938544"/>
      <w:r/>
      <w:bookmarkStart w:id="131" w:name="_Toc513029228"/>
      <w:r>
        <w:rPr>
          <w:rFonts w:hint="eastAsia" w:ascii="宋体" w:hAnsi="宋体" w:eastAsia="宋体" w:cs="宋体"/>
          <w:color w:val="auto"/>
          <w:sz w:val="24"/>
          <w:szCs w:val="24"/>
          <w:highlight w:val="none"/>
        </w:rPr>
        <w:t xml:space="preserve">4、投标文件的撤回和修改</w:t>
      </w:r>
      <w:bookmarkEnd w:id="129"/>
      <w:r/>
      <w:bookmarkEnd w:id="130"/>
      <w:r/>
      <w:bookmarkEnd w:id="131"/>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投标文件的撤回</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 电子投标文件的撤回</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投标人可在投标截止时间前，撤回其电子投标文件，具体操作方法见《苏采云系统供应商操作手册》。</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 投标人撤回电子投标文件，则认为其不再参与本项目投标活动。</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投标文件的修改</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4.2.1投标人可在投标截止时间前，对其电子投标文件进行修改，具体操作方法见《苏采云系统供应商操作手册》。</w:t>
      </w:r>
      <w:r/>
    </w:p>
    <w:p>
      <w:pPr>
        <w:ind w:firstLine="9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 在投标截止时间之后，投标人不得对其电子投标文件作任何修改。</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在投标截止时间至招标文件中规定的投标有效期满之间的这段时间内，投标人不得撤回其投标。</w:t>
      </w:r>
      <w:r/>
    </w:p>
    <w:p>
      <w:pPr>
        <w:ind w:firstLine="562"/>
        <w:keepLines/>
        <w:keepNext/>
        <w:spacing w:line="440" w:lineRule="exact"/>
        <w:rPr>
          <w:rFonts w:hint="eastAsia" w:ascii="宋体" w:hAnsi="宋体" w:eastAsia="宋体" w:cs="宋体"/>
          <w:b/>
          <w:bCs/>
          <w:color w:val="auto"/>
          <w:sz w:val="28"/>
          <w:szCs w:val="28"/>
          <w:highlight w:val="none"/>
        </w:rPr>
      </w:pPr>
      <w:r/>
      <w:bookmarkStart w:id="132" w:name="_Toc513029229"/>
      <w:r/>
      <w:bookmarkStart w:id="133" w:name="_Toc20823301"/>
      <w:r/>
      <w:bookmarkStart w:id="134" w:name="_Toc16938545"/>
      <w:r/>
      <w:bookmarkStart w:id="135" w:name="_Toc120614218"/>
      <w:r>
        <w:rPr>
          <w:rFonts w:hint="eastAsia" w:ascii="宋体" w:hAnsi="宋体" w:eastAsia="宋体" w:cs="宋体"/>
          <w:b/>
          <w:bCs/>
          <w:color w:val="auto"/>
          <w:sz w:val="28"/>
          <w:szCs w:val="28"/>
          <w:highlight w:val="none"/>
        </w:rPr>
        <w:t xml:space="preserve">五、开标与评标</w:t>
      </w:r>
      <w:bookmarkEnd w:id="132"/>
      <w:r/>
      <w:bookmarkEnd w:id="133"/>
      <w:r/>
      <w:bookmarkEnd w:id="134"/>
      <w:r/>
      <w:bookmarkEnd w:id="135"/>
      <w:r/>
      <w:r/>
    </w:p>
    <w:p>
      <w:pPr>
        <w:ind w:firstLine="480"/>
        <w:keepLines/>
        <w:keepNext/>
        <w:spacing w:line="440" w:lineRule="exact"/>
        <w:rPr>
          <w:rFonts w:hint="eastAsia" w:ascii="宋体" w:hAnsi="宋体" w:eastAsia="宋体" w:cs="宋体"/>
          <w:color w:val="auto"/>
          <w:sz w:val="24"/>
          <w:szCs w:val="24"/>
          <w:highlight w:val="none"/>
        </w:rPr>
      </w:pPr>
      <w:r/>
      <w:bookmarkStart w:id="136" w:name="_Toc20823302"/>
      <w:r/>
      <w:bookmarkStart w:id="137" w:name="_Toc513029230"/>
      <w:r/>
      <w:bookmarkStart w:id="138" w:name="_Toc16938546"/>
      <w:r>
        <w:rPr>
          <w:rFonts w:hint="eastAsia" w:ascii="宋体" w:hAnsi="宋体" w:eastAsia="宋体" w:cs="宋体"/>
          <w:color w:val="auto"/>
          <w:sz w:val="24"/>
          <w:szCs w:val="24"/>
          <w:highlight w:val="none"/>
        </w:rPr>
        <w:t xml:space="preserve">1、开标</w:t>
      </w:r>
      <w:bookmarkEnd w:id="136"/>
      <w:r/>
      <w:bookmarkEnd w:id="137"/>
      <w:r/>
      <w:bookmarkEnd w:id="138"/>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1.2开标仪式由代理机构组织。苏采云系统将自动对项目进行开标，并宣布各投标人名称和投标价格。</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1.3投标人在开标过程中涉及到的投标文件解密、开标结果确认等工作，应按照《苏采云系统供应商操作手册》规定执行。</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hint="eastAsia" w:ascii="宋体" w:hAnsi="宋体" w:eastAsia="宋体" w:cs="宋体"/>
          <w:color w:val="auto"/>
          <w:sz w:val="24"/>
          <w:szCs w:val="24"/>
          <w:highlight w:val="none"/>
        </w:rPr>
      </w:pPr>
      <w:r/>
      <w:bookmarkStart w:id="139" w:name="_Toc16938547"/>
      <w:r/>
      <w:bookmarkStart w:id="140" w:name="_Toc513029231"/>
      <w:r/>
      <w:bookmarkStart w:id="141" w:name="_Toc20823303"/>
      <w:r>
        <w:rPr>
          <w:rFonts w:hint="eastAsia" w:ascii="宋体" w:hAnsi="宋体" w:eastAsia="宋体" w:cs="宋体"/>
          <w:color w:val="auto"/>
          <w:sz w:val="24"/>
          <w:szCs w:val="24"/>
          <w:highlight w:val="none"/>
        </w:rPr>
        <w:t xml:space="preserve">2、评标委员会</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开标后，代理机构将立即组织评标委员会（以下简称评委会）进行评标。</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评委会由采购人代表和有关技术、经济等方面的专家组成，且人员构成符合政府采购有关规定。</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2.3评委会独立工作，负责评审所有投标文件并确定中标侯选人。</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3．评标过程的保密与公正</w:t>
      </w:r>
      <w:bookmarkEnd w:id="139"/>
      <w:bookmarkEnd w:id="140"/>
      <w:bookmarkEnd w:id="141"/>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bCs/>
          <w:color w:val="auto"/>
          <w:sz w:val="24"/>
          <w:szCs w:val="24"/>
          <w:highlight w:val="none"/>
        </w:rPr>
        <w:t xml:space="preserve">凡是与审查、澄清、评价和比较投标的有关资料以及授标建议等，采购人、评委、代理机构均不得向投标人或与评标无关的其他人员透露。</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3.2在评标过程中，投标人不得以任何行为影响评标过程，否则其投标文件将被作为无效投标文件。</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代理机构和评委会不向未中标的投标人解释未中标原因，也不公布评标过程中的相关细节。</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hint="eastAsia" w:ascii="宋体" w:hAnsi="宋体" w:eastAsia="宋体" w:cs="宋体"/>
          <w:color w:val="auto"/>
          <w:sz w:val="24"/>
          <w:szCs w:val="24"/>
          <w:highlight w:val="none"/>
        </w:rPr>
      </w:pPr>
      <w:r/>
      <w:bookmarkStart w:id="142" w:name="_Toc20823304"/>
      <w:r/>
      <w:bookmarkStart w:id="143" w:name="_Toc513029232"/>
      <w:r/>
      <w:bookmarkStart w:id="144" w:name="_Toc16938548"/>
      <w:r>
        <w:rPr>
          <w:rFonts w:hint="eastAsia" w:ascii="宋体" w:hAnsi="宋体" w:eastAsia="宋体" w:cs="宋体"/>
          <w:color w:val="auto"/>
          <w:sz w:val="24"/>
          <w:szCs w:val="24"/>
          <w:highlight w:val="none"/>
        </w:rPr>
        <w:t xml:space="preserve">4. 投标文件的澄清</w:t>
      </w:r>
      <w:bookmarkEnd w:id="142"/>
      <w:r/>
      <w:bookmarkEnd w:id="143"/>
      <w:r/>
      <w:bookmarkEnd w:id="144"/>
      <w:r/>
      <w:r/>
    </w:p>
    <w:p>
      <w:pPr>
        <w:ind w:firstLine="789"/>
        <w:spacing w:line="440" w:lineRule="exact"/>
        <w:rPr>
          <w:rFonts w:hint="eastAsia" w:ascii="宋体" w:hAnsi="宋体" w:eastAsia="宋体" w:cs="宋体"/>
          <w:color w:val="auto"/>
          <w:sz w:val="24"/>
          <w:szCs w:val="24"/>
          <w:highlight w:val="none"/>
        </w:rPr>
      </w:pPr>
      <w:r/>
      <w:bookmarkStart w:id="145" w:name="_Toc513029233"/>
      <w:r/>
      <w:bookmarkStart w:id="146" w:name="_Toc16938549"/>
      <w:r/>
      <w:bookmarkStart w:id="147" w:name="_Toc20823305"/>
      <w:r>
        <w:rPr>
          <w:rFonts w:hint="eastAsia" w:ascii="宋体" w:hAnsi="宋体" w:eastAsia="宋体" w:cs="宋体"/>
          <w:color w:val="auto"/>
          <w:sz w:val="24"/>
          <w:szCs w:val="24"/>
          <w:highlight w:val="none"/>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接到评委会澄清、说明和补正要求的投标人如未按规定做出澄清、说明和补正，其风险由投标人自行承担。</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对投标文件的初审</w:t>
      </w:r>
      <w:bookmarkEnd w:id="145"/>
      <w:r/>
      <w:bookmarkEnd w:id="146"/>
      <w:r/>
      <w:bookmarkEnd w:id="147"/>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bCs/>
          <w:color w:val="auto"/>
          <w:sz w:val="24"/>
          <w:szCs w:val="24"/>
          <w:highlight w:val="none"/>
        </w:rPr>
        <w:t xml:space="preserve">投标文件初审分为资格审查和符合性审查。</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采购人在进行资格性审查的同时，将在信用中国 （ https://www.creditchina.gov.cn/ ）查询投标人的信用记录，以确定投标人是否具备投标资格,查询结果留存并归档。</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 xml:space="preserve">评委决定投标文件的响应性只根据投标文件本身的内容，而不寻求外部的证据。</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w:t>
      </w:r>
      <w:r>
        <w:rPr>
          <w:rFonts w:hint="eastAsia" w:ascii="宋体" w:hAnsi="宋体" w:eastAsia="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96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789"/>
        <w:spacing w:line="440" w:lineRule="exact"/>
        <w:rPr>
          <w:rFonts w:hint="eastAsia" w:ascii="宋体" w:hAnsi="宋体" w:eastAsia="宋体" w:cs="宋体"/>
          <w:color w:val="auto"/>
          <w:sz w:val="24"/>
          <w:szCs w:val="24"/>
          <w:highlight w:val="none"/>
        </w:rPr>
      </w:pPr>
      <w:r/>
      <w:bookmarkStart w:id="148" w:name="_Toc20823306"/>
      <w:r/>
      <w:bookmarkStart w:id="149" w:name="_Toc513029234"/>
      <w:r/>
      <w:bookmarkStart w:id="150" w:name="_Toc16938550"/>
      <w:r>
        <w:rPr>
          <w:rFonts w:hint="eastAsia" w:ascii="宋体" w:hAnsi="宋体" w:eastAsia="宋体" w:cs="宋体"/>
          <w:color w:val="auto"/>
          <w:sz w:val="24"/>
          <w:szCs w:val="24"/>
          <w:highlight w:val="none"/>
        </w:rPr>
        <w:t xml:space="preserve">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5.7投标人在开、评标全过程中应保持通讯畅通，及时登录苏采云系统查阅、答复相关信息，并安排专人与代理机构及</w:t>
      </w:r>
      <w:r>
        <w:rPr>
          <w:rFonts w:hint="eastAsia" w:ascii="宋体" w:hAnsi="宋体" w:eastAsia="宋体" w:cs="宋体"/>
          <w:bCs/>
          <w:color w:val="auto"/>
          <w:sz w:val="24"/>
          <w:szCs w:val="24"/>
          <w:highlight w:val="none"/>
        </w:rPr>
        <w:t xml:space="preserve">评委会</w:t>
      </w:r>
      <w:r>
        <w:rPr>
          <w:rFonts w:hint="eastAsia" w:ascii="宋体" w:hAnsi="宋体" w:eastAsia="宋体" w:cs="宋体"/>
          <w:color w:val="auto"/>
          <w:sz w:val="24"/>
          <w:szCs w:val="24"/>
          <w:highlight w:val="none"/>
        </w:rPr>
        <w:t xml:space="preserve">联系。</w:t>
      </w:r>
      <w:r/>
    </w:p>
    <w:p>
      <w:pPr>
        <w:ind w:firstLine="480"/>
        <w:keepLines/>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bookmarkEnd w:id="148"/>
      <w:r/>
      <w:bookmarkEnd w:id="149"/>
      <w:r/>
      <w:bookmarkEnd w:id="150"/>
      <w:r>
        <w:rPr>
          <w:rFonts w:hint="eastAsia" w:ascii="宋体" w:hAnsi="宋体" w:eastAsia="宋体" w:cs="宋体"/>
          <w:color w:val="auto"/>
          <w:sz w:val="24"/>
          <w:szCs w:val="24"/>
          <w:highlight w:val="none"/>
        </w:rPr>
        <w:t xml:space="preserve">.无效投标条款和废标条款</w:t>
      </w:r>
      <w:r/>
    </w:p>
    <w:p>
      <w:pPr>
        <w:ind w:firstLine="789"/>
        <w:spacing w:line="440" w:lineRule="exact"/>
        <w:rPr>
          <w:rFonts w:hint="eastAsia" w:ascii="宋体" w:hAnsi="宋体" w:eastAsia="宋体" w:cs="宋体"/>
          <w:color w:val="auto"/>
          <w:sz w:val="24"/>
          <w:szCs w:val="24"/>
          <w:highlight w:val="none"/>
        </w:rPr>
      </w:pPr>
      <w:r/>
      <w:bookmarkStart w:id="151" w:name="_Toc513029235"/>
      <w:r/>
      <w:bookmarkStart w:id="152" w:name="_Toc20823307"/>
      <w:r/>
      <w:bookmarkStart w:id="153" w:name="_Toc16938551"/>
      <w:r>
        <w:rPr>
          <w:rFonts w:hint="eastAsia" w:ascii="宋体" w:hAnsi="宋体" w:eastAsia="宋体" w:cs="宋体"/>
          <w:color w:val="auto"/>
          <w:sz w:val="24"/>
          <w:szCs w:val="24"/>
          <w:highlight w:val="none"/>
        </w:rPr>
        <w:t xml:space="preserve">6.1无效投标条款</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 投标人在苏采云系统规定的时间内未成功解密电子投标文件的。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6.1.2 投标人未按照招标文件要求上传电子投标文件的。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6.1.3同一投标人提交两个（含两个）以上不同的投标报价的。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6.1.4投标人不具备招标文件中规定资格要求的。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6.1.5投标人的报价超过了采购预算或最高限价的。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6.1.6未通过符合性审查的。</w:t>
      </w:r>
      <w:r/>
    </w:p>
    <w:p>
      <w:pPr>
        <w:ind w:firstLine="1027"/>
        <w:spacing w:line="440" w:lineRule="exact"/>
        <w:rPr>
          <w:rFonts w:hint="eastAsia" w:ascii="宋体" w:hAnsi="宋体" w:eastAsia="宋体" w:cs="宋体"/>
          <w:iCs/>
          <w:color w:val="auto"/>
          <w:sz w:val="24"/>
          <w:szCs w:val="24"/>
          <w:highlight w:val="none"/>
        </w:rPr>
      </w:pPr>
      <w:r>
        <w:rPr>
          <w:rFonts w:hint="eastAsia" w:ascii="宋体" w:hAnsi="宋体" w:eastAsia="宋体" w:cs="宋体"/>
          <w:bCs/>
          <w:color w:val="auto"/>
          <w:sz w:val="24"/>
          <w:szCs w:val="24"/>
          <w:highlight w:val="none"/>
        </w:rPr>
        <w:t xml:space="preserve">6.1.7不符合招标文件中规定的实质性要求和条件的</w:t>
      </w:r>
      <w:r>
        <w:rPr>
          <w:rFonts w:hint="eastAsia" w:ascii="宋体" w:hAnsi="宋体" w:eastAsia="宋体" w:cs="宋体"/>
          <w:iCs/>
          <w:color w:val="auto"/>
          <w:sz w:val="24"/>
          <w:szCs w:val="24"/>
          <w:highlight w:val="none"/>
        </w:rPr>
        <w:t xml:space="preserve">。</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6.1.8 投标人在信用中国 （ https://www.creditchina.gov.cn/ ）等网站存在下列依法拒绝投标人参加政府采购的失信信息的。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（1）政府采购严重违法记录，即投标人被全国各级财政部门列入“政府采购严重违法失信行为记录名单”，且在处罚有效期内的。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6.1.9  投标文件含有采购人不能接受的附加条件的。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6.1.12 投标文件未按照招标文件要求加盖CA电子公章的。</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6.1.13其他法律、法规及本招标文件规定的属无效投标的情形。</w:t>
      </w:r>
      <w:r/>
    </w:p>
    <w:p>
      <w:pPr>
        <w:ind w:left="479"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6.2废标条款</w:t>
      </w:r>
      <w:r/>
    </w:p>
    <w:p>
      <w:pPr>
        <w:ind w:left="479"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6.2.1符合专业条件的供应商或者对招标文件作实质响应的供应商不足三家的。</w:t>
      </w:r>
      <w:r/>
    </w:p>
    <w:p>
      <w:pPr>
        <w:ind w:left="479"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6.2.2出现影响采购公正的违法、违规行为的。</w:t>
      </w:r>
      <w:r/>
    </w:p>
    <w:p>
      <w:pPr>
        <w:ind w:left="479"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6.2.3因重大变故，采购任务取消的。</w:t>
      </w:r>
      <w:r/>
    </w:p>
    <w:p>
      <w:pPr>
        <w:ind w:left="479"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6.2.4评标委员会认定招标文件存在歧义、重大缺陷导致评审工作无法进行。</w:t>
      </w:r>
      <w:r/>
    </w:p>
    <w:p>
      <w:pPr>
        <w:ind w:left="479"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系统故障原因造成开标不成功的。</w:t>
      </w:r>
      <w:r/>
    </w:p>
    <w:p>
      <w:pPr>
        <w:ind w:left="479"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 投标截止时间结束后参加投标的供应商不足三家的处理：</w:t>
      </w:r>
      <w:r/>
    </w:p>
    <w:p>
      <w:pPr>
        <w:ind w:firstLine="1027"/>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hint="eastAsia" w:ascii="宋体" w:hAnsi="宋体" w:eastAsia="宋体" w:cs="宋体"/>
          <w:b/>
          <w:bCs/>
          <w:color w:val="auto"/>
          <w:sz w:val="28"/>
          <w:szCs w:val="28"/>
          <w:highlight w:val="none"/>
        </w:rPr>
      </w:pPr>
      <w:r/>
      <w:bookmarkStart w:id="154" w:name="_Toc120614219"/>
      <w:r>
        <w:rPr>
          <w:rFonts w:hint="eastAsia" w:ascii="宋体" w:hAnsi="宋体" w:eastAsia="宋体" w:cs="宋体"/>
          <w:b/>
          <w:bCs/>
          <w:color w:val="auto"/>
          <w:sz w:val="28"/>
          <w:szCs w:val="28"/>
          <w:highlight w:val="none"/>
        </w:rPr>
        <w:t xml:space="preserve">六、</w:t>
      </w:r>
      <w:bookmarkEnd w:id="151"/>
      <w:r/>
      <w:bookmarkEnd w:id="152"/>
      <w:r/>
      <w:bookmarkEnd w:id="153"/>
      <w:r>
        <w:rPr>
          <w:rFonts w:hint="eastAsia" w:ascii="宋体" w:hAnsi="宋体" w:eastAsia="宋体" w:cs="宋体"/>
          <w:b/>
          <w:bCs/>
          <w:color w:val="auto"/>
          <w:sz w:val="28"/>
          <w:szCs w:val="28"/>
          <w:highlight w:val="none"/>
        </w:rPr>
        <w:t xml:space="preserve">定标</w:t>
      </w:r>
      <w:bookmarkEnd w:id="154"/>
      <w:r/>
      <w:r/>
    </w:p>
    <w:p>
      <w:pPr>
        <w:ind w:firstLine="480"/>
        <w:keepLines/>
        <w:keepNext/>
        <w:spacing w:line="440" w:lineRule="exact"/>
        <w:rPr>
          <w:rFonts w:hint="eastAsia" w:ascii="宋体" w:hAnsi="宋体" w:eastAsia="宋体" w:cs="宋体"/>
          <w:bCs/>
          <w:color w:val="auto"/>
          <w:sz w:val="24"/>
          <w:szCs w:val="24"/>
          <w:highlight w:val="none"/>
        </w:rPr>
      </w:pPr>
      <w:r/>
      <w:bookmarkStart w:id="155" w:name="_Toc513029238"/>
      <w:r/>
      <w:bookmarkStart w:id="156" w:name="_Toc20823310"/>
      <w:r/>
      <w:bookmarkStart w:id="157" w:name="_Toc16938554"/>
      <w:r>
        <w:rPr>
          <w:rFonts w:hint="eastAsia" w:ascii="宋体" w:hAnsi="宋体" w:eastAsia="宋体" w:cs="宋体"/>
          <w:bCs/>
          <w:color w:val="auto"/>
          <w:sz w:val="24"/>
          <w:szCs w:val="24"/>
          <w:highlight w:val="none"/>
        </w:rPr>
        <w:t xml:space="preserve">1、</w:t>
      </w:r>
      <w:bookmarkEnd w:id="155"/>
      <w:r>
        <w:rPr>
          <w:rFonts w:hint="eastAsia" w:ascii="宋体" w:hAnsi="宋体" w:eastAsia="宋体" w:cs="宋体"/>
          <w:bCs/>
          <w:color w:val="auto"/>
          <w:sz w:val="24"/>
          <w:szCs w:val="24"/>
          <w:highlight w:val="none"/>
        </w:rPr>
        <w:t xml:space="preserve">确定</w:t>
      </w:r>
      <w:bookmarkEnd w:id="156"/>
      <w:r/>
      <w:bookmarkEnd w:id="157"/>
      <w:r>
        <w:rPr>
          <w:rFonts w:hint="eastAsia" w:ascii="宋体" w:hAnsi="宋体" w:eastAsia="宋体" w:cs="宋体"/>
          <w:bCs/>
          <w:color w:val="auto"/>
          <w:sz w:val="24"/>
          <w:szCs w:val="24"/>
          <w:highlight w:val="none"/>
        </w:rPr>
        <w:t xml:space="preserve">中标单位</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1.1中标候选人的选取原则和数量见招标文件第五章规定。 </w:t>
      </w:r>
      <w:r/>
    </w:p>
    <w:p>
      <w:pPr>
        <w:ind w:firstLine="78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采购人应根据评委会推荐的中标候选人确定中标人。</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 </w:t>
      </w:r>
      <w:r>
        <w:rPr>
          <w:rFonts w:hint="eastAsia" w:ascii="宋体" w:hAnsi="宋体" w:eastAsia="宋体" w:cs="宋体"/>
          <w:color w:val="auto"/>
          <w:sz w:val="24"/>
          <w:szCs w:val="24"/>
          <w:highlight w:val="none"/>
        </w:rPr>
        <w:t xml:space="preserve">代理机构将在指定媒体上发布中标公告，公告期限为1个工作日。</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若有充分证据证明，中标人出现下列情况之一的，一经查实，将被取消中标资格：</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1.4.1提供虚假材料谋取中标的。</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1.4.2向采购人、代理机构行贿或者提供其他不正当利益的。</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1.4.3属于本文件规定的无效条件，但在评标过程中又未被评委会发现的。</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1.4.4与采购人或者其他供应商恶意串通的。</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1.4.5采取不正当手段诋毁、排挤其他供应商的。</w:t>
      </w:r>
      <w:r/>
    </w:p>
    <w:p>
      <w:pPr>
        <w:ind w:firstLine="789"/>
        <w:spacing w:line="440" w:lineRule="exact"/>
        <w:rPr>
          <w:rFonts w:hint="eastAsia" w:ascii="宋体" w:hAnsi="宋体" w:eastAsia="宋体" w:cs="宋体"/>
          <w:color w:val="auto"/>
          <w:sz w:val="24"/>
          <w:szCs w:val="24"/>
          <w:highlight w:val="none"/>
        </w:rPr>
      </w:pPr>
      <w:r/>
      <w:bookmarkStart w:id="158" w:name="_Toc200451960"/>
      <w:r>
        <w:rPr>
          <w:rFonts w:hint="eastAsia" w:ascii="宋体" w:hAnsi="宋体" w:eastAsia="宋体" w:cs="宋体"/>
          <w:color w:val="auto"/>
          <w:sz w:val="24"/>
          <w:szCs w:val="24"/>
          <w:highlight w:val="none"/>
        </w:rPr>
        <w:t xml:space="preserve">1.5. 有下列情形之一的，视为投标人串通投标，投标无效：</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1.5.1不同投标人的投标文件由同一单位或者个人编制；</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1.5.2不同投标人委托同一单位或者个人办理投标事宜；</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不同投标人的投标文件载明的项目管理成员或者联系人员为同一人；</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1.5.4不同投标人的投标文件异常一致或者投标报价呈规律性差异；</w:t>
      </w:r>
      <w:r/>
    </w:p>
    <w:p>
      <w:pPr>
        <w:ind w:firstLine="480"/>
        <w:keepLines/>
        <w:keepNex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bookmarkEnd w:id="158"/>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eastAsia="宋体" w:cs="宋体"/>
          <w:color w:val="auto"/>
          <w:sz w:val="24"/>
          <w:szCs w:val="24"/>
          <w:highlight w:val="none"/>
        </w:rPr>
        <w:t xml:space="preserve">获取采购文件后打印留存的《投标供应商确认函》等</w:t>
      </w:r>
      <w:bookmarkEnd w:id="159"/>
      <w:r>
        <w:rPr>
          <w:rFonts w:hint="eastAsia" w:ascii="宋体" w:hAnsi="宋体" w:eastAsia="宋体" w:cs="宋体"/>
          <w:color w:val="auto"/>
          <w:sz w:val="24"/>
          <w:szCs w:val="24"/>
          <w:highlight w:val="none"/>
        </w:rPr>
        <w:t xml:space="preserve">必要的证明材料与质疑函一起递交，否则不予受理。</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2.2.1对可以质疑的采购文件提出质疑的，为收到采购文件之日或者采购文件公告期限届满之日；</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2.2.2对采购过程提出质疑的，为各采购程序环节结束之日；</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2.2.3对中标或者成交结果提出质疑的，为中标或者成交结果公告期限届满之日。</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2.4代理机构只接收以纸质原件形式送达的质疑</w:t>
      </w:r>
      <w:r>
        <w:rPr>
          <w:rFonts w:hint="eastAsia" w:ascii="宋体" w:hAnsi="宋体" w:eastAsia="宋体" w:cs="宋体"/>
          <w:b/>
          <w:bCs/>
          <w:color w:val="auto"/>
          <w:sz w:val="24"/>
          <w:szCs w:val="24"/>
          <w:highlight w:val="none"/>
        </w:rPr>
        <w:t xml:space="preserve">（采购人和代理机构不接受未填写快递运单的快件），</w:t>
      </w:r>
      <w:r>
        <w:rPr>
          <w:rFonts w:hint="eastAsia" w:ascii="宋体" w:hAnsi="宋体" w:eastAsia="宋体" w:cs="宋体"/>
          <w:color w:val="auto"/>
          <w:sz w:val="24"/>
          <w:highlight w:val="none"/>
        </w:rPr>
        <w:t xml:space="preserve">质疑接收单位为</w:t>
      </w:r>
      <w:r>
        <w:rPr>
          <w:rFonts w:hint="eastAsia" w:ascii="宋体" w:hAnsi="宋体" w:eastAsia="宋体" w:cs="宋体"/>
          <w:color w:val="auto"/>
          <w:sz w:val="24"/>
          <w:highlight w:val="none"/>
          <w:lang w:eastAsia="zh-CN"/>
        </w:rPr>
        <w:t xml:space="preserve">苏州信达顺工程建设咨询有限公司。联系地址、</w:t>
      </w:r>
      <w:r>
        <w:rPr>
          <w:rFonts w:hint="eastAsia" w:ascii="宋体" w:hAnsi="宋体" w:eastAsia="宋体" w:cs="宋体"/>
          <w:color w:val="auto"/>
          <w:sz w:val="24"/>
          <w:highlight w:val="none"/>
        </w:rPr>
        <w:t xml:space="preserve">质疑接收人及联系方式见招标文件“第一章 投标邀请”。潜在投标人提出书面质疑必须有理、有据，不得捏造事实、提供虚假材料进行恶意质疑。否则，一经查实，将报请监管部门对该供应商进行相应的处罚。</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以下情形的质疑不予受理</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内容不符合《政府采购质疑和投诉办法》第十二条规定的质疑。</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超出政府采购法定期限的质疑。</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以传真、电子邮件等方式递交的非原件形式的质疑。</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未参加投标活动的供应商或在投标活动中自身权益未受到损害的供应商所提出的质疑。</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2.5.5供应商组成联合体参加投标，联合体中任何一方或多方未按要求签字、盖章、加盖公章的质疑。</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3、中标通知书</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hint="eastAsia" w:ascii="宋体" w:hAnsi="宋体" w:eastAsia="宋体" w:cs="宋体"/>
          <w:b/>
          <w:bCs/>
          <w:color w:val="auto"/>
          <w:sz w:val="28"/>
          <w:szCs w:val="28"/>
          <w:highlight w:val="none"/>
        </w:rPr>
      </w:pPr>
      <w:r/>
      <w:bookmarkStart w:id="160" w:name="_Toc120614220"/>
      <w:r/>
      <w:bookmarkStart w:id="161" w:name="_Toc16938552"/>
      <w:r/>
      <w:bookmarkStart w:id="162" w:name="_Toc20823308"/>
      <w:r/>
      <w:bookmarkStart w:id="163" w:name="_Toc513029236"/>
      <w:r>
        <w:rPr>
          <w:rFonts w:hint="eastAsia" w:ascii="宋体" w:hAnsi="宋体" w:eastAsia="宋体" w:cs="宋体"/>
          <w:b/>
          <w:bCs/>
          <w:color w:val="auto"/>
          <w:sz w:val="28"/>
          <w:szCs w:val="28"/>
          <w:highlight w:val="none"/>
        </w:rPr>
        <w:t xml:space="preserve">七、授予合同</w:t>
      </w:r>
      <w:bookmarkEnd w:id="160"/>
      <w:r/>
      <w:bookmarkEnd w:id="161"/>
      <w:bookmarkEnd w:id="162"/>
      <w:bookmarkEnd w:id="163"/>
      <w:r/>
    </w:p>
    <w:p>
      <w:pPr>
        <w:ind w:firstLine="480"/>
        <w:keepLines/>
        <w:keepNext/>
        <w:spacing w:line="440" w:lineRule="exact"/>
        <w:rPr>
          <w:rFonts w:hint="eastAsia" w:ascii="宋体" w:hAnsi="宋体" w:eastAsia="宋体" w:cs="宋体"/>
          <w:bCs/>
          <w:color w:val="auto"/>
          <w:sz w:val="24"/>
          <w:szCs w:val="24"/>
          <w:highlight w:val="none"/>
        </w:rPr>
      </w:pPr>
      <w:r/>
      <w:bookmarkStart w:id="164" w:name="_Toc513029237"/>
      <w:r/>
      <w:bookmarkStart w:id="165" w:name="_Toc16938553"/>
      <w:r/>
      <w:bookmarkStart w:id="166" w:name="_Toc20823309"/>
      <w:r>
        <w:rPr>
          <w:rFonts w:hint="eastAsia" w:ascii="宋体" w:hAnsi="宋体" w:eastAsia="宋体" w:cs="宋体"/>
          <w:bCs/>
          <w:color w:val="auto"/>
          <w:sz w:val="24"/>
          <w:szCs w:val="24"/>
          <w:highlight w:val="none"/>
        </w:rPr>
        <w:t xml:space="preserve">1、签订合同</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1.l中标人应当在中标通知书发出之日起三十日内，按照招标文件确定的事项与采购人签订政府采购合同。</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7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签订合同后，</w:t>
      </w:r>
      <w:r>
        <w:rPr>
          <w:rFonts w:hint="eastAsia" w:ascii="宋体" w:hAnsi="宋体" w:eastAsia="宋体" w:cs="宋体"/>
          <w:iCs/>
          <w:color w:val="auto"/>
          <w:sz w:val="24"/>
          <w:szCs w:val="24"/>
          <w:highlight w:val="non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2、服务（包含与项目有关的服务）的追加</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64"/>
      <w:bookmarkEnd w:id="165"/>
      <w:bookmarkEnd w:id="166"/>
      <w:r/>
    </w:p>
    <w:p>
      <w:pPr>
        <w:ind w:firstLine="480"/>
        <w:keepLines/>
        <w:keepNext/>
        <w:spacing w:line="440" w:lineRule="exact"/>
        <w:rPr>
          <w:rFonts w:hint="eastAsia" w:ascii="宋体" w:hAnsi="宋体" w:eastAsia="宋体" w:cs="宋体"/>
          <w:bCs/>
          <w:color w:val="auto"/>
          <w:sz w:val="24"/>
          <w:szCs w:val="24"/>
          <w:highlight w:val="none"/>
        </w:rPr>
      </w:pPr>
      <w:r/>
      <w:bookmarkStart w:id="167" w:name="_Toc16938558"/>
      <w:r/>
      <w:bookmarkStart w:id="168" w:name="_Toc20823314"/>
      <w:r/>
      <w:bookmarkStart w:id="169" w:name="_Toc479757207"/>
      <w:r/>
      <w:bookmarkStart w:id="170" w:name="_Toc513029242"/>
      <w:r/>
      <w:bookmarkStart w:id="171" w:name="_Toc120614221"/>
      <w:r>
        <w:rPr>
          <w:rFonts w:hint="eastAsia" w:ascii="宋体" w:hAnsi="宋体" w:eastAsia="宋体" w:cs="宋体"/>
          <w:bCs/>
          <w:color w:val="auto"/>
          <w:sz w:val="24"/>
          <w:szCs w:val="24"/>
          <w:highlight w:val="none"/>
        </w:rPr>
        <w:t xml:space="preserve">3、政府采购信用融资政策</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中标供应商可凭政府采购合同办理融资贷款，详情请见苏州市政府采购网“政府采购合同信用融资”专栏。</w:t>
      </w:r>
      <w:r/>
    </w:p>
    <w:p>
      <w:pPr>
        <w:ind w:firstLine="480"/>
        <w:keepLines/>
        <w:keepNex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4、合同公示</w:t>
      </w:r>
      <w:r/>
    </w:p>
    <w:p>
      <w:pPr>
        <w:ind w:firstLine="102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4.1采购合同将在签订之日起2个工作日内在指定媒体公示，涉及国家秘密、商业秘密的内容除外。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880"/>
        <w:jc w:val="center"/>
        <w:keepNext/>
        <w:rPr>
          <w:rFonts w:hint="eastAsia" w:ascii="宋体" w:hAnsi="宋体" w:eastAsia="宋体" w:cs="宋体"/>
          <w:b/>
          <w:bCs/>
          <w:color w:val="auto"/>
          <w:sz w:val="40"/>
          <w:szCs w:val="40"/>
          <w:highlight w:val="none"/>
        </w:rPr>
        <w:outlineLvl w:val="0"/>
      </w:pPr>
      <w:r/>
      <w:bookmarkStart w:id="172" w:name="_Toc21317"/>
      <w:r>
        <w:rPr>
          <w:rFonts w:hint="eastAsia" w:ascii="宋体" w:hAnsi="宋体" w:eastAsia="宋体" w:cs="宋体"/>
          <w:b/>
          <w:bCs/>
          <w:color w:val="auto"/>
          <w:sz w:val="40"/>
          <w:szCs w:val="40"/>
          <w:highlight w:val="none"/>
        </w:rPr>
        <w:t xml:space="preserve">第三章  合同</w:t>
      </w:r>
      <w:bookmarkEnd w:id="167"/>
      <w:r/>
      <w:bookmarkEnd w:id="168"/>
      <w:r/>
      <w:bookmarkEnd w:id="169"/>
      <w:r/>
      <w:bookmarkEnd w:id="170"/>
      <w:r/>
      <w:bookmarkEnd w:id="171"/>
      <w:r>
        <w:rPr>
          <w:rFonts w:hint="eastAsia" w:ascii="宋体" w:hAnsi="宋体" w:eastAsia="宋体" w:cs="宋体"/>
          <w:b/>
          <w:bCs/>
          <w:color w:val="auto"/>
          <w:sz w:val="40"/>
          <w:szCs w:val="40"/>
          <w:highlight w:val="none"/>
        </w:rPr>
        <w:t xml:space="preserve">文本</w:t>
      </w:r>
      <w:bookmarkEnd w:id="172"/>
      <w:r/>
      <w:r/>
    </w:p>
    <w:p>
      <w:pPr>
        <w:ind w:right="105" w:firstLine="6720"/>
        <w:spacing w:before="240"/>
        <w:rPr>
          <w:rFonts w:hint="eastAsia" w:ascii="宋体" w:hAnsi="宋体" w:eastAsia="宋体" w:cs="宋体"/>
          <w:b/>
          <w:bCs/>
          <w:color w:val="auto"/>
          <w:sz w:val="72"/>
          <w:szCs w:val="72"/>
          <w:highlight w:val="none"/>
        </w:rPr>
      </w:pPr>
      <w:r/>
      <w:bookmarkStart w:id="173" w:name="_Hlt16619369"/>
      <w:r/>
      <w:bookmarkEnd w:id="173"/>
      <w:r/>
      <w:bookmarkStart w:id="174" w:name="_Hlt16619350"/>
      <w:r/>
      <w:bookmarkStart w:id="175" w:name="_Toc16938590"/>
      <w:r/>
      <w:bookmarkStart w:id="176" w:name="_Toc120614244"/>
      <w:r/>
      <w:bookmarkStart w:id="177" w:name="_Toc20823346"/>
      <w:r/>
      <w:bookmarkStart w:id="178" w:name="_Toc479757211"/>
      <w:r/>
      <w:bookmarkStart w:id="179" w:name="_Toc462564139"/>
      <w:r>
        <w:rPr>
          <w:rFonts w:hint="eastAsia" w:ascii="宋体" w:hAnsi="宋体" w:eastAsia="宋体" w:cs="宋体"/>
          <w:color w:val="auto"/>
          <w:sz w:val="24"/>
          <w:szCs w:val="24"/>
          <w:highlight w:val="none"/>
        </w:rPr>
        <w:t xml:space="preserve">合同编号：</w:t>
      </w:r>
      <w:r/>
    </w:p>
    <w:p>
      <w:pPr>
        <w:ind w:right="105" w:firstLine="2530"/>
        <w:spacing w:before="240"/>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right="105"/>
        <w:jc w:val="center"/>
        <w:spacing w:before="240"/>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政府采购合同</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200"/>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合同书</w:t>
      </w:r>
      <w:r/>
    </w:p>
    <w:p>
      <w:pPr>
        <w:spacing w:before="120" w:after="160" w:line="22"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before="120" w:after="160" w:line="22" w:lineRule="atLeast"/>
        <w:widowControl/>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eastAsia="宋体" w:cs="宋体"/>
          <w:color w:val="auto"/>
          <w:sz w:val="36"/>
          <w:szCs w:val="36"/>
          <w:highlight w:val="none"/>
          <w:u w:val="single"/>
          <w:lang w:eastAsia="zh-CN"/>
        </w:rPr>
        <w:t xml:space="preserve">常熟第二人民医院医用氧采购项目</w:t>
      </w:r>
      <w:r/>
    </w:p>
    <w:p>
      <w:pPr>
        <w:ind w:firstLine="1807"/>
        <w:spacing w:before="120" w:after="160" w:line="22" w:lineRule="atLeast"/>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color w:val="auto"/>
          <w:sz w:val="36"/>
          <w:szCs w:val="36"/>
          <w:highlight w:val="none"/>
          <w:u w:val="single"/>
          <w:lang w:eastAsia="zh-CN"/>
        </w:rPr>
        <w:t xml:space="preserve">JSZC-320581-SZDS-G2026-0008</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left="960" w:firstLine="840"/>
        <w:spacing w:before="12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960" w:firstLine="840"/>
        <w:spacing w:before="12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960" w:firstLine="840"/>
        <w:spacing w:before="12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960" w:firstLine="840"/>
        <w:spacing w:before="120" w:line="48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  购  人）：</w:t>
      </w:r>
      <w:r>
        <w:rPr>
          <w:rFonts w:hint="eastAsia" w:ascii="宋体" w:hAnsi="宋体" w:eastAsia="宋体" w:cs="宋体"/>
          <w:bCs/>
          <w:color w:val="auto"/>
          <w:sz w:val="24"/>
          <w:szCs w:val="24"/>
          <w:highlight w:val="none"/>
          <w:u w:val="single"/>
        </w:rPr>
        <w:t xml:space="preserve">                                   </w:t>
      </w:r>
      <w:r/>
    </w:p>
    <w:p>
      <w:pPr>
        <w:ind w:left="960" w:firstLine="840"/>
        <w:spacing w:before="120" w:line="48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  标  人）：</w:t>
      </w:r>
      <w:r>
        <w:rPr>
          <w:rFonts w:hint="eastAsia" w:ascii="宋体" w:hAnsi="宋体" w:eastAsia="宋体" w:cs="宋体"/>
          <w:bCs/>
          <w:color w:val="auto"/>
          <w:sz w:val="24"/>
          <w:szCs w:val="24"/>
          <w:highlight w:val="none"/>
          <w:u w:val="single"/>
        </w:rPr>
        <w:t xml:space="preserve">                                   </w:t>
      </w:r>
      <w:r/>
    </w:p>
    <w:p>
      <w:pPr>
        <w:ind w:left="960" w:firstLine="840"/>
        <w:spacing w:before="120" w:line="48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信用融资回款账户：</w:t>
      </w:r>
      <w:r>
        <w:rPr>
          <w:rFonts w:hint="eastAsia" w:ascii="宋体" w:hAnsi="宋体" w:eastAsia="宋体" w:cs="宋体"/>
          <w:bCs/>
          <w:color w:val="auto"/>
          <w:sz w:val="24"/>
          <w:szCs w:val="24"/>
          <w:highlight w:val="none"/>
          <w:u w:val="single"/>
        </w:rPr>
        <w:t xml:space="preserve">                                   </w:t>
      </w:r>
      <w:r/>
    </w:p>
    <w:p>
      <w:pPr>
        <w:ind w:left="960" w:firstLine="840"/>
        <w:spacing w:before="12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rPr>
          <w:rFonts w:hint="eastAsia" w:ascii="宋体" w:hAnsi="宋体" w:eastAsia="宋体" w:cs="宋体"/>
          <w:bCs/>
          <w:color w:val="auto"/>
          <w:sz w:val="24"/>
          <w:szCs w:val="24"/>
          <w:highlight w:val="none"/>
          <w:u w:val="single"/>
        </w:rPr>
        <w:t xml:space="preserve">                                   </w:t>
      </w:r>
      <w:r/>
    </w:p>
    <w:p>
      <w:pPr>
        <w:ind w:firstLine="1800"/>
        <w:spacing w:before="120" w:line="48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签 订 地：</w:t>
      </w:r>
      <w:r>
        <w:rPr>
          <w:rFonts w:hint="eastAsia" w:ascii="宋体" w:hAnsi="宋体" w:eastAsia="宋体" w:cs="宋体"/>
          <w:bCs/>
          <w:color w:val="auto"/>
          <w:sz w:val="24"/>
          <w:szCs w:val="24"/>
          <w:highlight w:val="none"/>
          <w:u w:val="single"/>
        </w:rPr>
        <w:t xml:space="preserve">            常熟市                </w:t>
      </w:r>
      <w:r/>
    </w:p>
    <w:p>
      <w:pPr>
        <w:ind w:firstLine="1800"/>
        <w:spacing w:before="120" w:line="48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br w:type="page" w:clear="all"/>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 xml:space="preserve">项目进行了采购。经</w:t>
      </w:r>
      <w:r>
        <w:rPr>
          <w:rFonts w:hint="eastAsia" w:ascii="宋体" w:hAnsi="宋体" w:eastAsia="宋体" w:cs="宋体"/>
          <w:color w:val="auto"/>
          <w:sz w:val="24"/>
          <w:szCs w:val="24"/>
          <w:highlight w:val="none"/>
          <w:u w:val="single"/>
        </w:rPr>
        <w:t xml:space="preserve">评标委员会</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 xml:space="preserve">为该项目中标人。现于中标通知书发出之日起三十日内，按照采购文件确定的事项签订本合同。</w:t>
      </w:r>
      <w:r/>
    </w:p>
    <w:p>
      <w:pPr>
        <w:ind w:firstLine="480"/>
        <w:spacing w:line="440" w:lineRule="exact"/>
        <w:rPr>
          <w:rFonts w:hint="eastAsia" w:ascii="宋体" w:hAnsi="宋体" w:eastAsia="宋体" w:cs="宋体"/>
          <w:color w:val="auto"/>
          <w:sz w:val="24"/>
          <w:szCs w:val="24"/>
          <w:highlight w:val="none"/>
        </w:rPr>
      </w:pPr>
      <w:r/>
      <w:bookmarkStart w:id="180" w:name="_Hlk63008672"/>
      <w:r/>
      <w:bookmarkStart w:id="181" w:name="_Hlk63008690"/>
      <w:r>
        <w:rPr>
          <w:rFonts w:hint="eastAsia" w:ascii="宋体" w:hAnsi="宋体" w:eastAsia="宋体" w:cs="宋体"/>
          <w:color w:val="auto"/>
          <w:sz w:val="24"/>
          <w:szCs w:val="24"/>
          <w:highlight w:val="none"/>
        </w:rPr>
        <w:t xml:space="preserve">根据《中华人民共和国政府采购法》及其实施条例、《中华人民共和国民法典》</w:t>
      </w:r>
      <w:bookmarkEnd w:id="180"/>
      <w:r>
        <w:rPr>
          <w:rFonts w:hint="eastAsia" w:ascii="宋体" w:hAnsi="宋体" w:eastAsia="宋体" w:cs="宋体"/>
          <w:color w:val="auto"/>
          <w:sz w:val="24"/>
          <w:szCs w:val="24"/>
          <w:highlight w:val="none"/>
        </w:rPr>
        <w:t xml:space="preserve">等法律法规的规定</w:t>
      </w:r>
      <w:bookmarkEnd w:id="181"/>
      <w:r>
        <w:rPr>
          <w:rFonts w:hint="eastAsia" w:ascii="宋体" w:hAnsi="宋体" w:eastAsia="宋体" w:cs="宋体"/>
          <w:color w:val="auto"/>
          <w:sz w:val="24"/>
          <w:szCs w:val="24"/>
          <w:highlight w:val="none"/>
          <w:lang w:val="zh-CN"/>
        </w:rPr>
        <w:t xml:space="preserve">，按照平等、自愿、公平和诚实信用的原则，经</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eastAsia="zh-CN"/>
        </w:rPr>
        <w:t xml:space="preserve">常熟市第二人民医院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 xml:space="preserve">（以下简称：乙方）协商一致，约定以下合同</w:t>
      </w:r>
      <w:r>
        <w:rPr>
          <w:rFonts w:hint="eastAsia" w:ascii="宋体" w:hAnsi="宋体" w:eastAsia="宋体" w:cs="宋体"/>
          <w:color w:val="auto"/>
          <w:sz w:val="24"/>
          <w:szCs w:val="24"/>
          <w:highlight w:val="none"/>
        </w:rPr>
        <w:t xml:space="preserve">条款，以兹共同遵守、全面履行。</w:t>
      </w:r>
      <w:r/>
    </w:p>
    <w:p>
      <w:pPr>
        <w:spacing w:line="440" w:lineRule="exact"/>
        <w:rPr>
          <w:rFonts w:hint="eastAsia" w:ascii="宋体" w:hAnsi="宋体" w:eastAsia="宋体" w:cs="宋体"/>
          <w:color w:val="auto"/>
          <w:sz w:val="24"/>
          <w:szCs w:val="24"/>
          <w:highlight w:val="none"/>
        </w:rPr>
      </w:pPr>
      <w:r/>
      <w:bookmarkStart w:id="182" w:name="_Toc28855"/>
      <w:r/>
      <w:bookmarkStart w:id="183" w:name="_Toc19273"/>
      <w:r/>
      <w:bookmarkStart w:id="184" w:name="_Toc20421"/>
      <w:r/>
      <w:bookmarkStart w:id="185" w:name="_Toc22967"/>
      <w:r/>
      <w:bookmarkStart w:id="186" w:name="_Toc15367"/>
      <w:r>
        <w:rPr>
          <w:rFonts w:hint="eastAsia" w:ascii="宋体" w:hAnsi="宋体" w:eastAsia="宋体" w:cs="宋体"/>
          <w:b/>
          <w:color w:val="auto"/>
          <w:sz w:val="24"/>
          <w:szCs w:val="24"/>
          <w:highlight w:val="none"/>
        </w:rPr>
        <w:t xml:space="preserve">1.1 合同组成部分</w:t>
      </w:r>
      <w:bookmarkEnd w:id="182"/>
      <w:r/>
      <w:bookmarkEnd w:id="183"/>
      <w:r/>
      <w:bookmarkEnd w:id="184"/>
      <w:r/>
      <w:bookmarkEnd w:id="185"/>
      <w:r/>
      <w:bookmarkEnd w:id="18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bookmarkStart w:id="187" w:name="_Toc6773"/>
      <w:r/>
      <w:bookmarkStart w:id="188" w:name="_Toc2918"/>
      <w:r/>
      <w:bookmarkStart w:id="189" w:name="_Toc6311"/>
      <w:r/>
      <w:bookmarkStart w:id="190" w:name="_Toc22185"/>
      <w:r/>
      <w:bookmarkStart w:id="191" w:name="_Toc18585"/>
      <w:r>
        <w:rPr>
          <w:rFonts w:hint="eastAsia" w:ascii="宋体" w:hAnsi="宋体" w:eastAsia="宋体" w:cs="宋体"/>
          <w:b/>
          <w:color w:val="auto"/>
          <w:sz w:val="24"/>
          <w:szCs w:val="24"/>
          <w:highlight w:val="none"/>
        </w:rPr>
        <w:t xml:space="preserve">1.2 </w:t>
      </w:r>
      <w:bookmarkEnd w:id="187"/>
      <w:r/>
      <w:bookmarkEnd w:id="188"/>
      <w:r/>
      <w:bookmarkEnd w:id="189"/>
      <w:r/>
      <w:bookmarkEnd w:id="190"/>
      <w:r/>
      <w:bookmarkEnd w:id="191"/>
      <w:r/>
      <w:bookmarkStart w:id="192" w:name="_Toc14993"/>
      <w:r/>
      <w:bookmarkStart w:id="193" w:name="_Toc30158"/>
      <w:r/>
      <w:bookmarkStart w:id="194" w:name="_Toc26916"/>
      <w:r/>
      <w:bookmarkStart w:id="195" w:name="_Toc3654"/>
      <w:r/>
      <w:bookmarkStart w:id="196" w:name="_Toc30506"/>
      <w:r>
        <w:rPr>
          <w:rFonts w:hint="eastAsia" w:ascii="宋体" w:hAnsi="宋体" w:eastAsia="宋体" w:cs="宋体"/>
          <w:color w:val="auto"/>
          <w:sz w:val="24"/>
          <w:szCs w:val="22"/>
          <w:highlight w:val="none"/>
        </w:rPr>
        <w:t xml:space="preserve">本合同项下</w:t>
      </w:r>
      <w:r>
        <w:rPr>
          <w:rFonts w:hint="eastAsia" w:ascii="宋体" w:hAnsi="宋体" w:eastAsia="宋体" w:cs="宋体"/>
          <w:color w:val="auto"/>
          <w:sz w:val="24"/>
          <w:szCs w:val="22"/>
          <w:highlight w:val="none"/>
          <w:lang w:eastAsia="zh-CN"/>
        </w:rPr>
        <w:t xml:space="preserve">中标</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2"/>
          <w:highlight w:val="none"/>
        </w:rPr>
        <w:t xml:space="preserve">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none"/>
          <w:lang w:eastAsia="zh-CN"/>
        </w:rPr>
        <w:t xml:space="preserve">。</w:t>
      </w:r>
      <w:r/>
    </w:p>
    <w:p>
      <w:pPr>
        <w:ind w:firstLine="523"/>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eastAsia="zh-CN"/>
        </w:rPr>
        <w:t xml:space="preserve">本合同的中标单价（合同单价）</w:t>
      </w:r>
      <w:r>
        <w:rPr>
          <w:rFonts w:hint="eastAsia" w:ascii="宋体" w:hAnsi="宋体" w:eastAsia="宋体" w:cs="宋体"/>
          <w:color w:val="auto"/>
          <w:sz w:val="24"/>
          <w:szCs w:val="24"/>
          <w:highlight w:val="none"/>
          <w:lang w:val="en-US" w:eastAsia="zh-CN"/>
        </w:rPr>
        <w:t xml:space="preserve">为对应单价最高限价乘以（1-中标优惠率），</w:t>
      </w:r>
      <w:r>
        <w:rPr>
          <w:rFonts w:hint="eastAsia" w:ascii="宋体" w:hAnsi="宋体" w:eastAsia="宋体" w:cs="宋体"/>
          <w:color w:val="auto"/>
          <w:sz w:val="24"/>
          <w:szCs w:val="24"/>
          <w:highlight w:val="none"/>
        </w:rPr>
        <w:t xml:space="preserve">本合同执行期间</w:t>
      </w:r>
      <w:r>
        <w:rPr>
          <w:rFonts w:hint="eastAsia" w:ascii="宋体" w:hAnsi="宋体" w:eastAsia="宋体" w:cs="宋体"/>
          <w:color w:val="auto"/>
          <w:sz w:val="24"/>
          <w:szCs w:val="24"/>
          <w:highlight w:val="none"/>
          <w:lang w:eastAsia="zh-CN"/>
        </w:rPr>
        <w:t xml:space="preserve">中标单价（</w:t>
      </w:r>
      <w:r>
        <w:rPr>
          <w:rFonts w:hint="eastAsia" w:ascii="宋体" w:hAnsi="宋体" w:eastAsia="宋体" w:cs="宋体"/>
          <w:color w:val="auto"/>
          <w:sz w:val="24"/>
          <w:szCs w:val="24"/>
          <w:highlight w:val="none"/>
        </w:rPr>
        <w:t xml:space="preserve">合同单价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不变。</w:t>
      </w:r>
      <w:r>
        <w:rPr>
          <w:rFonts w:hint="eastAsia" w:ascii="宋体" w:hAnsi="宋体" w:eastAsia="宋体" w:cs="宋体"/>
          <w:color w:val="auto"/>
          <w:sz w:val="24"/>
          <w:szCs w:val="24"/>
          <w:highlight w:val="none"/>
          <w:lang w:val="en-US" w:eastAsia="zh-CN"/>
        </w:rPr>
        <w:t xml:space="preserve">详见下表</w:t>
      </w:r>
      <w:r>
        <w:rPr>
          <w:rFonts w:hint="eastAsia" w:ascii="宋体" w:hAnsi="宋体" w:eastAsia="宋体" w:cs="宋体"/>
          <w:color w:val="auto"/>
          <w:sz w:val="24"/>
          <w:szCs w:val="24"/>
          <w:highlight w:val="none"/>
        </w:rPr>
        <w:t xml:space="preserve">：</w:t>
      </w:r>
      <w:r/>
    </w:p>
    <w:tbl>
      <w:tblPr>
        <w:tblStyle w:val="785"/>
        <w:tblW w:w="6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512"/>
        <w:gridCol w:w="2207"/>
      </w:tblGrid>
      <w:tr>
        <w:trPr>
          <w:jc w:val="center"/>
          <w:trHeight w:val="501"/>
        </w:trPr>
        <w:tc>
          <w:tcPr>
            <w:tcW w:w="1086"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3512"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货物名称</w:t>
            </w:r>
            <w:r/>
          </w:p>
        </w:tc>
        <w:tc>
          <w:tcPr>
            <w:tcW w:w="2207"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气体中标单价</w:t>
            </w:r>
            <w:r/>
          </w:p>
        </w:tc>
      </w:tr>
      <w:tr>
        <w:trPr>
          <w:jc w:val="center"/>
          <w:trHeight w:val="460"/>
        </w:trPr>
        <w:tc>
          <w:tcPr>
            <w:tcW w:w="108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512"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医用液氧</w:t>
            </w:r>
            <w:r/>
          </w:p>
        </w:tc>
        <w:tc>
          <w:tcPr>
            <w:tcW w:w="220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元/吨</w:t>
            </w:r>
            <w:r/>
          </w:p>
        </w:tc>
      </w:tr>
      <w:tr>
        <w:trPr>
          <w:jc w:val="center"/>
          <w:trHeight w:val="470"/>
        </w:trPr>
        <w:tc>
          <w:tcPr>
            <w:tcW w:w="108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512"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40L医用氧</w:t>
            </w:r>
            <w:r/>
          </w:p>
        </w:tc>
        <w:tc>
          <w:tcPr>
            <w:tcW w:w="220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元/瓶</w:t>
            </w:r>
            <w:r/>
          </w:p>
        </w:tc>
      </w:tr>
      <w:tr>
        <w:trPr>
          <w:jc w:val="center"/>
          <w:trHeight w:val="462"/>
        </w:trPr>
        <w:tc>
          <w:tcPr>
            <w:tcW w:w="108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3512"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10L医用氧</w:t>
            </w:r>
            <w:r/>
          </w:p>
        </w:tc>
        <w:tc>
          <w:tcPr>
            <w:tcW w:w="220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元/瓶</w:t>
            </w:r>
            <w:r/>
          </w:p>
        </w:tc>
      </w:tr>
      <w:tr>
        <w:trPr>
          <w:jc w:val="center"/>
          <w:trHeight w:val="436"/>
        </w:trPr>
        <w:tc>
          <w:tcPr>
            <w:tcW w:w="108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512"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4L医用氧（组合瓶）</w:t>
            </w:r>
            <w:r/>
          </w:p>
        </w:tc>
        <w:tc>
          <w:tcPr>
            <w:tcW w:w="220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元/瓶</w:t>
            </w:r>
            <w:r/>
          </w:p>
        </w:tc>
      </w:tr>
    </w:tbl>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 付款方式和发票开具方式</w:t>
      </w:r>
      <w:bookmarkEnd w:id="192"/>
      <w:r/>
      <w:bookmarkEnd w:id="193"/>
      <w:r/>
      <w:bookmarkEnd w:id="194"/>
      <w:r/>
      <w:bookmarkEnd w:id="195"/>
      <w:r/>
      <w:bookmarkEnd w:id="19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1.3.1本合同项下所有款项均以人民币支付。</w:t>
      </w:r>
      <w:r/>
    </w:p>
    <w:p>
      <w:pPr>
        <w:ind w:firstLine="7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付款方式：</w:t>
      </w:r>
      <w:r/>
    </w:p>
    <w:p>
      <w:pPr>
        <w:ind w:firstLine="72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1.3.2.1结算方式：当月气体实际供货费用为各类气体实际供货数量乘以该气体对应中标单价</w:t>
      </w:r>
      <w:r>
        <w:rPr>
          <w:rFonts w:hint="eastAsia" w:ascii="宋体" w:hAnsi="宋体" w:eastAsia="宋体" w:cs="宋体"/>
          <w:color w:val="auto"/>
          <w:sz w:val="24"/>
          <w:szCs w:val="24"/>
          <w:highlight w:val="none"/>
          <w:lang w:eastAsia="zh-CN"/>
        </w:rPr>
        <w:t xml:space="preserve">；</w:t>
      </w:r>
      <w:r/>
    </w:p>
    <w:p>
      <w:pPr>
        <w:ind w:firstLine="72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1.3.2.2付款方式：甲方按月度核算实际货款，在月后的三个月内向乙方支付当月实际货款。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发票开具方式：</w:t>
      </w:r>
      <w:r>
        <w:rPr>
          <w:rFonts w:hint="eastAsia" w:ascii="宋体" w:hAnsi="宋体" w:eastAsia="宋体" w:cs="宋体"/>
          <w:color w:val="auto"/>
          <w:sz w:val="24"/>
          <w:szCs w:val="24"/>
          <w:highlight w:val="none"/>
          <w:u w:val="single"/>
        </w:rPr>
        <w:t xml:space="preserve"> 增值税专用发票或增值税普通发票（具体以甲方要求为准）   </w:t>
      </w:r>
      <w:r>
        <w:rPr>
          <w:rFonts w:hint="eastAsia" w:ascii="宋体" w:hAnsi="宋体" w:eastAsia="宋体" w:cs="宋体"/>
          <w:color w:val="auto"/>
          <w:sz w:val="24"/>
          <w:szCs w:val="24"/>
          <w:highlight w:val="none"/>
        </w:rPr>
        <w:t xml:space="preserve">。</w:t>
      </w:r>
      <w:bookmarkStart w:id="197" w:name="_Toc19304"/>
      <w:r/>
      <w:bookmarkStart w:id="198" w:name="_Toc32071"/>
      <w:r/>
      <w:bookmarkStart w:id="199" w:name="_Toc2846"/>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注：（1）付款前，中标人提供符合采购人要求的同等金额的合法有效发票。否则，采购人有权顺延付款时间，且不承担任何违约及赔偿责任。（2）本项目支付方式支持数字人民币方式。</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交</w:t>
      </w:r>
      <w:r>
        <w:rPr>
          <w:rFonts w:hint="eastAsia" w:ascii="宋体" w:hAnsi="宋体" w:eastAsia="宋体" w:cs="宋体"/>
          <w:b/>
          <w:color w:val="auto"/>
          <w:sz w:val="24"/>
          <w:szCs w:val="24"/>
          <w:highlight w:val="none"/>
          <w:lang w:val="en-US" w:eastAsia="zh-CN"/>
        </w:rPr>
        <w:t xml:space="preserve">付</w:t>
      </w:r>
      <w:r>
        <w:rPr>
          <w:rFonts w:hint="eastAsia" w:ascii="宋体" w:hAnsi="宋体" w:eastAsia="宋体" w:cs="宋体"/>
          <w:b/>
          <w:color w:val="auto"/>
          <w:sz w:val="24"/>
          <w:szCs w:val="24"/>
          <w:highlight w:val="none"/>
        </w:rPr>
        <w:t xml:space="preserve">时间</w:t>
      </w:r>
      <w:r>
        <w:rPr>
          <w:rFonts w:hint="eastAsia" w:ascii="宋体" w:hAnsi="宋体" w:eastAsia="宋体" w:cs="宋体"/>
          <w:b/>
          <w:color w:val="auto"/>
          <w:sz w:val="24"/>
          <w:szCs w:val="24"/>
          <w:highlight w:val="none"/>
          <w:lang w:val="en-US" w:eastAsia="zh-CN"/>
        </w:rPr>
        <w:t xml:space="preserve">及交付</w:t>
      </w:r>
      <w:r>
        <w:rPr>
          <w:rFonts w:hint="eastAsia" w:ascii="宋体" w:hAnsi="宋体" w:eastAsia="宋体" w:cs="宋体"/>
          <w:b/>
          <w:color w:val="auto"/>
          <w:sz w:val="24"/>
          <w:szCs w:val="24"/>
          <w:highlight w:val="none"/>
        </w:rPr>
        <w:t xml:space="preserve">地点</w:t>
      </w:r>
      <w:bookmarkEnd w:id="197"/>
      <w:r/>
      <w:bookmarkEnd w:id="198"/>
      <w:r/>
      <w:bookmarkEnd w:id="199"/>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val="en-US" w:eastAsia="zh-CN"/>
        </w:rPr>
        <w:t xml:space="preserve">服务期限：自合同签订之日起2年。</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1.4.2供货期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甲方提出供货需求起2个自然日内。</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在供货期内，乙方按甲方要求按时分批将货物配送至甲方指定地点。</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交付地点：</w:t>
      </w:r>
      <w:r>
        <w:rPr>
          <w:rFonts w:hint="eastAsia" w:ascii="宋体" w:hAnsi="宋体" w:eastAsia="宋体" w:cs="宋体"/>
          <w:color w:val="auto"/>
          <w:sz w:val="24"/>
          <w:szCs w:val="24"/>
          <w:highlight w:val="none"/>
          <w:lang w:val="en-US" w:eastAsia="zh-CN"/>
        </w:rPr>
        <w:t xml:space="preserve">常</w:t>
      </w:r>
      <w:r>
        <w:rPr>
          <w:rFonts w:hint="eastAsia" w:ascii="宋体" w:hAnsi="宋体" w:eastAsia="宋体" w:cs="宋体"/>
          <w:color w:val="auto"/>
          <w:sz w:val="24"/>
          <w:szCs w:val="22"/>
          <w:highlight w:val="none"/>
          <w:lang w:val="en-US" w:eastAsia="zh-CN"/>
        </w:rPr>
        <w:t xml:space="preserve">熟市第二人民医院（一院二区：常熟市台山路18号、常熟市海虞南路68号。</w:t>
      </w:r>
      <w:r/>
    </w:p>
    <w:p>
      <w:pPr>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w:t>
      </w:r>
      <w:r>
        <w:rPr>
          <w:rFonts w:hint="eastAsia" w:ascii="宋体" w:hAnsi="宋体" w:eastAsia="宋体" w:cs="宋体"/>
          <w:b/>
          <w:bCs/>
          <w:color w:val="auto"/>
          <w:sz w:val="24"/>
          <w:highlight w:val="none"/>
        </w:rPr>
        <w:t xml:space="preserve">双方权利和义务</w:t>
      </w:r>
      <w:r/>
    </w:p>
    <w:p>
      <w:pPr>
        <w:ind w:firstLine="482"/>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1.5.1甲方权利义务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（1）负责提供场地和有关</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的安装位置；</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）配合乙方做好有关的辅助性事务；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）对乙方的工作进行监督管理。</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）配合乙方协调。</w:t>
      </w:r>
      <w:r/>
    </w:p>
    <w:p>
      <w:pPr>
        <w:ind w:firstLine="482"/>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1.5.2乙方权利义务</w:t>
      </w:r>
      <w:r/>
    </w:p>
    <w:p>
      <w:pPr>
        <w:ind w:firstLine="480"/>
        <w:spacing w:line="440" w:lineRule="exact"/>
        <w:rPr>
          <w:rFonts w:hint="eastAsia" w:ascii="宋体" w:hAnsi="宋体" w:eastAsia="宋体" w:cs="宋体"/>
          <w:color w:val="auto"/>
          <w:sz w:val="24"/>
          <w:highlight w:val="none"/>
        </w:rPr>
      </w:pPr>
      <w:r/>
      <w:bookmarkStart w:id="200" w:name="_Toc21423"/>
      <w:r/>
      <w:bookmarkStart w:id="201" w:name="_Toc27250"/>
      <w:r/>
      <w:bookmarkStart w:id="202" w:name="_Toc19554"/>
      <w:r>
        <w:rPr>
          <w:rFonts w:hint="eastAsia" w:ascii="宋体" w:hAnsi="宋体" w:eastAsia="宋体" w:cs="宋体"/>
          <w:color w:val="auto"/>
          <w:sz w:val="24"/>
          <w:highlight w:val="none"/>
        </w:rPr>
        <w:t xml:space="preserve">（1）负责货物运抵指定地点后的搬运及看护保管；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）负责现场</w:t>
      </w:r>
      <w:r>
        <w:rPr>
          <w:rFonts w:hint="eastAsia" w:ascii="宋体" w:hAnsi="宋体" w:eastAsia="宋体" w:cs="宋体"/>
          <w:color w:val="auto"/>
          <w:sz w:val="24"/>
          <w:highlight w:val="none"/>
          <w:lang w:val="en-US" w:eastAsia="zh-CN"/>
        </w:rPr>
        <w:t xml:space="preserve">工作</w:t>
      </w:r>
      <w:r>
        <w:rPr>
          <w:rFonts w:hint="eastAsia" w:ascii="宋体" w:hAnsi="宋体" w:eastAsia="宋体" w:cs="宋体"/>
          <w:color w:val="auto"/>
          <w:sz w:val="24"/>
          <w:highlight w:val="none"/>
        </w:rPr>
        <w:t xml:space="preserve">人员的保险和一切安全责任；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）负责质量的自检验收，配合甲方完成验收工作及项目的移交；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）负责</w:t>
      </w:r>
      <w:r>
        <w:rPr>
          <w:rFonts w:hint="eastAsia" w:ascii="宋体" w:hAnsi="宋体" w:eastAsia="宋体" w:cs="宋体"/>
          <w:color w:val="auto"/>
          <w:sz w:val="24"/>
          <w:highlight w:val="none"/>
          <w:lang w:val="en-US" w:eastAsia="zh-CN"/>
        </w:rPr>
        <w:t xml:space="preserve">供货</w:t>
      </w:r>
      <w:r>
        <w:rPr>
          <w:rFonts w:hint="eastAsia" w:ascii="宋体" w:hAnsi="宋体" w:eastAsia="宋体" w:cs="宋体"/>
          <w:color w:val="auto"/>
          <w:sz w:val="24"/>
          <w:highlight w:val="none"/>
        </w:rPr>
        <w:t xml:space="preserve">期间由于乙方过错所造成的一切损失。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）对甲方人员进行免费培训。</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违约责任</w:t>
      </w:r>
      <w:bookmarkEnd w:id="200"/>
      <w:r/>
      <w:bookmarkEnd w:id="201"/>
      <w:r/>
      <w:bookmarkEnd w:id="202"/>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highlight w:val="none"/>
          <w:u w:val="single"/>
        </w:rPr>
        <w:t xml:space="preserve">0.5%</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spacing w:line="440" w:lineRule="exact"/>
        <w:rPr>
          <w:rFonts w:hint="eastAsia" w:ascii="宋体" w:hAnsi="宋体" w:eastAsia="宋体" w:cs="宋体"/>
          <w:b/>
          <w:color w:val="auto"/>
          <w:sz w:val="24"/>
          <w:highlight w:val="none"/>
        </w:rPr>
      </w:pPr>
      <w:r/>
      <w:bookmarkStart w:id="203" w:name="_Toc9497"/>
      <w:r/>
      <w:bookmarkStart w:id="204" w:name="_Toc18683"/>
      <w:r/>
      <w:bookmarkStart w:id="205" w:name="_Toc26807"/>
      <w:r/>
      <w:bookmarkStart w:id="206" w:name="_Toc30329"/>
      <w:r/>
      <w:bookmarkStart w:id="207" w:name="_Toc32454"/>
      <w:r>
        <w:rPr>
          <w:rFonts w:hint="eastAsia" w:ascii="宋体" w:hAnsi="宋体" w:eastAsia="宋体" w:cs="宋体"/>
          <w:b/>
          <w:color w:val="auto"/>
          <w:sz w:val="24"/>
          <w:highlight w:val="none"/>
        </w:rPr>
        <w:t xml:space="preserve">1.7 合同争议的解决</w:t>
      </w:r>
      <w:bookmarkEnd w:id="203"/>
      <w:r/>
      <w:bookmarkEnd w:id="204"/>
      <w:r/>
      <w:bookmarkEnd w:id="205"/>
      <w:r/>
      <w:bookmarkEnd w:id="206"/>
      <w:r/>
      <w:bookmarkEnd w:id="207"/>
      <w:r/>
      <w:r/>
    </w:p>
    <w:p>
      <w:pPr>
        <w:ind w:firstLine="480"/>
        <w:spacing w:line="440" w:lineRule="exact"/>
        <w:rPr>
          <w:rFonts w:hint="eastAsia" w:ascii="宋体" w:hAnsi="宋体" w:eastAsia="宋体" w:cs="宋体"/>
          <w:bCs/>
          <w:color w:val="auto"/>
          <w:sz w:val="24"/>
          <w:szCs w:val="24"/>
          <w:highlight w:val="none"/>
        </w:rPr>
      </w:pPr>
      <w:r/>
      <w:bookmarkStart w:id="208" w:name="_Toc15827"/>
      <w:r/>
      <w:bookmarkStart w:id="209" w:name="_Toc12273"/>
      <w:r/>
      <w:bookmarkStart w:id="210" w:name="_Toc16417"/>
      <w:r/>
      <w:bookmarkStart w:id="211" w:name="_Toc23784"/>
      <w:r/>
      <w:bookmarkStart w:id="212" w:name="_Toc26227"/>
      <w:r>
        <w:rPr>
          <w:rFonts w:hint="eastAsia" w:ascii="宋体" w:hAnsi="宋体" w:eastAsia="宋体" w:cs="宋体"/>
          <w:bCs/>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 xml:space="preserve">1.7.1</w:t>
      </w:r>
      <w:r>
        <w:rPr>
          <w:rFonts w:hint="eastAsia" w:ascii="宋体" w:hAnsi="宋体" w:eastAsia="宋体" w:cs="宋体"/>
          <w:bCs/>
          <w:color w:val="auto"/>
          <w:sz w:val="24"/>
          <w:szCs w:val="24"/>
          <w:highlight w:val="none"/>
        </w:rPr>
        <w:t xml:space="preserve">种方式解决：</w:t>
      </w:r>
      <w:r/>
    </w:p>
    <w:p>
      <w:pPr>
        <w:ind w:firstLine="480"/>
        <w:spacing w:line="43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1.7.1向</w:t>
      </w:r>
      <w:r>
        <w:rPr>
          <w:rFonts w:hint="eastAsia" w:ascii="宋体" w:hAnsi="宋体" w:eastAsia="宋体" w:cs="宋体"/>
          <w:bCs/>
          <w:color w:val="auto"/>
          <w:sz w:val="24"/>
          <w:szCs w:val="24"/>
          <w:highlight w:val="none"/>
          <w:u w:val="single"/>
        </w:rPr>
        <w:t xml:space="preserve">（项目所在地、合同履行地、标的物所在地等）</w:t>
      </w:r>
      <w:r>
        <w:rPr>
          <w:rFonts w:hint="eastAsia" w:ascii="宋体" w:hAnsi="宋体" w:eastAsia="宋体" w:cs="宋体"/>
          <w:bCs/>
          <w:color w:val="auto"/>
          <w:sz w:val="24"/>
          <w:szCs w:val="24"/>
          <w:highlight w:val="none"/>
        </w:rPr>
        <w:t xml:space="preserve">人民法院起诉。</w:t>
      </w:r>
      <w:r/>
    </w:p>
    <w:p>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 合同生效</w:t>
      </w:r>
      <w:bookmarkEnd w:id="208"/>
      <w:r/>
      <w:bookmarkEnd w:id="209"/>
      <w:r/>
      <w:bookmarkEnd w:id="210"/>
      <w:r/>
      <w:bookmarkEnd w:id="211"/>
      <w:r/>
      <w:bookmarkEnd w:id="212"/>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1.8.1合同应在甲乙双方代表签字并加盖公章后生效。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1.8.2本合同一式</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份，以简体中文书写，甲乙</w:t>
      </w:r>
      <w:r>
        <w:rPr>
          <w:rFonts w:hint="eastAsia" w:ascii="宋体" w:hAnsi="宋体" w:eastAsia="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val="en-US" w:eastAsia="zh-CN"/>
        </w:rPr>
        <w:t xml:space="preserve">各执</w:t>
      </w:r>
      <w:r>
        <w:rPr>
          <w:rFonts w:hint="eastAsia" w:ascii="宋体" w:hAnsi="宋体" w:eastAsia="宋体" w:cs="宋体"/>
          <w:bCs/>
          <w:color w:val="auto"/>
          <w:sz w:val="24"/>
          <w:szCs w:val="24"/>
          <w:highlight w:val="none"/>
        </w:rPr>
        <w:t xml:space="preserve">两份。</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1.8.3本合同应按照中华人民共和国的现行法律进行解释。</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00"/>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spacing w:line="440" w:lineRule="exact"/>
        <w:rPr>
          <w:rFonts w:hint="eastAsia" w:ascii="宋体" w:hAnsi="宋体" w:eastAsia="宋体" w:cs="宋体"/>
          <w:b/>
          <w:color w:val="auto"/>
          <w:sz w:val="24"/>
          <w:szCs w:val="24"/>
          <w:highlight w:val="none"/>
        </w:rPr>
      </w:pPr>
      <w:r/>
      <w:bookmarkStart w:id="213" w:name="_Ref467379195"/>
      <w:r/>
      <w:bookmarkStart w:id="214" w:name="_Toc487900349"/>
      <w:r/>
      <w:bookmarkStart w:id="215" w:name="_Ref467378404"/>
      <w:r/>
      <w:bookmarkStart w:id="216" w:name="_Ref467379214"/>
      <w:r/>
      <w:bookmarkStart w:id="217" w:name="_Ref467379109"/>
      <w:r/>
      <w:bookmarkStart w:id="218" w:name="_Ref467379101"/>
      <w:r/>
      <w:bookmarkStart w:id="219" w:name="_Ref467379094"/>
      <w:r/>
      <w:bookmarkStart w:id="220" w:name="_Toc16917"/>
      <w:r/>
      <w:bookmarkStart w:id="221" w:name="_Ref467379205"/>
      <w:r/>
      <w:bookmarkStart w:id="222" w:name="_Ref467378499"/>
      <w:r/>
      <w:bookmarkStart w:id="223" w:name="_Toc28763"/>
      <w:r/>
      <w:bookmarkStart w:id="224" w:name="_Ref467378463"/>
      <w:r/>
      <w:bookmarkStart w:id="225" w:name="_Toc279701240"/>
      <w:r/>
      <w:bookmarkStart w:id="226" w:name="_Toc259093669"/>
      <w:r/>
      <w:bookmarkStart w:id="227" w:name="_Toc19614"/>
      <w:r/>
      <w:bookmarkStart w:id="228" w:name="_Ref467379225"/>
      <w:r>
        <w:rPr>
          <w:rFonts w:hint="eastAsia" w:ascii="宋体" w:hAnsi="宋体" w:eastAsia="宋体" w:cs="宋体"/>
          <w:b/>
          <w:color w:val="auto"/>
          <w:sz w:val="24"/>
          <w:szCs w:val="24"/>
          <w:highlight w:val="none"/>
        </w:rPr>
        <w:t xml:space="preserve">2.1 定义</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2.1.1“合同”系指采购人和中标供应商签订的载明双方当事人所达成的协议，并包括所有的附件、附录和构成合同的其他文件。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2.1.2“合同价”系指根据合同约定，中标供应商在完全履行合同义务后，采购人应支付给中标供应商的价格。</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2.1.3“货物”系指中标供应商根据合同约定应向采购人交付的一切各种形态和种类的物品，包括原材料、燃料、设备、机械、仪表、备件、计算机软件、产品等，并包括工具、手册等其他相关资料。</w:t>
      </w:r>
      <w:r/>
    </w:p>
    <w:p>
      <w:pPr>
        <w:ind w:firstLine="480"/>
        <w:spacing w:line="440" w:lineRule="exact"/>
        <w:rPr>
          <w:rFonts w:hint="eastAsia" w:ascii="宋体" w:hAnsi="宋体" w:eastAsia="宋体" w:cs="宋体"/>
          <w:color w:val="auto"/>
          <w:sz w:val="24"/>
          <w:szCs w:val="24"/>
          <w:highlight w:val="none"/>
        </w:rPr>
      </w:pPr>
      <w:r/>
      <w:bookmarkStart w:id="229" w:name="_Ref467378840"/>
      <w:r>
        <w:rPr>
          <w:rFonts w:hint="eastAsia" w:ascii="宋体" w:hAnsi="宋体" w:eastAsia="宋体" w:cs="宋体"/>
          <w:color w:val="auto"/>
          <w:sz w:val="24"/>
          <w:szCs w:val="24"/>
          <w:highlight w:val="none"/>
        </w:rPr>
        <w:t xml:space="preserve">2.1.4“甲方”系指与中标供应商签署合同的采购人</w:t>
      </w:r>
      <w:bookmarkEnd w:id="229"/>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440" w:lineRule="exact"/>
        <w:rPr>
          <w:rFonts w:hint="eastAsia" w:ascii="宋体" w:hAnsi="宋体" w:eastAsia="宋体" w:cs="宋体"/>
          <w:color w:val="auto"/>
          <w:sz w:val="24"/>
          <w:szCs w:val="24"/>
          <w:highlight w:val="none"/>
        </w:rPr>
      </w:pPr>
      <w:r/>
      <w:bookmarkStart w:id="230" w:name="_Ref467379400"/>
      <w:r>
        <w:rPr>
          <w:rFonts w:hint="eastAsia" w:ascii="宋体" w:hAnsi="宋体" w:eastAsia="宋体" w:cs="宋体"/>
          <w:color w:val="auto"/>
          <w:sz w:val="24"/>
          <w:szCs w:val="24"/>
          <w:highlight w:val="none"/>
        </w:rPr>
        <w:t xml:space="preserve">2.1.5“乙方”系指根据合同约定交付货物的中标供应商</w:t>
      </w:r>
      <w:bookmarkEnd w:id="230"/>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bookmarkStart w:id="231" w:name="_Ref467379436"/>
      <w:r>
        <w:rPr>
          <w:rFonts w:hint="eastAsia" w:ascii="宋体" w:hAnsi="宋体" w:eastAsia="宋体" w:cs="宋体"/>
          <w:color w:val="auto"/>
          <w:sz w:val="24"/>
          <w:szCs w:val="24"/>
          <w:highlight w:val="none"/>
        </w:rPr>
        <w:t xml:space="preserve">2.1.6“现场”系指合同约定货物将要运至或者安装的地点。</w:t>
      </w:r>
      <w:bookmarkEnd w:id="231"/>
      <w:r/>
      <w:r/>
    </w:p>
    <w:p>
      <w:pPr>
        <w:spacing w:line="440" w:lineRule="exact"/>
        <w:rPr>
          <w:rFonts w:hint="eastAsia" w:ascii="宋体" w:hAnsi="宋体" w:eastAsia="宋体" w:cs="宋体"/>
          <w:b/>
          <w:color w:val="auto"/>
          <w:sz w:val="24"/>
          <w:szCs w:val="24"/>
          <w:highlight w:val="none"/>
        </w:rPr>
      </w:pPr>
      <w:r/>
      <w:bookmarkStart w:id="232" w:name="_Toc27635"/>
      <w:r/>
      <w:bookmarkStart w:id="233" w:name="_Toc259093670"/>
      <w:r/>
      <w:bookmarkStart w:id="234" w:name="_Toc487900350"/>
      <w:r/>
      <w:bookmarkStart w:id="235" w:name="_Toc13336"/>
      <w:r/>
      <w:bookmarkStart w:id="236" w:name="_Toc32504"/>
      <w:r/>
      <w:bookmarkStart w:id="237" w:name="_Toc279701241"/>
      <w:r>
        <w:rPr>
          <w:rFonts w:hint="eastAsia" w:ascii="宋体" w:hAnsi="宋体" w:eastAsia="宋体" w:cs="宋体"/>
          <w:b/>
          <w:color w:val="auto"/>
          <w:sz w:val="24"/>
          <w:szCs w:val="24"/>
          <w:highlight w:val="none"/>
        </w:rPr>
        <w:t xml:space="preserve">2.2 技术规范</w:t>
      </w:r>
      <w:bookmarkEnd w:id="232"/>
      <w:r/>
      <w:bookmarkEnd w:id="233"/>
      <w:r/>
      <w:bookmarkEnd w:id="234"/>
      <w:r/>
      <w:bookmarkEnd w:id="235"/>
      <w:r/>
      <w:bookmarkEnd w:id="236"/>
      <w:r/>
      <w:bookmarkEnd w:id="237"/>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spacing w:line="440" w:lineRule="exact"/>
        <w:rPr>
          <w:rFonts w:hint="eastAsia" w:ascii="宋体" w:hAnsi="宋体" w:eastAsia="宋体" w:cs="宋体"/>
          <w:b/>
          <w:color w:val="auto"/>
          <w:sz w:val="24"/>
          <w:szCs w:val="24"/>
          <w:highlight w:val="none"/>
        </w:rPr>
      </w:pPr>
      <w:r/>
      <w:bookmarkStart w:id="238" w:name="_Toc9829"/>
      <w:r/>
      <w:bookmarkStart w:id="239" w:name="_Toc27853"/>
      <w:r/>
      <w:bookmarkStart w:id="240" w:name="_Toc487900351"/>
      <w:r/>
      <w:bookmarkStart w:id="241" w:name="_Toc259093671"/>
      <w:r/>
      <w:bookmarkStart w:id="242" w:name="_Toc279701242"/>
      <w:r/>
      <w:bookmarkStart w:id="243" w:name="_Toc31634"/>
      <w:r>
        <w:rPr>
          <w:rFonts w:hint="eastAsia" w:ascii="宋体" w:hAnsi="宋体" w:eastAsia="宋体" w:cs="宋体"/>
          <w:b/>
          <w:color w:val="auto"/>
          <w:sz w:val="24"/>
          <w:szCs w:val="24"/>
          <w:highlight w:val="none"/>
        </w:rPr>
        <w:t xml:space="preserve">2.3 知识产权</w:t>
      </w:r>
      <w:bookmarkEnd w:id="238"/>
      <w:r/>
      <w:bookmarkEnd w:id="239"/>
      <w:r/>
      <w:bookmarkEnd w:id="240"/>
      <w:r/>
      <w:bookmarkEnd w:id="241"/>
      <w:r/>
      <w:bookmarkEnd w:id="242"/>
      <w:r/>
      <w:bookmarkEnd w:id="243"/>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spacing w:line="440" w:lineRule="exact"/>
        <w:rPr>
          <w:rFonts w:hint="eastAsia" w:ascii="宋体" w:hAnsi="宋体" w:eastAsia="宋体" w:cs="宋体"/>
          <w:b/>
          <w:color w:val="auto"/>
          <w:sz w:val="24"/>
          <w:szCs w:val="24"/>
          <w:highlight w:val="none"/>
        </w:rPr>
      </w:pPr>
      <w:r/>
      <w:bookmarkStart w:id="244" w:name="_Toc11932"/>
      <w:r/>
      <w:bookmarkStart w:id="245" w:name="_Toc29149"/>
      <w:r/>
      <w:bookmarkStart w:id="246" w:name="_Toc4194"/>
      <w:r>
        <w:rPr>
          <w:rFonts w:hint="eastAsia" w:ascii="宋体" w:hAnsi="宋体" w:eastAsia="宋体" w:cs="宋体"/>
          <w:b/>
          <w:color w:val="auto"/>
          <w:sz w:val="24"/>
          <w:szCs w:val="24"/>
          <w:highlight w:val="none"/>
        </w:rPr>
        <w:t xml:space="preserve">2.4 包装和装运</w:t>
      </w:r>
      <w:bookmarkEnd w:id="244"/>
      <w:r/>
      <w:bookmarkEnd w:id="245"/>
      <w:r/>
      <w:bookmarkEnd w:id="24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2.4.2装运货物的要求和通知均应按照甲方的要求。</w:t>
      </w:r>
      <w:r/>
    </w:p>
    <w:p>
      <w:pPr>
        <w:spacing w:line="440" w:lineRule="exact"/>
        <w:rPr>
          <w:rFonts w:hint="eastAsia" w:ascii="宋体" w:hAnsi="宋体" w:eastAsia="宋体" w:cs="宋体"/>
          <w:b/>
          <w:color w:val="auto"/>
          <w:sz w:val="24"/>
          <w:szCs w:val="24"/>
          <w:highlight w:val="none"/>
        </w:rPr>
      </w:pPr>
      <w:r/>
      <w:bookmarkStart w:id="247" w:name="_Toc279701245"/>
      <w:r/>
      <w:bookmarkStart w:id="248" w:name="_Toc487900354"/>
      <w:r/>
      <w:bookmarkStart w:id="249" w:name="_Ref467379536"/>
      <w:r/>
      <w:bookmarkStart w:id="250" w:name="_Toc259093674"/>
      <w:r/>
      <w:bookmarkStart w:id="251" w:name="_Ref467378541"/>
      <w:r/>
      <w:bookmarkStart w:id="252" w:name="_Ref467379542"/>
      <w:r/>
      <w:bookmarkStart w:id="253" w:name="_Ref467378591"/>
      <w:r/>
      <w:bookmarkStart w:id="254" w:name="_Ref467379527"/>
      <w:r/>
      <w:bookmarkStart w:id="255" w:name="_Toc26182"/>
      <w:r/>
      <w:bookmarkStart w:id="256" w:name="_Toc30272"/>
      <w:r/>
      <w:bookmarkStart w:id="257" w:name="_Toc19074"/>
      <w:r>
        <w:rPr>
          <w:rFonts w:hint="eastAsia" w:ascii="宋体" w:hAnsi="宋体" w:eastAsia="宋体" w:cs="宋体"/>
          <w:b/>
          <w:color w:val="auto"/>
          <w:sz w:val="24"/>
          <w:szCs w:val="24"/>
          <w:highlight w:val="none"/>
        </w:rPr>
        <w:t xml:space="preserve">2.</w:t>
      </w:r>
      <w:bookmarkEnd w:id="247"/>
      <w:r/>
      <w:bookmarkEnd w:id="248"/>
      <w:r/>
      <w:bookmarkEnd w:id="249"/>
      <w:r/>
      <w:bookmarkEnd w:id="250"/>
      <w:r/>
      <w:bookmarkEnd w:id="251"/>
      <w:r/>
      <w:bookmarkEnd w:id="252"/>
      <w:r/>
      <w:bookmarkEnd w:id="253"/>
      <w:r/>
      <w:bookmarkEnd w:id="254"/>
      <w:r>
        <w:rPr>
          <w:rFonts w:hint="eastAsia" w:ascii="宋体" w:hAnsi="宋体" w:eastAsia="宋体" w:cs="宋体"/>
          <w:b/>
          <w:color w:val="auto"/>
          <w:sz w:val="24"/>
          <w:szCs w:val="24"/>
          <w:highlight w:val="none"/>
        </w:rPr>
        <w:t xml:space="preserve">5 履约检查和问题反馈</w:t>
      </w:r>
      <w:bookmarkEnd w:id="255"/>
      <w:r/>
      <w:bookmarkEnd w:id="256"/>
      <w:r/>
      <w:bookmarkEnd w:id="257"/>
      <w:r/>
      <w:r/>
    </w:p>
    <w:p>
      <w:pPr>
        <w:ind w:firstLine="480"/>
        <w:spacing w:line="440" w:lineRule="exact"/>
        <w:rPr>
          <w:rFonts w:hint="eastAsia" w:ascii="宋体" w:hAnsi="宋体" w:eastAsia="宋体" w:cs="宋体"/>
          <w:color w:val="auto"/>
          <w:sz w:val="24"/>
          <w:szCs w:val="24"/>
          <w:highlight w:val="none"/>
        </w:rPr>
      </w:pPr>
      <w:r/>
      <w:bookmarkStart w:id="258" w:name="_Ref467379657"/>
      <w:r>
        <w:rPr>
          <w:rFonts w:hint="eastAsia" w:ascii="宋体" w:hAnsi="宋体" w:eastAsia="宋体" w:cs="宋体"/>
          <w:color w:val="auto"/>
          <w:sz w:val="24"/>
          <w:szCs w:val="24"/>
          <w:highlight w:val="none"/>
        </w:rPr>
        <w:t xml:space="preserve">2.5.1</w:t>
      </w:r>
      <w:bookmarkEnd w:id="258"/>
      <w:r/>
      <w:bookmarkStart w:id="259" w:name="_Toc186431854"/>
      <w:r>
        <w:rPr>
          <w:rFonts w:hint="eastAsia" w:ascii="宋体" w:hAnsi="宋体" w:eastAsia="宋体" w:cs="宋体"/>
          <w:color w:val="auto"/>
          <w:sz w:val="24"/>
          <w:szCs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合同履行期间，甲方有权将履行过程中出现的问题反馈给乙方，双方当事人应以书面形式约定需要完善和改进的内容</w:t>
      </w:r>
      <w:bookmarkEnd w:id="259"/>
      <w:r/>
      <w:bookmarkStart w:id="260" w:name="_Toc186431855"/>
      <w:r>
        <w:rPr>
          <w:rFonts w:hint="eastAsia" w:ascii="宋体" w:hAnsi="宋体" w:eastAsia="宋体" w:cs="宋体"/>
          <w:color w:val="auto"/>
          <w:sz w:val="24"/>
          <w:szCs w:val="24"/>
          <w:highlight w:val="none"/>
        </w:rPr>
        <w:t xml:space="preserve">。</w:t>
      </w:r>
      <w:bookmarkEnd w:id="260"/>
      <w:r/>
    </w:p>
    <w:p>
      <w:pPr>
        <w:spacing w:line="440" w:lineRule="exact"/>
        <w:rPr>
          <w:rFonts w:hint="eastAsia" w:ascii="宋体" w:hAnsi="宋体" w:eastAsia="宋体" w:cs="宋体"/>
          <w:b/>
          <w:color w:val="auto"/>
          <w:sz w:val="24"/>
          <w:szCs w:val="24"/>
          <w:highlight w:val="none"/>
        </w:rPr>
      </w:pPr>
      <w:r/>
      <w:bookmarkStart w:id="261" w:name="_Ref467379852"/>
      <w:r/>
      <w:bookmarkStart w:id="262" w:name="_Toc487900358"/>
      <w:r/>
      <w:bookmarkStart w:id="263" w:name="_Ref467379863"/>
      <w:r/>
      <w:bookmarkStart w:id="264" w:name="_Ref467379923"/>
      <w:r/>
      <w:bookmarkStart w:id="265" w:name="_Toc279701248"/>
      <w:r/>
      <w:bookmarkStart w:id="266" w:name="_Toc259093677"/>
      <w:r/>
      <w:bookmarkStart w:id="267" w:name="_Toc3225"/>
      <w:r/>
      <w:bookmarkStart w:id="268" w:name="_Toc774"/>
      <w:r/>
      <w:bookmarkStart w:id="269" w:name="_Toc16110"/>
      <w:r>
        <w:rPr>
          <w:rFonts w:hint="eastAsia" w:ascii="宋体" w:hAnsi="宋体" w:eastAsia="宋体" w:cs="宋体"/>
          <w:b/>
          <w:color w:val="auto"/>
          <w:sz w:val="24"/>
          <w:szCs w:val="24"/>
          <w:highlight w:val="none"/>
        </w:rPr>
        <w:t xml:space="preserve">2.6 技术资料</w:t>
      </w:r>
      <w:bookmarkEnd w:id="261"/>
      <w:r/>
      <w:bookmarkEnd w:id="262"/>
      <w:r/>
      <w:bookmarkEnd w:id="263"/>
      <w:r/>
      <w:bookmarkEnd w:id="264"/>
      <w:r/>
      <w:bookmarkEnd w:id="265"/>
      <w:r/>
      <w:bookmarkEnd w:id="266"/>
      <w:r>
        <w:rPr>
          <w:rFonts w:hint="eastAsia" w:ascii="宋体" w:hAnsi="宋体" w:eastAsia="宋体" w:cs="宋体"/>
          <w:b/>
          <w:color w:val="auto"/>
          <w:sz w:val="24"/>
          <w:szCs w:val="24"/>
          <w:highlight w:val="none"/>
        </w:rPr>
        <w:t xml:space="preserve">和保密义务</w:t>
      </w:r>
      <w:bookmarkEnd w:id="267"/>
      <w:r/>
      <w:bookmarkEnd w:id="268"/>
      <w:r/>
      <w:bookmarkEnd w:id="269"/>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乙方有权依据合同约定和项目需要，向甲方了解有关情况，调阅有关资料等，甲方应予积极配合。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乙方有义务妥善保管和保护由甲方提供的前款信息和资料等。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 质量保证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乙方保证货物完全符合国家相关法律法规和质量标准的规定，不会有任何三无、假冒、伪劣或违禁、走私的物品。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bCs/>
          <w:color w:val="auto"/>
          <w:sz w:val="24"/>
          <w:szCs w:val="24"/>
          <w:highlight w:val="none"/>
        </w:rPr>
        <w:t xml:space="preserve">其他</w:t>
      </w:r>
      <w:r>
        <w:rPr>
          <w:rFonts w:hint="eastAsia" w:ascii="宋体" w:hAnsi="宋体" w:eastAsia="宋体" w:cs="宋体"/>
          <w:color w:val="auto"/>
          <w:sz w:val="24"/>
          <w:szCs w:val="24"/>
          <w:highlight w:val="none"/>
        </w:rPr>
        <w:t xml:space="preserve">各项服务承诺指标及所采取的措施符合“招标文件”要求及投标承诺。</w:t>
      </w:r>
      <w:r/>
    </w:p>
    <w:p>
      <w:pPr>
        <w:ind w:firstLine="48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2.7.4</w:t>
      </w:r>
      <w:r>
        <w:rPr>
          <w:rFonts w:hint="eastAsia" w:ascii="宋体" w:hAnsi="宋体" w:eastAsia="宋体" w:cs="宋体"/>
          <w:color w:val="auto"/>
          <w:sz w:val="24"/>
          <w:szCs w:val="24"/>
          <w:highlight w:val="none"/>
          <w:lang w:val="zh-CN"/>
        </w:rPr>
        <w:t xml:space="preserve">除合同特殊条款规定外，</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color w:val="auto"/>
          <w:sz w:val="24"/>
          <w:szCs w:val="24"/>
          <w:highlight w:val="none"/>
        </w:rPr>
        <w:t xml:space="preserve">医用液氧</w:t>
      </w:r>
      <w:r>
        <w:rPr>
          <w:rFonts w:hint="eastAsia" w:ascii="宋体" w:hAnsi="宋体" w:eastAsia="宋体" w:cs="宋体"/>
          <w:b w:val="0"/>
          <w:bCs w:val="0"/>
          <w:color w:val="auto"/>
          <w:sz w:val="24"/>
          <w:highlight w:val="none"/>
        </w:rPr>
        <w:t xml:space="preserve">的免费质量保证期</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自验收合格之日起计算。</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color w:val="auto"/>
          <w:sz w:val="24"/>
          <w:szCs w:val="24"/>
          <w:highlight w:val="none"/>
        </w:rPr>
        <w:t xml:space="preserve">医用</w:t>
      </w:r>
      <w:r>
        <w:rPr>
          <w:rFonts w:hint="eastAsia" w:ascii="宋体" w:hAnsi="宋体" w:eastAsia="宋体" w:cs="宋体"/>
          <w:color w:val="auto"/>
          <w:sz w:val="24"/>
          <w:szCs w:val="24"/>
          <w:highlight w:val="none"/>
          <w:lang w:val="en-US" w:eastAsia="zh-CN"/>
        </w:rPr>
        <w:t xml:space="preserve">瓶装氧（40L医用氧、10L医用氧、4L医用氧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highlight w:val="none"/>
        </w:rPr>
        <w:t xml:space="preserve">的免费质量保证期</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自验收合格之日起计算</w:t>
      </w:r>
      <w:r>
        <w:rPr>
          <w:rFonts w:hint="eastAsia" w:ascii="宋体" w:hAnsi="宋体" w:eastAsia="宋体" w:cs="宋体"/>
          <w:color w:val="auto"/>
          <w:sz w:val="24"/>
          <w:szCs w:val="24"/>
          <w:highlight w:val="none"/>
          <w:lang w:val="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小时内维修完毕使货物恢复正常使用或根据甲方要求免费更换新货物。</w:t>
      </w:r>
      <w:r>
        <w:rPr>
          <w:rFonts w:hint="eastAsia" w:ascii="宋体" w:hAnsi="宋体" w:eastAsia="宋体" w:cs="宋体"/>
          <w:color w:val="auto"/>
          <w:sz w:val="24"/>
          <w:szCs w:val="24"/>
          <w:highlight w:val="none"/>
          <w:lang w:val="en-US" w:eastAsia="zh-CN"/>
        </w:rPr>
        <w:t xml:space="preserve">乙方应按甲方的要求进行送货，确保紧急情况下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小时内配送到位、一般情况下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小时内配送到位、最迟不得超过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小时配送到位。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报修电话：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2.7.6免费保修期内，乙方免收甲方所有费用，包括但不限于零部件费用、人工费、交通费、住宿费等。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2.7.7若在免费保修期内，乙方拒绝维修或迟延维修的，甲方有权自行或委托第三方维修，因此产生的所有费用由乙方承担。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2.7.8免费保修期满后，若甲方要求乙方提供维修的，甲方承担维修所需更换零部件/配件费用，乙方同意按成本价收费。</w:t>
      </w:r>
      <w:r/>
    </w:p>
    <w:p>
      <w:pPr>
        <w:spacing w:line="440" w:lineRule="exact"/>
        <w:rPr>
          <w:rFonts w:hint="eastAsia" w:ascii="宋体" w:hAnsi="宋体" w:eastAsia="宋体" w:cs="宋体"/>
          <w:b/>
          <w:color w:val="auto"/>
          <w:sz w:val="24"/>
          <w:szCs w:val="24"/>
          <w:highlight w:val="none"/>
        </w:rPr>
      </w:pPr>
      <w:r/>
      <w:bookmarkStart w:id="270" w:name="_Toc17244"/>
      <w:r>
        <w:rPr>
          <w:rFonts w:hint="eastAsia" w:ascii="宋体" w:hAnsi="宋体" w:eastAsia="宋体" w:cs="宋体"/>
          <w:b/>
          <w:color w:val="auto"/>
          <w:sz w:val="24"/>
          <w:szCs w:val="24"/>
          <w:highlight w:val="none"/>
        </w:rPr>
        <w:t xml:space="preserve">2.8 </w:t>
      </w:r>
      <w:bookmarkEnd w:id="270"/>
      <w:r/>
      <w:bookmarkStart w:id="271" w:name="_Toc7502"/>
      <w:r>
        <w:rPr>
          <w:rFonts w:hint="eastAsia" w:ascii="宋体" w:hAnsi="宋体" w:eastAsia="宋体" w:cs="宋体"/>
          <w:b/>
          <w:color w:val="auto"/>
          <w:sz w:val="24"/>
          <w:szCs w:val="24"/>
          <w:highlight w:val="none"/>
        </w:rPr>
        <w:t xml:space="preserve">合同变更</w:t>
      </w:r>
      <w:bookmarkEnd w:id="271"/>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w:t>
      </w:r>
      <w:r>
        <w:rPr>
          <w:rFonts w:hint="eastAsia" w:ascii="宋体" w:hAnsi="宋体" w:eastAsia="宋体" w:cs="宋体"/>
          <w:bCs/>
          <w:color w:val="auto"/>
          <w:sz w:val="24"/>
          <w:szCs w:val="24"/>
          <w:highlight w:val="none"/>
        </w:rPr>
        <w:t xml:space="preserve">合同继续履行将损害国家利益和社会公共利益的，甲方有权变更合同。有过错的一方应当承担赔偿责任，双方当事人都有过错的，各自承担相应的责任</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b/>
          <w:color w:val="auto"/>
          <w:sz w:val="24"/>
          <w:szCs w:val="24"/>
          <w:highlight w:val="none"/>
        </w:rPr>
      </w:pPr>
      <w:r/>
      <w:bookmarkStart w:id="272" w:name="_Toc10366"/>
      <w:r/>
      <w:bookmarkStart w:id="273" w:name="_Toc22955"/>
      <w:r/>
      <w:bookmarkStart w:id="274" w:name="_Toc15237"/>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合同转让和分包</w:t>
      </w:r>
      <w:bookmarkEnd w:id="272"/>
      <w:r/>
      <w:bookmarkEnd w:id="273"/>
      <w:r/>
      <w:bookmarkEnd w:id="274"/>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spacing w:line="440" w:lineRule="exact"/>
        <w:rPr>
          <w:rFonts w:hint="eastAsia" w:ascii="宋体" w:hAnsi="宋体" w:eastAsia="宋体" w:cs="宋体"/>
          <w:b/>
          <w:color w:val="auto"/>
          <w:sz w:val="24"/>
          <w:szCs w:val="24"/>
          <w:highlight w:val="none"/>
        </w:rPr>
      </w:pPr>
      <w:r/>
      <w:bookmarkStart w:id="275" w:name="_Toc25571"/>
      <w:r/>
      <w:bookmarkStart w:id="276" w:name="_Toc14371"/>
      <w:r/>
      <w:bookmarkStart w:id="277" w:name="_Toc26633"/>
      <w:r/>
      <w:bookmarkStart w:id="278" w:name="_Toc32494"/>
      <w:r/>
      <w:bookmarkStart w:id="279" w:name="_Toc4720"/>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 不可抗力</w:t>
      </w:r>
      <w:bookmarkEnd w:id="275"/>
      <w:r/>
      <w:bookmarkEnd w:id="276"/>
      <w:r/>
      <w:bookmarkEnd w:id="277"/>
      <w:r/>
      <w:bookmarkEnd w:id="278"/>
      <w:r/>
      <w:bookmarkEnd w:id="279"/>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.1如果任何一方遭遇法律规定的不可抗力，致使合同履行受阻时，履行合同的期限应予延长，延长的期限应相当于不可抗力所影响的时间。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因不可抗力致使不能实现合同目的的，当事人可以解除合同。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因不可抗力致使合同有变更必要的，双方当事人应在</w:t>
      </w:r>
      <w:r>
        <w:rPr>
          <w:rFonts w:hint="eastAsia" w:ascii="宋体" w:hAnsi="宋体" w:eastAsia="宋体" w:cs="宋体"/>
          <w:b/>
          <w:i/>
          <w:color w:val="auto"/>
          <w:sz w:val="24"/>
          <w:szCs w:val="24"/>
          <w:highlight w:val="none"/>
          <w:u w:val="single"/>
        </w:rPr>
        <w:t xml:space="preserve">7个工作日内</w:t>
      </w:r>
      <w:r>
        <w:rPr>
          <w:rFonts w:hint="eastAsia" w:ascii="宋体" w:hAnsi="宋体" w:eastAsia="宋体" w:cs="宋体"/>
          <w:color w:val="auto"/>
          <w:sz w:val="24"/>
          <w:szCs w:val="24"/>
          <w:highlight w:val="none"/>
        </w:rPr>
        <w:t xml:space="preserve">以书面形式变更合同。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.4受不可抗力影响的一方在不可抗力发生后，应在</w:t>
      </w:r>
      <w:r>
        <w:rPr>
          <w:rFonts w:hint="eastAsia" w:ascii="宋体" w:hAnsi="宋体" w:eastAsia="宋体" w:cs="宋体"/>
          <w:b/>
          <w:i/>
          <w:color w:val="auto"/>
          <w:sz w:val="24"/>
          <w:szCs w:val="24"/>
          <w:highlight w:val="none"/>
          <w:u w:val="single"/>
        </w:rPr>
        <w:t xml:space="preserve">7个工作日</w:t>
      </w:r>
      <w:r>
        <w:rPr>
          <w:rFonts w:hint="eastAsia" w:ascii="宋体" w:hAnsi="宋体" w:eastAsia="宋体" w:cs="宋体"/>
          <w:color w:val="auto"/>
          <w:sz w:val="24"/>
          <w:szCs w:val="24"/>
          <w:highlight w:val="none"/>
        </w:rPr>
        <w:t xml:space="preserve">内以书面形式通知对方当事人，并在</w:t>
      </w:r>
      <w:r>
        <w:rPr>
          <w:rFonts w:hint="eastAsia" w:ascii="宋体" w:hAnsi="宋体" w:eastAsia="宋体" w:cs="宋体"/>
          <w:b/>
          <w:i/>
          <w:color w:val="auto"/>
          <w:sz w:val="24"/>
          <w:szCs w:val="24"/>
          <w:highlight w:val="none"/>
          <w:u w:val="single"/>
        </w:rPr>
        <w:t xml:space="preserve">7个工作日</w:t>
      </w:r>
      <w:r>
        <w:rPr>
          <w:rFonts w:hint="eastAsia" w:ascii="宋体" w:hAnsi="宋体" w:eastAsia="宋体" w:cs="宋体"/>
          <w:color w:val="auto"/>
          <w:sz w:val="24"/>
          <w:szCs w:val="24"/>
          <w:highlight w:val="none"/>
        </w:rPr>
        <w:t xml:space="preserve">内，将有关部门出具的证明文件送达对方当事人。</w:t>
      </w:r>
      <w:bookmarkStart w:id="280" w:name="_Toc279701255"/>
      <w:r/>
      <w:bookmarkStart w:id="281" w:name="_Toc487900365"/>
      <w:r/>
      <w:bookmarkStart w:id="282" w:name="_Toc30676"/>
      <w:r/>
      <w:bookmarkStart w:id="283" w:name="_Toc259093684"/>
      <w:r/>
      <w:bookmarkStart w:id="284" w:name="_Toc689"/>
      <w:r/>
      <w:bookmarkStart w:id="285" w:name="_Toc6969"/>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 发生不可抗力事件，任何一方均不对因不可抗力无法履行或迟延履行本合同义务而使另一方蒙 受的任何损失承担责任，法律另有规定的除外。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 合同各方应根据不可抗力对本合同履行的影响程度，协商确定是否终止本合同或是继续履行本 合同。</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 税费</w:t>
      </w:r>
      <w:bookmarkEnd w:id="280"/>
      <w:r/>
      <w:bookmarkEnd w:id="281"/>
      <w:r/>
      <w:bookmarkEnd w:id="282"/>
      <w:r/>
      <w:bookmarkEnd w:id="283"/>
      <w:r/>
      <w:bookmarkEnd w:id="284"/>
      <w:r/>
      <w:bookmarkEnd w:id="285"/>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w:t>
      </w:r>
      <w:r/>
    </w:p>
    <w:p>
      <w:pPr>
        <w:spacing w:line="440" w:lineRule="exact"/>
        <w:rPr>
          <w:rFonts w:hint="eastAsia" w:ascii="宋体" w:hAnsi="宋体" w:eastAsia="宋体" w:cs="宋体"/>
          <w:b/>
          <w:color w:val="auto"/>
          <w:sz w:val="24"/>
          <w:szCs w:val="24"/>
          <w:highlight w:val="none"/>
        </w:rPr>
      </w:pPr>
      <w:r/>
      <w:bookmarkStart w:id="286" w:name="_Toc7102"/>
      <w:r/>
      <w:bookmarkStart w:id="287" w:name="_Toc8298"/>
      <w:r/>
      <w:bookmarkStart w:id="288" w:name="_Toc259093687"/>
      <w:r/>
      <w:bookmarkStart w:id="289" w:name="_Toc16959"/>
      <w:r/>
      <w:bookmarkStart w:id="290" w:name="_Toc279701258"/>
      <w:r/>
      <w:bookmarkStart w:id="291" w:name="_Toc487900368"/>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乙方破产</w:t>
      </w:r>
      <w:bookmarkEnd w:id="286"/>
      <w:r/>
      <w:bookmarkEnd w:id="287"/>
      <w:r/>
      <w:bookmarkEnd w:id="288"/>
      <w:r/>
      <w:bookmarkEnd w:id="289"/>
      <w:r/>
      <w:bookmarkEnd w:id="290"/>
      <w:r/>
      <w:bookmarkEnd w:id="291"/>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spacing w:line="440" w:lineRule="exact"/>
        <w:rPr>
          <w:rFonts w:hint="eastAsia" w:ascii="宋体" w:hAnsi="宋体" w:eastAsia="宋体" w:cs="宋体"/>
          <w:b/>
          <w:color w:val="auto"/>
          <w:sz w:val="24"/>
          <w:szCs w:val="24"/>
          <w:highlight w:val="none"/>
        </w:rPr>
      </w:pPr>
      <w:r/>
      <w:bookmarkStart w:id="292" w:name="_Toc29333"/>
      <w:r/>
      <w:bookmarkStart w:id="293" w:name="_Toc15387"/>
      <w:r/>
      <w:bookmarkStart w:id="294" w:name="_Toc6134"/>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合同中止、终止</w:t>
      </w:r>
      <w:bookmarkEnd w:id="292"/>
      <w:r/>
      <w:bookmarkEnd w:id="293"/>
      <w:r/>
      <w:bookmarkEnd w:id="294"/>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双方当事人不得擅自中止或者终止合同。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合同继续履行将损害国家利益和社会公共利益的，甲方有权中止或者终止、解除合同。有过错的一方应当承担赔偿责任，双方当事人都有过错的，各自承担相应的责任</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b/>
          <w:color w:val="auto"/>
          <w:sz w:val="24"/>
          <w:szCs w:val="24"/>
          <w:highlight w:val="none"/>
        </w:rPr>
      </w:pPr>
      <w:r/>
      <w:bookmarkStart w:id="295" w:name="_Toc1125"/>
      <w:r/>
      <w:bookmarkStart w:id="296" w:name="_Toc6596"/>
      <w:r/>
      <w:bookmarkStart w:id="297" w:name="_Toc14563"/>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检验和验收</w:t>
      </w:r>
      <w:bookmarkEnd w:id="295"/>
      <w:r/>
      <w:bookmarkEnd w:id="296"/>
      <w:r/>
      <w:bookmarkEnd w:id="297"/>
      <w:r/>
      <w:r/>
    </w:p>
    <w:p>
      <w:pPr>
        <w:ind w:firstLine="480"/>
        <w:spacing w:line="440" w:lineRule="exact"/>
        <w:rPr>
          <w:rFonts w:hint="eastAsia" w:ascii="宋体" w:hAnsi="宋体" w:eastAsia="宋体" w:cs="宋体"/>
          <w:color w:val="auto"/>
          <w:sz w:val="24"/>
          <w:szCs w:val="24"/>
          <w:highlight w:val="none"/>
        </w:rPr>
      </w:pPr>
      <w:r/>
      <w:bookmarkStart w:id="298" w:name="_Toc279701261"/>
      <w:r/>
      <w:bookmarkStart w:id="299" w:name="_Toc487900371"/>
      <w:r/>
      <w:bookmarkStart w:id="300" w:name="_Toc259093690"/>
      <w:r/>
      <w:bookmarkStart w:id="301" w:name="_Toc12666"/>
      <w:r/>
      <w:bookmarkStart w:id="302" w:name="_Toc31892"/>
      <w:r/>
      <w:bookmarkStart w:id="303" w:name="_Toc25198"/>
      <w:r/>
      <w:bookmarkStart w:id="304" w:name="_Toc2308"/>
      <w:r/>
      <w:bookmarkStart w:id="305" w:name="_Toc9808"/>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交付前验收货物交付前，乙方应对货物的质量、数量等方面进行详细、全面的检验；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到货验收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①货物全部到达甲方指定地点后，甲乙双方应派员共同对货物当场开箱进行外观验收，如乙方不能按甲方通知按时到达现场又未告知正当理由的，甲方有权单方开箱检验，相应检验结果对乙方有效。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交付的货物应当完全符合本合同、招标文件及投标文件所约定的货物、数量和规格要求。乙方提供的货物不符合本合同、招标文件及投标文件约定及甲方要求的，甲方有权拒收货物，并由乙方承担相应的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③乙方应将所提供</w:t>
      </w:r>
      <w:r>
        <w:rPr>
          <w:rFonts w:hint="eastAsia" w:ascii="宋体" w:hAnsi="宋体" w:eastAsia="宋体" w:cs="宋体"/>
          <w:color w:val="auto"/>
          <w:sz w:val="24"/>
          <w:szCs w:val="24"/>
          <w:highlight w:val="none"/>
          <w:lang w:val="en-US" w:eastAsia="zh-CN"/>
        </w:rPr>
        <w:t xml:space="preserve">每批次</w:t>
      </w:r>
      <w:r>
        <w:rPr>
          <w:rFonts w:hint="eastAsia" w:ascii="宋体" w:hAnsi="宋体" w:eastAsia="宋体" w:cs="宋体"/>
          <w:color w:val="auto"/>
          <w:sz w:val="24"/>
          <w:szCs w:val="24"/>
          <w:highlight w:val="none"/>
        </w:rPr>
        <w:t xml:space="preserve">医用液氧</w:t>
      </w:r>
      <w:r>
        <w:rPr>
          <w:rFonts w:hint="eastAsia" w:ascii="宋体" w:hAnsi="宋体" w:eastAsia="宋体" w:cs="宋体"/>
          <w:color w:val="auto"/>
          <w:sz w:val="24"/>
          <w:szCs w:val="24"/>
          <w:highlight w:val="none"/>
          <w:lang w:val="en-US" w:eastAsia="zh-CN"/>
        </w:rPr>
        <w:t xml:space="preserve">及医用瓶装氧的批号及质检合格证</w:t>
      </w:r>
      <w:r>
        <w:rPr>
          <w:rFonts w:hint="eastAsia" w:ascii="宋体" w:hAnsi="宋体" w:eastAsia="宋体" w:cs="宋体"/>
          <w:color w:val="auto"/>
          <w:sz w:val="24"/>
          <w:szCs w:val="24"/>
          <w:highlight w:val="none"/>
        </w:rPr>
        <w:t xml:space="preserve">给甲方；乙方不能完整交付上述规定的资料的，视为未按合同约定交货，乙方负责补齐，因此导致逾期交付的，由乙方承担相应的违约责任。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④有关货物质量、规格、性能、数量或重量的检验不应视为最终检验。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最终验收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w:t>
      </w:r>
      <w:r>
        <w:rPr>
          <w:rFonts w:hint="eastAsia" w:ascii="宋体" w:hAnsi="宋体" w:eastAsia="宋体" w:cs="宋体"/>
          <w:color w:val="auto"/>
          <w:sz w:val="24"/>
          <w:highlight w:val="none"/>
        </w:rPr>
        <w:t xml:space="preserve">货物供货</w:t>
      </w:r>
      <w:r>
        <w:rPr>
          <w:rFonts w:hint="eastAsia" w:ascii="宋体" w:hAnsi="宋体" w:eastAsia="宋体" w:cs="宋体"/>
          <w:color w:val="auto"/>
          <w:sz w:val="24"/>
          <w:highlight w:val="none"/>
          <w:lang w:val="en-US" w:eastAsia="zh-CN"/>
        </w:rPr>
        <w:t xml:space="preserve">到位</w:t>
      </w:r>
      <w:r>
        <w:rPr>
          <w:rFonts w:hint="eastAsia" w:ascii="宋体" w:hAnsi="宋体" w:eastAsia="宋体" w:cs="宋体"/>
          <w:color w:val="auto"/>
          <w:sz w:val="24"/>
          <w:highlight w:val="none"/>
        </w:rPr>
        <w:t xml:space="preserve">后</w:t>
      </w:r>
      <w:r>
        <w:rPr>
          <w:rFonts w:hint="eastAsia" w:ascii="宋体" w:hAnsi="宋体" w:eastAsia="宋体" w:cs="宋体"/>
          <w:color w:val="auto"/>
          <w:sz w:val="24"/>
          <w:szCs w:val="24"/>
          <w:highlight w:val="none"/>
        </w:rPr>
        <w:t xml:space="preserve">，乙方应及时通知甲方对项目进行验收。经甲方组织相关人员验收合格后，由甲方签署验收单</w:t>
      </w:r>
      <w:r>
        <w:rPr>
          <w:rFonts w:hint="eastAsia" w:ascii="宋体" w:hAnsi="宋体" w:eastAsia="宋体" w:cs="宋体"/>
          <w:color w:val="auto"/>
          <w:sz w:val="24"/>
          <w:highlight w:val="none"/>
        </w:rPr>
        <w:t xml:space="preserve">。若甲方验收不认可，</w:t>
      </w:r>
      <w:r>
        <w:rPr>
          <w:rFonts w:hint="eastAsia" w:ascii="宋体" w:hAnsi="宋体" w:eastAsia="宋体" w:cs="宋体"/>
          <w:color w:val="auto"/>
          <w:sz w:val="24"/>
          <w:szCs w:val="24"/>
          <w:highlight w:val="none"/>
        </w:rPr>
        <w:t xml:space="preserve">可由乙方向相关法定质量监督部门申报验收，验收不合格的，费用由乙方承担。若验收合格，则由甲方承担相应费用。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②设备验收包括：数量、外观、质量、性能、质保单、包装和乙方承诺及甲方要求的其它指标。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④验收标准应遵循国家相关标准、行业通行标准、厂方出厂标准、招标文件要求和乙方投标文件的承诺、甲方要求等。</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通知</w:t>
      </w:r>
      <w:bookmarkEnd w:id="298"/>
      <w:r/>
      <w:bookmarkEnd w:id="299"/>
      <w:r/>
      <w:bookmarkEnd w:id="300"/>
      <w:r>
        <w:rPr>
          <w:rFonts w:hint="eastAsia" w:ascii="宋体" w:hAnsi="宋体" w:eastAsia="宋体" w:cs="宋体"/>
          <w:b/>
          <w:color w:val="auto"/>
          <w:sz w:val="24"/>
          <w:szCs w:val="24"/>
          <w:highlight w:val="none"/>
        </w:rPr>
        <w:t xml:space="preserve">和送达</w:t>
      </w:r>
      <w:bookmarkEnd w:id="301"/>
      <w:r/>
      <w:bookmarkEnd w:id="302"/>
      <w:r/>
      <w:bookmarkEnd w:id="303"/>
      <w:r/>
      <w:bookmarkEnd w:id="304"/>
      <w:r/>
      <w:bookmarkEnd w:id="305"/>
      <w:r/>
      <w:r/>
    </w:p>
    <w:p>
      <w:pPr>
        <w:ind w:firstLine="480"/>
        <w:spacing w:line="440" w:lineRule="exact"/>
        <w:rPr>
          <w:rFonts w:hint="eastAsia" w:ascii="宋体" w:hAnsi="宋体" w:eastAsia="宋体" w:cs="宋体"/>
          <w:color w:val="auto"/>
          <w:sz w:val="24"/>
          <w:szCs w:val="24"/>
          <w:highlight w:val="none"/>
        </w:rPr>
      </w:pPr>
      <w:r/>
      <w:bookmarkStart w:id="306" w:name="_Toc7073"/>
      <w:r/>
      <w:bookmarkStart w:id="307" w:name="_Toc29220"/>
      <w:r/>
      <w:bookmarkStart w:id="308" w:name="_Toc279701262"/>
      <w:r/>
      <w:bookmarkStart w:id="309" w:name="_Toc259093691"/>
      <w:r/>
      <w:bookmarkStart w:id="310" w:name="_Toc487900372"/>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任何一方因履行合同而以合同第一部分尾部所列明的</w:t>
      </w:r>
      <w:r>
        <w:rPr>
          <w:rFonts w:hint="eastAsia" w:ascii="宋体" w:hAnsi="宋体" w:eastAsia="宋体" w:cs="宋体"/>
          <w:b/>
          <w:i/>
          <w:color w:val="auto"/>
          <w:sz w:val="24"/>
          <w:szCs w:val="24"/>
          <w:highlight w:val="none"/>
          <w:u w:val="single"/>
        </w:rPr>
        <w:t xml:space="preserve">内容</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b/>
          <w:i/>
          <w:color w:val="auto"/>
          <w:sz w:val="24"/>
          <w:szCs w:val="24"/>
          <w:highlight w:val="none"/>
          <w:u w:val="single"/>
        </w:rPr>
        <w:t xml:space="preserve">5个工作日</w:t>
      </w:r>
      <w:r>
        <w:rPr>
          <w:rFonts w:hint="eastAsia" w:ascii="宋体" w:hAnsi="宋体" w:eastAsia="宋体" w:cs="宋体"/>
          <w:color w:val="auto"/>
          <w:sz w:val="24"/>
          <w:szCs w:val="24"/>
          <w:highlight w:val="none"/>
        </w:rPr>
        <w:t xml:space="preserve">内书面通知对方当事人，在对方当事人收到有关变更通知之前，变更前的约定送达方式或者地址仍视为有效。</w:t>
      </w:r>
      <w:bookmarkEnd w:id="306"/>
      <w:r/>
      <w:bookmarkEnd w:id="307"/>
      <w:r/>
      <w:r/>
    </w:p>
    <w:p>
      <w:pPr>
        <w:ind w:firstLine="480"/>
        <w:spacing w:line="440" w:lineRule="exact"/>
        <w:rPr>
          <w:rFonts w:hint="eastAsia" w:ascii="宋体" w:hAnsi="宋体" w:eastAsia="宋体" w:cs="宋体"/>
          <w:color w:val="auto"/>
          <w:sz w:val="24"/>
          <w:szCs w:val="24"/>
          <w:highlight w:val="none"/>
        </w:rPr>
      </w:pPr>
      <w:r/>
      <w:bookmarkStart w:id="311" w:name="_Toc27674"/>
      <w:r/>
      <w:bookmarkStart w:id="312" w:name="_Toc18401"/>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1"/>
      <w:r/>
      <w:bookmarkEnd w:id="312"/>
      <w:r/>
      <w:bookmarkEnd w:id="308"/>
      <w:bookmarkEnd w:id="309"/>
      <w:bookmarkEnd w:id="310"/>
      <w:r/>
    </w:p>
    <w:p>
      <w:pPr>
        <w:spacing w:line="440" w:lineRule="exact"/>
        <w:rPr>
          <w:rFonts w:hint="eastAsia" w:ascii="宋体" w:hAnsi="宋体" w:eastAsia="宋体" w:cs="宋体"/>
          <w:b/>
          <w:color w:val="auto"/>
          <w:sz w:val="24"/>
          <w:szCs w:val="24"/>
          <w:highlight w:val="none"/>
        </w:rPr>
      </w:pPr>
      <w:r/>
      <w:bookmarkStart w:id="313" w:name="_Toc4355"/>
      <w:r/>
      <w:bookmarkStart w:id="314" w:name="_Toc18540"/>
      <w:r/>
      <w:bookmarkStart w:id="315" w:name="_Toc30599"/>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计量单位</w:t>
      </w:r>
      <w:bookmarkEnd w:id="313"/>
      <w:r/>
      <w:bookmarkEnd w:id="314"/>
      <w:r/>
      <w:bookmarkEnd w:id="315"/>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除技术规范中另有规定外，合同的计量单位均使用国家法定计量单位。</w:t>
      </w:r>
      <w:r/>
    </w:p>
    <w:p>
      <w:pPr>
        <w:spacing w:line="440" w:lineRule="exact"/>
        <w:rPr>
          <w:rFonts w:hint="eastAsia" w:ascii="宋体" w:hAnsi="宋体" w:eastAsia="宋体" w:cs="宋体"/>
          <w:b/>
          <w:color w:val="auto"/>
          <w:sz w:val="24"/>
          <w:highlight w:val="none"/>
        </w:rPr>
      </w:pPr>
      <w:r/>
      <w:bookmarkStart w:id="316" w:name="_Toc487900373"/>
      <w:r/>
      <w:bookmarkStart w:id="317" w:name="_Toc18567"/>
      <w:r/>
      <w:bookmarkStart w:id="318" w:name="_Toc12773"/>
      <w:r/>
      <w:bookmarkStart w:id="319" w:name="_Toc259093692"/>
      <w:r/>
      <w:bookmarkStart w:id="320" w:name="_Toc279701263"/>
      <w:r/>
      <w:bookmarkStart w:id="321" w:name="_Toc10330"/>
      <w:r>
        <w:rPr>
          <w:rFonts w:hint="eastAsia" w:ascii="宋体" w:hAnsi="宋体" w:eastAsia="宋体" w:cs="宋体"/>
          <w:b/>
          <w:color w:val="auto"/>
          <w:sz w:val="24"/>
          <w:highlight w:val="none"/>
        </w:rPr>
        <w:t xml:space="preserve">2.1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 合同使用的文字和适用的法律</w:t>
      </w:r>
      <w:bookmarkEnd w:id="316"/>
      <w:r/>
      <w:bookmarkEnd w:id="317"/>
      <w:r/>
      <w:bookmarkEnd w:id="318"/>
      <w:r/>
      <w:bookmarkEnd w:id="319"/>
      <w:r/>
      <w:bookmarkEnd w:id="320"/>
      <w:r/>
      <w:bookmarkEnd w:id="321"/>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spacing w:line="440" w:lineRule="exact"/>
        <w:rPr>
          <w:rFonts w:hint="eastAsia" w:ascii="宋体" w:hAnsi="宋体" w:eastAsia="宋体" w:cs="宋体"/>
          <w:b/>
          <w:color w:val="auto"/>
          <w:sz w:val="24"/>
          <w:highlight w:val="none"/>
        </w:rPr>
      </w:pPr>
      <w:r/>
      <w:bookmarkStart w:id="322" w:name="_Toc22266"/>
      <w:r/>
      <w:bookmarkStart w:id="323" w:name="_Toc27403"/>
      <w:r/>
      <w:bookmarkStart w:id="324" w:name="_Toc27127"/>
      <w:r/>
      <w:bookmarkStart w:id="325" w:name="_Toc1492"/>
      <w:r/>
      <w:bookmarkStart w:id="326" w:name="_Toc279701264"/>
      <w:r/>
      <w:bookmarkStart w:id="327" w:name="_Toc30096"/>
      <w:r/>
      <w:bookmarkStart w:id="328" w:name="_Toc259093693"/>
      <w:r/>
      <w:bookmarkStart w:id="329" w:name="_Toc487900374"/>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18</w:t>
      </w:r>
      <w:r>
        <w:rPr>
          <w:rFonts w:hint="eastAsia" w:ascii="宋体" w:hAnsi="宋体" w:eastAsia="宋体" w:cs="宋体"/>
          <w:b/>
          <w:color w:val="auto"/>
          <w:sz w:val="24"/>
          <w:highlight w:val="none"/>
        </w:rPr>
        <w:t xml:space="preserve"> 履约保证金</w:t>
      </w:r>
      <w:bookmarkEnd w:id="322"/>
      <w:r/>
      <w:bookmarkEnd w:id="323"/>
      <w:r/>
      <w:bookmarkEnd w:id="324"/>
      <w:r/>
      <w:bookmarkEnd w:id="325"/>
      <w:r/>
      <w:bookmarkEnd w:id="326"/>
      <w:r/>
      <w:bookmarkEnd w:id="327"/>
      <w:r/>
      <w:bookmarkEnd w:id="328"/>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2.20.1</w:t>
      </w:r>
      <w:r>
        <w:rPr>
          <w:rFonts w:hint="eastAsia" w:ascii="宋体" w:hAnsi="宋体" w:eastAsia="宋体" w:cs="宋体"/>
          <w:color w:val="auto"/>
          <w:sz w:val="24"/>
          <w:highlight w:val="none"/>
          <w:lang w:val="zh-CN"/>
        </w:rPr>
        <w:t xml:space="preserve"> 本项目不收取履约保证金。</w:t>
      </w:r>
      <w:bookmarkEnd w:id="329"/>
      <w:r/>
    </w:p>
    <w:p>
      <w:pPr>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第三部分  合同专用条款</w:t>
      </w:r>
      <w:r/>
    </w:p>
    <w:p>
      <w:pPr>
        <w:ind w:firstLine="48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5"/>
        <w:tblW w:w="966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jc w:val="center"/>
          <w:trHeight w:val="567"/>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8505"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约定内容</w:t>
            </w:r>
            <w:r/>
          </w:p>
        </w:tc>
      </w:tr>
      <w:tr>
        <w:trPr>
          <w:jc w:val="cente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甲方（盖章）：                         乙方（盖章）：</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法定代表人（签名）：                   法定代表人（签名）：</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或委托代理人（签名）：                 或委托代理人（签名）：</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地址：</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电话：</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传真：</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开户银行：</w:t>
      </w:r>
      <w:r/>
    </w:p>
    <w:p>
      <w:pPr>
        <w:ind w:left="0" w:firstLine="42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银行账号：</w:t>
      </w:r>
      <w:r/>
    </w:p>
    <w:p>
      <w:pPr>
        <w:ind w:left="0" w:firstLine="42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 xml:space="preserve">社会统一信用代码:                      社会统一信用代码：</w:t>
      </w:r>
      <w:r/>
    </w:p>
    <w:p>
      <w:pPr>
        <w:ind w:firstLine="880"/>
        <w:jc w:val="center"/>
        <w:keepNext/>
        <w:rPr>
          <w:rFonts w:hint="eastAsia" w:ascii="宋体" w:hAnsi="宋体" w:eastAsia="宋体" w:cs="宋体"/>
          <w:b/>
          <w:bCs/>
          <w:color w:val="auto"/>
          <w:sz w:val="40"/>
          <w:szCs w:val="40"/>
          <w:highlight w:val="none"/>
        </w:rPr>
        <w:outlineLvl w:val="0"/>
      </w:pPr>
      <w:r>
        <w:rPr>
          <w:rFonts w:hint="eastAsia" w:ascii="宋体" w:hAnsi="宋体" w:eastAsia="宋体" w:cs="宋体"/>
          <w:bCs/>
          <w:color w:val="auto"/>
          <w:sz w:val="44"/>
          <w:szCs w:val="21"/>
          <w:highlight w:val="none"/>
        </w:rPr>
        <w:br w:type="page" w:clear="all"/>
      </w:r>
      <w:bookmarkStart w:id="330" w:name="_Toc1426"/>
      <w:r>
        <w:rPr>
          <w:rFonts w:hint="eastAsia" w:ascii="宋体" w:hAnsi="宋体" w:eastAsia="宋体" w:cs="宋体"/>
          <w:b/>
          <w:bCs/>
          <w:color w:val="auto"/>
          <w:sz w:val="40"/>
          <w:szCs w:val="40"/>
          <w:highlight w:val="none"/>
        </w:rPr>
        <w:t xml:space="preserve">第</w:t>
      </w:r>
      <w:bookmarkEnd w:id="174"/>
      <w:r>
        <w:rPr>
          <w:rFonts w:hint="eastAsia" w:ascii="宋体" w:hAnsi="宋体" w:eastAsia="宋体" w:cs="宋体"/>
          <w:b/>
          <w:bCs/>
          <w:color w:val="auto"/>
          <w:sz w:val="40"/>
          <w:szCs w:val="40"/>
          <w:highlight w:val="none"/>
        </w:rPr>
        <w:t xml:space="preserve">四章  采购需求</w:t>
      </w:r>
      <w:bookmarkEnd w:id="175"/>
      <w:r/>
      <w:bookmarkEnd w:id="176"/>
      <w:r/>
      <w:bookmarkEnd w:id="177"/>
      <w:r/>
      <w:bookmarkEnd w:id="330"/>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pPr>
      <w:r/>
      <w:bookmarkStart w:id="331" w:name="_Toc157604637"/>
      <w:r/>
      <w:bookmarkStart w:id="332" w:name="_Toc49090575"/>
      <w:r/>
      <w:bookmarkStart w:id="333" w:name="_Toc120614281"/>
      <w:r/>
      <w:bookmarkStart w:id="334" w:name="_Toc26554093"/>
      <w:r>
        <w:rPr>
          <w:rFonts w:hint="eastAsia" w:ascii="宋体" w:hAnsi="宋体" w:eastAsia="宋体" w:cs="宋体"/>
          <w:b/>
          <w:bCs/>
          <w:color w:val="auto"/>
          <w:sz w:val="28"/>
          <w:szCs w:val="28"/>
          <w:highlight w:val="none"/>
          <w:lang w:val="zh-CN"/>
        </w:rPr>
        <w:t xml:space="preserve">项目名称：常熟第二人民医院医用氧采购项目</w:t>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项目编号：</w:t>
      </w:r>
      <w:r>
        <w:rPr>
          <w:rFonts w:hint="eastAsia" w:ascii="宋体" w:hAnsi="宋体" w:cs="宋体"/>
          <w:b/>
          <w:bCs/>
          <w:color w:val="auto"/>
          <w:sz w:val="28"/>
          <w:szCs w:val="28"/>
          <w:highlight w:val="none"/>
          <w:lang w:val="zh-CN"/>
        </w:rPr>
        <w:t xml:space="preserve">JSZC-320581-SZDS-G2026-0008</w:t>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采 购 人：常熟市第二人民医院</w:t>
      </w:r>
      <w:bookmarkEnd w:id="331"/>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outlineLvl w:val="1"/>
      </w:pPr>
      <w:r/>
      <w:bookmarkStart w:id="335" w:name="_Toc26113"/>
      <w:r/>
      <w:bookmarkStart w:id="336" w:name="_Toc132653370"/>
      <w:r/>
      <w:bookmarkStart w:id="337" w:name="OLE_LINK1"/>
      <w:r>
        <w:rPr>
          <w:rFonts w:hint="eastAsia" w:ascii="宋体" w:hAnsi="宋体" w:eastAsia="宋体" w:cs="宋体"/>
          <w:b/>
          <w:bCs/>
          <w:color w:val="auto"/>
          <w:sz w:val="28"/>
          <w:szCs w:val="28"/>
          <w:highlight w:val="none"/>
          <w:lang w:val="zh-CN"/>
        </w:rPr>
        <w:t xml:space="preserve">一、项目说明：</w:t>
      </w:r>
      <w:bookmarkEnd w:id="335"/>
      <w:r/>
      <w:bookmarkEnd w:id="336"/>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1、本项目不接受进口产品投标（进口产品是指“通过中国海关报关验放进入中国境内且产自关境外的产品”）。</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2、本项目采购内容为</w:t>
      </w:r>
      <w:r>
        <w:rPr>
          <w:rFonts w:hint="eastAsia" w:ascii="宋体" w:hAnsi="宋体" w:eastAsia="宋体" w:cs="宋体"/>
          <w:color w:val="auto"/>
          <w:sz w:val="24"/>
          <w:szCs w:val="24"/>
          <w:highlight w:val="none"/>
          <w:lang w:eastAsia="zh-CN"/>
        </w:rPr>
        <w:t xml:space="preserve">常熟市第二人民医院</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常熟第二人民医院医用氧采购项目，</w:t>
      </w:r>
      <w:r>
        <w:rPr>
          <w:rFonts w:hint="eastAsia" w:ascii="宋体" w:hAnsi="宋体" w:eastAsia="宋体" w:cs="宋体"/>
          <w:color w:val="auto"/>
          <w:sz w:val="24"/>
          <w:szCs w:val="24"/>
          <w:highlight w:val="none"/>
          <w:lang w:val="en-US" w:eastAsia="zh-CN"/>
        </w:rPr>
        <w:t xml:space="preserve">主要包括两院区的医用液态氧、瓶装医用氧气等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3、投标人应对项目现场进行踏勘，但相关费用须自理。现场踏勘联系人：</w:t>
      </w:r>
      <w:r>
        <w:rPr>
          <w:rFonts w:hint="eastAsia" w:ascii="宋体" w:hAnsi="宋体" w:eastAsia="宋体" w:cs="宋体"/>
          <w:color w:val="auto"/>
          <w:sz w:val="24"/>
          <w:szCs w:val="24"/>
          <w:highlight w:val="none"/>
          <w:lang w:eastAsia="zh-CN"/>
        </w:rPr>
        <w:t xml:space="preserve">龚立强</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0512-52277255</w:t>
      </w:r>
      <w:r>
        <w:rPr>
          <w:rFonts w:hint="eastAsia" w:ascii="宋体" w:hAnsi="宋体" w:eastAsia="宋体" w:cs="宋体"/>
          <w:color w:val="auto"/>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交付时间</w:t>
      </w:r>
      <w:r>
        <w:rPr>
          <w:rFonts w:hint="eastAsia" w:ascii="宋体" w:hAnsi="宋体" w:eastAsia="宋体" w:cs="宋体"/>
          <w:color w:val="auto"/>
          <w:sz w:val="24"/>
          <w:szCs w:val="24"/>
          <w:highlight w:val="none"/>
        </w:rPr>
        <w:t xml:space="preserve">：</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4.1服务期限：自合同签订之日起2年。</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4.2供货期：采购人提出供货需求起2个自然日内。</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4.3在供货期内，投标人按采购人要求按时分批将货物配送至采购人指定地点。</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5、交付地点：</w:t>
      </w:r>
      <w:r>
        <w:rPr>
          <w:rFonts w:hint="eastAsia" w:ascii="宋体" w:hAnsi="宋体" w:eastAsia="宋体" w:cs="宋体"/>
          <w:color w:val="auto"/>
          <w:sz w:val="24"/>
          <w:szCs w:val="24"/>
          <w:highlight w:val="none"/>
          <w:lang w:val="en-US" w:eastAsia="zh-CN"/>
        </w:rPr>
        <w:t xml:space="preserve">常</w:t>
      </w:r>
      <w:r>
        <w:rPr>
          <w:rFonts w:hint="eastAsia" w:ascii="宋体" w:hAnsi="宋体" w:eastAsia="宋体" w:cs="宋体"/>
          <w:color w:val="auto"/>
          <w:sz w:val="24"/>
          <w:szCs w:val="22"/>
          <w:highlight w:val="none"/>
          <w:lang w:val="en-US" w:eastAsia="zh-CN"/>
        </w:rPr>
        <w:t xml:space="preserve">熟市第二人民医院（一院二区：常熟市台山路18号、常熟市海虞南路68号）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付款方式：</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6.1结算方式：当月气体实际供货费用为各类气体实际供货数量乘以该气体对应中标单价</w:t>
      </w:r>
      <w:r>
        <w:rPr>
          <w:rFonts w:hint="eastAsia" w:ascii="宋体" w:hAnsi="宋体" w:eastAsia="宋体" w:cs="宋体"/>
          <w:color w:val="auto"/>
          <w:sz w:val="24"/>
          <w:szCs w:val="24"/>
          <w:highlight w:val="none"/>
          <w:lang w:eastAsia="zh-CN"/>
        </w:rPr>
        <w:t xml:space="preserve">；</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6.2付款方式：采购人按月度核算实际货款，在月后的三个月内向中标人支付当月实际货款。</w:t>
      </w:r>
      <w:r/>
    </w:p>
    <w:p>
      <w:pPr>
        <w:ind w:firstLine="723"/>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注：（1）付款前，中标人提供符合采购人要求的同等金额的合法有效发票。否则，采购人有权顺延付款时间，且不承担任何违约及赔偿责任。</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本项目支付方式支持数字人民币方式。</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不满足上述</w:t>
      </w:r>
      <w:r>
        <w:rPr>
          <w:rFonts w:hint="eastAsia" w:ascii="宋体" w:hAnsi="宋体" w:eastAsia="宋体" w:cs="宋体"/>
          <w:b/>
          <w:bCs/>
          <w:color w:val="auto"/>
          <w:sz w:val="24"/>
          <w:szCs w:val="24"/>
          <w:highlight w:val="none"/>
          <w:lang w:val="en-US" w:eastAsia="zh-CN"/>
        </w:rPr>
        <w:t xml:space="preserve">结算</w:t>
      </w:r>
      <w:r>
        <w:rPr>
          <w:rFonts w:hint="eastAsia" w:ascii="宋体" w:hAnsi="宋体" w:eastAsia="宋体" w:cs="宋体"/>
          <w:b/>
          <w:bCs/>
          <w:color w:val="auto"/>
          <w:sz w:val="24"/>
          <w:szCs w:val="24"/>
          <w:highlight w:val="none"/>
        </w:rPr>
        <w:t xml:space="preserve">付款</w:t>
      </w:r>
      <w:r>
        <w:rPr>
          <w:rFonts w:hint="eastAsia" w:ascii="宋体" w:hAnsi="宋体" w:eastAsia="宋体" w:cs="宋体"/>
          <w:b/>
          <w:bCs/>
          <w:color w:val="auto"/>
          <w:sz w:val="24"/>
          <w:szCs w:val="24"/>
          <w:highlight w:val="none"/>
          <w:lang w:val="en-US" w:eastAsia="zh-CN"/>
        </w:rPr>
        <w:t xml:space="preserve">方式</w:t>
      </w:r>
      <w:r>
        <w:rPr>
          <w:rFonts w:hint="eastAsia" w:ascii="宋体" w:hAnsi="宋体" w:eastAsia="宋体" w:cs="宋体"/>
          <w:b/>
          <w:bCs/>
          <w:color w:val="auto"/>
          <w:sz w:val="24"/>
          <w:szCs w:val="24"/>
          <w:highlight w:val="none"/>
        </w:rPr>
        <w:t xml:space="preserve">的作无效投标处理。</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7、结算方式：本项目以</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合同方式结算。</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、本项目不得以任何形式进行转包及分包。</w:t>
      </w:r>
      <w:r/>
    </w:p>
    <w:p>
      <w:pPr>
        <w:numPr>
          <w:ilvl w:val="0"/>
          <w:numId w:val="0"/>
        </w:numPr>
        <w:ind w:firstLine="482"/>
        <w:spacing w:line="420" w:lineRule="exact"/>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szCs w:val="24"/>
          <w:highlight w:val="none"/>
        </w:rPr>
        <w:t xml:space="preserve">本项目按投标优惠率进行</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报价，设定投标优惠率报价范围，详见《</w:t>
      </w: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表》，优惠率不得超过报价范围，否则作无效投标处理。《</w:t>
      </w: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表》中所有</w:t>
      </w:r>
      <w:r>
        <w:rPr>
          <w:rFonts w:hint="eastAsia" w:ascii="宋体" w:hAnsi="宋体" w:eastAsia="宋体" w:cs="宋体"/>
          <w:b/>
          <w:bCs/>
          <w:color w:val="auto"/>
          <w:sz w:val="24"/>
          <w:szCs w:val="24"/>
          <w:highlight w:val="none"/>
          <w:lang w:val="en-US" w:eastAsia="zh-CN"/>
        </w:rPr>
        <w:t xml:space="preserve">类别</w:t>
      </w:r>
      <w:r>
        <w:rPr>
          <w:rFonts w:hint="eastAsia" w:ascii="宋体" w:hAnsi="宋体" w:eastAsia="宋体" w:cs="宋体"/>
          <w:b/>
          <w:bCs/>
          <w:color w:val="auto"/>
          <w:sz w:val="24"/>
          <w:szCs w:val="24"/>
          <w:highlight w:val="none"/>
        </w:rPr>
        <w:t xml:space="preserve">的投标优惠率相等，如不相等，将作无效投标处理。</w:t>
      </w:r>
      <w:r/>
    </w:p>
    <w:p>
      <w:pPr>
        <w:numPr>
          <w:ilvl w:val="0"/>
          <w:numId w:val="0"/>
        </w:numPr>
        <w:ind w:left="0" w:firstLine="482"/>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w:t>
      </w:r>
      <w:r/>
    </w:p>
    <w:tbl>
      <w:tblPr>
        <w:tblStyle w:val="785"/>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35"/>
        <w:gridCol w:w="2221"/>
        <w:gridCol w:w="2423"/>
      </w:tblGrid>
      <w:tr>
        <w:trPr>
          <w:jc w:val="center"/>
          <w:trHeight w:val="538"/>
        </w:trPr>
        <w:tc>
          <w:tcPr>
            <w:tcW w:w="784"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435"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货物名称</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气体</w:t>
            </w:r>
            <w:r>
              <w:rPr>
                <w:rFonts w:hint="eastAsia" w:ascii="宋体" w:hAnsi="宋体" w:eastAsia="宋体" w:cs="宋体"/>
                <w:b/>
                <w:bCs/>
                <w:color w:val="auto"/>
                <w:sz w:val="24"/>
                <w:szCs w:val="24"/>
                <w:highlight w:val="none"/>
                <w:lang w:val="en-US" w:eastAsia="zh-CN"/>
              </w:rPr>
              <w:t xml:space="preserve">单价</w:t>
            </w:r>
            <w:r>
              <w:rPr>
                <w:rFonts w:hint="eastAsia" w:ascii="宋体" w:hAnsi="宋体" w:eastAsia="宋体" w:cs="宋体"/>
                <w:b/>
                <w:bCs/>
                <w:color w:val="auto"/>
                <w:sz w:val="24"/>
                <w:szCs w:val="24"/>
                <w:highlight w:val="none"/>
              </w:rPr>
              <w:t xml:space="preserve">最高限价</w:t>
            </w:r>
            <w:r/>
          </w:p>
        </w:tc>
        <w:tc>
          <w:tcPr>
            <w:tcW w:w="2423"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投标优惠率报价范围</w:t>
            </w:r>
            <w:r/>
          </w:p>
        </w:tc>
      </w:tr>
      <w:tr>
        <w:trPr>
          <w:jc w:val="center"/>
          <w:trHeight w:val="442"/>
        </w:trPr>
        <w:tc>
          <w:tcPr>
            <w:tcW w:w="784"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35"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医用液氧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987.54</w:t>
            </w:r>
            <w:r>
              <w:rPr>
                <w:rFonts w:hint="eastAsia" w:ascii="宋体" w:hAnsi="宋体" w:eastAsia="宋体" w:cs="宋体"/>
                <w:color w:val="auto"/>
                <w:sz w:val="24"/>
                <w:szCs w:val="24"/>
                <w:highlight w:val="none"/>
              </w:rPr>
              <w:t xml:space="preserve">元/吨</w:t>
            </w:r>
            <w:r/>
          </w:p>
        </w:tc>
        <w:tc>
          <w:tcPr>
            <w:tcW w:w="2423" w:type="dxa"/>
            <w:vAlign w:val="center"/>
            <w:vMerge w:val="restart"/>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0≤投标优惠率＜100%</w:t>
            </w:r>
            <w:r/>
          </w:p>
        </w:tc>
      </w:tr>
      <w:tr>
        <w:trPr>
          <w:jc w:val="center"/>
          <w:trHeight w:val="440"/>
        </w:trPr>
        <w:tc>
          <w:tcPr>
            <w:tcW w:w="784"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35"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40L医用氧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58.30</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4"/>
        </w:trPr>
        <w:tc>
          <w:tcPr>
            <w:tcW w:w="784"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35"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10L医用氧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32.09</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784"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35"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4L医用氧（</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24.40</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注：中标单价=对应单价最高限价*（1-投标优惠率）。</w:t>
      </w:r>
      <w:bookmarkEnd w:id="337"/>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outlineLvl w:val="1"/>
      </w:pPr>
      <w:r/>
      <w:bookmarkStart w:id="338" w:name="_Toc12700"/>
      <w:r/>
      <w:bookmarkStart w:id="339" w:name="_Toc103781675"/>
      <w:r/>
      <w:bookmarkStart w:id="340" w:name="_Toc115443342"/>
      <w:r/>
      <w:bookmarkStart w:id="341" w:name="_Toc132653376"/>
      <w:r/>
      <w:bookmarkStart w:id="342" w:name="_Toc101375110"/>
      <w:r>
        <w:rPr>
          <w:rFonts w:hint="eastAsia" w:ascii="宋体" w:hAnsi="宋体" w:eastAsia="宋体" w:cs="宋体"/>
          <w:b/>
          <w:bCs/>
          <w:color w:val="auto"/>
          <w:sz w:val="28"/>
          <w:szCs w:val="28"/>
          <w:highlight w:val="none"/>
          <w:lang w:val="zh-CN"/>
        </w:rPr>
        <w:t xml:space="preserve">二、需求清单：</w:t>
      </w:r>
      <w:bookmarkEnd w:id="338"/>
      <w:r/>
      <w:bookmarkEnd w:id="339"/>
      <w:r/>
    </w:p>
    <w:tbl>
      <w:tblPr>
        <w:tblStyle w:val="785"/>
        <w:tblW w:w="6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2809"/>
        <w:gridCol w:w="2216"/>
      </w:tblGrid>
      <w:tr>
        <w:trPr>
          <w:jc w:val="center"/>
          <w:trHeight w:val="538"/>
        </w:trPr>
        <w:tc>
          <w:tcPr>
            <w:tcW w:w="140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809"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货物名称</w:t>
            </w:r>
            <w:r/>
          </w:p>
        </w:tc>
        <w:tc>
          <w:tcPr>
            <w:tcW w:w="2216"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一年气体需求数量</w:t>
            </w:r>
            <w:r/>
          </w:p>
        </w:tc>
      </w:tr>
      <w:tr>
        <w:trPr>
          <w:jc w:val="center"/>
          <w:trHeight w:val="442"/>
        </w:trPr>
        <w:tc>
          <w:tcPr>
            <w:tcW w:w="140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809"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医用液氧</w:t>
            </w:r>
            <w:r/>
          </w:p>
        </w:tc>
        <w:tc>
          <w:tcPr>
            <w:tcW w:w="22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1200</w:t>
            </w:r>
            <w:r>
              <w:rPr>
                <w:rFonts w:hint="eastAsia" w:ascii="宋体" w:hAnsi="宋体" w:eastAsia="宋体" w:cs="宋体"/>
                <w:color w:val="auto"/>
                <w:sz w:val="24"/>
                <w:highlight w:val="none"/>
              </w:rPr>
              <w:t xml:space="preserve">吨</w:t>
            </w:r>
            <w:r/>
          </w:p>
        </w:tc>
      </w:tr>
      <w:tr>
        <w:trPr>
          <w:jc w:val="center"/>
          <w:trHeight w:val="440"/>
        </w:trPr>
        <w:tc>
          <w:tcPr>
            <w:tcW w:w="140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809"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40L医用氧</w:t>
            </w:r>
            <w:r/>
          </w:p>
        </w:tc>
        <w:tc>
          <w:tcPr>
            <w:tcW w:w="22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60瓶</w:t>
            </w:r>
            <w:r/>
          </w:p>
        </w:tc>
      </w:tr>
      <w:tr>
        <w:trPr>
          <w:jc w:val="center"/>
          <w:trHeight w:val="414"/>
        </w:trPr>
        <w:tc>
          <w:tcPr>
            <w:tcW w:w="140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809"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10L医用氧</w:t>
            </w:r>
            <w:r/>
          </w:p>
        </w:tc>
        <w:tc>
          <w:tcPr>
            <w:tcW w:w="22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130瓶</w:t>
            </w:r>
            <w:r/>
          </w:p>
        </w:tc>
      </w:tr>
      <w:tr>
        <w:trPr>
          <w:jc w:val="center"/>
          <w:trHeight w:val="430"/>
        </w:trPr>
        <w:tc>
          <w:tcPr>
            <w:tcW w:w="140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809"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4L医用氧（</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p>
        </w:tc>
        <w:tc>
          <w:tcPr>
            <w:tcW w:w="221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3100瓶</w:t>
            </w:r>
            <w:r/>
          </w:p>
        </w:tc>
      </w:tr>
    </w:tbl>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注：1、本项目的核心产品为医用液氧。</w:t>
      </w:r>
      <w:r/>
    </w:p>
    <w:p>
      <w:pPr>
        <w:numPr>
          <w:ilvl w:val="0"/>
          <w:numId w:val="5"/>
        </w:numPr>
        <w:ind w:firstLine="964"/>
        <w:keepLines w:val="0"/>
        <w:keepNext w:val="0"/>
        <w:pageBreakBefore w:val="0"/>
        <w:spacing w:line="46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中标人需在合同履行供货期内，免费提供40L医用氧约45瓶、10L医用氧约10瓶以及4L医用氧（组合瓶）约207瓶，供常熟市第二人民医院（一院二区：常熟市台山路18号、常熟市海虞南路68号）在周期内周转。</w:t>
      </w:r>
      <w:r/>
    </w:p>
    <w:p>
      <w:pPr>
        <w:numPr>
          <w:ilvl w:val="0"/>
          <w:numId w:val="5"/>
        </w:numPr>
        <w:ind w:firstLine="964"/>
        <w:keepLines w:val="0"/>
        <w:keepNext w:val="0"/>
        <w:pageBreakBefore w:val="0"/>
        <w:spacing w:line="460" w:lineRule="exact"/>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上述一年需求数量为预估数量，具体以采购人的实际量为准。</w:t>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outlineLvl w:val="1"/>
      </w:pPr>
      <w:r/>
      <w:bookmarkStart w:id="411" w:name="_GoBack"/>
      <w:r/>
      <w:bookmarkEnd w:id="411"/>
      <w:r/>
      <w:bookmarkStart w:id="343" w:name="_Toc20292"/>
      <w:r>
        <w:rPr>
          <w:rFonts w:hint="eastAsia" w:ascii="宋体" w:hAnsi="宋体" w:eastAsia="宋体" w:cs="宋体"/>
          <w:b/>
          <w:bCs/>
          <w:color w:val="auto"/>
          <w:sz w:val="28"/>
          <w:szCs w:val="28"/>
          <w:highlight w:val="none"/>
          <w:lang w:val="zh-CN"/>
        </w:rPr>
        <w:t xml:space="preserve">三、技术性能参数要求：</w:t>
      </w:r>
      <w:bookmarkEnd w:id="343"/>
      <w:r/>
      <w:r/>
    </w:p>
    <w:p>
      <w:pPr>
        <w:keepLines w:val="0"/>
        <w:keepNext w:val="0"/>
        <w:pageBreakBefore w:val="0"/>
        <w:spacing w:line="460" w:lineRule="exact"/>
        <w:widowControl w:val="off"/>
        <w:rPr>
          <w:rFonts w:hint="eastAsia" w:ascii="宋体" w:hAnsi="宋体" w:eastAsia="宋体" w:cs="宋体"/>
          <w:b/>
          <w:bCs/>
          <w:color w:val="auto"/>
          <w:sz w:val="28"/>
          <w:highlight w:val="none"/>
          <w:lang w:val="en-US" w:eastAsia="zh-CN"/>
        </w:rPr>
        <w:outlineLvl w:val="1"/>
      </w:pPr>
      <w:r/>
      <w:bookmarkStart w:id="344" w:name="_Toc24404"/>
      <w:r>
        <w:rPr>
          <w:rFonts w:hint="eastAsia" w:ascii="宋体" w:hAnsi="宋体" w:eastAsia="宋体" w:cs="宋体"/>
          <w:b/>
          <w:bCs/>
          <w:color w:val="auto"/>
          <w:sz w:val="28"/>
          <w:highlight w:val="none"/>
          <w:lang w:val="en-US" w:eastAsia="zh-CN"/>
        </w:rPr>
        <w:t xml:space="preserve">（一）技术规格要求：</w:t>
      </w:r>
      <w:bookmarkEnd w:id="344"/>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1、医用液氧</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1.1纯度：≥99.5%。</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2、40L医用氧</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2.1规格：40L。</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2.2纯度：≥99.5%。</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2.3压力：≥135bar。</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3、10L医用氧</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3.1规格：10L。</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3.2纯度：≥99.5%。</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3.3压力：≥135bar。</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4、4L医用氧（组合瓶）</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4.1规格：4L。</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4.2纯度：≥99.5%。</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4.3压力：≥135bar。</w:t>
      </w:r>
      <w:r/>
    </w:p>
    <w:p>
      <w:pPr>
        <w:keepLines w:val="0"/>
        <w:keepNext w:val="0"/>
        <w:pageBreakBefore w:val="0"/>
        <w:spacing w:line="460" w:lineRule="exact"/>
        <w:widowControl w:val="off"/>
        <w:rPr>
          <w:rFonts w:hint="eastAsia" w:ascii="宋体" w:hAnsi="宋体" w:eastAsia="宋体" w:cs="宋体"/>
          <w:b/>
          <w:bCs/>
          <w:color w:val="auto"/>
          <w:sz w:val="28"/>
          <w:highlight w:val="none"/>
          <w:lang w:val="en-US" w:eastAsia="zh-CN"/>
        </w:rPr>
        <w:outlineLvl w:val="1"/>
      </w:pPr>
      <w:r/>
      <w:bookmarkStart w:id="345" w:name="_Toc29881"/>
      <w:r>
        <w:rPr>
          <w:rFonts w:hint="eastAsia" w:ascii="宋体" w:hAnsi="宋体" w:eastAsia="宋体" w:cs="宋体"/>
          <w:b/>
          <w:bCs/>
          <w:color w:val="auto"/>
          <w:sz w:val="28"/>
          <w:highlight w:val="none"/>
          <w:lang w:val="en-US" w:eastAsia="zh-CN"/>
        </w:rPr>
        <w:t xml:space="preserve">（二）其他要求：</w:t>
      </w:r>
      <w:bookmarkEnd w:id="345"/>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1、投标人应按采购人的要求进行送货，确保紧急情况下2小时内配送到位、一般情况下24小时内配送到位、最迟不得超过48小时配送到位。</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2、投标人不得以送货数量的多少、距离远近等拖延送货。</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3、投标人应具有完善的药品生产经营制度和产品质量控制流程，且符合国家相关标准与规范。</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4、投标人提供的供气设备须符合GB50751-2012要求。</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5、投标人应具有专用的医用液氧充装接口，且具有防错充措施。</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6、投标人应具有完整的医用氧实验室设备。</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7、投标人每个运输班次应配备不少于2名专职的检验人员。</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8、投标人每批产品的质量放行人不少于2人。</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9、投标人所提供产品必须符合2025版《中国药典》，并按批次以2025版《中国药典》对医用氧进行全检。</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10、投标人的储罐具有防错充措施。</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11、投标人应提供气站设备的定期巡检，定期保养，巡检及保养每年不少于6次，并提供详细的巡检及保养计划，包括但不限于时间，内容。</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12、投标人在采购人单位周边地区应至少配备1名专业维修人员。投标人应对投标人气站工作人员定期进行操作培训。投标人应配合医院进行气体相关的应急演练。</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13、投标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承诺在签订合同后 7个日历日内，完成两院区共计5台液氧储罐压力及液位数据的新建采集系统部署，并成功接入医院后勤监测平台，确保数据实时可查、报警功能正常</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14、合同期满后，本项目所部署的全部监测设备（含传感器、采集网关、数显仪表等）所有权无偿归医院所有，投标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不得拆除、回收或中断设备运行，且须在合同期内及期满后提供必要的技术支持以确保设备持续可用</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15、投标人如获得中标，承诺中标后每批次运输车辆均具有公安机关颁发的有效的危化品车辆市区通行证，投标文件中提供承诺书。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每批次运输车辆驾驶员应具有有效期内的中华人民共和国道路运输从业人员从业资格证（从业资格类别：道路危险货物运输驾驶员）；每批次运输车辆押运员应具有有效期内的中华人民共和国道路运输从业人员从业资格证（从业资格类别：道路危险货物运输押运人员）。</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17、投标人供货时须提供每批次医用液氧及医用瓶装氧的批号及质检合格证。</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18、售后服务要求：</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18.1对采购人的压力容器及压力表进行定期检查，液罐进行定期保洁，负责一级减压阀前段管道检漏、减压器、仪表等调校；</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18.2如遇突发事件要提供紧急维修，1小时内电话响应，2小时内达到现场；</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18.3配合采购人定期组织相关人员的专业培训；</w:t>
      </w:r>
      <w:r/>
    </w:p>
    <w:p>
      <w:pPr>
        <w:ind w:firstLine="72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18.4投标人应根据医院临床需要提供各类规格的气瓶，为采购人提供检测合格、标识清晰的钢瓶；如采购人缺失或损坏的由采购人按实赔偿。气瓶每年的检测费均由投标人承担，包含在投标报价中。</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注：上述技术标准如作废或有替代标准，则以现行的最新标准为准。</w:t>
      </w:r>
      <w:r/>
    </w:p>
    <w:p>
      <w:pPr>
        <w:keepLines w:val="0"/>
        <w:keepNext w:val="0"/>
        <w:pageBreakBefore w:val="0"/>
        <w:spacing w:line="460" w:lineRule="exact"/>
        <w:widowControl w:val="off"/>
        <w:rPr>
          <w:rFonts w:hint="eastAsia" w:ascii="宋体" w:hAnsi="宋体" w:eastAsia="宋体" w:cs="宋体"/>
          <w:b/>
          <w:bCs/>
          <w:color w:val="auto"/>
          <w:sz w:val="28"/>
          <w:highlight w:val="none"/>
        </w:rPr>
        <w:outlineLvl w:val="1"/>
      </w:pPr>
      <w:r/>
      <w:bookmarkStart w:id="346" w:name="_Toc8631"/>
      <w:r>
        <w:rPr>
          <w:rFonts w:hint="eastAsia" w:ascii="宋体" w:hAnsi="宋体" w:eastAsia="宋体" w:cs="宋体"/>
          <w:b/>
          <w:bCs/>
          <w:color w:val="auto"/>
          <w:sz w:val="28"/>
          <w:highlight w:val="none"/>
          <w:lang w:val="en-US" w:eastAsia="zh-CN"/>
        </w:rPr>
        <w:t xml:space="preserve">四</w:t>
      </w:r>
      <w:r>
        <w:rPr>
          <w:rFonts w:hint="eastAsia" w:ascii="宋体" w:hAnsi="宋体" w:eastAsia="宋体" w:cs="宋体"/>
          <w:b/>
          <w:bCs/>
          <w:color w:val="auto"/>
          <w:sz w:val="28"/>
          <w:highlight w:val="none"/>
        </w:rPr>
        <w:t xml:space="preserve">、投标报价要求：</w:t>
      </w:r>
      <w:bookmarkEnd w:id="340"/>
      <w:r/>
      <w:bookmarkEnd w:id="341"/>
      <w:r/>
      <w:bookmarkEnd w:id="342"/>
      <w:r/>
      <w:bookmarkEnd w:id="346"/>
      <w:r/>
      <w:r/>
    </w:p>
    <w:p>
      <w:pPr>
        <w:ind w:firstLine="47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投标人应按投标优惠率进行投标报价，必须对所有类别进行投报，不得漏报，且投标优惠率不超过报价范围（0</w:t>
      </w:r>
      <w:r>
        <w:rPr>
          <w:rFonts w:hint="eastAsia" w:ascii="宋体" w:hAnsi="宋体" w:eastAsia="宋体" w:cs="宋体"/>
          <w:b/>
          <w:bCs/>
          <w:color w:val="auto"/>
          <w:sz w:val="24"/>
          <w:szCs w:val="22"/>
          <w:highlight w:val="none"/>
        </w:rPr>
        <w:t xml:space="preserve">≤</w:t>
      </w:r>
      <w:r>
        <w:rPr>
          <w:rFonts w:hint="eastAsia" w:ascii="宋体" w:hAnsi="宋体" w:eastAsia="宋体" w:cs="宋体"/>
          <w:b/>
          <w:bCs/>
          <w:color w:val="auto"/>
          <w:sz w:val="24"/>
          <w:szCs w:val="24"/>
          <w:highlight w:val="none"/>
          <w:lang w:val="en-US" w:eastAsia="zh-CN"/>
        </w:rPr>
        <w:t xml:space="preserve">投标优惠率＜100%），否则将作无效投标处理。本项目</w:t>
      </w:r>
      <w:r>
        <w:rPr>
          <w:rFonts w:hint="eastAsia" w:ascii="宋体" w:hAnsi="宋体" w:eastAsia="宋体" w:cs="宋体"/>
          <w:b/>
          <w:bCs/>
          <w:color w:val="auto"/>
          <w:sz w:val="24"/>
          <w:szCs w:val="24"/>
          <w:highlight w:val="none"/>
        </w:rPr>
        <w:t xml:space="preserve">中所有</w:t>
      </w:r>
      <w:r>
        <w:rPr>
          <w:rFonts w:hint="eastAsia" w:ascii="宋体" w:hAnsi="宋体" w:eastAsia="宋体" w:cs="宋体"/>
          <w:b/>
          <w:bCs/>
          <w:color w:val="auto"/>
          <w:sz w:val="24"/>
          <w:szCs w:val="24"/>
          <w:highlight w:val="none"/>
          <w:lang w:val="en-US" w:eastAsia="zh-CN"/>
        </w:rPr>
        <w:t xml:space="preserve">类别</w:t>
      </w:r>
      <w:r>
        <w:rPr>
          <w:rFonts w:hint="eastAsia" w:ascii="宋体" w:hAnsi="宋体" w:eastAsia="宋体" w:cs="宋体"/>
          <w:b/>
          <w:bCs/>
          <w:color w:val="auto"/>
          <w:sz w:val="24"/>
          <w:szCs w:val="24"/>
          <w:highlight w:val="none"/>
        </w:rPr>
        <w:t xml:space="preserve">的投标优惠率相等，如不相等，将作无效投标处理。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2年</w:t>
      </w:r>
      <w:r>
        <w:rPr>
          <w:rFonts w:hint="eastAsia" w:ascii="宋体" w:hAnsi="宋体" w:eastAsia="宋体" w:cs="宋体"/>
          <w:b/>
          <w:bCs/>
          <w:color w:val="auto"/>
          <w:sz w:val="24"/>
          <w:szCs w:val="24"/>
          <w:highlight w:val="none"/>
        </w:rPr>
        <w:t xml:space="preserve">采购预算为¥2540000.00元（人民币贰佰伍拾肆万元整）。</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本项目按投标优惠率进行</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报价，设定投标优惠率报价范围，详见《</w:t>
      </w: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表》，优惠率不得超过报价范围，否则作无效投标处理。《</w:t>
      </w: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表》中所有</w:t>
      </w:r>
      <w:r>
        <w:rPr>
          <w:rFonts w:hint="eastAsia" w:ascii="宋体" w:hAnsi="宋体" w:eastAsia="宋体" w:cs="宋体"/>
          <w:b/>
          <w:bCs/>
          <w:color w:val="auto"/>
          <w:sz w:val="24"/>
          <w:szCs w:val="24"/>
          <w:highlight w:val="none"/>
          <w:lang w:val="en-US" w:eastAsia="zh-CN"/>
        </w:rPr>
        <w:t xml:space="preserve">类别</w:t>
      </w:r>
      <w:r>
        <w:rPr>
          <w:rFonts w:hint="eastAsia" w:ascii="宋体" w:hAnsi="宋体" w:eastAsia="宋体" w:cs="宋体"/>
          <w:b/>
          <w:bCs/>
          <w:color w:val="auto"/>
          <w:sz w:val="24"/>
          <w:szCs w:val="24"/>
          <w:highlight w:val="none"/>
        </w:rPr>
        <w:t xml:space="preserve">的投标优惠率相等，如不相等，将作无效投标处理。</w:t>
      </w:r>
      <w:r/>
    </w:p>
    <w:p>
      <w:pPr>
        <w:ind w:firstLine="482"/>
        <w:spacing w:line="45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中标单价=对应单价最高限价*（1-投标优惠率）。</w:t>
      </w:r>
      <w:r/>
    </w:p>
    <w:p>
      <w:pPr>
        <w:ind w:firstLine="47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包括服务期限内完成该项目工作所需的所有费用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包括：货物费、包装费、运输费、装卸仓储费、质量保证费、检测费、人工费、保险费、风险费、利润、货物本身已支付或将支付的各种税费、其他交付使用前所产生的所有费用。</w:t>
      </w:r>
      <w:r>
        <w:rPr>
          <w:rFonts w:hint="eastAsia" w:ascii="宋体" w:hAnsi="宋体" w:eastAsia="宋体" w:cs="宋体"/>
          <w:b/>
          <w:bCs/>
          <w:color w:val="auto"/>
          <w:sz w:val="24"/>
          <w:szCs w:val="24"/>
          <w:highlight w:val="none"/>
        </w:rPr>
        <w:t xml:space="preserve">采购人不再为本项目支付其他任何费用。招标文件未有列明，而投标人认为必需的相关费用也需列入投标</w:t>
      </w:r>
      <w:r>
        <w:rPr>
          <w:rFonts w:hint="eastAsia" w:ascii="宋体" w:hAnsi="宋体" w:eastAsia="宋体" w:cs="宋体"/>
          <w:b/>
          <w:bCs/>
          <w:color w:val="auto"/>
          <w:sz w:val="24"/>
          <w:szCs w:val="24"/>
          <w:highlight w:val="none"/>
          <w:lang w:val="en-US" w:eastAsia="zh-CN"/>
        </w:rPr>
        <w:t xml:space="preserve">报价</w:t>
      </w:r>
      <w:r>
        <w:rPr>
          <w:rFonts w:hint="eastAsia" w:ascii="宋体" w:hAnsi="宋体" w:eastAsia="宋体" w:cs="宋体"/>
          <w:b/>
          <w:bCs/>
          <w:color w:val="auto"/>
          <w:sz w:val="24"/>
          <w:szCs w:val="24"/>
          <w:highlight w:val="none"/>
        </w:rPr>
        <w:t xml:space="preserve">中。</w:t>
      </w:r>
      <w:r/>
    </w:p>
    <w:p>
      <w:pPr>
        <w:ind w:firstLine="47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、投标人在投标报价时应考虑各种风险因素，相关风险因素费用包含在投标</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中。</w:t>
      </w:r>
      <w:r/>
    </w:p>
    <w:p>
      <w:pPr>
        <w:keepLines w:val="0"/>
        <w:keepNext w:val="0"/>
        <w:pageBreakBefore w:val="0"/>
        <w:spacing w:line="460" w:lineRule="exact"/>
        <w:widowControl w:val="off"/>
        <w:rPr>
          <w:rFonts w:hint="eastAsia" w:ascii="宋体" w:hAnsi="宋体" w:eastAsia="宋体" w:cs="宋体"/>
          <w:b/>
          <w:bCs/>
          <w:color w:val="auto"/>
          <w:sz w:val="28"/>
          <w:highlight w:val="none"/>
          <w:lang w:val="en-US" w:eastAsia="zh-CN"/>
        </w:rPr>
        <w:outlineLvl w:val="1"/>
      </w:pPr>
      <w:r/>
      <w:bookmarkStart w:id="347" w:name="_Toc22892"/>
      <w:r>
        <w:rPr>
          <w:rFonts w:hint="eastAsia" w:ascii="宋体" w:hAnsi="宋体" w:eastAsia="宋体" w:cs="宋体"/>
          <w:b/>
          <w:bCs/>
          <w:color w:val="auto"/>
          <w:sz w:val="28"/>
          <w:highlight w:val="none"/>
          <w:lang w:val="en-US" w:eastAsia="zh-CN"/>
        </w:rPr>
        <w:t xml:space="preserve">五、质量保证及售后服务要求：</w:t>
      </w:r>
      <w:bookmarkEnd w:id="347"/>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color w:val="auto"/>
          <w:sz w:val="24"/>
          <w:szCs w:val="24"/>
          <w:highlight w:val="none"/>
        </w:rPr>
        <w:t xml:space="preserve">医用液氧</w:t>
      </w:r>
      <w:r>
        <w:rPr>
          <w:rFonts w:hint="eastAsia" w:ascii="宋体" w:hAnsi="宋体" w:eastAsia="宋体" w:cs="宋体"/>
          <w:b w:val="0"/>
          <w:bCs w:val="0"/>
          <w:color w:val="auto"/>
          <w:sz w:val="24"/>
          <w:highlight w:val="none"/>
        </w:rPr>
        <w:t xml:space="preserve">的免费质量保证期不少于</w:t>
      </w:r>
      <w:r>
        <w:rPr>
          <w:rFonts w:hint="eastAsia" w:ascii="宋体" w:hAnsi="宋体" w:eastAsia="宋体" w:cs="宋体"/>
          <w:b w:val="0"/>
          <w:bCs w:val="0"/>
          <w:color w:val="auto"/>
          <w:sz w:val="24"/>
          <w:highlight w:val="none"/>
          <w:lang w:val="en-US" w:eastAsia="zh-CN"/>
        </w:rPr>
        <w:t xml:space="preserve">3个月，</w:t>
      </w:r>
      <w:r>
        <w:rPr>
          <w:rFonts w:hint="eastAsia" w:ascii="宋体" w:hAnsi="宋体" w:eastAsia="宋体" w:cs="宋体"/>
          <w:b w:val="0"/>
          <w:bCs w:val="0"/>
          <w:color w:val="auto"/>
          <w:sz w:val="24"/>
          <w:highlight w:val="none"/>
        </w:rPr>
        <w:t xml:space="preserve">自验收合格之日起计算。</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color w:val="auto"/>
          <w:sz w:val="24"/>
          <w:szCs w:val="24"/>
          <w:highlight w:val="none"/>
        </w:rPr>
        <w:t xml:space="preserve">医用</w:t>
      </w:r>
      <w:r>
        <w:rPr>
          <w:rFonts w:hint="eastAsia" w:ascii="宋体" w:hAnsi="宋体" w:eastAsia="宋体" w:cs="宋体"/>
          <w:color w:val="auto"/>
          <w:sz w:val="24"/>
          <w:szCs w:val="24"/>
          <w:highlight w:val="none"/>
          <w:lang w:val="en-US" w:eastAsia="zh-CN"/>
        </w:rPr>
        <w:t xml:space="preserve">瓶装氧（40L医用氧、10L医用氧、4L医用氧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highlight w:val="none"/>
        </w:rPr>
        <w:t xml:space="preserve">的免费质量保证期不少于</w:t>
      </w:r>
      <w:r>
        <w:rPr>
          <w:rFonts w:hint="eastAsia" w:ascii="宋体" w:hAnsi="宋体" w:eastAsia="宋体" w:cs="宋体"/>
          <w:b w:val="0"/>
          <w:bCs w:val="0"/>
          <w:color w:val="auto"/>
          <w:sz w:val="24"/>
          <w:highlight w:val="none"/>
          <w:lang w:val="en-US" w:eastAsia="zh-CN"/>
        </w:rPr>
        <w:t xml:space="preserve">6个月，</w:t>
      </w:r>
      <w:r>
        <w:rPr>
          <w:rFonts w:hint="eastAsia" w:ascii="宋体" w:hAnsi="宋体" w:eastAsia="宋体" w:cs="宋体"/>
          <w:b w:val="0"/>
          <w:bCs w:val="0"/>
          <w:color w:val="auto"/>
          <w:sz w:val="24"/>
          <w:highlight w:val="none"/>
        </w:rPr>
        <w:t xml:space="preserve">自验收合格之日起计算</w:t>
      </w:r>
      <w:r>
        <w:rPr>
          <w:rFonts w:hint="eastAsia" w:ascii="宋体" w:hAnsi="宋体" w:eastAsia="宋体" w:cs="宋体"/>
          <w:color w:val="auto"/>
          <w:sz w:val="24"/>
          <w:highlight w:val="none"/>
          <w:lang w:val="en-US" w:eastAsia="zh-CN"/>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val="0"/>
          <w:bCs w:val="0"/>
          <w:color w:val="auto"/>
          <w:sz w:val="24"/>
          <w:highlight w:val="none"/>
        </w:rPr>
        <w:t xml:space="preserve">在免费质量保证期内，因货物制造原因出现的任何质量问题，</w:t>
      </w:r>
      <w:r>
        <w:rPr>
          <w:rFonts w:hint="eastAsia" w:ascii="宋体" w:hAnsi="宋体" w:eastAsia="宋体" w:cs="宋体"/>
          <w:b w:val="0"/>
          <w:bCs w:val="0"/>
          <w:color w:val="auto"/>
          <w:sz w:val="24"/>
          <w:highlight w:val="none"/>
          <w:lang w:val="en-US" w:eastAsia="zh-CN"/>
        </w:rPr>
        <w:t xml:space="preserve">中标</w:t>
      </w:r>
      <w:r>
        <w:rPr>
          <w:rFonts w:hint="eastAsia" w:ascii="宋体" w:hAnsi="宋体" w:eastAsia="宋体" w:cs="宋体"/>
          <w:b w:val="0"/>
          <w:bCs w:val="0"/>
          <w:color w:val="auto"/>
          <w:sz w:val="24"/>
          <w:highlight w:val="none"/>
        </w:rPr>
        <w:t xml:space="preserve">人应负责更换，由此产生的一切费用由</w:t>
      </w:r>
      <w:r>
        <w:rPr>
          <w:rFonts w:hint="eastAsia" w:ascii="宋体" w:hAnsi="宋体" w:eastAsia="宋体" w:cs="宋体"/>
          <w:b w:val="0"/>
          <w:bCs w:val="0"/>
          <w:color w:val="auto"/>
          <w:sz w:val="24"/>
          <w:highlight w:val="none"/>
          <w:lang w:val="en-US" w:eastAsia="zh-CN"/>
        </w:rPr>
        <w:t xml:space="preserve">中标</w:t>
      </w:r>
      <w:r>
        <w:rPr>
          <w:rFonts w:hint="eastAsia" w:ascii="宋体" w:hAnsi="宋体" w:eastAsia="宋体" w:cs="宋体"/>
          <w:b w:val="0"/>
          <w:bCs w:val="0"/>
          <w:color w:val="auto"/>
          <w:sz w:val="24"/>
          <w:highlight w:val="none"/>
        </w:rPr>
        <w:t xml:space="preserve">人承担</w:t>
      </w:r>
      <w:r>
        <w:rPr>
          <w:rFonts w:hint="eastAsia" w:ascii="宋体" w:hAnsi="宋体" w:eastAsia="宋体" w:cs="宋体"/>
          <w:strike w:val="0"/>
          <w:color w:val="auto"/>
          <w:sz w:val="24"/>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在免费质量保证期内，</w:t>
      </w:r>
      <w:bookmarkStart w:id="348" w:name="OLE_LINK12"/>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w:t>
      </w:r>
      <w:bookmarkEnd w:id="348"/>
      <w:r>
        <w:rPr>
          <w:rFonts w:hint="eastAsia" w:ascii="宋体" w:hAnsi="宋体" w:eastAsia="宋体" w:cs="宋体"/>
          <w:color w:val="auto"/>
          <w:sz w:val="24"/>
          <w:szCs w:val="24"/>
          <w:highlight w:val="none"/>
        </w:rPr>
        <w:t xml:space="preserve">接到采购人通知后应及时作出响应，售后服务人员应在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小时内到达现场并解决问题。</w:t>
      </w:r>
      <w:r>
        <w:rPr>
          <w:rFonts w:hint="eastAsia" w:ascii="宋体" w:hAnsi="宋体" w:eastAsia="宋体" w:cs="宋体"/>
          <w:color w:val="auto"/>
          <w:sz w:val="24"/>
          <w:szCs w:val="24"/>
          <w:highlight w:val="none"/>
          <w:lang w:val="en-US" w:eastAsia="zh-CN"/>
        </w:rPr>
        <w:t xml:space="preserve">迟延响应超过8小时的，采购人有权扣减1000元/次，中标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拒绝或迟延响应超过24小时的，采购人有权自行或委托第三方处理，因此产生的所有支出（包括但不限于因中标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未能及时响应给采购人造成的损失，采购人自行或委托第三方处理产生的费用等</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人承担</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szCs w:val="24"/>
          <w:highlight w:val="none"/>
        </w:rPr>
        <w:t xml:space="preserve">如因货物质量原因给采购人造成各项损失的，由中标人承担全部经济和法律责任</w:t>
      </w:r>
      <w:r>
        <w:rPr>
          <w:rFonts w:hint="eastAsia" w:ascii="宋体" w:hAnsi="宋体" w:eastAsia="宋体" w:cs="宋体"/>
          <w:color w:val="auto"/>
          <w:sz w:val="24"/>
          <w:highlight w:val="none"/>
        </w:rPr>
        <w:t xml:space="preserve">。</w:t>
      </w:r>
      <w:r/>
    </w:p>
    <w:p>
      <w:pPr>
        <w:keepLines w:val="0"/>
        <w:keepNext w:val="0"/>
        <w:pageBreakBefore w:val="0"/>
        <w:spacing w:line="460" w:lineRule="exact"/>
        <w:widowControl w:val="off"/>
        <w:rPr>
          <w:rFonts w:hint="eastAsia" w:ascii="宋体" w:hAnsi="宋体" w:eastAsia="宋体" w:cs="宋体"/>
          <w:b/>
          <w:bCs/>
          <w:color w:val="auto"/>
          <w:sz w:val="28"/>
          <w:highlight w:val="none"/>
          <w:lang w:val="en-US" w:eastAsia="zh-CN"/>
        </w:rPr>
        <w:outlineLvl w:val="1"/>
      </w:pPr>
      <w:r/>
      <w:bookmarkStart w:id="349" w:name="_Toc9142"/>
      <w:r>
        <w:rPr>
          <w:rFonts w:hint="eastAsia" w:ascii="宋体" w:hAnsi="宋体" w:eastAsia="宋体" w:cs="宋体"/>
          <w:b/>
          <w:bCs/>
          <w:color w:val="auto"/>
          <w:sz w:val="28"/>
          <w:highlight w:val="none"/>
          <w:lang w:val="en-US" w:eastAsia="zh-CN"/>
        </w:rPr>
        <w:t xml:space="preserve">六、验收要求：</w:t>
      </w:r>
      <w:bookmarkEnd w:id="349"/>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交付前验收货物交付前，</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应对货物的质量、数量等方面进行详细、全面的检验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到货验收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指定地点后，双方应派员共同对货物当场开箱进行外观验收，如</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不能按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通知按时到达现场又未告知正当理由的，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有权单方开箱检验，相应检验结果对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有效。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交付的货物应当完全符合本合同、招标文件及投标文件所约定的货物、数量和规格要求。</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提供的货物不符合本合同、招标文件及投标文件约定及</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有权拒收货物，并由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承担相应的违约责任。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应将所提供</w:t>
      </w:r>
      <w:r>
        <w:rPr>
          <w:rFonts w:hint="eastAsia" w:ascii="宋体" w:hAnsi="宋体" w:eastAsia="宋体" w:cs="宋体"/>
          <w:color w:val="auto"/>
          <w:sz w:val="24"/>
          <w:szCs w:val="24"/>
          <w:highlight w:val="none"/>
          <w:lang w:val="en-US" w:eastAsia="zh-CN"/>
        </w:rPr>
        <w:t xml:space="preserve">每批次</w:t>
      </w:r>
      <w:r>
        <w:rPr>
          <w:rFonts w:hint="eastAsia" w:ascii="宋体" w:hAnsi="宋体" w:eastAsia="宋体" w:cs="宋体"/>
          <w:color w:val="auto"/>
          <w:sz w:val="24"/>
          <w:szCs w:val="24"/>
          <w:highlight w:val="none"/>
        </w:rPr>
        <w:t xml:space="preserve">医用液氧</w:t>
      </w:r>
      <w:r>
        <w:rPr>
          <w:rFonts w:hint="eastAsia" w:ascii="宋体" w:hAnsi="宋体" w:eastAsia="宋体" w:cs="宋体"/>
          <w:color w:val="auto"/>
          <w:sz w:val="24"/>
          <w:szCs w:val="24"/>
          <w:highlight w:val="none"/>
          <w:lang w:val="en-US" w:eastAsia="zh-CN"/>
        </w:rPr>
        <w:t xml:space="preserve">及医用瓶装氧的批号及质检合格证</w:t>
      </w:r>
      <w:r>
        <w:rPr>
          <w:rFonts w:hint="eastAsia" w:ascii="宋体" w:hAnsi="宋体" w:eastAsia="宋体" w:cs="宋体"/>
          <w:color w:val="auto"/>
          <w:sz w:val="24"/>
          <w:szCs w:val="24"/>
          <w:highlight w:val="none"/>
        </w:rPr>
        <w:t xml:space="preserve">给</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不能完整交付上述规定的资料的，视为未按合同约定交货，</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负责补齐，因此导致逾期交付的，由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承担相应的违约责任。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④有关货物质量、规格、性能、数量或重量的检验不应视为最终检验。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最终验收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w:t>
      </w:r>
      <w:r>
        <w:rPr>
          <w:rFonts w:hint="eastAsia" w:ascii="宋体" w:hAnsi="宋体" w:eastAsia="宋体" w:cs="宋体"/>
          <w:color w:val="auto"/>
          <w:sz w:val="24"/>
          <w:highlight w:val="none"/>
        </w:rPr>
        <w:t xml:space="preserve">货物供货</w:t>
      </w:r>
      <w:r>
        <w:rPr>
          <w:rFonts w:hint="eastAsia" w:ascii="宋体" w:hAnsi="宋体" w:eastAsia="宋体" w:cs="宋体"/>
          <w:color w:val="auto"/>
          <w:sz w:val="24"/>
          <w:highlight w:val="none"/>
          <w:lang w:val="en-US" w:eastAsia="zh-CN"/>
        </w:rPr>
        <w:t xml:space="preserve">到位</w:t>
      </w:r>
      <w:r>
        <w:rPr>
          <w:rFonts w:hint="eastAsia" w:ascii="宋体" w:hAnsi="宋体" w:eastAsia="宋体" w:cs="宋体"/>
          <w:color w:val="auto"/>
          <w:sz w:val="24"/>
          <w:highlight w:val="none"/>
        </w:rPr>
        <w:t xml:space="preserve">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应及时通知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对项目进行验收。经</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组织相关人员验收合格后，由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签署验收单</w:t>
      </w:r>
      <w:r>
        <w:rPr>
          <w:rFonts w:hint="eastAsia" w:ascii="宋体" w:hAnsi="宋体" w:eastAsia="宋体" w:cs="宋体"/>
          <w:color w:val="auto"/>
          <w:sz w:val="24"/>
          <w:highlight w:val="none"/>
        </w:rPr>
        <w:t xml:space="preserve">。若</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验收不认可，</w:t>
      </w:r>
      <w:r>
        <w:rPr>
          <w:rFonts w:hint="eastAsia" w:ascii="宋体" w:hAnsi="宋体" w:eastAsia="宋体" w:cs="宋体"/>
          <w:color w:val="auto"/>
          <w:sz w:val="24"/>
          <w:szCs w:val="24"/>
          <w:highlight w:val="none"/>
        </w:rPr>
        <w:t xml:space="preserve">可由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向相关法定质量监督部门申报验收，验收不合格的，费用由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承担。若验收合格，则由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承担相应费用。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②设备验收包括：数量、外观、质量、性能、质保单、包装和乙方承诺及甲方要求的其它指标。</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③如验收不合格或在质量保证期内发现货物是不合格的，包括货物有明显的或潜在的缺陷、使用不符合要求的材料、运行效果达不到要求等，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有权提出书面异议，</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提出书面异议后，</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书面异议中限定的时间内根据</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的要求进行调换或采取其他</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同意的补救措施。由此产生的一切费用包括但不限于拆卸/搬运/运输/保管费用及责任等均由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④验收标准应遵循国家相关标准、行业通行标准、厂方出厂标准、招标文件要求和</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投标文件的承诺、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要求等。</w:t>
      </w:r>
      <w:r/>
    </w:p>
    <w:p>
      <w:pPr>
        <w:keepLines w:val="0"/>
        <w:keepNext w:val="0"/>
        <w:pageBreakBefore w:val="0"/>
        <w:spacing w:line="460" w:lineRule="exact"/>
        <w:widowControl w:val="off"/>
        <w:rPr>
          <w:rFonts w:hint="eastAsia" w:ascii="宋体" w:hAnsi="宋体" w:eastAsia="宋体" w:cs="宋体"/>
          <w:b/>
          <w:bCs/>
          <w:color w:val="auto"/>
          <w:sz w:val="28"/>
          <w:highlight w:val="none"/>
          <w:lang w:val="en-US" w:eastAsia="zh-CN"/>
        </w:rPr>
        <w:outlineLvl w:val="1"/>
      </w:pPr>
      <w:r/>
      <w:bookmarkStart w:id="350" w:name="_Toc10311"/>
      <w:r>
        <w:rPr>
          <w:rFonts w:hint="eastAsia" w:ascii="宋体" w:hAnsi="宋体" w:eastAsia="宋体" w:cs="宋体"/>
          <w:b/>
          <w:bCs/>
          <w:color w:val="auto"/>
          <w:sz w:val="28"/>
          <w:highlight w:val="none"/>
          <w:lang w:val="en-US" w:eastAsia="zh-CN"/>
        </w:rPr>
        <w:t xml:space="preserve">七、其他：</w:t>
      </w:r>
      <w:bookmarkEnd w:id="350"/>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本项目“采购需求”中标“★”的相关要求，为本招标文件实质性要求，必须满足，否则将作无效投标处理。</w:t>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ind w:firstLine="880"/>
        <w:jc w:val="center"/>
        <w:keepNext/>
        <w:rPr>
          <w:rFonts w:hint="eastAsia" w:ascii="宋体" w:hAnsi="宋体" w:eastAsia="宋体" w:cs="宋体"/>
          <w:b/>
          <w:bCs/>
          <w:color w:val="auto"/>
          <w:sz w:val="40"/>
          <w:szCs w:val="40"/>
          <w:highlight w:val="none"/>
        </w:rPr>
        <w:outlineLvl w:val="0"/>
      </w:pPr>
      <w:r/>
      <w:bookmarkStart w:id="351" w:name="_Toc2352"/>
      <w:r>
        <w:rPr>
          <w:rFonts w:hint="eastAsia" w:ascii="宋体" w:hAnsi="宋体" w:eastAsia="宋体" w:cs="宋体"/>
          <w:b/>
          <w:bCs/>
          <w:color w:val="auto"/>
          <w:sz w:val="40"/>
          <w:szCs w:val="40"/>
          <w:highlight w:val="none"/>
        </w:rPr>
        <w:t xml:space="preserve">第五章  评标方法与评标标准</w:t>
      </w:r>
      <w:bookmarkEnd w:id="351"/>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460" w:lineRule="exact"/>
        <w:widowControl w:val="off"/>
        <w:rPr>
          <w:rFonts w:hint="eastAsia" w:ascii="宋体" w:hAnsi="宋体" w:eastAsia="宋体" w:cs="宋体"/>
          <w:b/>
          <w:bCs/>
          <w:color w:val="auto"/>
          <w:sz w:val="28"/>
          <w:highlight w:val="none"/>
        </w:rPr>
      </w:pPr>
      <w:r/>
      <w:bookmarkStart w:id="352" w:name="_Toc17476"/>
      <w:r/>
      <w:bookmarkStart w:id="353" w:name="_Toc698"/>
      <w:r/>
      <w:bookmarkStart w:id="354" w:name="_Toc16264"/>
      <w:r>
        <w:rPr>
          <w:rFonts w:hint="eastAsia" w:ascii="宋体" w:hAnsi="宋体" w:eastAsia="宋体" w:cs="宋体"/>
          <w:b/>
          <w:bCs/>
          <w:color w:val="auto"/>
          <w:sz w:val="28"/>
          <w:highlight w:val="none"/>
        </w:rPr>
        <w:t xml:space="preserve">一、评标办法：</w:t>
      </w:r>
      <w:bookmarkEnd w:id="352"/>
      <w:r/>
      <w:bookmarkEnd w:id="353"/>
      <w:r/>
      <w:bookmarkEnd w:id="354"/>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二、评分标准：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7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highlight w:val="none"/>
        </w:rPr>
        <w:t xml:space="preserve">投标优惠率最高的投标报价为评标基准优惠率</w:t>
      </w:r>
      <w:r>
        <w:rPr>
          <w:rFonts w:hint="eastAsia" w:ascii="宋体" w:hAnsi="宋体" w:eastAsia="宋体" w:cs="宋体"/>
          <w:color w:val="auto"/>
          <w:sz w:val="24"/>
          <w:szCs w:val="24"/>
          <w:highlight w:val="none"/>
        </w:rPr>
        <w:t xml:space="preserve">，其价格分为</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分；其他投标人的价格分按下列公式计算：投标报价得分＝</w:t>
      </w:r>
      <w:r>
        <w:rPr>
          <w:rFonts w:hint="eastAsia" w:ascii="宋体" w:hAnsi="宋体" w:eastAsia="宋体" w:cs="宋体"/>
          <w:color w:val="auto"/>
          <w:sz w:val="24"/>
          <w:highlight w:val="none"/>
        </w:rPr>
        <w:t xml:space="preserve">【（1-评标基准优惠率）/（1-投标优惠率）】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p>
      <w:pPr>
        <w:keepLines w:val="0"/>
        <w:keepNext w:val="0"/>
        <w:pageBreakBefore w:val="0"/>
        <w:spacing w:line="460" w:lineRule="exact"/>
        <w:widowControl w:val="off"/>
        <w:rPr>
          <w:rFonts w:hint="eastAsia" w:ascii="宋体" w:hAnsi="宋体" w:eastAsia="宋体" w:cs="宋体"/>
          <w:b/>
          <w:bCs/>
          <w:color w:val="auto"/>
          <w:sz w:val="24"/>
          <w:highlight w:val="none"/>
        </w:rPr>
      </w:pPr>
      <w:r/>
      <w:bookmarkStart w:id="355" w:name="_Hlk100141372"/>
      <w:r>
        <w:rPr>
          <w:rFonts w:hint="eastAsia" w:ascii="宋体" w:hAnsi="宋体" w:eastAsia="宋体" w:cs="宋体"/>
          <w:b/>
          <w:bCs/>
          <w:color w:val="auto"/>
          <w:sz w:val="24"/>
          <w:highlight w:val="none"/>
        </w:rPr>
        <w:t xml:space="preserve">注：（一）采购人应当在采购文件中明确，政府采购评审中出现下列情形之一的，评审委员会应当启动异常低价投标（响应）审查程序： </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3.投标（响应）报价低于采购项目最高限价45%的，即投标（响应）报价&lt;采购项目最高限价×45%； </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4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bookmarkEnd w:id="355"/>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2、技术性能参数</w:t>
      </w: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分</w:t>
      </w:r>
      <w:r/>
    </w:p>
    <w:tbl>
      <w:tblPr>
        <w:tblStyle w:val="785"/>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948"/>
        <w:gridCol w:w="816"/>
        <w:gridCol w:w="6044"/>
      </w:tblGrid>
      <w:tr>
        <w:trPr>
          <w:jc w:val="center"/>
          <w:trHeight w:val="361"/>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661"/>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48"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技术性能参数响应性</w:t>
            </w:r>
            <w:r/>
          </w:p>
        </w:tc>
        <w:tc>
          <w:tcPr>
            <w:tcW w:w="816"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24分</w:t>
            </w:r>
            <w:r/>
          </w:p>
        </w:tc>
        <w:tc>
          <w:tcPr>
            <w:shd w:val="clear" w:color="auto" w:fill="auto"/>
            <w:tcW w:w="6044" w:type="dxa"/>
            <w:vAlign w:val="center"/>
            <w:textDirection w:val="lrTb"/>
            <w:noWrap w:val="false"/>
          </w:tcPr>
          <w:p>
            <w:pPr>
              <w:jc w:val="left"/>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投标货物的技术性能参数要求满足招标要求的得24分（共30条），有负偏离条款的，每条扣0.8分。</w:t>
            </w:r>
            <w:r/>
          </w:p>
          <w:p>
            <w:pPr>
              <w:jc w:val="left"/>
              <w:spacing w:line="300" w:lineRule="exact"/>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注：本项目“采购需求”中标“★”的相关要求，为本招标文件实质性要求，必须满足，否则将作无效投标处理。</w:t>
            </w:r>
            <w:r/>
          </w:p>
        </w:tc>
      </w:tr>
    </w:tbl>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3、项目实施方案</w:t>
      </w:r>
      <w:r>
        <w:rPr>
          <w:rFonts w:hint="eastAsia" w:ascii="宋体" w:hAnsi="宋体" w:eastAsia="宋体" w:cs="宋体"/>
          <w:b/>
          <w:bCs/>
          <w:color w:val="auto"/>
          <w:sz w:val="24"/>
          <w:szCs w:val="24"/>
          <w:highlight w:val="none"/>
          <w:lang w:val="en-US" w:eastAsia="zh-CN"/>
        </w:rPr>
        <w:t xml:space="preserve">及质量保证20</w:t>
      </w:r>
      <w:r>
        <w:rPr>
          <w:rFonts w:hint="eastAsia" w:ascii="宋体" w:hAnsi="宋体" w:eastAsia="宋体" w:cs="宋体"/>
          <w:b/>
          <w:bCs/>
          <w:color w:val="auto"/>
          <w:sz w:val="24"/>
          <w:szCs w:val="24"/>
          <w:highlight w:val="none"/>
        </w:rPr>
        <w:t xml:space="preserve">分</w:t>
      </w:r>
      <w:r/>
    </w:p>
    <w:tbl>
      <w:tblPr>
        <w:tblStyle w:val="785"/>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35"/>
        <w:gridCol w:w="810"/>
        <w:gridCol w:w="6141"/>
      </w:tblGrid>
      <w:tr>
        <w:trPr>
          <w:jc w:val="center"/>
          <w:trHeight w:val="361"/>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1663"/>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项目实施</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项）：①</w:t>
            </w: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物流运输服务实施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③、对采购人气站设备的定期巡检、定期保养方案④、与采购人的配合措施</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分；未能体现评审要点（或无实质性内容的）的得0分</w:t>
            </w:r>
            <w:r>
              <w:rPr>
                <w:rFonts w:hint="eastAsia" w:ascii="宋体" w:hAnsi="宋体" w:eastAsia="宋体" w:cs="宋体"/>
                <w:color w:val="auto"/>
                <w:sz w:val="24"/>
                <w:szCs w:val="24"/>
                <w:highlight w:val="none"/>
                <w:lang w:eastAsia="zh-CN"/>
              </w:rPr>
              <w:t xml:space="preserve">。</w:t>
            </w:r>
            <w:r/>
          </w:p>
        </w:tc>
      </w:tr>
      <w:tr>
        <w:trPr>
          <w:jc w:val="center"/>
          <w:trHeight w:val="515"/>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应急服务方案</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应急服务方案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color w:val="auto"/>
                <w:sz w:val="24"/>
                <w:szCs w:val="24"/>
                <w:highlight w:val="none"/>
                <w:lang w:val="en-US" w:eastAsia="zh-CN"/>
              </w:rPr>
              <w:t xml:space="preserve">遇特殊事故</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遇重大活动期间、③遇不可抗力</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分。体现上述评审要点且内容完全贴合项目需求的，每有一项得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分；体现上述评审要点但内容无法完全贴合项目需求的，每有一项得</w:t>
            </w:r>
            <w:r>
              <w:rPr>
                <w:rFonts w:hint="eastAsia" w:ascii="宋体" w:hAnsi="宋体" w:eastAsia="宋体" w:cs="宋体"/>
                <w:b/>
                <w:bCs/>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分；未能体现评审要点（或无实质性内容的）的得0分</w:t>
            </w:r>
            <w:r>
              <w:rPr>
                <w:rFonts w:hint="eastAsia" w:ascii="宋体" w:hAnsi="宋体" w:eastAsia="宋体" w:cs="宋体"/>
                <w:b/>
                <w:bCs/>
                <w:color w:val="auto"/>
                <w:sz w:val="24"/>
                <w:szCs w:val="24"/>
                <w:highlight w:val="none"/>
                <w:lang w:eastAsia="zh-CN"/>
              </w:rPr>
              <w:t xml:space="preserve">。</w:t>
            </w:r>
            <w:r/>
          </w:p>
        </w:tc>
      </w:tr>
      <w:tr>
        <w:trPr>
          <w:jc w:val="center"/>
          <w:trHeight w:val="515"/>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验收及售后服务方案</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验收及售后服务方案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color w:val="auto"/>
                <w:sz w:val="24"/>
                <w:szCs w:val="24"/>
                <w:highlight w:val="none"/>
                <w:lang w:val="en-US" w:eastAsia="zh-CN"/>
              </w:rPr>
              <w:t xml:space="preserve">货物配合验收方案</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人员培训方案、③技术指导方案</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分。体现上述评审要点且内容完全贴合项目需求的，每有一项得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分；体现上述评审要点但内容无法完全贴合项目需求的，每有一项得</w:t>
            </w:r>
            <w:r>
              <w:rPr>
                <w:rFonts w:hint="eastAsia" w:ascii="宋体" w:hAnsi="宋体" w:eastAsia="宋体" w:cs="宋体"/>
                <w:b/>
                <w:bCs/>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分；未能体现评审要点（或无实质性内容的）的得0分</w:t>
            </w:r>
            <w:r>
              <w:rPr>
                <w:rFonts w:hint="eastAsia" w:ascii="宋体" w:hAnsi="宋体" w:eastAsia="宋体" w:cs="宋体"/>
                <w:b/>
                <w:bCs/>
                <w:color w:val="auto"/>
                <w:sz w:val="24"/>
                <w:szCs w:val="24"/>
                <w:highlight w:val="none"/>
                <w:lang w:eastAsia="zh-CN"/>
              </w:rPr>
              <w:t xml:space="preserve">。</w:t>
            </w:r>
            <w:r/>
          </w:p>
        </w:tc>
      </w:tr>
      <w:tr>
        <w:trPr>
          <w:jc w:val="center"/>
          <w:trHeight w:val="515"/>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pStyle w:val="789"/>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免费质量保证</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color w:val="auto"/>
                <w:sz w:val="24"/>
                <w:szCs w:val="24"/>
                <w:highlight w:val="none"/>
              </w:rPr>
              <w:t xml:space="preserve">医用</w:t>
            </w:r>
            <w:r>
              <w:rPr>
                <w:rFonts w:hint="eastAsia" w:ascii="宋体" w:hAnsi="宋体" w:eastAsia="宋体" w:cs="宋体"/>
                <w:color w:val="auto"/>
                <w:sz w:val="24"/>
                <w:szCs w:val="24"/>
                <w:highlight w:val="none"/>
                <w:lang w:val="en-US" w:eastAsia="zh-CN"/>
              </w:rPr>
              <w:t xml:space="preserve">瓶装氧（40L医用氧、10L医用氧、4L医用氧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highlight w:val="none"/>
              </w:rPr>
              <w:t xml:space="preserve">的免费质量保证期</w:t>
            </w:r>
            <w:r>
              <w:rPr>
                <w:rFonts w:hint="eastAsia" w:ascii="宋体" w:hAnsi="宋体" w:eastAsia="宋体" w:cs="宋体"/>
                <w:b w:val="0"/>
                <w:bCs w:val="0"/>
                <w:color w:val="auto"/>
                <w:sz w:val="24"/>
                <w:highlight w:val="none"/>
                <w:lang w:val="en-US" w:eastAsia="zh-CN"/>
              </w:rPr>
              <w:t xml:space="preserve">在</w:t>
            </w:r>
            <w:r>
              <w:rPr>
                <w:rFonts w:hint="eastAsia" w:ascii="宋体" w:hAnsi="宋体" w:eastAsia="宋体" w:cs="宋体"/>
                <w:color w:val="auto"/>
                <w:sz w:val="24"/>
                <w:szCs w:val="24"/>
                <w:highlight w:val="none"/>
              </w:rPr>
              <w:t xml:space="preserve">满足招标文件的</w:t>
            </w:r>
            <w:r>
              <w:rPr>
                <w:rFonts w:hint="eastAsia" w:ascii="宋体" w:hAnsi="宋体" w:eastAsia="宋体" w:cs="宋体"/>
                <w:color w:val="auto"/>
                <w:sz w:val="24"/>
                <w:szCs w:val="24"/>
                <w:highlight w:val="none"/>
                <w:lang w:val="en-US" w:eastAsia="zh-CN"/>
              </w:rPr>
              <w:t xml:space="preserve">基础上（不少于6个月），每增加1个月加1分，最多加6分。</w:t>
            </w:r>
            <w:r/>
          </w:p>
          <w:p>
            <w:pPr>
              <w:pStyle w:val="807"/>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zh-CN"/>
              </w:rPr>
              <w:t xml:space="preserve">注：</w:t>
            </w:r>
            <w:r>
              <w:rPr>
                <w:rFonts w:hint="eastAsia" w:ascii="宋体" w:hAnsi="宋体" w:eastAsia="宋体" w:cs="宋体"/>
                <w:b/>
                <w:bCs/>
                <w:color w:val="auto"/>
                <w:sz w:val="24"/>
                <w:szCs w:val="24"/>
                <w:highlight w:val="none"/>
                <w:lang w:val="en-US" w:eastAsia="zh-CN"/>
              </w:rPr>
              <w:t xml:space="preserve">质量保证期承诺函</w:t>
            </w:r>
            <w:r>
              <w:rPr>
                <w:rFonts w:hint="eastAsia" w:ascii="宋体" w:hAnsi="宋体" w:eastAsia="宋体" w:cs="宋体"/>
                <w:b/>
                <w:bCs/>
                <w:color w:val="auto"/>
                <w:sz w:val="24"/>
                <w:szCs w:val="24"/>
                <w:highlight w:val="none"/>
                <w:lang w:val="zh-CN"/>
              </w:rPr>
              <w:t xml:space="preserve">格式自拟，低于招标要求或未作说明的不得分。</w:t>
            </w:r>
            <w:r/>
          </w:p>
        </w:tc>
      </w:tr>
      <w:tr>
        <w:trPr>
          <w:jc w:val="center"/>
          <w:trHeight w:val="286"/>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服务响应承诺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141" w:type="dxa"/>
            <w:vAlign w:val="center"/>
            <w:textDirection w:val="lrTb"/>
            <w:noWrap w:val="false"/>
          </w:tcPr>
          <w:p>
            <w:pPr>
              <w:pStyle w:val="79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投标人在</w:t>
            </w:r>
            <w:r>
              <w:rPr>
                <w:rFonts w:hint="eastAsia" w:ascii="宋体" w:hAnsi="宋体" w:eastAsia="宋体" w:cs="宋体"/>
                <w:color w:val="auto"/>
                <w:sz w:val="24"/>
                <w:szCs w:val="24"/>
                <w:highlight w:val="none"/>
              </w:rPr>
              <w:t xml:space="preserve">接到采购人</w:t>
            </w:r>
            <w:r>
              <w:rPr>
                <w:rFonts w:hint="eastAsia" w:ascii="宋体" w:hAnsi="宋体" w:eastAsia="宋体" w:cs="宋体"/>
                <w:color w:val="auto"/>
                <w:sz w:val="24"/>
                <w:szCs w:val="24"/>
                <w:highlight w:val="none"/>
                <w:lang w:val="en-US" w:eastAsia="zh-CN"/>
              </w:rPr>
              <w:t xml:space="preserve">紧急</w:t>
            </w:r>
            <w:r>
              <w:rPr>
                <w:rFonts w:hint="eastAsia" w:ascii="宋体" w:hAnsi="宋体" w:eastAsia="宋体" w:cs="宋体"/>
                <w:color w:val="auto"/>
                <w:sz w:val="24"/>
                <w:szCs w:val="24"/>
                <w:highlight w:val="none"/>
              </w:rPr>
              <w:t xml:space="preserve">通知后的服务响应承诺进行评定。</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承诺在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0分钟内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含60分钟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到达服务现场的得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分；承诺</w:t>
            </w:r>
            <w:r>
              <w:rPr>
                <w:rFonts w:hint="eastAsia" w:ascii="宋体" w:hAnsi="宋体" w:eastAsia="宋体" w:cs="宋体"/>
                <w:color w:val="auto"/>
                <w:sz w:val="24"/>
                <w:szCs w:val="24"/>
                <w:highlight w:val="none"/>
                <w:lang w:val="en-US" w:eastAsia="zh-CN"/>
              </w:rPr>
              <w:t xml:space="preserve">在60</w:t>
            </w:r>
            <w:r>
              <w:rPr>
                <w:rFonts w:hint="eastAsia" w:ascii="宋体" w:hAnsi="宋体" w:eastAsia="宋体" w:cs="宋体"/>
                <w:color w:val="auto"/>
                <w:sz w:val="24"/>
                <w:szCs w:val="24"/>
                <w:highlight w:val="none"/>
              </w:rPr>
              <w:t xml:space="preserve">分钟（不含</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0分钟）~</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分钟（含</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0分钟）内</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到达服务现场的得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分。承诺</w:t>
            </w:r>
            <w:r>
              <w:rPr>
                <w:rFonts w:hint="eastAsia" w:ascii="宋体" w:hAnsi="宋体" w:eastAsia="宋体" w:cs="宋体"/>
                <w:color w:val="auto"/>
                <w:sz w:val="24"/>
                <w:szCs w:val="24"/>
                <w:highlight w:val="none"/>
                <w:lang w:val="en-US" w:eastAsia="zh-CN"/>
              </w:rPr>
              <w:t xml:space="preserve">在90</w:t>
            </w:r>
            <w:r>
              <w:rPr>
                <w:rFonts w:hint="eastAsia" w:ascii="宋体" w:hAnsi="宋体" w:eastAsia="宋体" w:cs="宋体"/>
                <w:color w:val="auto"/>
                <w:sz w:val="24"/>
                <w:szCs w:val="24"/>
                <w:highlight w:val="none"/>
              </w:rPr>
              <w:t xml:space="preserve">分钟（不含</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0分钟）~</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分钟（含</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0分钟）内</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到达服务现场的得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承诺超过120分钟或</w:t>
            </w:r>
            <w:r>
              <w:rPr>
                <w:rFonts w:hint="eastAsia" w:ascii="宋体" w:hAnsi="宋体" w:eastAsia="宋体" w:cs="宋体"/>
                <w:b w:val="0"/>
                <w:bCs w:val="0"/>
                <w:color w:val="auto"/>
                <w:sz w:val="24"/>
                <w:szCs w:val="24"/>
                <w:highlight w:val="none"/>
              </w:rPr>
              <w:t xml:space="preserve">未提供承诺书</w:t>
            </w:r>
            <w:r>
              <w:rPr>
                <w:rFonts w:hint="eastAsia" w:ascii="宋体" w:hAnsi="宋体" w:eastAsia="宋体" w:cs="宋体"/>
                <w:b/>
                <w:bCs/>
                <w:color w:val="auto"/>
                <w:sz w:val="24"/>
                <w:szCs w:val="24"/>
                <w:highlight w:val="none"/>
              </w:rPr>
              <w:t xml:space="preserve">（承诺书格式自拟，但必须加盖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w:t>
            </w:r>
            <w:r>
              <w:rPr>
                <w:rFonts w:hint="eastAsia" w:ascii="宋体" w:hAnsi="宋体" w:eastAsia="宋体" w:cs="宋体"/>
                <w:b w:val="0"/>
                <w:bCs w:val="0"/>
                <w:color w:val="auto"/>
                <w:sz w:val="24"/>
                <w:szCs w:val="24"/>
                <w:highlight w:val="none"/>
              </w:rPr>
              <w:t xml:space="preserve">的本项不得分</w:t>
            </w:r>
            <w:r>
              <w:rPr>
                <w:rFonts w:hint="eastAsia" w:ascii="宋体" w:hAnsi="宋体" w:eastAsia="宋体" w:cs="宋体"/>
                <w:b/>
                <w:bCs/>
                <w:color w:val="auto"/>
                <w:sz w:val="24"/>
                <w:szCs w:val="24"/>
                <w:highlight w:val="none"/>
              </w:rPr>
              <w:t xml:space="preserve">。</w:t>
            </w:r>
            <w:r/>
          </w:p>
        </w:tc>
      </w:tr>
    </w:tbl>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、综合实力</w:t>
      </w:r>
      <w:r>
        <w:rPr>
          <w:rFonts w:hint="eastAsia" w:ascii="宋体" w:hAnsi="宋体" w:eastAsia="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分</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2"/>
        <w:gridCol w:w="850"/>
        <w:gridCol w:w="6115"/>
      </w:tblGrid>
      <w:tr>
        <w:trPr>
          <w:jc w:val="center"/>
          <w:trHeight w:val="447"/>
        </w:trPr>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tcW w:w="61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855"/>
        </w:trPr>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42" w:type="dxa"/>
            <w:vAlign w:val="center"/>
            <w:textDirection w:val="lrTb"/>
            <w:noWrap w:val="false"/>
          </w:tcPr>
          <w:p>
            <w:pPr>
              <w:pStyle w:val="78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业绩情况</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1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w:t>
            </w:r>
            <w:r>
              <w:rPr>
                <w:rFonts w:hint="eastAsia" w:ascii="宋体" w:hAnsi="宋体" w:eastAsia="宋体" w:cs="宋体"/>
                <w:color w:val="auto"/>
                <w:sz w:val="24"/>
                <w:szCs w:val="24"/>
                <w:highlight w:val="none"/>
                <w:lang w:val="en-US" w:eastAsia="zh-CN"/>
              </w:rPr>
              <w:t xml:space="preserve">提供的</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年1月1日至今（以签订合同日期为准）实施的</w:t>
            </w:r>
            <w:r>
              <w:rPr>
                <w:rFonts w:hint="eastAsia" w:ascii="宋体" w:hAnsi="宋体" w:eastAsia="宋体" w:cs="宋体"/>
                <w:b w:val="0"/>
                <w:bCs w:val="0"/>
                <w:color w:val="auto"/>
                <w:sz w:val="24"/>
                <w:szCs w:val="24"/>
                <w:highlight w:val="none"/>
                <w:lang w:val="en-US" w:eastAsia="zh-CN"/>
              </w:rPr>
              <w:t xml:space="preserve">医用氧供货</w:t>
            </w:r>
            <w:r>
              <w:rPr>
                <w:rFonts w:hint="eastAsia" w:ascii="宋体" w:hAnsi="宋体" w:eastAsia="宋体" w:cs="宋体"/>
                <w:color w:val="auto"/>
                <w:sz w:val="24"/>
                <w:szCs w:val="24"/>
                <w:highlight w:val="none"/>
              </w:rPr>
              <w:t xml:space="preserve">项目业绩情况进行评定：每提供一个得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①投标文件中需提供相关业绩合同证明材料（须至少包括合同首页、具体内容页、合同金额所在页、签字盖章页），未提供或提供不全或提供的证明材料无法佐证的不得分。</w:t>
            </w:r>
            <w:r>
              <w:rPr>
                <w:rFonts w:hint="eastAsia" w:ascii="宋体" w:hAnsi="宋体" w:eastAsia="宋体" w:cs="宋体"/>
                <w:b/>
                <w:bCs/>
                <w:color w:val="auto"/>
                <w:sz w:val="24"/>
                <w:szCs w:val="22"/>
                <w:highlight w:val="none"/>
              </w:rPr>
              <w:t xml:space="preserve">②</w:t>
            </w:r>
            <w:r>
              <w:rPr>
                <w:rFonts w:hint="eastAsia" w:ascii="宋体" w:hAnsi="宋体" w:eastAsia="宋体" w:cs="宋体"/>
                <w:b/>
                <w:color w:val="auto"/>
                <w:sz w:val="24"/>
                <w:highlight w:val="none"/>
                <w14:ligatures w14:val="standardContextual"/>
              </w:rPr>
              <w:t xml:space="preserve">同一</w:t>
            </w:r>
            <w:r>
              <w:rPr>
                <w:rFonts w:hint="eastAsia" w:ascii="宋体" w:hAnsi="宋体" w:eastAsia="宋体" w:cs="宋体"/>
                <w:b/>
                <w:color w:val="auto"/>
                <w:sz w:val="24"/>
                <w:highlight w:val="none"/>
                <w:lang w:val="en-US" w:eastAsia="zh-CN"/>
                <w14:ligatures w14:val="standardContextual"/>
              </w:rPr>
              <w:t xml:space="preserve">业主</w:t>
            </w:r>
            <w:r>
              <w:rPr>
                <w:rFonts w:hint="eastAsia" w:ascii="宋体" w:hAnsi="宋体" w:eastAsia="宋体" w:cs="宋体"/>
                <w:b/>
                <w:color w:val="auto"/>
                <w:sz w:val="24"/>
                <w:highlight w:val="none"/>
                <w14:ligatures w14:val="standardContextual"/>
              </w:rPr>
              <w:t xml:space="preserve">或单个合同连续年度按一个业绩计算。</w:t>
            </w:r>
            <w:r/>
          </w:p>
        </w:tc>
      </w:tr>
      <w:tr>
        <w:trPr>
          <w:jc w:val="center"/>
          <w:trHeight w:val="855"/>
        </w:trPr>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商务条件响应性</w:t>
            </w:r>
            <w:r/>
          </w:p>
        </w:tc>
        <w:tc>
          <w:tcPr>
            <w:tcW w:w="8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11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投标人对招标文件中合同条款（共2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条）商务条件完全响应的得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分；有负偏离的条款，每条扣</w:t>
            </w:r>
            <w:r>
              <w:rPr>
                <w:rFonts w:hint="eastAsia" w:ascii="宋体" w:hAnsi="宋体" w:eastAsia="宋体" w:cs="宋体"/>
                <w:color w:val="auto"/>
                <w:sz w:val="24"/>
                <w:szCs w:val="24"/>
                <w:highlight w:val="none"/>
                <w:lang w:val="en-US" w:eastAsia="zh-CN"/>
              </w:rPr>
              <w:t xml:space="preserve">0.32</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（付款方式不响应的按无效投标处理）</w:t>
            </w:r>
            <w:r/>
          </w:p>
        </w:tc>
      </w:tr>
    </w:tbl>
    <w:p>
      <w:pPr>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（2）投标人在制作投标文件时请按投标文件规定的顺序编制，要求简洁、明了，并添加投标文件目录、页码、书签，便于评标委员会评审查阅。</w:t>
      </w:r>
      <w:r/>
    </w:p>
    <w:p>
      <w:pPr>
        <w:keepLines w:val="0"/>
        <w:keepNext w:val="0"/>
        <w:pageBreakBefore w:val="0"/>
        <w:spacing w:line="460" w:lineRule="exact"/>
        <w:widowControl w:val="off"/>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三、政府采购政策：</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bookmarkStart w:id="356" w:name="_Toc22323"/>
      <w:r>
        <w:rPr>
          <w:rFonts w:hint="eastAsia" w:ascii="宋体" w:hAnsi="宋体" w:eastAsia="宋体" w:cs="宋体"/>
          <w:b/>
          <w:bCs/>
          <w:color w:val="auto"/>
          <w:sz w:val="24"/>
          <w:szCs w:val="24"/>
          <w:highlight w:val="none"/>
        </w:rPr>
        <w:t xml:space="preserve">1、落实政府采购政策需满足的资格要求：</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（1）本项目专门面向中小企业采购，所属行业为工业。</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（2）在投标文件中须提供《中小企业声明函》。（填报严格按工信部联企业〔2011〕300号通知中的《中小企业划型标准规定》进行）。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（4）享受政府采购支持政策的残疾人福利性单位应当同时满足以下条件：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356"/>
      <w:r/>
    </w:p>
    <w:p>
      <w:pPr>
        <w:ind w:firstLine="241"/>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2、信用信息查询</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1、查询截止时点：投标文件递交截止时间。</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w:t>
      </w:r>
      <w:r/>
    </w:p>
    <w:p>
      <w:pPr>
        <w:ind w:firstLine="480"/>
        <w:keepLines w:val="0"/>
        <w:keepNext w:val="0"/>
        <w:pageBreakBefore w:val="0"/>
        <w:spacing w:line="460" w:lineRule="exact"/>
        <w:widowControl w:val="off"/>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评标委员会在对投标人进行资格性审查时，应根据查询结果对投标人的不良信用记录逐项甄别确认。</w:t>
      </w:r>
      <w:r/>
    </w:p>
    <w:p>
      <w:pPr>
        <w:ind w:firstLine="241"/>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3、节能产品和环境标志产品：</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依据《节能产品政府采购品目清单》、《环境标志产品政府采购品目清单》和认</w:t>
      </w:r>
      <w:r>
        <w:rPr>
          <w:rFonts w:hint="eastAsia" w:ascii="宋体" w:hAnsi="宋体" w:eastAsia="宋体" w:cs="宋体"/>
          <w:color w:val="auto"/>
          <w:sz w:val="24"/>
          <w:szCs w:val="24"/>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firstLine="241"/>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采购本国产品的支持政策</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880"/>
        <w:jc w:val="center"/>
        <w:keepNext/>
        <w:rPr>
          <w:rFonts w:hint="eastAsia" w:ascii="宋体" w:hAnsi="宋体" w:eastAsia="宋体" w:cs="宋体"/>
          <w:b/>
          <w:bCs/>
          <w:color w:val="auto"/>
          <w:sz w:val="40"/>
          <w:szCs w:val="40"/>
          <w:highlight w:val="none"/>
        </w:rPr>
        <w:outlineLvl w:val="0"/>
      </w:pPr>
      <w:r>
        <w:rPr>
          <w:rFonts w:hint="eastAsia" w:ascii="宋体" w:hAnsi="宋体" w:eastAsia="宋体" w:cs="宋体"/>
          <w:color w:val="auto"/>
          <w:sz w:val="24"/>
          <w:szCs w:val="24"/>
          <w:highlight w:val="none"/>
        </w:rPr>
        <w:br w:type="page" w:clear="all"/>
      </w:r>
      <w:bookmarkStart w:id="357" w:name="_Toc4052"/>
      <w:r>
        <w:rPr>
          <w:rFonts w:hint="eastAsia" w:ascii="宋体" w:hAnsi="宋体" w:eastAsia="宋体" w:cs="宋体"/>
          <w:b/>
          <w:bCs/>
          <w:color w:val="auto"/>
          <w:sz w:val="40"/>
          <w:szCs w:val="40"/>
          <w:highlight w:val="none"/>
        </w:rPr>
        <w:t xml:space="preserve">第六章  投标</w:t>
      </w:r>
      <w:bookmarkEnd w:id="332"/>
      <w:r/>
      <w:bookmarkEnd w:id="333"/>
      <w:r/>
      <w:bookmarkEnd w:id="334"/>
      <w:r>
        <w:rPr>
          <w:rFonts w:hint="eastAsia" w:ascii="宋体" w:hAnsi="宋体" w:eastAsia="宋体" w:cs="宋体"/>
          <w:b/>
          <w:bCs/>
          <w:color w:val="auto"/>
          <w:sz w:val="40"/>
          <w:szCs w:val="40"/>
          <w:highlight w:val="none"/>
        </w:rPr>
        <w:t xml:space="preserve">文件格式</w:t>
      </w:r>
      <w:bookmarkEnd w:id="357"/>
      <w:r>
        <w:rPr>
          <w:rFonts w:hint="eastAsia" w:ascii="宋体" w:hAnsi="宋体" w:eastAsia="宋体" w:cs="宋体"/>
          <w:b/>
          <w:bCs/>
          <w:color w:val="auto"/>
          <w:sz w:val="40"/>
          <w:szCs w:val="40"/>
          <w:highlight w:val="none"/>
        </w:rPr>
        <w:t xml:space="preserve"> </w:t>
      </w:r>
      <w:r/>
    </w:p>
    <w:p>
      <w:pPr>
        <w:ind w:firstLine="1446"/>
        <w:jc w:val="center"/>
        <w:rPr>
          <w:rFonts w:hint="eastAsia" w:ascii="宋体" w:hAnsi="宋体" w:eastAsia="宋体" w:cs="宋体"/>
          <w:b/>
          <w:color w:val="auto"/>
          <w:sz w:val="72"/>
          <w:szCs w:val="21"/>
          <w:highlight w:val="none"/>
        </w:rPr>
      </w:pPr>
      <w:r/>
      <w:bookmarkStart w:id="358" w:name="_Hlt26955039"/>
      <w:r/>
      <w:bookmarkEnd w:id="358"/>
      <w:r/>
      <w:bookmarkStart w:id="359" w:name="_Hlt26671244"/>
      <w:r/>
      <w:bookmarkEnd w:id="359"/>
      <w:r/>
      <w:bookmarkStart w:id="360" w:name="_Toc49090576"/>
      <w:r/>
      <w:bookmarkStart w:id="361" w:name="_Toc26554094"/>
      <w:r/>
      <w:bookmarkStart w:id="362" w:name="_Toc120614282"/>
      <w:r/>
      <w:r/>
    </w:p>
    <w:p>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723"/>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723"/>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803"/>
        <w:jc w:val="center"/>
        <w:spacing w:line="480" w:lineRule="exact"/>
        <w:rPr>
          <w:rFonts w:hint="eastAsia" w:ascii="宋体" w:hAnsi="宋体" w:eastAsia="宋体" w:cs="宋体"/>
          <w:b/>
          <w:color w:val="auto"/>
          <w:sz w:val="40"/>
          <w:highlight w:val="none"/>
          <w:lang w:eastAsia="zh-CN"/>
        </w:rPr>
      </w:pPr>
      <w:r>
        <w:rPr>
          <w:rFonts w:hint="eastAsia" w:ascii="宋体" w:hAnsi="宋体" w:eastAsia="宋体" w:cs="宋体"/>
          <w:b/>
          <w:color w:val="auto"/>
          <w:sz w:val="40"/>
          <w:highlight w:val="none"/>
        </w:rPr>
        <w:t xml:space="preserve">项 目 名 称：</w:t>
      </w:r>
      <w:r>
        <w:rPr>
          <w:rFonts w:hint="eastAsia" w:ascii="宋体" w:hAnsi="宋体" w:eastAsia="宋体" w:cs="宋体"/>
          <w:b/>
          <w:color w:val="auto"/>
          <w:sz w:val="36"/>
          <w:szCs w:val="24"/>
          <w:highlight w:val="none"/>
          <w:lang w:eastAsia="zh-CN"/>
        </w:rPr>
        <w:t xml:space="preserve">常熟第二人民医院医用氧采购项目</w:t>
      </w:r>
      <w:r/>
    </w:p>
    <w:p>
      <w:pPr>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jc w:val="center"/>
        <w:spacing w:line="480" w:lineRule="exact"/>
        <w:rPr>
          <w:rFonts w:hint="eastAsia" w:ascii="宋体" w:hAnsi="宋体" w:eastAsia="宋体" w:cs="宋体"/>
          <w:b/>
          <w:color w:val="auto"/>
          <w:sz w:val="40"/>
          <w:highlight w:val="none"/>
          <w:u w:val="single"/>
          <w:lang w:eastAsia="zh-CN"/>
        </w:rPr>
      </w:pPr>
      <w:r>
        <w:rPr>
          <w:rFonts w:hint="eastAsia" w:ascii="宋体" w:hAnsi="宋体" w:eastAsia="宋体" w:cs="宋体"/>
          <w:b/>
          <w:color w:val="auto"/>
          <w:sz w:val="40"/>
          <w:highlight w:val="none"/>
        </w:rPr>
        <w:t xml:space="preserve">项 目 编 号：</w:t>
      </w:r>
      <w:r>
        <w:rPr>
          <w:rFonts w:hint="eastAsia" w:ascii="宋体" w:hAnsi="宋体" w:cs="宋体"/>
          <w:b/>
          <w:color w:val="auto"/>
          <w:sz w:val="36"/>
          <w:szCs w:val="24"/>
          <w:highlight w:val="none"/>
          <w:lang w:eastAsia="zh-CN"/>
        </w:rPr>
        <w:t xml:space="preserve">JSZC-320581-SZDS-G2026-0008</w:t>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jc w:val="center"/>
        <w:spacing w:line="480" w:lineRule="exact"/>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 xml:space="preserve">投标人名称 ：</w:t>
      </w:r>
      <w:r>
        <w:rPr>
          <w:rFonts w:hint="eastAsia" w:ascii="宋体" w:hAnsi="宋体" w:eastAsia="宋体" w:cs="宋体"/>
          <w:b/>
          <w:color w:val="auto"/>
          <w:sz w:val="40"/>
          <w:highlight w:val="none"/>
          <w:u w:val="single"/>
        </w:rPr>
        <w:t xml:space="preserve">（加盖CA电子公章）</w:t>
      </w:r>
      <w:r/>
    </w:p>
    <w:p>
      <w:pPr>
        <w:ind w:firstLine="803"/>
        <w:jc w:val="center"/>
        <w:spacing w:line="480" w:lineRule="exact"/>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ind w:firstLine="803"/>
        <w:jc w:val="center"/>
        <w:spacing w:line="480" w:lineRule="exact"/>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 xml:space="preserve">日      期 ：</w:t>
      </w:r>
      <w:r>
        <w:rPr>
          <w:rFonts w:hint="eastAsia" w:ascii="宋体" w:hAnsi="宋体" w:eastAsia="宋体" w:cs="宋体"/>
          <w:b/>
          <w:color w:val="auto"/>
          <w:sz w:val="36"/>
          <w:szCs w:val="24"/>
          <w:highlight w:val="none"/>
          <w:lang w:eastAsia="zh-CN"/>
        </w:rPr>
        <w:t xml:space="preserve">2026</w:t>
      </w:r>
      <w:r>
        <w:rPr>
          <w:rFonts w:hint="eastAsia" w:ascii="宋体" w:hAnsi="宋体" w:eastAsia="宋体" w:cs="宋体"/>
          <w:b/>
          <w:color w:val="auto"/>
          <w:sz w:val="40"/>
          <w:szCs w:val="40"/>
          <w:highlight w:val="none"/>
        </w:rPr>
        <w:t xml:space="preserve">年   月     日</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3"/>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643"/>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开标一览表</w:t>
      </w:r>
      <w:r>
        <w:rPr>
          <w:rFonts w:hint="eastAsia" w:ascii="宋体" w:hAnsi="宋体" w:eastAsia="宋体" w:cs="宋体"/>
          <w:color w:val="auto"/>
          <w:sz w:val="24"/>
          <w:szCs w:val="24"/>
          <w:highlight w:val="none"/>
        </w:rPr>
        <w:t xml:space="preserve">（格式见附件）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报价明细表</w:t>
      </w:r>
      <w:r>
        <w:rPr>
          <w:rFonts w:hint="eastAsia" w:ascii="宋体" w:hAnsi="宋体" w:eastAsia="宋体" w:cs="宋体"/>
          <w:color w:val="auto"/>
          <w:sz w:val="24"/>
          <w:szCs w:val="24"/>
          <w:highlight w:val="none"/>
        </w:rPr>
        <w:t xml:space="preserve">（格式见附件）</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二、资格审查内容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年</w:t>
      </w:r>
      <w:r>
        <w:rPr>
          <w:rFonts w:hint="eastAsia" w:ascii="宋体" w:hAnsi="宋体" w:eastAsia="宋体" w:cs="宋体"/>
          <w:bCs/>
          <w:color w:val="auto"/>
          <w:sz w:val="24"/>
          <w:szCs w:val="24"/>
          <w:highlight w:val="none"/>
        </w:rPr>
        <w:t xml:space="preserve">至今任意一期</w:t>
      </w:r>
      <w:r>
        <w:rPr>
          <w:rFonts w:hint="eastAsia" w:ascii="宋体" w:hAnsi="宋体" w:eastAsia="宋体" w:cs="宋体"/>
          <w:b/>
          <w:color w:val="auto"/>
          <w:sz w:val="24"/>
          <w:szCs w:val="24"/>
          <w:highlight w:val="none"/>
        </w:rPr>
        <w:t xml:space="preserve">经审计</w:t>
      </w:r>
      <w:r>
        <w:rPr>
          <w:rFonts w:hint="eastAsia" w:ascii="宋体" w:hAnsi="宋体" w:eastAsia="宋体" w:cs="宋体"/>
          <w:bCs/>
          <w:color w:val="auto"/>
          <w:sz w:val="24"/>
          <w:szCs w:val="24"/>
          <w:highlight w:val="none"/>
        </w:rPr>
        <w:t xml:space="preserve">的财务报告或者近期由银行出具的资信证明；</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具备履行合同所必需的设备和专业技术能力的书面声明（格式见附件）</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参加政府采购活动前 3 年内在经营活动中没有重大违法记录的书面声明（格式见附件）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*2、中小企业声明函（格式见附件）或残疾人福利性单位声明函（格式见附件）或省级以上监狱管理局、戒毒管理局（含新疆生产建设兵团）出具的属于监狱企业的证明文件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为生产企业</w:t>
      </w:r>
      <w:r>
        <w:rPr>
          <w:rFonts w:hint="eastAsia" w:ascii="宋体" w:hAnsi="宋体" w:eastAsia="宋体" w:cs="宋体"/>
          <w:color w:val="auto"/>
          <w:sz w:val="24"/>
          <w:szCs w:val="24"/>
          <w:highlight w:val="none"/>
          <w:lang w:val="en-US" w:eastAsia="zh-CN"/>
        </w:rPr>
        <w:t xml:space="preserve">的，必须</w:t>
      </w:r>
      <w:r>
        <w:rPr>
          <w:rFonts w:hint="eastAsia" w:ascii="宋体" w:hAnsi="宋体" w:eastAsia="宋体" w:cs="宋体"/>
          <w:color w:val="auto"/>
          <w:sz w:val="24"/>
          <w:szCs w:val="24"/>
          <w:highlight w:val="none"/>
        </w:rPr>
        <w:t xml:space="preserve">具备有效的《安全生产许可证》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《药品生产许可证》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药品注册证（药品注册批件或药品再注册批件）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《气瓶充装许可证》；投标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为经销商</w:t>
      </w:r>
      <w:r>
        <w:rPr>
          <w:rFonts w:hint="eastAsia" w:ascii="宋体" w:hAnsi="宋体" w:eastAsia="宋体" w:cs="宋体"/>
          <w:color w:val="auto"/>
          <w:sz w:val="24"/>
          <w:szCs w:val="24"/>
          <w:highlight w:val="none"/>
          <w:lang w:val="en-US" w:eastAsia="zh-CN"/>
        </w:rPr>
        <w:t xml:space="preserve">的，必须</w:t>
      </w:r>
      <w:r>
        <w:rPr>
          <w:rFonts w:hint="eastAsia" w:ascii="宋体" w:hAnsi="宋体" w:eastAsia="宋体" w:cs="宋体"/>
          <w:color w:val="auto"/>
          <w:sz w:val="24"/>
          <w:szCs w:val="24"/>
          <w:highlight w:val="none"/>
        </w:rPr>
        <w:t xml:space="preserve">具备有效的</w:t>
      </w:r>
      <w:r>
        <w:rPr>
          <w:rFonts w:hint="eastAsia" w:ascii="宋体" w:hAnsi="宋体" w:eastAsia="宋体" w:cs="宋体"/>
          <w:bCs/>
          <w:color w:val="auto"/>
          <w:sz w:val="24"/>
          <w:highlight w:val="none"/>
        </w:rPr>
        <w:t xml:space="preserve">《药品经营许可证》</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与生产企业的合作性协议</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生产企业的相关证件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提供相关证明材料扫描件</w:t>
      </w:r>
      <w:r>
        <w:rPr>
          <w:rFonts w:hint="eastAsia" w:ascii="宋体" w:hAnsi="宋体" w:eastAsia="宋体" w:cs="宋体"/>
          <w:color w:val="auto"/>
          <w:sz w:val="24"/>
          <w:szCs w:val="24"/>
          <w:highlight w:val="none"/>
          <w:lang w:eastAsia="zh-CN"/>
        </w:rPr>
        <w:t xml:space="preserve">）</w:t>
      </w:r>
      <w:r/>
    </w:p>
    <w:p>
      <w:pPr>
        <w:ind w:firstLine="720"/>
        <w:keepLines w:val="0"/>
        <w:keepNext w:val="0"/>
        <w:pageBreakBefore w:val="0"/>
        <w:spacing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人必</w:t>
      </w:r>
      <w:r>
        <w:rPr>
          <w:rFonts w:hint="eastAsia" w:ascii="宋体" w:hAnsi="宋体" w:eastAsia="宋体" w:cs="宋体"/>
          <w:color w:val="auto"/>
          <w:sz w:val="24"/>
          <w:szCs w:val="24"/>
          <w:highlight w:val="none"/>
        </w:rPr>
        <w:t xml:space="preserve">须具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有效期内的《道路危险货物运输许可证》或《道路运输经营许可证》（须包含危险货物运输2类等类似描述）。如投标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委托第三方运输企业承担气体运输服务，则投标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需同时提供与该运输企业有效期内的协议书，且运输企业</w:t>
      </w:r>
      <w:r>
        <w:rPr>
          <w:rFonts w:hint="eastAsia" w:ascii="宋体" w:hAnsi="宋体" w:eastAsia="宋体" w:cs="宋体"/>
          <w:color w:val="auto"/>
          <w:sz w:val="24"/>
          <w:szCs w:val="24"/>
          <w:highlight w:val="none"/>
          <w:lang w:val="en-US" w:eastAsia="zh-CN"/>
        </w:rPr>
        <w:t xml:space="preserve">必</w:t>
      </w:r>
      <w:r>
        <w:rPr>
          <w:rFonts w:hint="eastAsia" w:ascii="宋体" w:hAnsi="宋体" w:eastAsia="宋体" w:cs="宋体"/>
          <w:color w:val="auto"/>
          <w:sz w:val="24"/>
          <w:szCs w:val="24"/>
          <w:highlight w:val="none"/>
        </w:rPr>
        <w:t xml:space="preserve">须具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有效期内</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《道路危险货物运输许可证》或《道路运输经营许可证》（须包含危险货物运输2类等类似描述）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提供相关证明材料扫描件</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注：其中加“*”项目若有缺失或无效，将导致其投标文件无效且不允许在投标文件开启时间后补正。</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法人授权书（格式见附件）（如法定代表人签署投标文件的，法人授权书无需提供）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投标函（格式见附件）</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实质性要求响应及偏离表（格式见附件）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技术参数响应及偏离表（格式见附件）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商务要求响应及偏离表</w:t>
      </w:r>
      <w:r>
        <w:rPr>
          <w:rFonts w:hint="eastAsia" w:ascii="宋体" w:hAnsi="宋体" w:eastAsia="宋体" w:cs="宋体"/>
          <w:color w:val="auto"/>
          <w:sz w:val="24"/>
          <w:szCs w:val="24"/>
          <w:highlight w:val="none"/>
        </w:rPr>
        <w:t xml:space="preserve">（格式见附件）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6、供应商与其他单位存在直接控股、管理关系情况表</w:t>
      </w:r>
      <w:r>
        <w:rPr>
          <w:rFonts w:hint="eastAsia" w:ascii="宋体" w:hAnsi="宋体" w:eastAsia="宋体" w:cs="宋体"/>
          <w:color w:val="auto"/>
          <w:sz w:val="24"/>
          <w:szCs w:val="24"/>
          <w:highlight w:val="none"/>
        </w:rPr>
        <w:t xml:space="preserve">（格式见附件）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7、关于符合本国产品标准的声明函</w:t>
      </w:r>
      <w:r>
        <w:rPr>
          <w:rFonts w:hint="eastAsia" w:ascii="宋体" w:hAnsi="宋体" w:eastAsia="宋体" w:cs="宋体"/>
          <w:color w:val="auto"/>
          <w:sz w:val="24"/>
          <w:szCs w:val="24"/>
          <w:highlight w:val="none"/>
        </w:rPr>
        <w:t xml:space="preserve">（格式见附件）</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1、投标货物综合说明（格式见附件）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2、项目实施方案（格式见附件）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3、质量保证及售后服务承诺（格式见附件）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4、业绩一览表（格式见附件）</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备注：针对“二、资格审查内容”和“三、符合性审查内容”，投标人必须在投标文件中提供相关材料，若有缺失或无效的，将导致其投标无效。</w:t>
      </w:r>
      <w:r/>
    </w:p>
    <w:p>
      <w:pPr>
        <w:ind w:firstLine="482"/>
        <w:jc w:val="center"/>
        <w:keepLines w:val="0"/>
        <w:keepNext w:val="0"/>
        <w:pageBreakBefore w:val="0"/>
        <w:spacing w:line="440" w:lineRule="exact"/>
        <w:widowControl w:val="off"/>
        <w:rPr>
          <w:rFonts w:hint="eastAsia" w:ascii="宋体" w:hAnsi="宋体" w:eastAsia="宋体" w:cs="宋体"/>
          <w:b/>
          <w:bCs/>
          <w:color w:val="auto"/>
          <w:sz w:val="28"/>
          <w:szCs w:val="28"/>
          <w:highlight w:val="none"/>
        </w:rPr>
        <w:outlineLvl w:val="1"/>
      </w:pPr>
      <w:r>
        <w:rPr>
          <w:rFonts w:hint="eastAsia" w:ascii="宋体" w:hAnsi="宋体" w:eastAsia="宋体" w:cs="宋体"/>
          <w:b/>
          <w:color w:val="auto"/>
          <w:sz w:val="24"/>
          <w:szCs w:val="24"/>
          <w:highlight w:val="none"/>
        </w:rPr>
        <w:br w:type="page" w:clear="all"/>
      </w:r>
      <w:bookmarkStart w:id="363" w:name="_Toc24641"/>
      <w:r>
        <w:rPr>
          <w:rFonts w:hint="eastAsia" w:ascii="宋体" w:hAnsi="宋体" w:eastAsia="宋体" w:cs="宋体"/>
          <w:b/>
          <w:bCs/>
          <w:color w:val="auto"/>
          <w:sz w:val="28"/>
          <w:szCs w:val="28"/>
          <w:highlight w:val="none"/>
        </w:rPr>
        <w:t xml:space="preserve">附件1 开标一览表</w:t>
      </w:r>
      <w:bookmarkEnd w:id="363"/>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JSZC-320581-SZDS-G2026-0008</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分包号</w:t>
      </w:r>
      <w:r>
        <w:rPr>
          <w:rFonts w:hint="eastAsia" w:ascii="宋体" w:hAnsi="宋体" w:eastAsia="宋体" w:cs="宋体"/>
          <w:color w:val="auto"/>
          <w:sz w:val="24"/>
          <w:szCs w:val="24"/>
          <w:highlight w:val="none"/>
        </w:rPr>
        <w:t xml:space="preserve">：</w:t>
      </w:r>
      <w:bookmarkEnd w:id="178"/>
      <w:bookmarkEnd w:id="179"/>
      <w:bookmarkEnd w:id="360"/>
      <w:bookmarkEnd w:id="361"/>
      <w:bookmarkEnd w:id="362"/>
      <w:r/>
    </w:p>
    <w:tbl>
      <w:tblPr>
        <w:tblStyle w:val="785"/>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330"/>
      </w:tblGrid>
      <w:tr>
        <w:trPr>
          <w:cantSplit/>
          <w:trHeight w:val="667"/>
        </w:trPr>
        <w:tc>
          <w:tcPr>
            <w:tcW w:w="495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W w:w="433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投标优惠率</w:t>
            </w:r>
            <w:r/>
          </w:p>
        </w:tc>
      </w:tr>
      <w:tr>
        <w:trPr>
          <w:cantSplit/>
          <w:trHeight w:val="667"/>
        </w:trPr>
        <w:tc>
          <w:tcPr>
            <w:tcW w:w="4950" w:type="dxa"/>
            <w:vAlign w:val="center"/>
            <w:textDirection w:val="lrTb"/>
            <w:noWrap w:val="false"/>
          </w:tcPr>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常熟第二人民医院医用氧采购项目</w:t>
            </w:r>
            <w:r/>
          </w:p>
        </w:tc>
        <w:tc>
          <w:tcPr>
            <w:tcW w:w="4330"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日期：   年   月   日</w:t>
      </w:r>
      <w:r/>
    </w:p>
    <w:p>
      <w:pPr>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2"/>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填写说明:</w:t>
      </w:r>
      <w:r/>
    </w:p>
    <w:p>
      <w:pPr>
        <w:ind w:firstLine="482"/>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1、开标一览表必须加盖投标人公章(复印件无效)。</w:t>
      </w:r>
      <w:r/>
    </w:p>
    <w:p>
      <w:pPr>
        <w:ind w:firstLine="482"/>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2、如有分包，投标人投任何一个包的标的，都需单独填写开标一览表。</w:t>
      </w:r>
      <w:r/>
    </w:p>
    <w:p>
      <w:pPr>
        <w:ind w:firstLine="482"/>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项目设投标优惠率报价范围，0≤投标优惠率＜100%，优惠率不得超过报价范围，否则其投标作无效投标处理。具体填写方式为：如投标文件中的投标报价（投标优惠率）为10%，则“电子投标文件格式”“投标优惠率”中填写10%。</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2、投标报价请保留小数点后两位。</w:t>
      </w:r>
      <w:r/>
    </w:p>
    <w:p>
      <w:pPr>
        <w:spacing w:line="440" w:lineRule="exact"/>
        <w:rPr>
          <w:rFonts w:hint="eastAsia" w:ascii="宋体" w:hAnsi="宋体" w:eastAsia="宋体" w:cs="宋体"/>
          <w:color w:val="auto"/>
          <w:sz w:val="24"/>
          <w:szCs w:val="24"/>
          <w:highlight w:val="none"/>
          <w:lang w:val="en-US" w:eastAsia="zh-CN"/>
        </w:rPr>
        <w:sectPr>
          <w:footerReference w:type="default" r:id="rId13"/>
          <w:footerReference w:type="first" r:id="rId14"/>
          <w:footnotePr/>
          <w:endnotePr/>
          <w:type w:val="nextPage"/>
          <w:pgSz w:w="11906" w:h="16838" w:orient="portrait"/>
          <w:pgMar w:top="771" w:right="720" w:bottom="527" w:left="720" w:header="231" w:footer="200" w:gutter="0"/>
          <w:pgNumType w:start="1"/>
          <w:cols w:num="1" w:sep="0" w:space="720" w:equalWidth="1"/>
          <w:docGrid w:linePitch="360"/>
          <w:titlePg/>
        </w:sectPr>
      </w:pPr>
      <w:r>
        <w:rPr>
          <w:rFonts w:hint="eastAsia" w:ascii="宋体" w:hAnsi="宋体" w:eastAsia="宋体" w:cs="宋体"/>
          <w:color w:val="auto"/>
          <w:sz w:val="24"/>
          <w:szCs w:val="24"/>
          <w:highlight w:val="none"/>
          <w:lang w:val="en-US" w:eastAsia="zh-CN"/>
        </w:rPr>
        <w:t xml:space="preserve">3、中标单价=对应单价最高限价*（1-投标优惠率）。</w:t>
      </w:r>
      <w:r/>
    </w:p>
    <w:p>
      <w:pPr>
        <w:jc w:val="center"/>
        <w:spacing w:line="440" w:lineRule="exact"/>
        <w:rPr>
          <w:rFonts w:hint="eastAsia" w:ascii="宋体" w:hAnsi="宋体" w:eastAsia="宋体" w:cs="宋体"/>
          <w:b/>
          <w:bCs/>
          <w:color w:val="auto"/>
          <w:sz w:val="28"/>
          <w:szCs w:val="28"/>
          <w:highlight w:val="none"/>
        </w:rPr>
        <w:outlineLvl w:val="1"/>
      </w:pPr>
      <w:r/>
      <w:bookmarkStart w:id="364" w:name="_Toc342901622"/>
      <w:r/>
      <w:bookmarkStart w:id="365" w:name="_Toc323364718"/>
      <w:r/>
      <w:bookmarkStart w:id="366" w:name="_Toc15955"/>
      <w:r/>
      <w:bookmarkStart w:id="367" w:name="_Toc27526"/>
      <w:r/>
      <w:bookmarkStart w:id="368" w:name="_Toc375841418"/>
      <w:r/>
      <w:bookmarkStart w:id="369" w:name="_Toc158691780"/>
      <w:r/>
      <w:bookmarkStart w:id="370" w:name="_Toc312824904"/>
      <w:r/>
      <w:bookmarkStart w:id="371" w:name="_Toc15366"/>
      <w:r/>
      <w:bookmarkStart w:id="372" w:name="_Toc24737"/>
      <w:r/>
      <w:bookmarkStart w:id="373" w:name="_Toc424045390"/>
      <w:r/>
      <w:bookmarkStart w:id="374" w:name="_Toc145474400"/>
      <w:r/>
      <w:bookmarkStart w:id="375" w:name="_Toc376513763"/>
      <w:r>
        <w:rPr>
          <w:rFonts w:hint="eastAsia" w:ascii="宋体" w:hAnsi="宋体" w:eastAsia="宋体" w:cs="宋体"/>
          <w:b/>
          <w:bCs/>
          <w:color w:val="auto"/>
          <w:sz w:val="28"/>
          <w:szCs w:val="28"/>
          <w:highlight w:val="none"/>
        </w:rPr>
        <w:t xml:space="preserve">附件2 报价明细表</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tbl>
      <w:tblPr>
        <w:tblStyle w:val="785"/>
        <w:tblW w:w="10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863"/>
        <w:gridCol w:w="2041"/>
        <w:gridCol w:w="872"/>
        <w:gridCol w:w="912"/>
        <w:gridCol w:w="1275"/>
        <w:gridCol w:w="1750"/>
        <w:gridCol w:w="800"/>
      </w:tblGrid>
      <w:tr>
        <w:trPr>
          <w:cantSplit/>
          <w:jc w:val="center"/>
          <w:trHeight w:val="397"/>
        </w:trPr>
        <w:tc>
          <w:tcPr>
            <w:tcW w:w="845"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86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货物名称</w:t>
            </w:r>
            <w:r/>
          </w:p>
        </w:tc>
        <w:tc>
          <w:tcPr>
            <w:tcW w:w="2041"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品牌、规格及型号</w:t>
            </w:r>
            <w:r/>
          </w:p>
        </w:tc>
        <w:tc>
          <w:tcPr>
            <w:tcW w:w="87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单位</w:t>
            </w:r>
            <w:r/>
          </w:p>
        </w:tc>
        <w:tc>
          <w:tcPr>
            <w:tcW w:w="91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W w:w="1275"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W w:w="1750"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分类总价（元）</w:t>
            </w:r>
            <w:r/>
          </w:p>
        </w:tc>
        <w:tc>
          <w:tcPr>
            <w:tcW w:w="800"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cantSplit/>
          <w:jc w:val="center"/>
          <w:trHeight w:val="567"/>
        </w:trPr>
        <w:tc>
          <w:tcPr>
            <w:tcW w:w="845" w:type="dxa"/>
            <w:vAlign w:val="center"/>
            <w:textDirection w:val="lrTb"/>
            <w:noWrap w:val="false"/>
          </w:tcPr>
          <w:p>
            <w:pPr>
              <w:jc w:val="center"/>
              <w:rPr>
                <w:rFonts w:hint="eastAsia" w:ascii="宋体" w:hAnsi="宋体" w:eastAsia="宋体" w:cs="宋体"/>
                <w:color w:val="auto"/>
                <w:sz w:val="24"/>
                <w:highlight w:val="none"/>
              </w:rPr>
            </w:pPr>
            <w:r/>
            <w:bookmarkStart w:id="376" w:name="_Hlk446945125"/>
            <w:r>
              <w:rPr>
                <w:rFonts w:hint="eastAsia" w:ascii="宋体" w:hAnsi="宋体" w:eastAsia="宋体" w:cs="宋体"/>
                <w:color w:val="auto"/>
                <w:sz w:val="24"/>
                <w:highlight w:val="none"/>
              </w:rPr>
              <w:t xml:space="preserve">1</w:t>
            </w:r>
            <w:r/>
          </w:p>
        </w:tc>
        <w:tc>
          <w:tcPr>
            <w:tcW w:w="186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医用液氧</w:t>
            </w:r>
            <w:r/>
          </w:p>
        </w:tc>
        <w:tc>
          <w:tcPr>
            <w:tcW w:w="2041"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7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吨</w:t>
            </w:r>
            <w:r/>
          </w:p>
        </w:tc>
        <w:tc>
          <w:tcPr>
            <w:tcW w:w="9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1200</w:t>
            </w:r>
            <w:r/>
          </w:p>
        </w:tc>
        <w:tc>
          <w:tcPr>
            <w:tcW w:w="127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0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567"/>
        </w:trPr>
        <w:tc>
          <w:tcPr>
            <w:tcW w:w="8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6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40L医用氧</w:t>
            </w:r>
            <w:r/>
          </w:p>
        </w:tc>
        <w:tc>
          <w:tcPr>
            <w:tcW w:w="2041"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7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瓶</w:t>
            </w:r>
            <w:r/>
          </w:p>
        </w:tc>
        <w:tc>
          <w:tcPr>
            <w:tcW w:w="91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60</w:t>
            </w:r>
            <w:r/>
          </w:p>
        </w:tc>
        <w:tc>
          <w:tcPr>
            <w:tcW w:w="127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0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567"/>
        </w:trPr>
        <w:tc>
          <w:tcPr>
            <w:tcW w:w="8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6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10L医用氧</w:t>
            </w:r>
            <w:r/>
          </w:p>
        </w:tc>
        <w:tc>
          <w:tcPr>
            <w:tcW w:w="2041"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瓶</w:t>
            </w:r>
            <w:r/>
          </w:p>
        </w:tc>
        <w:tc>
          <w:tcPr>
            <w:tcW w:w="91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130</w:t>
            </w:r>
            <w:r/>
          </w:p>
        </w:tc>
        <w:tc>
          <w:tcPr>
            <w:tcW w:w="127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0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567"/>
        </w:trPr>
        <w:tc>
          <w:tcPr>
            <w:tcW w:w="8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86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4L医用氧（</w:t>
            </w:r>
            <w:r>
              <w:rPr>
                <w:rFonts w:hint="eastAsia" w:ascii="宋体" w:hAnsi="宋体" w:eastAsia="宋体" w:cs="宋体"/>
                <w:color w:val="auto"/>
                <w:sz w:val="24"/>
                <w:highlight w:val="none"/>
                <w:lang w:val="en-US" w:eastAsia="zh-CN"/>
              </w:rPr>
              <w:t xml:space="preserve">组合瓶</w:t>
            </w:r>
            <w:r>
              <w:rPr>
                <w:rFonts w:hint="eastAsia" w:ascii="宋体" w:hAnsi="宋体" w:eastAsia="宋体" w:cs="宋体"/>
                <w:color w:val="auto"/>
                <w:sz w:val="24"/>
                <w:highlight w:val="none"/>
                <w:lang w:eastAsia="zh-CN"/>
              </w:rPr>
              <w:t xml:space="preserve">）</w:t>
            </w:r>
            <w:r/>
          </w:p>
        </w:tc>
        <w:tc>
          <w:tcPr>
            <w:tcW w:w="2041"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瓶</w:t>
            </w:r>
            <w:r/>
          </w:p>
        </w:tc>
        <w:tc>
          <w:tcPr>
            <w:tcW w:w="91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3100</w:t>
            </w:r>
            <w:r/>
          </w:p>
        </w:tc>
        <w:tc>
          <w:tcPr>
            <w:tcW w:w="127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0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567"/>
        </w:trPr>
        <w:tc>
          <w:tcPr>
            <w:gridSpan w:val="5"/>
            <w:tcW w:w="653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合计总价：</w:t>
            </w:r>
            <w:r/>
          </w:p>
        </w:tc>
        <w:tc>
          <w:tcPr>
            <w:gridSpan w:val="3"/>
            <w:tcW w:w="382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376"/>
            <w:r/>
          </w:p>
        </w:tc>
      </w:tr>
    </w:tbl>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Cs/>
          <w:color w:val="auto"/>
          <w:sz w:val="24"/>
          <w:highlight w:val="none"/>
        </w:rPr>
        <w:t xml:space="preserve">投标人应根据本项目货物的分项价格情况，据实填写上述表格。</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2、所有价格用人民币表示。</w:t>
      </w:r>
      <w:r/>
    </w:p>
    <w:p>
      <w:pPr>
        <w:ind w:firstLine="482"/>
        <w:spacing w:line="440" w:lineRule="exact"/>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lang w:val="en-US" w:eastAsia="zh-CN"/>
        </w:rPr>
        <w:t xml:space="preserve">3、表中“</w:t>
      </w:r>
      <w:r>
        <w:rPr>
          <w:rFonts w:hint="eastAsia" w:ascii="宋体" w:hAnsi="宋体" w:eastAsia="宋体" w:cs="宋体"/>
          <w:b/>
          <w:bCs w:val="0"/>
          <w:color w:val="auto"/>
          <w:sz w:val="24"/>
          <w:szCs w:val="24"/>
          <w:highlight w:val="none"/>
        </w:rPr>
        <w:t xml:space="preserve">单价（元）</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对应单价最高限价*（1-投标优惠率）</w:t>
      </w:r>
      <w:r>
        <w:rPr>
          <w:rFonts w:hint="eastAsia" w:ascii="宋体" w:hAnsi="宋体" w:eastAsia="宋体" w:cs="宋体"/>
          <w:b/>
          <w:bCs w:val="0"/>
          <w:color w:val="auto"/>
          <w:sz w:val="24"/>
          <w:highlight w:val="none"/>
          <w:lang w:val="en-US" w:eastAsia="zh-CN"/>
        </w:rPr>
        <w:t xml:space="preserve">。</w:t>
      </w:r>
      <w:r/>
    </w:p>
    <w:p>
      <w:pPr>
        <w:ind w:firstLine="482"/>
        <w:spacing w:line="440" w:lineRule="exac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4、单价最高限价详见下表：</w:t>
      </w:r>
      <w:r/>
    </w:p>
    <w:p>
      <w:pPr>
        <w:numPr>
          <w:ilvl w:val="0"/>
          <w:numId w:val="0"/>
        </w:numPr>
        <w:ind w:left="0" w:firstLine="482"/>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最高限价分类</w:t>
      </w:r>
      <w:r>
        <w:rPr>
          <w:rFonts w:hint="eastAsia" w:ascii="宋体" w:hAnsi="宋体" w:eastAsia="宋体" w:cs="宋体"/>
          <w:b/>
          <w:bCs/>
          <w:color w:val="auto"/>
          <w:sz w:val="24"/>
          <w:szCs w:val="24"/>
          <w:highlight w:val="none"/>
        </w:rPr>
        <w:t xml:space="preserve">表</w:t>
      </w:r>
      <w:r/>
    </w:p>
    <w:tbl>
      <w:tblPr>
        <w:tblStyle w:val="785"/>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2593"/>
        <w:gridCol w:w="2221"/>
        <w:gridCol w:w="2423"/>
      </w:tblGrid>
      <w:tr>
        <w:trPr>
          <w:jc w:val="center"/>
          <w:trHeight w:val="538"/>
        </w:trPr>
        <w:tc>
          <w:tcPr>
            <w:tcW w:w="626"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593"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货物名称</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气体</w:t>
            </w:r>
            <w:r>
              <w:rPr>
                <w:rFonts w:hint="eastAsia" w:ascii="宋体" w:hAnsi="宋体" w:eastAsia="宋体" w:cs="宋体"/>
                <w:b/>
                <w:bCs/>
                <w:color w:val="auto"/>
                <w:sz w:val="24"/>
                <w:szCs w:val="24"/>
                <w:highlight w:val="none"/>
                <w:lang w:val="en-US" w:eastAsia="zh-CN"/>
              </w:rPr>
              <w:t xml:space="preserve">单价</w:t>
            </w:r>
            <w:r>
              <w:rPr>
                <w:rFonts w:hint="eastAsia" w:ascii="宋体" w:hAnsi="宋体" w:eastAsia="宋体" w:cs="宋体"/>
                <w:b/>
                <w:bCs/>
                <w:color w:val="auto"/>
                <w:sz w:val="24"/>
                <w:szCs w:val="24"/>
                <w:highlight w:val="none"/>
              </w:rPr>
              <w:t xml:space="preserve">最高限价</w:t>
            </w:r>
            <w:r/>
          </w:p>
        </w:tc>
        <w:tc>
          <w:tcPr>
            <w:tcW w:w="2423"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投标优惠率报价范围</w:t>
            </w:r>
            <w:r/>
          </w:p>
        </w:tc>
      </w:tr>
      <w:tr>
        <w:trPr>
          <w:jc w:val="center"/>
          <w:trHeight w:val="442"/>
        </w:trPr>
        <w:tc>
          <w:tcPr>
            <w:tcW w:w="62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93"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医用液氧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987.54</w:t>
            </w:r>
            <w:r>
              <w:rPr>
                <w:rFonts w:hint="eastAsia" w:ascii="宋体" w:hAnsi="宋体" w:eastAsia="宋体" w:cs="宋体"/>
                <w:color w:val="auto"/>
                <w:sz w:val="24"/>
                <w:szCs w:val="24"/>
                <w:highlight w:val="none"/>
              </w:rPr>
              <w:t xml:space="preserve">元/吨</w:t>
            </w:r>
            <w:r/>
          </w:p>
        </w:tc>
        <w:tc>
          <w:tcPr>
            <w:tcW w:w="2423" w:type="dxa"/>
            <w:vAlign w:val="center"/>
            <w:vMerge w:val="restart"/>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0≤投标优惠率＜100%</w:t>
            </w:r>
            <w:r/>
          </w:p>
        </w:tc>
      </w:tr>
      <w:tr>
        <w:trPr>
          <w:jc w:val="center"/>
          <w:trHeight w:val="440"/>
        </w:trPr>
        <w:tc>
          <w:tcPr>
            <w:tcW w:w="62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93"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40L医用氧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58.30</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4"/>
        </w:trPr>
        <w:tc>
          <w:tcPr>
            <w:tcW w:w="62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93"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10L医用氧</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32.09</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26"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93"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4L医用氧（</w:t>
            </w:r>
            <w:r>
              <w:rPr>
                <w:rFonts w:hint="eastAsia" w:ascii="宋体" w:hAnsi="宋体" w:eastAsia="宋体" w:cs="宋体"/>
                <w:color w:val="auto"/>
                <w:sz w:val="24"/>
                <w:szCs w:val="24"/>
                <w:highlight w:val="none"/>
                <w:lang w:val="en-US" w:eastAsia="zh-CN"/>
              </w:rPr>
              <w:t xml:space="preserve">组合瓶</w:t>
            </w:r>
            <w:r>
              <w:rPr>
                <w:rFonts w:hint="eastAsia" w:ascii="宋体" w:hAnsi="宋体" w:eastAsia="宋体" w:cs="宋体"/>
                <w:color w:val="auto"/>
                <w:sz w:val="24"/>
                <w:szCs w:val="24"/>
                <w:highlight w:val="none"/>
                <w:lang w:eastAsia="zh-CN"/>
              </w:rPr>
              <w:t xml:space="preserve">）</w:t>
            </w:r>
            <w:r/>
          </w:p>
        </w:tc>
        <w:tc>
          <w:tcPr>
            <w:tcW w:w="2221"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24.40</w:t>
            </w:r>
            <w:r>
              <w:rPr>
                <w:rFonts w:hint="eastAsia" w:ascii="宋体" w:hAnsi="宋体" w:eastAsia="宋体" w:cs="宋体"/>
                <w:color w:val="auto"/>
                <w:sz w:val="24"/>
                <w:szCs w:val="24"/>
                <w:highlight w:val="none"/>
              </w:rPr>
              <w:t xml:space="preserve">元/瓶</w:t>
            </w:r>
            <w:r/>
          </w:p>
        </w:tc>
        <w:tc>
          <w:tcPr>
            <w:tcW w:w="2423" w:type="dxa"/>
            <w:vAlign w:val="center"/>
            <w:vMerge w:val="continue"/>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、如有需要说明的事项，请在备注中列明</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07"/>
        <w:rPr>
          <w:rFonts w:hint="eastAsia" w:ascii="宋体" w:hAnsi="宋体" w:eastAsia="宋体" w:cs="宋体"/>
          <w:color w:val="auto"/>
          <w:highlight w:val="none"/>
        </w:rPr>
        <w:sectPr>
          <w:footnotePr/>
          <w:endnotePr/>
          <w:type w:val="nextPage"/>
          <w:pgSz w:w="11906" w:h="16838" w:orient="portrait"/>
          <w:pgMar w:top="771" w:right="720" w:bottom="527" w:left="720" w:header="231" w:footer="200" w:gutter="0"/>
          <w:cols w:num="1" w:sep="0" w:space="720" w:equalWidth="1"/>
          <w:docGrid w:linePitch="360"/>
          <w:titlePg/>
        </w:sectPr>
      </w:pPr>
      <w:r>
        <w:rPr>
          <w:rFonts w:hint="eastAsia" w:ascii="宋体" w:hAnsi="宋体" w:eastAsia="宋体" w:cs="宋体"/>
          <w:color w:val="auto"/>
          <w:highlight w:val="none"/>
        </w:rPr>
      </w:r>
      <w:r/>
    </w:p>
    <w:p>
      <w:pPr>
        <w:ind w:firstLine="482"/>
        <w:jc w:val="center"/>
        <w:spacing w:line="440" w:lineRule="exact"/>
        <w:rPr>
          <w:rFonts w:hint="eastAsia" w:ascii="宋体" w:hAnsi="宋体" w:eastAsia="宋体" w:cs="宋体"/>
          <w:b/>
          <w:color w:val="auto"/>
          <w:sz w:val="24"/>
          <w:szCs w:val="24"/>
          <w:highlight w:val="none"/>
        </w:rPr>
        <w:outlineLvl w:val="1"/>
      </w:pPr>
      <w:r/>
      <w:bookmarkStart w:id="377" w:name="_Toc28281"/>
      <w:r/>
      <w:bookmarkStart w:id="378" w:name="_Toc43821328"/>
      <w:r/>
      <w:bookmarkStart w:id="379" w:name="_Toc387400419"/>
      <w:r/>
      <w:bookmarkStart w:id="380" w:name="_Toc354834784"/>
      <w:r/>
      <w:bookmarkStart w:id="381" w:name="_Toc146524609"/>
      <w:r/>
      <w:bookmarkStart w:id="382" w:name="_Toc522610225"/>
      <w:r>
        <w:rPr>
          <w:rFonts w:hint="eastAsia" w:ascii="宋体" w:hAnsi="宋体" w:eastAsia="宋体" w:cs="宋体"/>
          <w:b/>
          <w:bCs/>
          <w:color w:val="auto"/>
          <w:sz w:val="28"/>
          <w:szCs w:val="28"/>
          <w:highlight w:val="none"/>
        </w:rPr>
        <w:t xml:space="preserve">附件3 技术参数响应及偏离表</w:t>
      </w:r>
      <w:bookmarkEnd w:id="377"/>
      <w:r/>
      <w:r/>
    </w:p>
    <w:tbl>
      <w:tblPr>
        <w:tblStyle w:val="785"/>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830"/>
        <w:gridCol w:w="1811"/>
        <w:gridCol w:w="1107"/>
        <w:gridCol w:w="938"/>
        <w:gridCol w:w="913"/>
        <w:gridCol w:w="2024"/>
        <w:gridCol w:w="1278"/>
      </w:tblGrid>
      <w:tr>
        <w:trPr>
          <w:jc w:val="center"/>
          <w:trHeight w:val="582"/>
        </w:trPr>
        <w:tc>
          <w:tcPr>
            <w:tcW w:w="635"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830" w:type="dxa"/>
            <w:vAlign w:val="center"/>
            <w:vMerge w:val="restart"/>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招标货物</w:t>
            </w:r>
            <w:r/>
          </w:p>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配置及技术性能参数要求</w:t>
            </w:r>
            <w:r/>
          </w:p>
        </w:tc>
        <w:tc>
          <w:tcPr>
            <w:tcW w:w="1811" w:type="dxa"/>
            <w:vAlign w:val="center"/>
            <w:vMerge w:val="restart"/>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投标货物</w:t>
            </w:r>
            <w:r/>
          </w:p>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配置及技术性能参数</w:t>
            </w:r>
            <w:r/>
          </w:p>
        </w:tc>
        <w:tc>
          <w:tcPr>
            <w:tcW w:w="1107"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gridSpan w:val="2"/>
            <w:tcW w:w="185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有偏离</w:t>
            </w:r>
            <w:r/>
          </w:p>
        </w:tc>
        <w:tc>
          <w:tcPr>
            <w:tcW w:w="202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w:t>
            </w:r>
            <w:r/>
          </w:p>
        </w:tc>
        <w:tc>
          <w:tcPr>
            <w:tcW w:w="127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Height w:val="696"/>
        </w:trPr>
        <w:tc>
          <w:tcPr>
            <w:tcW w:w="635"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830"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811"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07"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3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正</w:t>
            </w:r>
            <w:r/>
          </w:p>
        </w:tc>
        <w:tc>
          <w:tcPr>
            <w:tcW w:w="91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负</w:t>
            </w:r>
            <w:r/>
          </w:p>
        </w:tc>
        <w:tc>
          <w:tcPr>
            <w:tcW w:w="202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7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46"/>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w:t>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10"/>
        </w:trPr>
        <w:tc>
          <w:tcPr>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2"/>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bidi="ar"/>
        </w:rPr>
        <w:t xml:space="preserve">注：1、投标人应根据“采购需求”中的“三、技术性能参数要求”对照所投报货物的技术性能参数进行逐项评议</w:t>
      </w:r>
      <w:r>
        <w:rPr>
          <w:rFonts w:hint="eastAsia" w:ascii="宋体" w:hAnsi="宋体" w:eastAsia="宋体" w:cs="宋体"/>
          <w:b/>
          <w:bCs/>
          <w:color w:val="auto"/>
          <w:sz w:val="24"/>
          <w:szCs w:val="24"/>
          <w:highlight w:val="none"/>
          <w:shd w:val="clear" w:color="auto" w:fill="ffffff"/>
          <w:lang w:eastAsia="zh-CN"/>
        </w:rPr>
        <w:t xml:space="preserve">。</w:t>
      </w:r>
      <w:r/>
    </w:p>
    <w:p>
      <w:pPr>
        <w:ind w:firstLine="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rPr>
        <w:t xml:space="preserve">若无偏离，在“</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无偏离”栏中填写“无偏离”；若有偏离在“有偏离”栏中填写“正偏离”或“负偏离”，并在“偏离内容”栏中作出说明。</w:t>
      </w:r>
      <w:r/>
    </w:p>
    <w:p>
      <w:pPr>
        <w:ind w:firstLine="960"/>
        <w:spacing w:after="120" w:line="44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、表格不够可另接。</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482"/>
        <w:jc w:val="center"/>
        <w:spacing w:line="440" w:lineRule="exact"/>
        <w:rPr>
          <w:rFonts w:hint="eastAsia" w:ascii="宋体" w:hAnsi="宋体" w:eastAsia="宋体" w:cs="宋体"/>
          <w:b/>
          <w:bCs/>
          <w:color w:val="auto"/>
          <w:sz w:val="28"/>
          <w:szCs w:val="28"/>
          <w:highlight w:val="none"/>
        </w:rPr>
        <w:outlineLvl w:val="1"/>
      </w:pPr>
      <w:r/>
      <w:bookmarkStart w:id="383" w:name="_Toc11324"/>
      <w:r>
        <w:rPr>
          <w:rFonts w:hint="eastAsia" w:ascii="宋体" w:hAnsi="宋体" w:eastAsia="宋体" w:cs="宋体"/>
          <w:b/>
          <w:bCs/>
          <w:color w:val="auto"/>
          <w:sz w:val="28"/>
          <w:szCs w:val="28"/>
          <w:highlight w:val="none"/>
        </w:rPr>
        <w:t xml:space="preserve">附件4 </w:t>
      </w:r>
      <w:bookmarkEnd w:id="378"/>
      <w:r/>
      <w:bookmarkEnd w:id="379"/>
      <w:r/>
      <w:bookmarkEnd w:id="380"/>
      <w:r/>
      <w:bookmarkEnd w:id="381"/>
      <w:r/>
      <w:bookmarkEnd w:id="382"/>
      <w:r>
        <w:rPr>
          <w:rFonts w:hint="eastAsia" w:ascii="宋体" w:hAnsi="宋体" w:eastAsia="宋体" w:cs="宋体"/>
          <w:b/>
          <w:bCs/>
          <w:color w:val="auto"/>
          <w:sz w:val="28"/>
          <w:szCs w:val="28"/>
          <w:highlight w:val="none"/>
        </w:rPr>
        <w:t xml:space="preserve">投标货物综合说明</w:t>
      </w:r>
      <w:bookmarkEnd w:id="383"/>
      <w:r/>
      <w:r/>
    </w:p>
    <w:p>
      <w:pPr>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 xml:space="preserve">主要内容应包括但不限于以下方面：</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1、各投标货物主要功能、性能特点说明（可提供相关证明材料）。</w:t>
      </w:r>
      <w:r/>
    </w:p>
    <w:p>
      <w:pPr>
        <w:ind w:firstLine="7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 xml:space="preserve">2、其他说明。</w:t>
      </w:r>
      <w:r>
        <w:rPr>
          <w:rFonts w:hint="eastAsia" w:ascii="宋体" w:hAnsi="宋体" w:eastAsia="宋体" w:cs="宋体"/>
          <w:color w:val="auto"/>
          <w:sz w:val="24"/>
          <w:szCs w:val="24"/>
          <w:highlight w:val="none"/>
        </w:rPr>
        <w:br w:type="page" w:clear="all"/>
      </w:r>
      <w:r/>
    </w:p>
    <w:p>
      <w:pPr>
        <w:ind w:firstLine="482"/>
        <w:jc w:val="center"/>
        <w:spacing w:line="440" w:lineRule="exact"/>
        <w:rPr>
          <w:rFonts w:hint="eastAsia" w:ascii="宋体" w:hAnsi="宋体" w:eastAsia="宋体" w:cs="宋体"/>
          <w:b/>
          <w:bCs/>
          <w:color w:val="auto"/>
          <w:sz w:val="28"/>
          <w:szCs w:val="28"/>
          <w:highlight w:val="none"/>
        </w:rPr>
        <w:outlineLvl w:val="1"/>
      </w:pPr>
      <w:r/>
      <w:bookmarkStart w:id="384" w:name="_Toc16516"/>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 项目实施方案</w:t>
      </w:r>
      <w:bookmarkEnd w:id="384"/>
      <w:r/>
      <w:r/>
    </w:p>
    <w:p>
      <w:pPr>
        <w:ind w:firstLine="480"/>
        <w:spacing w:line="44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bidi="ar"/>
        </w:rPr>
        <w:t xml:space="preserve">根据</w:t>
      </w:r>
      <w:r>
        <w:rPr>
          <w:rFonts w:hint="eastAsia" w:ascii="宋体" w:hAnsi="宋体" w:eastAsia="宋体" w:cs="宋体"/>
          <w:color w:val="auto"/>
          <w:sz w:val="24"/>
          <w:szCs w:val="24"/>
          <w:highlight w:val="none"/>
          <w:lang w:eastAsia="zh-CN" w:bidi="ar"/>
        </w:rPr>
        <w:t xml:space="preserve">“第四章 采购需求”、</w:t>
      </w:r>
      <w:r>
        <w:rPr>
          <w:rFonts w:hint="eastAsia" w:ascii="宋体" w:hAnsi="宋体" w:eastAsia="宋体" w:cs="宋体"/>
          <w:color w:val="auto"/>
          <w:sz w:val="24"/>
          <w:szCs w:val="24"/>
          <w:highlight w:val="none"/>
          <w:lang w:bidi="ar"/>
        </w:rPr>
        <w:t xml:space="preserve">“第五章  评标方法与评标标准”提供相关说明并提供证明材料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如果有的话</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br w:type="page" w:clear="all"/>
      </w:r>
      <w:r/>
    </w:p>
    <w:tbl>
      <w:tblPr>
        <w:tblStyle w:val="813"/>
        <w:tblpPr w:horzAnchor="page" w:tblpX="1025" w:vertAnchor="text" w:tblpY="440"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666"/>
        <w:gridCol w:w="2260"/>
        <w:gridCol w:w="21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both"/>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385" w:name="_Toc1462"/>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w:t>
            </w:r>
            <w:r>
              <w:rPr>
                <w:rFonts w:hint="eastAsia" w:ascii="宋体" w:hAnsi="宋体" w:eastAsia="宋体" w:cs="宋体"/>
                <w:b/>
                <w:color w:val="auto"/>
                <w:sz w:val="24"/>
                <w:highlight w:val="none"/>
              </w:rPr>
              <w:t xml:space="preserve">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textDirection w:val="lrTb"/>
            <w:noWrap w:val="false"/>
          </w:tcPr>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firstLine="482"/>
        <w:jc w:val="center"/>
        <w:spacing w:line="440" w:lineRule="exact"/>
        <w:rPr>
          <w:rFonts w:hint="eastAsia" w:ascii="宋体" w:hAnsi="宋体" w:eastAsia="宋体" w:cs="宋体"/>
          <w:b/>
          <w:bCs/>
          <w:color w:val="auto"/>
          <w:sz w:val="28"/>
          <w:szCs w:val="28"/>
          <w:highlight w:val="none"/>
          <w:lang w:val="en-US" w:eastAsia="zh-CN"/>
        </w:rPr>
        <w:outlineLvl w:val="1"/>
      </w:pPr>
      <w:r/>
      <w:bookmarkStart w:id="386" w:name="_Toc20645"/>
      <w:r>
        <w:rPr>
          <w:rFonts w:hint="eastAsia" w:ascii="宋体" w:hAnsi="宋体" w:eastAsia="宋体" w:cs="宋体"/>
          <w:b/>
          <w:bCs/>
          <w:color w:val="auto"/>
          <w:sz w:val="28"/>
          <w:szCs w:val="28"/>
          <w:highlight w:val="none"/>
        </w:rPr>
        <w:t xml:space="preserve">附件6 </w:t>
      </w:r>
      <w:bookmarkEnd w:id="385"/>
      <w:r>
        <w:rPr>
          <w:rFonts w:hint="eastAsia" w:ascii="宋体" w:hAnsi="宋体" w:eastAsia="宋体" w:cs="宋体"/>
          <w:b/>
          <w:bCs/>
          <w:color w:val="auto"/>
          <w:sz w:val="28"/>
          <w:szCs w:val="28"/>
          <w:highlight w:val="none"/>
          <w:lang w:val="en-US" w:eastAsia="zh-CN"/>
        </w:rPr>
        <w:t xml:space="preserve">实质性要求响应及偏离表</w:t>
      </w:r>
      <w:bookmarkEnd w:id="386"/>
      <w:r/>
      <w:r/>
    </w:p>
    <w:p>
      <w:pPr>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备注：1.投标人必须对招标文件的不可实质性变动要求逐条做出明确响应，否则作无效投标处理。</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2.如果招标文件要求提供证明材料，投标人必须将证明材料列于该表之下。</w:t>
      </w:r>
      <w:r/>
    </w:p>
    <w:p>
      <w:pPr>
        <w:ind w:firstLine="7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482"/>
        <w:jc w:val="center"/>
        <w:spacing w:line="440" w:lineRule="exact"/>
        <w:rPr>
          <w:rFonts w:hint="eastAsia" w:ascii="宋体" w:hAnsi="宋体" w:eastAsia="宋体" w:cs="宋体"/>
          <w:b/>
          <w:bCs/>
          <w:color w:val="auto"/>
          <w:sz w:val="28"/>
          <w:szCs w:val="28"/>
          <w:highlight w:val="none"/>
        </w:rPr>
        <w:outlineLvl w:val="1"/>
      </w:pPr>
      <w:r/>
      <w:bookmarkStart w:id="387" w:name="_Toc19208"/>
      <w:r/>
      <w:bookmarkStart w:id="388" w:name="_Toc22593"/>
      <w:r>
        <w:rPr>
          <w:rFonts w:hint="eastAsia" w:ascii="宋体" w:hAnsi="宋体" w:eastAsia="宋体" w:cs="宋体"/>
          <w:b/>
          <w:bCs/>
          <w:color w:val="auto"/>
          <w:sz w:val="28"/>
          <w:szCs w:val="28"/>
          <w:highlight w:val="none"/>
        </w:rPr>
        <w:t xml:space="preserve">附件7 </w:t>
      </w:r>
      <w:bookmarkEnd w:id="387"/>
      <w:r>
        <w:rPr>
          <w:rFonts w:hint="eastAsia" w:ascii="宋体" w:hAnsi="宋体" w:eastAsia="宋体" w:cs="宋体"/>
          <w:b/>
          <w:bCs/>
          <w:color w:val="auto"/>
          <w:sz w:val="28"/>
          <w:szCs w:val="28"/>
          <w:highlight w:val="none"/>
          <w:lang w:val="en-US" w:eastAsia="zh-CN"/>
        </w:rPr>
        <w:t xml:space="preserve">质量保证及售后服务承诺</w:t>
      </w:r>
      <w:bookmarkEnd w:id="388"/>
      <w:r/>
      <w:r/>
    </w:p>
    <w:p>
      <w:pPr>
        <w:ind w:firstLine="480"/>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根据“第五章  评标方法与评标标准”提供相关说明并提供证明材料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如果有的话</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br w:type="page" w:clear="all"/>
      </w:r>
      <w:r/>
    </w:p>
    <w:p>
      <w:pPr>
        <w:ind w:firstLine="482"/>
        <w:jc w:val="center"/>
        <w:spacing w:line="440" w:lineRule="exact"/>
        <w:rPr>
          <w:rFonts w:hint="eastAsia" w:ascii="宋体" w:hAnsi="宋体" w:eastAsia="宋体" w:cs="宋体"/>
          <w:b/>
          <w:bCs/>
          <w:color w:val="auto"/>
          <w:sz w:val="28"/>
          <w:szCs w:val="28"/>
          <w:highlight w:val="none"/>
        </w:rPr>
        <w:outlineLvl w:val="1"/>
      </w:pPr>
      <w:r/>
      <w:bookmarkStart w:id="389" w:name="_Toc31904"/>
      <w:r/>
      <w:bookmarkStart w:id="390" w:name="_Toc4679"/>
      <w:r>
        <w:rPr>
          <w:rFonts w:hint="eastAsia" w:ascii="宋体" w:hAnsi="宋体" w:eastAsia="宋体" w:cs="宋体"/>
          <w:b/>
          <w:bCs/>
          <w:color w:val="auto"/>
          <w:sz w:val="28"/>
          <w:szCs w:val="28"/>
          <w:highlight w:val="none"/>
        </w:rPr>
        <w:t xml:space="preserve">附件8 业绩一览表</w:t>
      </w:r>
      <w:bookmarkEnd w:id="389"/>
      <w:r/>
      <w:bookmarkEnd w:id="390"/>
      <w:r/>
      <w:r/>
    </w:p>
    <w:tbl>
      <w:tblPr>
        <w:tblStyle w:val="785"/>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3080"/>
        <w:gridCol w:w="1899"/>
        <w:gridCol w:w="1558"/>
        <w:gridCol w:w="1821"/>
        <w:gridCol w:w="1208"/>
      </w:tblGrid>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合同金额</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实施日期</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业主方联系人及联系电话</w:t>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0"/>
              <w:jc w:val="center"/>
              <w:spacing w:before="0" w:beforeAutospacing="0" w:after="0" w:afterAutospacing="0"/>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备注</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0"/>
              <w:jc w:val="center"/>
              <w:spacing w:before="0" w:beforeAutospacing="0" w:after="0" w:afterAutospacing="0" w:line="5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bl>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注：1、根据“第五章  评标方法与评标标准”提供相关说明并提供证明材料。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、如有需要说明的事项，请在备注中列明。</w:t>
      </w:r>
      <w:r/>
    </w:p>
    <w:p>
      <w:pPr>
        <w:ind w:firstLine="7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2"/>
        <w:jc w:val="center"/>
        <w:spacing w:line="440" w:lineRule="exact"/>
        <w:rPr>
          <w:rFonts w:hint="eastAsia" w:ascii="宋体" w:hAnsi="宋体" w:eastAsia="宋体" w:cs="宋体"/>
          <w:b/>
          <w:bCs/>
          <w:color w:val="auto"/>
          <w:sz w:val="28"/>
          <w:szCs w:val="28"/>
          <w:highlight w:val="none"/>
        </w:rPr>
        <w:outlineLvl w:val="1"/>
      </w:pPr>
      <w:r>
        <w:rPr>
          <w:rFonts w:hint="eastAsia" w:ascii="宋体" w:hAnsi="宋体" w:eastAsia="宋体" w:cs="宋体"/>
          <w:b/>
          <w:color w:val="auto"/>
          <w:sz w:val="24"/>
          <w:szCs w:val="24"/>
          <w:highlight w:val="none"/>
        </w:rPr>
        <w:br w:type="page" w:clear="all"/>
      </w:r>
      <w:bookmarkStart w:id="391" w:name="_Toc32218"/>
      <w:r/>
      <w:bookmarkStart w:id="392" w:name="_Toc29788"/>
      <w:r>
        <w:rPr>
          <w:rFonts w:hint="eastAsia" w:ascii="宋体" w:hAnsi="宋体" w:eastAsia="宋体" w:cs="宋体"/>
          <w:b/>
          <w:bCs/>
          <w:color w:val="auto"/>
          <w:sz w:val="28"/>
          <w:szCs w:val="28"/>
          <w:highlight w:val="none"/>
        </w:rPr>
        <w:t xml:space="preserve">附件9 商务要求响应及偏离表</w:t>
      </w:r>
      <w:bookmarkEnd w:id="391"/>
      <w:r/>
      <w:bookmarkEnd w:id="392"/>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5"/>
        <w:gridCol w:w="1905"/>
        <w:gridCol w:w="2940"/>
      </w:tblGrid>
      <w:tr>
        <w:trPr>
          <w:jc w:val="center"/>
          <w:trHeight w:val="340"/>
        </w:trPr>
        <w:tc>
          <w:tcPr>
            <w:tcW w:w="4185"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合同条款号</w:t>
            </w:r>
            <w:r/>
          </w:p>
        </w:tc>
        <w:tc>
          <w:tcPr>
            <w:tcW w:w="1905"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tcW w:w="2940"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偏离内容及原因</w:t>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合同组成部分</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付款方式和发票开具方式</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 交付时间及交付</w:t>
            </w:r>
            <w:r>
              <w:rPr>
                <w:rFonts w:hint="eastAsia" w:ascii="宋体" w:hAnsi="宋体" w:eastAsia="宋体" w:cs="宋体"/>
                <w:color w:val="auto"/>
                <w:sz w:val="24"/>
                <w:szCs w:val="24"/>
                <w:highlight w:val="none"/>
              </w:rPr>
              <w:t xml:space="preserve">地点</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双方权利和义务</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违约责任</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合同争议的解决</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合同生效</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定义</w:t>
            </w:r>
            <w:r/>
          </w:p>
        </w:tc>
        <w:tc>
          <w:tcPr>
            <w:tcW w:w="1905"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技术规范</w:t>
            </w:r>
            <w:r/>
          </w:p>
        </w:tc>
        <w:tc>
          <w:tcPr>
            <w:tcW w:w="1905"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知识产权</w:t>
            </w:r>
            <w:r/>
          </w:p>
        </w:tc>
        <w:tc>
          <w:tcPr>
            <w:tcW w:w="1905"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包装和装运</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履约检查和问题反馈</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技术资料和保密义务</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质量保证</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合同变更</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合同转让和分包</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不可抗力</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税费</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乙方破产</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合同中止、终止</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检验和验收</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通知和送达</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计量单位</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合同使用的文字和适用的法律</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 履约保证金</w:t>
            </w:r>
            <w:r/>
          </w:p>
        </w:tc>
        <w:tc>
          <w:tcPr>
            <w:tcW w:w="190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w:t>
      </w:r>
      <w:r/>
    </w:p>
    <w:p>
      <w:pPr>
        <w:ind w:firstLine="723"/>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3、投标人如不能满足项目</w:t>
      </w:r>
      <w:r>
        <w:rPr>
          <w:rFonts w:hint="eastAsia" w:ascii="宋体" w:hAnsi="宋体" w:eastAsia="宋体" w:cs="宋体"/>
          <w:b/>
          <w:bCs/>
          <w:color w:val="auto"/>
          <w:sz w:val="24"/>
          <w:szCs w:val="24"/>
          <w:highlight w:val="none"/>
          <w:lang w:val="en-US" w:eastAsia="zh-CN"/>
        </w:rPr>
        <w:t xml:space="preserve">结算</w:t>
      </w:r>
      <w:r>
        <w:rPr>
          <w:rFonts w:hint="eastAsia" w:ascii="宋体" w:hAnsi="宋体" w:eastAsia="宋体" w:cs="宋体"/>
          <w:b/>
          <w:bCs/>
          <w:color w:val="auto"/>
          <w:sz w:val="24"/>
          <w:szCs w:val="24"/>
          <w:highlight w:val="none"/>
        </w:rPr>
        <w:t xml:space="preserve">付款方式要求，按无效投标处理。</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jc w:val="center"/>
        <w:spacing w:line="440" w:lineRule="exact"/>
        <w:rPr>
          <w:rFonts w:hint="eastAsia" w:ascii="宋体" w:hAnsi="宋体" w:eastAsia="宋体" w:cs="宋体"/>
          <w:b/>
          <w:bCs/>
          <w:color w:val="auto"/>
          <w:sz w:val="28"/>
          <w:szCs w:val="28"/>
          <w:highlight w:val="none"/>
        </w:rPr>
        <w:outlineLvl w:val="1"/>
      </w:pPr>
      <w:r/>
      <w:bookmarkStart w:id="393" w:name="_Toc23378"/>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rPr>
        <w:t xml:space="preserve"> 具备履行合同所必需的设备和专业技术能力的书面声明</w:t>
      </w:r>
      <w:bookmarkEnd w:id="393"/>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w:t>
      </w:r>
      <w:r>
        <w:rPr>
          <w:rFonts w:hint="eastAsia" w:ascii="宋体" w:hAnsi="宋体" w:eastAsia="宋体" w:cs="宋体"/>
          <w:color w:val="auto"/>
          <w:sz w:val="24"/>
          <w:szCs w:val="24"/>
          <w:highlight w:val="none"/>
        </w:rPr>
        <w:t xml:space="preserve">设备</w:t>
      </w:r>
      <w:r>
        <w:rPr>
          <w:rFonts w:hint="eastAsia" w:ascii="宋体" w:hAnsi="宋体" w:eastAsia="宋体" w:cs="宋体"/>
          <w:bCs/>
          <w:color w:val="auto"/>
          <w:sz w:val="24"/>
          <w:highlight w:val="none"/>
        </w:rPr>
        <w:t xml:space="preserve">和专业技术能力，为履行本项采购合同我公司具备如下主要设备和主要专业技术能力：</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w:t>
      </w:r>
      <w:r>
        <w:rPr>
          <w:rFonts w:hint="eastAsia" w:ascii="宋体" w:hAnsi="宋体" w:eastAsia="宋体" w:cs="宋体"/>
          <w:color w:val="auto"/>
          <w:sz w:val="24"/>
          <w:szCs w:val="24"/>
          <w:highlight w:val="none"/>
        </w:rPr>
        <w:t xml:space="preserve">设备</w:t>
      </w:r>
      <w:r>
        <w:rPr>
          <w:rFonts w:hint="eastAsia" w:ascii="宋体" w:hAnsi="宋体" w:eastAsia="宋体" w:cs="宋体"/>
          <w:bCs/>
          <w:color w:val="auto"/>
          <w:sz w:val="24"/>
          <w:highlight w:val="none"/>
        </w:rPr>
        <w:t xml:space="preserve">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left="480"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center"/>
        <w:spacing w:line="440" w:lineRule="exact"/>
        <w:rPr>
          <w:rFonts w:hint="eastAsia" w:ascii="宋体" w:hAnsi="宋体" w:eastAsia="宋体" w:cs="宋体"/>
          <w:b/>
          <w:bCs/>
          <w:color w:val="auto"/>
          <w:sz w:val="28"/>
          <w:szCs w:val="28"/>
          <w:highlight w:val="none"/>
        </w:rPr>
        <w:outlineLvl w:val="1"/>
      </w:pPr>
      <w:r>
        <w:rPr>
          <w:rFonts w:hint="eastAsia" w:ascii="宋体" w:hAnsi="宋体" w:eastAsia="宋体" w:cs="宋体"/>
          <w:b/>
          <w:color w:val="auto"/>
          <w:sz w:val="24"/>
          <w:szCs w:val="24"/>
          <w:highlight w:val="none"/>
        </w:rPr>
        <w:br w:type="page" w:clear="all"/>
      </w:r>
      <w:bookmarkStart w:id="394" w:name="_Toc1505"/>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11</w:t>
      </w:r>
      <w:r>
        <w:rPr>
          <w:rFonts w:hint="eastAsia" w:ascii="宋体" w:hAnsi="宋体" w:eastAsia="宋体" w:cs="宋体"/>
          <w:b/>
          <w:bCs/>
          <w:color w:val="auto"/>
          <w:sz w:val="28"/>
          <w:szCs w:val="28"/>
          <w:highlight w:val="none"/>
        </w:rPr>
        <w:t xml:space="preserve"> 参加政府采购活动前 3 年内在经营活动中没有重大违法记录的书面声明</w:t>
      </w:r>
      <w:bookmarkEnd w:id="394"/>
      <w:r/>
      <w:r/>
    </w:p>
    <w:p>
      <w:pPr>
        <w:ind w:firstLine="482"/>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声  明</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60" w:lineRule="exact"/>
        <w:rPr>
          <w:rFonts w:hint="eastAsia" w:ascii="宋体" w:hAnsi="宋体" w:eastAsia="宋体" w:cs="宋体"/>
          <w:bCs/>
          <w:color w:val="auto"/>
          <w:sz w:val="24"/>
          <w:szCs w:val="21"/>
          <w:highlight w:val="none"/>
        </w:rPr>
      </w:pPr>
      <w:r>
        <w:rPr>
          <w:rFonts w:hint="eastAsia" w:ascii="宋体" w:hAnsi="宋体" w:eastAsia="宋体" w:cs="宋体"/>
          <w:b/>
          <w:color w:val="auto"/>
          <w:sz w:val="24"/>
          <w:szCs w:val="24"/>
          <w:highlight w:val="none"/>
        </w:rPr>
        <w:br w:type="page" w:clear="all"/>
      </w:r>
      <w:r/>
    </w:p>
    <w:p>
      <w:pPr>
        <w:ind w:firstLine="562"/>
        <w:jc w:val="center"/>
        <w:spacing w:line="440" w:lineRule="exact"/>
        <w:rPr>
          <w:rFonts w:hint="eastAsia" w:ascii="宋体" w:hAnsi="宋体" w:eastAsia="宋体" w:cs="宋体"/>
          <w:b/>
          <w:bCs/>
          <w:color w:val="auto"/>
          <w:sz w:val="28"/>
          <w:szCs w:val="28"/>
          <w:highlight w:val="none"/>
        </w:rPr>
        <w:outlineLvl w:val="1"/>
      </w:pPr>
      <w:r/>
      <w:bookmarkStart w:id="395" w:name="_Toc18957"/>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12</w:t>
      </w:r>
      <w:r>
        <w:rPr>
          <w:rFonts w:hint="eastAsia" w:ascii="宋体" w:hAnsi="宋体" w:eastAsia="宋体" w:cs="宋体"/>
          <w:b/>
          <w:bCs/>
          <w:color w:val="auto"/>
          <w:sz w:val="28"/>
          <w:szCs w:val="28"/>
          <w:highlight w:val="none"/>
        </w:rPr>
        <w:t xml:space="preserve"> 法人授权书</w:t>
      </w:r>
      <w:bookmarkEnd w:id="395"/>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lang w:eastAsia="zh-CN"/>
        </w:rPr>
        <w:t xml:space="preserve">JSZC-320581-SZDS-G2026-0008</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lang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年____月____日起生效，特此声明。</w:t>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4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注：如法定代表人参加投标，“法人授权书”可不提供，但需提供法人代表人身份证正反面扫描件。</w:t>
      </w:r>
      <w:r/>
    </w:p>
    <w:p>
      <w:pPr>
        <w:ind w:firstLine="482"/>
        <w:jc w:val="center"/>
        <w:spacing w:line="440" w:lineRule="exact"/>
        <w:rPr>
          <w:rFonts w:hint="eastAsia" w:ascii="宋体" w:hAnsi="宋体" w:eastAsia="宋体" w:cs="宋体"/>
          <w:b/>
          <w:bCs/>
          <w:color w:val="auto"/>
          <w:sz w:val="28"/>
          <w:szCs w:val="28"/>
          <w:highlight w:val="none"/>
        </w:rPr>
        <w:outlineLvl w:val="1"/>
      </w:pPr>
      <w:r>
        <w:rPr>
          <w:rFonts w:hint="eastAsia" w:ascii="宋体" w:hAnsi="宋体" w:eastAsia="宋体" w:cs="宋体"/>
          <w:b/>
          <w:color w:val="auto"/>
          <w:sz w:val="24"/>
          <w:szCs w:val="44"/>
          <w:highlight w:val="none"/>
        </w:rPr>
        <w:br w:type="page" w:clear="all"/>
      </w:r>
      <w:bookmarkStart w:id="396" w:name="_Toc19314"/>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13</w:t>
      </w:r>
      <w:r>
        <w:rPr>
          <w:rFonts w:hint="eastAsia" w:ascii="宋体" w:hAnsi="宋体" w:eastAsia="宋体" w:cs="宋体"/>
          <w:b/>
          <w:bCs/>
          <w:color w:val="auto"/>
          <w:sz w:val="28"/>
          <w:szCs w:val="28"/>
          <w:highlight w:val="none"/>
        </w:rPr>
        <w:t xml:space="preserve"> 中小企业声明函</w:t>
      </w:r>
      <w:bookmarkEnd w:id="396"/>
      <w:r/>
      <w:r/>
    </w:p>
    <w:p>
      <w:pPr>
        <w:ind w:firstLine="360"/>
        <w:spacing w:line="460" w:lineRule="exact"/>
        <w:rPr>
          <w:rFonts w:hint="eastAsia" w:ascii="宋体" w:hAnsi="宋体" w:eastAsia="宋体" w:cs="宋体"/>
          <w:color w:val="auto"/>
          <w:sz w:val="24"/>
          <w:szCs w:val="21"/>
          <w:highlight w:val="none"/>
        </w:rPr>
      </w:pPr>
      <w:r/>
      <w:bookmarkStart w:id="397" w:name="_Toc3097"/>
      <w:r>
        <w:rPr>
          <w:rFonts w:hint="eastAsia" w:ascii="宋体" w:hAnsi="宋体" w:eastAsia="宋体" w:cs="宋体"/>
          <w:color w:val="auto"/>
          <w:sz w:val="24"/>
          <w:szCs w:val="21"/>
          <w:highlight w:val="none"/>
          <w:lang w:bidi="ar"/>
        </w:rPr>
        <w:t xml:space="preserve">本公司郑重声明，根据《政府采购促进中小企业发展管理办法》（财库[2020]46号）的规定，本公司参加</w:t>
      </w:r>
      <w:r>
        <w:rPr>
          <w:rFonts w:hint="eastAsia" w:ascii="宋体" w:hAnsi="宋体" w:eastAsia="宋体" w:cs="宋体"/>
          <w:color w:val="auto"/>
          <w:sz w:val="24"/>
          <w:szCs w:val="21"/>
          <w:highlight w:val="none"/>
          <w:u w:val="single"/>
          <w:lang w:eastAsia="zh-CN" w:bidi="ar"/>
        </w:rPr>
        <w:t xml:space="preserve">常熟市第二人民医院</w:t>
      </w:r>
      <w:r>
        <w:rPr>
          <w:rFonts w:hint="eastAsia" w:ascii="宋体" w:hAnsi="宋体" w:eastAsia="宋体" w:cs="宋体"/>
          <w:color w:val="auto"/>
          <w:sz w:val="24"/>
          <w:szCs w:val="21"/>
          <w:highlight w:val="none"/>
          <w:lang w:val="zh-CN" w:bidi="ar"/>
        </w:rPr>
        <w:t xml:space="preserve">的</w:t>
      </w:r>
      <w:r>
        <w:rPr>
          <w:rFonts w:hint="eastAsia" w:ascii="宋体" w:hAnsi="宋体" w:eastAsia="宋体" w:cs="宋体"/>
          <w:color w:val="auto"/>
          <w:sz w:val="24"/>
          <w:szCs w:val="21"/>
          <w:highlight w:val="none"/>
          <w:u w:val="single"/>
          <w:lang w:val="zh-CN" w:bidi="ar"/>
        </w:rPr>
        <w:t xml:space="preserve">常熟第二人民医院医用氧采购项目</w:t>
      </w:r>
      <w:r>
        <w:rPr>
          <w:rFonts w:hint="eastAsia" w:ascii="宋体" w:hAnsi="宋体" w:eastAsia="宋体" w:cs="宋体"/>
          <w:color w:val="auto"/>
          <w:sz w:val="24"/>
          <w:szCs w:val="21"/>
          <w:highlight w:val="none"/>
          <w:lang w:bidi="ar"/>
        </w:rPr>
        <w:t xml:space="preserve">采购活动，提供的货物全部由符合政策要求的中小企业制造。相关企业的具体情况如下：</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医用液氧</w:t>
      </w: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bidi="ar"/>
        </w:rPr>
        <w:t xml:space="preserve">属于</w:t>
      </w:r>
      <w:r>
        <w:rPr>
          <w:rFonts w:hint="eastAsia" w:ascii="宋体" w:hAnsi="宋体" w:eastAsia="宋体" w:cs="宋体"/>
          <w:color w:val="auto"/>
          <w:sz w:val="24"/>
          <w:szCs w:val="24"/>
          <w:highlight w:val="none"/>
          <w:u w:val="single"/>
          <w:lang w:bidi="ar"/>
        </w:rPr>
        <w:t xml:space="preserve">工业</w:t>
      </w:r>
      <w:r>
        <w:rPr>
          <w:rFonts w:hint="eastAsia" w:ascii="宋体" w:hAnsi="宋体" w:eastAsia="宋体" w:cs="宋体"/>
          <w:color w:val="auto"/>
          <w:sz w:val="24"/>
          <w:szCs w:val="24"/>
          <w:highlight w:val="none"/>
          <w:lang w:bidi="ar"/>
        </w:rPr>
        <w:t xml:space="preserve">；制造商为</w:t>
      </w:r>
      <w:r>
        <w:rPr>
          <w:rFonts w:hint="eastAsia" w:ascii="宋体" w:hAnsi="宋体" w:eastAsia="宋体" w:cs="宋体"/>
          <w:color w:val="auto"/>
          <w:sz w:val="24"/>
          <w:szCs w:val="24"/>
          <w:highlight w:val="none"/>
          <w:u w:val="single"/>
          <w:lang w:bidi="ar"/>
        </w:rPr>
        <w:t xml:space="preserve">（企业名称）</w:t>
      </w:r>
      <w:r>
        <w:rPr>
          <w:rFonts w:hint="eastAsia" w:ascii="宋体" w:hAnsi="宋体" w:eastAsia="宋体" w:cs="宋体"/>
          <w:color w:val="auto"/>
          <w:sz w:val="24"/>
          <w:szCs w:val="24"/>
          <w:highlight w:val="none"/>
          <w:lang w:bidi="ar"/>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万元，属于</w:t>
      </w:r>
      <w:r>
        <w:rPr>
          <w:rFonts w:hint="eastAsia" w:ascii="宋体" w:hAnsi="宋体" w:eastAsia="宋体" w:cs="宋体"/>
          <w:color w:val="auto"/>
          <w:sz w:val="24"/>
          <w:szCs w:val="24"/>
          <w:highlight w:val="none"/>
          <w:u w:val="single"/>
          <w:lang w:bidi="ar"/>
        </w:rPr>
        <w:t xml:space="preserve">（中型企业、小型企业、微型企业）</w:t>
      </w:r>
      <w:r>
        <w:rPr>
          <w:rFonts w:hint="eastAsia" w:ascii="宋体" w:hAnsi="宋体" w:eastAsia="宋体" w:cs="宋体"/>
          <w:color w:val="auto"/>
          <w:sz w:val="24"/>
          <w:szCs w:val="24"/>
          <w:highlight w:val="none"/>
          <w:lang w:bidi="ar"/>
        </w:rPr>
        <w:t xml:space="preserve">；</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u w:val="single"/>
          <w:lang w:bidi="ar"/>
        </w:rPr>
        <w:t xml:space="preserve"> 40L医用氧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bidi="ar"/>
        </w:rPr>
        <w:t xml:space="preserve">工</w:t>
      </w:r>
      <w:r>
        <w:rPr>
          <w:rFonts w:hint="eastAsia" w:ascii="宋体" w:hAnsi="宋体" w:eastAsia="宋体" w:cs="宋体"/>
          <w:color w:val="auto"/>
          <w:sz w:val="24"/>
          <w:szCs w:val="24"/>
          <w:highlight w:val="none"/>
          <w:u w:val="single"/>
          <w:lang w:val="zh-CN" w:bidi="ar"/>
        </w:rPr>
        <w:t xml:space="preserve">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bidi="ar"/>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万元，属于</w:t>
      </w:r>
      <w:r>
        <w:rPr>
          <w:rFonts w:hint="eastAsia" w:ascii="宋体" w:hAnsi="宋体" w:eastAsia="宋体" w:cs="宋体"/>
          <w:color w:val="auto"/>
          <w:sz w:val="24"/>
          <w:szCs w:val="24"/>
          <w:highlight w:val="none"/>
          <w:u w:val="single"/>
          <w:lang w:bidi="ar"/>
        </w:rPr>
        <w:t xml:space="preserve">（中型企业、小型企业、微型企业）</w:t>
      </w:r>
      <w:r>
        <w:rPr>
          <w:rFonts w:hint="eastAsia" w:ascii="宋体" w:hAnsi="宋体" w:eastAsia="宋体" w:cs="宋体"/>
          <w:color w:val="auto"/>
          <w:sz w:val="24"/>
          <w:szCs w:val="24"/>
          <w:highlight w:val="none"/>
          <w:lang w:bidi="ar"/>
        </w:rPr>
        <w:t xml:space="preserve">；</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u w:val="single"/>
          <w:lang w:bidi="ar"/>
        </w:rPr>
        <w:t xml:space="preserve"> 10L医用氧</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bidi="ar"/>
        </w:rPr>
        <w:t xml:space="preserve">工</w:t>
      </w:r>
      <w:r>
        <w:rPr>
          <w:rFonts w:hint="eastAsia" w:ascii="宋体" w:hAnsi="宋体" w:eastAsia="宋体" w:cs="宋体"/>
          <w:color w:val="auto"/>
          <w:sz w:val="24"/>
          <w:szCs w:val="24"/>
          <w:highlight w:val="none"/>
          <w:u w:val="single"/>
          <w:lang w:val="zh-CN" w:bidi="ar"/>
        </w:rPr>
        <w:t xml:space="preserve">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bidi="ar"/>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万元，属于</w:t>
      </w:r>
      <w:r>
        <w:rPr>
          <w:rFonts w:hint="eastAsia" w:ascii="宋体" w:hAnsi="宋体" w:eastAsia="宋体" w:cs="宋体"/>
          <w:color w:val="auto"/>
          <w:sz w:val="24"/>
          <w:szCs w:val="24"/>
          <w:highlight w:val="none"/>
          <w:u w:val="single"/>
          <w:lang w:bidi="ar"/>
        </w:rPr>
        <w:t xml:space="preserve">（中型企业、小型企业、微型企业）</w:t>
      </w:r>
      <w:r>
        <w:rPr>
          <w:rFonts w:hint="eastAsia" w:ascii="宋体" w:hAnsi="宋体" w:eastAsia="宋体" w:cs="宋体"/>
          <w:color w:val="auto"/>
          <w:sz w:val="24"/>
          <w:szCs w:val="24"/>
          <w:highlight w:val="none"/>
          <w:lang w:bidi="ar"/>
        </w:rPr>
        <w:t xml:space="preserve">；</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eastAsia="zh-CN" w:bidi="ar"/>
        </w:rPr>
        <w:t xml:space="preserve">4L医用氧（</w:t>
      </w:r>
      <w:r>
        <w:rPr>
          <w:rFonts w:hint="eastAsia" w:ascii="宋体" w:hAnsi="宋体" w:eastAsia="宋体" w:cs="宋体"/>
          <w:color w:val="auto"/>
          <w:sz w:val="24"/>
          <w:szCs w:val="24"/>
          <w:highlight w:val="none"/>
          <w:u w:val="single"/>
          <w:lang w:val="en-US" w:eastAsia="zh-CN" w:bidi="ar"/>
        </w:rPr>
        <w:t xml:space="preserve">组合瓶</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bidi="ar"/>
        </w:rPr>
        <w:t xml:space="preserve">工</w:t>
      </w:r>
      <w:r>
        <w:rPr>
          <w:rFonts w:hint="eastAsia" w:ascii="宋体" w:hAnsi="宋体" w:eastAsia="宋体" w:cs="宋体"/>
          <w:color w:val="auto"/>
          <w:sz w:val="24"/>
          <w:szCs w:val="24"/>
          <w:highlight w:val="none"/>
          <w:u w:val="single"/>
          <w:lang w:val="zh-CN" w:bidi="ar"/>
        </w:rPr>
        <w:t xml:space="preserve">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bidi="ar"/>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万元，属于</w:t>
      </w:r>
      <w:r>
        <w:rPr>
          <w:rFonts w:hint="eastAsia" w:ascii="宋体" w:hAnsi="宋体" w:eastAsia="宋体" w:cs="宋体"/>
          <w:color w:val="auto"/>
          <w:sz w:val="24"/>
          <w:szCs w:val="24"/>
          <w:highlight w:val="none"/>
          <w:u w:val="single"/>
          <w:lang w:bidi="ar"/>
        </w:rPr>
        <w:t xml:space="preserve">（中型企业、小型企业、微型企业）</w:t>
      </w:r>
      <w:r>
        <w:rPr>
          <w:rFonts w:hint="eastAsia" w:ascii="宋体" w:hAnsi="宋体" w:eastAsia="宋体" w:cs="宋体"/>
          <w:color w:val="auto"/>
          <w:sz w:val="24"/>
          <w:szCs w:val="24"/>
          <w:highlight w:val="none"/>
          <w:lang w:bidi="ar"/>
        </w:rPr>
        <w:t xml:space="preserve">；</w:t>
      </w:r>
      <w:r/>
    </w:p>
    <w:p>
      <w:pPr>
        <w:ind w:firstLine="482"/>
        <w:jc w:val="left"/>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以上企业，不属于大企业的分支机构，不存在控股股东为大企业的情形，也不存在与大企业的负责人为同一人的情形。</w:t>
      </w:r>
      <w:r/>
    </w:p>
    <w:p>
      <w:pPr>
        <w:ind w:firstLine="60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w:t>
      </w:r>
      <w:r/>
    </w:p>
    <w:p>
      <w:pPr>
        <w:ind w:firstLine="5760"/>
        <w:spacing w:line="300" w:lineRule="exact"/>
        <w:rPr>
          <w:rFonts w:hint="eastAsia" w:ascii="宋体" w:hAnsi="宋体" w:eastAsia="宋体" w:cs="宋体"/>
          <w:color w:val="auto"/>
          <w:sz w:val="24"/>
          <w:szCs w:val="20"/>
          <w:highlight w:val="none"/>
          <w:lang w:bidi="ar"/>
        </w:rPr>
      </w:pPr>
      <w:r>
        <w:rPr>
          <w:rFonts w:hint="eastAsia" w:ascii="宋体" w:hAnsi="宋体" w:eastAsia="宋体" w:cs="宋体"/>
          <w:color w:val="auto"/>
          <w:sz w:val="24"/>
          <w:szCs w:val="20"/>
          <w:highlight w:val="none"/>
          <w:lang w:bidi="ar"/>
        </w:rPr>
      </w:r>
      <w:r/>
    </w:p>
    <w:p>
      <w:pPr>
        <w:ind w:firstLine="5760"/>
        <w:spacing w:line="3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bidi="ar"/>
        </w:rPr>
        <w:t xml:space="preserve">企业名称：</w:t>
      </w:r>
      <w:r/>
    </w:p>
    <w:p>
      <w:pPr>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bidi="ar"/>
        </w:rPr>
        <w:t xml:space="preserve">                                                日  期：</w:t>
      </w:r>
      <w:r/>
    </w:p>
    <w:p>
      <w:pPr>
        <w:spacing w:line="460" w:lineRule="exact"/>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r>
      <w:r/>
    </w:p>
    <w:p>
      <w:pPr>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备注：</w:t>
      </w:r>
      <w:bookmarkEnd w:id="397"/>
      <w:r/>
    </w:p>
    <w:p>
      <w:pPr>
        <w:ind w:firstLine="60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1、中小企业的认定：</w:t>
      </w:r>
      <w:r/>
    </w:p>
    <w:p>
      <w:pPr>
        <w:ind w:firstLine="843"/>
        <w:spacing w:line="4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bidi="ar"/>
        </w:rPr>
        <w:t xml:space="preserve">1.1请投标人在投标文件中提供中小企业声明函</w:t>
      </w:r>
      <w:r>
        <w:rPr>
          <w:rFonts w:hint="eastAsia" w:ascii="宋体" w:hAnsi="宋体" w:eastAsia="宋体" w:cs="宋体"/>
          <w:b/>
          <w:color w:val="auto"/>
          <w:sz w:val="24"/>
          <w:highlight w:val="none"/>
          <w:lang w:bidi="ar"/>
        </w:rPr>
        <w:t xml:space="preserve">。未按</w:t>
      </w:r>
      <w:r>
        <w:rPr>
          <w:rFonts w:hint="eastAsia" w:ascii="宋体" w:hAnsi="宋体" w:eastAsia="宋体" w:cs="宋体"/>
          <w:b/>
          <w:color w:val="auto"/>
          <w:sz w:val="24"/>
          <w:szCs w:val="24"/>
          <w:highlight w:val="none"/>
          <w:lang w:bidi="ar"/>
        </w:rPr>
        <w:t xml:space="preserve">招标</w:t>
      </w:r>
      <w:r>
        <w:rPr>
          <w:rFonts w:hint="eastAsia" w:ascii="宋体" w:hAnsi="宋体" w:eastAsia="宋体" w:cs="宋体"/>
          <w:b/>
          <w:color w:val="auto"/>
          <w:sz w:val="24"/>
          <w:highlight w:val="none"/>
          <w:lang w:bidi="ar"/>
        </w:rPr>
        <w:t xml:space="preserve">文件的规定在</w:t>
      </w:r>
      <w:r>
        <w:rPr>
          <w:rFonts w:hint="eastAsia" w:ascii="宋体" w:hAnsi="宋体" w:eastAsia="宋体" w:cs="宋体"/>
          <w:b/>
          <w:color w:val="auto"/>
          <w:sz w:val="24"/>
          <w:szCs w:val="24"/>
          <w:highlight w:val="none"/>
          <w:lang w:bidi="ar"/>
        </w:rPr>
        <w:t xml:space="preserve">投标文件</w:t>
      </w:r>
      <w:r>
        <w:rPr>
          <w:rFonts w:hint="eastAsia" w:ascii="宋体" w:hAnsi="宋体" w:eastAsia="宋体" w:cs="宋体"/>
          <w:b/>
          <w:color w:val="auto"/>
          <w:sz w:val="24"/>
          <w:highlight w:val="none"/>
          <w:lang w:bidi="ar"/>
        </w:rPr>
        <w:t xml:space="preserve">中</w:t>
      </w:r>
      <w:r>
        <w:rPr>
          <w:rFonts w:hint="eastAsia" w:ascii="宋体" w:hAnsi="宋体" w:eastAsia="宋体" w:cs="宋体"/>
          <w:b/>
          <w:color w:val="auto"/>
          <w:sz w:val="24"/>
          <w:szCs w:val="24"/>
          <w:highlight w:val="none"/>
          <w:lang w:bidi="ar"/>
        </w:rPr>
        <w:t xml:space="preserve">提供有效的中小企业声明函的，不享受促进</w:t>
      </w:r>
      <w:r>
        <w:rPr>
          <w:rFonts w:hint="eastAsia" w:ascii="宋体" w:hAnsi="宋体" w:eastAsia="宋体" w:cs="宋体"/>
          <w:b/>
          <w:color w:val="auto"/>
          <w:sz w:val="24"/>
          <w:szCs w:val="24"/>
          <w:highlight w:val="none"/>
          <w:lang w:val="zh-CN" w:bidi="ar"/>
        </w:rPr>
        <w:t xml:space="preserve">中小企业</w:t>
      </w:r>
      <w:r>
        <w:rPr>
          <w:rFonts w:hint="eastAsia" w:ascii="宋体" w:hAnsi="宋体" w:eastAsia="宋体" w:cs="宋体"/>
          <w:b/>
          <w:color w:val="auto"/>
          <w:sz w:val="24"/>
          <w:szCs w:val="24"/>
          <w:highlight w:val="none"/>
          <w:lang w:bidi="ar"/>
        </w:rPr>
        <w:t xml:space="preserve">发展的相关政府采购政策</w:t>
      </w:r>
      <w:r>
        <w:rPr>
          <w:rFonts w:hint="eastAsia" w:ascii="宋体" w:hAnsi="宋体" w:eastAsia="宋体" w:cs="宋体"/>
          <w:b/>
          <w:color w:val="auto"/>
          <w:sz w:val="24"/>
          <w:szCs w:val="24"/>
          <w:highlight w:val="none"/>
          <w:lang w:val="zh-CN" w:bidi="ar"/>
        </w:rPr>
        <w:t xml:space="preserve">。</w:t>
      </w:r>
      <w:r/>
    </w:p>
    <w:p>
      <w:pPr>
        <w:ind w:firstLine="843"/>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1.2如未对上述声明函内（中型企业、小型企业、微型企业）进行勾选或明确，引起的评审风险由投标人自行承担。</w:t>
      </w:r>
      <w:r/>
    </w:p>
    <w:p>
      <w:pPr>
        <w:ind w:firstLine="843"/>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1.3</w:t>
      </w:r>
      <w:r>
        <w:rPr>
          <w:rFonts w:hint="eastAsia" w:ascii="宋体" w:hAnsi="宋体" w:eastAsia="宋体" w:cs="宋体"/>
          <w:b/>
          <w:color w:val="auto"/>
          <w:sz w:val="24"/>
          <w:szCs w:val="24"/>
          <w:highlight w:val="none"/>
          <w:lang w:val="zh-CN" w:bidi="ar"/>
        </w:rPr>
        <w:t xml:space="preserve">上述“中小企业声明函”格式原则上不得改动，因擅自改动引起的评审风险由投标人自行承担。</w:t>
      </w:r>
      <w:r/>
    </w:p>
    <w:p>
      <w:pPr>
        <w:ind w:firstLine="60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zh-CN" w:bidi="ar"/>
        </w:rPr>
        <w:t xml:space="preserve">从业人员、营业收入、资产总额填报上一年度数据，无上一年度数据的新成立企业可不填报。</w:t>
      </w:r>
      <w:r/>
    </w:p>
    <w:p>
      <w:pPr>
        <w:ind w:firstLine="602"/>
        <w:spacing w:line="46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3、本项目所属行业为：工业</w:t>
      </w:r>
      <w:r>
        <w:rPr>
          <w:rFonts w:hint="eastAsia" w:ascii="宋体" w:hAnsi="宋体" w:eastAsia="宋体" w:cs="宋体"/>
          <w:b/>
          <w:bCs/>
          <w:color w:val="auto"/>
          <w:sz w:val="24"/>
          <w:szCs w:val="24"/>
          <w:highlight w:val="none"/>
          <w:lang w:val="zh-CN" w:bidi="ar"/>
        </w:rPr>
        <w:t xml:space="preserve">。</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440" w:lineRule="exact"/>
        <w:rPr>
          <w:rFonts w:hint="eastAsia" w:ascii="宋体" w:hAnsi="宋体" w:eastAsia="宋体" w:cs="宋体"/>
          <w:b/>
          <w:bCs/>
          <w:color w:val="auto"/>
          <w:sz w:val="28"/>
          <w:szCs w:val="28"/>
          <w:highlight w:val="none"/>
        </w:rPr>
        <w:outlineLvl w:val="1"/>
      </w:pPr>
      <w:r/>
      <w:bookmarkStart w:id="398" w:name="_Toc20792"/>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 残疾人福利性单位声明函</w:t>
      </w:r>
      <w:bookmarkEnd w:id="398"/>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项目采购活动提供本单位制造的货物</w:t>
      </w:r>
      <w:r>
        <w:rPr>
          <w:rFonts w:hint="eastAsia" w:ascii="宋体" w:hAnsi="宋体" w:eastAsia="宋体" w:cs="宋体"/>
          <w:color w:val="auto"/>
          <w:sz w:val="24"/>
          <w:szCs w:val="21"/>
          <w:highlight w:val="none"/>
          <w:lang w:val="zh-CN" w:bidi="ar"/>
        </w:rPr>
        <w:t xml:space="preserve">（由本单位承担工程/提供服务）</w:t>
      </w:r>
      <w:r>
        <w:rPr>
          <w:rFonts w:hint="eastAsia" w:ascii="宋体" w:hAnsi="宋体" w:eastAsia="宋体" w:cs="宋体"/>
          <w:color w:val="auto"/>
          <w:sz w:val="24"/>
          <w:szCs w:val="21"/>
          <w:highlight w:val="none"/>
        </w:rPr>
        <w:t xml:space="preserve">，或者提供其他残疾人福利性单位制造的货物（不包括使用非残疾人福利性单位注册商标的货物）。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（备注：1、投标人如不提供此声明函，价格将不做相应扣除。2、中标人为残疾人福利单位的，此声明函将随中标结果同时公告，接受社会监督）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spacing w:line="42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bidi="ar"/>
        </w:rPr>
        <w:t xml:space="preserve">请</w:t>
      </w:r>
      <w:r>
        <w:rPr>
          <w:rFonts w:hint="eastAsia" w:ascii="宋体" w:hAnsi="宋体" w:eastAsia="宋体" w:cs="宋体"/>
          <w:b/>
          <w:color w:val="auto"/>
          <w:szCs w:val="21"/>
          <w:highlight w:val="none"/>
          <w:lang w:bidi="ar"/>
        </w:rPr>
        <w:t xml:space="preserve">投标人</w:t>
      </w:r>
      <w:r>
        <w:rPr>
          <w:rFonts w:hint="eastAsia" w:ascii="宋体" w:hAnsi="宋体" w:eastAsia="宋体" w:cs="宋体"/>
          <w:b/>
          <w:color w:val="auto"/>
          <w:szCs w:val="21"/>
          <w:highlight w:val="none"/>
          <w:lang w:val="zh-CN" w:bidi="ar"/>
        </w:rPr>
        <w:t xml:space="preserve">认真阅读如下内容：</w:t>
      </w:r>
      <w:r/>
    </w:p>
    <w:p>
      <w:pPr>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bidi="ar"/>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zh-CN" w:bidi="ar"/>
        </w:rPr>
        <w:t xml:space="preserve">安置的残疾人占本单位在职职工人数的比例不低于25%（含25%），并且安置的残疾人人数不少于10人（含10人）；</w:t>
      </w:r>
      <w:r/>
    </w:p>
    <w:p>
      <w:pPr>
        <w:ind w:firstLine="420"/>
        <w:spacing w:line="4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zh-CN" w:bidi="ar"/>
        </w:rPr>
        <w:t xml:space="preserve">2、依法与安置的每位残疾人签订了一年以上（含一年）的劳动合同或服务协议；</w:t>
      </w:r>
      <w:r/>
    </w:p>
    <w:p>
      <w:pPr>
        <w:ind w:firstLine="420"/>
        <w:spacing w:line="420" w:lineRule="exact"/>
        <w:rPr>
          <w:rFonts w:hint="eastAsia" w:ascii="宋体" w:hAnsi="宋体" w:eastAsia="宋体" w:cs="宋体"/>
          <w:color w:val="auto"/>
          <w:szCs w:val="21"/>
          <w:highlight w:val="none"/>
          <w:lang w:val="zh-CN" w:bidi="ar"/>
        </w:rPr>
      </w:pPr>
      <w:r>
        <w:rPr>
          <w:rFonts w:hint="eastAsia" w:ascii="宋体" w:hAnsi="宋体" w:eastAsia="宋体" w:cs="宋体"/>
          <w:color w:val="auto"/>
          <w:szCs w:val="21"/>
          <w:highlight w:val="none"/>
          <w:lang w:val="zh-CN" w:bidi="ar"/>
        </w:rPr>
        <w:t xml:space="preserve">3、为安置的每位残疾人按月足额缴纳了基本养老保险、基本医疗保险、失业保险、工伤保险和生育保险等社会保险费；</w:t>
      </w:r>
      <w:r/>
    </w:p>
    <w:p>
      <w:pPr>
        <w:ind w:firstLine="420"/>
        <w:spacing w:line="4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    </w:t>
      </w:r>
      <w:r>
        <w:rPr>
          <w:rFonts w:hint="eastAsia" w:ascii="宋体" w:hAnsi="宋体" w:eastAsia="宋体" w:cs="宋体"/>
          <w:color w:val="auto"/>
          <w:szCs w:val="21"/>
          <w:highlight w:val="none"/>
          <w:lang w:val="zh-CN" w:bidi="ar"/>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zh-CN" w:bidi="ar"/>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ascii="宋体" w:hAnsi="宋体" w:eastAsia="宋体" w:cs="宋体"/>
          <w:color w:val="auto"/>
          <w:szCs w:val="21"/>
          <w:highlight w:val="none"/>
          <w:lang w:val="zh-CN" w:bidi="ar"/>
        </w:rPr>
      </w:pPr>
      <w:r>
        <w:rPr>
          <w:rFonts w:hint="eastAsia" w:ascii="宋体" w:hAnsi="宋体" w:eastAsia="宋体" w:cs="宋体"/>
          <w:color w:val="auto"/>
          <w:szCs w:val="21"/>
          <w:highlight w:val="none"/>
          <w:lang w:val="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399" w:name="_Toc155086574"/>
      <w:r/>
      <w:bookmarkStart w:id="400" w:name="_Toc155086474"/>
      <w:r/>
      <w:bookmarkStart w:id="401" w:name="_Toc17235"/>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zh-CN" w:bidi="ar"/>
        </w:rPr>
        <w:br w:type="page" w:clear="all"/>
      </w:r>
      <w:r/>
    </w:p>
    <w:p>
      <w:pPr>
        <w:ind w:firstLine="562"/>
        <w:jc w:val="center"/>
        <w:spacing w:line="440" w:lineRule="exact"/>
        <w:rPr>
          <w:rFonts w:hint="eastAsia" w:ascii="宋体" w:hAnsi="宋体" w:eastAsia="宋体" w:cs="宋体"/>
          <w:b/>
          <w:bCs/>
          <w:color w:val="auto"/>
          <w:sz w:val="28"/>
          <w:szCs w:val="28"/>
          <w:highlight w:val="none"/>
        </w:rPr>
        <w:outlineLvl w:val="1"/>
      </w:pPr>
      <w:r/>
      <w:bookmarkStart w:id="402" w:name="_Toc1783"/>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 投标函</w:t>
      </w:r>
      <w:bookmarkEnd w:id="399"/>
      <w:r/>
      <w:bookmarkEnd w:id="400"/>
      <w:r/>
      <w:bookmarkEnd w:id="401"/>
      <w:r/>
      <w:bookmarkEnd w:id="40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苏州信达顺工程建设咨询有限公司</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cs="宋体"/>
          <w:color w:val="auto"/>
          <w:szCs w:val="21"/>
          <w:highlight w:val="none"/>
          <w:lang w:eastAsia="zh-CN"/>
        </w:rPr>
        <w:t xml:space="preserve">JSZC-320581-SZDS-G2026-0008</w:t>
      </w:r>
      <w:r>
        <w:rPr>
          <w:rFonts w:hint="eastAsia" w:ascii="宋体" w:hAnsi="宋体" w:eastAsia="宋体" w:cs="宋体"/>
          <w:color w:val="auto"/>
          <w:szCs w:val="21"/>
          <w:highlight w:val="none"/>
        </w:rPr>
        <w:t xml:space="preserve">号招标文件，正式授权下述签字人______(姓名)代表我方______________（投标人的名称），全权处理本次项目投标的有关事宜。</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4.我方同意投标有效期为开标之日后六十（60）天。</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5.我们同意从规定的开标日期起遵循本投标文件，并在规定的投标有效期期满之前均具有约束力。</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6.同意向贵方提供贵方可能另外要求的与投标有关的任何证据或资料，并保证我方已提供和将要提供的文件是真实的、准确的。</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7.一旦我方中标,我方将根据招标文件的规定，严格履行合同的责任和义务,并保证在招标文件规定的时间完成项目，交付采购人验收、使用。</w:t>
      </w:r>
      <w:r/>
    </w:p>
    <w:p>
      <w:pPr>
        <w:pStyle w:val="10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8.与本投标有关的正式通讯地址为：</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 标 人开户行：</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pStyle w:val="1016"/>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48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89"/>
        <w:ind w:firstLine="482"/>
        <w:rPr>
          <w:rFonts w:hint="eastAsia" w:ascii="宋体" w:hAnsi="宋体" w:eastAsia="宋体" w:cs="宋体"/>
          <w:color w:val="auto"/>
          <w:highlight w:val="none"/>
        </w:rPr>
      </w:pPr>
      <w:r>
        <w:rPr>
          <w:rFonts w:hint="eastAsia" w:ascii="宋体" w:hAnsi="宋体" w:eastAsia="宋体" w:cs="宋体"/>
          <w:b/>
          <w:color w:val="auto"/>
          <w:sz w:val="24"/>
          <w:szCs w:val="44"/>
          <w:highlight w:val="none"/>
        </w:rPr>
        <w:br w:type="page" w:clear="all"/>
      </w:r>
      <w:r/>
    </w:p>
    <w:p>
      <w:pPr>
        <w:pStyle w:val="776"/>
        <w:jc w:val="center"/>
        <w:keepNext w:val="0"/>
        <w:pageBreakBefore/>
        <w:rPr>
          <w:rFonts w:hint="eastAsia" w:ascii="宋体" w:hAnsi="宋体" w:eastAsia="宋体" w:cs="宋体"/>
          <w:b/>
          <w:bCs/>
          <w:color w:val="auto"/>
          <w:sz w:val="28"/>
          <w:szCs w:val="28"/>
          <w:highlight w:val="none"/>
          <w:lang w:val="en-US" w:eastAsia="zh-CN"/>
        </w:rPr>
      </w:pPr>
      <w:r/>
      <w:bookmarkStart w:id="403" w:name="_Toc8628"/>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 </w:t>
      </w:r>
      <w:bookmarkStart w:id="404" w:name="_Toc5065"/>
      <w:r/>
      <w:bookmarkStart w:id="405" w:name="_Toc26788"/>
      <w:r/>
      <w:bookmarkStart w:id="406" w:name="_Toc31580"/>
      <w:r/>
      <w:bookmarkStart w:id="407" w:name="_Toc42157468"/>
      <w:r/>
      <w:bookmarkStart w:id="408" w:name="_Toc9014"/>
      <w:r>
        <w:rPr>
          <w:rFonts w:hint="eastAsia" w:ascii="宋体" w:hAnsi="宋体" w:eastAsia="宋体" w:cs="宋体"/>
          <w:b/>
          <w:bCs/>
          <w:color w:val="auto"/>
          <w:sz w:val="28"/>
          <w:szCs w:val="28"/>
          <w:highlight w:val="none"/>
          <w:lang w:val="en-US" w:eastAsia="zh-CN"/>
        </w:rPr>
        <w:t xml:space="preserve">供应商与其他单位存在直接控股、管理关系情况表</w:t>
      </w:r>
      <w:bookmarkEnd w:id="403"/>
      <w:r/>
      <w:bookmarkEnd w:id="404"/>
      <w:r/>
      <w:bookmarkEnd w:id="405"/>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785"/>
        <w:tblW w:w="10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91"/>
        <w:gridCol w:w="1494"/>
        <w:gridCol w:w="1569"/>
        <w:gridCol w:w="1429"/>
        <w:gridCol w:w="1698"/>
        <w:gridCol w:w="1259"/>
      </w:tblGrid>
      <w:tr>
        <w:trPr>
          <w:jc w:val="center"/>
          <w:trHeight w:val="661"/>
        </w:trPr>
        <w:tc>
          <w:tcPr>
            <w:gridSpan w:val="4"/>
            <w:tcW w:w="617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438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13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494"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7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7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7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7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733"/>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741"/>
        </w:trPr>
        <w:tc>
          <w:tcPr>
            <w:tcW w:w="1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9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6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2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9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注：1、本表仅须填写与投标人存在直接股权、管理关系的企业情况。投标人应按上表要求据实填写，如填写“无”或不填写，均视为投标人声明不存在有关情形。</w:t>
      </w:r>
      <w:r/>
    </w:p>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2、其中“直接控股”是指投标人与大型企业之间存在直接投资并控股（非普通持股）的关系。</w:t>
      </w:r>
      <w:r/>
    </w:p>
    <w:p>
      <w:pPr>
        <w:pStyle w:val="78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78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78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789"/>
        <w:ind w:left="4060" w:right="2166" w:firstLine="358"/>
        <w:spacing w:before="35" w:line="440" w:lineRule="exact"/>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 xml:space="preserve">日期：</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440" w:lineRule="exact"/>
        <w:rPr>
          <w:rFonts w:hint="eastAsia" w:ascii="宋体" w:hAnsi="宋体" w:eastAsia="宋体" w:cs="宋体"/>
          <w:b/>
          <w:bCs/>
          <w:color w:val="auto"/>
          <w:sz w:val="28"/>
          <w:szCs w:val="28"/>
          <w:highlight w:val="none"/>
        </w:rPr>
        <w:outlineLvl w:val="1"/>
      </w:pPr>
      <w:r/>
      <w:bookmarkStart w:id="409" w:name="_Toc10756"/>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7 </w:t>
      </w:r>
      <w:r>
        <w:rPr>
          <w:rFonts w:hint="eastAsia" w:ascii="宋体" w:hAnsi="宋体" w:eastAsia="宋体" w:cs="宋体"/>
          <w:b/>
          <w:bCs/>
          <w:color w:val="auto"/>
          <w:sz w:val="28"/>
          <w:szCs w:val="28"/>
          <w:highlight w:val="none"/>
        </w:rPr>
        <w:t xml:space="preserve">关于符合本国产品标准的声明函</w:t>
      </w:r>
      <w:bookmarkEnd w:id="409"/>
      <w:r/>
      <w:r/>
    </w:p>
    <w:p>
      <w:pPr>
        <w:pStyle w:val="81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420"/>
        <w:spacing w:before="0" w:beforeAutospacing="0" w:after="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2383790</wp:posOffset>
                </wp:positionH>
                <wp:positionV relativeFrom="paragraph">
                  <wp:posOffset>265430</wp:posOffset>
                </wp:positionV>
                <wp:extent cx="816610" cy="76200"/>
                <wp:effectExtent l="635" t="4445" r="1905" b="14604"/>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7pt;mso-position-horizontal:absolute;mso-position-vertical-relative:text;margin-top:2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3597910</wp:posOffset>
                </wp:positionH>
                <wp:positionV relativeFrom="paragraph">
                  <wp:posOffset>264795</wp:posOffset>
                </wp:positionV>
                <wp:extent cx="816610" cy="103505"/>
                <wp:effectExtent l="635" t="4445" r="1905" b="635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283.3pt;mso-position-horizontal:absolute;mso-position-vertical-relative:text;margin-top:2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292735</wp:posOffset>
                </wp:positionH>
                <wp:positionV relativeFrom="paragraph">
                  <wp:posOffset>431800</wp:posOffset>
                </wp:positionV>
                <wp:extent cx="565785" cy="130810"/>
                <wp:effectExtent l="1270" t="4445" r="4445" b="17145"/>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23.0pt;mso-position-horizontal:absolute;mso-position-vertical-relative:text;margin-top:34.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5802630</wp:posOffset>
                </wp:positionH>
                <wp:positionV relativeFrom="paragraph">
                  <wp:posOffset>236220</wp:posOffset>
                </wp:positionV>
                <wp:extent cx="876300" cy="120015"/>
                <wp:effectExtent l="635" t="4445" r="18415" b="8890"/>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456.9pt;mso-position-horizontal:absolute;mso-position-vertical-relative:text;margin-top:1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1473835</wp:posOffset>
                </wp:positionH>
                <wp:positionV relativeFrom="paragraph">
                  <wp:posOffset>238125</wp:posOffset>
                </wp:positionV>
                <wp:extent cx="364490" cy="97790"/>
                <wp:effectExtent l="1270" t="4445" r="152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16.0pt;mso-position-horizontal:absolute;mso-position-vertical-relative:text;margin-top:18.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医用液氧 </w:t>
      </w:r>
      <w:r>
        <w:rPr>
          <w:rFonts w:hint="eastAsia" w:ascii="宋体" w:hAnsi="宋体" w:eastAsia="宋体" w:cs="宋体"/>
          <w:color w:val="auto"/>
          <w:highlight w:val="none"/>
          <w:shd w:val="clear" w:color="auto" w:fill="ffffff"/>
        </w:rPr>
        <w:t xml:space="preserve">，生产厂为</w:t>
      </w:r>
      <w:r>
        <w:rPr>
          <w:rStyle w:val="81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1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15"/>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1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1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1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3551555</wp:posOffset>
                </wp:positionH>
                <wp:positionV relativeFrom="paragraph">
                  <wp:posOffset>247015</wp:posOffset>
                </wp:positionV>
                <wp:extent cx="816610" cy="103505"/>
                <wp:effectExtent l="635" t="4445" r="1905" b="6350"/>
                <wp:wrapNone/>
                <wp:docPr id="9" name="直接箭头连接符 3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82816;o:allowoverlap:true;o:allowincell:true;mso-position-horizontal-relative:text;margin-left:279.6pt;mso-position-horizontal:absolute;mso-position-vertical-relative:text;margin-top:19.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2393315</wp:posOffset>
                </wp:positionH>
                <wp:positionV relativeFrom="paragraph">
                  <wp:posOffset>271780</wp:posOffset>
                </wp:positionV>
                <wp:extent cx="816610" cy="76200"/>
                <wp:effectExtent l="635" t="4445" r="1905" b="14604"/>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9744;o:allowoverlap:true;o:allowincell:true;mso-position-horizontal-relative:text;margin-left:188.4pt;mso-position-horizontal:absolute;mso-position-vertical-relative:text;margin-top:21.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1451610</wp:posOffset>
                </wp:positionH>
                <wp:positionV relativeFrom="paragraph">
                  <wp:posOffset>252095</wp:posOffset>
                </wp:positionV>
                <wp:extent cx="364490" cy="97790"/>
                <wp:effectExtent l="1270" t="4445" r="15240" b="12065"/>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6672;o:allowoverlap:true;o:allowincell:true;mso-position-horizontal-relative:text;margin-left:114.3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325755</wp:posOffset>
                </wp:positionH>
                <wp:positionV relativeFrom="paragraph">
                  <wp:posOffset>414020</wp:posOffset>
                </wp:positionV>
                <wp:extent cx="565785" cy="130810"/>
                <wp:effectExtent l="1270" t="4445" r="4445" b="17145"/>
                <wp:wrapNone/>
                <wp:docPr id="12" name="直接箭头连接符 2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25.6pt;mso-position-horizontal:absolute;mso-position-vertical-relative:text;margin-top:32.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5756910</wp:posOffset>
                </wp:positionH>
                <wp:positionV relativeFrom="paragraph">
                  <wp:posOffset>210185</wp:posOffset>
                </wp:positionV>
                <wp:extent cx="876300" cy="120015"/>
                <wp:effectExtent l="635" t="4445" r="18415" b="8890"/>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453.3pt;mso-position-horizontal:absolute;mso-position-vertical-relative:text;margin-top:16.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40L医用氧 </w:t>
      </w:r>
      <w:r>
        <w:rPr>
          <w:rFonts w:hint="eastAsia" w:ascii="宋体" w:hAnsi="宋体" w:eastAsia="宋体" w:cs="宋体"/>
          <w:color w:val="auto"/>
          <w:highlight w:val="none"/>
          <w:shd w:val="clear" w:color="auto" w:fill="ffffff"/>
        </w:rPr>
        <w:t xml:space="preserve">，生产厂为</w:t>
      </w:r>
      <w:r>
        <w:rPr>
          <w:rStyle w:val="81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1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2</w:t>
      </w:r>
      <w:r>
        <w:rPr>
          <w:rStyle w:val="81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81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2</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2</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4668520</wp:posOffset>
                </wp:positionH>
                <wp:positionV relativeFrom="paragraph">
                  <wp:posOffset>36830</wp:posOffset>
                </wp:positionV>
                <wp:extent cx="718185" cy="97790"/>
                <wp:effectExtent l="635" t="4445" r="5080" b="12065"/>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7.6pt;mso-position-horizontal:absolute;mso-position-vertical-relative:text;margin-top:2.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3441065</wp:posOffset>
                </wp:positionH>
                <wp:positionV relativeFrom="paragraph">
                  <wp:posOffset>238125</wp:posOffset>
                </wp:positionV>
                <wp:extent cx="816610" cy="103505"/>
                <wp:effectExtent l="635" t="4445" r="1905" b="6350"/>
                <wp:wrapNone/>
                <wp:docPr id="16"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83840;o:allowoverlap:true;o:allowincell:true;mso-position-horizontal-relative:text;margin-left:270.9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2338070</wp:posOffset>
                </wp:positionH>
                <wp:positionV relativeFrom="paragraph">
                  <wp:posOffset>246380</wp:posOffset>
                </wp:positionV>
                <wp:extent cx="816610" cy="76200"/>
                <wp:effectExtent l="635" t="4445" r="1905" b="14604"/>
                <wp:wrapNone/>
                <wp:docPr id="17"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80768;o:allowoverlap:true;o:allowincell:true;mso-position-horizontal-relative:text;margin-left:184.1pt;mso-position-horizontal:absolute;mso-position-vertical-relative:text;margin-top:19.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1515110</wp:posOffset>
                </wp:positionH>
                <wp:positionV relativeFrom="paragraph">
                  <wp:posOffset>251460</wp:posOffset>
                </wp:positionV>
                <wp:extent cx="364490" cy="97790"/>
                <wp:effectExtent l="1270" t="4445" r="15240" b="12065"/>
                <wp:wrapNone/>
                <wp:docPr id="18" name="直接箭头连接符 2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7696;o:allowoverlap:true;o:allowincell:true;mso-position-horizontal-relative:text;margin-left:119.3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357505</wp:posOffset>
                </wp:positionH>
                <wp:positionV relativeFrom="paragraph">
                  <wp:posOffset>421005</wp:posOffset>
                </wp:positionV>
                <wp:extent cx="565785" cy="130810"/>
                <wp:effectExtent l="1270" t="4445" r="4445" b="17145"/>
                <wp:wrapNone/>
                <wp:docPr id="19"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4624;o:allowoverlap:true;o:allowincell:true;mso-position-horizontal-relative:text;margin-left:28.1pt;mso-position-horizontal:absolute;mso-position-vertical-relative:text;margin-top:33.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5724525</wp:posOffset>
                </wp:positionH>
                <wp:positionV relativeFrom="paragraph">
                  <wp:posOffset>217805</wp:posOffset>
                </wp:positionV>
                <wp:extent cx="876300" cy="120015"/>
                <wp:effectExtent l="635" t="4445" r="18415" b="8890"/>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450.8pt;mso-position-horizontal:absolute;mso-position-vertical-relative:text;margin-top:17.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10L医用氧 </w:t>
      </w:r>
      <w:r>
        <w:rPr>
          <w:rFonts w:hint="eastAsia" w:ascii="宋体" w:hAnsi="宋体" w:eastAsia="宋体" w:cs="宋体"/>
          <w:color w:val="auto"/>
          <w:highlight w:val="none"/>
          <w:shd w:val="clear" w:color="auto" w:fill="ffffff"/>
        </w:rPr>
        <w:t xml:space="preserve">，生产厂为</w:t>
      </w:r>
      <w:r>
        <w:rPr>
          <w:rStyle w:val="81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1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3</w:t>
      </w:r>
      <w:r>
        <w:rPr>
          <w:rStyle w:val="81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81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3</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3</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5303520</wp:posOffset>
                </wp:positionH>
                <wp:positionV relativeFrom="paragraph">
                  <wp:posOffset>43815</wp:posOffset>
                </wp:positionV>
                <wp:extent cx="718185" cy="97790"/>
                <wp:effectExtent l="635" t="4445" r="5080" b="12065"/>
                <wp:wrapNone/>
                <wp:docPr id="21"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9504;o:allowoverlap:true;o:allowincell:true;mso-position-horizontal-relative:text;margin-left:417.6pt;mso-position-horizontal:absolute;mso-position-vertical-relative:text;margin-top:3.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4391660</wp:posOffset>
                </wp:positionH>
                <wp:positionV relativeFrom="paragraph">
                  <wp:posOffset>231775</wp:posOffset>
                </wp:positionV>
                <wp:extent cx="876300" cy="120015"/>
                <wp:effectExtent l="635" t="4445" r="18415" b="8890"/>
                <wp:wrapNone/>
                <wp:docPr id="22"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2576;o:allowoverlap:true;o:allowincell:true;mso-position-horizontal-relative:text;margin-left:345.8pt;mso-position-horizontal:absolute;mso-position-vertical-relative:text;margin-top:18.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3011805</wp:posOffset>
                </wp:positionH>
                <wp:positionV relativeFrom="paragraph">
                  <wp:posOffset>252730</wp:posOffset>
                </wp:positionV>
                <wp:extent cx="816610" cy="103505"/>
                <wp:effectExtent l="635" t="4445" r="1905" b="6350"/>
                <wp:wrapNone/>
                <wp:docPr id="23"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84864;o:allowoverlap:true;o:allowincell:true;mso-position-horizontal-relative:text;margin-left:237.1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1972310</wp:posOffset>
                </wp:positionH>
                <wp:positionV relativeFrom="paragraph">
                  <wp:posOffset>260985</wp:posOffset>
                </wp:positionV>
                <wp:extent cx="816610" cy="76200"/>
                <wp:effectExtent l="635" t="4445" r="1905" b="14604"/>
                <wp:wrapNone/>
                <wp:docPr id="24" name="直接箭头连接符 3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81792;o:allowoverlap:true;o:allowincell:true;mso-position-horizontal-relative:text;margin-left:155.3pt;mso-position-horizontal:absolute;mso-position-vertical-relative:text;margin-top:20.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1443355</wp:posOffset>
                </wp:positionH>
                <wp:positionV relativeFrom="paragraph">
                  <wp:posOffset>440690</wp:posOffset>
                </wp:positionV>
                <wp:extent cx="364490" cy="97790"/>
                <wp:effectExtent l="1270" t="4445" r="15240" b="12065"/>
                <wp:wrapNone/>
                <wp:docPr id="25" name="直接箭头连接符 2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8720;o:allowoverlap:true;o:allowincell:true;mso-position-horizontal-relative:text;margin-left:113.6pt;mso-position-horizontal:absolute;mso-position-vertical-relative:text;margin-top:34.7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358140</wp:posOffset>
                </wp:positionH>
                <wp:positionV relativeFrom="paragraph">
                  <wp:posOffset>427990</wp:posOffset>
                </wp:positionV>
                <wp:extent cx="565785" cy="130810"/>
                <wp:effectExtent l="1270" t="4445" r="4445" b="17145"/>
                <wp:wrapNone/>
                <wp:docPr id="26"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5648;o:allowoverlap:true;o:allowincell:true;mso-position-horizontal-relative:text;margin-left:28.2pt;mso-position-horizontal:absolute;mso-position-vertical-relative:text;margin-top:33.7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4L医用氧（组合瓶） </w:t>
      </w:r>
      <w:r>
        <w:rPr>
          <w:rFonts w:hint="eastAsia" w:ascii="宋体" w:hAnsi="宋体" w:eastAsia="宋体" w:cs="宋体"/>
          <w:color w:val="auto"/>
          <w:highlight w:val="none"/>
          <w:shd w:val="clear" w:color="auto" w:fill="ffffff"/>
        </w:rPr>
        <w:t xml:space="preserve">，生产厂为</w:t>
      </w:r>
      <w:r>
        <w:rPr>
          <w:rStyle w:val="81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1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4</w:t>
      </w:r>
      <w:r>
        <w:rPr>
          <w:rStyle w:val="81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81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4</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15"/>
          <w:rFonts w:hint="eastAsia" w:ascii="宋体" w:hAnsi="宋体" w:eastAsia="宋体" w:cs="宋体"/>
          <w:i w:val="0"/>
          <w:color w:val="auto"/>
          <w:highlight w:val="none"/>
          <w:u w:val="single"/>
          <w:shd w:val="clear" w:color="auto" w:fill="ffffff"/>
        </w:rPr>
        <w:t xml:space="preserve">（产品名称</w:t>
      </w:r>
      <w:r>
        <w:rPr>
          <w:rStyle w:val="815"/>
          <w:rFonts w:hint="eastAsia" w:ascii="宋体" w:hAnsi="宋体" w:eastAsia="宋体" w:cs="宋体"/>
          <w:i w:val="0"/>
          <w:color w:val="auto"/>
          <w:highlight w:val="none"/>
          <w:u w:val="single"/>
          <w:shd w:val="clear" w:color="auto" w:fill="ffffff"/>
          <w:lang w:val="en-US" w:eastAsia="zh-CN"/>
        </w:rPr>
        <w:t xml:space="preserve">4</w:t>
      </w:r>
      <w:r>
        <w:rPr>
          <w:rStyle w:val="81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81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1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81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810"/>
        <w:ind w:firstLine="4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810"/>
        <w:ind w:right="480" w:firstLine="37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10"/>
        <w:jc w:val="center"/>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1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1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10"/>
        <w:spacing w:before="30" w:beforeAutospacing="0" w:after="30" w:afterAutospacing="0" w:line="0" w:lineRule="atLeast"/>
        <w:rPr>
          <w:rFonts w:hint="eastAsia" w:ascii="宋体" w:hAnsi="宋体" w:eastAsia="宋体" w:cs="宋体"/>
          <w:color w:val="auto"/>
          <w:sz w:val="24"/>
          <w:szCs w:val="24"/>
          <w:highlight w:val="none"/>
          <w:shd w:val="clear" w:color="auto" w:fill="ffffff"/>
        </w:rPr>
        <w:sectPr>
          <w:footnotePr/>
          <w:endnotePr/>
          <w:type w:val="nextPage"/>
          <w:pgSz w:w="11906" w:h="16838" w:orient="portrait"/>
          <w:pgMar w:top="771" w:right="720" w:bottom="527" w:left="720" w:header="231" w:footer="200" w:gutter="0"/>
          <w:cols w:num="1" w:sep="0" w:space="720" w:equalWidth="1"/>
          <w:docGrid w:linePitch="360"/>
          <w:titlePg/>
        </w:sectPr>
      </w:pPr>
      <w:r>
        <w:rPr>
          <w:rFonts w:hint="eastAsia" w:ascii="宋体" w:hAnsi="宋体" w:eastAsia="宋体" w:cs="宋体"/>
          <w:color w:val="auto"/>
          <w:sz w:val="24"/>
          <w:szCs w:val="24"/>
          <w:highlight w:val="none"/>
          <w:shd w:val="clear" w:color="auto" w:fill="ffffff"/>
        </w:rPr>
        <w:t xml:space="preserve">6.用斜线划除的地方无需填写。</w:t>
      </w:r>
      <w:r/>
    </w:p>
    <w:p>
      <w:pPr>
        <w:ind w:firstLine="562"/>
        <w:jc w:val="center"/>
        <w:spacing w:line="440" w:lineRule="exact"/>
        <w:rPr>
          <w:rFonts w:hint="eastAsia" w:ascii="宋体" w:hAnsi="宋体" w:eastAsia="宋体" w:cs="宋体"/>
          <w:b/>
          <w:bCs/>
          <w:color w:val="auto"/>
          <w:sz w:val="28"/>
          <w:szCs w:val="28"/>
          <w:highlight w:val="none"/>
          <w:lang w:val="en-US" w:eastAsia="zh-CN"/>
        </w:rPr>
        <w:outlineLvl w:val="1"/>
      </w:pPr>
      <w:r/>
      <w:bookmarkStart w:id="410" w:name="_Toc8749"/>
      <w:r>
        <w:rPr>
          <w:rFonts w:hint="eastAsia" w:ascii="宋体" w:hAnsi="宋体" w:eastAsia="宋体" w:cs="宋体"/>
          <w:b/>
          <w:bCs/>
          <w:color w:val="auto"/>
          <w:sz w:val="28"/>
          <w:szCs w:val="28"/>
          <w:highlight w:val="none"/>
          <w:lang w:val="en-US" w:eastAsia="zh-CN"/>
        </w:rPr>
        <w:t xml:space="preserve">附件18 质疑函范本</w:t>
      </w:r>
      <w:bookmarkEnd w:id="410"/>
      <w:r/>
      <w:r/>
    </w:p>
    <w:p>
      <w:pPr>
        <w:jc w:val="both"/>
        <w:spacing w:line="440" w:lineRule="exact"/>
        <w:rPr>
          <w:rFonts w:hint="eastAsia" w:ascii="宋体" w:hAnsi="宋体" w:eastAsia="宋体" w:cs="宋体"/>
          <w:b/>
          <w:bCs/>
          <w:color w:val="auto"/>
          <w:sz w:val="32"/>
          <w:szCs w:val="32"/>
          <w:highlight w:val="none"/>
          <w:lang w:val="en-US" w:eastAsia="zh-CN"/>
        </w:rPr>
        <w:outlineLvl w:val="1"/>
      </w:pPr>
      <w:r>
        <w:rPr>
          <w:rFonts w:hint="eastAsia" w:ascii="宋体" w:hAnsi="宋体" w:eastAsia="宋体" w:cs="宋体"/>
          <w:b/>
          <w:bCs/>
          <w:color w:val="auto"/>
          <w:sz w:val="32"/>
          <w:szCs w:val="32"/>
          <w:highlight w:val="none"/>
          <w:lang w:val="en-US" w:eastAsia="zh-CN"/>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before="312"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1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06"/>
      <w:bookmarkEnd w:id="407"/>
      <w:bookmarkEnd w:id="408"/>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771" w:right="720" w:bottom="527" w:left="720" w:header="231" w:footer="20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1069"/>
      <w:ind w:firstLine="360"/>
    </w:pPr>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left"/>
      <w:rPr>
        <w:rFonts w:hint="eastAsia" w:eastAsia="宋体"/>
        <w:sz w:val="21"/>
        <w:szCs w:val="21"/>
        <w:lang w:eastAsia="zh-CN"/>
      </w:rPr>
    </w:pPr>
    <w:r>
      <w:rPr>
        <w:rFonts w:hint="eastAsia" w:ascii="宋体" w:hAnsi="宋体" w:cs="宋体"/>
        <w:color w:val="000000" w:themeColor="text1"/>
        <w:sz w:val="21"/>
        <w:szCs w:val="21"/>
        <w:lang w:eastAsia="zh-CN"/>
        <w14:textFill>
          <w14:solidFill>
            <w14:schemeClr w14:val="tx1"/>
          </w14:solidFill>
        </w14:textFill>
      </w:rPr>
      <w:t xml:space="preserve">苏州信达顺工程建设咨询有限公司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rFonts w:hint="eastAsia"/>
      </w:rPr>
      <w:t xml:space="preserve">苏州信达顺工程建设咨询有限公司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3"/>
      <w:isLgl w:val="false"/>
      <w:suff w:val="nothing"/>
      <w:lvlText w:val=""/>
      <w:lvlJc w:val="left"/>
      <w:pPr>
        <w:ind w:left="0" w:firstLine="0"/>
      </w:pPr>
      <w:rPr>
        <w:rFonts w:hint="eastAsia"/>
      </w:rPr>
    </w:lvl>
    <w:lvl w:ilvl="6">
      <w:start w:val="1"/>
      <w:numFmt w:val="decimal"/>
      <w:pStyle w:val="974"/>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2">
    <w:multiLevelType w:val="hybridMultilevel"/>
    <w:lvl w:ilvl="0">
      <w:start w:val="1"/>
      <w:numFmt w:val="decimal"/>
      <w:pStyle w:val="10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11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4"/>
    <w:link w:val="775"/>
    <w:uiPriority w:val="9"/>
    <w:rPr>
      <w:rFonts w:ascii="Arial" w:hAnsi="Arial" w:eastAsia="Arial" w:cs="Arial"/>
      <w:sz w:val="40"/>
      <w:szCs w:val="40"/>
    </w:rPr>
  </w:style>
  <w:style w:type="character" w:styleId="15">
    <w:name w:val="Heading 2 Char"/>
    <w:basedOn w:val="784"/>
    <w:link w:val="776"/>
    <w:uiPriority w:val="9"/>
    <w:rPr>
      <w:rFonts w:ascii="Arial" w:hAnsi="Arial" w:eastAsia="Arial" w:cs="Arial"/>
      <w:sz w:val="34"/>
    </w:rPr>
  </w:style>
  <w:style w:type="character" w:styleId="17">
    <w:name w:val="Heading 3 Char"/>
    <w:basedOn w:val="784"/>
    <w:link w:val="777"/>
    <w:uiPriority w:val="9"/>
    <w:rPr>
      <w:rFonts w:ascii="Arial" w:hAnsi="Arial" w:eastAsia="Arial" w:cs="Arial"/>
      <w:sz w:val="30"/>
      <w:szCs w:val="30"/>
    </w:rPr>
  </w:style>
  <w:style w:type="character" w:styleId="19">
    <w:name w:val="Heading 4 Char"/>
    <w:basedOn w:val="784"/>
    <w:link w:val="778"/>
    <w:uiPriority w:val="9"/>
    <w:rPr>
      <w:rFonts w:ascii="Arial" w:hAnsi="Arial" w:eastAsia="Arial" w:cs="Arial"/>
      <w:b/>
      <w:bCs/>
      <w:sz w:val="26"/>
      <w:szCs w:val="26"/>
    </w:rPr>
  </w:style>
  <w:style w:type="character" w:styleId="21">
    <w:name w:val="Heading 5 Char"/>
    <w:basedOn w:val="784"/>
    <w:link w:val="779"/>
    <w:uiPriority w:val="9"/>
    <w:rPr>
      <w:rFonts w:ascii="Arial" w:hAnsi="Arial" w:eastAsia="Arial" w:cs="Arial"/>
      <w:b/>
      <w:bCs/>
      <w:sz w:val="24"/>
      <w:szCs w:val="24"/>
    </w:rPr>
  </w:style>
  <w:style w:type="character" w:styleId="23">
    <w:name w:val="Heading 6 Char"/>
    <w:basedOn w:val="784"/>
    <w:link w:val="780"/>
    <w:uiPriority w:val="9"/>
    <w:rPr>
      <w:rFonts w:ascii="Arial" w:hAnsi="Arial" w:eastAsia="Arial" w:cs="Arial"/>
      <w:b/>
      <w:bCs/>
      <w:sz w:val="22"/>
      <w:szCs w:val="22"/>
    </w:rPr>
  </w:style>
  <w:style w:type="character" w:styleId="25">
    <w:name w:val="Heading 7 Char"/>
    <w:basedOn w:val="784"/>
    <w:link w:val="781"/>
    <w:uiPriority w:val="9"/>
    <w:rPr>
      <w:rFonts w:ascii="Arial" w:hAnsi="Arial" w:eastAsia="Arial" w:cs="Arial"/>
      <w:b/>
      <w:bCs/>
      <w:i/>
      <w:iCs/>
      <w:sz w:val="22"/>
      <w:szCs w:val="22"/>
    </w:rPr>
  </w:style>
  <w:style w:type="character" w:styleId="27">
    <w:name w:val="Heading 8 Char"/>
    <w:basedOn w:val="784"/>
    <w:link w:val="782"/>
    <w:uiPriority w:val="9"/>
    <w:rPr>
      <w:rFonts w:ascii="Arial" w:hAnsi="Arial" w:eastAsia="Arial" w:cs="Arial"/>
      <w:i/>
      <w:iCs/>
      <w:sz w:val="22"/>
      <w:szCs w:val="22"/>
    </w:rPr>
  </w:style>
  <w:style w:type="character" w:styleId="29">
    <w:name w:val="Heading 9 Char"/>
    <w:basedOn w:val="784"/>
    <w:link w:val="783"/>
    <w:uiPriority w:val="9"/>
    <w:rPr>
      <w:rFonts w:ascii="Arial" w:hAnsi="Arial" w:eastAsia="Arial" w:cs="Arial"/>
      <w:i/>
      <w:iCs/>
      <w:sz w:val="21"/>
      <w:szCs w:val="21"/>
    </w:rPr>
  </w:style>
  <w:style w:type="character" w:styleId="34">
    <w:name w:val="Title Char"/>
    <w:basedOn w:val="784"/>
    <w:link w:val="811"/>
    <w:uiPriority w:val="10"/>
    <w:rPr>
      <w:sz w:val="48"/>
      <w:szCs w:val="48"/>
    </w:rPr>
  </w:style>
  <w:style w:type="character" w:styleId="36">
    <w:name w:val="Subtitle Char"/>
    <w:basedOn w:val="784"/>
    <w:link w:val="804"/>
    <w:uiPriority w:val="11"/>
    <w:rPr>
      <w:sz w:val="24"/>
      <w:szCs w:val="24"/>
    </w:rPr>
  </w:style>
  <w:style w:type="character" w:styleId="38">
    <w:name w:val="Quote Char"/>
    <w:link w:val="832"/>
    <w:uiPriority w:val="29"/>
    <w:rPr>
      <w:i/>
    </w:rPr>
  </w:style>
  <w:style w:type="character" w:styleId="40">
    <w:name w:val="Intense Quote Char"/>
    <w:link w:val="834"/>
    <w:uiPriority w:val="30"/>
    <w:rPr>
      <w:i/>
    </w:rPr>
  </w:style>
  <w:style w:type="character" w:styleId="42">
    <w:name w:val="Header Char"/>
    <w:basedOn w:val="784"/>
    <w:link w:val="801"/>
    <w:uiPriority w:val="99"/>
  </w:style>
  <w:style w:type="character" w:styleId="46">
    <w:name w:val="Caption Char"/>
    <w:basedOn w:val="787"/>
    <w:link w:val="800"/>
    <w:uiPriority w:val="99"/>
  </w:style>
  <w:style w:type="table" w:styleId="49">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5"/>
    <w:uiPriority w:val="99"/>
    <w:rPr>
      <w:sz w:val="18"/>
    </w:rPr>
  </w:style>
  <w:style w:type="character" w:styleId="178">
    <w:name w:val="Endnote Text Char"/>
    <w:link w:val="798"/>
    <w:uiPriority w:val="99"/>
    <w:rPr>
      <w:sz w:val="20"/>
    </w:rPr>
  </w:style>
  <w:style w:type="paragraph" w:styleId="189">
    <w:name w:val="TOC Heading"/>
    <w:uiPriority w:val="39"/>
    <w:unhideWhenUsed/>
  </w:style>
  <w:style w:type="paragraph" w:styleId="7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75">
    <w:name w:val="Heading 1"/>
    <w:basedOn w:val="774"/>
    <w:next w:val="774"/>
    <w:link w:val="819"/>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20"/>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1"/>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2"/>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3"/>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4"/>
    <w:uiPriority w:val="9"/>
    <w:unhideWhenUsed/>
    <w:qFormat/>
    <w:pPr>
      <w:keepLines/>
      <w:keepNext/>
      <w:spacing w:before="320" w:after="200"/>
      <w:outlineLvl w:val="5"/>
    </w:pPr>
    <w:rPr>
      <w:rFonts w:ascii="Arial" w:hAnsi="Arial" w:eastAsia="Arial" w:cs="Arial"/>
      <w:b/>
      <w:bCs/>
      <w:sz w:val="22"/>
    </w:rPr>
  </w:style>
  <w:style w:type="paragraph" w:styleId="781">
    <w:name w:val="Heading 7"/>
    <w:basedOn w:val="774"/>
    <w:next w:val="774"/>
    <w:link w:val="825"/>
    <w:uiPriority w:val="9"/>
    <w:unhideWhenUsed/>
    <w:qFormat/>
    <w:pPr>
      <w:keepLines/>
      <w:keepNext/>
      <w:spacing w:before="320" w:after="200"/>
      <w:outlineLvl w:val="6"/>
    </w:pPr>
    <w:rPr>
      <w:rFonts w:ascii="Arial" w:hAnsi="Arial" w:eastAsia="Arial" w:cs="Arial"/>
      <w:b/>
      <w:bCs/>
      <w:i/>
      <w:iCs/>
      <w:sz w:val="22"/>
    </w:rPr>
  </w:style>
  <w:style w:type="paragraph" w:styleId="782">
    <w:name w:val="Heading 8"/>
    <w:basedOn w:val="774"/>
    <w:next w:val="774"/>
    <w:link w:val="826"/>
    <w:uiPriority w:val="9"/>
    <w:unhideWhenUsed/>
    <w:qFormat/>
    <w:pPr>
      <w:keepLines/>
      <w:keepNext/>
      <w:spacing w:before="320" w:after="200"/>
      <w:outlineLvl w:val="7"/>
    </w:pPr>
    <w:rPr>
      <w:rFonts w:ascii="Arial" w:hAnsi="Arial" w:eastAsia="Arial" w:cs="Arial"/>
      <w:i/>
      <w:iCs/>
      <w:sz w:val="22"/>
    </w:rPr>
  </w:style>
  <w:style w:type="paragraph" w:styleId="783">
    <w:name w:val="Heading 9"/>
    <w:basedOn w:val="774"/>
    <w:next w:val="774"/>
    <w:link w:val="827"/>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annotation text"/>
    <w:basedOn w:val="774"/>
    <w:link w:val="1136"/>
    <w:uiPriority w:val="99"/>
    <w:semiHidden/>
    <w:unhideWhenUsed/>
    <w:qFormat/>
    <w:pPr>
      <w:jc w:val="left"/>
    </w:pPr>
  </w:style>
  <w:style w:type="paragraph" w:styleId="789">
    <w:name w:val="Body Text"/>
    <w:basedOn w:val="774"/>
    <w:next w:val="790"/>
    <w:uiPriority w:val="0"/>
    <w:qFormat/>
    <w:rPr>
      <w:rFonts w:ascii="楷体_GB2312" w:hAnsi="Arial" w:eastAsia="楷体_GB2312"/>
      <w:sz w:val="28"/>
    </w:rPr>
  </w:style>
  <w:style w:type="paragraph" w:styleId="790">
    <w:name w:val="Body Text First Indent"/>
    <w:basedOn w:val="789"/>
    <w:next w:val="791"/>
    <w:uiPriority w:val="99"/>
    <w:unhideWhenUsed/>
    <w:qFormat/>
    <w:pPr>
      <w:ind w:firstLine="420"/>
    </w:pPr>
  </w:style>
  <w:style w:type="paragraph" w:styleId="791">
    <w:name w:val="Body Text First Indent 2"/>
    <w:basedOn w:val="792"/>
    <w:next w:val="790"/>
    <w:uiPriority w:val="0"/>
    <w:qFormat/>
    <w:pPr>
      <w:ind w:firstLine="420"/>
    </w:pPr>
  </w:style>
  <w:style w:type="paragraph" w:styleId="792">
    <w:name w:val="Body Text Indent"/>
    <w:basedOn w:val="774"/>
    <w:next w:val="793"/>
    <w:uiPriority w:val="0"/>
    <w:qFormat/>
    <w:pPr>
      <w:ind w:firstLine="574"/>
      <w:spacing w:line="312" w:lineRule="atLeast"/>
    </w:pPr>
    <w:rPr>
      <w:rFonts w:ascii="宋体"/>
      <w:sz w:val="28"/>
    </w:rPr>
  </w:style>
  <w:style w:type="paragraph" w:styleId="793">
    <w:name w:val="envelope return"/>
    <w:basedOn w:val="774"/>
    <w:uiPriority w:val="0"/>
    <w:qFormat/>
    <w:rPr>
      <w:rFonts w:ascii="Arial" w:hAnsi="Arial"/>
    </w:rPr>
  </w:style>
  <w:style w:type="paragraph" w:styleId="794">
    <w:name w:val="toc 5"/>
    <w:basedOn w:val="774"/>
    <w:next w:val="774"/>
    <w:uiPriority w:val="39"/>
    <w:unhideWhenUsed/>
    <w:qFormat/>
    <w:pPr>
      <w:ind w:left="1134"/>
      <w:spacing w:after="57"/>
    </w:pPr>
  </w:style>
  <w:style w:type="paragraph" w:styleId="795">
    <w:name w:val="toc 3"/>
    <w:basedOn w:val="774"/>
    <w:next w:val="774"/>
    <w:uiPriority w:val="39"/>
    <w:unhideWhenUsed/>
    <w:qFormat/>
    <w:pPr>
      <w:ind w:left="567"/>
      <w:spacing w:after="57"/>
    </w:pPr>
  </w:style>
  <w:style w:type="paragraph" w:styleId="796">
    <w:name w:val="Plain Text"/>
    <w:basedOn w:val="774"/>
    <w:uiPriority w:val="0"/>
    <w:qFormat/>
    <w:rPr>
      <w:rFonts w:hAnsi="Courier New"/>
      <w:sz w:val="24"/>
    </w:rPr>
  </w:style>
  <w:style w:type="paragraph" w:styleId="797">
    <w:name w:val="toc 8"/>
    <w:basedOn w:val="774"/>
    <w:next w:val="774"/>
    <w:uiPriority w:val="39"/>
    <w:unhideWhenUsed/>
    <w:qFormat/>
    <w:pPr>
      <w:ind w:left="1984"/>
      <w:spacing w:after="57"/>
    </w:pPr>
  </w:style>
  <w:style w:type="paragraph" w:styleId="798">
    <w:name w:val="endnote text"/>
    <w:basedOn w:val="774"/>
    <w:link w:val="965"/>
    <w:uiPriority w:val="99"/>
    <w:semiHidden/>
    <w:unhideWhenUsed/>
    <w:qFormat/>
    <w:rPr>
      <w:sz w:val="20"/>
    </w:rPr>
  </w:style>
  <w:style w:type="paragraph" w:styleId="799">
    <w:name w:val="Balloon Text"/>
    <w:basedOn w:val="774"/>
    <w:link w:val="1138"/>
    <w:uiPriority w:val="99"/>
    <w:semiHidden/>
    <w:unhideWhenUsed/>
    <w:qFormat/>
    <w:rPr>
      <w:sz w:val="18"/>
      <w:szCs w:val="18"/>
    </w:rPr>
  </w:style>
  <w:style w:type="paragraph" w:styleId="800">
    <w:name w:val="Footer"/>
    <w:basedOn w:val="774"/>
    <w:link w:val="838"/>
    <w:uiPriority w:val="99"/>
    <w:unhideWhenUsed/>
    <w:qFormat/>
    <w:pPr>
      <w:tabs>
        <w:tab w:val="center" w:pos="7143" w:leader="none"/>
        <w:tab w:val="right" w:pos="14287" w:leader="none"/>
      </w:tabs>
    </w:pPr>
  </w:style>
  <w:style w:type="paragraph" w:styleId="801">
    <w:name w:val="Header"/>
    <w:basedOn w:val="774"/>
    <w:link w:val="836"/>
    <w:uiPriority w:val="99"/>
    <w:unhideWhenUsed/>
    <w:qFormat/>
    <w:pPr>
      <w:tabs>
        <w:tab w:val="center" w:pos="7143" w:leader="none"/>
        <w:tab w:val="right" w:pos="14287" w:leader="none"/>
      </w:tabs>
    </w:pPr>
  </w:style>
  <w:style w:type="paragraph" w:styleId="802">
    <w:name w:val="toc 1"/>
    <w:basedOn w:val="774"/>
    <w:next w:val="774"/>
    <w:uiPriority w:val="39"/>
    <w:unhideWhenUsed/>
    <w:qFormat/>
    <w:pPr>
      <w:spacing w:after="57"/>
    </w:pPr>
  </w:style>
  <w:style w:type="paragraph" w:styleId="803">
    <w:name w:val="toc 4"/>
    <w:basedOn w:val="774"/>
    <w:next w:val="774"/>
    <w:uiPriority w:val="39"/>
    <w:unhideWhenUsed/>
    <w:qFormat/>
    <w:pPr>
      <w:ind w:left="850"/>
      <w:spacing w:after="57"/>
    </w:pPr>
  </w:style>
  <w:style w:type="paragraph" w:styleId="804">
    <w:name w:val="Subtitle"/>
    <w:basedOn w:val="774"/>
    <w:next w:val="774"/>
    <w:link w:val="831"/>
    <w:uiPriority w:val="11"/>
    <w:qFormat/>
    <w:pPr>
      <w:spacing w:before="200" w:after="200"/>
    </w:pPr>
    <w:rPr>
      <w:sz w:val="24"/>
      <w:szCs w:val="24"/>
    </w:rPr>
  </w:style>
  <w:style w:type="paragraph" w:styleId="805">
    <w:name w:val="footnote text"/>
    <w:basedOn w:val="774"/>
    <w:link w:val="964"/>
    <w:uiPriority w:val="99"/>
    <w:semiHidden/>
    <w:unhideWhenUsed/>
    <w:qFormat/>
    <w:pPr>
      <w:spacing w:after="40"/>
    </w:pPr>
    <w:rPr>
      <w:sz w:val="18"/>
    </w:rPr>
  </w:style>
  <w:style w:type="paragraph" w:styleId="806">
    <w:name w:val="toc 6"/>
    <w:basedOn w:val="774"/>
    <w:next w:val="774"/>
    <w:uiPriority w:val="39"/>
    <w:unhideWhenUsed/>
    <w:qFormat/>
    <w:pPr>
      <w:ind w:left="1417"/>
      <w:spacing w:after="57"/>
    </w:pPr>
  </w:style>
  <w:style w:type="paragraph" w:styleId="807">
    <w:name w:val="table of figures"/>
    <w:basedOn w:val="774"/>
    <w:next w:val="774"/>
    <w:uiPriority w:val="99"/>
    <w:unhideWhenUsed/>
    <w:qFormat/>
  </w:style>
  <w:style w:type="paragraph" w:styleId="808">
    <w:name w:val="toc 2"/>
    <w:basedOn w:val="774"/>
    <w:next w:val="774"/>
    <w:uiPriority w:val="39"/>
    <w:unhideWhenUsed/>
    <w:qFormat/>
    <w:pPr>
      <w:ind w:left="283"/>
      <w:spacing w:after="57"/>
    </w:pPr>
  </w:style>
  <w:style w:type="paragraph" w:styleId="809">
    <w:name w:val="toc 9"/>
    <w:basedOn w:val="774"/>
    <w:next w:val="774"/>
    <w:uiPriority w:val="39"/>
    <w:unhideWhenUsed/>
    <w:qFormat/>
    <w:pPr>
      <w:ind w:left="2268"/>
      <w:spacing w:after="57"/>
    </w:pPr>
  </w:style>
  <w:style w:type="paragraph" w:styleId="810">
    <w:name w:val="Normal (Web)"/>
    <w:basedOn w:val="774"/>
    <w:link w:val="1143"/>
    <w:uiPriority w:val="99"/>
    <w:unhideWhenUsed/>
    <w:qFormat/>
    <w:pPr>
      <w:jc w:val="left"/>
      <w:spacing w:before="100" w:beforeAutospacing="1" w:after="100" w:afterAutospacing="1"/>
      <w:widowControl/>
    </w:pPr>
    <w:rPr>
      <w:rFonts w:ascii="宋体" w:hAnsi="宋体" w:cs="宋体"/>
      <w:sz w:val="24"/>
      <w:szCs w:val="24"/>
    </w:rPr>
  </w:style>
  <w:style w:type="paragraph" w:styleId="811">
    <w:name w:val="Title"/>
    <w:basedOn w:val="774"/>
    <w:next w:val="774"/>
    <w:link w:val="830"/>
    <w:uiPriority w:val="10"/>
    <w:qFormat/>
    <w:pPr>
      <w:contextualSpacing/>
      <w:spacing w:before="300" w:after="200"/>
    </w:pPr>
    <w:rPr>
      <w:sz w:val="48"/>
      <w:szCs w:val="48"/>
    </w:rPr>
  </w:style>
  <w:style w:type="paragraph" w:styleId="812">
    <w:name w:val="annotation subject"/>
    <w:basedOn w:val="788"/>
    <w:next w:val="788"/>
    <w:link w:val="1137"/>
    <w:uiPriority w:val="99"/>
    <w:semiHidden/>
    <w:unhideWhenUsed/>
    <w:qFormat/>
    <w:rPr>
      <w:b/>
      <w:bCs/>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Emphasis"/>
    <w:uiPriority w:val="0"/>
    <w:qFormat/>
    <w:rPr>
      <w:i/>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annotation reference"/>
    <w:basedOn w:val="784"/>
    <w:uiPriority w:val="99"/>
    <w:semiHidden/>
    <w:unhideWhenUsed/>
    <w:qFormat/>
    <w:rPr>
      <w:sz w:val="21"/>
      <w:szCs w:val="21"/>
    </w:rPr>
  </w:style>
  <w:style w:type="character" w:styleId="818">
    <w:name w:val="footnote reference"/>
    <w:uiPriority w:val="99"/>
    <w:unhideWhenUsed/>
    <w:qFormat/>
    <w:rPr>
      <w:vertAlign w:val="superscript"/>
    </w:rPr>
  </w:style>
  <w:style w:type="character" w:styleId="819" w:customStyle="1">
    <w:name w:val="标题 1 字符1"/>
    <w:link w:val="775"/>
    <w:uiPriority w:val="9"/>
    <w:qFormat/>
    <w:rPr>
      <w:rFonts w:ascii="Arial" w:hAnsi="Arial" w:eastAsia="Arial" w:cs="Arial"/>
      <w:sz w:val="40"/>
      <w:szCs w:val="40"/>
    </w:rPr>
  </w:style>
  <w:style w:type="character" w:styleId="820" w:customStyle="1">
    <w:name w:val="标题 2 字符3"/>
    <w:link w:val="776"/>
    <w:uiPriority w:val="9"/>
    <w:qFormat/>
    <w:rPr>
      <w:rFonts w:ascii="Arial" w:hAnsi="Arial" w:eastAsia="Arial" w:cs="Arial"/>
      <w:sz w:val="34"/>
    </w:rPr>
  </w:style>
  <w:style w:type="character" w:styleId="821" w:customStyle="1">
    <w:name w:val="标题 3 字符"/>
    <w:link w:val="777"/>
    <w:uiPriority w:val="9"/>
    <w:qFormat/>
    <w:rPr>
      <w:rFonts w:ascii="Arial" w:hAnsi="Arial" w:eastAsia="Arial" w:cs="Arial"/>
      <w:sz w:val="30"/>
      <w:szCs w:val="30"/>
    </w:rPr>
  </w:style>
  <w:style w:type="character" w:styleId="822" w:customStyle="1">
    <w:name w:val="标题 4 字符"/>
    <w:link w:val="778"/>
    <w:uiPriority w:val="9"/>
    <w:qFormat/>
    <w:rPr>
      <w:rFonts w:ascii="Arial" w:hAnsi="Arial" w:eastAsia="Arial" w:cs="Arial"/>
      <w:b/>
      <w:bCs/>
      <w:sz w:val="26"/>
      <w:szCs w:val="26"/>
    </w:rPr>
  </w:style>
  <w:style w:type="character" w:styleId="823" w:customStyle="1">
    <w:name w:val="标题 5 字符"/>
    <w:link w:val="779"/>
    <w:uiPriority w:val="9"/>
    <w:qFormat/>
    <w:rPr>
      <w:rFonts w:ascii="Arial" w:hAnsi="Arial" w:eastAsia="Arial" w:cs="Arial"/>
      <w:b/>
      <w:bCs/>
      <w:sz w:val="24"/>
      <w:szCs w:val="24"/>
    </w:rPr>
  </w:style>
  <w:style w:type="character" w:styleId="824" w:customStyle="1">
    <w:name w:val="标题 6 字符"/>
    <w:link w:val="780"/>
    <w:uiPriority w:val="9"/>
    <w:qFormat/>
    <w:rPr>
      <w:rFonts w:ascii="Arial" w:hAnsi="Arial" w:eastAsia="Arial" w:cs="Arial"/>
      <w:b/>
      <w:bCs/>
      <w:sz w:val="22"/>
      <w:szCs w:val="22"/>
    </w:rPr>
  </w:style>
  <w:style w:type="character" w:styleId="825" w:customStyle="1">
    <w:name w:val="标题 7 字符"/>
    <w:link w:val="781"/>
    <w:uiPriority w:val="9"/>
    <w:qFormat/>
    <w:rPr>
      <w:rFonts w:ascii="Arial" w:hAnsi="Arial" w:eastAsia="Arial" w:cs="Arial"/>
      <w:b/>
      <w:bCs/>
      <w:i/>
      <w:iCs/>
      <w:sz w:val="22"/>
      <w:szCs w:val="22"/>
    </w:rPr>
  </w:style>
  <w:style w:type="character" w:styleId="826" w:customStyle="1">
    <w:name w:val="标题 8 字符"/>
    <w:link w:val="782"/>
    <w:uiPriority w:val="9"/>
    <w:qFormat/>
    <w:rPr>
      <w:rFonts w:ascii="Arial" w:hAnsi="Arial" w:eastAsia="Arial" w:cs="Arial"/>
      <w:i/>
      <w:iCs/>
      <w:sz w:val="22"/>
      <w:szCs w:val="22"/>
    </w:rPr>
  </w:style>
  <w:style w:type="character" w:styleId="827" w:customStyle="1">
    <w:name w:val="标题 9 字符"/>
    <w:link w:val="783"/>
    <w:uiPriority w:val="9"/>
    <w:qFormat/>
    <w:rPr>
      <w:rFonts w:ascii="Arial" w:hAnsi="Arial" w:eastAsia="Arial" w:cs="Arial"/>
      <w:i/>
      <w:iCs/>
      <w:sz w:val="21"/>
      <w:szCs w:val="21"/>
    </w:rPr>
  </w:style>
  <w:style w:type="paragraph" w:styleId="828">
    <w:name w:val="List Paragraph"/>
    <w:basedOn w:val="774"/>
    <w:uiPriority w:val="34"/>
    <w:qFormat/>
    <w:pPr>
      <w:contextualSpacing/>
      <w:ind w:left="720"/>
    </w:pPr>
  </w:style>
  <w:style w:type="paragraph" w:styleId="829">
    <w:name w:val="No Spacing"/>
    <w:uiPriority w:val="1"/>
    <w:qFormat/>
    <w:rPr>
      <w:rFonts w:ascii="Calibri" w:hAnsi="Calibri" w:eastAsia="宋体" w:cs="Times New Roman"/>
      <w:lang w:val="en-US" w:eastAsia="zh-CN" w:bidi="ar-SA"/>
    </w:rPr>
  </w:style>
  <w:style w:type="character" w:styleId="830" w:customStyle="1">
    <w:name w:val="标题 字符"/>
    <w:link w:val="811"/>
    <w:uiPriority w:val="10"/>
    <w:qFormat/>
    <w:rPr>
      <w:sz w:val="48"/>
      <w:szCs w:val="48"/>
    </w:rPr>
  </w:style>
  <w:style w:type="character" w:styleId="831" w:customStyle="1">
    <w:name w:val="副标题 字符"/>
    <w:link w:val="804"/>
    <w:uiPriority w:val="11"/>
    <w:qFormat/>
    <w:rPr>
      <w:sz w:val="24"/>
      <w:szCs w:val="24"/>
    </w:rPr>
  </w:style>
  <w:style w:type="paragraph" w:styleId="832">
    <w:name w:val="Quote"/>
    <w:basedOn w:val="774"/>
    <w:next w:val="774"/>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74"/>
    <w:next w:val="77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801"/>
    <w:uiPriority w:val="99"/>
    <w:qFormat/>
  </w:style>
  <w:style w:type="character" w:styleId="837" w:customStyle="1">
    <w:name w:val="Footer Char"/>
    <w:uiPriority w:val="99"/>
    <w:qFormat/>
  </w:style>
  <w:style w:type="character" w:styleId="838" w:customStyle="1">
    <w:name w:val="页脚 字符"/>
    <w:link w:val="800"/>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1"/>
    <w:link w:val="805"/>
    <w:uiPriority w:val="99"/>
    <w:qFormat/>
    <w:rPr>
      <w:sz w:val="18"/>
    </w:rPr>
  </w:style>
  <w:style w:type="character" w:styleId="965" w:customStyle="1">
    <w:name w:val="尾注文本 字符"/>
    <w:link w:val="798"/>
    <w:uiPriority w:val="99"/>
    <w:qFormat/>
    <w:rPr>
      <w:sz w:val="20"/>
    </w:rPr>
  </w:style>
  <w:style w:type="paragraph" w:styleId="966" w:customStyle="1">
    <w:name w:val="TOC 标题1"/>
    <w:uiPriority w:val="39"/>
    <w:unhideWhenUsed/>
    <w:qFormat/>
    <w:rPr>
      <w:rFonts w:ascii="Calibri" w:hAnsi="Calibri" w:eastAsia="宋体" w:cs="Times New Roman"/>
      <w:lang w:val="en-US" w:eastAsia="zh-CN" w:bidi="ar-SA"/>
    </w:rPr>
  </w:style>
  <w:style w:type="paragraph" w:styleId="967" w:customStyle="1">
    <w:name w:val="标题 11"/>
    <w:basedOn w:val="774"/>
    <w:next w:val="774"/>
    <w:link w:val="979"/>
    <w:uiPriority w:val="9"/>
    <w:qFormat/>
    <w:pPr>
      <w:jc w:val="center"/>
      <w:keepNext/>
      <w:outlineLvl w:val="0"/>
    </w:pPr>
    <w:rPr>
      <w:rFonts w:ascii="楷体_GB2312" w:hAnsi="Times New Roman" w:eastAsia="楷体_GB2312"/>
      <w:sz w:val="28"/>
      <w:szCs w:val="28"/>
    </w:rPr>
  </w:style>
  <w:style w:type="paragraph" w:styleId="968" w:customStyle="1">
    <w:name w:val="标题 21"/>
    <w:basedOn w:val="774"/>
    <w:next w:val="969"/>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9" w:customStyle="1">
    <w:name w:val="正文缩进1"/>
    <w:basedOn w:val="774"/>
    <w:link w:val="990"/>
    <w:uiPriority w:val="0"/>
    <w:qFormat/>
    <w:pPr>
      <w:ind w:firstLine="420"/>
    </w:pPr>
    <w:rPr>
      <w:szCs w:val="21"/>
    </w:rPr>
  </w:style>
  <w:style w:type="paragraph" w:styleId="970" w:customStyle="1">
    <w:name w:val="标题 31"/>
    <w:basedOn w:val="774"/>
    <w:next w:val="969"/>
    <w:link w:val="981"/>
    <w:uiPriority w:val="0"/>
    <w:qFormat/>
    <w:pPr>
      <w:keepLines/>
      <w:keepNext/>
      <w:spacing w:before="260" w:after="260" w:line="416" w:lineRule="auto"/>
      <w:outlineLvl w:val="2"/>
    </w:pPr>
    <w:rPr>
      <w:rFonts w:ascii="Times New Roman" w:hAnsi="Times New Roman"/>
      <w:b/>
      <w:bCs/>
      <w:sz w:val="32"/>
      <w:szCs w:val="32"/>
    </w:rPr>
  </w:style>
  <w:style w:type="paragraph" w:styleId="971" w:customStyle="1">
    <w:name w:val="标题 41"/>
    <w:basedOn w:val="774"/>
    <w:next w:val="969"/>
    <w:link w:val="982"/>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标题 51"/>
    <w:basedOn w:val="774"/>
    <w:next w:val="969"/>
    <w:link w:val="983"/>
    <w:uiPriority w:val="0"/>
    <w:qFormat/>
    <w:pPr>
      <w:keepNext/>
      <w:outlineLvl w:val="4"/>
    </w:pPr>
    <w:rPr>
      <w:rFonts w:ascii="宋体" w:hAnsi="Times New Roman"/>
      <w:color w:val="000000"/>
      <w:sz w:val="28"/>
      <w:szCs w:val="28"/>
    </w:rPr>
  </w:style>
  <w:style w:type="paragraph" w:styleId="973" w:customStyle="1">
    <w:name w:val="标题 61"/>
    <w:basedOn w:val="774"/>
    <w:next w:val="774"/>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customStyle="1">
    <w:name w:val="标题 71"/>
    <w:basedOn w:val="774"/>
    <w:next w:val="774"/>
    <w:link w:val="98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5" w:customStyle="1">
    <w:name w:val="标题 81"/>
    <w:basedOn w:val="774"/>
    <w:next w:val="774"/>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6" w:customStyle="1">
    <w:name w:val="标题 91"/>
    <w:basedOn w:val="774"/>
    <w:next w:val="774"/>
    <w:link w:val="987"/>
    <w:uiPriority w:val="0"/>
    <w:qFormat/>
    <w:pPr>
      <w:numPr>
        <w:ilvl w:val="8"/>
        <w:numId w:val="1"/>
      </w:numPr>
      <w:keepLines/>
      <w:keepNext/>
      <w:spacing w:before="240" w:after="64" w:line="320" w:lineRule="auto"/>
      <w:outlineLvl w:val="8"/>
    </w:pPr>
    <w:rPr>
      <w:rFonts w:ascii="Arial" w:hAnsi="Arial" w:eastAsia="黑体"/>
      <w:szCs w:val="21"/>
    </w:rPr>
  </w:style>
  <w:style w:type="character" w:styleId="977" w:customStyle="1">
    <w:name w:val="默认段落字体1"/>
    <w:uiPriority w:val="1"/>
    <w:semiHidden/>
    <w:unhideWhenUsed/>
    <w:qFormat/>
  </w:style>
  <w:style w:type="table" w:styleId="978" w:customStyle="1">
    <w:name w:val="普通表格1"/>
    <w:uiPriority w:val="99"/>
    <w:semiHidden/>
    <w:unhideWhenUsed/>
    <w:qFormat/>
    <w:tblPr>
      <w:tblCellMar>
        <w:left w:w="0" w:type="dxa"/>
        <w:top w:w="0" w:type="dxa"/>
        <w:right w:w="0" w:type="dxa"/>
        <w:bottom w:w="0" w:type="dxa"/>
      </w:tblCellMar>
    </w:tblPr>
  </w:style>
  <w:style w:type="character" w:styleId="979" w:customStyle="1">
    <w:name w:val="标题 1 Char"/>
    <w:link w:val="967"/>
    <w:uiPriority w:val="0"/>
    <w:qFormat/>
    <w:rPr>
      <w:rFonts w:ascii="楷体_GB2312" w:hAnsi="Times New Roman" w:eastAsia="楷体_GB2312" w:cs="Times New Roman"/>
      <w:sz w:val="28"/>
      <w:szCs w:val="28"/>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标题 3 Char"/>
    <w:link w:val="970"/>
    <w:uiPriority w:val="0"/>
    <w:qFormat/>
    <w:rPr>
      <w:rFonts w:ascii="Times New Roman" w:hAnsi="Times New Roman" w:eastAsia="宋体" w:cs="Times New Roman"/>
      <w:b/>
      <w:bCs/>
      <w:sz w:val="32"/>
      <w:szCs w:val="32"/>
    </w:rPr>
  </w:style>
  <w:style w:type="character" w:styleId="982" w:customStyle="1">
    <w:name w:val="标题 4 Char"/>
    <w:link w:val="971"/>
    <w:uiPriority w:val="0"/>
    <w:qFormat/>
    <w:rPr>
      <w:rFonts w:ascii="Arial" w:hAnsi="Arial" w:eastAsia="黑体" w:cs="Arial"/>
      <w:b/>
      <w:bCs/>
      <w:sz w:val="28"/>
      <w:szCs w:val="28"/>
    </w:rPr>
  </w:style>
  <w:style w:type="character" w:styleId="983" w:customStyle="1">
    <w:name w:val="标题 5 Char"/>
    <w:link w:val="972"/>
    <w:uiPriority w:val="0"/>
    <w:qFormat/>
    <w:rPr>
      <w:rFonts w:ascii="宋体" w:hAnsi="Times New Roman" w:eastAsia="宋体" w:cs="Times New Roman"/>
      <w:color w:val="000000"/>
      <w:sz w:val="28"/>
      <w:szCs w:val="28"/>
    </w:rPr>
  </w:style>
  <w:style w:type="character" w:styleId="984" w:customStyle="1">
    <w:name w:val="标题 6 Char"/>
    <w:link w:val="973"/>
    <w:uiPriority w:val="0"/>
    <w:qFormat/>
    <w:rPr>
      <w:rFonts w:ascii="Arial" w:hAnsi="Arial" w:eastAsia="黑体" w:cs="Times New Roman"/>
      <w:b/>
      <w:bCs/>
      <w:sz w:val="24"/>
      <w:szCs w:val="24"/>
    </w:rPr>
  </w:style>
  <w:style w:type="character" w:styleId="985" w:customStyle="1">
    <w:name w:val="标题 7 Char"/>
    <w:link w:val="974"/>
    <w:uiPriority w:val="0"/>
    <w:qFormat/>
    <w:rPr>
      <w:rFonts w:ascii="Times New Roman" w:hAnsi="Times New Roman" w:eastAsia="宋体" w:cs="Times New Roman"/>
      <w:b/>
      <w:bCs/>
      <w:sz w:val="24"/>
      <w:szCs w:val="24"/>
    </w:rPr>
  </w:style>
  <w:style w:type="character" w:styleId="986" w:customStyle="1">
    <w:name w:val="标题 8 Char"/>
    <w:link w:val="975"/>
    <w:uiPriority w:val="0"/>
    <w:qFormat/>
    <w:rPr>
      <w:rFonts w:ascii="Arial" w:hAnsi="Arial" w:eastAsia="黑体" w:cs="Times New Roman"/>
      <w:sz w:val="24"/>
      <w:szCs w:val="24"/>
    </w:rPr>
  </w:style>
  <w:style w:type="character" w:styleId="987" w:customStyle="1">
    <w:name w:val="标题 9 Char"/>
    <w:link w:val="976"/>
    <w:uiPriority w:val="0"/>
    <w:qFormat/>
    <w:rPr>
      <w:rFonts w:ascii="Arial" w:hAnsi="Arial" w:eastAsia="黑体" w:cs="Times New Roman"/>
      <w:szCs w:val="21"/>
    </w:rPr>
  </w:style>
  <w:style w:type="character" w:styleId="988" w:customStyle="1">
    <w:name w:val="访问过的超链接1"/>
    <w:uiPriority w:val="0"/>
    <w:qFormat/>
    <w:rPr>
      <w:color w:val="800080"/>
      <w:u w:val="single"/>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正文缩进 Char"/>
    <w:link w:val="969"/>
    <w:uiPriority w:val="0"/>
    <w:qFormat/>
    <w:rPr>
      <w:szCs w:val="21"/>
    </w:rPr>
  </w:style>
  <w:style w:type="character" w:styleId="991" w:customStyle="1">
    <w:name w:val="批注引用1"/>
    <w:uiPriority w:val="0"/>
    <w:qFormat/>
    <w:rPr>
      <w:sz w:val="21"/>
      <w:szCs w:val="21"/>
    </w:rPr>
  </w:style>
  <w:style w:type="character" w:styleId="992" w:customStyle="1">
    <w:name w:val="要点1"/>
    <w:uiPriority w:val="22"/>
    <w:qFormat/>
    <w:rPr>
      <w:b/>
      <w:bCs/>
    </w:rPr>
  </w:style>
  <w:style w:type="character" w:styleId="993" w:customStyle="1">
    <w:name w:val="超链接1"/>
    <w:uiPriority w:val="99"/>
    <w:qFormat/>
    <w:rPr>
      <w:color w:val="0000ff"/>
      <w:u w:val="single"/>
    </w:rPr>
  </w:style>
  <w:style w:type="character" w:styleId="994" w:customStyle="1">
    <w:name w:val="页码1"/>
    <w:uiPriority w:val="0"/>
    <w:qFormat/>
  </w:style>
  <w:style w:type="character" w:styleId="995" w:customStyle="1">
    <w:name w:val="二级目录 Char"/>
    <w:link w:val="996"/>
    <w:uiPriority w:val="0"/>
    <w:qFormat/>
    <w:rPr>
      <w:b/>
      <w:sz w:val="30"/>
      <w:szCs w:val="28"/>
    </w:rPr>
  </w:style>
  <w:style w:type="paragraph" w:styleId="996" w:customStyle="1">
    <w:name w:val="二级目录"/>
    <w:next w:val="774"/>
    <w:link w:val="99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74"/>
    <w:link w:val="997"/>
    <w:uiPriority w:val="0"/>
    <w:qFormat/>
    <w:pPr>
      <w:contextualSpacing/>
      <w:ind w:left="720"/>
      <w:jc w:val="left"/>
      <w:widowControl/>
    </w:pPr>
    <w:rPr>
      <w:sz w:val="24"/>
      <w:szCs w:val="24"/>
      <w:lang w:eastAsia="en-US" w:bidi="en-US"/>
    </w:rPr>
  </w:style>
  <w:style w:type="paragraph" w:styleId="999" w:customStyle="1">
    <w:name w:val="Body Text(ch)"/>
    <w:basedOn w:val="774"/>
    <w:next w:val="1000"/>
    <w:uiPriority w:val="0"/>
    <w:qFormat/>
    <w:pPr>
      <w:spacing w:after="120"/>
    </w:pPr>
    <w:rPr>
      <w:rFonts w:ascii="宋体" w:hAnsi="Arial"/>
      <w:bCs/>
      <w:iCs/>
      <w:szCs w:val="24"/>
    </w:rPr>
  </w:style>
  <w:style w:type="paragraph" w:styleId="1000" w:customStyle="1">
    <w:name w:val="正文文本1"/>
    <w:basedOn w:val="774"/>
    <w:link w:val="1005"/>
    <w:uiPriority w:val="0"/>
    <w:qFormat/>
    <w:rPr>
      <w:rFonts w:ascii="楷体_GB2312" w:hAnsi="Arial" w:eastAsia="楷体_GB2312"/>
      <w:sz w:val="28"/>
      <w:szCs w:val="28"/>
    </w:rPr>
  </w:style>
  <w:style w:type="paragraph" w:styleId="1001" w:customStyle="1">
    <w:name w:val="目录 91"/>
    <w:basedOn w:val="774"/>
    <w:next w:val="774"/>
    <w:uiPriority w:val="0"/>
    <w:semiHidden/>
    <w:qFormat/>
    <w:pPr>
      <w:ind w:left="1680"/>
      <w:jc w:val="left"/>
    </w:pPr>
    <w:rPr>
      <w:rFonts w:ascii="Times New Roman" w:hAnsi="Times New Roman"/>
      <w:szCs w:val="21"/>
    </w:rPr>
  </w:style>
  <w:style w:type="paragraph" w:styleId="1002"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正文文本缩进 21"/>
    <w:basedOn w:val="774"/>
    <w:link w:val="1004"/>
    <w:uiPriority w:val="0"/>
    <w:qFormat/>
    <w:pPr>
      <w:ind w:left="630" w:firstLine="645"/>
    </w:pPr>
    <w:rPr>
      <w:rFonts w:ascii="Arial" w:hAnsi="Arial" w:eastAsia="仿宋_GB2312" w:cs="Arial"/>
      <w:sz w:val="32"/>
      <w:szCs w:val="32"/>
    </w:rPr>
  </w:style>
  <w:style w:type="character" w:styleId="1004" w:customStyle="1">
    <w:name w:val="正文文本缩进 2 Char"/>
    <w:link w:val="1003"/>
    <w:uiPriority w:val="0"/>
    <w:qFormat/>
    <w:rPr>
      <w:rFonts w:ascii="Arial" w:hAnsi="Arial" w:eastAsia="仿宋_GB2312" w:cs="Arial"/>
      <w:sz w:val="32"/>
      <w:szCs w:val="32"/>
    </w:rPr>
  </w:style>
  <w:style w:type="character" w:styleId="1005" w:customStyle="1">
    <w:name w:val="正文文本 Char"/>
    <w:link w:val="1000"/>
    <w:uiPriority w:val="0"/>
    <w:qFormat/>
    <w:rPr>
      <w:rFonts w:ascii="楷体_GB2312" w:hAnsi="Arial" w:eastAsia="楷体_GB2312" w:cs="Times New Roman"/>
      <w:sz w:val="28"/>
      <w:szCs w:val="28"/>
    </w:rPr>
  </w:style>
  <w:style w:type="paragraph" w:styleId="1006" w:customStyle="1">
    <w:name w:val="图表目录1"/>
    <w:basedOn w:val="774"/>
    <w:next w:val="774"/>
    <w:uiPriority w:val="0"/>
    <w:semiHidden/>
    <w:qFormat/>
    <w:pPr>
      <w:ind w:left="840" w:hanging="420"/>
    </w:pPr>
    <w:rPr>
      <w:rFonts w:ascii="Times New Roman" w:hAnsi="Times New Roman"/>
      <w:szCs w:val="21"/>
    </w:rPr>
  </w:style>
  <w:style w:type="paragraph" w:styleId="1007"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74"/>
    <w:uiPriority w:val="0"/>
    <w:qFormat/>
    <w:pPr>
      <w:ind w:firstLine="200"/>
      <w:tabs>
        <w:tab w:val="left" w:pos="360" w:leader="none"/>
      </w:tabs>
    </w:pPr>
    <w:rPr>
      <w:rFonts w:ascii="Times New Roman" w:hAnsi="Times New Roman"/>
      <w:sz w:val="28"/>
      <w:szCs w:val="30"/>
    </w:rPr>
  </w:style>
  <w:style w:type="paragraph" w:styleId="1009" w:customStyle="1">
    <w:name w:val="Char1"/>
    <w:basedOn w:val="1010"/>
    <w:uiPriority w:val="0"/>
    <w:qFormat/>
    <w:rPr>
      <w:rFonts w:ascii="Tahoma" w:hAnsi="Tahoma"/>
      <w:sz w:val="24"/>
      <w:szCs w:val="24"/>
    </w:rPr>
  </w:style>
  <w:style w:type="paragraph" w:styleId="1010" w:customStyle="1">
    <w:name w:val="文档结构图1"/>
    <w:basedOn w:val="774"/>
    <w:link w:val="1034"/>
    <w:uiPriority w:val="0"/>
    <w:semiHidden/>
    <w:qFormat/>
    <w:pPr>
      <w:shd w:val="clear" w:color="auto" w:fill="000080"/>
    </w:pPr>
    <w:rPr>
      <w:rFonts w:ascii="Times New Roman" w:hAnsi="Times New Roman"/>
      <w:szCs w:val="21"/>
    </w:rPr>
  </w:style>
  <w:style w:type="paragraph" w:styleId="1011" w:customStyle="1">
    <w:name w:val="批注文字1"/>
    <w:basedOn w:val="774"/>
    <w:link w:val="1012"/>
    <w:uiPriority w:val="0"/>
    <w:unhideWhenUsed/>
    <w:qFormat/>
    <w:pPr>
      <w:jc w:val="left"/>
    </w:pPr>
  </w:style>
  <w:style w:type="character" w:styleId="1012" w:customStyle="1">
    <w:name w:val="批注文字 Char"/>
    <w:basedOn w:val="977"/>
    <w:link w:val="1011"/>
    <w:uiPriority w:val="0"/>
    <w:qFormat/>
  </w:style>
  <w:style w:type="paragraph" w:styleId="1013" w:customStyle="1">
    <w:name w:val="批注主题1"/>
    <w:basedOn w:val="1011"/>
    <w:next w:val="1011"/>
    <w:link w:val="1014"/>
    <w:uiPriority w:val="0"/>
    <w:qFormat/>
    <w:rPr>
      <w:rFonts w:ascii="Times New Roman" w:hAnsi="Times New Roman"/>
      <w:b/>
      <w:bCs/>
      <w:szCs w:val="21"/>
    </w:rPr>
  </w:style>
  <w:style w:type="character" w:styleId="1014" w:customStyle="1">
    <w:name w:val="批注主题 Char"/>
    <w:link w:val="1013"/>
    <w:uiPriority w:val="0"/>
    <w:semiHidden/>
    <w:qFormat/>
    <w:rPr>
      <w:rFonts w:ascii="Times New Roman" w:hAnsi="Times New Roman" w:eastAsia="宋体" w:cs="Times New Roman"/>
      <w:b/>
      <w:bCs/>
      <w:szCs w:val="21"/>
    </w:rPr>
  </w:style>
  <w:style w:type="paragraph" w:styleId="1015" w:customStyle="1">
    <w:name w:val="索引 11"/>
    <w:basedOn w:val="774"/>
    <w:next w:val="774"/>
    <w:uiPriority w:val="0"/>
    <w:semiHidden/>
    <w:qFormat/>
    <w:pPr>
      <w:spacing w:line="240" w:lineRule="atLeast"/>
    </w:pPr>
    <w:rPr>
      <w:rFonts w:ascii="Times New Roman" w:hAnsi="Times New Roman"/>
      <w:b/>
      <w:bCs/>
      <w:szCs w:val="21"/>
    </w:rPr>
  </w:style>
  <w:style w:type="paragraph" w:styleId="1016" w:customStyle="1">
    <w:name w:val="普通正文"/>
    <w:basedOn w:val="774"/>
    <w:link w:val="1135"/>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74"/>
    <w:uiPriority w:val="0"/>
    <w:qFormat/>
    <w:pPr>
      <w:jc w:val="left"/>
      <w:widowControl/>
    </w:pPr>
    <w:rPr>
      <w:rFonts w:ascii="Times New Roman" w:hAnsi="Times New Roman"/>
      <w:sz w:val="20"/>
      <w:szCs w:val="20"/>
      <w:lang w:val="de-DE" w:eastAsia="de-DE"/>
    </w:rPr>
  </w:style>
  <w:style w:type="paragraph" w:styleId="101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9" w:customStyle="1">
    <w:name w:val="目录 31"/>
    <w:basedOn w:val="774"/>
    <w:next w:val="774"/>
    <w:uiPriority w:val="39"/>
    <w:qFormat/>
    <w:pPr>
      <w:ind w:left="420"/>
      <w:jc w:val="left"/>
    </w:pPr>
    <w:rPr>
      <w:rFonts w:ascii="Times New Roman" w:hAnsi="Times New Roman"/>
      <w:i/>
      <w:iCs/>
      <w:szCs w:val="24"/>
    </w:rPr>
  </w:style>
  <w:style w:type="paragraph" w:styleId="1020" w:customStyle="1">
    <w:name w:val="正文文本缩进1"/>
    <w:basedOn w:val="774"/>
    <w:link w:val="1021"/>
    <w:uiPriority w:val="0"/>
    <w:unhideWhenUsed/>
    <w:qFormat/>
    <w:pPr>
      <w:ind w:left="420"/>
      <w:spacing w:after="120"/>
    </w:pPr>
  </w:style>
  <w:style w:type="character" w:styleId="1021" w:customStyle="1">
    <w:name w:val="正文文本缩进 Char"/>
    <w:basedOn w:val="977"/>
    <w:link w:val="1020"/>
    <w:uiPriority w:val="99"/>
    <w:semiHidden/>
    <w:qFormat/>
  </w:style>
  <w:style w:type="paragraph" w:styleId="1022" w:customStyle="1">
    <w:name w:val="正文首行缩进 21"/>
    <w:basedOn w:val="1020"/>
    <w:link w:val="1023"/>
    <w:uiPriority w:val="0"/>
    <w:qFormat/>
    <w:pPr>
      <w:ind w:left="0" w:firstLine="420"/>
      <w:spacing w:after="0" w:line="360" w:lineRule="auto"/>
    </w:pPr>
    <w:rPr>
      <w:rFonts w:ascii="宋体" w:hAnsi="宋体"/>
      <w:szCs w:val="20"/>
    </w:rPr>
  </w:style>
  <w:style w:type="character" w:styleId="1023" w:customStyle="1">
    <w:name w:val="正文首行缩进 2 Char"/>
    <w:link w:val="1022"/>
    <w:uiPriority w:val="0"/>
    <w:qFormat/>
    <w:rPr>
      <w:rFonts w:ascii="宋体" w:hAnsi="宋体" w:eastAsia="宋体" w:cs="Times New Roman"/>
      <w:szCs w:val="20"/>
    </w:rPr>
  </w:style>
  <w:style w:type="paragraph" w:styleId="1024" w:customStyle="1">
    <w:name w:val="正文文本缩进 31"/>
    <w:basedOn w:val="774"/>
    <w:link w:val="1025"/>
    <w:uiPriority w:val="0"/>
    <w:qFormat/>
    <w:pPr>
      <w:ind w:left="645" w:firstLine="645"/>
    </w:pPr>
    <w:rPr>
      <w:rFonts w:ascii="Arial" w:hAnsi="Arial" w:eastAsia="仿宋_GB2312" w:cs="Arial"/>
      <w:color w:val="ffff00"/>
      <w:sz w:val="32"/>
      <w:szCs w:val="32"/>
    </w:rPr>
  </w:style>
  <w:style w:type="character" w:styleId="1025" w:customStyle="1">
    <w:name w:val="正文文本缩进 3 Char"/>
    <w:link w:val="1024"/>
    <w:uiPriority w:val="0"/>
    <w:qFormat/>
    <w:rPr>
      <w:rFonts w:ascii="Arial" w:hAnsi="Arial" w:eastAsia="仿宋_GB2312" w:cs="Arial"/>
      <w:color w:val="ffff00"/>
      <w:sz w:val="32"/>
      <w:szCs w:val="32"/>
    </w:rPr>
  </w:style>
  <w:style w:type="paragraph" w:styleId="1026" w:customStyle="1">
    <w:name w:val="目录 61"/>
    <w:basedOn w:val="774"/>
    <w:next w:val="774"/>
    <w:uiPriority w:val="0"/>
    <w:semiHidden/>
    <w:qFormat/>
    <w:pPr>
      <w:ind w:left="1050"/>
      <w:jc w:val="left"/>
    </w:pPr>
    <w:rPr>
      <w:rFonts w:ascii="Times New Roman" w:hAnsi="Times New Roman"/>
      <w:szCs w:val="21"/>
    </w:rPr>
  </w:style>
  <w:style w:type="paragraph" w:styleId="1027"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Char Char Char Char"/>
    <w:basedOn w:val="1010"/>
    <w:uiPriority w:val="0"/>
    <w:qFormat/>
    <w:pPr>
      <w:spacing w:line="360" w:lineRule="auto"/>
    </w:pPr>
    <w:rPr>
      <w:rFonts w:ascii="Tahoma" w:hAnsi="Tahoma"/>
      <w:sz w:val="24"/>
      <w:szCs w:val="24"/>
    </w:rPr>
  </w:style>
  <w:style w:type="paragraph" w:styleId="1029" w:customStyle="1">
    <w:name w:val="正文文本 31"/>
    <w:basedOn w:val="774"/>
    <w:link w:val="1030"/>
    <w:uiPriority w:val="0"/>
    <w:qFormat/>
    <w:rPr>
      <w:rFonts w:ascii="仿宋_GB2312" w:hAnsi="Arial" w:eastAsia="仿宋_GB2312"/>
      <w:sz w:val="32"/>
      <w:szCs w:val="32"/>
    </w:rPr>
  </w:style>
  <w:style w:type="character" w:styleId="1030" w:customStyle="1">
    <w:name w:val="正文文本 3 Char"/>
    <w:link w:val="1029"/>
    <w:uiPriority w:val="0"/>
    <w:qFormat/>
    <w:rPr>
      <w:rFonts w:ascii="仿宋_GB2312" w:hAnsi="Arial" w:eastAsia="仿宋_GB2312" w:cs="Times New Roman"/>
      <w:sz w:val="32"/>
      <w:szCs w:val="32"/>
    </w:rPr>
  </w:style>
  <w:style w:type="paragraph" w:styleId="1031" w:customStyle="1">
    <w:name w:val="普通(网站)1"/>
    <w:basedOn w:val="774"/>
    <w:uiPriority w:val="99"/>
    <w:qFormat/>
    <w:pPr>
      <w:jc w:val="left"/>
      <w:spacing w:before="100" w:beforeAutospacing="1" w:after="100" w:afterAutospacing="1"/>
      <w:widowControl/>
    </w:pPr>
    <w:rPr>
      <w:rFonts w:ascii="宋体" w:hAnsi="宋体" w:cs="宋体"/>
      <w:sz w:val="24"/>
      <w:szCs w:val="24"/>
    </w:rPr>
  </w:style>
  <w:style w:type="paragraph" w:styleId="1032" w:customStyle="1">
    <w:name w:val="目录 41"/>
    <w:basedOn w:val="774"/>
    <w:next w:val="774"/>
    <w:uiPriority w:val="0"/>
    <w:semiHidden/>
    <w:qFormat/>
    <w:pPr>
      <w:ind w:left="630"/>
      <w:jc w:val="left"/>
    </w:pPr>
    <w:rPr>
      <w:rFonts w:ascii="Times New Roman" w:hAnsi="Times New Roman"/>
      <w:szCs w:val="21"/>
    </w:rPr>
  </w:style>
  <w:style w:type="paragraph" w:styleId="1033" w:customStyle="1">
    <w:name w:val="列出段落2"/>
    <w:basedOn w:val="774"/>
    <w:link w:val="1112"/>
    <w:uiPriority w:val="34"/>
    <w:qFormat/>
    <w:pPr>
      <w:contextualSpacing/>
      <w:ind w:left="720"/>
      <w:jc w:val="left"/>
      <w:widowControl/>
    </w:pPr>
    <w:rPr>
      <w:sz w:val="24"/>
      <w:szCs w:val="24"/>
      <w:lang w:eastAsia="en-US" w:bidi="en-US"/>
    </w:rPr>
  </w:style>
  <w:style w:type="character" w:styleId="1034" w:customStyle="1">
    <w:name w:val="文档结构图 Char"/>
    <w:link w:val="1010"/>
    <w:uiPriority w:val="0"/>
    <w:semiHidden/>
    <w:qFormat/>
    <w:rPr>
      <w:rFonts w:ascii="Times New Roman" w:hAnsi="Times New Roman" w:eastAsia="宋体" w:cs="Times New Roman"/>
      <w:szCs w:val="21"/>
      <w:shd w:val="clear" w:color="auto" w:fill="000080"/>
    </w:rPr>
  </w:style>
  <w:style w:type="paragraph" w:styleId="1035" w:customStyle="1">
    <w:name w:val="4"/>
    <w:basedOn w:val="774"/>
    <w:next w:val="1024"/>
    <w:uiPriority w:val="0"/>
    <w:qFormat/>
    <w:pPr>
      <w:ind w:firstLine="420"/>
      <w:spacing w:line="360" w:lineRule="auto"/>
    </w:pPr>
    <w:rPr>
      <w:rFonts w:ascii="Times New Roman" w:hAnsi="Times New Roman"/>
      <w:color w:val="ff0000"/>
      <w:sz w:val="24"/>
      <w:szCs w:val="24"/>
    </w:rPr>
  </w:style>
  <w:style w:type="paragraph" w:styleId="1036"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037" w:customStyle="1">
    <w:name w:val="Char Char Char Char Char Char Char Char Char Char"/>
    <w:basedOn w:val="774"/>
    <w:uiPriority w:val="0"/>
    <w:qFormat/>
    <w:pPr>
      <w:spacing w:line="360" w:lineRule="auto"/>
    </w:pPr>
    <w:rPr>
      <w:rFonts w:ascii="Times New Roman" w:hAnsi="Times New Roman"/>
      <w:sz w:val="24"/>
      <w:szCs w:val="20"/>
    </w:rPr>
  </w:style>
  <w:style w:type="paragraph" w:styleId="1038" w:customStyle="1">
    <w:name w:val="列表 21"/>
    <w:basedOn w:val="774"/>
    <w:uiPriority w:val="0"/>
    <w:qFormat/>
    <w:pPr>
      <w:ind w:left="100" w:hanging="200"/>
    </w:pPr>
    <w:rPr>
      <w:rFonts w:ascii="Times New Roman" w:hAnsi="Times New Roman"/>
      <w:szCs w:val="21"/>
    </w:rPr>
  </w:style>
  <w:style w:type="paragraph" w:styleId="1039" w:customStyle="1">
    <w:name w:val="正文首行缩进1"/>
    <w:basedOn w:val="774"/>
    <w:link w:val="1040"/>
    <w:uiPriority w:val="0"/>
    <w:qFormat/>
    <w:pPr>
      <w:ind w:firstLine="200"/>
      <w:spacing w:line="360" w:lineRule="auto"/>
    </w:pPr>
    <w:rPr>
      <w:rFonts w:ascii="仿宋_GB2312" w:hAnsi="Times New Roman" w:eastAsia="仿宋_GB2312"/>
      <w:sz w:val="30"/>
      <w:szCs w:val="30"/>
    </w:rPr>
  </w:style>
  <w:style w:type="character" w:styleId="1040" w:customStyle="1">
    <w:name w:val="正文首行缩进 Char"/>
    <w:link w:val="1039"/>
    <w:uiPriority w:val="0"/>
    <w:qFormat/>
    <w:rPr>
      <w:rFonts w:ascii="仿宋_GB2312" w:hAnsi="Times New Roman" w:eastAsia="仿宋_GB2312" w:cs="Times New Roman"/>
      <w:sz w:val="30"/>
      <w:szCs w:val="30"/>
    </w:rPr>
  </w:style>
  <w:style w:type="paragraph" w:styleId="1041" w:customStyle="1">
    <w:name w:val="样式1"/>
    <w:basedOn w:val="774"/>
    <w:uiPriority w:val="0"/>
    <w:qFormat/>
    <w:pPr>
      <w:numPr>
        <w:ilvl w:val="0"/>
        <w:numId w:val="3"/>
      </w:numPr>
    </w:pPr>
    <w:rPr>
      <w:rFonts w:ascii="宋体" w:hAnsi="宋体"/>
      <w:szCs w:val="21"/>
    </w:rPr>
  </w:style>
  <w:style w:type="paragraph" w:styleId="1042"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043" w:customStyle="1">
    <w:name w:val="目录 51"/>
    <w:basedOn w:val="774"/>
    <w:next w:val="774"/>
    <w:uiPriority w:val="0"/>
    <w:semiHidden/>
    <w:qFormat/>
    <w:pPr>
      <w:ind w:left="840"/>
      <w:jc w:val="left"/>
    </w:pPr>
    <w:rPr>
      <w:rFonts w:ascii="Times New Roman" w:hAnsi="Times New Roman"/>
      <w:szCs w:val="21"/>
    </w:rPr>
  </w:style>
  <w:style w:type="paragraph" w:styleId="1044" w:customStyle="1">
    <w:name w:val="目录 11"/>
    <w:basedOn w:val="1045"/>
    <w:next w:val="1047"/>
    <w:uiPriority w:val="39"/>
    <w:qFormat/>
    <w:pPr>
      <w:jc w:val="left"/>
      <w:spacing w:before="120" w:after="120" w:line="400" w:lineRule="exact"/>
      <w:tabs>
        <w:tab w:val="right" w:pos="8720" w:leader="dot"/>
      </w:tabs>
    </w:pPr>
    <w:rPr>
      <w:rFonts w:ascii="宋体" w:hAnsi="宋体"/>
      <w:caps/>
      <w:sz w:val="24"/>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无间隔11"/>
    <w:uiPriority w:val="0"/>
    <w:qFormat/>
    <w:rPr>
      <w:rFonts w:ascii="Times New Roman" w:hAnsi="Times New Roman" w:eastAsia="宋体" w:cs="Times New Roman"/>
      <w:sz w:val="22"/>
      <w:szCs w:val="22"/>
      <w:lang w:val="en-US" w:eastAsia="en-US" w:bidi="ar-SA"/>
    </w:rPr>
  </w:style>
  <w:style w:type="paragraph" w:styleId="1047" w:customStyle="1">
    <w:name w:val="正文1"/>
    <w:next w:val="104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48" w:customStyle="1">
    <w:name w:val="纯文本1"/>
    <w:basedOn w:val="774"/>
    <w:link w:val="1049"/>
    <w:uiPriority w:val="0"/>
    <w:qFormat/>
    <w:rPr>
      <w:rFonts w:ascii="宋体" w:hAnsi="Courier New" w:cs="Courier New"/>
      <w:szCs w:val="21"/>
    </w:rPr>
  </w:style>
  <w:style w:type="character" w:styleId="1049" w:customStyle="1">
    <w:name w:val="纯文本 Char"/>
    <w:link w:val="1048"/>
    <w:uiPriority w:val="0"/>
    <w:qFormat/>
    <w:rPr>
      <w:rFonts w:ascii="宋体" w:hAnsi="Courier New" w:eastAsia="宋体" w:cs="Courier New"/>
      <w:szCs w:val="21"/>
    </w:rPr>
  </w:style>
  <w:style w:type="paragraph" w:styleId="1050" w:customStyle="1">
    <w:name w:val="批注框文本1"/>
    <w:basedOn w:val="774"/>
    <w:link w:val="1051"/>
    <w:uiPriority w:val="0"/>
    <w:qFormat/>
    <w:rPr>
      <w:rFonts w:ascii="Times New Roman" w:hAnsi="Times New Roman"/>
      <w:sz w:val="18"/>
      <w:szCs w:val="18"/>
    </w:rPr>
  </w:style>
  <w:style w:type="character" w:styleId="1051" w:customStyle="1">
    <w:name w:val="批注框文本 Char"/>
    <w:link w:val="1050"/>
    <w:uiPriority w:val="0"/>
    <w:semiHidden/>
    <w:qFormat/>
    <w:rPr>
      <w:rFonts w:ascii="Times New Roman" w:hAnsi="Times New Roman" w:eastAsia="宋体" w:cs="Times New Roman"/>
      <w:sz w:val="18"/>
      <w:szCs w:val="18"/>
    </w:rPr>
  </w:style>
  <w:style w:type="paragraph" w:styleId="1052"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列表1"/>
    <w:basedOn w:val="774"/>
    <w:uiPriority w:val="0"/>
    <w:qFormat/>
    <w:pPr>
      <w:ind w:left="200" w:hanging="200"/>
    </w:pPr>
    <w:rPr>
      <w:rFonts w:ascii="Times New Roman" w:hAnsi="Times New Roman"/>
      <w:szCs w:val="21"/>
    </w:rPr>
  </w:style>
  <w:style w:type="paragraph" w:styleId="1054"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5" w:customStyle="1">
    <w:name w:val="日期1"/>
    <w:basedOn w:val="774"/>
    <w:next w:val="774"/>
    <w:link w:val="1056"/>
    <w:uiPriority w:val="0"/>
    <w:qFormat/>
    <w:rPr>
      <w:rFonts w:ascii="Times New Roman" w:hAnsi="Times New Roman"/>
      <w:sz w:val="24"/>
      <w:szCs w:val="24"/>
    </w:rPr>
  </w:style>
  <w:style w:type="character" w:styleId="1056" w:customStyle="1">
    <w:name w:val="日期 Char"/>
    <w:link w:val="1055"/>
    <w:uiPriority w:val="0"/>
    <w:qFormat/>
    <w:rPr>
      <w:rFonts w:ascii="Times New Roman" w:hAnsi="Times New Roman" w:eastAsia="宋体" w:cs="Times New Roman"/>
      <w:sz w:val="24"/>
      <w:szCs w:val="24"/>
    </w:rPr>
  </w:style>
  <w:style w:type="paragraph" w:styleId="1057" w:customStyle="1">
    <w:name w:val="标题3"/>
    <w:basedOn w:val="774"/>
    <w:next w:val="774"/>
    <w:uiPriority w:val="0"/>
    <w:qFormat/>
    <w:pPr>
      <w:ind w:firstLine="624"/>
      <w:spacing w:line="590" w:lineRule="atLeast"/>
    </w:pPr>
    <w:rPr>
      <w:rFonts w:ascii="方正黑体_GBK" w:hAnsi="Times New Roman" w:eastAsia="方正黑体_GBK"/>
      <w:sz w:val="32"/>
      <w:szCs w:val="32"/>
    </w:rPr>
  </w:style>
  <w:style w:type="paragraph" w:styleId="1058"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61" w:customStyle="1">
    <w:name w:val="正文文本 21"/>
    <w:basedOn w:val="774"/>
    <w:link w:val="1062"/>
    <w:uiPriority w:val="0"/>
    <w:qFormat/>
    <w:pPr>
      <w:jc w:val="center"/>
      <w:widowControl/>
    </w:pPr>
    <w:rPr>
      <w:rFonts w:ascii="楷体_GB2312" w:hAnsi="Times New Roman" w:eastAsia="楷体_GB2312"/>
      <w:sz w:val="28"/>
      <w:szCs w:val="28"/>
    </w:rPr>
  </w:style>
  <w:style w:type="character" w:styleId="1062" w:customStyle="1">
    <w:name w:val="正文文本 2 Char"/>
    <w:link w:val="1061"/>
    <w:uiPriority w:val="0"/>
    <w:qFormat/>
    <w:rPr>
      <w:rFonts w:ascii="楷体_GB2312" w:hAnsi="Times New Roman" w:eastAsia="楷体_GB2312" w:cs="Times New Roman"/>
      <w:sz w:val="28"/>
      <w:szCs w:val="28"/>
    </w:rPr>
  </w:style>
  <w:style w:type="paragraph" w:styleId="1063" w:customStyle="1">
    <w:name w:val="列表 31"/>
    <w:basedOn w:val="774"/>
    <w:uiPriority w:val="0"/>
    <w:qFormat/>
    <w:pPr>
      <w:ind w:left="100" w:hanging="200"/>
    </w:pPr>
    <w:rPr>
      <w:rFonts w:ascii="Times New Roman" w:hAnsi="Times New Roman"/>
      <w:szCs w:val="21"/>
    </w:rPr>
  </w:style>
  <w:style w:type="paragraph" w:styleId="1064" w:customStyle="1">
    <w:name w:val="目录 71"/>
    <w:basedOn w:val="774"/>
    <w:next w:val="774"/>
    <w:uiPriority w:val="0"/>
    <w:semiHidden/>
    <w:qFormat/>
    <w:pPr>
      <w:ind w:left="1260"/>
      <w:jc w:val="left"/>
    </w:pPr>
    <w:rPr>
      <w:rFonts w:ascii="Times New Roman" w:hAnsi="Times New Roman"/>
      <w:szCs w:val="21"/>
    </w:rPr>
  </w:style>
  <w:style w:type="paragraph" w:styleId="1065" w:customStyle="1">
    <w:name w:val="目录 21"/>
    <w:basedOn w:val="774"/>
    <w:next w:val="774"/>
    <w:uiPriority w:val="39"/>
    <w:qFormat/>
    <w:pPr>
      <w:ind w:left="210"/>
      <w:jc w:val="left"/>
      <w:tabs>
        <w:tab w:val="right" w:pos="8719" w:leader="none"/>
      </w:tabs>
    </w:pPr>
    <w:rPr>
      <w:rFonts w:ascii="Times New Roman" w:hAnsi="Times New Roman"/>
      <w:smallCaps/>
      <w:szCs w:val="24"/>
    </w:rPr>
  </w:style>
  <w:style w:type="paragraph" w:styleId="1066"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页眉1"/>
    <w:basedOn w:val="774"/>
    <w:link w:val="1068"/>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68" w:customStyle="1">
    <w:name w:val="页眉 Char"/>
    <w:link w:val="1067"/>
    <w:uiPriority w:val="0"/>
    <w:qFormat/>
    <w:rPr>
      <w:rFonts w:ascii="Times New Roman" w:hAnsi="Times New Roman"/>
      <w:sz w:val="18"/>
      <w:szCs w:val="18"/>
    </w:rPr>
  </w:style>
  <w:style w:type="paragraph" w:styleId="1069" w:customStyle="1">
    <w:name w:val="页脚1"/>
    <w:basedOn w:val="774"/>
    <w:link w:val="1070"/>
    <w:uiPriority w:val="0"/>
    <w:qFormat/>
    <w:pPr>
      <w:jc w:val="left"/>
      <w:tabs>
        <w:tab w:val="center" w:pos="4153" w:leader="none"/>
        <w:tab w:val="right" w:pos="8306" w:leader="none"/>
      </w:tabs>
    </w:pPr>
    <w:rPr>
      <w:rFonts w:ascii="Times New Roman" w:hAnsi="Times New Roman"/>
      <w:sz w:val="18"/>
      <w:szCs w:val="18"/>
    </w:rPr>
  </w:style>
  <w:style w:type="character" w:styleId="1070" w:customStyle="1">
    <w:name w:val="页脚 Char"/>
    <w:link w:val="1069"/>
    <w:uiPriority w:val="0"/>
    <w:qFormat/>
    <w:rPr>
      <w:rFonts w:ascii="Times New Roman" w:hAnsi="Times New Roman" w:eastAsia="宋体" w:cs="Times New Roman"/>
      <w:sz w:val="18"/>
      <w:szCs w:val="18"/>
    </w:rPr>
  </w:style>
  <w:style w:type="paragraph" w:styleId="1071" w:customStyle="1">
    <w:name w:val="Char Char Char Char Char Char Char Char1"/>
    <w:basedOn w:val="774"/>
    <w:uiPriority w:val="0"/>
    <w:qFormat/>
    <w:pPr>
      <w:jc w:val="left"/>
      <w:spacing w:after="160" w:line="240" w:lineRule="exact"/>
      <w:widowControl/>
    </w:pPr>
    <w:rPr>
      <w:rFonts w:ascii="Verdana" w:hAnsi="Verdana"/>
      <w:sz w:val="20"/>
      <w:szCs w:val="20"/>
      <w:lang w:eastAsia="en-US"/>
    </w:rPr>
  </w:style>
  <w:style w:type="paragraph" w:styleId="1072" w:customStyle="1">
    <w:name w:val="目录 81"/>
    <w:basedOn w:val="774"/>
    <w:next w:val="774"/>
    <w:uiPriority w:val="0"/>
    <w:semiHidden/>
    <w:qFormat/>
    <w:pPr>
      <w:ind w:left="1470"/>
      <w:jc w:val="left"/>
    </w:pPr>
    <w:rPr>
      <w:rFonts w:ascii="Times New Roman" w:hAnsi="Times New Roman"/>
      <w:szCs w:val="21"/>
    </w:rPr>
  </w:style>
  <w:style w:type="paragraph" w:styleId="1073"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1"/>
    <w:basedOn w:val="1010"/>
    <w:uiPriority w:val="0"/>
    <w:qFormat/>
    <w:pPr>
      <w:spacing w:line="360" w:lineRule="auto"/>
    </w:pPr>
    <w:rPr>
      <w:rFonts w:ascii="Tahoma" w:hAnsi="Tahoma"/>
      <w:sz w:val="24"/>
      <w:szCs w:val="24"/>
    </w:rPr>
  </w:style>
  <w:style w:type="paragraph" w:styleId="1075" w:customStyle="1">
    <w:name w:val="table_1stline"/>
    <w:basedOn w:val="774"/>
    <w:uiPriority w:val="0"/>
    <w:qFormat/>
    <w:pPr>
      <w:jc w:val="left"/>
      <w:spacing w:before="120"/>
      <w:widowControl/>
    </w:pPr>
    <w:rPr>
      <w:rFonts w:ascii="Times New Roman" w:hAnsi="Times New Roman"/>
      <w:bCs/>
      <w:sz w:val="20"/>
      <w:szCs w:val="20"/>
      <w:lang w:val="de-DE" w:eastAsia="de-DE"/>
    </w:rPr>
  </w:style>
  <w:style w:type="paragraph" w:styleId="1076"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74"/>
    <w:next w:val="77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8" w:customStyle="1">
    <w:name w:val="修订1"/>
    <w:uiPriority w:val="99"/>
    <w:semiHidden/>
    <w:qFormat/>
    <w:rPr>
      <w:rFonts w:ascii="Times New Roman" w:hAnsi="Times New Roman" w:eastAsia="宋体" w:cs="Times New Roman"/>
      <w:sz w:val="21"/>
      <w:szCs w:val="21"/>
      <w:lang w:val="en-US" w:eastAsia="zh-CN" w:bidi="ar-SA"/>
    </w:rPr>
  </w:style>
  <w:style w:type="table" w:styleId="1079" w:customStyle="1">
    <w:name w:val="网格型1"/>
    <w:basedOn w:val="978"/>
    <w:uiPriority w:val="0"/>
    <w:qFormat/>
    <w:pPr>
      <w:jc w:val="both"/>
      <w:widowControl w:val="off"/>
    </w:pPr>
    <w:tblPr/>
  </w:style>
  <w:style w:type="paragraph" w:styleId="10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1" w:customStyle="1">
    <w:name w:val="索引 81"/>
    <w:basedOn w:val="774"/>
    <w:next w:val="774"/>
    <w:uiPriority w:val="0"/>
    <w:semiHidden/>
    <w:qFormat/>
    <w:pPr>
      <w:ind w:left="1400"/>
    </w:pPr>
    <w:rPr>
      <w:rFonts w:ascii="Times New Roman" w:hAnsi="Times New Roman"/>
      <w:szCs w:val="20"/>
    </w:rPr>
  </w:style>
  <w:style w:type="paragraph" w:styleId="1082" w:customStyle="1">
    <w:name w:val="索引 51"/>
    <w:basedOn w:val="774"/>
    <w:next w:val="774"/>
    <w:uiPriority w:val="0"/>
    <w:semiHidden/>
    <w:qFormat/>
    <w:pPr>
      <w:ind w:left="800"/>
    </w:pPr>
    <w:rPr>
      <w:rFonts w:ascii="Times New Roman" w:hAnsi="Times New Roman"/>
      <w:szCs w:val="20"/>
    </w:rPr>
  </w:style>
  <w:style w:type="paragraph" w:styleId="1083" w:customStyle="1">
    <w:name w:val="索引 61"/>
    <w:basedOn w:val="774"/>
    <w:next w:val="774"/>
    <w:uiPriority w:val="0"/>
    <w:semiHidden/>
    <w:qFormat/>
    <w:pPr>
      <w:ind w:left="1000"/>
    </w:pPr>
    <w:rPr>
      <w:rFonts w:ascii="Times New Roman" w:hAnsi="Times New Roman"/>
      <w:szCs w:val="20"/>
    </w:rPr>
  </w:style>
  <w:style w:type="paragraph" w:styleId="1084" w:customStyle="1">
    <w:name w:val="寄信人地址1"/>
    <w:basedOn w:val="774"/>
    <w:uiPriority w:val="0"/>
    <w:qFormat/>
    <w:rPr>
      <w:rFonts w:ascii="Arial" w:hAnsi="Arial"/>
      <w:szCs w:val="20"/>
    </w:rPr>
  </w:style>
  <w:style w:type="paragraph" w:styleId="1085" w:customStyle="1">
    <w:name w:val="文本块1"/>
    <w:basedOn w:val="774"/>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86" w:customStyle="1">
    <w:name w:val="索引 41"/>
    <w:basedOn w:val="774"/>
    <w:next w:val="774"/>
    <w:uiPriority w:val="0"/>
    <w:semiHidden/>
    <w:qFormat/>
    <w:pPr>
      <w:ind w:left="600"/>
    </w:pPr>
    <w:rPr>
      <w:rFonts w:ascii="Times New Roman" w:hAnsi="Times New Roman"/>
      <w:szCs w:val="20"/>
    </w:rPr>
  </w:style>
  <w:style w:type="paragraph" w:styleId="1087" w:customStyle="1">
    <w:name w:val="索引 31"/>
    <w:basedOn w:val="774"/>
    <w:next w:val="774"/>
    <w:uiPriority w:val="0"/>
    <w:semiHidden/>
    <w:qFormat/>
    <w:pPr>
      <w:ind w:left="400"/>
    </w:pPr>
    <w:rPr>
      <w:rFonts w:ascii="Times New Roman" w:hAnsi="Times New Roman"/>
      <w:szCs w:val="20"/>
    </w:rPr>
  </w:style>
  <w:style w:type="paragraph" w:styleId="1088" w:customStyle="1">
    <w:name w:val="签名1"/>
    <w:basedOn w:val="774"/>
    <w:link w:val="1109"/>
    <w:uiPriority w:val="0"/>
    <w:qFormat/>
    <w:pPr>
      <w:jc w:val="center"/>
      <w:spacing w:after="600" w:line="312" w:lineRule="atLeast"/>
    </w:pPr>
    <w:rPr>
      <w:rFonts w:ascii="Times New Roman" w:hAnsi="Times New Roman" w:eastAsia="仿宋_GB2312"/>
      <w:sz w:val="24"/>
      <w:szCs w:val="20"/>
    </w:rPr>
  </w:style>
  <w:style w:type="character" w:styleId="1089" w:customStyle="1">
    <w:name w:val="签名 字符"/>
    <w:uiPriority w:val="0"/>
    <w:qFormat/>
    <w:rPr>
      <w:sz w:val="21"/>
      <w:szCs w:val="22"/>
    </w:rPr>
  </w:style>
  <w:style w:type="paragraph" w:styleId="1090" w:customStyle="1">
    <w:name w:val="索引标题1"/>
    <w:basedOn w:val="774"/>
    <w:next w:val="1015"/>
    <w:uiPriority w:val="0"/>
    <w:semiHidden/>
    <w:qFormat/>
    <w:rPr>
      <w:rFonts w:ascii="Times New Roman" w:hAnsi="Times New Roman"/>
      <w:szCs w:val="20"/>
    </w:rPr>
  </w:style>
  <w:style w:type="paragraph" w:styleId="1091" w:customStyle="1">
    <w:name w:val="脚注文本1"/>
    <w:basedOn w:val="774"/>
    <w:link w:val="1092"/>
    <w:uiPriority w:val="0"/>
    <w:qFormat/>
    <w:pPr>
      <w:jc w:val="left"/>
    </w:pPr>
    <w:rPr>
      <w:rFonts w:ascii="Times New Roman" w:hAnsi="Times New Roman"/>
      <w:sz w:val="18"/>
      <w:szCs w:val="18"/>
    </w:rPr>
  </w:style>
  <w:style w:type="character" w:styleId="1092" w:customStyle="1">
    <w:name w:val="脚注文本 字符"/>
    <w:link w:val="1091"/>
    <w:uiPriority w:val="0"/>
    <w:qFormat/>
    <w:rPr>
      <w:rFonts w:ascii="Times New Roman" w:hAnsi="Times New Roman"/>
      <w:sz w:val="18"/>
      <w:szCs w:val="18"/>
    </w:rPr>
  </w:style>
  <w:style w:type="paragraph" w:styleId="1093" w:customStyle="1">
    <w:name w:val="索引 71"/>
    <w:basedOn w:val="774"/>
    <w:next w:val="774"/>
    <w:uiPriority w:val="0"/>
    <w:semiHidden/>
    <w:qFormat/>
    <w:pPr>
      <w:ind w:left="1200"/>
    </w:pPr>
    <w:rPr>
      <w:rFonts w:ascii="Times New Roman" w:hAnsi="Times New Roman"/>
      <w:szCs w:val="20"/>
    </w:rPr>
  </w:style>
  <w:style w:type="paragraph" w:styleId="1094" w:customStyle="1">
    <w:name w:val="索引 91"/>
    <w:basedOn w:val="774"/>
    <w:next w:val="774"/>
    <w:uiPriority w:val="0"/>
    <w:semiHidden/>
    <w:qFormat/>
    <w:pPr>
      <w:ind w:left="1600"/>
    </w:pPr>
    <w:rPr>
      <w:rFonts w:ascii="Times New Roman" w:hAnsi="Times New Roman"/>
      <w:szCs w:val="20"/>
    </w:rPr>
  </w:style>
  <w:style w:type="paragraph" w:styleId="1095" w:customStyle="1">
    <w:name w:val="HTML 预设格式1"/>
    <w:basedOn w:val="774"/>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96" w:customStyle="1">
    <w:name w:val="HTML 预设格式 字符"/>
    <w:link w:val="1095"/>
    <w:uiPriority w:val="0"/>
    <w:qFormat/>
    <w:rPr>
      <w:rFonts w:ascii="Arial" w:hAnsi="Arial"/>
      <w:sz w:val="24"/>
      <w:szCs w:val="24"/>
    </w:rPr>
  </w:style>
  <w:style w:type="paragraph" w:styleId="1097" w:customStyle="1">
    <w:name w:val="索引 21"/>
    <w:basedOn w:val="774"/>
    <w:next w:val="774"/>
    <w:uiPriority w:val="0"/>
    <w:semiHidden/>
    <w:qFormat/>
    <w:pPr>
      <w:ind w:left="200"/>
    </w:pPr>
    <w:rPr>
      <w:rFonts w:ascii="Times New Roman" w:hAnsi="Times New Roman"/>
      <w:szCs w:val="20"/>
    </w:rPr>
  </w:style>
  <w:style w:type="character" w:styleId="1098" w:customStyle="1">
    <w:name w:val="强调1"/>
    <w:uiPriority w:val="20"/>
    <w:qFormat/>
    <w:rPr>
      <w:i/>
      <w:iCs/>
    </w:rPr>
  </w:style>
  <w:style w:type="character" w:styleId="1099" w:customStyle="1">
    <w:name w:val="脚注引用1"/>
    <w:uiPriority w:val="0"/>
    <w:unhideWhenUsed/>
    <w:qFormat/>
    <w:rPr>
      <w:vertAlign w:val="superscript"/>
    </w:rPr>
  </w:style>
  <w:style w:type="character" w:styleId="1100" w:customStyle="1">
    <w:name w:val="标题 1 字符"/>
    <w:uiPriority w:val="9"/>
    <w:qFormat/>
    <w:rPr>
      <w:rFonts w:ascii="宋体" w:hAnsi="宋体"/>
      <w:b/>
      <w:sz w:val="36"/>
    </w:rPr>
  </w:style>
  <w:style w:type="character" w:styleId="1101" w:customStyle="1">
    <w:name w:val="标题 2 字符2"/>
    <w:uiPriority w:val="0"/>
    <w:qFormat/>
    <w:rPr>
      <w:rFonts w:eastAsia="楷体_GB2312"/>
      <w:b/>
      <w:bCs/>
      <w:sz w:val="28"/>
      <w:szCs w:val="28"/>
    </w:rPr>
  </w:style>
  <w:style w:type="character" w:styleId="1102" w:customStyle="1">
    <w:name w:val="正文缩进 字符"/>
    <w:uiPriority w:val="0"/>
    <w:qFormat/>
    <w:rPr>
      <w:sz w:val="21"/>
    </w:rPr>
  </w:style>
  <w:style w:type="character" w:styleId="1103" w:customStyle="1">
    <w:name w:val="批注文字 字符1"/>
    <w:uiPriority w:val="0"/>
    <w:qFormat/>
    <w:rPr>
      <w:sz w:val="21"/>
    </w:rPr>
  </w:style>
  <w:style w:type="character" w:styleId="1104" w:customStyle="1">
    <w:name w:val="正文文本 字符2"/>
    <w:uiPriority w:val="0"/>
    <w:qFormat/>
    <w:rPr>
      <w:rFonts w:ascii="楷体_GB2312" w:hAnsi="Arial" w:eastAsia="楷体_GB2312"/>
      <w:sz w:val="28"/>
    </w:rPr>
  </w:style>
  <w:style w:type="character" w:styleId="1105" w:customStyle="1">
    <w:name w:val="正文文本缩进 字符"/>
    <w:uiPriority w:val="0"/>
    <w:qFormat/>
    <w:rPr>
      <w:rFonts w:ascii="宋体"/>
      <w:sz w:val="28"/>
    </w:rPr>
  </w:style>
  <w:style w:type="character" w:styleId="1106" w:customStyle="1">
    <w:name w:val="纯文本 字符"/>
    <w:uiPriority w:val="0"/>
    <w:qFormat/>
    <w:rPr>
      <w:rFonts w:ascii="宋体" w:hAnsi="Courier New"/>
      <w:sz w:val="21"/>
    </w:rPr>
  </w:style>
  <w:style w:type="character" w:styleId="1107" w:customStyle="1">
    <w:name w:val="日期 字符1"/>
    <w:uiPriority w:val="0"/>
    <w:qFormat/>
    <w:rPr>
      <w:rFonts w:ascii="宋体"/>
      <w:sz w:val="28"/>
    </w:rPr>
  </w:style>
  <w:style w:type="character" w:styleId="1108" w:customStyle="1">
    <w:name w:val="批注框文本 字符"/>
    <w:uiPriority w:val="0"/>
    <w:qFormat/>
    <w:rPr>
      <w:sz w:val="18"/>
      <w:szCs w:val="18"/>
    </w:rPr>
  </w:style>
  <w:style w:type="character" w:styleId="1109" w:customStyle="1">
    <w:name w:val="签名 字符1"/>
    <w:link w:val="1088"/>
    <w:uiPriority w:val="0"/>
    <w:qFormat/>
    <w:rPr>
      <w:rFonts w:ascii="Times New Roman" w:hAnsi="Times New Roman" w:eastAsia="仿宋_GB2312"/>
      <w:sz w:val="24"/>
    </w:rPr>
  </w:style>
  <w:style w:type="character" w:styleId="1110" w:customStyle="1">
    <w:name w:val="批注主题 字符"/>
    <w:uiPriority w:val="0"/>
    <w:qFormat/>
    <w:rPr>
      <w:b/>
      <w:bCs/>
      <w:sz w:val="21"/>
    </w:rPr>
  </w:style>
  <w:style w:type="character" w:styleId="1111" w:customStyle="1">
    <w:name w:val="正文文本 字符"/>
    <w:uiPriority w:val="0"/>
    <w:qFormat/>
    <w:rPr>
      <w:rFonts w:ascii="楷体_GB2312" w:hAnsi="Arial" w:eastAsia="楷体_GB2312"/>
      <w:sz w:val="28"/>
    </w:rPr>
  </w:style>
  <w:style w:type="character" w:styleId="1112" w:customStyle="1">
    <w:name w:val="列表段落 字符"/>
    <w:link w:val="1033"/>
    <w:uiPriority w:val="34"/>
    <w:qFormat/>
    <w:rPr>
      <w:sz w:val="24"/>
      <w:szCs w:val="24"/>
      <w:lang w:eastAsia="en-US" w:bidi="en-US"/>
    </w:rPr>
  </w:style>
  <w:style w:type="paragraph" w:styleId="1113" w:customStyle="1">
    <w:name w:val="Char Char Char"/>
    <w:basedOn w:val="774"/>
    <w:uiPriority w:val="0"/>
    <w:qFormat/>
    <w:pPr>
      <w:numPr>
        <w:ilvl w:val="0"/>
        <w:numId w:val="4"/>
      </w:numPr>
      <w:tabs>
        <w:tab w:val="left" w:pos="1545" w:leader="none"/>
      </w:tabs>
    </w:pPr>
    <w:rPr>
      <w:rFonts w:ascii="Times New Roman" w:hAnsi="Times New Roman"/>
      <w:szCs w:val="20"/>
    </w:rPr>
  </w:style>
  <w:style w:type="paragraph" w:styleId="1114" w:customStyle="1">
    <w:name w:val="Plain Text1"/>
    <w:basedOn w:val="774"/>
    <w:uiPriority w:val="0"/>
    <w:qFormat/>
    <w:rPr>
      <w:rFonts w:ascii="宋体" w:hAnsi="Courier New" w:eastAsia="楷体_GB2312"/>
      <w:sz w:val="28"/>
      <w:szCs w:val="20"/>
    </w:rPr>
  </w:style>
  <w:style w:type="paragraph" w:styleId="111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6" w:customStyle="1">
    <w:name w:val="Char1 Char Char Char"/>
    <w:basedOn w:val="774"/>
    <w:uiPriority w:val="0"/>
    <w:qFormat/>
    <w:rPr>
      <w:rFonts w:ascii="Tahoma" w:hAnsi="Tahoma"/>
      <w:sz w:val="24"/>
      <w:szCs w:val="20"/>
    </w:rPr>
  </w:style>
  <w:style w:type="paragraph" w:styleId="1117" w:customStyle="1">
    <w:name w:val="Char Char1 Char Char Char Char Char Char Char"/>
    <w:basedOn w:val="774"/>
    <w:uiPriority w:val="0"/>
    <w:qFormat/>
    <w:rPr>
      <w:rFonts w:ascii="Calibri Light" w:hAnsi="Calibri Light" w:cs="Berlin Sans FB Demi"/>
      <w:sz w:val="24"/>
      <w:szCs w:val="20"/>
    </w:rPr>
  </w:style>
  <w:style w:type="paragraph" w:styleId="1118" w:customStyle="1">
    <w:name w:val="Char Char"/>
    <w:basedOn w:val="774"/>
    <w:uiPriority w:val="0"/>
    <w:qFormat/>
    <w:rPr>
      <w:rFonts w:ascii="Times New Roman" w:hAnsi="Times New Roman"/>
      <w:szCs w:val="21"/>
    </w:rPr>
  </w:style>
  <w:style w:type="paragraph" w:styleId="1119" w:customStyle="1">
    <w:name w:val="_Style 12"/>
    <w:basedOn w:val="1010"/>
    <w:uiPriority w:val="0"/>
    <w:qFormat/>
    <w:pPr>
      <w:jc w:val="left"/>
      <w:spacing w:line="360" w:lineRule="auto"/>
      <w:widowControl/>
    </w:pPr>
    <w:rPr>
      <w:sz w:val="24"/>
      <w:szCs w:val="24"/>
    </w:rPr>
  </w:style>
  <w:style w:type="character" w:styleId="1120" w:customStyle="1">
    <w:name w:val="正文缩进 Char1"/>
    <w:uiPriority w:val="0"/>
    <w:qFormat/>
    <w:rPr>
      <w:rFonts w:eastAsia="楷体_GB2312"/>
      <w:sz w:val="24"/>
    </w:rPr>
  </w:style>
  <w:style w:type="character" w:styleId="1121" w:customStyle="1">
    <w:name w:val="纯文本 字符1"/>
    <w:uiPriority w:val="0"/>
    <w:qFormat/>
    <w:rPr>
      <w:rFonts w:ascii="宋体" w:hAnsi="Courier New"/>
    </w:rPr>
  </w:style>
  <w:style w:type="character" w:styleId="1122" w:customStyle="1">
    <w:name w:val="未处理的提及1"/>
    <w:uiPriority w:val="99"/>
    <w:unhideWhenUsed/>
    <w:qFormat/>
    <w:rPr>
      <w:color w:val="605e5c"/>
      <w:shd w:val="clear" w:color="auto" w:fill="e1dfdd"/>
    </w:rPr>
  </w:style>
  <w:style w:type="character" w:styleId="1123" w:customStyle="1">
    <w:name w:val="批注文字 字符"/>
    <w:uiPriority w:val="0"/>
    <w:qFormat/>
    <w:rPr>
      <w:sz w:val="21"/>
    </w:rPr>
  </w:style>
  <w:style w:type="character" w:styleId="1124" w:customStyle="1">
    <w:name w:val="标题 2 字符"/>
    <w:uiPriority w:val="0"/>
    <w:qFormat/>
    <w:rPr>
      <w:rFonts w:eastAsia="楷体_GB2312"/>
      <w:b/>
      <w:bCs/>
      <w:sz w:val="28"/>
      <w:szCs w:val="28"/>
    </w:rPr>
  </w:style>
  <w:style w:type="character" w:styleId="1125" w:customStyle="1">
    <w:name w:val="日期 字符"/>
    <w:uiPriority w:val="0"/>
    <w:qFormat/>
    <w:rPr>
      <w:rFonts w:ascii="宋体"/>
      <w:sz w:val="28"/>
    </w:rPr>
  </w:style>
  <w:style w:type="character" w:styleId="1126" w:customStyle="1">
    <w:name w:val="正文文本 字符1"/>
    <w:uiPriority w:val="0"/>
    <w:qFormat/>
    <w:rPr>
      <w:rFonts w:ascii="楷体_GB2312" w:hAnsi="Arial" w:eastAsia="楷体_GB2312"/>
      <w:sz w:val="28"/>
    </w:rPr>
  </w:style>
  <w:style w:type="paragraph" w:styleId="1127" w:customStyle="1">
    <w:name w:val="_正文段落"/>
    <w:basedOn w:val="774"/>
    <w:link w:val="1128"/>
    <w:uiPriority w:val="0"/>
    <w:qFormat/>
    <w:pPr>
      <w:ind w:firstLine="480"/>
      <w:spacing w:line="360" w:lineRule="auto"/>
    </w:pPr>
    <w:rPr>
      <w:rFonts w:ascii="宋体" w:hAnsi="宋体"/>
      <w:sz w:val="24"/>
      <w:szCs w:val="24"/>
    </w:rPr>
  </w:style>
  <w:style w:type="character" w:styleId="1128" w:customStyle="1">
    <w:name w:val="_正文段落 Char"/>
    <w:link w:val="1127"/>
    <w:uiPriority w:val="0"/>
    <w:qFormat/>
    <w:rPr>
      <w:rFonts w:ascii="宋体" w:hAnsi="宋体"/>
      <w:sz w:val="24"/>
      <w:szCs w:val="24"/>
    </w:rPr>
  </w:style>
  <w:style w:type="character" w:styleId="1129" w:customStyle="1">
    <w:name w:val="cf01"/>
    <w:uiPriority w:val="0"/>
    <w:qFormat/>
    <w:rPr>
      <w:rFonts w:hint="eastAsia" w:ascii="Microsoft YaHei UI" w:hAnsi="Microsoft YaHei UI" w:eastAsia="Microsoft YaHei UI"/>
      <w:b/>
      <w:bCs/>
      <w:sz w:val="18"/>
      <w:szCs w:val="18"/>
    </w:rPr>
  </w:style>
  <w:style w:type="character" w:styleId="1130" w:customStyle="1">
    <w:name w:val="标题 2 字符1"/>
    <w:uiPriority w:val="0"/>
    <w:qFormat/>
    <w:rPr>
      <w:rFonts w:eastAsia="楷体_GB2312"/>
      <w:b/>
      <w:bCs/>
      <w:sz w:val="28"/>
      <w:szCs w:val="28"/>
    </w:rPr>
  </w:style>
  <w:style w:type="paragraph" w:styleId="1131" w:customStyle="1">
    <w:name w:val="pf0"/>
    <w:basedOn w:val="774"/>
    <w:uiPriority w:val="0"/>
    <w:qFormat/>
    <w:pPr>
      <w:jc w:val="left"/>
      <w:spacing w:before="100" w:beforeAutospacing="1" w:after="100" w:afterAutospacing="1"/>
      <w:widowControl/>
    </w:pPr>
    <w:rPr>
      <w:rFonts w:ascii="宋体" w:hAnsi="宋体" w:cs="宋体"/>
      <w:sz w:val="24"/>
      <w:szCs w:val="24"/>
    </w:rPr>
  </w:style>
  <w:style w:type="character" w:styleId="1132" w:customStyle="1">
    <w:name w:val="cf11"/>
    <w:uiPriority w:val="0"/>
    <w:qFormat/>
    <w:rPr>
      <w:rFonts w:hint="eastAsia" w:ascii="Microsoft YaHei UI" w:hAnsi="Microsoft YaHei UI" w:eastAsia="Microsoft YaHei UI"/>
      <w:sz w:val="18"/>
      <w:szCs w:val="18"/>
    </w:rPr>
  </w:style>
  <w:style w:type="character" w:styleId="1133" w:customStyle="1">
    <w:name w:val="cf21"/>
    <w:uiPriority w:val="0"/>
    <w:qFormat/>
    <w:rPr>
      <w:rFonts w:hint="eastAsia" w:ascii="Microsoft YaHei UI" w:hAnsi="Microsoft YaHei UI" w:eastAsia="Microsoft YaHei UI"/>
      <w:b/>
      <w:bCs/>
      <w:sz w:val="18"/>
      <w:szCs w:val="18"/>
    </w:rPr>
  </w:style>
  <w:style w:type="paragraph" w:styleId="1134" w:customStyle="1">
    <w:name w:val="TOC 标题11"/>
    <w:basedOn w:val="967"/>
    <w:next w:val="77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35" w:customStyle="1">
    <w:name w:val="普通正文 Char"/>
    <w:link w:val="1016"/>
    <w:uiPriority w:val="0"/>
    <w:qFormat/>
    <w:rPr>
      <w:rFonts w:ascii="Arial" w:hAnsi="Arial"/>
      <w:sz w:val="24"/>
      <w:szCs w:val="24"/>
    </w:rPr>
  </w:style>
  <w:style w:type="character" w:styleId="1136" w:customStyle="1">
    <w:name w:val="批注文字 字符2"/>
    <w:basedOn w:val="784"/>
    <w:link w:val="788"/>
    <w:uiPriority w:val="99"/>
    <w:semiHidden/>
    <w:qFormat/>
    <w:rPr>
      <w:sz w:val="21"/>
      <w:szCs w:val="22"/>
    </w:rPr>
  </w:style>
  <w:style w:type="character" w:styleId="1137" w:customStyle="1">
    <w:name w:val="批注主题 字符1"/>
    <w:basedOn w:val="1136"/>
    <w:link w:val="812"/>
    <w:uiPriority w:val="99"/>
    <w:semiHidden/>
    <w:qFormat/>
    <w:rPr>
      <w:b/>
      <w:bCs/>
      <w:sz w:val="21"/>
      <w:szCs w:val="22"/>
    </w:rPr>
  </w:style>
  <w:style w:type="character" w:styleId="1138" w:customStyle="1">
    <w:name w:val="批注框文本 字符1"/>
    <w:basedOn w:val="784"/>
    <w:link w:val="799"/>
    <w:uiPriority w:val="99"/>
    <w:semiHidden/>
    <w:qFormat/>
    <w:rPr>
      <w:sz w:val="18"/>
      <w:szCs w:val="18"/>
    </w:rPr>
  </w:style>
  <w:style w:type="character" w:styleId="1139" w:customStyle="1">
    <w:name w:val="1、 字符"/>
    <w:link w:val="1140"/>
    <w:uiPriority w:val="0"/>
    <w:qFormat/>
    <w:rPr>
      <w:sz w:val="24"/>
      <w:szCs w:val="24"/>
    </w:rPr>
  </w:style>
  <w:style w:type="paragraph" w:styleId="1140" w:customStyle="1">
    <w:name w:val="1、"/>
    <w:basedOn w:val="774"/>
    <w:link w:val="1139"/>
    <w:uiPriority w:val="0"/>
    <w:qFormat/>
    <w:pPr>
      <w:ind w:firstLine="200"/>
      <w:spacing w:line="440" w:lineRule="exact"/>
    </w:pPr>
    <w:rPr>
      <w:sz w:val="24"/>
      <w:szCs w:val="24"/>
    </w:rPr>
  </w:style>
  <w:style w:type="paragraph" w:styleId="1141" w:customStyle="1">
    <w:name w:val="段"/>
    <w:next w:val="774"/>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42" w:customStyle="1">
    <w:name w:val="15"/>
    <w:basedOn w:val="784"/>
    <w:uiPriority w:val="0"/>
    <w:qFormat/>
    <w:rPr>
      <w:rFonts w:hint="default" w:ascii="Calibri" w:hAnsi="Calibri" w:cs="Calibri"/>
    </w:rPr>
  </w:style>
  <w:style w:type="character" w:styleId="1143" w:customStyle="1">
    <w:name w:val="普通(网站) 字符"/>
    <w:link w:val="810"/>
    <w:uiPriority w:val="99"/>
    <w:qFormat/>
    <w:rPr>
      <w:rFonts w:ascii="宋体" w:hAnsi="宋体" w:cs="宋体"/>
      <w:sz w:val="24"/>
      <w:szCs w:val="24"/>
    </w:rPr>
  </w:style>
  <w:style w:type="paragraph" w:styleId="1144" w:customStyle="1">
    <w:name w:val="纯文本2"/>
    <w:basedOn w:val="774"/>
    <w:uiPriority w:val="0"/>
    <w:qFormat/>
    <w:rPr>
      <w:rFonts w:hint="eastAsia" w:ascii="宋体" w:hAnsi="Courier New" w:eastAsia="楷体_GB2312"/>
      <w:sz w:val="28"/>
      <w:szCs w:val="20"/>
    </w:rPr>
  </w:style>
  <w:style w:type="table" w:styleId="1145" w:customStyle="1">
    <w:name w:val="Table Normal"/>
    <w:uiPriority w:val="0"/>
    <w:unhideWhenUsed/>
    <w:qFormat/>
    <w:tblPr>
      <w:tblCellMar>
        <w:left w:w="0" w:type="dxa"/>
        <w:top w:w="0" w:type="dxa"/>
        <w:right w:w="0" w:type="dxa"/>
        <w:bottom w:w="0" w:type="dxa"/>
      </w:tblCellMar>
    </w:tblPr>
  </w:style>
  <w:style w:type="paragraph" w:styleId="1146" w:customStyle="1">
    <w:name w:val="Table Text"/>
    <w:basedOn w:val="774"/>
    <w:uiPriority w:val="0"/>
    <w:semiHidden/>
    <w:qFormat/>
    <w:rPr>
      <w:rFonts w:ascii="宋体" w:hAnsi="宋体" w:cs="宋体"/>
      <w:szCs w:val="21"/>
      <w:lang w:eastAsia="en-US"/>
    </w:rPr>
  </w:style>
  <w:style w:type="paragraph" w:styleId="1147" w:customStyle="1">
    <w:name w:val="正文！！！"/>
    <w:basedOn w:val="774"/>
    <w:uiPriority w:val="0"/>
    <w:qFormat/>
    <w:pPr>
      <w:ind w:firstLine="200"/>
      <w:spacing w:line="440" w:lineRule="exact"/>
    </w:pPr>
    <w:rPr>
      <w:sz w:val="24"/>
      <w:szCs w:val="24"/>
    </w:rPr>
  </w:style>
  <w:style w:type="paragraph" w:styleId="1148" w:customStyle="1">
    <w:name w:val="标题 3.1"/>
    <w:basedOn w:val="777"/>
    <w:uiPriority w:val="0"/>
    <w:qFormat/>
    <w:pPr>
      <w:spacing w:before="260" w:after="260" w:line="600" w:lineRule="exact"/>
      <w:tabs>
        <w:tab w:val="left" w:pos="1440" w:leader="none"/>
        <w:tab w:val="left" w:pos="1620" w:leader="none"/>
      </w:tabs>
    </w:pPr>
    <w:rPr>
      <w:b/>
      <w:color w:val="ff0000"/>
      <w:sz w:val="32"/>
    </w:rPr>
  </w:style>
  <w:style w:type="paragraph" w:styleId="1149" w:customStyle="1">
    <w:name w:val="Table Paragraph"/>
    <w:basedOn w:val="774"/>
    <w:uiPriority w:val="1"/>
    <w:qFormat/>
    <w:rPr>
      <w:rFonts w:ascii="宋体" w:hAnsi="宋体" w:cs="宋体"/>
      <w:lang w:val="zh-CN" w:bidi="zh-CN"/>
    </w:rPr>
  </w:style>
  <w:style w:type="paragraph" w:styleId="1150" w:customStyle="1">
    <w:name w:val="首行缩进"/>
    <w:basedOn w:val="1047"/>
    <w:uiPriority w:val="0"/>
    <w:qFormat/>
    <w:pPr>
      <w:ind w:firstLine="200"/>
    </w:pPr>
    <w:rPr>
      <w:sz w:val="20"/>
    </w:rPr>
  </w:style>
  <w:style w:type="character" w:styleId="1151" w:customStyle="1">
    <w:name w:val="font11"/>
    <w:uiPriority w:val="0"/>
    <w:qFormat/>
    <w:rPr>
      <w:rFonts w:hint="eastAsia" w:ascii="微软雅黑" w:hAnsi="微软雅黑" w:eastAsia="微软雅黑" w:cs="微软雅黑"/>
      <w:color w:val="000000"/>
      <w:sz w:val="20"/>
      <w:szCs w:val="20"/>
      <w:u w:val="none"/>
    </w:rPr>
  </w:style>
  <w:style w:type="paragraph" w:styleId="1152" w:customStyle="1">
    <w:name w:val="正文111"/>
    <w:next w:val="774"/>
    <w:uiPriority w:val="0"/>
    <w:qFormat/>
    <w:pPr>
      <w:jc w:val="both"/>
      <w:widowControl w:val="off"/>
    </w:pPr>
    <w:rPr>
      <w:rFonts w:ascii="Times New Roman" w:hAnsi="Times New Roman" w:eastAsia="宋体" w:cs="Times New Roman"/>
      <w:sz w:val="21"/>
      <w:szCs w:val="24"/>
      <w:lang w:val="en-US" w:eastAsia="zh-CN" w:bidi="ar-SA"/>
    </w:rPr>
  </w:style>
  <w:style w:type="numbering" w:styleId="12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王丹婷</cp:lastModifiedBy>
  <cp:revision>3</cp:revision>
  <dcterms:created xsi:type="dcterms:W3CDTF">2024-10-31T18:51:00Z</dcterms:created>
  <dcterms:modified xsi:type="dcterms:W3CDTF">2026-07-02T05:40:49Z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BBF3612BC8E34BA3A419F171CB7E04BB_13</vt:lpwstr>
  </property>
  <property fmtid="{D5CDD505-2E9C-101B-9397-08002B2CF9AE}" pid="4" name="KSOTemplateDocerSaveRecord">
    <vt:lpwstr>eyJoZGlkIjoiNzgwMzk5YWNlOTlhZGNmYTkwYzkzMGM2MDFhMzUwMDQiLCJ1c2VySWQiOiI0MDM5OTE5NjUifQ==</vt:lpwstr>
  </property>
</Properties>
</file>