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F8BA11">
      <w:pPr>
        <w:pStyle w:val="17"/>
        <w:spacing w:before="120" w:beforeAutospacing="0" w:after="120" w:afterAutospacing="0" w:line="360" w:lineRule="auto"/>
        <w:rPr>
          <w:highlight w:val="none"/>
        </w:rPr>
      </w:pPr>
      <w:r>
        <w:rPr>
          <w:highlight w:val="none"/>
        </w:rPr>
        <w:t> </w:t>
      </w:r>
    </w:p>
    <w:p w14:paraId="76ED12FD">
      <w:pPr>
        <w:pStyle w:val="17"/>
        <w:spacing w:before="120" w:beforeAutospacing="0" w:after="120" w:afterAutospacing="0" w:line="360" w:lineRule="auto"/>
        <w:jc w:val="center"/>
        <w:rPr>
          <w:rFonts w:ascii="Arial" w:hAnsi="Arial" w:cs="Arial"/>
          <w:b/>
          <w:color w:val="000000"/>
          <w:sz w:val="84"/>
          <w:szCs w:val="84"/>
          <w:highlight w:val="none"/>
        </w:rPr>
      </w:pPr>
    </w:p>
    <w:p w14:paraId="0748D618">
      <w:pPr>
        <w:pStyle w:val="17"/>
        <w:spacing w:before="120" w:beforeAutospacing="0" w:after="120" w:afterAutospacing="0" w:line="360" w:lineRule="auto"/>
        <w:jc w:val="center"/>
        <w:rPr>
          <w:rFonts w:ascii="Arial" w:hAnsi="Arial" w:cs="Arial"/>
          <w:b/>
          <w:color w:val="000000"/>
          <w:sz w:val="84"/>
          <w:szCs w:val="84"/>
          <w:highlight w:val="none"/>
        </w:rPr>
      </w:pPr>
      <w:r>
        <w:rPr>
          <w:rFonts w:ascii="Arial" w:hAnsi="Arial" w:cs="Arial"/>
          <w:b/>
          <w:color w:val="000000"/>
          <w:sz w:val="84"/>
          <w:szCs w:val="84"/>
          <w:highlight w:val="none"/>
        </w:rPr>
        <w:t>招 标 文 件</w:t>
      </w:r>
    </w:p>
    <w:p w14:paraId="7FE00C00">
      <w:pPr>
        <w:pStyle w:val="17"/>
        <w:spacing w:before="120" w:beforeAutospacing="0" w:after="120" w:afterAutospacing="0" w:line="360" w:lineRule="auto"/>
        <w:jc w:val="center"/>
        <w:rPr>
          <w:rFonts w:hint="default" w:ascii="Arial" w:hAnsi="Arial" w:cs="Arial" w:eastAsiaTheme="minorEastAsia"/>
          <w:b w:val="0"/>
          <w:bCs/>
          <w:color w:val="000000"/>
          <w:sz w:val="24"/>
          <w:szCs w:val="24"/>
          <w:highlight w:val="none"/>
          <w:lang w:val="en-US" w:eastAsia="zh-CN"/>
        </w:rPr>
      </w:pPr>
      <w:r>
        <w:rPr>
          <w:rFonts w:hint="eastAsia" w:ascii="Arial" w:hAnsi="Arial" w:cs="Arial"/>
          <w:b w:val="0"/>
          <w:bCs/>
          <w:color w:val="000000"/>
          <w:sz w:val="24"/>
          <w:szCs w:val="24"/>
          <w:highlight w:val="none"/>
          <w:lang w:val="en-US" w:eastAsia="zh-CN"/>
        </w:rPr>
        <w:t>（服务类）</w:t>
      </w:r>
    </w:p>
    <w:p w14:paraId="1432101F">
      <w:pPr>
        <w:pStyle w:val="17"/>
        <w:spacing w:before="120" w:beforeAutospacing="0" w:after="120" w:afterAutospacing="0" w:line="360" w:lineRule="auto"/>
        <w:rPr>
          <w:rFonts w:ascii="Arial" w:hAnsi="Arial" w:cs="Arial"/>
          <w:b/>
          <w:color w:val="000000"/>
          <w:sz w:val="32"/>
          <w:szCs w:val="32"/>
          <w:highlight w:val="none"/>
        </w:rPr>
      </w:pPr>
    </w:p>
    <w:p w14:paraId="53CCD73E">
      <w:pPr>
        <w:pStyle w:val="17"/>
        <w:spacing w:before="120" w:beforeAutospacing="0" w:after="120" w:afterAutospacing="0" w:line="360" w:lineRule="auto"/>
        <w:ind w:left="2244" w:leftChars="304" w:hanging="1606" w:hangingChars="50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color w:val="000000"/>
          <w:sz w:val="32"/>
          <w:szCs w:val="32"/>
          <w:highlight w:val="none"/>
        </w:rPr>
        <w:t>项目名称：射阳县退役军人事务局2026-2027年度优抚对象及困难企业军转干健康体检合作医院采购项目</w:t>
      </w:r>
    </w:p>
    <w:p w14:paraId="693AAD55">
      <w:pPr>
        <w:pStyle w:val="17"/>
        <w:spacing w:beforeAutospacing="0" w:afterAutospacing="0"/>
        <w:ind w:firstLine="643" w:firstLineChars="200"/>
        <w:jc w:val="both"/>
        <w:rPr>
          <w:rFonts w:hint="eastAsia" w:asciiTheme="minorEastAsia" w:hAnsiTheme="minorEastAsia" w:eastAsiaTheme="minorEastAsia" w:cstheme="minorEastAsia"/>
          <w:b/>
          <w:color w:val="000000"/>
          <w:sz w:val="32"/>
          <w:szCs w:val="32"/>
          <w:highlight w:val="none"/>
        </w:rPr>
      </w:pPr>
      <w:r>
        <w:rPr>
          <w:rFonts w:hint="eastAsia" w:asciiTheme="minorEastAsia" w:hAnsiTheme="minorEastAsia" w:eastAsiaTheme="minorEastAsia" w:cstheme="minorEastAsia"/>
          <w:b/>
          <w:color w:val="000000"/>
          <w:sz w:val="32"/>
          <w:szCs w:val="32"/>
          <w:highlight w:val="none"/>
        </w:rPr>
        <w:t>项目编号：JSZC-320924-SYHY-G2026-0007</w:t>
      </w:r>
    </w:p>
    <w:p w14:paraId="6F53CC27">
      <w:pPr>
        <w:pStyle w:val="17"/>
        <w:spacing w:beforeAutospacing="0" w:afterAutospacing="0" w:line="360" w:lineRule="auto"/>
        <w:rPr>
          <w:highlight w:val="none"/>
        </w:rPr>
      </w:pPr>
      <w:r>
        <w:rPr>
          <w:highlight w:val="none"/>
        </w:rPr>
        <w:t> </w:t>
      </w:r>
    </w:p>
    <w:p w14:paraId="062C3A68">
      <w:pPr>
        <w:pStyle w:val="17"/>
        <w:spacing w:beforeAutospacing="0" w:afterAutospacing="0" w:line="360" w:lineRule="auto"/>
        <w:rPr>
          <w:highlight w:val="none"/>
        </w:rPr>
      </w:pPr>
      <w:r>
        <w:rPr>
          <w:highlight w:val="none"/>
        </w:rPr>
        <w:t> </w:t>
      </w:r>
    </w:p>
    <w:p w14:paraId="24182504">
      <w:pPr>
        <w:pStyle w:val="17"/>
        <w:spacing w:beforeAutospacing="0" w:afterAutospacing="0" w:line="360" w:lineRule="auto"/>
        <w:rPr>
          <w:highlight w:val="none"/>
        </w:rPr>
      </w:pPr>
      <w:r>
        <w:rPr>
          <w:highlight w:val="none"/>
        </w:rPr>
        <w:t> </w:t>
      </w:r>
    </w:p>
    <w:p w14:paraId="3C13D1EC">
      <w:pPr>
        <w:pStyle w:val="17"/>
        <w:spacing w:beforeAutospacing="0" w:afterAutospacing="0" w:line="360" w:lineRule="auto"/>
        <w:rPr>
          <w:highlight w:val="none"/>
        </w:rPr>
      </w:pPr>
      <w:r>
        <w:rPr>
          <w:highlight w:val="none"/>
        </w:rPr>
        <w:t> </w:t>
      </w:r>
    </w:p>
    <w:p w14:paraId="68483B32">
      <w:pPr>
        <w:pStyle w:val="17"/>
        <w:spacing w:beforeAutospacing="0" w:afterAutospacing="0" w:line="360" w:lineRule="auto"/>
        <w:rPr>
          <w:highlight w:val="none"/>
        </w:rPr>
      </w:pPr>
      <w:r>
        <w:rPr>
          <w:highlight w:val="none"/>
        </w:rPr>
        <w:t> </w:t>
      </w:r>
    </w:p>
    <w:p w14:paraId="5C4F9B91">
      <w:pPr>
        <w:pStyle w:val="17"/>
        <w:spacing w:beforeAutospacing="0" w:afterAutospacing="0" w:line="360" w:lineRule="auto"/>
        <w:rPr>
          <w:highlight w:val="none"/>
        </w:rPr>
      </w:pPr>
      <w:r>
        <w:rPr>
          <w:highlight w:val="none"/>
        </w:rPr>
        <w:t> </w:t>
      </w:r>
    </w:p>
    <w:p w14:paraId="38DC4F88">
      <w:pPr>
        <w:pStyle w:val="17"/>
        <w:spacing w:beforeAutospacing="0" w:afterAutospacing="0" w:line="360" w:lineRule="auto"/>
        <w:rPr>
          <w:highlight w:val="none"/>
        </w:rPr>
      </w:pPr>
      <w:r>
        <w:rPr>
          <w:highlight w:val="none"/>
        </w:rPr>
        <w:t> </w:t>
      </w:r>
    </w:p>
    <w:p w14:paraId="22435EC9">
      <w:pPr>
        <w:pStyle w:val="17"/>
        <w:spacing w:beforeAutospacing="0" w:afterAutospacing="0" w:line="360" w:lineRule="auto"/>
        <w:rPr>
          <w:highlight w:val="none"/>
        </w:rPr>
      </w:pPr>
    </w:p>
    <w:p w14:paraId="536F36BB">
      <w:pPr>
        <w:pStyle w:val="17"/>
        <w:spacing w:beforeAutospacing="0" w:afterAutospacing="0" w:line="360" w:lineRule="auto"/>
        <w:rPr>
          <w:highlight w:val="none"/>
        </w:rPr>
      </w:pPr>
    </w:p>
    <w:p w14:paraId="41C35E3A">
      <w:pPr>
        <w:widowControl/>
        <w:spacing w:line="700" w:lineRule="exact"/>
        <w:jc w:val="center"/>
        <w:rPr>
          <w:rFonts w:hint="eastAsia" w:ascii="宋体" w:hAnsi="宋体" w:cs="宋体"/>
          <w:b/>
          <w:bCs/>
          <w:kern w:val="20"/>
          <w:sz w:val="32"/>
          <w:szCs w:val="32"/>
        </w:rPr>
      </w:pPr>
      <w:bookmarkStart w:id="0" w:name="_Toc12167"/>
      <w:r>
        <w:rPr>
          <w:rFonts w:hint="eastAsia" w:ascii="宋体" w:hAnsi="宋体" w:cs="宋体"/>
          <w:b/>
          <w:bCs/>
          <w:kern w:val="20"/>
          <w:sz w:val="32"/>
          <w:szCs w:val="32"/>
        </w:rPr>
        <w:t>射阳县退役军人事务局</w:t>
      </w:r>
    </w:p>
    <w:p w14:paraId="505BA095">
      <w:pPr>
        <w:widowControl/>
        <w:spacing w:line="700" w:lineRule="exact"/>
        <w:jc w:val="center"/>
        <w:rPr>
          <w:rFonts w:ascii="宋体" w:hAnsi="宋体" w:cs="宋体"/>
          <w:b/>
          <w:bCs/>
          <w:kern w:val="20"/>
          <w:sz w:val="32"/>
          <w:szCs w:val="32"/>
        </w:rPr>
      </w:pPr>
      <w:r>
        <w:rPr>
          <w:rFonts w:hint="eastAsia" w:ascii="宋体" w:hAnsi="宋体" w:cs="宋体"/>
          <w:b/>
          <w:bCs/>
          <w:kern w:val="20"/>
          <w:sz w:val="32"/>
          <w:szCs w:val="32"/>
        </w:rPr>
        <w:t>射阳宏远财会服务有限公司</w:t>
      </w:r>
      <w:bookmarkEnd w:id="0"/>
    </w:p>
    <w:p w14:paraId="7CBCE1D9">
      <w:pPr>
        <w:widowControl/>
        <w:spacing w:line="700" w:lineRule="exact"/>
        <w:jc w:val="center"/>
        <w:rPr>
          <w:rFonts w:ascii="宋体" w:hAnsi="宋体" w:cs="宋体"/>
          <w:b/>
          <w:kern w:val="20"/>
          <w:sz w:val="32"/>
          <w:szCs w:val="32"/>
        </w:rPr>
      </w:pPr>
      <w:bookmarkStart w:id="1" w:name="gxebd_nowDate_1"/>
      <w:r>
        <w:rPr>
          <w:rFonts w:hint="eastAsia" w:ascii="宋体" w:hAnsi="宋体" w:cs="宋体"/>
          <w:b/>
          <w:kern w:val="20"/>
          <w:sz w:val="32"/>
          <w:szCs w:val="32"/>
        </w:rPr>
        <w:t>202</w:t>
      </w:r>
      <w:r>
        <w:rPr>
          <w:rFonts w:hint="eastAsia" w:ascii="宋体" w:hAnsi="宋体" w:cs="宋体"/>
          <w:b/>
          <w:kern w:val="20"/>
          <w:sz w:val="32"/>
          <w:szCs w:val="32"/>
          <w:lang w:val="en-US" w:eastAsia="zh-CN"/>
        </w:rPr>
        <w:t>6</w:t>
      </w:r>
      <w:r>
        <w:rPr>
          <w:rFonts w:hint="eastAsia" w:ascii="宋体" w:hAnsi="宋体" w:cs="宋体"/>
          <w:b/>
          <w:kern w:val="20"/>
          <w:sz w:val="32"/>
          <w:szCs w:val="32"/>
        </w:rPr>
        <w:t>年</w:t>
      </w:r>
      <w:r>
        <w:rPr>
          <w:rFonts w:hint="eastAsia" w:ascii="宋体" w:hAnsi="宋体" w:cs="宋体"/>
          <w:b/>
          <w:kern w:val="20"/>
          <w:sz w:val="32"/>
          <w:szCs w:val="32"/>
          <w:lang w:val="en-US" w:eastAsia="zh-CN"/>
        </w:rPr>
        <w:t>6</w:t>
      </w:r>
      <w:r>
        <w:rPr>
          <w:rFonts w:hint="eastAsia" w:ascii="宋体" w:hAnsi="宋体" w:cs="宋体"/>
          <w:b/>
          <w:kern w:val="20"/>
          <w:sz w:val="32"/>
          <w:szCs w:val="32"/>
        </w:rPr>
        <w:t>月</w:t>
      </w:r>
      <w:bookmarkEnd w:id="1"/>
    </w:p>
    <w:p w14:paraId="07289AF9">
      <w:pPr>
        <w:pStyle w:val="17"/>
        <w:spacing w:before="120" w:beforeAutospacing="0" w:after="120" w:afterAutospacing="0" w:line="360" w:lineRule="auto"/>
        <w:rPr>
          <w:highlight w:val="none"/>
        </w:rPr>
      </w:pPr>
      <w:r>
        <w:rPr>
          <w:rFonts w:ascii="Arial" w:hAnsi="Arial" w:cs="Arial"/>
          <w:color w:val="000000"/>
          <w:highlight w:val="none"/>
        </w:rPr>
        <w:t xml:space="preserve">                        </w:t>
      </w:r>
    </w:p>
    <w:p w14:paraId="77109889">
      <w:pPr>
        <w:pStyle w:val="17"/>
        <w:spacing w:before="120" w:beforeAutospacing="0" w:after="120" w:afterAutospacing="0" w:line="360" w:lineRule="auto"/>
        <w:jc w:val="center"/>
        <w:rPr>
          <w:highlight w:val="none"/>
        </w:rPr>
      </w:pPr>
      <w:r>
        <w:rPr>
          <w:highlight w:val="none"/>
        </w:rPr>
        <w:t> </w:t>
      </w:r>
    </w:p>
    <w:p w14:paraId="1C306D57">
      <w:pPr>
        <w:pStyle w:val="17"/>
        <w:spacing w:beforeAutospacing="0" w:afterAutospacing="0" w:line="480" w:lineRule="auto"/>
        <w:jc w:val="center"/>
        <w:rPr>
          <w:highlight w:val="none"/>
        </w:rPr>
      </w:pPr>
      <w:r>
        <w:rPr>
          <w:rFonts w:ascii="Times New Roman" w:hAnsi="Times New Roman"/>
          <w:color w:val="000000"/>
          <w:sz w:val="21"/>
          <w:szCs w:val="21"/>
          <w:highlight w:val="none"/>
        </w:rPr>
        <w:br w:type="page"/>
      </w:r>
      <w:r>
        <w:rPr>
          <w:rFonts w:ascii="Times New Roman" w:hAnsi="Times New Roman"/>
          <w:color w:val="000000"/>
          <w:sz w:val="21"/>
          <w:szCs w:val="21"/>
          <w:highlight w:val="none"/>
        </w:rPr>
        <w:t> </w:t>
      </w:r>
      <w:bookmarkStart w:id="2" w:name="_Toc513029200"/>
      <w:bookmarkStart w:id="3" w:name="_Toc16938516"/>
      <w:bookmarkStart w:id="4" w:name="_Toc523127445"/>
      <w:bookmarkStart w:id="5" w:name="_Toc20823272"/>
      <w:bookmarkStart w:id="6" w:name="_Toc120614210"/>
      <w:bookmarkStart w:id="7" w:name="_Toc479757206"/>
      <w:r>
        <w:rPr>
          <w:rFonts w:ascii="Times New Roman" w:hAnsi="Times New Roman"/>
          <w:color w:val="000000"/>
          <w:sz w:val="21"/>
          <w:szCs w:val="21"/>
          <w:highlight w:val="none"/>
        </w:rPr>
        <w:t> </w:t>
      </w:r>
      <w:r>
        <w:rPr>
          <w:rFonts w:ascii="黑体" w:hAnsi="宋体" w:eastAsia="黑体" w:cs="黑体"/>
          <w:b/>
          <w:color w:val="000000"/>
          <w:sz w:val="44"/>
          <w:szCs w:val="44"/>
          <w:highlight w:val="none"/>
        </w:rPr>
        <w:t>总  目  录</w:t>
      </w:r>
      <w:bookmarkEnd w:id="2"/>
      <w:bookmarkEnd w:id="3"/>
      <w:bookmarkEnd w:id="4"/>
      <w:bookmarkEnd w:id="5"/>
      <w:bookmarkEnd w:id="6"/>
      <w:bookmarkEnd w:id="7"/>
    </w:p>
    <w:p w14:paraId="6EB96C7E">
      <w:pPr>
        <w:pStyle w:val="17"/>
        <w:spacing w:beforeAutospacing="0" w:afterAutospacing="0" w:line="480" w:lineRule="auto"/>
        <w:jc w:val="both"/>
        <w:rPr>
          <w:highlight w:val="none"/>
        </w:rPr>
      </w:pPr>
      <w:r>
        <w:rPr>
          <w:highlight w:val="none"/>
        </w:rPr>
        <w:t> </w:t>
      </w:r>
    </w:p>
    <w:p w14:paraId="63E5A6A0">
      <w:pPr>
        <w:pStyle w:val="17"/>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lang w:val="en-US" w:eastAsia="zh-CN"/>
        </w:rPr>
        <w:t>招标公告</w:t>
      </w:r>
      <w:r>
        <w:rPr>
          <w:rFonts w:hint="eastAsia" w:ascii="黑体" w:hAnsi="宋体" w:eastAsia="黑体" w:cs="黑体"/>
          <w:color w:val="000000"/>
          <w:sz w:val="36"/>
          <w:szCs w:val="36"/>
          <w:highlight w:val="none"/>
        </w:rPr>
        <w:t>……………………………………</w:t>
      </w:r>
      <w:r>
        <w:rPr>
          <w:rFonts w:hint="eastAsia" w:ascii="黑体" w:hAnsi="宋体" w:eastAsia="黑体" w:cs="黑体"/>
          <w:color w:val="000000"/>
          <w:sz w:val="36"/>
          <w:szCs w:val="36"/>
          <w:highlight w:val="none"/>
          <w:lang w:val="en-US" w:eastAsia="zh-CN"/>
        </w:rPr>
        <w:t>1</w:t>
      </w:r>
      <w:r>
        <w:rPr>
          <w:rFonts w:hint="eastAsia" w:ascii="黑体" w:hAnsi="宋体" w:eastAsia="黑体" w:cs="黑体"/>
          <w:color w:val="000000"/>
          <w:sz w:val="36"/>
          <w:szCs w:val="36"/>
          <w:highlight w:val="none"/>
        </w:rPr>
        <w:t xml:space="preserve"> </w:t>
      </w:r>
    </w:p>
    <w:p w14:paraId="3F048C29">
      <w:pPr>
        <w:pStyle w:val="17"/>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投标人须知…………………………………</w:t>
      </w:r>
      <w:r>
        <w:rPr>
          <w:rFonts w:hint="eastAsia" w:ascii="黑体" w:hAnsi="宋体" w:eastAsia="黑体" w:cs="黑体"/>
          <w:color w:val="000000"/>
          <w:sz w:val="36"/>
          <w:szCs w:val="36"/>
          <w:highlight w:val="none"/>
          <w:lang w:val="en-US" w:eastAsia="zh-CN"/>
        </w:rPr>
        <w:t>4</w:t>
      </w:r>
      <w:r>
        <w:rPr>
          <w:rFonts w:hint="eastAsia" w:ascii="黑体" w:hAnsi="宋体" w:eastAsia="黑体" w:cs="黑体"/>
          <w:color w:val="000000"/>
          <w:sz w:val="36"/>
          <w:szCs w:val="36"/>
          <w:highlight w:val="none"/>
        </w:rPr>
        <w:t xml:space="preserve">  </w:t>
      </w:r>
    </w:p>
    <w:p w14:paraId="36557F5B">
      <w:pPr>
        <w:pStyle w:val="17"/>
        <w:tabs>
          <w:tab w:val="left" w:pos="1441"/>
        </w:tabs>
        <w:spacing w:beforeAutospacing="0" w:afterAutospacing="0" w:line="480" w:lineRule="auto"/>
        <w:ind w:left="2160" w:hanging="1440"/>
        <w:jc w:val="both"/>
        <w:rPr>
          <w:rFonts w:hint="default" w:eastAsia="黑体"/>
          <w:highlight w:val="none"/>
          <w:lang w:val="en-US" w:eastAsia="zh-CN"/>
        </w:rPr>
      </w:pPr>
      <w:r>
        <w:rPr>
          <w:rFonts w:hint="eastAsia" w:ascii="黑体" w:hAnsi="宋体" w:eastAsia="黑体" w:cs="黑体"/>
          <w:color w:val="000000"/>
          <w:sz w:val="36"/>
          <w:szCs w:val="36"/>
          <w:highlight w:val="none"/>
        </w:rPr>
        <w:t>合同文本……………………………………</w:t>
      </w:r>
      <w:r>
        <w:rPr>
          <w:rFonts w:hint="eastAsia" w:ascii="黑体" w:hAnsi="宋体" w:eastAsia="黑体" w:cs="黑体"/>
          <w:color w:val="000000"/>
          <w:sz w:val="36"/>
          <w:szCs w:val="36"/>
          <w:highlight w:val="none"/>
          <w:lang w:val="en-US" w:eastAsia="zh-CN"/>
        </w:rPr>
        <w:t>14</w:t>
      </w:r>
    </w:p>
    <w:p w14:paraId="76DCD7D4">
      <w:pPr>
        <w:pStyle w:val="17"/>
        <w:tabs>
          <w:tab w:val="left" w:pos="1441"/>
        </w:tabs>
        <w:spacing w:beforeAutospacing="0" w:afterAutospacing="0" w:line="480" w:lineRule="auto"/>
        <w:ind w:left="2160" w:hanging="1440"/>
        <w:jc w:val="both"/>
        <w:rPr>
          <w:rFonts w:hint="default" w:eastAsia="黑体"/>
          <w:highlight w:val="none"/>
          <w:lang w:val="en-US" w:eastAsia="zh-CN"/>
        </w:rPr>
      </w:pPr>
      <w:r>
        <w:rPr>
          <w:rFonts w:hint="eastAsia" w:ascii="黑体" w:hAnsi="宋体" w:eastAsia="黑体" w:cs="黑体"/>
          <w:color w:val="000000"/>
          <w:sz w:val="36"/>
          <w:szCs w:val="36"/>
          <w:highlight w:val="none"/>
        </w:rPr>
        <w:t>采购需求……………………………………</w:t>
      </w:r>
      <w:r>
        <w:rPr>
          <w:rFonts w:hint="eastAsia" w:ascii="黑体" w:hAnsi="宋体" w:eastAsia="黑体" w:cs="黑体"/>
          <w:color w:val="000000"/>
          <w:sz w:val="36"/>
          <w:szCs w:val="36"/>
          <w:highlight w:val="none"/>
          <w:lang w:val="en-US" w:eastAsia="zh-CN"/>
        </w:rPr>
        <w:t>18</w:t>
      </w:r>
    </w:p>
    <w:p w14:paraId="620E178A">
      <w:pPr>
        <w:pStyle w:val="17"/>
        <w:tabs>
          <w:tab w:val="left" w:pos="1441"/>
        </w:tabs>
        <w:spacing w:beforeAutospacing="0" w:afterAutospacing="0" w:line="480" w:lineRule="auto"/>
        <w:ind w:left="2160" w:hanging="1440"/>
        <w:jc w:val="both"/>
        <w:rPr>
          <w:rFonts w:hint="default" w:eastAsia="黑体"/>
          <w:highlight w:val="none"/>
          <w:lang w:val="en-US" w:eastAsia="zh-CN"/>
        </w:rPr>
      </w:pPr>
      <w:r>
        <w:rPr>
          <w:rFonts w:hint="eastAsia" w:ascii="黑体" w:hAnsi="宋体" w:eastAsia="黑体" w:cs="黑体"/>
          <w:color w:val="000000"/>
          <w:sz w:val="36"/>
          <w:szCs w:val="36"/>
          <w:highlight w:val="none"/>
        </w:rPr>
        <w:t>评标方法与评标标准………………………</w:t>
      </w:r>
      <w:r>
        <w:rPr>
          <w:rFonts w:hint="eastAsia" w:ascii="黑体" w:hAnsi="宋体" w:eastAsia="黑体" w:cs="黑体"/>
          <w:color w:val="000000"/>
          <w:sz w:val="36"/>
          <w:szCs w:val="36"/>
          <w:highlight w:val="none"/>
          <w:lang w:val="en-US" w:eastAsia="zh-CN"/>
        </w:rPr>
        <w:t>22</w:t>
      </w:r>
    </w:p>
    <w:p w14:paraId="6D203C59">
      <w:pPr>
        <w:pStyle w:val="17"/>
        <w:tabs>
          <w:tab w:val="left" w:pos="1441"/>
        </w:tabs>
        <w:spacing w:beforeAutospacing="0" w:afterAutospacing="0" w:line="480" w:lineRule="auto"/>
        <w:ind w:left="2160" w:hanging="1440"/>
        <w:jc w:val="both"/>
        <w:rPr>
          <w:rFonts w:hint="default" w:eastAsia="黑体"/>
          <w:highlight w:val="none"/>
          <w:lang w:val="en-US" w:eastAsia="zh-CN"/>
        </w:rPr>
      </w:pPr>
      <w:r>
        <w:rPr>
          <w:rFonts w:hint="eastAsia" w:ascii="黑体" w:hAnsi="宋体" w:eastAsia="黑体" w:cs="黑体"/>
          <w:color w:val="000000"/>
          <w:sz w:val="36"/>
          <w:szCs w:val="36"/>
          <w:highlight w:val="none"/>
        </w:rPr>
        <w:t>投标文件格式………………………………</w:t>
      </w:r>
      <w:r>
        <w:rPr>
          <w:rFonts w:hint="eastAsia" w:ascii="黑体" w:hAnsi="宋体" w:eastAsia="黑体" w:cs="黑体"/>
          <w:color w:val="000000"/>
          <w:sz w:val="36"/>
          <w:szCs w:val="36"/>
          <w:highlight w:val="none"/>
          <w:lang w:val="en-US" w:eastAsia="zh-CN"/>
        </w:rPr>
        <w:t>28</w:t>
      </w:r>
    </w:p>
    <w:p w14:paraId="64341C45">
      <w:pPr>
        <w:pStyle w:val="17"/>
        <w:spacing w:beforeAutospacing="0" w:afterAutospacing="0"/>
        <w:jc w:val="both"/>
        <w:rPr>
          <w:highlight w:val="none"/>
        </w:rPr>
      </w:pPr>
      <w:r>
        <w:rPr>
          <w:highlight w:val="none"/>
        </w:rPr>
        <w:t> </w:t>
      </w:r>
    </w:p>
    <w:p w14:paraId="16364196">
      <w:pPr>
        <w:pStyle w:val="17"/>
        <w:spacing w:beforeAutospacing="0" w:afterAutospacing="0"/>
        <w:jc w:val="both"/>
        <w:rPr>
          <w:highlight w:val="none"/>
        </w:rPr>
      </w:pPr>
      <w:r>
        <w:rPr>
          <w:highlight w:val="none"/>
        </w:rPr>
        <w:t> </w:t>
      </w:r>
    </w:p>
    <w:p w14:paraId="11556BE8">
      <w:pPr>
        <w:pStyle w:val="17"/>
        <w:spacing w:beforeAutospacing="0" w:afterAutospacing="0"/>
        <w:jc w:val="both"/>
        <w:rPr>
          <w:highlight w:val="none"/>
        </w:rPr>
      </w:pPr>
      <w:r>
        <w:rPr>
          <w:highlight w:val="none"/>
        </w:rPr>
        <w:t> </w:t>
      </w:r>
    </w:p>
    <w:p w14:paraId="7B29980D">
      <w:pPr>
        <w:pStyle w:val="17"/>
        <w:spacing w:beforeAutospacing="0" w:afterAutospacing="0"/>
        <w:jc w:val="both"/>
        <w:rPr>
          <w:highlight w:val="none"/>
        </w:rPr>
      </w:pPr>
      <w:r>
        <w:rPr>
          <w:highlight w:val="none"/>
        </w:rPr>
        <w:t> </w:t>
      </w:r>
    </w:p>
    <w:p w14:paraId="1611712B">
      <w:pPr>
        <w:pStyle w:val="17"/>
        <w:spacing w:beforeAutospacing="0" w:afterAutospacing="0"/>
        <w:jc w:val="both"/>
        <w:rPr>
          <w:highlight w:val="none"/>
        </w:rPr>
      </w:pPr>
      <w:r>
        <w:rPr>
          <w:highlight w:val="none"/>
        </w:rPr>
        <w:t> </w:t>
      </w:r>
    </w:p>
    <w:p w14:paraId="69FAA169">
      <w:pPr>
        <w:pStyle w:val="17"/>
        <w:spacing w:beforeAutospacing="0" w:afterAutospacing="0"/>
        <w:jc w:val="both"/>
        <w:rPr>
          <w:highlight w:val="none"/>
        </w:rPr>
      </w:pPr>
      <w:r>
        <w:rPr>
          <w:highlight w:val="none"/>
        </w:rPr>
        <w:t> </w:t>
      </w:r>
    </w:p>
    <w:p w14:paraId="4182AF71">
      <w:pPr>
        <w:pStyle w:val="17"/>
        <w:spacing w:beforeAutospacing="0" w:afterAutospacing="0"/>
        <w:jc w:val="both"/>
        <w:rPr>
          <w:highlight w:val="none"/>
        </w:rPr>
      </w:pPr>
      <w:r>
        <w:rPr>
          <w:highlight w:val="none"/>
        </w:rPr>
        <w:t> </w:t>
      </w:r>
    </w:p>
    <w:p w14:paraId="71654CC7">
      <w:pPr>
        <w:pStyle w:val="17"/>
        <w:spacing w:beforeAutospacing="0" w:afterAutospacing="0"/>
        <w:jc w:val="both"/>
        <w:rPr>
          <w:highlight w:val="none"/>
        </w:rPr>
      </w:pPr>
      <w:r>
        <w:rPr>
          <w:highlight w:val="none"/>
        </w:rPr>
        <w:t> </w:t>
      </w:r>
    </w:p>
    <w:p w14:paraId="04037430">
      <w:pPr>
        <w:pStyle w:val="17"/>
        <w:spacing w:beforeAutospacing="0" w:afterAutospacing="0"/>
        <w:jc w:val="both"/>
        <w:rPr>
          <w:highlight w:val="none"/>
        </w:rPr>
      </w:pPr>
      <w:r>
        <w:rPr>
          <w:highlight w:val="none"/>
        </w:rPr>
        <w:t> </w:t>
      </w:r>
    </w:p>
    <w:p w14:paraId="781B204C">
      <w:pPr>
        <w:pStyle w:val="17"/>
        <w:spacing w:beforeAutospacing="0" w:afterAutospacing="0"/>
        <w:jc w:val="both"/>
        <w:rPr>
          <w:highlight w:val="none"/>
        </w:rPr>
      </w:pPr>
      <w:r>
        <w:rPr>
          <w:highlight w:val="none"/>
        </w:rPr>
        <w:t> </w:t>
      </w:r>
    </w:p>
    <w:p w14:paraId="267F7F03">
      <w:pPr>
        <w:pStyle w:val="17"/>
        <w:spacing w:beforeAutospacing="0" w:afterAutospacing="0"/>
        <w:jc w:val="both"/>
        <w:rPr>
          <w:highlight w:val="none"/>
        </w:rPr>
      </w:pPr>
      <w:r>
        <w:rPr>
          <w:highlight w:val="none"/>
        </w:rPr>
        <w:t> </w:t>
      </w:r>
    </w:p>
    <w:p w14:paraId="27498963">
      <w:pPr>
        <w:pStyle w:val="17"/>
        <w:spacing w:beforeAutospacing="0" w:afterAutospacing="0"/>
        <w:jc w:val="both"/>
        <w:rPr>
          <w:highlight w:val="none"/>
        </w:rPr>
      </w:pPr>
      <w:r>
        <w:rPr>
          <w:highlight w:val="none"/>
        </w:rPr>
        <w:t> </w:t>
      </w:r>
    </w:p>
    <w:p w14:paraId="46A18BE9">
      <w:pPr>
        <w:pStyle w:val="17"/>
        <w:spacing w:beforeAutospacing="0" w:afterAutospacing="0"/>
        <w:jc w:val="both"/>
        <w:rPr>
          <w:highlight w:val="none"/>
        </w:rPr>
      </w:pPr>
      <w:r>
        <w:rPr>
          <w:highlight w:val="none"/>
        </w:rPr>
        <w:t> </w:t>
      </w:r>
    </w:p>
    <w:p w14:paraId="4328D0A4">
      <w:pPr>
        <w:pStyle w:val="17"/>
        <w:spacing w:beforeAutospacing="0" w:afterAutospacing="0"/>
        <w:jc w:val="both"/>
        <w:rPr>
          <w:highlight w:val="none"/>
        </w:rPr>
      </w:pPr>
      <w:r>
        <w:rPr>
          <w:highlight w:val="none"/>
        </w:rPr>
        <w:t> </w:t>
      </w:r>
    </w:p>
    <w:p w14:paraId="6222989F">
      <w:pPr>
        <w:pStyle w:val="17"/>
        <w:spacing w:beforeAutospacing="0" w:afterAutospacing="0"/>
        <w:jc w:val="both"/>
        <w:rPr>
          <w:highlight w:val="none"/>
        </w:rPr>
      </w:pPr>
      <w:r>
        <w:rPr>
          <w:highlight w:val="none"/>
        </w:rPr>
        <w:t> </w:t>
      </w:r>
    </w:p>
    <w:p w14:paraId="16612821">
      <w:pPr>
        <w:pStyle w:val="17"/>
        <w:spacing w:beforeAutospacing="0" w:afterAutospacing="0"/>
        <w:jc w:val="both"/>
        <w:rPr>
          <w:highlight w:val="none"/>
        </w:rPr>
      </w:pPr>
      <w:r>
        <w:rPr>
          <w:highlight w:val="none"/>
        </w:rPr>
        <w:t> </w:t>
      </w:r>
    </w:p>
    <w:p w14:paraId="34917203">
      <w:pPr>
        <w:pStyle w:val="17"/>
        <w:spacing w:beforeAutospacing="0" w:afterAutospacing="0"/>
        <w:jc w:val="both"/>
        <w:rPr>
          <w:highlight w:val="none"/>
        </w:rPr>
      </w:pPr>
      <w:r>
        <w:rPr>
          <w:highlight w:val="none"/>
        </w:rPr>
        <w:t> </w:t>
      </w:r>
    </w:p>
    <w:p w14:paraId="2132A022">
      <w:pPr>
        <w:pStyle w:val="17"/>
        <w:spacing w:beforeAutospacing="0" w:afterAutospacing="0"/>
        <w:jc w:val="both"/>
        <w:rPr>
          <w:highlight w:val="none"/>
        </w:rPr>
      </w:pPr>
      <w:r>
        <w:rPr>
          <w:highlight w:val="none"/>
        </w:rPr>
        <w:t> </w:t>
      </w:r>
    </w:p>
    <w:p w14:paraId="403C6B04">
      <w:pPr>
        <w:pStyle w:val="17"/>
        <w:spacing w:beforeAutospacing="0" w:afterAutospacing="0"/>
        <w:jc w:val="both"/>
        <w:rPr>
          <w:highlight w:val="none"/>
        </w:rPr>
      </w:pPr>
      <w:r>
        <w:rPr>
          <w:highlight w:val="none"/>
        </w:rPr>
        <w:t> </w:t>
      </w:r>
    </w:p>
    <w:p w14:paraId="4D3F100B">
      <w:pPr>
        <w:pStyle w:val="17"/>
        <w:spacing w:beforeAutospacing="0" w:afterAutospacing="0"/>
        <w:jc w:val="both"/>
        <w:rPr>
          <w:highlight w:val="none"/>
        </w:rPr>
      </w:pPr>
      <w:r>
        <w:rPr>
          <w:highlight w:val="none"/>
        </w:rPr>
        <w:t> </w:t>
      </w:r>
    </w:p>
    <w:p w14:paraId="7F92285B">
      <w:pPr>
        <w:pStyle w:val="17"/>
        <w:spacing w:beforeAutospacing="0" w:afterAutospacing="0"/>
        <w:jc w:val="both"/>
        <w:rPr>
          <w:highlight w:val="none"/>
        </w:rPr>
      </w:pPr>
      <w:r>
        <w:rPr>
          <w:highlight w:val="none"/>
        </w:rPr>
        <w:t> </w:t>
      </w:r>
    </w:p>
    <w:p w14:paraId="1D73C107">
      <w:pPr>
        <w:pStyle w:val="17"/>
        <w:spacing w:beforeAutospacing="0" w:afterAutospacing="0"/>
        <w:jc w:val="both"/>
        <w:rPr>
          <w:highlight w:val="none"/>
        </w:rPr>
      </w:pPr>
      <w:r>
        <w:rPr>
          <w:highlight w:val="none"/>
        </w:rPr>
        <w:t> </w:t>
      </w:r>
    </w:p>
    <w:p w14:paraId="726FF3B9">
      <w:pPr>
        <w:pStyle w:val="17"/>
        <w:spacing w:beforeAutospacing="0" w:afterAutospacing="0"/>
        <w:jc w:val="both"/>
        <w:rPr>
          <w:highlight w:val="none"/>
        </w:rPr>
      </w:pPr>
      <w:r>
        <w:rPr>
          <w:highlight w:val="none"/>
        </w:rPr>
        <w:t> </w:t>
      </w:r>
    </w:p>
    <w:p w14:paraId="2DA54E0E">
      <w:pPr>
        <w:pStyle w:val="17"/>
        <w:spacing w:beforeAutospacing="0" w:afterAutospacing="0"/>
        <w:jc w:val="both"/>
        <w:rPr>
          <w:highlight w:val="none"/>
        </w:rPr>
      </w:pPr>
      <w:r>
        <w:rPr>
          <w:highlight w:val="none"/>
        </w:rPr>
        <w:t> </w:t>
      </w:r>
    </w:p>
    <w:p w14:paraId="20FE1C4E">
      <w:pPr>
        <w:pStyle w:val="17"/>
        <w:spacing w:beforeAutospacing="0" w:afterAutospacing="0"/>
        <w:jc w:val="both"/>
        <w:rPr>
          <w:highlight w:val="none"/>
        </w:rPr>
      </w:pPr>
      <w:r>
        <w:rPr>
          <w:highlight w:val="none"/>
        </w:rPr>
        <w:t> </w:t>
      </w:r>
    </w:p>
    <w:p w14:paraId="2659AB6A">
      <w:pPr>
        <w:pStyle w:val="17"/>
        <w:spacing w:beforeAutospacing="0" w:afterAutospacing="0"/>
        <w:jc w:val="both"/>
        <w:rPr>
          <w:highlight w:val="none"/>
        </w:rPr>
      </w:pPr>
      <w:r>
        <w:rPr>
          <w:highlight w:val="none"/>
        </w:rPr>
        <w:t> </w:t>
      </w:r>
    </w:p>
    <w:p w14:paraId="1B7B54F0">
      <w:pPr>
        <w:pStyle w:val="17"/>
        <w:spacing w:beforeAutospacing="0" w:afterAutospacing="0"/>
        <w:jc w:val="both"/>
        <w:rPr>
          <w:highlight w:val="none"/>
        </w:rPr>
      </w:pPr>
    </w:p>
    <w:p w14:paraId="07F56FFF">
      <w:pPr>
        <w:pStyle w:val="17"/>
        <w:spacing w:beforeAutospacing="0" w:afterAutospacing="0"/>
        <w:jc w:val="both"/>
        <w:rPr>
          <w:highlight w:val="none"/>
        </w:rPr>
      </w:pPr>
      <w:r>
        <w:rPr>
          <w:highlight w:val="none"/>
        </w:rPr>
        <w:t> </w:t>
      </w:r>
    </w:p>
    <w:p w14:paraId="19390A04">
      <w:pPr>
        <w:pStyle w:val="17"/>
        <w:spacing w:beforeAutospacing="0" w:afterAutospacing="0"/>
        <w:jc w:val="both"/>
        <w:rPr>
          <w:highlight w:val="none"/>
        </w:rPr>
      </w:pPr>
      <w:r>
        <w:rPr>
          <w:highlight w:val="none"/>
        </w:rPr>
        <w:t> </w:t>
      </w:r>
    </w:p>
    <w:p w14:paraId="485CAADD">
      <w:pPr>
        <w:pStyle w:val="17"/>
        <w:spacing w:beforeAutospacing="0" w:afterAutospacing="0"/>
        <w:jc w:val="both"/>
        <w:rPr>
          <w:highlight w:val="none"/>
        </w:rPr>
      </w:pPr>
      <w:r>
        <w:rPr>
          <w:highlight w:val="none"/>
        </w:rPr>
        <w:t> </w:t>
      </w:r>
    </w:p>
    <w:p w14:paraId="1BD3B459">
      <w:pPr>
        <w:pStyle w:val="17"/>
        <w:keepNext w:val="0"/>
        <w:keepLines w:val="0"/>
        <w:pageBreakBefore w:val="0"/>
        <w:widowControl w:val="0"/>
        <w:kinsoku/>
        <w:wordWrap/>
        <w:overflowPunct/>
        <w:topLinePunct w:val="0"/>
        <w:autoSpaceDE/>
        <w:autoSpaceDN/>
        <w:bidi w:val="0"/>
        <w:adjustRightInd/>
        <w:snapToGrid/>
        <w:spacing w:beforeAutospacing="0" w:afterAutospacing="0" w:line="520" w:lineRule="exact"/>
        <w:ind w:right="839" w:rightChars="0"/>
        <w:jc w:val="center"/>
        <w:textAlignment w:val="auto"/>
        <w:outlineLvl w:val="9"/>
        <w:rPr>
          <w:rFonts w:hint="eastAsia" w:ascii="宋体" w:hAnsi="宋体" w:eastAsia="宋体" w:cs="宋体"/>
          <w:b/>
          <w:bCs/>
          <w:color w:val="000000"/>
          <w:sz w:val="40"/>
          <w:szCs w:val="40"/>
          <w:highlight w:val="none"/>
        </w:rPr>
        <w:sectPr>
          <w:footerReference r:id="rId3" w:type="default"/>
          <w:pgSz w:w="11906" w:h="16838"/>
          <w:pgMar w:top="1134" w:right="1134" w:bottom="1134" w:left="1134" w:header="851" w:footer="992" w:gutter="0"/>
          <w:cols w:space="425" w:num="1"/>
          <w:docGrid w:type="lines" w:linePitch="312" w:charSpace="0"/>
        </w:sectPr>
      </w:pPr>
    </w:p>
    <w:p w14:paraId="46154823">
      <w:pPr>
        <w:pStyle w:val="17"/>
        <w:keepNext w:val="0"/>
        <w:keepLines w:val="0"/>
        <w:pageBreakBefore w:val="0"/>
        <w:widowControl w:val="0"/>
        <w:kinsoku/>
        <w:wordWrap/>
        <w:overflowPunct/>
        <w:topLinePunct w:val="0"/>
        <w:autoSpaceDE/>
        <w:autoSpaceDN/>
        <w:bidi w:val="0"/>
        <w:adjustRightInd/>
        <w:snapToGrid/>
        <w:spacing w:beforeAutospacing="0" w:afterAutospacing="0" w:line="520" w:lineRule="exact"/>
        <w:ind w:right="839" w:rightChars="0"/>
        <w:jc w:val="center"/>
        <w:textAlignment w:val="auto"/>
        <w:outlineLvl w:val="0"/>
        <w:rPr>
          <w:rFonts w:hint="default" w:ascii="宋体" w:hAnsi="宋体" w:eastAsia="宋体" w:cs="宋体"/>
          <w:b/>
          <w:bCs/>
          <w:color w:val="000000"/>
          <w:sz w:val="40"/>
          <w:szCs w:val="40"/>
          <w:highlight w:val="none"/>
          <w:lang w:val="en-US" w:eastAsia="zh-CN"/>
        </w:rPr>
      </w:pPr>
      <w:r>
        <w:rPr>
          <w:rFonts w:hint="eastAsia" w:ascii="宋体" w:hAnsi="宋体" w:eastAsia="宋体" w:cs="宋体"/>
          <w:b/>
          <w:bCs/>
          <w:color w:val="000000"/>
          <w:sz w:val="40"/>
          <w:szCs w:val="40"/>
          <w:highlight w:val="none"/>
        </w:rPr>
        <w:t>第一章 </w:t>
      </w:r>
      <w:r>
        <w:rPr>
          <w:rFonts w:hint="eastAsia" w:ascii="宋体" w:hAnsi="宋体" w:eastAsia="宋体" w:cs="宋体"/>
          <w:b/>
          <w:bCs/>
          <w:color w:val="000000"/>
          <w:sz w:val="40"/>
          <w:szCs w:val="40"/>
          <w:highlight w:val="none"/>
          <w:lang w:val="en-US" w:eastAsia="zh-CN"/>
        </w:rPr>
        <w:t>招标公告</w:t>
      </w:r>
    </w:p>
    <w:p w14:paraId="3A37393B">
      <w:pPr>
        <w:pStyle w:val="17"/>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360" w:lineRule="exact"/>
        <w:ind w:firstLine="482" w:firstLineChars="200"/>
        <w:jc w:val="both"/>
        <w:textAlignment w:val="auto"/>
        <w:outlineLvl w:val="0"/>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项目概况</w:t>
      </w:r>
    </w:p>
    <w:p w14:paraId="54A8B89E">
      <w:pPr>
        <w:pStyle w:val="17"/>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rPr>
        <w:t>射阳县退役军人事务局2026-2027年度优抚对象及困难企业军转干健康体检合作医院采购项目</w:t>
      </w:r>
      <w:r>
        <w:rPr>
          <w:rFonts w:hint="eastAsia" w:ascii="宋体" w:hAnsi="宋体" w:eastAsia="宋体" w:cs="宋体"/>
          <w:color w:val="000000"/>
          <w:sz w:val="24"/>
          <w:szCs w:val="24"/>
          <w:highlight w:val="none"/>
        </w:rPr>
        <w:t>招标项目的潜在投标人可在</w:t>
      </w:r>
      <w:r>
        <w:rPr>
          <w:rFonts w:hint="eastAsia" w:ascii="宋体" w:hAnsi="宋体" w:eastAsia="宋体" w:cs="宋体"/>
          <w:i w:val="0"/>
          <w:iCs w:val="0"/>
          <w:caps w:val="0"/>
          <w:color w:val="333333"/>
          <w:spacing w:val="0"/>
          <w:sz w:val="24"/>
          <w:szCs w:val="24"/>
          <w:highlight w:val="none"/>
          <w:shd w:val="clear" w:fill="FFFFFF"/>
        </w:rPr>
        <w:t>“苏采云”系统内免费下载（投标人必须在苏采云系统中获取采购文件，方能参与政府采购项目）</w:t>
      </w:r>
      <w:r>
        <w:rPr>
          <w:rFonts w:hint="eastAsia" w:ascii="宋体" w:hAnsi="宋体" w:eastAsia="宋体" w:cs="宋体"/>
          <w:color w:val="000000"/>
          <w:sz w:val="24"/>
          <w:szCs w:val="24"/>
          <w:highlight w:val="none"/>
        </w:rPr>
        <w:t>，并于</w:t>
      </w:r>
      <w:r>
        <w:rPr>
          <w:rFonts w:hint="eastAsia" w:ascii="宋体" w:hAnsi="宋体" w:eastAsia="宋体" w:cs="宋体"/>
          <w:color w:val="000000"/>
          <w:sz w:val="24"/>
          <w:szCs w:val="24"/>
          <w:highlight w:val="none"/>
          <w:u w:val="single"/>
          <w:lang w:val="en-US" w:eastAsia="zh-CN"/>
        </w:rPr>
        <w:t>2026</w:t>
      </w:r>
      <w:r>
        <w:rPr>
          <w:rFonts w:hint="eastAsia" w:ascii="宋体" w:hAnsi="宋体" w:eastAsia="宋体" w:cs="宋体"/>
          <w:color w:val="000000"/>
          <w:sz w:val="24"/>
          <w:szCs w:val="24"/>
          <w:highlight w:val="none"/>
          <w:u w:val="single"/>
        </w:rPr>
        <w:t>年</w:t>
      </w:r>
      <w:r>
        <w:rPr>
          <w:rFonts w:hint="eastAsia" w:ascii="宋体" w:hAnsi="宋体" w:eastAsia="宋体" w:cs="宋体"/>
          <w:color w:val="000000"/>
          <w:sz w:val="24"/>
          <w:szCs w:val="24"/>
          <w:highlight w:val="none"/>
          <w:u w:val="single"/>
          <w:lang w:val="en-US" w:eastAsia="zh-CN"/>
        </w:rPr>
        <w:t>6</w:t>
      </w:r>
      <w:r>
        <w:rPr>
          <w:rFonts w:hint="eastAsia" w:ascii="宋体" w:hAnsi="宋体" w:eastAsia="宋体" w:cs="宋体"/>
          <w:color w:val="000000"/>
          <w:sz w:val="24"/>
          <w:szCs w:val="24"/>
          <w:highlight w:val="none"/>
          <w:u w:val="single"/>
        </w:rPr>
        <w:t>月</w:t>
      </w:r>
      <w:r>
        <w:rPr>
          <w:rFonts w:hint="eastAsia" w:ascii="宋体" w:hAnsi="宋体" w:eastAsia="宋体" w:cs="宋体"/>
          <w:color w:val="000000"/>
          <w:sz w:val="24"/>
          <w:szCs w:val="24"/>
          <w:highlight w:val="none"/>
          <w:u w:val="single"/>
          <w:lang w:val="en-US" w:eastAsia="zh-CN"/>
        </w:rPr>
        <w:t>30</w:t>
      </w:r>
      <w:r>
        <w:rPr>
          <w:rFonts w:hint="eastAsia" w:ascii="宋体" w:hAnsi="宋体" w:eastAsia="宋体" w:cs="宋体"/>
          <w:color w:val="000000"/>
          <w:sz w:val="24"/>
          <w:szCs w:val="24"/>
          <w:highlight w:val="none"/>
          <w:u w:val="single"/>
        </w:rPr>
        <w:t>日</w:t>
      </w:r>
      <w:r>
        <w:rPr>
          <w:rFonts w:hint="eastAsia" w:ascii="宋体" w:hAnsi="宋体" w:eastAsia="宋体" w:cs="宋体"/>
          <w:color w:val="000000"/>
          <w:sz w:val="24"/>
          <w:szCs w:val="24"/>
          <w:highlight w:val="none"/>
          <w:u w:val="single"/>
          <w:lang w:val="en-US" w:eastAsia="zh-CN"/>
        </w:rPr>
        <w:t>15</w:t>
      </w:r>
      <w:r>
        <w:rPr>
          <w:rFonts w:hint="eastAsia" w:ascii="宋体" w:hAnsi="宋体" w:eastAsia="宋体" w:cs="宋体"/>
          <w:color w:val="000000"/>
          <w:sz w:val="24"/>
          <w:szCs w:val="24"/>
          <w:highlight w:val="none"/>
          <w:u w:val="single"/>
        </w:rPr>
        <w:t>点</w:t>
      </w:r>
      <w:r>
        <w:rPr>
          <w:rFonts w:hint="eastAsia" w:ascii="宋体" w:hAnsi="宋体" w:eastAsia="宋体" w:cs="宋体"/>
          <w:color w:val="000000"/>
          <w:sz w:val="24"/>
          <w:szCs w:val="24"/>
          <w:highlight w:val="none"/>
          <w:u w:val="single"/>
          <w:lang w:val="en-US" w:eastAsia="zh-CN"/>
        </w:rPr>
        <w:t>00</w:t>
      </w:r>
      <w:r>
        <w:rPr>
          <w:rFonts w:hint="eastAsia" w:ascii="宋体" w:hAnsi="宋体" w:eastAsia="宋体" w:cs="宋体"/>
          <w:color w:val="000000"/>
          <w:sz w:val="24"/>
          <w:szCs w:val="24"/>
          <w:highlight w:val="none"/>
          <w:u w:val="single"/>
        </w:rPr>
        <w:t>分</w:t>
      </w:r>
      <w:r>
        <w:rPr>
          <w:rFonts w:hint="eastAsia" w:ascii="宋体" w:hAnsi="宋体" w:eastAsia="宋体" w:cs="宋体"/>
          <w:color w:val="000000"/>
          <w:sz w:val="24"/>
          <w:szCs w:val="24"/>
          <w:highlight w:val="none"/>
          <w:u w:val="none"/>
        </w:rPr>
        <w:t>（</w:t>
      </w:r>
      <w:r>
        <w:rPr>
          <w:rFonts w:hint="eastAsia" w:ascii="宋体" w:hAnsi="宋体" w:eastAsia="宋体" w:cs="宋体"/>
          <w:color w:val="000000"/>
          <w:sz w:val="24"/>
          <w:szCs w:val="24"/>
          <w:highlight w:val="none"/>
        </w:rPr>
        <w:t>北京时间）前递交投标文件。</w:t>
      </w:r>
    </w:p>
    <w:p w14:paraId="5C0F5791">
      <w:pPr>
        <w:pStyle w:val="17"/>
        <w:keepNext/>
        <w:keepLines/>
        <w:pageBreakBefore w:val="0"/>
        <w:widowControl w:val="0"/>
        <w:kinsoku/>
        <w:wordWrap/>
        <w:overflowPunct/>
        <w:topLinePunct w:val="0"/>
        <w:autoSpaceDE/>
        <w:autoSpaceDN/>
        <w:bidi w:val="0"/>
        <w:adjustRightInd/>
        <w:snapToGrid/>
        <w:spacing w:before="145" w:beforeAutospacing="0" w:after="145" w:afterAutospacing="0" w:line="400" w:lineRule="exact"/>
        <w:ind w:firstLine="562" w:firstLineChars="200"/>
        <w:jc w:val="both"/>
        <w:textAlignment w:val="auto"/>
        <w:outlineLvl w:val="0"/>
        <w:rPr>
          <w:rFonts w:hint="eastAsia" w:ascii="宋体" w:hAnsi="宋体" w:eastAsia="宋体" w:cs="宋体"/>
          <w:sz w:val="28"/>
          <w:szCs w:val="28"/>
          <w:highlight w:val="none"/>
        </w:rPr>
      </w:pPr>
      <w:bookmarkStart w:id="8" w:name="_Toc38985263"/>
      <w:bookmarkStart w:id="9" w:name="_Toc35393621"/>
      <w:bookmarkStart w:id="10" w:name="_Hlk24379207"/>
      <w:bookmarkStart w:id="11" w:name="_Toc28359079"/>
      <w:bookmarkStart w:id="12" w:name="_Toc28359002"/>
      <w:bookmarkStart w:id="13" w:name="_Toc35393790"/>
      <w:r>
        <w:rPr>
          <w:rFonts w:hint="eastAsia" w:ascii="宋体" w:hAnsi="宋体" w:eastAsia="宋体" w:cs="宋体"/>
          <w:b/>
          <w:color w:val="000000"/>
          <w:sz w:val="28"/>
          <w:szCs w:val="28"/>
          <w:highlight w:val="none"/>
        </w:rPr>
        <w:t>一、项目基本情况</w:t>
      </w:r>
      <w:bookmarkEnd w:id="8"/>
      <w:bookmarkEnd w:id="9"/>
      <w:bookmarkEnd w:id="10"/>
      <w:bookmarkEnd w:id="11"/>
      <w:bookmarkEnd w:id="12"/>
      <w:bookmarkEnd w:id="13"/>
    </w:p>
    <w:p w14:paraId="30AF9F4B">
      <w:pPr>
        <w:pStyle w:val="17"/>
        <w:pageBreakBefore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1.项目编号：JSZC-320924-SYHY-G2026-0007</w:t>
      </w:r>
    </w:p>
    <w:p w14:paraId="724DA292">
      <w:pPr>
        <w:pStyle w:val="17"/>
        <w:pageBreakBefore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2.项目名称：射阳县退役军人事务局2026-2027年度优抚对象及困难企业军转干健康体检合作医院采购项目</w:t>
      </w:r>
    </w:p>
    <w:p w14:paraId="35EBDC8A">
      <w:pPr>
        <w:pStyle w:val="17"/>
        <w:pageBreakBefore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3.</w:t>
      </w:r>
      <w:r>
        <w:rPr>
          <w:rFonts w:hint="eastAsia" w:ascii="宋体" w:hAnsi="宋体" w:eastAsia="宋体" w:cs="宋体"/>
          <w:i w:val="0"/>
          <w:iCs w:val="0"/>
          <w:caps w:val="0"/>
          <w:color w:val="333333"/>
          <w:spacing w:val="0"/>
          <w:sz w:val="24"/>
          <w:szCs w:val="24"/>
          <w:highlight w:val="none"/>
          <w:shd w:val="clear" w:fill="FFFFFF"/>
        </w:rPr>
        <w:t>采购方式：</w:t>
      </w:r>
      <w:r>
        <w:rPr>
          <w:rFonts w:hint="eastAsia" w:ascii="宋体" w:hAnsi="宋体" w:eastAsia="宋体" w:cs="宋体"/>
          <w:i w:val="0"/>
          <w:iCs w:val="0"/>
          <w:caps w:val="0"/>
          <w:color w:val="333333"/>
          <w:spacing w:val="0"/>
          <w:sz w:val="24"/>
          <w:szCs w:val="24"/>
          <w:highlight w:val="none"/>
          <w:shd w:val="clear" w:fill="FFFFFF"/>
          <w:lang w:val="en-US" w:eastAsia="zh-CN"/>
        </w:rPr>
        <w:t>公开招标</w:t>
      </w:r>
    </w:p>
    <w:p w14:paraId="654D0C61">
      <w:pPr>
        <w:pStyle w:val="17"/>
        <w:pageBreakBefore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.预算金额：439.92万元</w:t>
      </w:r>
    </w:p>
    <w:p w14:paraId="638F2993">
      <w:pPr>
        <w:pStyle w:val="17"/>
        <w:pageBreakBefore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最高限价：439.92万元（2</w:t>
      </w:r>
      <w:r>
        <w:rPr>
          <w:rFonts w:hint="eastAsia" w:ascii="宋体" w:hAnsi="宋体" w:eastAsia="宋体" w:cs="宋体"/>
          <w:color w:val="000000"/>
          <w:sz w:val="24"/>
          <w:szCs w:val="24"/>
          <w:highlight w:val="none"/>
          <w:lang w:val="en-US" w:eastAsia="zh-CN"/>
        </w:rPr>
        <w:t>19.96</w:t>
      </w:r>
      <w:r>
        <w:rPr>
          <w:rFonts w:hint="eastAsia" w:ascii="宋体" w:hAnsi="宋体" w:eastAsia="宋体" w:cs="宋体"/>
          <w:color w:val="000000"/>
          <w:sz w:val="24"/>
          <w:szCs w:val="24"/>
          <w:highlight w:val="none"/>
        </w:rPr>
        <w:t>万元/年，合同期2年，</w:t>
      </w:r>
      <w:r>
        <w:rPr>
          <w:rFonts w:hint="eastAsia" w:ascii="宋体" w:hAnsi="宋体" w:eastAsia="宋体" w:cs="宋体"/>
          <w:color w:val="000000"/>
          <w:sz w:val="24"/>
          <w:szCs w:val="24"/>
          <w:highlight w:val="none"/>
          <w:lang w:val="en-US" w:eastAsia="zh-CN"/>
        </w:rPr>
        <w:t>每人一</w:t>
      </w:r>
      <w:r>
        <w:rPr>
          <w:rFonts w:hint="eastAsia" w:ascii="宋体" w:hAnsi="宋体" w:eastAsia="宋体" w:cs="宋体"/>
          <w:color w:val="000000"/>
          <w:sz w:val="24"/>
          <w:szCs w:val="24"/>
          <w:highlight w:val="none"/>
        </w:rPr>
        <w:t>年体检一次，本项目</w:t>
      </w:r>
      <w:r>
        <w:rPr>
          <w:rFonts w:hint="eastAsia" w:ascii="宋体" w:hAnsi="宋体" w:eastAsia="宋体" w:cs="宋体"/>
          <w:color w:val="000000"/>
          <w:sz w:val="24"/>
          <w:szCs w:val="24"/>
          <w:highlight w:val="none"/>
          <w:lang w:val="en-US" w:eastAsia="zh-CN"/>
        </w:rPr>
        <w:t>采用固定</w:t>
      </w:r>
      <w:r>
        <w:rPr>
          <w:rFonts w:hint="eastAsia" w:ascii="宋体" w:hAnsi="宋体" w:eastAsia="宋体" w:cs="宋体"/>
          <w:color w:val="000000"/>
          <w:sz w:val="24"/>
          <w:szCs w:val="24"/>
          <w:highlight w:val="none"/>
        </w:rPr>
        <w:t>单价招标</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360元/</w:t>
      </w:r>
      <w:r>
        <w:rPr>
          <w:rFonts w:hint="eastAsia" w:ascii="宋体" w:hAnsi="宋体" w:eastAsia="宋体" w:cs="宋体"/>
          <w:color w:val="000000"/>
          <w:sz w:val="24"/>
          <w:szCs w:val="24"/>
          <w:highlight w:val="none"/>
          <w:lang w:val="en-US" w:eastAsia="zh-CN"/>
        </w:rPr>
        <w:t>次</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投标人不得修改单价，</w:t>
      </w:r>
      <w:r>
        <w:rPr>
          <w:rFonts w:hint="eastAsia" w:ascii="宋体" w:hAnsi="宋体" w:eastAsia="宋体" w:cs="宋体"/>
          <w:color w:val="000000"/>
          <w:sz w:val="24"/>
          <w:szCs w:val="24"/>
          <w:highlight w:val="none"/>
        </w:rPr>
        <w:t>年终按实际体检人数结算），投标</w:t>
      </w:r>
      <w:r>
        <w:rPr>
          <w:rFonts w:hint="eastAsia" w:ascii="宋体" w:hAnsi="宋体" w:eastAsia="宋体" w:cs="宋体"/>
          <w:color w:val="000000"/>
          <w:sz w:val="24"/>
          <w:szCs w:val="24"/>
          <w:highlight w:val="none"/>
          <w:lang w:val="en-US" w:eastAsia="zh-CN"/>
        </w:rPr>
        <w:t>单价</w:t>
      </w:r>
      <w:r>
        <w:rPr>
          <w:rFonts w:hint="eastAsia" w:ascii="宋体" w:hAnsi="宋体" w:eastAsia="宋体" w:cs="宋体"/>
          <w:color w:val="000000"/>
          <w:sz w:val="24"/>
          <w:szCs w:val="24"/>
          <w:highlight w:val="none"/>
        </w:rPr>
        <w:t>高于</w:t>
      </w:r>
      <w:r>
        <w:rPr>
          <w:rFonts w:hint="eastAsia" w:ascii="宋体" w:hAnsi="宋体" w:eastAsia="宋体" w:cs="宋体"/>
          <w:color w:val="000000"/>
          <w:sz w:val="24"/>
          <w:szCs w:val="24"/>
          <w:highlight w:val="none"/>
          <w:lang w:eastAsia="zh-CN"/>
        </w:rPr>
        <w:t>固定单价</w:t>
      </w:r>
      <w:r>
        <w:rPr>
          <w:rFonts w:hint="eastAsia" w:ascii="宋体" w:hAnsi="宋体" w:eastAsia="宋体" w:cs="宋体"/>
          <w:color w:val="000000"/>
          <w:sz w:val="24"/>
          <w:szCs w:val="24"/>
          <w:highlight w:val="none"/>
        </w:rPr>
        <w:t>的作无效标处理。</w:t>
      </w:r>
    </w:p>
    <w:p w14:paraId="0E4EBCE4">
      <w:pPr>
        <w:pStyle w:val="17"/>
        <w:pageBreakBefore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6.评标方法：综合评分法</w:t>
      </w:r>
    </w:p>
    <w:p w14:paraId="3EADC19A">
      <w:pPr>
        <w:pStyle w:val="17"/>
        <w:pageBreakBefore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.采购需求：根据优抚工作要求，</w:t>
      </w:r>
      <w:r>
        <w:rPr>
          <w:rFonts w:hint="eastAsia" w:ascii="宋体" w:hAnsi="宋体" w:eastAsia="宋体" w:cs="宋体"/>
          <w:color w:val="000000"/>
          <w:sz w:val="24"/>
          <w:szCs w:val="24"/>
          <w:highlight w:val="none"/>
          <w:lang w:val="en-US" w:eastAsia="zh-CN"/>
        </w:rPr>
        <w:t>每年为</w:t>
      </w:r>
      <w:r>
        <w:rPr>
          <w:rFonts w:hint="eastAsia" w:ascii="宋体" w:hAnsi="宋体" w:eastAsia="宋体" w:cs="宋体"/>
          <w:color w:val="000000"/>
          <w:sz w:val="24"/>
          <w:szCs w:val="24"/>
          <w:highlight w:val="none"/>
        </w:rPr>
        <w:t>重点优抚对象和困难企业军转干免费健康体检一次</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2025年我县重点优抚对象</w:t>
      </w:r>
      <w:r>
        <w:rPr>
          <w:rFonts w:hint="eastAsia" w:ascii="宋体" w:hAnsi="宋体" w:eastAsia="宋体" w:cs="宋体"/>
          <w:color w:val="000000"/>
          <w:sz w:val="24"/>
          <w:szCs w:val="24"/>
          <w:highlight w:val="none"/>
          <w:lang w:val="en-US" w:eastAsia="zh-CN"/>
        </w:rPr>
        <w:t>约为</w:t>
      </w:r>
      <w:r>
        <w:rPr>
          <w:rFonts w:hint="eastAsia" w:ascii="宋体" w:hAnsi="宋体" w:eastAsia="宋体" w:cs="宋体"/>
          <w:color w:val="000000"/>
          <w:sz w:val="24"/>
          <w:szCs w:val="24"/>
          <w:highlight w:val="none"/>
        </w:rPr>
        <w:t>5800人，困难企业军转干约为310人，合计约为6110人。</w:t>
      </w:r>
      <w:r>
        <w:rPr>
          <w:rFonts w:hint="eastAsia" w:ascii="宋体" w:hAnsi="宋体" w:eastAsia="宋体" w:cs="宋体"/>
          <w:color w:val="000000"/>
          <w:sz w:val="24"/>
          <w:szCs w:val="24"/>
          <w:highlight w:val="none"/>
          <w:lang w:val="en-US" w:eastAsia="zh-CN"/>
        </w:rPr>
        <w:t>要求</w:t>
      </w:r>
      <w:r>
        <w:rPr>
          <w:rFonts w:hint="eastAsia" w:ascii="宋体" w:hAnsi="宋体" w:eastAsia="宋体" w:cs="宋体"/>
          <w:color w:val="000000"/>
          <w:sz w:val="24"/>
          <w:szCs w:val="24"/>
          <w:highlight w:val="none"/>
        </w:rPr>
        <w:t>投标单位每日至少能够安排检查人数达50人以上，设有专门的体检接待场所并有专人接待、专人服务、专人引导、热情服务。</w:t>
      </w:r>
      <w:r>
        <w:rPr>
          <w:rFonts w:hint="eastAsia" w:ascii="宋体" w:hAnsi="宋体" w:eastAsia="宋体" w:cs="宋体"/>
          <w:color w:val="000000"/>
          <w:sz w:val="24"/>
          <w:szCs w:val="24"/>
          <w:highlight w:val="none"/>
          <w:lang w:val="en-US" w:eastAsia="zh-CN"/>
        </w:rPr>
        <w:t>能够</w:t>
      </w:r>
      <w:r>
        <w:rPr>
          <w:rFonts w:hint="eastAsia" w:ascii="宋体" w:hAnsi="宋体" w:eastAsia="宋体" w:cs="宋体"/>
          <w:color w:val="000000"/>
          <w:sz w:val="24"/>
          <w:szCs w:val="24"/>
          <w:highlight w:val="none"/>
        </w:rPr>
        <w:t>为参加体检的人员提供免费早餐、体检、健康状况评估报告、健康咨询和结果解释等服务。具体采购范围及所应达到的具体要求，以招标文件采购需求中的相应规定为准。</w:t>
      </w:r>
    </w:p>
    <w:p w14:paraId="143BD5F8">
      <w:pPr>
        <w:pStyle w:val="17"/>
        <w:pageBreakBefore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.合同履行期限：合同期2年，自签订合同之日起至2027年12月31日。</w:t>
      </w:r>
      <w:r>
        <w:rPr>
          <w:rFonts w:hint="eastAsia" w:ascii="宋体" w:hAnsi="宋体" w:eastAsia="宋体" w:cs="宋体"/>
          <w:color w:val="000000"/>
          <w:sz w:val="24"/>
          <w:szCs w:val="24"/>
          <w:highlight w:val="none"/>
          <w:lang w:val="en-US" w:eastAsia="zh-CN"/>
        </w:rPr>
        <w:t xml:space="preserve"> </w:t>
      </w:r>
    </w:p>
    <w:p w14:paraId="3E504950">
      <w:pPr>
        <w:pStyle w:val="17"/>
        <w:pageBreakBefore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9.履约地点：中标人提供服务地点。</w:t>
      </w:r>
    </w:p>
    <w:p w14:paraId="52432C18">
      <w:pPr>
        <w:pStyle w:val="17"/>
        <w:pageBreakBefore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10.</w:t>
      </w:r>
      <w:r>
        <w:rPr>
          <w:rFonts w:hint="eastAsia" w:ascii="宋体" w:hAnsi="宋体" w:eastAsia="宋体" w:cs="宋体"/>
          <w:color w:val="000000"/>
          <w:sz w:val="24"/>
          <w:szCs w:val="24"/>
          <w:highlight w:val="none"/>
        </w:rPr>
        <w:t>本项目不接受联合体投标。</w:t>
      </w:r>
    </w:p>
    <w:p w14:paraId="0D95F988">
      <w:pPr>
        <w:pStyle w:val="17"/>
        <w:keepNext/>
        <w:keepLines/>
        <w:pageBreakBefore w:val="0"/>
        <w:widowControl w:val="0"/>
        <w:kinsoku/>
        <w:wordWrap/>
        <w:overflowPunct/>
        <w:topLinePunct w:val="0"/>
        <w:autoSpaceDE/>
        <w:autoSpaceDN/>
        <w:bidi w:val="0"/>
        <w:adjustRightInd/>
        <w:snapToGrid/>
        <w:spacing w:before="145" w:beforeAutospacing="0" w:after="145" w:afterAutospacing="0" w:line="400" w:lineRule="exact"/>
        <w:ind w:firstLine="562" w:firstLineChars="200"/>
        <w:jc w:val="both"/>
        <w:textAlignment w:val="auto"/>
        <w:outlineLvl w:val="0"/>
        <w:rPr>
          <w:rFonts w:hint="eastAsia" w:ascii="宋体" w:hAnsi="宋体" w:eastAsia="宋体" w:cs="宋体"/>
          <w:b/>
          <w:color w:val="000000"/>
          <w:sz w:val="28"/>
          <w:szCs w:val="28"/>
          <w:highlight w:val="none"/>
        </w:rPr>
      </w:pPr>
      <w:bookmarkStart w:id="14" w:name="_Toc28359003"/>
      <w:bookmarkStart w:id="15" w:name="_Toc38985264"/>
      <w:bookmarkStart w:id="16" w:name="_Toc28359080"/>
      <w:bookmarkStart w:id="17" w:name="_Toc35393791"/>
      <w:bookmarkStart w:id="18" w:name="_Toc35393622"/>
      <w:r>
        <w:rPr>
          <w:rFonts w:hint="eastAsia" w:ascii="宋体" w:hAnsi="宋体" w:eastAsia="宋体" w:cs="宋体"/>
          <w:b/>
          <w:color w:val="000000"/>
          <w:sz w:val="28"/>
          <w:szCs w:val="28"/>
          <w:highlight w:val="none"/>
        </w:rPr>
        <w:t>二、申请人的资格要求</w:t>
      </w:r>
      <w:bookmarkEnd w:id="14"/>
      <w:bookmarkEnd w:id="15"/>
      <w:bookmarkEnd w:id="16"/>
      <w:bookmarkEnd w:id="17"/>
      <w:bookmarkEnd w:id="18"/>
    </w:p>
    <w:p w14:paraId="1D22B421">
      <w:pPr>
        <w:pStyle w:val="17"/>
        <w:pageBreakBefore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1.满足《中华人民共和国政府采购法》第二十二条规定，并提供下列材料：</w:t>
      </w:r>
    </w:p>
    <w:p w14:paraId="3839587F">
      <w:pPr>
        <w:pStyle w:val="17"/>
        <w:pageBreakBefore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1.1 法人或者其他组织的营业执照等证明文件，自然人的身份证明；</w:t>
      </w:r>
    </w:p>
    <w:p w14:paraId="747B7FCD">
      <w:pPr>
        <w:pStyle w:val="17"/>
        <w:pageBreakBefore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1.2上一年度的财务状况报</w:t>
      </w:r>
      <w:r>
        <w:rPr>
          <w:rFonts w:hint="eastAsia" w:ascii="宋体" w:hAnsi="宋体" w:eastAsia="宋体" w:cs="宋体"/>
          <w:color w:val="000000"/>
          <w:sz w:val="24"/>
          <w:szCs w:val="24"/>
          <w:highlight w:val="none"/>
          <w:lang w:val="en-US" w:eastAsia="zh-CN"/>
        </w:rPr>
        <w:t>表</w:t>
      </w:r>
      <w:r>
        <w:rPr>
          <w:rFonts w:hint="eastAsia" w:ascii="宋体" w:hAnsi="宋体" w:eastAsia="宋体" w:cs="宋体"/>
          <w:color w:val="000000"/>
          <w:sz w:val="24"/>
          <w:szCs w:val="24"/>
          <w:highlight w:val="none"/>
        </w:rPr>
        <w:t>（成立不满一年无需提供）；</w:t>
      </w:r>
    </w:p>
    <w:p w14:paraId="1459E6E0">
      <w:pPr>
        <w:pStyle w:val="17"/>
        <w:pageBreakBefore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1.3</w:t>
      </w:r>
      <w:r>
        <w:rPr>
          <w:rFonts w:hint="eastAsia" w:ascii="宋体" w:hAnsi="宋体" w:eastAsia="宋体" w:cs="宋体"/>
          <w:color w:val="000000"/>
          <w:sz w:val="24"/>
          <w:szCs w:val="24"/>
          <w:highlight w:val="none"/>
        </w:rPr>
        <w:t>具备履行合同所必需的设备和专业技术能力的书面声明；</w:t>
      </w:r>
    </w:p>
    <w:p w14:paraId="5312617D">
      <w:pPr>
        <w:pStyle w:val="17"/>
        <w:pageBreakBefore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1905CC55">
      <w:pPr>
        <w:pStyle w:val="17"/>
        <w:pageBreakBefore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.5参加政府采购活动前3年内在经营活动中没有重大违法记录的书面声明；</w:t>
      </w:r>
    </w:p>
    <w:p w14:paraId="48E03DAE">
      <w:pPr>
        <w:pStyle w:val="17"/>
        <w:pageBreakBefore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1.6法律、行政法规规定的其他条件</w:t>
      </w:r>
      <w:r>
        <w:rPr>
          <w:rFonts w:hint="eastAsia" w:ascii="宋体" w:hAnsi="宋体" w:eastAsia="宋体" w:cs="宋体"/>
          <w:color w:val="000000"/>
          <w:sz w:val="24"/>
          <w:szCs w:val="24"/>
          <w:highlight w:val="none"/>
        </w:rPr>
        <w:t>；</w:t>
      </w:r>
    </w:p>
    <w:p w14:paraId="359C15D0">
      <w:pPr>
        <w:pStyle w:val="17"/>
        <w:pageBreakBefore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1.7</w:t>
      </w:r>
      <w:r>
        <w:rPr>
          <w:rFonts w:hint="eastAsia" w:ascii="宋体" w:hAnsi="宋体" w:eastAsia="宋体" w:cs="宋体"/>
          <w:color w:val="000000"/>
          <w:sz w:val="24"/>
          <w:szCs w:val="24"/>
          <w:highlight w:val="none"/>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57A41D00">
      <w:pPr>
        <w:pStyle w:val="17"/>
        <w:pageBreakBefore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1.8</w:t>
      </w:r>
      <w:r>
        <w:rPr>
          <w:rFonts w:hint="eastAsia" w:ascii="宋体" w:hAnsi="宋体" w:eastAsia="宋体" w:cs="宋体"/>
          <w:color w:val="000000"/>
          <w:sz w:val="24"/>
          <w:szCs w:val="24"/>
          <w:highlight w:val="none"/>
        </w:rPr>
        <w:t>单位负责人为同一人或者存在直接控股、管理关系的不同供应商，不得参加同一合同项下的政府采购活动。</w:t>
      </w:r>
    </w:p>
    <w:p w14:paraId="444123D7">
      <w:pPr>
        <w:pStyle w:val="17"/>
        <w:pageBreakBefore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落实政府采购政策需满足的资格要求：本项目为非预留份额的采购项目或采购包，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本项目属于服务类采购项目，所属行业为：其他未列明行业。</w:t>
      </w:r>
    </w:p>
    <w:p w14:paraId="3BA17C3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exact"/>
        <w:ind w:left="0" w:right="0" w:firstLine="480" w:firstLineChars="200"/>
        <w:jc w:val="both"/>
        <w:textAlignment w:val="auto"/>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本项目的特定资格要求</w:t>
      </w:r>
      <w:r>
        <w:rPr>
          <w:rFonts w:hint="eastAsia" w:ascii="宋体" w:hAnsi="宋体" w:eastAsia="宋体" w:cs="宋体"/>
          <w:color w:val="000000"/>
          <w:sz w:val="24"/>
          <w:szCs w:val="24"/>
          <w:highlight w:val="none"/>
          <w:lang w:eastAsia="zh-CN"/>
        </w:rPr>
        <w:t>：</w:t>
      </w:r>
      <w:r>
        <w:rPr>
          <w:rFonts w:hint="eastAsia" w:ascii="宋体" w:hAnsi="宋体"/>
          <w:color w:val="000000"/>
          <w:sz w:val="24"/>
          <w:szCs w:val="24"/>
          <w:highlight w:val="none"/>
          <w:lang w:val="en-US" w:eastAsia="zh-CN"/>
        </w:rPr>
        <w:t>投标人须</w:t>
      </w:r>
      <w:r>
        <w:rPr>
          <w:rFonts w:hint="eastAsia" w:ascii="宋体" w:hAnsi="宋体"/>
          <w:color w:val="000000"/>
          <w:sz w:val="24"/>
          <w:szCs w:val="24"/>
          <w:highlight w:val="none"/>
        </w:rPr>
        <w:t>具备一级及以上医疗资质的医院。</w:t>
      </w:r>
    </w:p>
    <w:p w14:paraId="63754E56">
      <w:pPr>
        <w:pStyle w:val="17"/>
        <w:keepNext/>
        <w:keepLines/>
        <w:pageBreakBefore w:val="0"/>
        <w:widowControl w:val="0"/>
        <w:kinsoku/>
        <w:wordWrap/>
        <w:overflowPunct/>
        <w:topLinePunct w:val="0"/>
        <w:autoSpaceDE/>
        <w:autoSpaceDN/>
        <w:bidi w:val="0"/>
        <w:adjustRightInd/>
        <w:snapToGrid/>
        <w:spacing w:before="145" w:beforeAutospacing="0" w:after="145" w:afterAutospacing="0" w:line="400" w:lineRule="exact"/>
        <w:ind w:firstLine="562" w:firstLineChars="200"/>
        <w:jc w:val="both"/>
        <w:textAlignment w:val="auto"/>
        <w:outlineLvl w:val="0"/>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三、获取招标文件</w:t>
      </w:r>
    </w:p>
    <w:p w14:paraId="15F91AA5">
      <w:pPr>
        <w:keepNext w:val="0"/>
        <w:keepLines w:val="0"/>
        <w:pageBreakBefore w:val="0"/>
        <w:widowControl/>
        <w:suppressLineNumbers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bookmarkStart w:id="19" w:name="_Toc35393624"/>
      <w:bookmarkStart w:id="20" w:name="_Toc35393793"/>
      <w:bookmarkStart w:id="21" w:name="_Toc38985266"/>
      <w:bookmarkStart w:id="22" w:name="_Toc28359005"/>
      <w:bookmarkStart w:id="23" w:name="_Toc28359082"/>
      <w:r>
        <w:rPr>
          <w:rFonts w:hint="eastAsia" w:ascii="宋体" w:hAnsi="宋体" w:eastAsia="宋体" w:cs="宋体"/>
          <w:color w:val="000000"/>
          <w:sz w:val="24"/>
          <w:szCs w:val="24"/>
          <w:highlight w:val="none"/>
        </w:rPr>
        <w:t>1.时间</w:t>
      </w:r>
      <w:r>
        <w:rPr>
          <w:rFonts w:hint="eastAsia" w:ascii="宋体" w:hAnsi="宋体" w:eastAsia="宋体" w:cs="宋体"/>
          <w:color w:val="000000"/>
          <w:kern w:val="0"/>
          <w:sz w:val="24"/>
          <w:szCs w:val="24"/>
          <w:highlight w:val="none"/>
          <w:lang w:val="en-US" w:eastAsia="zh-CN" w:bidi="ar-SA"/>
        </w:rPr>
        <w:t>：</w:t>
      </w:r>
      <w:bookmarkEnd w:id="19"/>
      <w:bookmarkEnd w:id="20"/>
      <w:bookmarkEnd w:id="21"/>
      <w:bookmarkEnd w:id="22"/>
      <w:bookmarkEnd w:id="23"/>
      <w:r>
        <w:rPr>
          <w:rFonts w:hint="eastAsia" w:ascii="宋体" w:hAnsi="宋体" w:eastAsia="宋体" w:cs="宋体"/>
          <w:color w:val="000000"/>
          <w:kern w:val="0"/>
          <w:sz w:val="24"/>
          <w:szCs w:val="24"/>
          <w:highlight w:val="none"/>
          <w:lang w:val="en-US" w:eastAsia="zh-CN" w:bidi="ar-SA"/>
        </w:rPr>
        <w:t>2026年6月9日至2026年6月16日，每天上午00:00-12:00，下午12:00-23:59（北京时间，法定节假日除外 ）；</w:t>
      </w:r>
    </w:p>
    <w:p w14:paraId="3FE7E4A2">
      <w:pPr>
        <w:keepNext w:val="0"/>
        <w:keepLines w:val="0"/>
        <w:pageBreakBefore w:val="0"/>
        <w:widowControl/>
        <w:suppressLineNumbers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2.地点：“苏采云”系统内免费下载（投标人必须在苏采云系统中获取采购文件，方能参与政府采购项目）；</w:t>
      </w:r>
    </w:p>
    <w:p w14:paraId="1CD7F0EF">
      <w:pPr>
        <w:keepNext w:val="0"/>
        <w:keepLines w:val="0"/>
        <w:pageBreakBefore w:val="0"/>
        <w:widowControl/>
        <w:suppressLineNumbers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3.方式：本项目采用网上注册登记方式； </w:t>
      </w:r>
    </w:p>
    <w:p w14:paraId="31F3C5CF">
      <w:pPr>
        <w:keepNext w:val="0"/>
        <w:keepLines w:val="0"/>
        <w:pageBreakBefore w:val="0"/>
        <w:widowControl/>
        <w:suppressLineNumbers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4.售价：0元。</w:t>
      </w:r>
    </w:p>
    <w:p w14:paraId="48944B76">
      <w:pPr>
        <w:pStyle w:val="17"/>
        <w:keepNext/>
        <w:keepLines/>
        <w:pageBreakBefore w:val="0"/>
        <w:widowControl w:val="0"/>
        <w:kinsoku/>
        <w:wordWrap/>
        <w:overflowPunct/>
        <w:topLinePunct w:val="0"/>
        <w:autoSpaceDE/>
        <w:autoSpaceDN/>
        <w:bidi w:val="0"/>
        <w:adjustRightInd/>
        <w:snapToGrid/>
        <w:spacing w:before="145" w:beforeAutospacing="0" w:after="145" w:afterAutospacing="0" w:line="400" w:lineRule="exact"/>
        <w:ind w:firstLine="562" w:firstLineChars="200"/>
        <w:jc w:val="both"/>
        <w:textAlignment w:val="auto"/>
        <w:outlineLvl w:val="0"/>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四、提交投标文件截止时间、开标时间和地点</w:t>
      </w:r>
    </w:p>
    <w:p w14:paraId="6A248F89">
      <w:pPr>
        <w:keepNext w:val="0"/>
        <w:keepLines w:val="0"/>
        <w:pageBreakBefore w:val="0"/>
        <w:widowControl/>
        <w:suppressLineNumbers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sz w:val="24"/>
          <w:szCs w:val="24"/>
          <w:highlight w:val="none"/>
        </w:rPr>
        <w:t>1.</w:t>
      </w:r>
      <w:r>
        <w:rPr>
          <w:rFonts w:hint="eastAsia" w:ascii="宋体" w:hAnsi="宋体" w:eastAsia="宋体" w:cs="宋体"/>
          <w:color w:val="000000"/>
          <w:kern w:val="0"/>
          <w:sz w:val="24"/>
          <w:szCs w:val="24"/>
          <w:highlight w:val="none"/>
          <w:lang w:val="en-US" w:eastAsia="zh-CN" w:bidi="ar-SA"/>
        </w:rPr>
        <w:t>时间：2026年6月30日15</w:t>
      </w:r>
      <w:bookmarkStart w:id="206" w:name="_GoBack"/>
      <w:bookmarkEnd w:id="206"/>
      <w:r>
        <w:rPr>
          <w:rFonts w:hint="eastAsia" w:ascii="宋体" w:hAnsi="宋体" w:eastAsia="宋体" w:cs="宋体"/>
          <w:color w:val="000000"/>
          <w:kern w:val="0"/>
          <w:sz w:val="24"/>
          <w:szCs w:val="24"/>
          <w:highlight w:val="none"/>
          <w:lang w:val="en-US" w:eastAsia="zh-CN" w:bidi="ar-SA"/>
        </w:rPr>
        <w:t>点00分（北京时间）；</w:t>
      </w:r>
    </w:p>
    <w:p w14:paraId="2DD14093">
      <w:pPr>
        <w:keepNext w:val="0"/>
        <w:keepLines w:val="0"/>
        <w:pageBreakBefore w:val="0"/>
        <w:widowControl/>
        <w:suppressLineNumbers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2.地点：苏采云“不见面”开标大厅。</w:t>
      </w:r>
    </w:p>
    <w:p w14:paraId="24E0C040">
      <w:pPr>
        <w:pStyle w:val="17"/>
        <w:keepNext/>
        <w:keepLines/>
        <w:pageBreakBefore w:val="0"/>
        <w:widowControl w:val="0"/>
        <w:kinsoku/>
        <w:wordWrap/>
        <w:overflowPunct/>
        <w:topLinePunct w:val="0"/>
        <w:autoSpaceDE/>
        <w:autoSpaceDN/>
        <w:bidi w:val="0"/>
        <w:adjustRightInd/>
        <w:snapToGrid/>
        <w:spacing w:before="145" w:beforeAutospacing="0" w:after="145" w:afterAutospacing="0" w:line="400" w:lineRule="exact"/>
        <w:ind w:firstLine="562" w:firstLineChars="200"/>
        <w:jc w:val="both"/>
        <w:textAlignment w:val="auto"/>
        <w:outlineLvl w:val="0"/>
        <w:rPr>
          <w:rFonts w:hint="eastAsia" w:ascii="宋体" w:hAnsi="宋体" w:eastAsia="宋体" w:cs="宋体"/>
          <w:b/>
          <w:color w:val="000000"/>
          <w:sz w:val="28"/>
          <w:szCs w:val="28"/>
          <w:highlight w:val="none"/>
        </w:rPr>
      </w:pPr>
      <w:bookmarkStart w:id="24" w:name="_Toc28359007"/>
      <w:bookmarkStart w:id="25" w:name="_Toc38985267"/>
      <w:bookmarkStart w:id="26" w:name="_Toc35393794"/>
      <w:bookmarkStart w:id="27" w:name="_Toc35393625"/>
      <w:bookmarkStart w:id="28" w:name="_Toc28359084"/>
      <w:r>
        <w:rPr>
          <w:rFonts w:hint="eastAsia" w:ascii="宋体" w:hAnsi="宋体" w:eastAsia="宋体" w:cs="宋体"/>
          <w:b/>
          <w:color w:val="000000"/>
          <w:sz w:val="28"/>
          <w:szCs w:val="28"/>
          <w:highlight w:val="none"/>
        </w:rPr>
        <w:t>五、公告期限</w:t>
      </w:r>
      <w:bookmarkEnd w:id="24"/>
      <w:bookmarkEnd w:id="25"/>
      <w:bookmarkEnd w:id="26"/>
      <w:bookmarkEnd w:id="27"/>
      <w:bookmarkEnd w:id="28"/>
    </w:p>
    <w:p w14:paraId="7C2197F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exact"/>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bookmarkStart w:id="29" w:name="_Toc35393626"/>
      <w:bookmarkStart w:id="30" w:name="_Toc35393795"/>
      <w:bookmarkStart w:id="31" w:name="_Toc38985268"/>
      <w:r>
        <w:rPr>
          <w:rFonts w:hint="eastAsia" w:ascii="宋体" w:hAnsi="宋体" w:eastAsia="宋体" w:cs="宋体"/>
          <w:i w:val="0"/>
          <w:iCs w:val="0"/>
          <w:caps w:val="0"/>
          <w:color w:val="333333"/>
          <w:spacing w:val="0"/>
          <w:sz w:val="24"/>
          <w:szCs w:val="24"/>
          <w:highlight w:val="none"/>
          <w:shd w:val="clear" w:fill="FFFFFF"/>
          <w:lang w:val="en-US" w:eastAsia="zh-CN"/>
        </w:rPr>
        <w:t>自本公告发布之日起5个工作日。</w:t>
      </w:r>
      <w:bookmarkEnd w:id="29"/>
      <w:bookmarkEnd w:id="30"/>
      <w:bookmarkEnd w:id="31"/>
    </w:p>
    <w:p w14:paraId="637476BB">
      <w:pPr>
        <w:pStyle w:val="17"/>
        <w:keepNext/>
        <w:keepLines/>
        <w:pageBreakBefore w:val="0"/>
        <w:widowControl w:val="0"/>
        <w:kinsoku/>
        <w:wordWrap/>
        <w:overflowPunct/>
        <w:topLinePunct w:val="0"/>
        <w:autoSpaceDE/>
        <w:autoSpaceDN/>
        <w:bidi w:val="0"/>
        <w:adjustRightInd/>
        <w:snapToGrid/>
        <w:spacing w:before="145" w:beforeAutospacing="0" w:after="145" w:afterAutospacing="0" w:line="400" w:lineRule="exact"/>
        <w:ind w:firstLine="562" w:firstLineChars="200"/>
        <w:jc w:val="both"/>
        <w:textAlignment w:val="auto"/>
        <w:outlineLvl w:val="0"/>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六、其他补充事宜</w:t>
      </w:r>
    </w:p>
    <w:p w14:paraId="2A0228E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exact"/>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bookmarkStart w:id="32" w:name="_Toc28359018"/>
      <w:r>
        <w:rPr>
          <w:rFonts w:hint="eastAsia" w:ascii="宋体" w:hAnsi="宋体" w:eastAsia="宋体" w:cs="宋体"/>
          <w:i w:val="0"/>
          <w:iCs w:val="0"/>
          <w:caps w:val="0"/>
          <w:color w:val="333333"/>
          <w:spacing w:val="0"/>
          <w:sz w:val="24"/>
          <w:szCs w:val="24"/>
          <w:highlight w:val="none"/>
          <w:shd w:val="clear" w:fill="FFFFFF"/>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093E042C">
      <w:pPr>
        <w:pageBreakBefore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领取CA和办理电子</w:t>
      </w:r>
      <w:r>
        <w:rPr>
          <w:rFonts w:hint="eastAsia" w:ascii="宋体" w:hAnsi="宋体" w:eastAsia="宋体" w:cs="宋体"/>
          <w:i w:val="0"/>
          <w:iCs w:val="0"/>
          <w:caps w:val="0"/>
          <w:color w:val="auto"/>
          <w:spacing w:val="0"/>
          <w:sz w:val="24"/>
          <w:szCs w:val="24"/>
          <w:highlight w:val="none"/>
          <w:shd w:val="clear" w:fill="FFFFFF"/>
          <w:lang w:val="en-US" w:eastAsia="zh-CN"/>
        </w:rPr>
        <w:t>签章（</w:t>
      </w:r>
      <w:r>
        <w:rPr>
          <w:rFonts w:hint="eastAsia" w:ascii="宋体" w:hAnsi="宋体" w:eastAsia="宋体" w:cs="宋体"/>
          <w:i w:val="0"/>
          <w:iCs w:val="0"/>
          <w:caps w:val="0"/>
          <w:color w:val="auto"/>
          <w:spacing w:val="0"/>
          <w:sz w:val="24"/>
          <w:szCs w:val="24"/>
          <w:highlight w:val="none"/>
          <w:shd w:val="clear" w:color="auto" w:fill="auto"/>
          <w:lang w:val="en-US" w:eastAsia="zh-CN"/>
        </w:rPr>
        <w:t>请至盐城市府西路1号盐城市公共资源交易中心四楼大厅10号，11号窗口办理</w:t>
      </w:r>
      <w:r>
        <w:rPr>
          <w:rFonts w:hint="eastAsia" w:ascii="宋体" w:hAnsi="宋体" w:eastAsia="宋体" w:cs="宋体"/>
          <w:i w:val="0"/>
          <w:iCs w:val="0"/>
          <w:caps w:val="0"/>
          <w:color w:val="auto"/>
          <w:spacing w:val="0"/>
          <w:sz w:val="24"/>
          <w:szCs w:val="24"/>
          <w:highlight w:val="none"/>
          <w:shd w:val="clear" w:fill="FFFFFF"/>
          <w:lang w:val="en-US" w:eastAsia="zh-CN"/>
        </w:rPr>
        <w:t>，联系电话：150</w:t>
      </w:r>
      <w:r>
        <w:rPr>
          <w:rFonts w:hint="eastAsia" w:ascii="宋体" w:hAnsi="宋体" w:eastAsia="宋体" w:cs="宋体"/>
          <w:i w:val="0"/>
          <w:iCs w:val="0"/>
          <w:caps w:val="0"/>
          <w:color w:val="333333"/>
          <w:spacing w:val="0"/>
          <w:sz w:val="24"/>
          <w:szCs w:val="24"/>
          <w:highlight w:val="none"/>
          <w:shd w:val="clear" w:fill="FFFFFF"/>
          <w:lang w:val="en-US" w:eastAsia="zh-CN"/>
        </w:rPr>
        <w:t>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28F63D87">
      <w:pPr>
        <w:keepNext w:val="0"/>
        <w:keepLines w:val="0"/>
        <w:pageBreakBefore w:val="0"/>
        <w:widowControl/>
        <w:suppressLineNumbers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2. 潜在供应商访问电子招标响应交易平台的网络地址和方法： </w:t>
      </w:r>
    </w:p>
    <w:p w14:paraId="32A21B87">
      <w:pPr>
        <w:keepNext w:val="0"/>
        <w:keepLines w:val="0"/>
        <w:pageBreakBefore w:val="0"/>
        <w:widowControl/>
        <w:suppressLineNumbers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2.1“苏采云”系统用户注册--获取“CA 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 </w:t>
      </w:r>
    </w:p>
    <w:p w14:paraId="26A03879">
      <w:pPr>
        <w:keepNext w:val="0"/>
        <w:keepLines w:val="0"/>
        <w:pageBreakBefore w:val="0"/>
        <w:widowControl/>
        <w:suppressLineNumbers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2.2 潜在投标人访问“苏采云”系统方法：江苏省政府采购网首页-“苏采云”链接。 </w:t>
      </w:r>
    </w:p>
    <w:p w14:paraId="5B5DA349">
      <w:pPr>
        <w:keepNext w:val="0"/>
        <w:keepLines w:val="0"/>
        <w:pageBreakBefore w:val="0"/>
        <w:widowControl/>
        <w:suppressLineNumbers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2.3 采购文件（后缀名为“.kedt”）、供应商操作手册及政府采购客户端工具可通过“苏采云”系统相应链接进行下载。 </w:t>
      </w:r>
    </w:p>
    <w:p w14:paraId="49157009">
      <w:pPr>
        <w:keepNext w:val="0"/>
        <w:keepLines w:val="0"/>
        <w:pageBreakBefore w:val="0"/>
        <w:widowControl/>
        <w:suppressLineNumbers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2.4 采购代理机构将数据电文形式的采购文件加载至“苏采云”系统，供潜在供应商下载或者查阅。 </w:t>
      </w:r>
    </w:p>
    <w:p w14:paraId="721EE1E1">
      <w:pPr>
        <w:keepNext w:val="0"/>
        <w:keepLines w:val="0"/>
        <w:pageBreakBefore w:val="0"/>
        <w:widowControl/>
        <w:suppressLineNumbers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2.5 请潜在投标单位提前安装相应的控件（详见《“苏采云”系统供应商操作手册》）并使用谷歌浏览器登录“苏采云”系统参与不见面开评标。 </w:t>
      </w:r>
    </w:p>
    <w:p w14:paraId="3C71CFFD">
      <w:pPr>
        <w:keepNext w:val="0"/>
        <w:keepLines w:val="0"/>
        <w:pageBreakBefore w:val="0"/>
        <w:widowControl/>
        <w:suppressLineNumbers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如潜在投标人未按上述要求操作，将自行承担所产生的风险。</w:t>
      </w:r>
    </w:p>
    <w:p w14:paraId="3DF7A2B3">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exact"/>
        <w:ind w:right="0" w:rightChars="0" w:firstLine="480" w:firstLineChars="20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3.有关本次招标的事项若存在变动或修改，敬请及时关注招标代理机构在“中国政府采购网”“江苏政府采购网”“盐城市政府采购网”发布的更正公告。</w:t>
      </w:r>
    </w:p>
    <w:p w14:paraId="2E20E537">
      <w:pPr>
        <w:pageBreakBefore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w:t>
      </w:r>
      <w:r>
        <w:rPr>
          <w:rFonts w:hint="eastAsia" w:ascii="宋体" w:hAnsi="宋体" w:eastAsia="宋体" w:cs="宋体"/>
          <w:sz w:val="24"/>
          <w:szCs w:val="24"/>
        </w:rPr>
        <w:t>投标人不得提供虚假材料谋取中标成交或采取不正当手段诋毁、排挤其他供应商。</w:t>
      </w:r>
    </w:p>
    <w:p w14:paraId="74567EF0">
      <w:pPr>
        <w:pageBreakBefore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sz w:val="24"/>
          <w:szCs w:val="24"/>
        </w:rPr>
        <w:t>5</w:t>
      </w:r>
      <w:r>
        <w:rPr>
          <w:rFonts w:hint="eastAsia" w:ascii="宋体" w:hAnsi="宋体" w:eastAsia="宋体" w:cs="宋体"/>
          <w:sz w:val="24"/>
          <w:szCs w:val="24"/>
          <w:lang w:val="en-US" w:eastAsia="zh-CN"/>
        </w:rPr>
        <w:t>.</w:t>
      </w:r>
      <w:r>
        <w:rPr>
          <w:rFonts w:hint="eastAsia" w:ascii="宋体" w:hAnsi="宋体" w:eastAsia="宋体" w:cs="宋体"/>
          <w:sz w:val="24"/>
          <w:szCs w:val="24"/>
        </w:rPr>
        <w:t>投标人存在串通投标、以他人名义投标、弄虚作假等违法违规行为，或者无正当理由放弃投标、中标资格，造成项目招标失败的，不得参加该项目重新招标的投标。</w:t>
      </w:r>
    </w:p>
    <w:p w14:paraId="48E07BEB">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exact"/>
        <w:ind w:right="0" w:rightChars="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6.本次招标不收取投标保证金，不收取质量保证金。</w:t>
      </w:r>
    </w:p>
    <w:p w14:paraId="5BFADC70">
      <w:pPr>
        <w:pStyle w:val="17"/>
        <w:keepNext/>
        <w:keepLines/>
        <w:pageBreakBefore w:val="0"/>
        <w:widowControl w:val="0"/>
        <w:kinsoku/>
        <w:wordWrap/>
        <w:overflowPunct/>
        <w:topLinePunct w:val="0"/>
        <w:autoSpaceDE/>
        <w:autoSpaceDN/>
        <w:bidi w:val="0"/>
        <w:adjustRightInd/>
        <w:snapToGrid/>
        <w:spacing w:before="145" w:beforeAutospacing="0" w:after="145" w:afterAutospacing="0" w:line="400" w:lineRule="exact"/>
        <w:ind w:firstLine="562" w:firstLineChars="200"/>
        <w:jc w:val="both"/>
        <w:textAlignment w:val="auto"/>
        <w:outlineLvl w:val="0"/>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lang w:val="en-US" w:eastAsia="zh-CN"/>
        </w:rPr>
        <w:t>七</w:t>
      </w:r>
      <w:r>
        <w:rPr>
          <w:rFonts w:hint="eastAsia" w:ascii="宋体" w:hAnsi="宋体" w:eastAsia="宋体" w:cs="宋体"/>
          <w:b/>
          <w:color w:val="000000"/>
          <w:sz w:val="28"/>
          <w:szCs w:val="28"/>
          <w:highlight w:val="none"/>
        </w:rPr>
        <w:t>、对本次</w:t>
      </w:r>
      <w:r>
        <w:rPr>
          <w:rFonts w:hint="eastAsia" w:ascii="宋体" w:hAnsi="宋体" w:eastAsia="宋体" w:cs="宋体"/>
          <w:b/>
          <w:color w:val="000000"/>
          <w:sz w:val="28"/>
          <w:szCs w:val="28"/>
          <w:highlight w:val="none"/>
          <w:lang w:val="en-US" w:eastAsia="zh-CN"/>
        </w:rPr>
        <w:t>招标</w:t>
      </w:r>
      <w:r>
        <w:rPr>
          <w:rFonts w:hint="eastAsia" w:ascii="宋体" w:hAnsi="宋体" w:eastAsia="宋体" w:cs="宋体"/>
          <w:b/>
          <w:color w:val="000000"/>
          <w:sz w:val="28"/>
          <w:szCs w:val="28"/>
          <w:highlight w:val="none"/>
        </w:rPr>
        <w:t>提出询问，请按以下方式联系。</w:t>
      </w:r>
      <w:bookmarkEnd w:id="32"/>
    </w:p>
    <w:p w14:paraId="0D2BFE3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exact"/>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bookmarkStart w:id="33" w:name="_Toc28359009"/>
      <w:r>
        <w:rPr>
          <w:rFonts w:hint="eastAsia" w:ascii="宋体" w:hAnsi="宋体" w:eastAsia="宋体" w:cs="宋体"/>
          <w:i w:val="0"/>
          <w:iCs w:val="0"/>
          <w:caps w:val="0"/>
          <w:color w:val="333333"/>
          <w:spacing w:val="0"/>
          <w:sz w:val="24"/>
          <w:szCs w:val="24"/>
          <w:highlight w:val="none"/>
          <w:shd w:val="clear" w:fill="FFFFFF"/>
          <w:lang w:val="en-US" w:eastAsia="zh-CN"/>
        </w:rPr>
        <w:t>1.采购人信息</w:t>
      </w:r>
    </w:p>
    <w:p w14:paraId="4EC9ACA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exact"/>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名 称：射阳县退役军人事务局  </w:t>
      </w:r>
    </w:p>
    <w:p w14:paraId="6AEEDB22">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exact"/>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地址：射阳县国投大厦  </w:t>
      </w:r>
    </w:p>
    <w:p w14:paraId="3FDCA078">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exact"/>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联系人：刘尧              </w:t>
      </w:r>
    </w:p>
    <w:p w14:paraId="060E616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exact"/>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联系方式：0515-89286315            </w:t>
      </w:r>
    </w:p>
    <w:p w14:paraId="5FEEFE0B">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exact"/>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p>
    <w:p w14:paraId="0213576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exact"/>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2.采购代理机构信息</w:t>
      </w:r>
    </w:p>
    <w:p w14:paraId="4B6CC1F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exact"/>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名 称：射阳宏远财会服务有限公司</w:t>
      </w:r>
    </w:p>
    <w:p w14:paraId="7B87FB2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exact"/>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地 址：射阳县合德镇沿河路17-1号</w:t>
      </w:r>
    </w:p>
    <w:p w14:paraId="41F16E1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exact"/>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联系人：曹红芹                     </w:t>
      </w:r>
    </w:p>
    <w:p w14:paraId="0A6F4677">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exact"/>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联系方式：</w:t>
      </w:r>
      <w:bookmarkStart w:id="34" w:name="_Toc28359010"/>
      <w:bookmarkStart w:id="35" w:name="_Toc28359087"/>
      <w:r>
        <w:rPr>
          <w:rFonts w:hint="eastAsia" w:ascii="宋体" w:hAnsi="宋体" w:eastAsia="宋体" w:cs="宋体"/>
          <w:i w:val="0"/>
          <w:iCs w:val="0"/>
          <w:caps w:val="0"/>
          <w:color w:val="333333"/>
          <w:spacing w:val="0"/>
          <w:sz w:val="24"/>
          <w:szCs w:val="24"/>
          <w:highlight w:val="none"/>
          <w:shd w:val="clear" w:fill="FFFFFF"/>
          <w:lang w:val="en-US" w:eastAsia="zh-CN"/>
        </w:rPr>
        <w:t>13851150809       </w:t>
      </w:r>
      <w:bookmarkEnd w:id="34"/>
      <w:bookmarkEnd w:id="35"/>
      <w:r>
        <w:rPr>
          <w:rFonts w:hint="eastAsia" w:ascii="宋体" w:hAnsi="宋体" w:eastAsia="宋体" w:cs="宋体"/>
          <w:i w:val="0"/>
          <w:iCs w:val="0"/>
          <w:caps w:val="0"/>
          <w:color w:val="333333"/>
          <w:spacing w:val="0"/>
          <w:sz w:val="24"/>
          <w:szCs w:val="24"/>
          <w:highlight w:val="none"/>
          <w:shd w:val="clear" w:fill="FFFFFF"/>
          <w:lang w:val="en-US" w:eastAsia="zh-CN"/>
        </w:rPr>
        <w:t xml:space="preserve">            </w:t>
      </w:r>
    </w:p>
    <w:p w14:paraId="5C03D99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exact"/>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bookmarkStart w:id="36" w:name="_Toc28359021"/>
    </w:p>
    <w:p w14:paraId="33DFE75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exact"/>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3.</w:t>
      </w:r>
      <w:bookmarkEnd w:id="36"/>
      <w:r>
        <w:rPr>
          <w:rFonts w:hint="eastAsia" w:ascii="宋体" w:hAnsi="宋体" w:eastAsia="宋体" w:cs="宋体"/>
          <w:i w:val="0"/>
          <w:iCs w:val="0"/>
          <w:caps w:val="0"/>
          <w:color w:val="333333"/>
          <w:spacing w:val="0"/>
          <w:sz w:val="24"/>
          <w:szCs w:val="24"/>
          <w:highlight w:val="none"/>
          <w:shd w:val="clear" w:fill="FFFFFF"/>
          <w:lang w:val="en-US" w:eastAsia="zh-CN"/>
        </w:rPr>
        <w:t>项目联系方式</w:t>
      </w:r>
    </w:p>
    <w:p w14:paraId="4F6DC578">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exact"/>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项目联系人：刘尧</w:t>
      </w:r>
    </w:p>
    <w:p w14:paraId="5AA0D518">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exact"/>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电　　 话：0515-89286315　　　　　　　　　　　　</w:t>
      </w:r>
    </w:p>
    <w:p w14:paraId="2CEFCD0D">
      <w:pPr>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01CD31E3">
      <w:pPr>
        <w:pStyle w:val="17"/>
        <w:keepNext w:val="0"/>
        <w:keepLines w:val="0"/>
        <w:pageBreakBefore w:val="0"/>
        <w:widowControl w:val="0"/>
        <w:kinsoku/>
        <w:wordWrap/>
        <w:overflowPunct/>
        <w:topLinePunct w:val="0"/>
        <w:autoSpaceDE/>
        <w:autoSpaceDN/>
        <w:bidi w:val="0"/>
        <w:adjustRightInd/>
        <w:snapToGrid/>
        <w:spacing w:beforeAutospacing="0" w:afterAutospacing="0" w:line="520" w:lineRule="exact"/>
        <w:ind w:right="839" w:rightChars="0"/>
        <w:jc w:val="center"/>
        <w:textAlignment w:val="auto"/>
        <w:outlineLvl w:val="0"/>
        <w:rPr>
          <w:rFonts w:hint="eastAsia" w:ascii="宋体" w:hAnsi="宋体" w:eastAsia="宋体" w:cs="宋体"/>
          <w:b/>
          <w:bCs/>
          <w:color w:val="000000"/>
          <w:sz w:val="40"/>
          <w:szCs w:val="40"/>
          <w:highlight w:val="none"/>
        </w:rPr>
      </w:pPr>
      <w:r>
        <w:rPr>
          <w:rFonts w:hint="eastAsia" w:ascii="宋体" w:hAnsi="宋体" w:eastAsia="宋体" w:cs="宋体"/>
          <w:color w:val="000000"/>
          <w:sz w:val="24"/>
          <w:szCs w:val="24"/>
          <w:highlight w:val="none"/>
        </w:rPr>
        <w:br w:type="page"/>
      </w:r>
      <w:r>
        <w:rPr>
          <w:rFonts w:hint="eastAsia" w:ascii="宋体" w:hAnsi="宋体" w:eastAsia="宋体" w:cs="宋体"/>
          <w:b/>
          <w:bCs/>
          <w:color w:val="000000"/>
          <w:sz w:val="40"/>
          <w:szCs w:val="40"/>
          <w:highlight w:val="none"/>
        </w:rPr>
        <w:t> </w:t>
      </w:r>
      <w:bookmarkStart w:id="37" w:name="_Toc120614211"/>
      <w:r>
        <w:rPr>
          <w:rFonts w:hint="eastAsia" w:ascii="宋体" w:hAnsi="宋体" w:eastAsia="宋体" w:cs="宋体"/>
          <w:b/>
          <w:bCs/>
          <w:color w:val="000000"/>
          <w:sz w:val="40"/>
          <w:szCs w:val="40"/>
          <w:highlight w:val="none"/>
        </w:rPr>
        <w:t xml:space="preserve">第二章  </w:t>
      </w:r>
      <w:bookmarkEnd w:id="37"/>
      <w:bookmarkStart w:id="38" w:name="_Toc20823274"/>
      <w:bookmarkStart w:id="39" w:name="_Toc513029202"/>
      <w:bookmarkStart w:id="40" w:name="_Toc120614213"/>
      <w:bookmarkStart w:id="41" w:name="_Toc16938518"/>
      <w:r>
        <w:rPr>
          <w:rFonts w:hint="eastAsia" w:ascii="宋体" w:hAnsi="宋体" w:eastAsia="宋体" w:cs="宋体"/>
          <w:b/>
          <w:bCs/>
          <w:color w:val="000000"/>
          <w:sz w:val="40"/>
          <w:szCs w:val="40"/>
          <w:highlight w:val="none"/>
        </w:rPr>
        <w:t>投标人须知</w:t>
      </w:r>
      <w:bookmarkEnd w:id="38"/>
      <w:bookmarkEnd w:id="39"/>
      <w:bookmarkEnd w:id="40"/>
      <w:bookmarkEnd w:id="41"/>
    </w:p>
    <w:p w14:paraId="2D4D4940">
      <w:pPr>
        <w:pStyle w:val="17"/>
        <w:keepNext/>
        <w:keepLines/>
        <w:spacing w:before="145" w:beforeAutospacing="0" w:after="145" w:afterAutospacing="0" w:line="360" w:lineRule="auto"/>
        <w:ind w:firstLine="498" w:firstLineChars="0"/>
        <w:jc w:val="both"/>
        <w:outlineLvl w:val="0"/>
        <w:rPr>
          <w:rFonts w:hint="eastAsia" w:ascii="宋体" w:hAnsi="宋体" w:eastAsia="宋体" w:cs="宋体"/>
          <w:sz w:val="24"/>
          <w:szCs w:val="24"/>
          <w:highlight w:val="none"/>
        </w:rPr>
      </w:pPr>
      <w:bookmarkStart w:id="42" w:name="_Toc16938519"/>
      <w:bookmarkStart w:id="43" w:name="_Toc20823275"/>
      <w:bookmarkStart w:id="44" w:name="_Toc513029203"/>
      <w:bookmarkStart w:id="45" w:name="_Toc120614214"/>
      <w:r>
        <w:rPr>
          <w:rFonts w:hint="eastAsia" w:ascii="宋体" w:hAnsi="宋体" w:eastAsia="宋体" w:cs="宋体"/>
          <w:b/>
          <w:color w:val="000000"/>
          <w:sz w:val="24"/>
          <w:szCs w:val="24"/>
          <w:highlight w:val="none"/>
        </w:rPr>
        <w:t>一、总则</w:t>
      </w:r>
      <w:bookmarkEnd w:id="42"/>
      <w:bookmarkEnd w:id="43"/>
      <w:bookmarkEnd w:id="44"/>
      <w:bookmarkEnd w:id="45"/>
    </w:p>
    <w:p w14:paraId="48E05819">
      <w:pPr>
        <w:pStyle w:val="17"/>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outlineLvl w:val="1"/>
        <w:rPr>
          <w:rFonts w:hint="eastAsia" w:ascii="宋体" w:hAnsi="宋体" w:eastAsia="宋体" w:cs="宋体"/>
          <w:sz w:val="24"/>
          <w:szCs w:val="24"/>
          <w:highlight w:val="none"/>
        </w:rPr>
      </w:pPr>
      <w:bookmarkStart w:id="46" w:name="_Toc16938520"/>
      <w:bookmarkStart w:id="47" w:name="_Toc20823276"/>
      <w:bookmarkStart w:id="48" w:name="_Toc513029204"/>
      <w:bookmarkStart w:id="49" w:name="_Toc458694821"/>
      <w:bookmarkStart w:id="50" w:name="_Hlt16619475"/>
      <w:r>
        <w:rPr>
          <w:rFonts w:hint="eastAsia" w:ascii="宋体" w:hAnsi="宋体" w:eastAsia="宋体" w:cs="宋体"/>
          <w:color w:val="000000"/>
          <w:sz w:val="24"/>
          <w:szCs w:val="24"/>
          <w:highlight w:val="none"/>
        </w:rPr>
        <w:t>1</w:t>
      </w:r>
      <w:bookmarkEnd w:id="46"/>
      <w:r>
        <w:rPr>
          <w:rFonts w:hint="eastAsia" w:ascii="宋体" w:hAnsi="宋体" w:eastAsia="宋体" w:cs="宋体"/>
          <w:color w:val="000000"/>
          <w:sz w:val="24"/>
          <w:szCs w:val="24"/>
          <w:highlight w:val="none"/>
        </w:rPr>
        <w:t>、招标方式</w:t>
      </w:r>
      <w:bookmarkEnd w:id="47"/>
      <w:bookmarkEnd w:id="48"/>
      <w:bookmarkEnd w:id="49"/>
    </w:p>
    <w:p w14:paraId="496D2DA3">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1.1本次招标采取公开招标方式，本招标文件仅适用于招标公告中所述项目。</w:t>
      </w:r>
    </w:p>
    <w:p w14:paraId="7EFF3468">
      <w:pPr>
        <w:pStyle w:val="17"/>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outlineLvl w:val="1"/>
        <w:rPr>
          <w:rFonts w:hint="eastAsia" w:ascii="宋体" w:hAnsi="宋体" w:eastAsia="宋体" w:cs="宋体"/>
          <w:sz w:val="24"/>
          <w:szCs w:val="24"/>
          <w:highlight w:val="none"/>
        </w:rPr>
      </w:pPr>
      <w:bookmarkStart w:id="51" w:name="_Toc20823277"/>
      <w:bookmarkStart w:id="52" w:name="_Toc513029205"/>
      <w:bookmarkStart w:id="53" w:name="_Toc16938521"/>
      <w:r>
        <w:rPr>
          <w:rFonts w:hint="eastAsia" w:ascii="宋体" w:hAnsi="宋体" w:eastAsia="宋体" w:cs="宋体"/>
          <w:color w:val="000000"/>
          <w:sz w:val="24"/>
          <w:szCs w:val="24"/>
          <w:highlight w:val="none"/>
        </w:rPr>
        <w:t>2、合格的投标人</w:t>
      </w:r>
      <w:bookmarkEnd w:id="51"/>
      <w:bookmarkEnd w:id="52"/>
      <w:bookmarkEnd w:id="53"/>
    </w:p>
    <w:p w14:paraId="575CB15D">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2.1满足招标公告中供应商的资格要求的规定。</w:t>
      </w:r>
    </w:p>
    <w:p w14:paraId="053B99F5">
      <w:pPr>
        <w:pStyle w:val="17"/>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2.2满足本文件实质性要求和条件的规定。</w:t>
      </w:r>
    </w:p>
    <w:p w14:paraId="4170807A">
      <w:pPr>
        <w:pageBreakBefore w:val="0"/>
        <w:widowControl w:val="0"/>
        <w:kinsoku/>
        <w:wordWrap/>
        <w:overflowPunct/>
        <w:topLinePunct w:val="0"/>
        <w:autoSpaceDE/>
        <w:autoSpaceDN/>
        <w:bidi w:val="0"/>
        <w:adjustRightInd/>
        <w:snapToGrid/>
        <w:spacing w:line="360" w:lineRule="exact"/>
        <w:ind w:firstLine="480" w:firstLineChars="200"/>
        <w:textAlignment w:val="auto"/>
        <w:outlineLvl w:val="1"/>
        <w:rPr>
          <w:rFonts w:hint="eastAsia" w:ascii="方正魏碑_GBK" w:hAnsi="方正魏碑_GBK" w:eastAsia="方正魏碑_GBK" w:cs="方正魏碑_GBK"/>
          <w:color w:val="auto"/>
          <w:sz w:val="24"/>
          <w:szCs w:val="21"/>
        </w:rPr>
      </w:pPr>
      <w:bookmarkStart w:id="54" w:name="_Toc16938522"/>
      <w:bookmarkStart w:id="55" w:name="_Toc20823278"/>
      <w:bookmarkStart w:id="56" w:name="_Toc513029206"/>
      <w:bookmarkStart w:id="57" w:name="_Toc20823279"/>
      <w:bookmarkStart w:id="58" w:name="_Toc16938523"/>
      <w:bookmarkStart w:id="59" w:name="_Toc513029207"/>
      <w:bookmarkStart w:id="60" w:name="_Toc462564067"/>
      <w:r>
        <w:rPr>
          <w:rFonts w:hint="eastAsia" w:ascii="方正魏碑_GBK" w:hAnsi="方正魏碑_GBK" w:eastAsia="方正魏碑_GBK" w:cs="方正魏碑_GBK"/>
          <w:color w:val="auto"/>
          <w:sz w:val="24"/>
          <w:szCs w:val="21"/>
        </w:rPr>
        <w:t>3、适用法律</w:t>
      </w:r>
      <w:bookmarkEnd w:id="54"/>
      <w:bookmarkEnd w:id="55"/>
      <w:bookmarkEnd w:id="56"/>
      <w:r>
        <w:rPr>
          <w:rFonts w:hint="eastAsia" w:ascii="方正魏碑_GBK" w:hAnsi="方正魏碑_GBK" w:eastAsia="方正魏碑_GBK" w:cs="方正魏碑_GBK"/>
          <w:color w:val="auto"/>
          <w:sz w:val="24"/>
          <w:szCs w:val="21"/>
        </w:rPr>
        <w:t>和标准</w:t>
      </w:r>
    </w:p>
    <w:p w14:paraId="60757E93">
      <w:pPr>
        <w:pStyle w:val="17"/>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本次招标及由此产生的合同受中华人民共和国有关的法律法规制约和保护。</w:t>
      </w:r>
    </w:p>
    <w:p w14:paraId="7F9D1500">
      <w:pPr>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sz w:val="24"/>
          <w:szCs w:val="24"/>
          <w:highlight w:val="none"/>
        </w:rPr>
      </w:pPr>
      <w:r>
        <w:rPr>
          <w:rFonts w:hint="eastAsia" w:ascii="方正魏碑_GBK" w:hAnsi="方正魏碑_GBK" w:eastAsia="方正魏碑_GBK" w:cs="方正魏碑_GBK"/>
          <w:color w:val="auto"/>
          <w:sz w:val="24"/>
          <w:szCs w:val="21"/>
        </w:rPr>
        <w:t>3.2 在本项目政府采购活动过程中，如果所执行的标准有更新的，按照最新标准执行。</w:t>
      </w:r>
    </w:p>
    <w:p w14:paraId="36533D3B">
      <w:pPr>
        <w:pStyle w:val="17"/>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outlineLvl w:val="1"/>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4、投标费用</w:t>
      </w:r>
      <w:bookmarkEnd w:id="57"/>
      <w:bookmarkEnd w:id="58"/>
      <w:bookmarkEnd w:id="59"/>
      <w:bookmarkEnd w:id="60"/>
    </w:p>
    <w:p w14:paraId="23EE288E">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4.1投标人应自行承担所有与参加投标有关的费用，无论投标过程中的做法和结果如何，射阳宏远财会服务有限公司（以下简称</w:t>
      </w:r>
      <w:r>
        <w:rPr>
          <w:rFonts w:hint="eastAsia" w:ascii="宋体" w:hAnsi="宋体" w:eastAsia="宋体" w:cs="宋体"/>
          <w:color w:val="000000"/>
          <w:sz w:val="24"/>
          <w:szCs w:val="24"/>
          <w:highlight w:val="none"/>
          <w:lang w:val="en-US" w:eastAsia="zh-CN"/>
        </w:rPr>
        <w:t>招标</w:t>
      </w:r>
      <w:r>
        <w:rPr>
          <w:rFonts w:hint="eastAsia" w:ascii="宋体" w:hAnsi="宋体" w:eastAsia="宋体" w:cs="宋体"/>
          <w:color w:val="000000"/>
          <w:sz w:val="24"/>
          <w:szCs w:val="24"/>
          <w:highlight w:val="none"/>
        </w:rPr>
        <w:t>代理机构）在任何情况下均无义务和责任承担这些费用。</w:t>
      </w:r>
    </w:p>
    <w:p w14:paraId="7508EC0F">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4.2本次招标</w:t>
      </w:r>
      <w:r>
        <w:rPr>
          <w:rFonts w:hint="eastAsia" w:ascii="宋体" w:hAnsi="宋体" w:eastAsia="宋体" w:cs="宋体"/>
          <w:color w:val="000000"/>
          <w:sz w:val="24"/>
          <w:szCs w:val="24"/>
          <w:highlight w:val="none"/>
          <w:lang w:val="en-US" w:eastAsia="zh-CN"/>
        </w:rPr>
        <w:t>招标</w:t>
      </w:r>
      <w:r>
        <w:rPr>
          <w:rFonts w:hint="eastAsia" w:ascii="宋体" w:hAnsi="宋体" w:eastAsia="宋体" w:cs="宋体"/>
          <w:color w:val="000000"/>
          <w:sz w:val="24"/>
          <w:szCs w:val="24"/>
          <w:highlight w:val="none"/>
        </w:rPr>
        <w:t>代理机构和采购人不收取标书工本费与中标服务费。</w:t>
      </w:r>
    </w:p>
    <w:p w14:paraId="2B576B51">
      <w:pPr>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color w:val="000000"/>
          <w:sz w:val="24"/>
          <w:szCs w:val="32"/>
        </w:rPr>
      </w:pPr>
      <w:r>
        <w:rPr>
          <w:rFonts w:hint="eastAsia" w:ascii="宋体" w:hAnsi="宋体"/>
          <w:color w:val="000000"/>
          <w:sz w:val="24"/>
          <w:szCs w:val="32"/>
        </w:rPr>
        <w:t>4.3本次招标的代理服务费按《江苏省政府采购代理服务收费指导意见》的通知（苏政采协【2024】20号）收费标准进行计取（按差额定率分档累进法计算），由中标供应商在领取中标通知书前一次性支付。（本条不单独列表报价，自行综合考虑在投标报价中，中标后采购人不再另行支付）。</w:t>
      </w:r>
    </w:p>
    <w:p w14:paraId="6043ABF3">
      <w:pPr>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color w:val="000000"/>
          <w:sz w:val="24"/>
          <w:szCs w:val="32"/>
        </w:rPr>
      </w:pPr>
      <w:r>
        <w:rPr>
          <w:rFonts w:hint="eastAsia" w:ascii="宋体" w:hAnsi="宋体"/>
          <w:color w:val="000000"/>
          <w:sz w:val="24"/>
          <w:szCs w:val="32"/>
        </w:rPr>
        <w:t>收款帐户为：射阳宏远财会服务有限公司，开户行：中国建设银行股份有限公司射阳县支行，账号：32001737436052512853。</w:t>
      </w:r>
    </w:p>
    <w:p w14:paraId="33F87FAE">
      <w:pPr>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b/>
          <w:color w:val="000000"/>
          <w:sz w:val="24"/>
          <w:szCs w:val="24"/>
          <w:highlight w:val="none"/>
        </w:rPr>
      </w:pPr>
      <w:r>
        <w:rPr>
          <w:rFonts w:hint="eastAsia" w:ascii="宋体" w:hAnsi="宋体"/>
          <w:color w:val="000000"/>
          <w:sz w:val="24"/>
          <w:szCs w:val="32"/>
        </w:rPr>
        <w:t>4.4中标人如果未按规定缴纳招标代理服务费，按商业银行同期贷款利率上浮20%后的利率支付资金占用费（损害赔偿）。</w:t>
      </w:r>
    </w:p>
    <w:p w14:paraId="3170A5D0">
      <w:pPr>
        <w:pStyle w:val="17"/>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outlineLvl w:val="1"/>
        <w:rPr>
          <w:rFonts w:hint="eastAsia" w:ascii="宋体" w:hAnsi="宋体" w:eastAsia="宋体" w:cs="宋体"/>
          <w:b w:val="0"/>
          <w:bCs/>
          <w:sz w:val="24"/>
          <w:szCs w:val="24"/>
          <w:highlight w:val="none"/>
        </w:rPr>
      </w:pPr>
      <w:r>
        <w:rPr>
          <w:rFonts w:hint="eastAsia" w:ascii="宋体" w:hAnsi="宋体" w:eastAsia="宋体" w:cs="宋体"/>
          <w:b w:val="0"/>
          <w:bCs/>
          <w:color w:val="000000"/>
          <w:sz w:val="24"/>
          <w:szCs w:val="24"/>
          <w:highlight w:val="none"/>
        </w:rPr>
        <w:t>5、招标文件的约束力</w:t>
      </w:r>
    </w:p>
    <w:p w14:paraId="34C8BA98">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5.1投标人一旦参加本项目采购活动，即被认为接受了本招标文件的规定和约束。</w:t>
      </w:r>
    </w:p>
    <w:p w14:paraId="43832C20">
      <w:pPr>
        <w:pStyle w:val="17"/>
        <w:keepNext/>
        <w:keepLines/>
        <w:spacing w:before="145" w:beforeAutospacing="0" w:after="145" w:afterAutospacing="0" w:line="360" w:lineRule="auto"/>
        <w:ind w:firstLine="498" w:firstLineChars="0"/>
        <w:jc w:val="both"/>
        <w:outlineLvl w:val="0"/>
        <w:rPr>
          <w:rFonts w:hint="eastAsia" w:ascii="宋体" w:hAnsi="宋体" w:eastAsia="宋体" w:cs="宋体"/>
          <w:b/>
          <w:color w:val="000000"/>
          <w:sz w:val="24"/>
          <w:szCs w:val="24"/>
          <w:highlight w:val="none"/>
        </w:rPr>
      </w:pPr>
      <w:bookmarkStart w:id="61" w:name="_Toc20823281"/>
      <w:bookmarkStart w:id="62" w:name="_Toc16938525"/>
      <w:bookmarkStart w:id="63" w:name="_Toc120614215"/>
      <w:bookmarkStart w:id="64" w:name="_Toc513029209"/>
      <w:r>
        <w:rPr>
          <w:rFonts w:hint="eastAsia" w:ascii="宋体" w:hAnsi="宋体" w:eastAsia="宋体" w:cs="宋体"/>
          <w:b/>
          <w:color w:val="000000"/>
          <w:sz w:val="24"/>
          <w:szCs w:val="24"/>
          <w:highlight w:val="none"/>
        </w:rPr>
        <w:t>二、招标文件</w:t>
      </w:r>
      <w:bookmarkEnd w:id="61"/>
      <w:bookmarkEnd w:id="62"/>
      <w:bookmarkEnd w:id="63"/>
      <w:bookmarkEnd w:id="64"/>
    </w:p>
    <w:p w14:paraId="68ED197E">
      <w:pPr>
        <w:pStyle w:val="17"/>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outlineLvl w:val="1"/>
        <w:rPr>
          <w:rFonts w:hint="eastAsia" w:ascii="宋体" w:hAnsi="宋体" w:eastAsia="宋体" w:cs="宋体"/>
          <w:sz w:val="24"/>
          <w:szCs w:val="24"/>
          <w:highlight w:val="none"/>
        </w:rPr>
      </w:pPr>
      <w:bookmarkStart w:id="65" w:name="_Toc20823282"/>
      <w:bookmarkStart w:id="66" w:name="_Toc513029210"/>
      <w:bookmarkStart w:id="67" w:name="_Toc16938526"/>
      <w:r>
        <w:rPr>
          <w:rFonts w:hint="eastAsia" w:ascii="宋体" w:hAnsi="宋体" w:eastAsia="宋体" w:cs="宋体"/>
          <w:color w:val="000000"/>
          <w:sz w:val="24"/>
          <w:szCs w:val="24"/>
          <w:highlight w:val="none"/>
        </w:rPr>
        <w:t>6、招标文件构成</w:t>
      </w:r>
      <w:bookmarkEnd w:id="65"/>
      <w:bookmarkEnd w:id="66"/>
      <w:bookmarkEnd w:id="67"/>
    </w:p>
    <w:p w14:paraId="3A8430B3">
      <w:pPr>
        <w:pStyle w:val="17"/>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6.1 招标文件由以下部分组成：</w:t>
      </w:r>
    </w:p>
    <w:p w14:paraId="7CAD8D0E">
      <w:pPr>
        <w:pStyle w:val="17"/>
        <w:pageBreakBefore w:val="0"/>
        <w:widowControl w:val="0"/>
        <w:kinsoku/>
        <w:wordWrap/>
        <w:overflowPunct/>
        <w:topLinePunct w:val="0"/>
        <w:autoSpaceDE/>
        <w:autoSpaceDN/>
        <w:bidi w:val="0"/>
        <w:adjustRightInd/>
        <w:snapToGrid/>
        <w:spacing w:beforeAutospacing="0" w:afterAutospacing="0" w:line="360" w:lineRule="exact"/>
        <w:ind w:firstLine="36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招标公告</w:t>
      </w:r>
    </w:p>
    <w:p w14:paraId="65867A57">
      <w:pPr>
        <w:pStyle w:val="17"/>
        <w:pageBreakBefore w:val="0"/>
        <w:widowControl w:val="0"/>
        <w:kinsoku/>
        <w:wordWrap/>
        <w:overflowPunct/>
        <w:topLinePunct w:val="0"/>
        <w:autoSpaceDE/>
        <w:autoSpaceDN/>
        <w:bidi w:val="0"/>
        <w:adjustRightInd/>
        <w:snapToGrid/>
        <w:spacing w:beforeAutospacing="0" w:afterAutospacing="0" w:line="360" w:lineRule="exact"/>
        <w:ind w:firstLine="36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（2）投标人须知</w:t>
      </w:r>
    </w:p>
    <w:p w14:paraId="57943076">
      <w:pPr>
        <w:pStyle w:val="17"/>
        <w:pageBreakBefore w:val="0"/>
        <w:widowControl w:val="0"/>
        <w:kinsoku/>
        <w:wordWrap/>
        <w:overflowPunct/>
        <w:topLinePunct w:val="0"/>
        <w:autoSpaceDE/>
        <w:autoSpaceDN/>
        <w:bidi w:val="0"/>
        <w:adjustRightInd/>
        <w:snapToGrid/>
        <w:spacing w:beforeAutospacing="0" w:afterAutospacing="0" w:line="360" w:lineRule="exact"/>
        <w:ind w:firstLine="36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（3）合同文本</w:t>
      </w:r>
    </w:p>
    <w:p w14:paraId="2179FCE5">
      <w:pPr>
        <w:pStyle w:val="17"/>
        <w:pageBreakBefore w:val="0"/>
        <w:widowControl w:val="0"/>
        <w:kinsoku/>
        <w:wordWrap/>
        <w:overflowPunct/>
        <w:topLinePunct w:val="0"/>
        <w:autoSpaceDE/>
        <w:autoSpaceDN/>
        <w:bidi w:val="0"/>
        <w:adjustRightInd/>
        <w:snapToGrid/>
        <w:spacing w:beforeAutospacing="0" w:afterAutospacing="0" w:line="360" w:lineRule="exact"/>
        <w:ind w:firstLine="36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（4）采购需求</w:t>
      </w:r>
    </w:p>
    <w:p w14:paraId="552F5101">
      <w:pPr>
        <w:pStyle w:val="17"/>
        <w:pageBreakBefore w:val="0"/>
        <w:widowControl w:val="0"/>
        <w:kinsoku/>
        <w:wordWrap/>
        <w:overflowPunct/>
        <w:topLinePunct w:val="0"/>
        <w:autoSpaceDE/>
        <w:autoSpaceDN/>
        <w:bidi w:val="0"/>
        <w:adjustRightInd/>
        <w:snapToGrid/>
        <w:spacing w:beforeAutospacing="0" w:afterAutospacing="0" w:line="360" w:lineRule="exact"/>
        <w:ind w:firstLine="36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（5）评标方法与评标标准</w:t>
      </w:r>
    </w:p>
    <w:p w14:paraId="35C39FDB">
      <w:pPr>
        <w:pStyle w:val="17"/>
        <w:pageBreakBefore w:val="0"/>
        <w:widowControl w:val="0"/>
        <w:kinsoku/>
        <w:wordWrap/>
        <w:overflowPunct/>
        <w:topLinePunct w:val="0"/>
        <w:autoSpaceDE/>
        <w:autoSpaceDN/>
        <w:bidi w:val="0"/>
        <w:adjustRightInd/>
        <w:snapToGrid/>
        <w:spacing w:beforeAutospacing="0" w:afterAutospacing="0" w:line="360" w:lineRule="exact"/>
        <w:ind w:firstLine="36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（6）投标文件格式</w:t>
      </w:r>
    </w:p>
    <w:p w14:paraId="4BF73955">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请仔细检查招标文件是否齐全，如有缺漏请立即与采购人或</w:t>
      </w:r>
      <w:r>
        <w:rPr>
          <w:rFonts w:hint="eastAsia" w:ascii="宋体" w:hAnsi="宋体" w:eastAsia="宋体" w:cs="宋体"/>
          <w:color w:val="000000"/>
          <w:sz w:val="24"/>
          <w:szCs w:val="24"/>
          <w:highlight w:val="none"/>
          <w:lang w:val="en-US" w:eastAsia="zh-CN"/>
        </w:rPr>
        <w:t>招标</w:t>
      </w:r>
      <w:r>
        <w:rPr>
          <w:rFonts w:hint="eastAsia" w:ascii="宋体" w:hAnsi="宋体" w:eastAsia="宋体" w:cs="宋体"/>
          <w:color w:val="000000"/>
          <w:sz w:val="24"/>
          <w:szCs w:val="24"/>
          <w:highlight w:val="none"/>
        </w:rPr>
        <w:t>代理机构联系解决。</w:t>
      </w:r>
    </w:p>
    <w:p w14:paraId="6CE22225">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FBCE683">
      <w:pPr>
        <w:pStyle w:val="17"/>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outlineLvl w:val="1"/>
        <w:rPr>
          <w:rFonts w:hint="eastAsia" w:ascii="宋体" w:hAnsi="宋体" w:eastAsia="宋体" w:cs="宋体"/>
          <w:sz w:val="24"/>
          <w:szCs w:val="24"/>
          <w:highlight w:val="none"/>
        </w:rPr>
      </w:pPr>
      <w:bookmarkStart w:id="68" w:name="_Toc462564070"/>
      <w:bookmarkStart w:id="69" w:name="_Toc20823283"/>
      <w:bookmarkStart w:id="70" w:name="_Toc513029211"/>
      <w:bookmarkStart w:id="71" w:name="_Toc16938527"/>
      <w:r>
        <w:rPr>
          <w:rFonts w:hint="eastAsia" w:ascii="宋体" w:hAnsi="宋体" w:eastAsia="宋体" w:cs="宋体"/>
          <w:color w:val="000000"/>
          <w:sz w:val="24"/>
          <w:szCs w:val="24"/>
          <w:highlight w:val="none"/>
        </w:rPr>
        <w:t>7、招标文件的澄清</w:t>
      </w:r>
      <w:bookmarkEnd w:id="68"/>
      <w:bookmarkEnd w:id="69"/>
      <w:bookmarkEnd w:id="70"/>
      <w:bookmarkEnd w:id="71"/>
    </w:p>
    <w:p w14:paraId="51C9CA80">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7.1任何要求对招标文件进行澄清的投标人，应在投标截止期</w:t>
      </w:r>
      <w:r>
        <w:rPr>
          <w:rFonts w:hint="eastAsia" w:ascii="宋体" w:hAnsi="宋体" w:eastAsia="宋体" w:cs="宋体"/>
          <w:b/>
          <w:color w:val="000000"/>
          <w:sz w:val="24"/>
          <w:szCs w:val="24"/>
          <w:highlight w:val="none"/>
        </w:rPr>
        <w:t>十日</w:t>
      </w:r>
      <w:r>
        <w:rPr>
          <w:rFonts w:hint="eastAsia" w:ascii="宋体" w:hAnsi="宋体" w:eastAsia="宋体" w:cs="宋体"/>
          <w:color w:val="000000"/>
          <w:sz w:val="24"/>
          <w:szCs w:val="24"/>
          <w:highlight w:val="none"/>
        </w:rPr>
        <w:t>前按招标公告中的通讯地址，以书面形式通知采购人或招标代理机构。</w:t>
      </w:r>
    </w:p>
    <w:p w14:paraId="64D93D1A">
      <w:pPr>
        <w:pStyle w:val="17"/>
        <w:keepNext/>
        <w:keepLines/>
        <w:pageBreakBefore w:val="0"/>
        <w:widowControl w:val="0"/>
        <w:kinsoku/>
        <w:wordWrap/>
        <w:overflowPunct/>
        <w:topLinePunct w:val="0"/>
        <w:autoSpaceDE/>
        <w:autoSpaceDN/>
        <w:bidi w:val="0"/>
        <w:adjustRightInd/>
        <w:snapToGrid/>
        <w:spacing w:beforeAutospacing="0" w:afterAutospacing="0" w:line="360" w:lineRule="exact"/>
        <w:ind w:firstLine="560" w:firstLineChars="0"/>
        <w:jc w:val="both"/>
        <w:textAlignment w:val="auto"/>
        <w:outlineLvl w:val="1"/>
        <w:rPr>
          <w:rFonts w:hint="eastAsia" w:ascii="宋体" w:hAnsi="宋体" w:eastAsia="宋体" w:cs="宋体"/>
          <w:sz w:val="24"/>
          <w:szCs w:val="24"/>
          <w:highlight w:val="none"/>
        </w:rPr>
      </w:pPr>
      <w:bookmarkStart w:id="72" w:name="_Toc513029212"/>
      <w:bookmarkStart w:id="73" w:name="_Toc16938528"/>
      <w:bookmarkStart w:id="74" w:name="_Toc20823284"/>
      <w:bookmarkStart w:id="75" w:name="_Toc462564071"/>
      <w:r>
        <w:rPr>
          <w:rFonts w:hint="eastAsia" w:ascii="宋体" w:hAnsi="宋体" w:eastAsia="宋体" w:cs="宋体"/>
          <w:color w:val="000000"/>
          <w:sz w:val="24"/>
          <w:szCs w:val="24"/>
          <w:highlight w:val="none"/>
        </w:rPr>
        <w:t>8、招标文件的修改</w:t>
      </w:r>
      <w:bookmarkEnd w:id="72"/>
      <w:bookmarkEnd w:id="73"/>
      <w:bookmarkEnd w:id="74"/>
      <w:bookmarkEnd w:id="75"/>
    </w:p>
    <w:p w14:paraId="79F7581C">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8.1在投标截止时间前，采购人或招标代理机构可以对招标文件进行修改。</w:t>
      </w:r>
    </w:p>
    <w:p w14:paraId="6C5CE647">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8.2采购人或招标代理机构有权按照法定的要求推迟投标截止日期和开标日期。</w:t>
      </w:r>
    </w:p>
    <w:p w14:paraId="47FD8A9B">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8.3招标文件的修改将在</w:t>
      </w:r>
      <w:r>
        <w:rPr>
          <w:rFonts w:hint="eastAsia" w:ascii="宋体" w:hAnsi="宋体" w:eastAsia="宋体" w:cs="宋体"/>
          <w:color w:val="000000"/>
          <w:kern w:val="0"/>
          <w:sz w:val="24"/>
          <w:szCs w:val="24"/>
          <w:highlight w:val="none"/>
          <w:lang w:val="en-US" w:eastAsia="zh-CN" w:bidi="ar-SA"/>
        </w:rPr>
        <w:t>中国政府采购网</w:t>
      </w:r>
      <w:r>
        <w:rPr>
          <w:rFonts w:hint="eastAsia" w:ascii="宋体" w:hAnsi="宋体" w:eastAsia="宋体" w:cs="宋体"/>
          <w:i w:val="0"/>
          <w:iCs w:val="0"/>
          <w:caps w:val="0"/>
          <w:color w:val="333333"/>
          <w:spacing w:val="0"/>
          <w:sz w:val="24"/>
          <w:szCs w:val="24"/>
          <w:highlight w:val="none"/>
          <w:shd w:val="clear" w:fill="FFFFFF"/>
          <w:lang w:val="en-US" w:eastAsia="zh-CN"/>
        </w:rPr>
        <w:t>、</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盐城市政府采购网公布，补充文件将作为招标文件的组成部分，并对投标人具有约束力。</w:t>
      </w:r>
    </w:p>
    <w:p w14:paraId="00278C9A">
      <w:pPr>
        <w:pStyle w:val="17"/>
        <w:keepNext/>
        <w:keepLines/>
        <w:spacing w:before="145" w:beforeAutospacing="0" w:after="145" w:afterAutospacing="0" w:line="360" w:lineRule="auto"/>
        <w:ind w:firstLine="498" w:firstLineChars="0"/>
        <w:jc w:val="both"/>
        <w:outlineLvl w:val="0"/>
        <w:rPr>
          <w:rFonts w:hint="eastAsia" w:ascii="宋体" w:hAnsi="宋体" w:eastAsia="宋体" w:cs="宋体"/>
          <w:b/>
          <w:color w:val="000000"/>
          <w:sz w:val="24"/>
          <w:szCs w:val="24"/>
          <w:highlight w:val="none"/>
        </w:rPr>
      </w:pPr>
      <w:bookmarkStart w:id="76" w:name="_Toc513029213"/>
      <w:bookmarkStart w:id="77" w:name="_Toc120614216"/>
      <w:bookmarkStart w:id="78" w:name="_Toc16938529"/>
      <w:bookmarkStart w:id="79" w:name="_Toc20823285"/>
      <w:bookmarkStart w:id="80" w:name="_Toc462564072"/>
      <w:r>
        <w:rPr>
          <w:rFonts w:hint="eastAsia" w:ascii="宋体" w:hAnsi="宋体" w:eastAsia="宋体" w:cs="宋体"/>
          <w:b/>
          <w:color w:val="000000"/>
          <w:sz w:val="24"/>
          <w:szCs w:val="24"/>
          <w:highlight w:val="none"/>
        </w:rPr>
        <w:t>三、投标文件的编制</w:t>
      </w:r>
      <w:bookmarkEnd w:id="76"/>
      <w:bookmarkEnd w:id="77"/>
      <w:bookmarkEnd w:id="78"/>
      <w:bookmarkEnd w:id="79"/>
      <w:bookmarkEnd w:id="80"/>
    </w:p>
    <w:p w14:paraId="3958D525">
      <w:pPr>
        <w:pStyle w:val="17"/>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outlineLvl w:val="1"/>
        <w:rPr>
          <w:rFonts w:hint="eastAsia" w:ascii="宋体" w:hAnsi="宋体" w:eastAsia="宋体" w:cs="宋体"/>
          <w:sz w:val="24"/>
          <w:szCs w:val="24"/>
          <w:highlight w:val="none"/>
        </w:rPr>
      </w:pPr>
      <w:bookmarkStart w:id="81" w:name="_Toc513029214"/>
      <w:bookmarkStart w:id="82" w:name="_Toc462564073"/>
      <w:bookmarkStart w:id="83" w:name="_Toc16938530"/>
      <w:bookmarkStart w:id="84" w:name="_Toc20823286"/>
      <w:r>
        <w:rPr>
          <w:rFonts w:hint="eastAsia" w:ascii="宋体" w:hAnsi="宋体" w:eastAsia="宋体" w:cs="宋体"/>
          <w:color w:val="000000"/>
          <w:sz w:val="24"/>
          <w:szCs w:val="24"/>
          <w:highlight w:val="none"/>
        </w:rPr>
        <w:t>9、投标文件的语言及度量衡单位</w:t>
      </w:r>
      <w:bookmarkEnd w:id="81"/>
      <w:bookmarkEnd w:id="82"/>
      <w:bookmarkEnd w:id="83"/>
      <w:bookmarkEnd w:id="84"/>
    </w:p>
    <w:p w14:paraId="4F02069C">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9.1投标人提交的投标文件以及投标人与采购人或招标代理机构就有关投标的所有来往通知、函件和文件均应使用</w:t>
      </w:r>
      <w:r>
        <w:rPr>
          <w:rFonts w:hint="eastAsia" w:ascii="宋体" w:hAnsi="宋体" w:eastAsia="宋体" w:cs="宋体"/>
          <w:b/>
          <w:color w:val="000000"/>
          <w:sz w:val="24"/>
          <w:szCs w:val="24"/>
          <w:highlight w:val="none"/>
        </w:rPr>
        <w:t>简体中文</w:t>
      </w:r>
      <w:r>
        <w:rPr>
          <w:rFonts w:hint="eastAsia" w:ascii="宋体" w:hAnsi="宋体" w:eastAsia="宋体" w:cs="宋体"/>
          <w:color w:val="000000"/>
          <w:sz w:val="24"/>
          <w:szCs w:val="24"/>
          <w:highlight w:val="none"/>
        </w:rPr>
        <w:t>。</w:t>
      </w:r>
    </w:p>
    <w:p w14:paraId="4BFB97B0">
      <w:pPr>
        <w:pStyle w:val="17"/>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9.2除技术性能另有规定外，投标文件所使用的度量衡单位，均须采用国家法定计量单位。</w:t>
      </w:r>
    </w:p>
    <w:p w14:paraId="5A005DB0">
      <w:pPr>
        <w:pStyle w:val="17"/>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outlineLvl w:val="1"/>
        <w:rPr>
          <w:rFonts w:hint="eastAsia" w:ascii="宋体" w:hAnsi="宋体" w:eastAsia="宋体" w:cs="宋体"/>
          <w:sz w:val="24"/>
          <w:szCs w:val="24"/>
          <w:highlight w:val="none"/>
        </w:rPr>
      </w:pPr>
      <w:bookmarkStart w:id="85" w:name="_Toc20823287"/>
      <w:bookmarkStart w:id="86" w:name="_Toc513029215"/>
      <w:bookmarkStart w:id="87" w:name="_Toc462564074"/>
      <w:bookmarkStart w:id="88" w:name="_Toc16938531"/>
      <w:r>
        <w:rPr>
          <w:rFonts w:hint="eastAsia" w:ascii="宋体" w:hAnsi="宋体" w:eastAsia="宋体" w:cs="宋体"/>
          <w:color w:val="000000"/>
          <w:sz w:val="24"/>
          <w:szCs w:val="24"/>
          <w:highlight w:val="none"/>
        </w:rPr>
        <w:t>10、投标文件构成</w:t>
      </w:r>
      <w:bookmarkEnd w:id="85"/>
      <w:bookmarkEnd w:id="86"/>
      <w:bookmarkEnd w:id="87"/>
      <w:bookmarkEnd w:id="88"/>
    </w:p>
    <w:p w14:paraId="2CDE719A">
      <w:pPr>
        <w:pStyle w:val="17"/>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10.1投标人编写的投标文件应包括资格证明文件、符合性证明文件、投标分项报价表、技术要求响应及偏离表、商务要求响应及偏离表、其他证明文件、投标函、开标一览表等部分。</w:t>
      </w:r>
    </w:p>
    <w:p w14:paraId="43A68060">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10.2如标书制作工具中格式和内容与</w:t>
      </w:r>
      <w:r>
        <w:rPr>
          <w:rFonts w:hint="eastAsia" w:ascii="宋体" w:hAnsi="宋体" w:eastAsia="宋体" w:cs="宋体"/>
          <w:i w:val="0"/>
          <w:iCs w:val="0"/>
          <w:caps w:val="0"/>
          <w:color w:val="333333"/>
          <w:spacing w:val="0"/>
          <w:sz w:val="24"/>
          <w:szCs w:val="24"/>
          <w:highlight w:val="none"/>
          <w:shd w:val="clear" w:fill="FFFFFF"/>
          <w:lang w:val="en-US" w:eastAsia="zh-CN"/>
        </w:rPr>
        <w:t>“</w:t>
      </w:r>
      <w:r>
        <w:rPr>
          <w:rFonts w:hint="eastAsia" w:ascii="宋体" w:hAnsi="宋体" w:eastAsia="宋体" w:cs="宋体"/>
          <w:color w:val="000000"/>
          <w:kern w:val="0"/>
          <w:sz w:val="24"/>
          <w:szCs w:val="24"/>
          <w:highlight w:val="none"/>
          <w:lang w:val="en-US" w:eastAsia="zh-CN" w:bidi="ar-SA"/>
        </w:rPr>
        <w:t>中国政府采购网”“</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盐城市政府采购网”发布的招标文件不一致，请以</w:t>
      </w:r>
      <w:r>
        <w:rPr>
          <w:rFonts w:hint="eastAsia" w:ascii="宋体" w:hAnsi="宋体" w:eastAsia="宋体" w:cs="宋体"/>
          <w:i w:val="0"/>
          <w:iCs w:val="0"/>
          <w:caps w:val="0"/>
          <w:color w:val="333333"/>
          <w:spacing w:val="0"/>
          <w:sz w:val="24"/>
          <w:szCs w:val="24"/>
          <w:highlight w:val="none"/>
          <w:shd w:val="clear" w:fill="FFFFFF"/>
          <w:lang w:val="en-US" w:eastAsia="zh-CN"/>
        </w:rPr>
        <w:t>“</w:t>
      </w:r>
      <w:r>
        <w:rPr>
          <w:rFonts w:hint="eastAsia" w:ascii="宋体" w:hAnsi="宋体" w:eastAsia="宋体" w:cs="宋体"/>
          <w:color w:val="000000"/>
          <w:kern w:val="0"/>
          <w:sz w:val="24"/>
          <w:szCs w:val="24"/>
          <w:highlight w:val="none"/>
          <w:lang w:val="en-US" w:eastAsia="zh-CN" w:bidi="ar-SA"/>
        </w:rPr>
        <w:t>中国政府采购网”“</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盐城市政府采购网”发布的招标文件为准。</w:t>
      </w:r>
    </w:p>
    <w:p w14:paraId="58AAE2F3">
      <w:pPr>
        <w:pStyle w:val="17"/>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outlineLvl w:val="1"/>
        <w:rPr>
          <w:rFonts w:hint="eastAsia" w:ascii="宋体" w:hAnsi="宋体" w:eastAsia="宋体" w:cs="宋体"/>
          <w:sz w:val="24"/>
          <w:szCs w:val="24"/>
          <w:highlight w:val="none"/>
          <w:lang w:eastAsia="zh-CN"/>
        </w:rPr>
      </w:pPr>
      <w:bookmarkStart w:id="89" w:name="_Toc14577357"/>
      <w:bookmarkStart w:id="90" w:name="_Toc14577354"/>
      <w:bookmarkStart w:id="91" w:name="_Toc49090509"/>
      <w:bookmarkStart w:id="92" w:name="_Toc513029219"/>
      <w:bookmarkStart w:id="93" w:name="_Toc513029216"/>
      <w:bookmarkStart w:id="94" w:name="_Toc49090507"/>
      <w:bookmarkStart w:id="95" w:name="_Hlt26670360"/>
      <w:bookmarkStart w:id="96" w:name="_Hlt26668975"/>
      <w:bookmarkStart w:id="97" w:name="_Hlt26954838"/>
      <w:r>
        <w:rPr>
          <w:rFonts w:hint="eastAsia" w:ascii="宋体" w:hAnsi="宋体" w:eastAsia="宋体" w:cs="宋体"/>
          <w:color w:val="000000"/>
          <w:sz w:val="24"/>
          <w:szCs w:val="24"/>
          <w:highlight w:val="none"/>
        </w:rPr>
        <w:t>11、证明投标人及投标标的符合招标文件规定的文件</w:t>
      </w:r>
      <w:bookmarkEnd w:id="89"/>
      <w:bookmarkEnd w:id="90"/>
      <w:bookmarkEnd w:id="91"/>
      <w:bookmarkEnd w:id="92"/>
      <w:bookmarkEnd w:id="93"/>
      <w:bookmarkEnd w:id="94"/>
      <w:r>
        <w:rPr>
          <w:rFonts w:hint="eastAsia" w:ascii="宋体" w:hAnsi="宋体" w:eastAsia="宋体" w:cs="宋体"/>
          <w:color w:val="000000"/>
          <w:sz w:val="24"/>
          <w:szCs w:val="24"/>
          <w:highlight w:val="none"/>
          <w:lang w:eastAsia="zh-CN"/>
        </w:rPr>
        <w:t>。</w:t>
      </w:r>
    </w:p>
    <w:p w14:paraId="7BCF26D9">
      <w:pPr>
        <w:pStyle w:val="17"/>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sz w:val="24"/>
          <w:szCs w:val="24"/>
          <w:highlight w:val="none"/>
        </w:rPr>
      </w:pPr>
      <w:bookmarkStart w:id="98" w:name="_Toc14577355"/>
      <w:bookmarkStart w:id="99" w:name="_Toc49090508"/>
      <w:r>
        <w:rPr>
          <w:rFonts w:hint="eastAsia" w:ascii="宋体" w:hAnsi="宋体" w:eastAsia="宋体" w:cs="宋体"/>
          <w:color w:val="000000"/>
          <w:sz w:val="24"/>
          <w:szCs w:val="24"/>
          <w:highlight w:val="none"/>
        </w:rPr>
        <w:t>11.1投标人应按照法律、法规、规章和规范性文件以及招标文件要求提交证明文件，证明其及投标标的符合招标文件规定。</w:t>
      </w:r>
      <w:bookmarkEnd w:id="98"/>
      <w:bookmarkEnd w:id="99"/>
    </w:p>
    <w:p w14:paraId="68EBD425">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11.2招标文件对证明文件无明确形式要求的，证明文件可以以文字资料、图纸和数据等形式提交。</w:t>
      </w:r>
    </w:p>
    <w:p w14:paraId="7C62A904">
      <w:pPr>
        <w:pStyle w:val="17"/>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outlineLvl w:val="1"/>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12、投标分项报价</w:t>
      </w:r>
      <w:bookmarkStart w:id="100" w:name="_Hlt26670373"/>
      <w:r>
        <w:rPr>
          <w:rFonts w:hint="eastAsia" w:ascii="宋体" w:hAnsi="宋体" w:eastAsia="宋体" w:cs="宋体"/>
          <w:color w:val="000000"/>
          <w:sz w:val="24"/>
          <w:szCs w:val="24"/>
          <w:highlight w:val="none"/>
        </w:rPr>
        <w:t>表</w:t>
      </w:r>
    </w:p>
    <w:p w14:paraId="54CA8B62">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12.1投</w:t>
      </w:r>
      <w:bookmarkStart w:id="101" w:name="_Hlt26954840"/>
      <w:r>
        <w:rPr>
          <w:rFonts w:hint="eastAsia" w:ascii="宋体" w:hAnsi="宋体" w:eastAsia="宋体" w:cs="宋体"/>
          <w:color w:val="000000"/>
          <w:sz w:val="24"/>
          <w:szCs w:val="24"/>
          <w:highlight w:val="none"/>
        </w:rPr>
        <w:t>标人应按照招标文件规定格式填报投标分项报价表</w:t>
      </w:r>
      <w:bookmarkStart w:id="102" w:name="_Hlt26670399"/>
      <w:r>
        <w:rPr>
          <w:rFonts w:hint="eastAsia" w:ascii="宋体" w:hAnsi="宋体" w:eastAsia="宋体" w:cs="宋体"/>
          <w:color w:val="000000"/>
          <w:sz w:val="24"/>
          <w:szCs w:val="24"/>
          <w:highlight w:val="none"/>
        </w:rPr>
        <w:t>。</w:t>
      </w:r>
    </w:p>
    <w:p w14:paraId="25F1AFE8">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12.2投标货币。投标文件中的单价和总价无特殊规定的采用人民币报价，以元为单位标注。招标文件中另有规定的按规定执行。</w:t>
      </w:r>
    </w:p>
    <w:p w14:paraId="3E71C8AC">
      <w:pPr>
        <w:pStyle w:val="17"/>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outlineLvl w:val="1"/>
        <w:rPr>
          <w:rFonts w:hint="eastAsia" w:ascii="宋体" w:hAnsi="宋体" w:eastAsia="宋体" w:cs="宋体"/>
          <w:sz w:val="24"/>
          <w:szCs w:val="24"/>
          <w:highlight w:val="none"/>
        </w:rPr>
      </w:pPr>
      <w:bookmarkStart w:id="103" w:name="_Hlt26670425"/>
      <w:bookmarkStart w:id="104" w:name="_Hlt26954844"/>
      <w:bookmarkStart w:id="105" w:name="_Hlt26954842"/>
      <w:bookmarkStart w:id="106" w:name="_Hlt26670403"/>
      <w:bookmarkStart w:id="107" w:name="_Hlt26668983"/>
      <w:bookmarkStart w:id="108" w:name="_Hlt26670486"/>
      <w:bookmarkStart w:id="109" w:name="_Hlt26670482"/>
      <w:bookmarkStart w:id="110" w:name="_Hlt26954846"/>
      <w:bookmarkStart w:id="111" w:name="_Hlt26954848"/>
      <w:bookmarkStart w:id="112" w:name="_Hlt26954731"/>
      <w:r>
        <w:rPr>
          <w:rFonts w:hint="eastAsia" w:ascii="宋体" w:hAnsi="宋体" w:eastAsia="宋体" w:cs="宋体"/>
          <w:color w:val="000000"/>
          <w:sz w:val="24"/>
          <w:szCs w:val="24"/>
          <w:highlight w:val="none"/>
        </w:rPr>
        <w:t>13、技术要求响应及偏离表、商务要求响应及偏离表</w:t>
      </w:r>
    </w:p>
    <w:p w14:paraId="7633F01F">
      <w:pPr>
        <w:pStyle w:val="17"/>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13.1投标人需对招标文件中的技术要求与商务要求逐项作出响应或偏离，并说明原因。</w:t>
      </w:r>
    </w:p>
    <w:p w14:paraId="39ED4825">
      <w:pPr>
        <w:pStyle w:val="17"/>
        <w:pageBreakBefore w:val="0"/>
        <w:widowControl w:val="0"/>
        <w:tabs>
          <w:tab w:val="left" w:pos="1036"/>
        </w:tabs>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13.2投标人可在投标文件中提供认为需要的其他技术文件或说明。</w:t>
      </w:r>
    </w:p>
    <w:p w14:paraId="3BCCF779">
      <w:pPr>
        <w:pStyle w:val="17"/>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outlineLvl w:val="1"/>
        <w:rPr>
          <w:rFonts w:hint="eastAsia" w:ascii="宋体" w:hAnsi="宋体" w:eastAsia="宋体" w:cs="宋体"/>
          <w:sz w:val="24"/>
          <w:szCs w:val="24"/>
          <w:highlight w:val="none"/>
        </w:rPr>
      </w:pPr>
      <w:bookmarkStart w:id="113" w:name="_Toc14577359"/>
      <w:bookmarkStart w:id="114" w:name="_Toc49090510"/>
      <w:r>
        <w:rPr>
          <w:rFonts w:hint="eastAsia" w:ascii="宋体" w:hAnsi="宋体" w:eastAsia="宋体" w:cs="宋体"/>
          <w:color w:val="000000"/>
          <w:sz w:val="24"/>
          <w:szCs w:val="24"/>
          <w:highlight w:val="none"/>
        </w:rPr>
        <w:t>14、投标函和开标一览表</w:t>
      </w:r>
      <w:bookmarkEnd w:id="113"/>
      <w:bookmarkEnd w:id="114"/>
    </w:p>
    <w:p w14:paraId="1BEB9EC7">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14.1投标人应按照招标文件中提供的格式完整、正确填写投标函、开标一览表。</w:t>
      </w:r>
    </w:p>
    <w:p w14:paraId="63A61873">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highlight w:val="none"/>
        </w:rPr>
        <w:t>。</w:t>
      </w:r>
    </w:p>
    <w:p w14:paraId="53CB0256">
      <w:pPr>
        <w:pStyle w:val="17"/>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outlineLvl w:val="1"/>
        <w:rPr>
          <w:rFonts w:hint="eastAsia" w:ascii="宋体" w:hAnsi="宋体" w:eastAsia="宋体" w:cs="宋体"/>
          <w:sz w:val="24"/>
          <w:szCs w:val="24"/>
          <w:highlight w:val="none"/>
        </w:rPr>
      </w:pPr>
      <w:bookmarkStart w:id="115" w:name="_Toc14577360"/>
      <w:bookmarkStart w:id="116" w:name="_Toc49090511"/>
      <w:bookmarkStart w:id="117" w:name="_Hlt26670489"/>
      <w:bookmarkStart w:id="118" w:name="_Hlt26954850"/>
      <w:bookmarkStart w:id="119" w:name="_Hlt26954734"/>
      <w:r>
        <w:rPr>
          <w:rFonts w:hint="eastAsia" w:ascii="宋体" w:hAnsi="宋体" w:eastAsia="宋体" w:cs="宋体"/>
          <w:color w:val="000000"/>
          <w:sz w:val="24"/>
          <w:szCs w:val="24"/>
          <w:highlight w:val="none"/>
        </w:rPr>
        <w:t>15、投标有效期</w:t>
      </w:r>
      <w:bookmarkEnd w:id="115"/>
      <w:bookmarkEnd w:id="116"/>
    </w:p>
    <w:p w14:paraId="6CB8DD62">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15.1投标有效期为采购</w:t>
      </w:r>
      <w:r>
        <w:rPr>
          <w:rFonts w:hint="eastAsia" w:ascii="宋体" w:hAnsi="宋体" w:eastAsia="宋体" w:cs="宋体"/>
          <w:color w:val="000000"/>
          <w:sz w:val="24"/>
          <w:szCs w:val="24"/>
          <w:highlight w:val="none"/>
          <w:lang w:eastAsia="zh-CN"/>
        </w:rPr>
        <w:t>人</w:t>
      </w:r>
      <w:r>
        <w:rPr>
          <w:rFonts w:hint="eastAsia" w:ascii="宋体" w:hAnsi="宋体" w:eastAsia="宋体" w:cs="宋体"/>
          <w:color w:val="000000"/>
          <w:sz w:val="24"/>
          <w:szCs w:val="24"/>
          <w:highlight w:val="none"/>
        </w:rPr>
        <w:t>规定的开标之日后</w:t>
      </w:r>
      <w:r>
        <w:rPr>
          <w:rFonts w:hint="eastAsia" w:ascii="宋体" w:hAnsi="宋体" w:eastAsia="宋体" w:cs="宋体"/>
          <w:b/>
          <w:color w:val="auto"/>
          <w:sz w:val="24"/>
          <w:szCs w:val="24"/>
          <w:highlight w:val="none"/>
          <w:u w:val="single"/>
          <w:lang w:val="en-US" w:eastAsia="zh-CN"/>
        </w:rPr>
        <w:t>九</w:t>
      </w:r>
      <w:r>
        <w:rPr>
          <w:rFonts w:hint="eastAsia" w:ascii="宋体" w:hAnsi="宋体" w:eastAsia="宋体" w:cs="宋体"/>
          <w:b/>
          <w:color w:val="auto"/>
          <w:sz w:val="24"/>
          <w:szCs w:val="24"/>
          <w:highlight w:val="none"/>
          <w:u w:val="single"/>
        </w:rPr>
        <w:t>十（</w:t>
      </w:r>
      <w:r>
        <w:rPr>
          <w:rFonts w:hint="eastAsia" w:ascii="宋体" w:hAnsi="宋体" w:eastAsia="宋体" w:cs="宋体"/>
          <w:b/>
          <w:color w:val="auto"/>
          <w:sz w:val="24"/>
          <w:szCs w:val="24"/>
          <w:highlight w:val="none"/>
          <w:u w:val="single"/>
          <w:lang w:val="en-US" w:eastAsia="zh-CN"/>
        </w:rPr>
        <w:t>9</w:t>
      </w:r>
      <w:r>
        <w:rPr>
          <w:rFonts w:hint="eastAsia" w:ascii="宋体" w:hAnsi="宋体" w:eastAsia="宋体" w:cs="宋体"/>
          <w:b/>
          <w:color w:val="auto"/>
          <w:sz w:val="24"/>
          <w:szCs w:val="24"/>
          <w:highlight w:val="none"/>
          <w:u w:val="single"/>
        </w:rPr>
        <w:t>0）天</w:t>
      </w:r>
      <w:r>
        <w:rPr>
          <w:rFonts w:hint="eastAsia" w:ascii="宋体" w:hAnsi="宋体" w:eastAsia="宋体" w:cs="宋体"/>
          <w:color w:val="000000"/>
          <w:sz w:val="24"/>
          <w:szCs w:val="24"/>
          <w:highlight w:val="none"/>
        </w:rPr>
        <w:t>。投标有效期比规定短的将被视为未实质性响应招标文件而予以拒绝。</w:t>
      </w:r>
    </w:p>
    <w:p w14:paraId="0A08692B">
      <w:pPr>
        <w:pStyle w:val="17"/>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outlineLvl w:val="1"/>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16、投标有效期的延长</w:t>
      </w:r>
    </w:p>
    <w:p w14:paraId="6EB28565">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16.1在特殊情况下，采购人或招标代理机构于原投标有效期满之前，可向投标人提出延长投标有效期的要求。这种要求与答复均应采用书面形式。投标人可以拒绝采购人或招标代理机构的这一要求而放弃投标。同意延长投标有效期的投标人既不能要求也不允许修改其投标文件，同时受投标有效期约束的所有权利与义务均延长至新的有效期。</w:t>
      </w:r>
      <w:bookmarkStart w:id="120" w:name="_Toc513029224"/>
      <w:bookmarkStart w:id="121" w:name="_Toc120614217"/>
      <w:bookmarkStart w:id="122" w:name="_Toc20823296"/>
      <w:bookmarkStart w:id="123" w:name="_Toc16938540"/>
      <w:bookmarkStart w:id="124" w:name="_Hlt26954739"/>
      <w:bookmarkStart w:id="125" w:name="_Hlt26954852"/>
    </w:p>
    <w:p w14:paraId="1E06A6BF">
      <w:pPr>
        <w:pStyle w:val="17"/>
        <w:keepNext/>
        <w:keepLines/>
        <w:spacing w:before="145" w:beforeAutospacing="0" w:after="145" w:afterAutospacing="0" w:line="360" w:lineRule="auto"/>
        <w:ind w:firstLine="498" w:firstLineChars="0"/>
        <w:jc w:val="both"/>
        <w:outlineLvl w:val="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四、投标文件的递交</w:t>
      </w:r>
      <w:bookmarkEnd w:id="120"/>
      <w:bookmarkEnd w:id="121"/>
      <w:bookmarkEnd w:id="122"/>
      <w:bookmarkEnd w:id="123"/>
    </w:p>
    <w:p w14:paraId="4C633EA9">
      <w:pPr>
        <w:pStyle w:val="17"/>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outlineLvl w:val="1"/>
        <w:rPr>
          <w:rFonts w:hint="eastAsia" w:ascii="宋体" w:hAnsi="宋体" w:eastAsia="宋体" w:cs="宋体"/>
          <w:sz w:val="24"/>
          <w:szCs w:val="24"/>
          <w:highlight w:val="none"/>
        </w:rPr>
      </w:pPr>
      <w:bookmarkStart w:id="126" w:name="_Toc16938541"/>
      <w:bookmarkStart w:id="127" w:name="_Toc513029225"/>
      <w:bookmarkStart w:id="128" w:name="_Toc462564084"/>
      <w:bookmarkStart w:id="129" w:name="_Toc20823297"/>
      <w:r>
        <w:rPr>
          <w:rFonts w:hint="eastAsia" w:ascii="宋体" w:hAnsi="宋体" w:eastAsia="宋体" w:cs="宋体"/>
          <w:color w:val="000000"/>
          <w:sz w:val="24"/>
          <w:szCs w:val="24"/>
          <w:highlight w:val="none"/>
        </w:rPr>
        <w:t>17、投标文件</w:t>
      </w:r>
      <w:bookmarkEnd w:id="126"/>
      <w:bookmarkEnd w:id="127"/>
      <w:bookmarkEnd w:id="128"/>
      <w:bookmarkEnd w:id="129"/>
      <w:r>
        <w:rPr>
          <w:rFonts w:hint="eastAsia" w:ascii="宋体" w:hAnsi="宋体" w:eastAsia="宋体" w:cs="宋体"/>
          <w:color w:val="000000"/>
          <w:sz w:val="24"/>
          <w:szCs w:val="24"/>
          <w:highlight w:val="none"/>
        </w:rPr>
        <w:t>的递交</w:t>
      </w:r>
    </w:p>
    <w:p w14:paraId="26BFC676">
      <w:pPr>
        <w:pStyle w:val="17"/>
        <w:pageBreakBefore w:val="0"/>
        <w:widowControl w:val="0"/>
        <w:kinsoku/>
        <w:wordWrap/>
        <w:overflowPunct/>
        <w:topLinePunct w:val="0"/>
        <w:autoSpaceDE/>
        <w:autoSpaceDN/>
        <w:bidi w:val="0"/>
        <w:adjustRightInd/>
        <w:snapToGrid/>
        <w:spacing w:beforeAutospacing="0" w:afterAutospacing="0" w:line="360" w:lineRule="exact"/>
        <w:ind w:firstLine="480" w:firstLineChars="0"/>
        <w:jc w:val="both"/>
        <w:textAlignment w:val="auto"/>
        <w:outlineLvl w:val="2"/>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17.1 电子投标文件的递交</w:t>
      </w:r>
    </w:p>
    <w:p w14:paraId="65F6134F">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投标人应当按照《操作手册》规定，在投标截止时间前制作并上传电子投标文件。</w:t>
      </w:r>
      <w:bookmarkStart w:id="130" w:name="_Toc16938542"/>
      <w:bookmarkEnd w:id="130"/>
      <w:bookmarkStart w:id="131" w:name="_Toc20823298"/>
      <w:bookmarkEnd w:id="131"/>
      <w:bookmarkStart w:id="132" w:name="_Toc513029226"/>
    </w:p>
    <w:p w14:paraId="4F21A69A">
      <w:pPr>
        <w:pStyle w:val="17"/>
        <w:pageBreakBefore w:val="0"/>
        <w:widowControl w:val="0"/>
        <w:kinsoku/>
        <w:wordWrap/>
        <w:overflowPunct/>
        <w:topLinePunct w:val="0"/>
        <w:autoSpaceDE/>
        <w:autoSpaceDN/>
        <w:bidi w:val="0"/>
        <w:adjustRightInd/>
        <w:snapToGrid/>
        <w:spacing w:beforeAutospacing="0" w:afterAutospacing="0" w:line="360" w:lineRule="exact"/>
        <w:ind w:firstLine="480" w:firstLineChars="0"/>
        <w:jc w:val="both"/>
        <w:textAlignment w:val="auto"/>
        <w:outlineLvl w:val="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18、投标截止时间</w:t>
      </w:r>
    </w:p>
    <w:p w14:paraId="674070DF">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18.1投标人上传电子投标文件的时间不得迟于招标公告中规定的投标截止时间。</w:t>
      </w:r>
    </w:p>
    <w:p w14:paraId="237BBC07">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投标人应充分考虑到网络环境、网络带宽等风险因素，如因投标人自身原因造成的电子投标文件上传不成功的按照本招标文件第二章第26.1.2条 规定做无效投标处理。</w:t>
      </w:r>
    </w:p>
    <w:p w14:paraId="120F6522">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18.2采购人或招标代理机构可以按照规定，通过修改招标文件酌情延长投标截止时间，在此情况下，投标人的所有权利和义务以及投标人受制的截止时间均应以延长后新的截止时间为准。</w:t>
      </w:r>
    </w:p>
    <w:p w14:paraId="3AECB744">
      <w:pPr>
        <w:pStyle w:val="17"/>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outlineLvl w:val="1"/>
        <w:rPr>
          <w:rFonts w:hint="eastAsia" w:ascii="宋体" w:hAnsi="宋体" w:eastAsia="宋体" w:cs="宋体"/>
          <w:sz w:val="24"/>
          <w:szCs w:val="24"/>
          <w:highlight w:val="none"/>
        </w:rPr>
      </w:pPr>
      <w:bookmarkStart w:id="133" w:name="_Toc513029227"/>
      <w:bookmarkStart w:id="134" w:name="_Toc16938543"/>
      <w:bookmarkStart w:id="135" w:name="_Toc20823299"/>
      <w:r>
        <w:rPr>
          <w:rFonts w:hint="eastAsia" w:ascii="宋体" w:hAnsi="宋体" w:eastAsia="宋体" w:cs="宋体"/>
          <w:color w:val="000000"/>
          <w:sz w:val="24"/>
          <w:szCs w:val="24"/>
          <w:highlight w:val="none"/>
        </w:rPr>
        <w:t>19、投标文件</w:t>
      </w:r>
      <w:bookmarkEnd w:id="133"/>
      <w:bookmarkEnd w:id="134"/>
      <w:bookmarkEnd w:id="135"/>
      <w:r>
        <w:rPr>
          <w:rFonts w:hint="eastAsia" w:ascii="宋体" w:hAnsi="宋体" w:eastAsia="宋体" w:cs="宋体"/>
          <w:color w:val="000000"/>
          <w:sz w:val="24"/>
          <w:szCs w:val="24"/>
          <w:highlight w:val="none"/>
        </w:rPr>
        <w:t>的拒收</w:t>
      </w:r>
    </w:p>
    <w:p w14:paraId="2B48FBBD">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19.</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招标代理机构拒绝接收在其规定的投标截止时间后上传的任何投标文件。</w:t>
      </w:r>
    </w:p>
    <w:p w14:paraId="6520AEC0">
      <w:pPr>
        <w:pStyle w:val="17"/>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outlineLvl w:val="1"/>
        <w:rPr>
          <w:rFonts w:hint="eastAsia" w:ascii="宋体" w:hAnsi="宋体" w:eastAsia="宋体" w:cs="宋体"/>
          <w:sz w:val="24"/>
          <w:szCs w:val="24"/>
          <w:highlight w:val="none"/>
        </w:rPr>
      </w:pPr>
      <w:bookmarkStart w:id="136" w:name="_Toc513029228"/>
      <w:bookmarkStart w:id="137" w:name="_Toc20823300"/>
      <w:bookmarkStart w:id="138" w:name="_Toc16938544"/>
      <w:r>
        <w:rPr>
          <w:rFonts w:hint="eastAsia" w:ascii="宋体" w:hAnsi="宋体" w:eastAsia="宋体" w:cs="宋体"/>
          <w:color w:val="000000"/>
          <w:sz w:val="24"/>
          <w:szCs w:val="24"/>
          <w:highlight w:val="none"/>
        </w:rPr>
        <w:t>20、投标文件的撤回和修改</w:t>
      </w:r>
      <w:bookmarkEnd w:id="136"/>
      <w:bookmarkEnd w:id="137"/>
      <w:bookmarkEnd w:id="138"/>
    </w:p>
    <w:p w14:paraId="2C6476A3">
      <w:pPr>
        <w:pStyle w:val="17"/>
        <w:pageBreakBefore w:val="0"/>
        <w:widowControl w:val="0"/>
        <w:kinsoku/>
        <w:wordWrap/>
        <w:overflowPunct/>
        <w:topLinePunct w:val="0"/>
        <w:autoSpaceDE/>
        <w:autoSpaceDN/>
        <w:bidi w:val="0"/>
        <w:adjustRightInd/>
        <w:snapToGrid/>
        <w:spacing w:beforeAutospacing="0" w:afterAutospacing="0" w:line="360" w:lineRule="exact"/>
        <w:ind w:firstLine="480" w:firstLineChars="0"/>
        <w:jc w:val="both"/>
        <w:textAlignment w:val="auto"/>
        <w:outlineLvl w:val="2"/>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20.1投标文件的撤回</w:t>
      </w:r>
    </w:p>
    <w:p w14:paraId="72EBA9C8">
      <w:pPr>
        <w:pStyle w:val="17"/>
        <w:pageBreakBefore w:val="0"/>
        <w:widowControl w:val="0"/>
        <w:kinsoku/>
        <w:wordWrap/>
        <w:overflowPunct/>
        <w:topLinePunct w:val="0"/>
        <w:autoSpaceDE/>
        <w:autoSpaceDN/>
        <w:bidi w:val="0"/>
        <w:adjustRightInd/>
        <w:snapToGrid/>
        <w:spacing w:beforeAutospacing="0" w:afterAutospacing="0" w:line="360" w:lineRule="exact"/>
        <w:ind w:firstLine="480" w:firstLineChars="0"/>
        <w:jc w:val="both"/>
        <w:textAlignment w:val="auto"/>
        <w:outlineLvl w:val="3"/>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.1.1电子投标文件的撤回</w:t>
      </w:r>
    </w:p>
    <w:p w14:paraId="26CBD294">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投标人可在投标截止时间前，撤回其电子投标文件，具体操作方法见《操作手册》。</w:t>
      </w:r>
    </w:p>
    <w:p w14:paraId="3ED51487">
      <w:pPr>
        <w:pStyle w:val="17"/>
        <w:pageBreakBefore w:val="0"/>
        <w:widowControl w:val="0"/>
        <w:kinsoku/>
        <w:wordWrap/>
        <w:overflowPunct/>
        <w:topLinePunct w:val="0"/>
        <w:autoSpaceDE/>
        <w:autoSpaceDN/>
        <w:bidi w:val="0"/>
        <w:adjustRightInd/>
        <w:snapToGrid/>
        <w:spacing w:beforeAutospacing="0" w:afterAutospacing="0" w:line="360" w:lineRule="exact"/>
        <w:ind w:firstLine="480" w:firstLineChars="0"/>
        <w:jc w:val="both"/>
        <w:textAlignment w:val="auto"/>
        <w:outlineLvl w:val="3"/>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.1.2投标人撤回电子投标文件，则认为其不再参与本项目投标活动。</w:t>
      </w:r>
    </w:p>
    <w:p w14:paraId="090FC03B">
      <w:pPr>
        <w:pStyle w:val="17"/>
        <w:pageBreakBefore w:val="0"/>
        <w:widowControl w:val="0"/>
        <w:kinsoku/>
        <w:wordWrap/>
        <w:overflowPunct/>
        <w:topLinePunct w:val="0"/>
        <w:autoSpaceDE/>
        <w:autoSpaceDN/>
        <w:bidi w:val="0"/>
        <w:adjustRightInd/>
        <w:snapToGrid/>
        <w:spacing w:beforeAutospacing="0" w:afterAutospacing="0" w:line="360" w:lineRule="exact"/>
        <w:ind w:firstLine="480" w:firstLineChars="0"/>
        <w:jc w:val="both"/>
        <w:textAlignment w:val="auto"/>
        <w:outlineLvl w:val="2"/>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20.2 投标文件的修改</w:t>
      </w:r>
    </w:p>
    <w:p w14:paraId="053F4E45">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20.2.1投标人可在投标截止时间前，对其电子投标文件进行修改，具体操作方法见《操作手册》。</w:t>
      </w:r>
    </w:p>
    <w:p w14:paraId="7AABAAF3">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20.2.2在投标截止时间之后，投标人不得对其电子投标文件作任何修改。</w:t>
      </w:r>
    </w:p>
    <w:p w14:paraId="1BEFAE9D">
      <w:pPr>
        <w:pStyle w:val="17"/>
        <w:pageBreakBefore w:val="0"/>
        <w:widowControl w:val="0"/>
        <w:kinsoku/>
        <w:wordWrap/>
        <w:overflowPunct/>
        <w:topLinePunct w:val="0"/>
        <w:autoSpaceDE/>
        <w:autoSpaceDN/>
        <w:bidi w:val="0"/>
        <w:adjustRightInd/>
        <w:snapToGrid/>
        <w:spacing w:beforeAutospacing="0" w:afterAutospacing="0" w:line="360" w:lineRule="exact"/>
        <w:ind w:firstLine="480" w:firstLineChars="0"/>
        <w:jc w:val="both"/>
        <w:textAlignment w:val="auto"/>
        <w:outlineLvl w:val="2"/>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20.3在投标截止时间至招标文件中规定的投标有效期满之间的这段时间内，投标人不得撤回其投标。</w:t>
      </w:r>
    </w:p>
    <w:p w14:paraId="1BB23621">
      <w:pPr>
        <w:pStyle w:val="17"/>
        <w:keepNext/>
        <w:keepLines/>
        <w:spacing w:before="145" w:beforeAutospacing="0" w:after="145" w:afterAutospacing="0" w:line="360" w:lineRule="auto"/>
        <w:ind w:firstLine="498" w:firstLineChars="0"/>
        <w:jc w:val="both"/>
        <w:outlineLvl w:val="0"/>
        <w:rPr>
          <w:rFonts w:hint="eastAsia" w:ascii="宋体" w:hAnsi="宋体" w:eastAsia="宋体" w:cs="宋体"/>
          <w:b/>
          <w:color w:val="000000"/>
          <w:sz w:val="24"/>
          <w:szCs w:val="24"/>
          <w:highlight w:val="none"/>
        </w:rPr>
      </w:pPr>
      <w:bookmarkStart w:id="139" w:name="_Toc120614218"/>
      <w:bookmarkStart w:id="140" w:name="_Toc513029229"/>
      <w:bookmarkStart w:id="141" w:name="_Toc16938545"/>
      <w:bookmarkStart w:id="142" w:name="_Toc20823301"/>
      <w:r>
        <w:rPr>
          <w:rFonts w:hint="eastAsia" w:ascii="宋体" w:hAnsi="宋体" w:eastAsia="宋体" w:cs="宋体"/>
          <w:b/>
          <w:color w:val="000000"/>
          <w:sz w:val="24"/>
          <w:szCs w:val="24"/>
          <w:highlight w:val="none"/>
        </w:rPr>
        <w:t>五、开标与评标</w:t>
      </w:r>
      <w:bookmarkEnd w:id="139"/>
      <w:bookmarkEnd w:id="140"/>
      <w:bookmarkEnd w:id="141"/>
      <w:bookmarkEnd w:id="142"/>
    </w:p>
    <w:p w14:paraId="2C4C772A">
      <w:pPr>
        <w:pStyle w:val="17"/>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outlineLvl w:val="1"/>
        <w:rPr>
          <w:rFonts w:hint="eastAsia" w:ascii="宋体" w:hAnsi="宋体" w:eastAsia="宋体" w:cs="宋体"/>
          <w:color w:val="auto"/>
          <w:sz w:val="24"/>
          <w:szCs w:val="24"/>
          <w:highlight w:val="none"/>
        </w:rPr>
      </w:pPr>
      <w:bookmarkStart w:id="143" w:name="_Toc16938546"/>
      <w:bookmarkStart w:id="144" w:name="_Toc20823302"/>
      <w:bookmarkStart w:id="145" w:name="_Toc513029230"/>
      <w:r>
        <w:rPr>
          <w:rFonts w:hint="eastAsia" w:ascii="宋体" w:hAnsi="宋体" w:eastAsia="宋体" w:cs="宋体"/>
          <w:color w:val="auto"/>
          <w:sz w:val="24"/>
          <w:szCs w:val="24"/>
          <w:highlight w:val="none"/>
        </w:rPr>
        <w:t>21、开标</w:t>
      </w:r>
      <w:bookmarkEnd w:id="143"/>
      <w:bookmarkEnd w:id="144"/>
      <w:bookmarkEnd w:id="145"/>
    </w:p>
    <w:p w14:paraId="3FFA4913">
      <w:pPr>
        <w:pStyle w:val="17"/>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21.1招标代理机构将在招标公告中规定的时间和地点组织公开开标。投标人应当按照《操作手册》规定，参加开标活动和在苏采云系统规定的时间内对投标文件进行解密。</w:t>
      </w:r>
    </w:p>
    <w:p w14:paraId="01390B07">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21.2开标仪式由招标代理机构组织。苏采云系统将自动对项目进行开标，并宣布各投标人名称和投标价格。</w:t>
      </w:r>
    </w:p>
    <w:p w14:paraId="24D42C9F">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21.3投标人在开标过程中涉及到的投标文件解密、开标结果确认等工作，应按照《操作手册》规定执行。</w:t>
      </w:r>
    </w:p>
    <w:p w14:paraId="6DF31ED7">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21.4投标人如果对开标过程和开标记录有疑义，应当根据《操作手册》规定提出，如苏采云系统中《开标记录表》宣布后5分钟内未提出的，视同认可开标结果。</w:t>
      </w:r>
    </w:p>
    <w:p w14:paraId="388DE53A">
      <w:pPr>
        <w:pStyle w:val="17"/>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outlineLvl w:val="1"/>
        <w:rPr>
          <w:rFonts w:hint="eastAsia" w:ascii="宋体" w:hAnsi="宋体" w:eastAsia="宋体" w:cs="宋体"/>
          <w:color w:val="auto"/>
          <w:sz w:val="24"/>
          <w:szCs w:val="24"/>
          <w:highlight w:val="none"/>
        </w:rPr>
      </w:pPr>
      <w:bookmarkStart w:id="146" w:name="_Toc513029231"/>
      <w:bookmarkStart w:id="147" w:name="_Toc16938547"/>
      <w:bookmarkStart w:id="148" w:name="_Toc20823303"/>
      <w:r>
        <w:rPr>
          <w:rFonts w:hint="eastAsia" w:ascii="宋体" w:hAnsi="宋体" w:eastAsia="宋体" w:cs="宋体"/>
          <w:color w:val="auto"/>
          <w:sz w:val="24"/>
          <w:szCs w:val="24"/>
          <w:highlight w:val="none"/>
        </w:rPr>
        <w:t>22、评标委员会</w:t>
      </w:r>
      <w:bookmarkEnd w:id="146"/>
      <w:bookmarkEnd w:id="147"/>
      <w:bookmarkEnd w:id="148"/>
    </w:p>
    <w:p w14:paraId="2A744671">
      <w:pPr>
        <w:pStyle w:val="17"/>
        <w:pageBreakBefore w:val="0"/>
        <w:widowControl w:val="0"/>
        <w:kinsoku/>
        <w:wordWrap/>
        <w:overflowPunct/>
        <w:topLinePunct w:val="0"/>
        <w:autoSpaceDE/>
        <w:autoSpaceDN/>
        <w:bidi w:val="0"/>
        <w:adjustRightInd/>
        <w:snapToGrid/>
        <w:spacing w:beforeAutospacing="0" w:afterAutospacing="0" w:line="360" w:lineRule="exact"/>
        <w:jc w:val="both"/>
        <w:textAlignment w:val="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color w:val="000000"/>
          <w:sz w:val="24"/>
          <w:szCs w:val="24"/>
          <w:highlight w:val="none"/>
        </w:rPr>
        <w:t>22.1开标后，招标代理机构将立即组织评标委员会（以下简称评委会）进行评标。</w:t>
      </w:r>
    </w:p>
    <w:p w14:paraId="20656C36">
      <w:pPr>
        <w:pStyle w:val="17"/>
        <w:pageBreakBefore w:val="0"/>
        <w:widowControl w:val="0"/>
        <w:kinsoku/>
        <w:wordWrap/>
        <w:overflowPunct/>
        <w:topLinePunct w:val="0"/>
        <w:autoSpaceDE/>
        <w:autoSpaceDN/>
        <w:bidi w:val="0"/>
        <w:adjustRightInd/>
        <w:snapToGrid/>
        <w:spacing w:beforeAutospacing="0" w:afterAutospacing="0" w:line="360" w:lineRule="exact"/>
        <w:jc w:val="both"/>
        <w:textAlignment w:val="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color w:val="000000"/>
          <w:sz w:val="24"/>
          <w:szCs w:val="24"/>
          <w:highlight w:val="none"/>
        </w:rPr>
        <w:t>22.2评委会由采购人代表和有关技术、经济等方面的专家组成，且人员构成符合政府采购有关规定。</w:t>
      </w:r>
    </w:p>
    <w:p w14:paraId="1DF8D947">
      <w:pPr>
        <w:pStyle w:val="17"/>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22.3评委会独立工作，负责评审所有投标文件并确定中标</w:t>
      </w:r>
      <w:r>
        <w:rPr>
          <w:rFonts w:hint="eastAsia" w:ascii="宋体" w:hAnsi="宋体" w:eastAsia="宋体" w:cs="宋体"/>
          <w:color w:val="000000"/>
          <w:sz w:val="24"/>
          <w:szCs w:val="24"/>
          <w:highlight w:val="none"/>
          <w:lang w:eastAsia="zh-CN"/>
        </w:rPr>
        <w:t>候选人</w:t>
      </w:r>
      <w:r>
        <w:rPr>
          <w:rFonts w:hint="eastAsia" w:ascii="宋体" w:hAnsi="宋体" w:eastAsia="宋体" w:cs="宋体"/>
          <w:color w:val="000000"/>
          <w:sz w:val="24"/>
          <w:szCs w:val="24"/>
          <w:highlight w:val="none"/>
        </w:rPr>
        <w:t>。</w:t>
      </w:r>
    </w:p>
    <w:p w14:paraId="28C925DA">
      <w:pPr>
        <w:pStyle w:val="17"/>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outlineLvl w:val="1"/>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23、评标过程的保密与公正</w:t>
      </w:r>
    </w:p>
    <w:p w14:paraId="57F459E2">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23.1凡是与审查、澄清、评价和比较投标的有关资料以及授标建议等，采购人、评委、招标代理机构均不得向投标人或与评标无关的其他人员透露。</w:t>
      </w:r>
    </w:p>
    <w:p w14:paraId="390A3B58">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23.2在评标过程中，投标人不得以任何行为影响评标过程，否则其投标文件将被作为无效投标文件。</w:t>
      </w:r>
    </w:p>
    <w:p w14:paraId="50BCF125">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23.</w:t>
      </w:r>
      <w:r>
        <w:rPr>
          <w:rFonts w:hint="eastAsia" w:ascii="宋体" w:hAnsi="宋体" w:eastAsia="宋体" w:cs="宋体"/>
          <w:color w:val="auto"/>
          <w:sz w:val="24"/>
          <w:szCs w:val="24"/>
          <w:highlight w:val="none"/>
        </w:rPr>
        <w:t>3采购人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招标代理机构和评标委员会不向未中标的投标人解释未中标原因，也不公布评标过程中的相关细节。</w:t>
      </w:r>
    </w:p>
    <w:p w14:paraId="5811AC55">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23.4采用综合评分法的项目，未中标的</w:t>
      </w:r>
      <w:r>
        <w:rPr>
          <w:rFonts w:hint="eastAsia" w:ascii="宋体" w:hAnsi="宋体" w:eastAsia="宋体" w:cs="宋体"/>
          <w:color w:val="000000"/>
          <w:sz w:val="24"/>
          <w:szCs w:val="24"/>
          <w:highlight w:val="none"/>
        </w:rPr>
        <w:t>投标人可于中标结果公告期限届满之日起通过苏采云系统查看自己的评审得分及排序情况。</w:t>
      </w:r>
    </w:p>
    <w:p w14:paraId="54153DDE">
      <w:pPr>
        <w:pStyle w:val="17"/>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outlineLvl w:val="1"/>
        <w:rPr>
          <w:rFonts w:hint="eastAsia" w:ascii="宋体" w:hAnsi="宋体" w:eastAsia="宋体" w:cs="宋体"/>
          <w:sz w:val="24"/>
          <w:szCs w:val="24"/>
          <w:highlight w:val="none"/>
        </w:rPr>
      </w:pPr>
      <w:bookmarkStart w:id="149" w:name="_Toc20823304"/>
      <w:bookmarkStart w:id="150" w:name="_Toc513029232"/>
      <w:bookmarkStart w:id="151" w:name="_Toc16938548"/>
      <w:r>
        <w:rPr>
          <w:rFonts w:hint="eastAsia" w:ascii="宋体" w:hAnsi="宋体" w:eastAsia="宋体" w:cs="宋体"/>
          <w:color w:val="000000"/>
          <w:sz w:val="24"/>
          <w:szCs w:val="24"/>
          <w:highlight w:val="none"/>
        </w:rPr>
        <w:t>24、投标文件的澄清</w:t>
      </w:r>
      <w:bookmarkEnd w:id="149"/>
      <w:bookmarkEnd w:id="150"/>
      <w:bookmarkEnd w:id="151"/>
    </w:p>
    <w:p w14:paraId="26A54FE7">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24.1评标期间，评委会对投标文件中含义不明确、同类问题表述不一致或者有明显文字和计算错误的内容</w:t>
      </w:r>
      <w:r>
        <w:rPr>
          <w:rFonts w:hint="eastAsia" w:ascii="宋体"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有权要求投标人作出必要的澄清、说明或者补正。</w:t>
      </w:r>
    </w:p>
    <w:p w14:paraId="29F4FB70">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投标人的澄清、说明或者补正不得超出投标文件的范围或者改变投标文件的实质性内容。</w:t>
      </w:r>
    </w:p>
    <w:p w14:paraId="3B1C0700">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评标委员会并非对每个投标人都做澄清要求。</w:t>
      </w:r>
    </w:p>
    <w:p w14:paraId="36C4B1EC">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sz w:val="24"/>
          <w:szCs w:val="24"/>
          <w:highlight w:val="none"/>
        </w:rPr>
        <w:t>投标文件的补充部分，具体操作方式见《操作手册》。</w:t>
      </w:r>
    </w:p>
    <w:p w14:paraId="40AB8EBE">
      <w:pPr>
        <w:pStyle w:val="17"/>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24.3接到评委会澄清、说明和补正要求的投标人如未按规定</w:t>
      </w:r>
      <w:r>
        <w:rPr>
          <w:rFonts w:hint="eastAsia" w:ascii="宋体" w:hAnsi="宋体" w:eastAsia="宋体" w:cs="宋体"/>
          <w:color w:val="000000"/>
          <w:sz w:val="24"/>
          <w:szCs w:val="24"/>
          <w:highlight w:val="none"/>
          <w:lang w:eastAsia="zh-CN"/>
        </w:rPr>
        <w:t>作出</w:t>
      </w:r>
      <w:r>
        <w:rPr>
          <w:rFonts w:hint="eastAsia" w:ascii="宋体" w:hAnsi="宋体" w:eastAsia="宋体" w:cs="宋体"/>
          <w:color w:val="000000"/>
          <w:sz w:val="24"/>
          <w:szCs w:val="24"/>
          <w:highlight w:val="none"/>
        </w:rPr>
        <w:t>澄清、说明和补正，其风险由投标人自行承担。</w:t>
      </w:r>
    </w:p>
    <w:p w14:paraId="6E30B691">
      <w:pPr>
        <w:pStyle w:val="17"/>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outlineLvl w:val="1"/>
        <w:rPr>
          <w:rFonts w:hint="eastAsia" w:ascii="宋体" w:hAnsi="宋体" w:eastAsia="宋体" w:cs="宋体"/>
          <w:sz w:val="24"/>
          <w:szCs w:val="24"/>
          <w:highlight w:val="none"/>
        </w:rPr>
      </w:pPr>
      <w:bookmarkStart w:id="152" w:name="_Toc513029233"/>
      <w:bookmarkStart w:id="153" w:name="_Toc20823305"/>
      <w:bookmarkStart w:id="154" w:name="_Toc16938549"/>
      <w:r>
        <w:rPr>
          <w:rFonts w:hint="eastAsia" w:ascii="宋体" w:hAnsi="宋体" w:eastAsia="宋体" w:cs="宋体"/>
          <w:color w:val="000000"/>
          <w:sz w:val="24"/>
          <w:szCs w:val="24"/>
          <w:highlight w:val="none"/>
        </w:rPr>
        <w:t>25、对投标文件的初审</w:t>
      </w:r>
      <w:bookmarkEnd w:id="152"/>
      <w:bookmarkEnd w:id="153"/>
      <w:bookmarkEnd w:id="154"/>
    </w:p>
    <w:p w14:paraId="71756E3B">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25.1投标文件初审分为资格审查和符合性审查。</w:t>
      </w:r>
    </w:p>
    <w:p w14:paraId="18F44AD5">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25.1.1资格审查：依据法律法规和招标文件的规定，由采购人对投标文件中的资格证明文件进行审查。资格审查的结论，采购人以书面形式向评委会进行反馈。</w:t>
      </w:r>
    </w:p>
    <w:p w14:paraId="6A4B8600">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采购人在进行资格性审查的同时，将在“信用中国”网站（www.creditchina.gov.cn）查询投标人的信用记录，以确定投标人是否具备投标资格,查询结果留存并归档。</w:t>
      </w:r>
    </w:p>
    <w:p w14:paraId="45C5179D">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0E1B06C9">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25.1.2符合性审查：依据招标文件的规定，由评委会从投标文件的有效性、完整性和对招标文件的响应程度进行审查，以确定是否对招标文件的实质性要求作出响应。</w:t>
      </w:r>
    </w:p>
    <w:p w14:paraId="0FC7AF8F">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25.1.3未通过资格审查或符合性审查的投标人，招标代理机构将在苏采云系统中告知未通过资格审查或符合性审查的原因，评标结束后，招标代理机构将不再告知</w:t>
      </w:r>
      <w:r>
        <w:rPr>
          <w:rFonts w:hint="eastAsia" w:ascii="宋体" w:hAnsi="宋体" w:eastAsia="宋体" w:cs="宋体"/>
          <w:color w:val="000000"/>
          <w:sz w:val="24"/>
          <w:szCs w:val="24"/>
          <w:highlight w:val="none"/>
        </w:rPr>
        <w:t>未通过资格审查和符合性审查的原因。</w:t>
      </w:r>
    </w:p>
    <w:p w14:paraId="21A80F1A">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3EF87519">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highlight w:val="none"/>
          <w:lang w:val="en-US" w:eastAsia="zh-CN"/>
        </w:rPr>
        <w:t>采购人</w:t>
      </w:r>
      <w:r>
        <w:rPr>
          <w:rFonts w:hint="eastAsia" w:ascii="宋体" w:hAnsi="宋体" w:eastAsia="宋体" w:cs="宋体"/>
          <w:color w:val="000000"/>
          <w:sz w:val="24"/>
          <w:szCs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77D1C32">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25.3如果投标文件实质上没有响应招标文件的要求，评委会将予以拒绝，投标人不得通过修改或撤销不合要求的偏离或保留而使其投标成为实质性响应的投标。</w:t>
      </w:r>
    </w:p>
    <w:p w14:paraId="4FCA6640">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25.4评委会将对确定为实质性响应的投标进行进一步审核，确定其是否有计算上或累加上的算术错误，修正错误的原则如下：</w:t>
      </w:r>
    </w:p>
    <w:p w14:paraId="463946E2">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（1）投标文件中开标一览表内容与投标文件中相应内容不一致的，以开标一览表为准。</w:t>
      </w:r>
    </w:p>
    <w:p w14:paraId="4AA7B771">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（2）大写金额和小写金额不一致的，以大写金额为准。</w:t>
      </w:r>
    </w:p>
    <w:p w14:paraId="44F56D61">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（3）单价金额小数点或者百分比有明显错位的，以开标一览表的总价为准，并修改单价。</w:t>
      </w:r>
    </w:p>
    <w:p w14:paraId="0157CF21">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（4）总价金额与按单价汇总金额不一致的，以单价金额计算结果为准。</w:t>
      </w:r>
    </w:p>
    <w:p w14:paraId="2D36D6CA">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同时出现两种以上错误的，按照前款规定的顺序修正。</w:t>
      </w:r>
    </w:p>
    <w:p w14:paraId="1143D9AB">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1230C2C8">
      <w:pPr>
        <w:pStyle w:val="17"/>
        <w:pageBreakBefore w:val="0"/>
        <w:widowControl w:val="0"/>
        <w:kinsoku/>
        <w:wordWrap/>
        <w:overflowPunct/>
        <w:topLinePunct w:val="0"/>
        <w:autoSpaceDE/>
        <w:autoSpaceDN/>
        <w:bidi w:val="0"/>
        <w:adjustRightInd/>
        <w:snapToGrid/>
        <w:spacing w:beforeAutospacing="0" w:afterAutospacing="0" w:line="360" w:lineRule="exact"/>
        <w:ind w:firstLine="420"/>
        <w:jc w:val="both"/>
        <w:textAlignment w:val="auto"/>
        <w:rPr>
          <w:rFonts w:hint="eastAsia" w:ascii="宋体" w:hAnsi="宋体" w:eastAsia="宋体" w:cs="宋体"/>
          <w:color w:val="auto"/>
          <w:sz w:val="24"/>
          <w:szCs w:val="24"/>
          <w:highlight w:val="none"/>
        </w:rPr>
      </w:pPr>
      <w:bookmarkStart w:id="155" w:name="_Toc20823306"/>
      <w:bookmarkStart w:id="156" w:name="_Toc513029234"/>
      <w:bookmarkStart w:id="157" w:name="_Toc16938550"/>
      <w:r>
        <w:rPr>
          <w:rFonts w:hint="eastAsia" w:ascii="宋体" w:hAnsi="宋体" w:eastAsia="宋体" w:cs="宋体"/>
          <w:color w:val="auto"/>
          <w:sz w:val="24"/>
          <w:szCs w:val="24"/>
          <w:highlight w:val="none"/>
        </w:rPr>
        <w:t>25.6投标人在开、评标全过程中应</w:t>
      </w:r>
      <w:r>
        <w:rPr>
          <w:rFonts w:hint="eastAsia" w:ascii="宋体" w:hAnsi="宋体" w:eastAsia="宋体" w:cs="宋体"/>
          <w:color w:val="auto"/>
          <w:sz w:val="24"/>
          <w:szCs w:val="24"/>
          <w:highlight w:val="none"/>
          <w:lang w:eastAsia="zh-CN"/>
        </w:rPr>
        <w:t>保持通信畅通</w:t>
      </w:r>
      <w:r>
        <w:rPr>
          <w:rFonts w:hint="eastAsia" w:ascii="宋体" w:hAnsi="宋体" w:eastAsia="宋体" w:cs="宋体"/>
          <w:color w:val="auto"/>
          <w:sz w:val="24"/>
          <w:szCs w:val="24"/>
          <w:highlight w:val="none"/>
        </w:rPr>
        <w:t>，及时登录苏采云系统查阅、答复相关信息，并安排专人与</w:t>
      </w:r>
      <w:r>
        <w:rPr>
          <w:rFonts w:hint="eastAsia" w:ascii="宋体" w:hAnsi="宋体" w:eastAsia="宋体" w:cs="宋体"/>
          <w:color w:val="auto"/>
          <w:sz w:val="24"/>
          <w:szCs w:val="24"/>
          <w:highlight w:val="none"/>
          <w:lang w:val="en-US" w:eastAsia="zh-CN"/>
        </w:rPr>
        <w:t>招标代理机构</w:t>
      </w:r>
      <w:r>
        <w:rPr>
          <w:rFonts w:hint="eastAsia" w:ascii="宋体" w:hAnsi="宋体" w:eastAsia="宋体" w:cs="宋体"/>
          <w:color w:val="auto"/>
          <w:sz w:val="24"/>
          <w:szCs w:val="24"/>
          <w:highlight w:val="none"/>
        </w:rPr>
        <w:t>及评标委员会联系。</w:t>
      </w:r>
      <w:bookmarkEnd w:id="155"/>
      <w:bookmarkEnd w:id="156"/>
      <w:bookmarkEnd w:id="157"/>
    </w:p>
    <w:p w14:paraId="25F3BE20">
      <w:pPr>
        <w:pStyle w:val="17"/>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26、无效投标条款和废标条款</w:t>
      </w:r>
    </w:p>
    <w:p w14:paraId="7FB12682">
      <w:pPr>
        <w:pStyle w:val="17"/>
        <w:pageBreakBefore w:val="0"/>
        <w:widowControl w:val="0"/>
        <w:kinsoku/>
        <w:wordWrap/>
        <w:overflowPunct/>
        <w:topLinePunct w:val="0"/>
        <w:autoSpaceDE/>
        <w:autoSpaceDN/>
        <w:bidi w:val="0"/>
        <w:adjustRightInd/>
        <w:snapToGrid/>
        <w:spacing w:beforeAutospacing="0" w:afterAutospacing="0" w:line="360" w:lineRule="exact"/>
        <w:ind w:left="479" w:leftChars="0"/>
        <w:jc w:val="both"/>
        <w:textAlignment w:val="auto"/>
        <w:outlineLvl w:val="2"/>
        <w:rPr>
          <w:rFonts w:hint="eastAsia" w:ascii="宋体" w:hAnsi="宋体" w:eastAsia="宋体" w:cs="宋体"/>
          <w:color w:val="auto"/>
          <w:sz w:val="24"/>
          <w:szCs w:val="24"/>
          <w:highlight w:val="none"/>
        </w:rPr>
      </w:pPr>
      <w:bookmarkStart w:id="158" w:name="_Toc16938551"/>
      <w:bookmarkStart w:id="159" w:name="_Toc513029235"/>
      <w:bookmarkStart w:id="160" w:name="_Toc20823307"/>
      <w:r>
        <w:rPr>
          <w:rFonts w:hint="eastAsia" w:ascii="宋体" w:hAnsi="宋体" w:eastAsia="宋体" w:cs="宋体"/>
          <w:color w:val="auto"/>
          <w:sz w:val="24"/>
          <w:szCs w:val="24"/>
          <w:highlight w:val="none"/>
        </w:rPr>
        <w:t>26.1无效投标条款</w:t>
      </w:r>
      <w:bookmarkEnd w:id="158"/>
      <w:bookmarkEnd w:id="159"/>
      <w:bookmarkEnd w:id="160"/>
    </w:p>
    <w:p w14:paraId="53B8CA9C">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26.1.1投标人在苏采云系统规定的时间内未成功解密电子投标文件的。</w:t>
      </w:r>
    </w:p>
    <w:p w14:paraId="66D8985D">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26.1.2投标人未按照招标文件要求上传电子投标文件的。</w:t>
      </w:r>
    </w:p>
    <w:p w14:paraId="435C93E7">
      <w:pPr>
        <w:pStyle w:val="17"/>
        <w:pageBreakBefore w:val="0"/>
        <w:widowControl w:val="0"/>
        <w:kinsoku/>
        <w:wordWrap/>
        <w:overflowPunct/>
        <w:topLinePunct w:val="0"/>
        <w:autoSpaceDE/>
        <w:autoSpaceDN/>
        <w:bidi w:val="0"/>
        <w:adjustRightInd/>
        <w:snapToGrid/>
        <w:spacing w:beforeAutospacing="0" w:afterAutospacing="0" w:line="360" w:lineRule="exact"/>
        <w:ind w:left="479"/>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26.1.3同一投标人提交两个（含两个）以上不同的投标报价的。</w:t>
      </w:r>
    </w:p>
    <w:p w14:paraId="2DA1CF55">
      <w:pPr>
        <w:pStyle w:val="17"/>
        <w:pageBreakBefore w:val="0"/>
        <w:widowControl w:val="0"/>
        <w:kinsoku/>
        <w:wordWrap/>
        <w:overflowPunct/>
        <w:topLinePunct w:val="0"/>
        <w:autoSpaceDE/>
        <w:autoSpaceDN/>
        <w:bidi w:val="0"/>
        <w:adjustRightInd/>
        <w:snapToGrid/>
        <w:spacing w:beforeAutospacing="0" w:afterAutospacing="0" w:line="360" w:lineRule="exact"/>
        <w:ind w:left="479"/>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26.1.4投标人不具备招标文件中规定资格要求的。</w:t>
      </w:r>
    </w:p>
    <w:p w14:paraId="3BA9591A">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26.1.5投标人的报价超过了采购预算或最高限价的。</w:t>
      </w:r>
    </w:p>
    <w:p w14:paraId="05DAFB39">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26.1.6未通过符合性审查的。</w:t>
      </w:r>
    </w:p>
    <w:p w14:paraId="41A1E490">
      <w:pPr>
        <w:pStyle w:val="17"/>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26.1.7不符合招标文件中规定的实质性要求和条件的（</w:t>
      </w:r>
      <w:r>
        <w:rPr>
          <w:rFonts w:hint="eastAsia" w:ascii="宋体" w:hAnsi="宋体" w:eastAsia="宋体" w:cs="宋体"/>
          <w:i/>
          <w:color w:val="000000"/>
          <w:sz w:val="24"/>
          <w:szCs w:val="24"/>
          <w:highlight w:val="none"/>
          <w:u w:val="single"/>
        </w:rPr>
        <w:t>本招标文件中斜体且有下划线部分为实质性要求和条件）。</w:t>
      </w:r>
    </w:p>
    <w:p w14:paraId="43387AC7">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3B16356A">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26.1.9投标文件含有采购人不能接受的附加条件的。</w:t>
      </w:r>
    </w:p>
    <w:p w14:paraId="30278C46">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26.1.10</w:t>
      </w:r>
      <w:r>
        <w:rPr>
          <w:rFonts w:hint="eastAsia" w:ascii="宋体" w:hAnsi="宋体" w:eastAsia="宋体" w:cs="宋体"/>
          <w:color w:val="auto"/>
          <w:sz w:val="24"/>
          <w:szCs w:val="24"/>
          <w:highlight w:val="none"/>
        </w:rPr>
        <w:t>投标人不能证明其报价合理性的，评</w:t>
      </w:r>
      <w:r>
        <w:rPr>
          <w:rFonts w:hint="eastAsia" w:ascii="宋体" w:hAnsi="宋体" w:eastAsia="宋体" w:cs="宋体"/>
          <w:color w:val="auto"/>
          <w:sz w:val="24"/>
          <w:szCs w:val="24"/>
          <w:highlight w:val="none"/>
          <w:lang w:val="en-US" w:eastAsia="zh-CN"/>
        </w:rPr>
        <w:t>标</w:t>
      </w:r>
      <w:r>
        <w:rPr>
          <w:rFonts w:hint="eastAsia" w:ascii="宋体" w:hAnsi="宋体" w:eastAsia="宋体" w:cs="宋体"/>
          <w:color w:val="auto"/>
          <w:sz w:val="24"/>
          <w:szCs w:val="24"/>
          <w:highlight w:val="none"/>
        </w:rPr>
        <w:t>委员会应当将其作为无效投标处理。</w:t>
      </w:r>
    </w:p>
    <w:p w14:paraId="6F27A046">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（一）评审过程中出现下列情形之一的，评标委员会应当启动异常低价投标审查程序：</w:t>
      </w:r>
    </w:p>
    <w:p w14:paraId="029D404A">
      <w:pPr>
        <w:pStyle w:val="17"/>
        <w:pageBreakBefore w:val="0"/>
        <w:widowControl w:val="0"/>
        <w:kinsoku/>
        <w:wordWrap/>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1.投标（响应）报价低于全部通过符合性审查供应商投标（响应）报价平均值50%的，即投标（响应）报价&lt;全部通过符合性审查供应商投标（响应）报价平均值×50%；</w:t>
      </w:r>
    </w:p>
    <w:p w14:paraId="191012DE">
      <w:pPr>
        <w:pStyle w:val="17"/>
        <w:pageBreakBefore w:val="0"/>
        <w:widowControl w:val="0"/>
        <w:kinsoku/>
        <w:wordWrap/>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2.投标（响应）报价低于通过符合性审查的次低报价供应商投标（响应）报价50%的，即投标（响应）报价&lt;通过符合性审查的次低报价供应商投标（响应）报价×50%；</w:t>
      </w:r>
    </w:p>
    <w:p w14:paraId="08E26264">
      <w:pPr>
        <w:pStyle w:val="17"/>
        <w:pageBreakBefore w:val="0"/>
        <w:widowControl w:val="0"/>
        <w:kinsoku/>
        <w:wordWrap/>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3.投标（响应）报价低于采购项目最高限价45%的，即投标（响应）报价&lt;采购项目最高限价×45%；</w:t>
      </w:r>
    </w:p>
    <w:p w14:paraId="6B93ED46">
      <w:pPr>
        <w:pStyle w:val="17"/>
        <w:pageBreakBefore w:val="0"/>
        <w:widowControl w:val="0"/>
        <w:kinsoku/>
        <w:wordWrap/>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4.评审委员会基于专业判断，认为供应商报价过低，有可能影响产品质量或者不能诚信履约的其他情形。</w:t>
      </w:r>
    </w:p>
    <w:p w14:paraId="6E14DBF3">
      <w:pPr>
        <w:pStyle w:val="17"/>
        <w:pageBreakBefore w:val="0"/>
        <w:widowControl w:val="0"/>
        <w:kinsoku/>
        <w:wordWrap/>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相关法律法规对供应商报价有规定的，从其规定。</w:t>
      </w:r>
    </w:p>
    <w:p w14:paraId="209516AE">
      <w:pPr>
        <w:pStyle w:val="17"/>
        <w:pageBreakBefore w:val="0"/>
        <w:widowControl w:val="0"/>
        <w:kinsoku/>
        <w:wordWrap/>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19CBEC1">
      <w:pPr>
        <w:pStyle w:val="17"/>
        <w:pageBreakBefore w:val="0"/>
        <w:widowControl w:val="0"/>
        <w:kinsoku/>
        <w:wordWrap/>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47AF874">
      <w:pPr>
        <w:pStyle w:val="17"/>
        <w:pageBreakBefore w:val="0"/>
        <w:widowControl w:val="0"/>
        <w:kinsoku/>
        <w:wordWrap/>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0AF4C96">
      <w:pPr>
        <w:pStyle w:val="17"/>
        <w:pageBreakBefore w:val="0"/>
        <w:widowControl w:val="0"/>
        <w:kinsoku/>
        <w:wordWrap/>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p w14:paraId="18627F4F">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26.1.11投标文件未按照招标文件要求加盖CA电子公章的。</w:t>
      </w:r>
    </w:p>
    <w:p w14:paraId="742E7BA7">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26.1.12其他法律、法规及本招标文件规定的属无效投标的情形。</w:t>
      </w:r>
    </w:p>
    <w:p w14:paraId="2ACAC68A">
      <w:pPr>
        <w:pStyle w:val="17"/>
        <w:pageBreakBefore w:val="0"/>
        <w:widowControl w:val="0"/>
        <w:kinsoku/>
        <w:wordWrap/>
        <w:overflowPunct/>
        <w:topLinePunct w:val="0"/>
        <w:autoSpaceDE/>
        <w:autoSpaceDN/>
        <w:bidi w:val="0"/>
        <w:adjustRightInd/>
        <w:snapToGrid/>
        <w:spacing w:beforeAutospacing="0" w:afterAutospacing="0" w:line="360" w:lineRule="exact"/>
        <w:ind w:left="479" w:leftChars="0"/>
        <w:jc w:val="both"/>
        <w:textAlignment w:val="auto"/>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26.2废标条款</w:t>
      </w:r>
    </w:p>
    <w:p w14:paraId="5626BAE3">
      <w:pPr>
        <w:pStyle w:val="17"/>
        <w:pageBreakBefore w:val="0"/>
        <w:widowControl w:val="0"/>
        <w:kinsoku/>
        <w:wordWrap/>
        <w:overflowPunct/>
        <w:topLinePunct w:val="0"/>
        <w:autoSpaceDE/>
        <w:autoSpaceDN/>
        <w:bidi w:val="0"/>
        <w:adjustRightInd/>
        <w:snapToGrid/>
        <w:spacing w:beforeAutospacing="0" w:afterAutospacing="0" w:line="360" w:lineRule="exact"/>
        <w:ind w:left="479"/>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26.2.1符合专业条件的供应商或者对招标文件作实质响应的供应商不足三家的。</w:t>
      </w:r>
    </w:p>
    <w:p w14:paraId="76ABCD28">
      <w:pPr>
        <w:pStyle w:val="17"/>
        <w:pageBreakBefore w:val="0"/>
        <w:widowControl w:val="0"/>
        <w:kinsoku/>
        <w:wordWrap/>
        <w:overflowPunct/>
        <w:topLinePunct w:val="0"/>
        <w:autoSpaceDE/>
        <w:autoSpaceDN/>
        <w:bidi w:val="0"/>
        <w:adjustRightInd/>
        <w:snapToGrid/>
        <w:spacing w:beforeAutospacing="0" w:afterAutospacing="0" w:line="360" w:lineRule="exact"/>
        <w:ind w:left="479"/>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26.2.2出现影响采购公正的违法、违规行为的。</w:t>
      </w:r>
    </w:p>
    <w:p w14:paraId="6837BF2C">
      <w:pPr>
        <w:pStyle w:val="17"/>
        <w:pageBreakBefore w:val="0"/>
        <w:widowControl w:val="0"/>
        <w:kinsoku/>
        <w:wordWrap/>
        <w:overflowPunct/>
        <w:topLinePunct w:val="0"/>
        <w:autoSpaceDE/>
        <w:autoSpaceDN/>
        <w:bidi w:val="0"/>
        <w:adjustRightInd/>
        <w:snapToGrid/>
        <w:spacing w:beforeAutospacing="0" w:afterAutospacing="0" w:line="360" w:lineRule="exact"/>
        <w:ind w:left="479"/>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26.2.3因重大变故，采购任务取消的。</w:t>
      </w:r>
    </w:p>
    <w:p w14:paraId="571B12E8">
      <w:pPr>
        <w:pStyle w:val="17"/>
        <w:pageBreakBefore w:val="0"/>
        <w:widowControl w:val="0"/>
        <w:kinsoku/>
        <w:wordWrap/>
        <w:overflowPunct/>
        <w:topLinePunct w:val="0"/>
        <w:autoSpaceDE/>
        <w:autoSpaceDN/>
        <w:bidi w:val="0"/>
        <w:adjustRightInd/>
        <w:snapToGrid/>
        <w:spacing w:beforeAutospacing="0" w:afterAutospacing="0" w:line="360" w:lineRule="exact"/>
        <w:ind w:left="479"/>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26.2.4评标委员会认定招标文件存在歧义、重大缺陷导致评审工作无法进行。</w:t>
      </w:r>
    </w:p>
    <w:p w14:paraId="233CF4F2">
      <w:pPr>
        <w:pStyle w:val="17"/>
        <w:pageBreakBefore w:val="0"/>
        <w:widowControl w:val="0"/>
        <w:kinsoku/>
        <w:wordWrap/>
        <w:overflowPunct/>
        <w:topLinePunct w:val="0"/>
        <w:autoSpaceDE/>
        <w:autoSpaceDN/>
        <w:bidi w:val="0"/>
        <w:adjustRightInd/>
        <w:snapToGrid/>
        <w:spacing w:beforeAutospacing="0" w:afterAutospacing="0" w:line="360" w:lineRule="exact"/>
        <w:ind w:left="479"/>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26.2.5因苏采云系统系统故障原因造成开标不成功的。</w:t>
      </w:r>
    </w:p>
    <w:p w14:paraId="25998E9E">
      <w:pPr>
        <w:pStyle w:val="17"/>
        <w:pageBreakBefore w:val="0"/>
        <w:widowControl w:val="0"/>
        <w:kinsoku/>
        <w:wordWrap/>
        <w:overflowPunct/>
        <w:topLinePunct w:val="0"/>
        <w:autoSpaceDE/>
        <w:autoSpaceDN/>
        <w:bidi w:val="0"/>
        <w:adjustRightInd/>
        <w:snapToGrid/>
        <w:spacing w:beforeAutospacing="0" w:afterAutospacing="0" w:line="360" w:lineRule="exact"/>
        <w:ind w:left="479" w:leftChars="0"/>
        <w:jc w:val="both"/>
        <w:textAlignment w:val="auto"/>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 投标截止时间结束后参加投标的供应商不足三家的处理：</w:t>
      </w:r>
    </w:p>
    <w:p w14:paraId="6F8D70A4">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26.3.1如出现投标截止时间结束后参加投标的供应商或者在评标期间对招标文件做出实质响应的供应商不足三家情况，按政府采购相关规定执行。</w:t>
      </w:r>
    </w:p>
    <w:p w14:paraId="54251A44">
      <w:pPr>
        <w:pStyle w:val="17"/>
        <w:keepNext/>
        <w:keepLines/>
        <w:spacing w:before="145" w:beforeAutospacing="0" w:after="145" w:afterAutospacing="0" w:line="360" w:lineRule="auto"/>
        <w:ind w:firstLine="498" w:firstLineChars="0"/>
        <w:jc w:val="both"/>
        <w:outlineLvl w:val="0"/>
        <w:rPr>
          <w:rFonts w:hint="eastAsia" w:ascii="宋体" w:hAnsi="宋体" w:eastAsia="宋体" w:cs="宋体"/>
          <w:b/>
          <w:color w:val="000000"/>
          <w:sz w:val="24"/>
          <w:szCs w:val="24"/>
          <w:highlight w:val="none"/>
        </w:rPr>
      </w:pPr>
      <w:bookmarkStart w:id="161" w:name="_Toc120614219"/>
      <w:r>
        <w:rPr>
          <w:rFonts w:hint="eastAsia" w:ascii="宋体" w:hAnsi="宋体" w:eastAsia="宋体" w:cs="宋体"/>
          <w:b/>
          <w:color w:val="000000"/>
          <w:sz w:val="24"/>
          <w:szCs w:val="24"/>
          <w:highlight w:val="none"/>
        </w:rPr>
        <w:t>六、定标</w:t>
      </w:r>
      <w:bookmarkEnd w:id="161"/>
    </w:p>
    <w:p w14:paraId="609C833C">
      <w:pPr>
        <w:pStyle w:val="17"/>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outlineLvl w:val="1"/>
        <w:rPr>
          <w:rFonts w:hint="eastAsia" w:ascii="宋体" w:hAnsi="宋体" w:eastAsia="宋体" w:cs="宋体"/>
          <w:sz w:val="24"/>
          <w:szCs w:val="24"/>
          <w:highlight w:val="none"/>
        </w:rPr>
      </w:pPr>
      <w:bookmarkStart w:id="162" w:name="_Toc20823310"/>
      <w:bookmarkStart w:id="163" w:name="_Toc513029238"/>
      <w:bookmarkStart w:id="164" w:name="_Toc16938554"/>
      <w:r>
        <w:rPr>
          <w:rFonts w:hint="eastAsia" w:ascii="宋体" w:hAnsi="宋体" w:eastAsia="宋体" w:cs="宋体"/>
          <w:color w:val="000000"/>
          <w:sz w:val="24"/>
          <w:szCs w:val="24"/>
          <w:highlight w:val="none"/>
        </w:rPr>
        <w:t>27、</w:t>
      </w:r>
      <w:bookmarkEnd w:id="162"/>
      <w:r>
        <w:rPr>
          <w:rFonts w:hint="eastAsia" w:ascii="宋体" w:hAnsi="宋体" w:eastAsia="宋体" w:cs="宋体"/>
          <w:color w:val="000000"/>
          <w:sz w:val="24"/>
          <w:szCs w:val="24"/>
          <w:highlight w:val="none"/>
        </w:rPr>
        <w:t>确定</w:t>
      </w:r>
      <w:bookmarkEnd w:id="163"/>
      <w:bookmarkEnd w:id="164"/>
      <w:r>
        <w:rPr>
          <w:rFonts w:hint="eastAsia" w:ascii="宋体" w:hAnsi="宋体" w:eastAsia="宋体" w:cs="宋体"/>
          <w:color w:val="000000"/>
          <w:sz w:val="24"/>
          <w:szCs w:val="24"/>
          <w:highlight w:val="none"/>
        </w:rPr>
        <w:t>中标单位</w:t>
      </w:r>
    </w:p>
    <w:p w14:paraId="2AB6A907">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27.1中标候选人的选取原则和数量见招标文件第五章规定。 </w:t>
      </w:r>
    </w:p>
    <w:p w14:paraId="17FFA727">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27.2采购人应根据评委会推荐的中标候选人确定中标人。</w:t>
      </w:r>
    </w:p>
    <w:p w14:paraId="1FD1F372">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27.3</w:t>
      </w:r>
      <w:r>
        <w:rPr>
          <w:rFonts w:hint="eastAsia" w:ascii="宋体" w:hAnsi="宋体" w:eastAsia="宋体" w:cs="宋体"/>
          <w:color w:val="000000"/>
          <w:sz w:val="24"/>
          <w:szCs w:val="24"/>
          <w:highlight w:val="none"/>
          <w:lang w:val="en-US" w:eastAsia="zh-CN"/>
        </w:rPr>
        <w:t>招标代理机构</w:t>
      </w:r>
      <w:r>
        <w:rPr>
          <w:rFonts w:hint="eastAsia" w:ascii="宋体" w:hAnsi="宋体" w:eastAsia="宋体" w:cs="宋体"/>
          <w:color w:val="000000"/>
          <w:sz w:val="24"/>
          <w:szCs w:val="24"/>
          <w:highlight w:val="none"/>
        </w:rPr>
        <w:t>将在</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中国政府采购网”“</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盐城市政府采购网”发布中标公告，公告期限为1个工作日。</w:t>
      </w:r>
    </w:p>
    <w:p w14:paraId="41C3973E">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27.4若有充分证据证明，中标人出现下列情况之一的，一经查实</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将被取消中标资格：</w:t>
      </w:r>
    </w:p>
    <w:p w14:paraId="685A758D">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27.4.1提供虚假材料谋取中标的。</w:t>
      </w:r>
    </w:p>
    <w:p w14:paraId="5973AA07">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27.4.2向采购人、招标代理机构行贿或者提供其他不正当利益的。</w:t>
      </w:r>
    </w:p>
    <w:p w14:paraId="42C47A67">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27.4.3属于本文件规定的无效条件，但在评标过程中又未被评委会发现的。</w:t>
      </w:r>
    </w:p>
    <w:p w14:paraId="2557B7C1">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27.4.4与采购人或者其他供应商恶意串通的。</w:t>
      </w:r>
    </w:p>
    <w:p w14:paraId="39DB40B5">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27.4.5采取不正当手段诋毁、排挤其他供应商的。</w:t>
      </w:r>
    </w:p>
    <w:p w14:paraId="359F1DB9">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bookmarkStart w:id="165" w:name="_Toc200451960"/>
      <w:r>
        <w:rPr>
          <w:rFonts w:hint="eastAsia" w:ascii="宋体" w:hAnsi="宋体" w:eastAsia="宋体" w:cs="宋体"/>
          <w:color w:val="000000"/>
          <w:sz w:val="24"/>
          <w:szCs w:val="24"/>
          <w:highlight w:val="none"/>
        </w:rPr>
        <w:t>27.5 有下列情形之一的，视为投标人串通投标，投标无效：</w:t>
      </w:r>
      <w:bookmarkEnd w:id="165"/>
    </w:p>
    <w:p w14:paraId="4A4B8D9A">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27.5.1不同投标人的投标文件由同一单位或者个人编制。</w:t>
      </w:r>
    </w:p>
    <w:p w14:paraId="59209E4B">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27.5.2不同投标人委托同一单位或者个人办理投标事宜。</w:t>
      </w:r>
    </w:p>
    <w:p w14:paraId="2A2191CD">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27.5.3不同投标人的投标文件载明的项目管理成员或者联系人员为同一人。</w:t>
      </w:r>
    </w:p>
    <w:p w14:paraId="1D9D00BF">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27.5.4不同投标人的投标文件异常一致或者投标报价呈规律性差异。</w:t>
      </w:r>
    </w:p>
    <w:p w14:paraId="1FA357F7">
      <w:pPr>
        <w:pStyle w:val="17"/>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outlineLvl w:val="1"/>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28、质疑处理</w:t>
      </w:r>
    </w:p>
    <w:p w14:paraId="4C279A9B">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28.1提出质疑的供应商应当是参与所质疑项目采购活动的供应商。潜在供应商依法获取其可质疑的采购文件的，可以对采购文件提出质疑。</w:t>
      </w:r>
    </w:p>
    <w:p w14:paraId="717781AB">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4"/>
          <w:szCs w:val="24"/>
          <w:highlight w:val="none"/>
          <w:lang w:val="en-US" w:eastAsia="zh-CN"/>
        </w:rPr>
        <w:t>招标代理机构</w:t>
      </w:r>
      <w:r>
        <w:rPr>
          <w:rFonts w:hint="eastAsia" w:ascii="宋体" w:hAnsi="宋体" w:eastAsia="宋体" w:cs="宋体"/>
          <w:color w:val="000000"/>
          <w:sz w:val="24"/>
          <w:szCs w:val="24"/>
          <w:highlight w:val="none"/>
        </w:rPr>
        <w:t>或采购人提出质疑。上述应知其权益受到损害之日，是指：</w:t>
      </w:r>
    </w:p>
    <w:p w14:paraId="686E0D9F">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28.2.1对可以质疑的采购文件提出质疑的，为收到采购文件之日或者采购文件公告期限届满之日；</w:t>
      </w:r>
    </w:p>
    <w:p w14:paraId="6BCE34BA">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28.2.2对采购过程提出质疑的，为各采购程序环节结束之日；</w:t>
      </w:r>
    </w:p>
    <w:p w14:paraId="5B797334">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28.2.3对中标或者成交结果提出质疑的，为中标或者成交结果公告期限届满之日。</w:t>
      </w:r>
    </w:p>
    <w:p w14:paraId="2D25EC6E">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val="en-US" w:eastAsia="zh-CN"/>
        </w:rPr>
        <w:t>招标代理机构</w:t>
      </w:r>
      <w:r>
        <w:rPr>
          <w:rFonts w:hint="eastAsia" w:ascii="宋体" w:hAnsi="宋体" w:eastAsia="宋体" w:cs="宋体"/>
          <w:color w:val="000000"/>
          <w:sz w:val="24"/>
          <w:szCs w:val="24"/>
          <w:highlight w:val="none"/>
        </w:rPr>
        <w:t>、采购人将只对供应商第一次质疑作出答复。</w:t>
      </w:r>
    </w:p>
    <w:p w14:paraId="76A90D99">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28.3质疑函必须按照本招标文件中《质疑函范本》要求的格式和内容进行填写。</w:t>
      </w:r>
    </w:p>
    <w:p w14:paraId="0F5D9416">
      <w:pPr>
        <w:pStyle w:val="17"/>
        <w:pageBreakBefore w:val="0"/>
        <w:widowControl w:val="0"/>
        <w:kinsoku/>
        <w:wordWrap/>
        <w:overflowPunct/>
        <w:topLinePunct w:val="0"/>
        <w:autoSpaceDE/>
        <w:autoSpaceDN/>
        <w:bidi w:val="0"/>
        <w:adjustRightInd/>
        <w:snapToGrid/>
        <w:spacing w:beforeAutospacing="0" w:afterAutospacing="0" w:line="360" w:lineRule="exact"/>
        <w:ind w:firstLine="482"/>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28.4</w:t>
      </w:r>
      <w:r>
        <w:rPr>
          <w:rFonts w:hint="eastAsia" w:ascii="宋体" w:hAnsi="宋体" w:eastAsia="宋体" w:cs="宋体"/>
          <w:color w:val="000000" w:themeColor="text1"/>
          <w:sz w:val="24"/>
          <w:szCs w:val="24"/>
          <w:highlight w:val="none"/>
          <w14:textFill>
            <w14:solidFill>
              <w14:schemeClr w14:val="tx1"/>
            </w14:solidFill>
          </w14:textFill>
        </w:rPr>
        <w:t>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sz w:val="24"/>
          <w:szCs w:val="24"/>
          <w:highlight w:val="none"/>
        </w:rPr>
        <w:t>供应商对除上述事项以外其他事项的询问、质疑请向</w:t>
      </w:r>
      <w:r>
        <w:rPr>
          <w:rFonts w:hint="eastAsia" w:ascii="宋体" w:hAnsi="宋体" w:eastAsia="宋体" w:cs="宋体"/>
          <w:color w:val="000000"/>
          <w:sz w:val="24"/>
          <w:szCs w:val="24"/>
          <w:highlight w:val="none"/>
          <w:lang w:val="en-US" w:eastAsia="zh-CN"/>
        </w:rPr>
        <w:t>招标代理机构</w:t>
      </w:r>
      <w:r>
        <w:rPr>
          <w:rFonts w:hint="eastAsia" w:ascii="宋体" w:hAnsi="宋体" w:eastAsia="宋体" w:cs="宋体"/>
          <w:color w:val="000000"/>
          <w:sz w:val="24"/>
          <w:szCs w:val="24"/>
          <w:highlight w:val="none"/>
        </w:rPr>
        <w:t>提出，由</w:t>
      </w:r>
      <w:r>
        <w:rPr>
          <w:rFonts w:hint="eastAsia" w:ascii="宋体" w:hAnsi="宋体" w:eastAsia="宋体" w:cs="宋体"/>
          <w:color w:val="000000"/>
          <w:sz w:val="24"/>
          <w:szCs w:val="24"/>
          <w:highlight w:val="none"/>
          <w:lang w:val="en-US" w:eastAsia="zh-CN"/>
        </w:rPr>
        <w:t>招标代理机构</w:t>
      </w:r>
      <w:r>
        <w:rPr>
          <w:rFonts w:hint="eastAsia" w:ascii="宋体" w:hAnsi="宋体" w:eastAsia="宋体" w:cs="宋体"/>
          <w:color w:val="000000"/>
          <w:sz w:val="24"/>
          <w:szCs w:val="24"/>
          <w:highlight w:val="none"/>
        </w:rPr>
        <w:t>负责答复。</w:t>
      </w:r>
    </w:p>
    <w:p w14:paraId="1E119BD9">
      <w:pPr>
        <w:pageBreakBefore w:val="0"/>
        <w:widowControl w:val="0"/>
        <w:tabs>
          <w:tab w:val="left" w:pos="1331"/>
        </w:tabs>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sz w:val="24"/>
          <w:szCs w:val="24"/>
          <w:highlight w:val="none"/>
          <w:lang w:val="en-US" w:eastAsia="zh-CN"/>
        </w:rPr>
        <w:t>招标代理机构</w:t>
      </w:r>
      <w:r>
        <w:rPr>
          <w:rFonts w:hint="eastAsia" w:ascii="宋体" w:hAnsi="宋体" w:eastAsia="宋体" w:cs="宋体"/>
          <w:color w:val="000000"/>
          <w:kern w:val="0"/>
          <w:sz w:val="24"/>
          <w:szCs w:val="24"/>
          <w:highlight w:val="none"/>
          <w:lang w:val="en-US" w:eastAsia="zh-CN" w:bidi="ar-SA"/>
        </w:rPr>
        <w:t>及采购人只接收以纸质原件形式送达的质疑,采购人和</w:t>
      </w:r>
      <w:r>
        <w:rPr>
          <w:rFonts w:hint="eastAsia" w:ascii="宋体" w:hAnsi="宋体" w:eastAsia="宋体" w:cs="宋体"/>
          <w:color w:val="000000"/>
          <w:sz w:val="24"/>
          <w:szCs w:val="24"/>
          <w:highlight w:val="none"/>
          <w:lang w:val="en-US" w:eastAsia="zh-CN"/>
        </w:rPr>
        <w:t>招标代理机构</w:t>
      </w:r>
      <w:r>
        <w:rPr>
          <w:rFonts w:hint="eastAsia" w:ascii="宋体" w:hAnsi="宋体" w:eastAsia="宋体" w:cs="宋体"/>
          <w:color w:val="000000"/>
          <w:kern w:val="0"/>
          <w:sz w:val="24"/>
          <w:szCs w:val="24"/>
          <w:highlight w:val="none"/>
          <w:lang w:val="en-US" w:eastAsia="zh-CN" w:bidi="ar-SA"/>
        </w:rPr>
        <w:t>不接受未填写快递运单的快件。</w:t>
      </w:r>
    </w:p>
    <w:p w14:paraId="59A2E07B">
      <w:pPr>
        <w:pageBreakBefore w:val="0"/>
        <w:widowControl w:val="0"/>
        <w:tabs>
          <w:tab w:val="left" w:pos="1331"/>
        </w:tabs>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采购人质疑接收人及联系方式见招标文件第一章。</w:t>
      </w:r>
    </w:p>
    <w:p w14:paraId="3DD6E26E">
      <w:pPr>
        <w:pageBreakBefore w:val="0"/>
        <w:widowControl w:val="0"/>
        <w:tabs>
          <w:tab w:val="left" w:pos="1331"/>
        </w:tabs>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质疑人（或授权委托人）须是投标单位正式员工，授权委托人须提供投标单位为其缴纳的本年度近期社保证明。</w:t>
      </w:r>
    </w:p>
    <w:p w14:paraId="37E616A4">
      <w:pPr>
        <w:pStyle w:val="17"/>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 以下情形的质疑不予受理</w:t>
      </w:r>
    </w:p>
    <w:p w14:paraId="75557581">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28.5.1内容不符合《政府采购质疑和投诉办法》第十二条规定的质疑。</w:t>
      </w:r>
    </w:p>
    <w:p w14:paraId="3875B54A">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28.5.2超出政府采购法定期限的质疑。</w:t>
      </w:r>
    </w:p>
    <w:p w14:paraId="78004B98">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28.5.3以传真、电子邮件等方式递交的非原件形式的质疑。</w:t>
      </w:r>
    </w:p>
    <w:p w14:paraId="355CA4D7">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28.5.4未参加投标活动的供应商或在投标活动中自身权益未受到损害的供应商所提出的质疑。</w:t>
      </w:r>
    </w:p>
    <w:p w14:paraId="457CF031">
      <w:pPr>
        <w:pStyle w:val="17"/>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28.6供应商提出书面质疑必须有理、有据，不得捏造事实、提供虚假材料进行恶意质疑。否则，一经查实，</w:t>
      </w:r>
      <w:r>
        <w:rPr>
          <w:rFonts w:hint="eastAsia" w:ascii="宋体" w:hAnsi="宋体" w:eastAsia="宋体" w:cs="宋体"/>
          <w:color w:val="000000"/>
          <w:sz w:val="24"/>
          <w:szCs w:val="24"/>
          <w:highlight w:val="none"/>
          <w:lang w:val="en-US" w:eastAsia="zh-CN"/>
        </w:rPr>
        <w:t>招标代理机构</w:t>
      </w:r>
      <w:r>
        <w:rPr>
          <w:rFonts w:hint="eastAsia" w:ascii="宋体" w:hAnsi="宋体" w:eastAsia="宋体" w:cs="宋体"/>
          <w:color w:val="000000"/>
          <w:sz w:val="24"/>
          <w:szCs w:val="24"/>
          <w:highlight w:val="none"/>
        </w:rPr>
        <w:t>有权依据政府采购的有关规定，报请政府采购监管部门对该供应商进行相应的行政处罚和记录该供应商的失信信息。</w:t>
      </w:r>
    </w:p>
    <w:p w14:paraId="03A91BDE">
      <w:pPr>
        <w:pStyle w:val="17"/>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outlineLvl w:val="1"/>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29、中标通知书</w:t>
      </w:r>
    </w:p>
    <w:p w14:paraId="3BFBC942">
      <w:pPr>
        <w:pStyle w:val="17"/>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29.l中标结果确定后，招标代理机构将向中标人发</w:t>
      </w:r>
      <w:r>
        <w:rPr>
          <w:rFonts w:hint="eastAsia" w:ascii="宋体" w:hAnsi="宋体" w:eastAsia="宋体" w:cs="宋体"/>
          <w:color w:val="auto"/>
          <w:sz w:val="24"/>
          <w:szCs w:val="24"/>
          <w:highlight w:val="none"/>
        </w:rPr>
        <w:t>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CC1F91B">
      <w:pPr>
        <w:pStyle w:val="17"/>
        <w:pageBreakBefore w:val="0"/>
        <w:widowControl w:val="0"/>
        <w:kinsoku/>
        <w:wordWrap/>
        <w:overflowPunct/>
        <w:topLinePunct w:val="0"/>
        <w:autoSpaceDE/>
        <w:autoSpaceDN/>
        <w:bidi w:val="0"/>
        <w:adjustRightInd/>
        <w:snapToGrid/>
        <w:spacing w:beforeAutospacing="0" w:afterAutospacing="0" w:line="360" w:lineRule="exact"/>
        <w:ind w:firstLine="600"/>
        <w:jc w:val="both"/>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29.2中标通知书将是合同的一个组成部分。对采购人和中标人均具有法律</w:t>
      </w:r>
      <w:r>
        <w:rPr>
          <w:rFonts w:hint="eastAsia" w:ascii="宋体" w:hAnsi="宋体" w:eastAsia="宋体" w:cs="宋体"/>
          <w:color w:val="000000"/>
          <w:sz w:val="24"/>
          <w:szCs w:val="24"/>
          <w:highlight w:val="none"/>
        </w:rPr>
        <w:t>效力。中标通知书发出后，采购人改变中标结果的，或者中标人放弃中标项目的，应当依法承担法律责任。</w:t>
      </w:r>
    </w:p>
    <w:p w14:paraId="64DAAC83">
      <w:pPr>
        <w:pStyle w:val="17"/>
        <w:keepNext/>
        <w:keepLines/>
        <w:spacing w:before="145" w:beforeAutospacing="0" w:after="145" w:afterAutospacing="0" w:line="360" w:lineRule="auto"/>
        <w:ind w:firstLine="498" w:firstLineChars="0"/>
        <w:jc w:val="both"/>
        <w:outlineLvl w:val="0"/>
        <w:rPr>
          <w:rFonts w:hint="eastAsia" w:ascii="宋体" w:hAnsi="宋体" w:eastAsia="宋体" w:cs="宋体"/>
          <w:b/>
          <w:color w:val="000000"/>
          <w:sz w:val="24"/>
          <w:szCs w:val="24"/>
          <w:highlight w:val="none"/>
        </w:rPr>
      </w:pPr>
      <w:bookmarkStart w:id="166" w:name="_Toc120614220"/>
      <w:bookmarkStart w:id="167" w:name="_Toc513029236"/>
      <w:bookmarkStart w:id="168" w:name="_Toc20823308"/>
      <w:bookmarkStart w:id="169" w:name="_Toc16938552"/>
      <w:r>
        <w:rPr>
          <w:rFonts w:hint="eastAsia" w:ascii="宋体" w:hAnsi="宋体" w:eastAsia="宋体" w:cs="宋体"/>
          <w:b/>
          <w:color w:val="000000"/>
          <w:sz w:val="24"/>
          <w:szCs w:val="24"/>
          <w:highlight w:val="none"/>
        </w:rPr>
        <w:t>七、授予合同</w:t>
      </w:r>
      <w:bookmarkEnd w:id="166"/>
      <w:bookmarkEnd w:id="167"/>
      <w:bookmarkEnd w:id="168"/>
      <w:bookmarkEnd w:id="169"/>
    </w:p>
    <w:p w14:paraId="6ACCED81">
      <w:pPr>
        <w:pStyle w:val="17"/>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outlineLvl w:val="1"/>
        <w:rPr>
          <w:rFonts w:hint="eastAsia" w:ascii="宋体" w:hAnsi="宋体" w:eastAsia="宋体" w:cs="宋体"/>
          <w:sz w:val="24"/>
          <w:szCs w:val="24"/>
          <w:highlight w:val="none"/>
        </w:rPr>
      </w:pPr>
      <w:bookmarkStart w:id="170" w:name="_Toc20823309"/>
      <w:bookmarkStart w:id="171" w:name="_Toc16938553"/>
      <w:bookmarkStart w:id="172" w:name="_Toc513029237"/>
      <w:r>
        <w:rPr>
          <w:rFonts w:hint="eastAsia" w:ascii="宋体" w:hAnsi="宋体" w:eastAsia="宋体" w:cs="宋体"/>
          <w:color w:val="000000"/>
          <w:sz w:val="24"/>
          <w:szCs w:val="24"/>
          <w:highlight w:val="none"/>
        </w:rPr>
        <w:t>30</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签订合同</w:t>
      </w:r>
      <w:bookmarkEnd w:id="170"/>
      <w:bookmarkEnd w:id="171"/>
      <w:bookmarkEnd w:id="172"/>
    </w:p>
    <w:p w14:paraId="49272DD0">
      <w:pPr>
        <w:pStyle w:val="17"/>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30.l中标人应当在中标通知书发出之日起三十日内（原则上应在15日内签订采购合同），按照招标文件确定的事项与采购人签订政府采购合同。合同签订之日起2个工作日内在财政指定平台公示。所签订的合同不得对招标文件确定的事项和中标人投标文件作实质性修改。</w:t>
      </w:r>
    </w:p>
    <w:p w14:paraId="00518D93">
      <w:pPr>
        <w:pStyle w:val="17"/>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30.2招标文件、中标人的投标文件及招标过程中有关澄清、承诺文件均应作为合同附件。</w:t>
      </w:r>
    </w:p>
    <w:p w14:paraId="6C2608F8">
      <w:pPr>
        <w:pStyle w:val="17"/>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30.3签订合同后，</w:t>
      </w:r>
      <w:r>
        <w:rPr>
          <w:rFonts w:hint="eastAsia" w:ascii="宋体" w:hAnsi="宋体" w:eastAsia="宋体" w:cs="宋体"/>
          <w:i/>
          <w:color w:val="000000"/>
          <w:sz w:val="24"/>
          <w:szCs w:val="24"/>
          <w:highlight w:val="none"/>
          <w:u w:val="single"/>
        </w:rPr>
        <w:t>中标人不得将合同标的进行转包</w:t>
      </w:r>
      <w:r>
        <w:rPr>
          <w:rFonts w:hint="eastAsia" w:ascii="宋体" w:hAnsi="宋体" w:eastAsia="宋体" w:cs="宋体"/>
          <w:color w:val="000000"/>
          <w:sz w:val="24"/>
          <w:szCs w:val="24"/>
          <w:highlight w:val="none"/>
        </w:rPr>
        <w:t>。未经采购人同意，中标人也不得采用分包的形式履行合同，否则采购人有权终止合同。转包或分包造成采购人损失的，中标人应承担相应赔偿责任。</w:t>
      </w:r>
    </w:p>
    <w:p w14:paraId="77BCD65A">
      <w:pPr>
        <w:pStyle w:val="17"/>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outlineLvl w:val="1"/>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31</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服务（包含与服务相关的货物）的追加</w:t>
      </w:r>
    </w:p>
    <w:p w14:paraId="3B7551AE">
      <w:pPr>
        <w:pStyle w:val="17"/>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720EEBF9">
      <w:pPr>
        <w:pStyle w:val="17"/>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outlineLvl w:val="1"/>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32、政府采购政策功能落实</w:t>
      </w:r>
    </w:p>
    <w:p w14:paraId="3EA2C724">
      <w:pPr>
        <w:pStyle w:val="17"/>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outlineLvl w:val="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32.1</w:t>
      </w:r>
      <w:r>
        <w:rPr>
          <w:rFonts w:hint="eastAsia" w:ascii="宋体" w:hAnsi="宋体" w:eastAsia="宋体" w:cs="宋体"/>
          <w:color w:val="000000"/>
          <w:sz w:val="24"/>
          <w:szCs w:val="24"/>
          <w:highlight w:val="none"/>
        </w:rPr>
        <w:t>政府采购</w:t>
      </w:r>
      <w:r>
        <w:rPr>
          <w:rFonts w:hint="eastAsia" w:ascii="宋体" w:hAnsi="宋体" w:eastAsia="宋体" w:cs="宋体"/>
          <w:color w:val="000000"/>
          <w:sz w:val="24"/>
          <w:szCs w:val="24"/>
          <w:highlight w:val="none"/>
          <w:lang w:eastAsia="zh-CN"/>
        </w:rPr>
        <w:t>线上合同信用融资</w:t>
      </w:r>
      <w:r>
        <w:rPr>
          <w:rFonts w:hint="eastAsia" w:ascii="宋体" w:hAnsi="宋体" w:eastAsia="宋体" w:cs="宋体"/>
          <w:color w:val="000000"/>
          <w:sz w:val="24"/>
          <w:szCs w:val="24"/>
          <w:highlight w:val="none"/>
        </w:rPr>
        <w:t>政策</w:t>
      </w:r>
    </w:p>
    <w:p w14:paraId="7831DEFD">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江苏省</w:t>
      </w:r>
      <w:r>
        <w:rPr>
          <w:rFonts w:hint="eastAsia" w:ascii="宋体" w:hAnsi="宋体" w:eastAsia="宋体" w:cs="宋体"/>
          <w:color w:val="000000"/>
          <w:sz w:val="24"/>
          <w:szCs w:val="24"/>
          <w:highlight w:val="none"/>
        </w:rPr>
        <w:t>政府采购网“政采贷”栏目）申请贷款，相关金融机构按照双方自愿的原则提供便捷、优惠的贷款服务；具体操作流程请参考苏采云系统中操作手册。 </w:t>
      </w:r>
    </w:p>
    <w:p w14:paraId="7734478A">
      <w:pPr>
        <w:pageBreakBefore w:val="0"/>
        <w:widowControl w:val="0"/>
        <w:tabs>
          <w:tab w:val="left" w:pos="1381"/>
        </w:tabs>
        <w:kinsoku/>
        <w:wordWrap/>
        <w:overflowPunct/>
        <w:topLinePunct w:val="0"/>
        <w:autoSpaceDE/>
        <w:autoSpaceDN/>
        <w:bidi w:val="0"/>
        <w:adjustRightInd/>
        <w:snapToGrid/>
        <w:spacing w:line="360" w:lineRule="exact"/>
        <w:ind w:firstLine="482" w:firstLineChars="0"/>
        <w:textAlignment w:val="auto"/>
        <w:outlineLvl w:val="2"/>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32.2中小企业、监狱企业及残疾人福利性单位</w:t>
      </w:r>
    </w:p>
    <w:p w14:paraId="63807B9C">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32.2.1中小企业定义：</w:t>
      </w:r>
    </w:p>
    <w:p w14:paraId="4C9CBD8E">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0D4ACCA">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strike w:val="0"/>
          <w:dstrike w:val="0"/>
          <w:color w:val="auto"/>
          <w:sz w:val="24"/>
          <w:szCs w:val="24"/>
          <w:highlight w:val="none"/>
          <w:lang w:val="en-US" w:eastAsia="zh-CN"/>
        </w:rPr>
      </w:pPr>
      <w:r>
        <w:rPr>
          <w:rFonts w:hint="eastAsia" w:ascii="宋体" w:hAnsi="宋体" w:eastAsia="宋体" w:cs="宋体"/>
          <w:strike w:val="0"/>
          <w:dstrike w:val="0"/>
          <w:color w:val="auto"/>
          <w:sz w:val="24"/>
          <w:szCs w:val="24"/>
          <w:highlight w:val="none"/>
          <w:lang w:val="en-US" w:eastAsia="zh-CN"/>
        </w:rPr>
        <w:t>32.2.2供应商提供服务符合下列情形的，享受中小企业扶持政策：</w:t>
      </w:r>
    </w:p>
    <w:p w14:paraId="4DFC19BD">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32.2.2.1在服务采购项目中，服务由中小企业承接，即提供服务的人员为中小企业依照《中华人民共和国劳动合同法》订立劳动合同的从业人员。</w:t>
      </w:r>
    </w:p>
    <w:p w14:paraId="34D8F3DF">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32.2.3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B434FA">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32.2.4残疾人福利单位定义：享受政府采购支持政策的残疾人福利性单位应当同时满足以下条件：</w:t>
      </w:r>
    </w:p>
    <w:p w14:paraId="2C10A4F6">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32.2.4.1安置的残疾人占本单位在职职工人数的比例不低于25%（含25%），并且安置的残疾人人数不少于10 人（含10 人）；</w:t>
      </w:r>
    </w:p>
    <w:p w14:paraId="273AB3B5">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32.2.4.2依法与安置的每位残疾人签订了一年以上（含一年）的劳动合同或服务协议；</w:t>
      </w:r>
    </w:p>
    <w:p w14:paraId="25054FF3">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32.2.4.3为安置的每位残疾人按月足额缴纳了基本养老保险、基本医疗保险、失业保险、工伤保险和生育保险等社会保险费；</w:t>
      </w:r>
    </w:p>
    <w:p w14:paraId="2B08B5C5">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32.2.4.4通过银行等金融机构向安置的每位残疾人，按月支付了不低于单位所在区县适用的经省级人民政府批准的月最低工资标准的工资；</w:t>
      </w:r>
    </w:p>
    <w:p w14:paraId="20CB233D">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32.2.4.5提供本单位承担的服务（以下简称产品）；</w:t>
      </w:r>
    </w:p>
    <w:p w14:paraId="3B85C34B">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32.2.4.6前款所称残疾人是指法定劳动年龄内，持有《中华人民共和国残疾人证》或者《中华人民共和国残疾军人证（1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6777715">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32.2.5本项目是否专门面向中小企业预留采购份额见第一章《</w:t>
      </w:r>
      <w:r>
        <w:rPr>
          <w:rFonts w:hint="eastAsia" w:ascii="宋体" w:hAnsi="宋体" w:eastAsia="宋体" w:cs="宋体"/>
          <w:color w:val="auto"/>
          <w:sz w:val="24"/>
          <w:szCs w:val="24"/>
          <w:highlight w:val="none"/>
          <w:lang w:val="en-US" w:eastAsia="zh-CN"/>
        </w:rPr>
        <w:t>招标公告</w:t>
      </w:r>
      <w:r>
        <w:rPr>
          <w:rFonts w:hint="eastAsia" w:ascii="宋体" w:hAnsi="宋体" w:eastAsia="宋体" w:cs="宋体"/>
          <w:color w:val="000000"/>
          <w:sz w:val="24"/>
          <w:szCs w:val="24"/>
          <w:highlight w:val="none"/>
          <w:lang w:val="en-US" w:eastAsia="zh-CN"/>
        </w:rPr>
        <w:t>》。</w:t>
      </w:r>
    </w:p>
    <w:p w14:paraId="66321B5E">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32.2.6采购标的对应的中小企业划分标准所属行业见第四章《采购需求》。</w:t>
      </w:r>
    </w:p>
    <w:p w14:paraId="3CD37815">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32.2.7小微企业价格评审优惠的政策：见第五章《评标方法和评标标准》。</w:t>
      </w:r>
    </w:p>
    <w:p w14:paraId="19DDC9C3">
      <w:pPr>
        <w:pStyle w:val="17"/>
        <w:pageBreakBefore w:val="0"/>
        <w:widowControl w:val="0"/>
        <w:kinsoku/>
        <w:wordWrap/>
        <w:overflowPunct/>
        <w:topLinePunct w:val="0"/>
        <w:autoSpaceDE/>
        <w:autoSpaceDN/>
        <w:bidi w:val="0"/>
        <w:adjustRightInd/>
        <w:snapToGrid/>
        <w:spacing w:beforeAutospacing="0" w:afterAutospacing="0" w:line="360" w:lineRule="exact"/>
        <w:ind w:firstLine="480" w:firstLineChars="0"/>
        <w:jc w:val="both"/>
        <w:textAlignment w:val="auto"/>
        <w:outlineLvl w:val="2"/>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32.3绿色包装</w:t>
      </w:r>
    </w:p>
    <w:p w14:paraId="3C828DB7">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项目中涉及商品的包装应按照“财办库〔2020〕123号《关于印发《商品包装政府采购需求标准（试行）》、《快递包装政府采购需求标准（试行）》的通知》”执行,在服务过程中能做到低碳物流、环保节约、提高资源利用率。</w:t>
      </w:r>
    </w:p>
    <w:p w14:paraId="4EFAFB2D">
      <w:pPr>
        <w:pageBreakBefore w:val="0"/>
        <w:widowControl w:val="0"/>
        <w:tabs>
          <w:tab w:val="left" w:pos="1381"/>
        </w:tabs>
        <w:kinsoku/>
        <w:wordWrap/>
        <w:overflowPunct/>
        <w:topLinePunct w:val="0"/>
        <w:autoSpaceDE/>
        <w:autoSpaceDN/>
        <w:bidi w:val="0"/>
        <w:adjustRightInd/>
        <w:snapToGrid/>
        <w:spacing w:line="360" w:lineRule="exact"/>
        <w:ind w:firstLine="482" w:firstLineChars="0"/>
        <w:textAlignment w:val="auto"/>
        <w:outlineLvl w:val="2"/>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32.4政府采购创新产品</w:t>
      </w:r>
    </w:p>
    <w:p w14:paraId="2D9B3368">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采购人优先采购各级政府部门公开发布的有效期内的创新产品、创新服务、首台套、首购首用等《目录》的创新产品。</w:t>
      </w:r>
    </w:p>
    <w:p w14:paraId="57947BB5">
      <w:pPr>
        <w:pageBreakBefore w:val="0"/>
        <w:widowControl w:val="0"/>
        <w:tabs>
          <w:tab w:val="left" w:pos="1381"/>
        </w:tabs>
        <w:kinsoku/>
        <w:wordWrap/>
        <w:overflowPunct/>
        <w:topLinePunct w:val="0"/>
        <w:autoSpaceDE/>
        <w:autoSpaceDN/>
        <w:bidi w:val="0"/>
        <w:adjustRightInd/>
        <w:snapToGrid/>
        <w:spacing w:line="360" w:lineRule="exact"/>
        <w:ind w:firstLine="482" w:firstLineChars="0"/>
        <w:textAlignment w:val="auto"/>
        <w:outlineLvl w:val="2"/>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32.5绿色数据中心政策 </w:t>
      </w:r>
    </w:p>
    <w:p w14:paraId="722A8D32">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34807A4">
      <w:pPr>
        <w:pageBreakBefore w:val="0"/>
        <w:widowControl w:val="0"/>
        <w:tabs>
          <w:tab w:val="left" w:pos="1381"/>
        </w:tabs>
        <w:kinsoku/>
        <w:wordWrap/>
        <w:overflowPunct/>
        <w:topLinePunct w:val="0"/>
        <w:autoSpaceDE/>
        <w:autoSpaceDN/>
        <w:bidi w:val="0"/>
        <w:adjustRightInd/>
        <w:snapToGrid/>
        <w:spacing w:line="360" w:lineRule="exact"/>
        <w:ind w:firstLine="482" w:firstLineChars="0"/>
        <w:textAlignment w:val="auto"/>
        <w:outlineLvl w:val="2"/>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32.6履约保证金政策</w:t>
      </w:r>
    </w:p>
    <w:p w14:paraId="40F02B3A">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履约保证金的金额和是否缴纳由采购人与中标人协商确定。确需收取履约保证金的，履约保证金的缴纳形式：</w:t>
      </w:r>
    </w:p>
    <w:p w14:paraId="5EB031AC">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AF1B51A">
      <w:pPr>
        <w:pStyle w:val="17"/>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如以履约保函（保险）形式缴纳履约保证金，供应商可通过政府采购电子履约保函（保险）平台（www.jsdzbh.com）在线申请履约保函（保险）。</w:t>
      </w:r>
    </w:p>
    <w:p w14:paraId="57E6C93D">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184C23EE">
      <w:pPr>
        <w:pStyle w:val="17"/>
        <w:pageBreakBefore w:val="0"/>
        <w:widowControl w:val="0"/>
        <w:kinsoku/>
        <w:wordWrap/>
        <w:overflowPunct/>
        <w:topLinePunct w:val="0"/>
        <w:autoSpaceDE/>
        <w:autoSpaceDN/>
        <w:bidi w:val="0"/>
        <w:adjustRightInd/>
        <w:snapToGrid/>
        <w:spacing w:beforeAutospacing="0" w:afterAutospacing="0" w:line="360" w:lineRule="exact"/>
        <w:ind w:firstLine="480" w:firstLineChars="0"/>
        <w:jc w:val="both"/>
        <w:textAlignment w:val="auto"/>
        <w:outlineLvl w:val="1"/>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33、预付款制度</w:t>
      </w:r>
    </w:p>
    <w:p w14:paraId="23108FD2">
      <w:pPr>
        <w:pStyle w:val="17"/>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本项目落实预付款制度，预付款比例为</w:t>
      </w:r>
      <w:r>
        <w:rPr>
          <w:rFonts w:hint="eastAsia" w:ascii="宋体" w:hAnsi="宋体" w:eastAsia="宋体" w:cs="宋体"/>
          <w:color w:val="000000"/>
          <w:sz w:val="24"/>
          <w:szCs w:val="24"/>
          <w:highlight w:val="none"/>
          <w:u w:val="single"/>
          <w:lang w:val="en-US" w:eastAsia="zh-CN"/>
        </w:rPr>
        <w:t>30</w:t>
      </w:r>
      <w:r>
        <w:rPr>
          <w:rFonts w:hint="eastAsia" w:ascii="宋体" w:hAnsi="宋体" w:eastAsia="宋体" w:cs="宋体"/>
          <w:color w:val="000000"/>
          <w:sz w:val="24"/>
          <w:szCs w:val="24"/>
          <w:highlight w:val="none"/>
          <w:lang w:val="en-US" w:eastAsia="zh-CN"/>
        </w:rPr>
        <w:t>%</w:t>
      </w:r>
      <w:r>
        <w:rPr>
          <w:rFonts w:hint="eastAsia" w:ascii="宋体" w:hAnsi="宋体" w:eastAsia="宋体" w:cs="宋体"/>
          <w:color w:val="auto"/>
          <w:kern w:val="0"/>
          <w:sz w:val="24"/>
          <w:szCs w:val="24"/>
          <w:highlight w:val="none"/>
          <w:shd w:val="clear" w:color="auto" w:fill="auto"/>
          <w:lang w:val="en-US" w:eastAsia="zh-CN" w:bidi="ar-SA"/>
        </w:rPr>
        <w:t>（原则上不低于合同金额的30%）</w:t>
      </w:r>
      <w:r>
        <w:rPr>
          <w:rFonts w:hint="eastAsia" w:ascii="宋体" w:hAnsi="宋体" w:eastAsia="宋体" w:cs="宋体"/>
          <w:color w:val="000000"/>
          <w:sz w:val="24"/>
          <w:szCs w:val="24"/>
          <w:highlight w:val="none"/>
          <w:lang w:val="en-US" w:eastAsia="zh-CN"/>
        </w:rPr>
        <w:t>。在签订合同时，中标、成交供应商明确书面表示无需预付款或者主动要求降低预付款比例的，采购人可就预付款比例作相应调整。</w:t>
      </w:r>
    </w:p>
    <w:p w14:paraId="53289C7D">
      <w:pPr>
        <w:pStyle w:val="17"/>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03163463">
      <w:pPr>
        <w:pStyle w:val="17"/>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0C42887D">
      <w:pPr>
        <w:pStyle w:val="17"/>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21FF7A39">
      <w:pPr>
        <w:pStyle w:val="17"/>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13FFE16A">
      <w:pPr>
        <w:pStyle w:val="17"/>
        <w:spacing w:beforeAutospacing="0" w:afterAutospacing="0"/>
        <w:jc w:val="both"/>
        <w:rPr>
          <w:rFonts w:hint="eastAsia" w:ascii="宋体" w:hAnsi="宋体" w:eastAsia="宋体" w:cs="宋体"/>
          <w:sz w:val="24"/>
          <w:szCs w:val="24"/>
          <w:highlight w:val="none"/>
        </w:rPr>
      </w:pPr>
    </w:p>
    <w:p w14:paraId="7864537B">
      <w:pPr>
        <w:pStyle w:val="17"/>
        <w:spacing w:beforeAutospacing="0" w:afterAutospacing="0"/>
        <w:jc w:val="both"/>
        <w:rPr>
          <w:rFonts w:hint="eastAsia" w:ascii="宋体" w:hAnsi="宋体" w:eastAsia="宋体" w:cs="宋体"/>
          <w:sz w:val="24"/>
          <w:szCs w:val="24"/>
          <w:highlight w:val="none"/>
        </w:rPr>
      </w:pPr>
    </w:p>
    <w:p w14:paraId="5D1DEBDF">
      <w:pPr>
        <w:pStyle w:val="17"/>
        <w:spacing w:beforeAutospacing="0" w:afterAutospacing="0"/>
        <w:jc w:val="both"/>
        <w:rPr>
          <w:rFonts w:hint="eastAsia" w:ascii="宋体" w:hAnsi="宋体" w:eastAsia="宋体" w:cs="宋体"/>
          <w:sz w:val="24"/>
          <w:szCs w:val="24"/>
          <w:highlight w:val="none"/>
        </w:rPr>
      </w:pPr>
    </w:p>
    <w:p w14:paraId="60F3697C">
      <w:pPr>
        <w:pStyle w:val="17"/>
        <w:spacing w:beforeAutospacing="0" w:afterAutospacing="0"/>
        <w:jc w:val="both"/>
        <w:rPr>
          <w:rFonts w:hint="eastAsia" w:ascii="宋体" w:hAnsi="宋体" w:eastAsia="宋体" w:cs="宋体"/>
          <w:sz w:val="24"/>
          <w:szCs w:val="24"/>
          <w:highlight w:val="none"/>
        </w:rPr>
      </w:pPr>
    </w:p>
    <w:p w14:paraId="601BD953">
      <w:pPr>
        <w:pStyle w:val="17"/>
        <w:spacing w:beforeAutospacing="0" w:afterAutospacing="0"/>
        <w:jc w:val="both"/>
        <w:rPr>
          <w:rFonts w:hint="eastAsia" w:ascii="宋体" w:hAnsi="宋体" w:eastAsia="宋体" w:cs="宋体"/>
          <w:sz w:val="24"/>
          <w:szCs w:val="24"/>
          <w:highlight w:val="none"/>
        </w:rPr>
      </w:pPr>
    </w:p>
    <w:p w14:paraId="7A5D497D">
      <w:pPr>
        <w:pStyle w:val="17"/>
        <w:spacing w:beforeAutospacing="0" w:afterAutospacing="0"/>
        <w:jc w:val="both"/>
        <w:rPr>
          <w:rFonts w:hint="eastAsia" w:ascii="宋体" w:hAnsi="宋体" w:eastAsia="宋体" w:cs="宋体"/>
          <w:sz w:val="24"/>
          <w:szCs w:val="24"/>
          <w:highlight w:val="none"/>
        </w:rPr>
      </w:pPr>
    </w:p>
    <w:p w14:paraId="6E1D1745">
      <w:pPr>
        <w:pStyle w:val="17"/>
        <w:spacing w:beforeAutospacing="0" w:afterAutospacing="0"/>
        <w:jc w:val="both"/>
        <w:rPr>
          <w:rFonts w:hint="eastAsia" w:ascii="宋体" w:hAnsi="宋体" w:eastAsia="宋体" w:cs="宋体"/>
          <w:sz w:val="24"/>
          <w:szCs w:val="24"/>
          <w:highlight w:val="none"/>
        </w:rPr>
      </w:pPr>
    </w:p>
    <w:p w14:paraId="044EBF0C">
      <w:pPr>
        <w:pStyle w:val="17"/>
        <w:spacing w:beforeAutospacing="0" w:afterAutospacing="0"/>
        <w:jc w:val="both"/>
        <w:rPr>
          <w:rFonts w:hint="eastAsia" w:ascii="宋体" w:hAnsi="宋体" w:eastAsia="宋体" w:cs="宋体"/>
          <w:sz w:val="24"/>
          <w:szCs w:val="24"/>
          <w:highlight w:val="none"/>
        </w:rPr>
      </w:pPr>
    </w:p>
    <w:p w14:paraId="71678184">
      <w:pPr>
        <w:pStyle w:val="17"/>
        <w:spacing w:beforeAutospacing="0" w:afterAutospacing="0"/>
        <w:jc w:val="both"/>
        <w:rPr>
          <w:rFonts w:hint="eastAsia" w:ascii="宋体" w:hAnsi="宋体" w:eastAsia="宋体" w:cs="宋体"/>
          <w:sz w:val="24"/>
          <w:szCs w:val="24"/>
          <w:highlight w:val="none"/>
        </w:rPr>
      </w:pPr>
    </w:p>
    <w:p w14:paraId="451CE325">
      <w:pPr>
        <w:pStyle w:val="17"/>
        <w:spacing w:beforeAutospacing="0" w:afterAutospacing="0"/>
        <w:jc w:val="both"/>
        <w:rPr>
          <w:rFonts w:hint="eastAsia" w:ascii="宋体" w:hAnsi="宋体" w:eastAsia="宋体" w:cs="宋体"/>
          <w:sz w:val="24"/>
          <w:szCs w:val="24"/>
          <w:highlight w:val="none"/>
        </w:rPr>
      </w:pPr>
    </w:p>
    <w:p w14:paraId="467E9228">
      <w:pPr>
        <w:pStyle w:val="17"/>
        <w:spacing w:beforeAutospacing="0" w:afterAutospacing="0"/>
        <w:jc w:val="both"/>
        <w:rPr>
          <w:rFonts w:hint="eastAsia" w:ascii="宋体" w:hAnsi="宋体" w:eastAsia="宋体" w:cs="宋体"/>
          <w:sz w:val="24"/>
          <w:szCs w:val="24"/>
          <w:highlight w:val="none"/>
        </w:rPr>
      </w:pPr>
    </w:p>
    <w:p w14:paraId="7AE9AA3B">
      <w:pPr>
        <w:pStyle w:val="17"/>
        <w:spacing w:beforeAutospacing="0" w:afterAutospacing="0"/>
        <w:jc w:val="both"/>
        <w:rPr>
          <w:rFonts w:hint="eastAsia" w:ascii="宋体" w:hAnsi="宋体" w:eastAsia="宋体" w:cs="宋体"/>
          <w:sz w:val="24"/>
          <w:szCs w:val="24"/>
          <w:highlight w:val="none"/>
        </w:rPr>
      </w:pPr>
    </w:p>
    <w:p w14:paraId="463AC366">
      <w:pPr>
        <w:pStyle w:val="17"/>
        <w:spacing w:beforeAutospacing="0" w:afterAutospacing="0"/>
        <w:jc w:val="both"/>
        <w:rPr>
          <w:rFonts w:hint="eastAsia" w:ascii="宋体" w:hAnsi="宋体" w:eastAsia="宋体" w:cs="宋体"/>
          <w:sz w:val="24"/>
          <w:szCs w:val="24"/>
          <w:highlight w:val="none"/>
        </w:rPr>
      </w:pPr>
    </w:p>
    <w:p w14:paraId="2BAFCBBF">
      <w:pPr>
        <w:pStyle w:val="17"/>
        <w:spacing w:beforeAutospacing="0" w:afterAutospacing="0"/>
        <w:jc w:val="both"/>
        <w:rPr>
          <w:rFonts w:hint="eastAsia" w:ascii="宋体" w:hAnsi="宋体" w:eastAsia="宋体" w:cs="宋体"/>
          <w:sz w:val="24"/>
          <w:szCs w:val="24"/>
          <w:highlight w:val="none"/>
        </w:rPr>
      </w:pPr>
    </w:p>
    <w:p w14:paraId="1CE26C09">
      <w:pPr>
        <w:pStyle w:val="17"/>
        <w:spacing w:beforeAutospacing="0" w:afterAutospacing="0"/>
        <w:jc w:val="both"/>
        <w:rPr>
          <w:rFonts w:hint="eastAsia" w:ascii="宋体" w:hAnsi="宋体" w:eastAsia="宋体" w:cs="宋体"/>
          <w:sz w:val="24"/>
          <w:szCs w:val="24"/>
          <w:highlight w:val="none"/>
        </w:rPr>
      </w:pPr>
    </w:p>
    <w:p w14:paraId="0D5A4711">
      <w:pPr>
        <w:pStyle w:val="17"/>
        <w:spacing w:beforeAutospacing="0" w:afterAutospacing="0"/>
        <w:ind w:right="840" w:rightChars="0"/>
        <w:jc w:val="center"/>
        <w:outlineLvl w:val="0"/>
        <w:rPr>
          <w:rFonts w:hint="eastAsia" w:ascii="宋体" w:hAnsi="宋体" w:eastAsia="宋体" w:cs="宋体"/>
          <w:b/>
          <w:bCs/>
          <w:color w:val="000000"/>
          <w:sz w:val="40"/>
          <w:szCs w:val="40"/>
          <w:highlight w:val="none"/>
        </w:rPr>
      </w:pPr>
      <w:r>
        <w:rPr>
          <w:rFonts w:hint="eastAsia" w:ascii="宋体" w:hAnsi="宋体" w:eastAsia="宋体" w:cs="宋体"/>
          <w:b/>
          <w:bCs/>
          <w:color w:val="000000"/>
          <w:sz w:val="40"/>
          <w:szCs w:val="40"/>
          <w:highlight w:val="none"/>
        </w:rPr>
        <w:t>第三章  合同文本</w:t>
      </w:r>
    </w:p>
    <w:p w14:paraId="6848ED5D">
      <w:pPr>
        <w:pStyle w:val="17"/>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sz w:val="24"/>
          <w:szCs w:val="24"/>
          <w:highlight w:val="none"/>
        </w:rPr>
      </w:pPr>
      <w:bookmarkStart w:id="173" w:name="_Toc20823315"/>
      <w:bookmarkStart w:id="174" w:name="_Toc16938559"/>
      <w:bookmarkStart w:id="175" w:name="_Toc513029243"/>
      <w:r>
        <w:rPr>
          <w:rFonts w:hint="eastAsia" w:ascii="宋体" w:hAnsi="宋体" w:eastAsia="宋体" w:cs="宋体"/>
          <w:color w:val="000000"/>
          <w:sz w:val="24"/>
          <w:szCs w:val="24"/>
          <w:highlight w:val="none"/>
        </w:rPr>
        <w:t>以下为中标后</w:t>
      </w:r>
      <w:r>
        <w:rPr>
          <w:rFonts w:hint="eastAsia" w:ascii="宋体" w:hAnsi="宋体" w:eastAsia="宋体" w:cs="宋体"/>
          <w:color w:val="000000"/>
          <w:sz w:val="24"/>
          <w:szCs w:val="24"/>
          <w:highlight w:val="none"/>
          <w:lang w:eastAsia="zh-CN"/>
        </w:rPr>
        <w:t>签订</w:t>
      </w:r>
      <w:r>
        <w:rPr>
          <w:rFonts w:hint="eastAsia" w:ascii="宋体" w:hAnsi="宋体" w:eastAsia="宋体" w:cs="宋体"/>
          <w:color w:val="000000"/>
          <w:sz w:val="24"/>
          <w:szCs w:val="24"/>
          <w:highlight w:val="none"/>
        </w:rPr>
        <w:t>本项目合同的通用条款，中标人不得提出实质性的修改。</w:t>
      </w:r>
      <w:bookmarkEnd w:id="173"/>
      <w:bookmarkEnd w:id="174"/>
      <w:bookmarkEnd w:id="175"/>
      <w:r>
        <w:rPr>
          <w:sz w:val="24"/>
          <w:szCs w:val="24"/>
          <w:highlight w:val="none"/>
        </w:rPr>
        <w:t> </w:t>
      </w:r>
    </w:p>
    <w:p w14:paraId="515AD275">
      <w:pPr>
        <w:pStyle w:val="17"/>
        <w:keepNext w:val="0"/>
        <w:keepLines w:val="0"/>
        <w:pageBreakBefore w:val="0"/>
        <w:widowControl w:val="0"/>
        <w:kinsoku/>
        <w:wordWrap/>
        <w:overflowPunct/>
        <w:topLinePunct w:val="0"/>
        <w:autoSpaceDE/>
        <w:autoSpaceDN/>
        <w:bidi w:val="0"/>
        <w:adjustRightInd/>
        <w:snapToGrid/>
        <w:spacing w:before="145" w:beforeAutospacing="0" w:after="145" w:afterAutospacing="0" w:line="500" w:lineRule="exact"/>
        <w:jc w:val="center"/>
        <w:textAlignment w:val="auto"/>
        <w:outlineLvl w:val="0"/>
        <w:rPr>
          <w:sz w:val="24"/>
          <w:szCs w:val="24"/>
          <w:highlight w:val="none"/>
        </w:rPr>
      </w:pPr>
      <w:r>
        <w:rPr>
          <w:rFonts w:hint="eastAsia" w:ascii="宋体" w:hAnsi="宋体" w:eastAsia="宋体" w:cs="宋体"/>
          <w:b/>
          <w:color w:val="000000"/>
          <w:sz w:val="24"/>
          <w:szCs w:val="24"/>
          <w:highlight w:val="none"/>
        </w:rPr>
        <w:t>盐城市政府采购合同（服务）（合同编号）</w:t>
      </w:r>
    </w:p>
    <w:p w14:paraId="71D2BD05">
      <w:pPr>
        <w:pStyle w:val="1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项目名称：</w:t>
      </w:r>
    </w:p>
    <w:p w14:paraId="08C12531">
      <w:pPr>
        <w:pStyle w:val="1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项目编号：</w:t>
      </w:r>
    </w:p>
    <w:p w14:paraId="3229CF71">
      <w:pPr>
        <w:pStyle w:val="1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甲方：（买方）_________</w:t>
      </w:r>
    </w:p>
    <w:p w14:paraId="65E6F252">
      <w:pPr>
        <w:pStyle w:val="1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乙方：（卖方）_________</w:t>
      </w:r>
    </w:p>
    <w:p w14:paraId="3B4D9C00">
      <w:pPr>
        <w:pStyle w:val="1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甲、乙双方根据射阳宏远财会服务有限公司</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项目公开招标的结果，签署本合同。</w:t>
      </w:r>
    </w:p>
    <w:p w14:paraId="60E3B411">
      <w:pPr>
        <w:pStyle w:val="1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2" w:firstLineChars="200"/>
        <w:jc w:val="both"/>
        <w:textAlignment w:val="auto"/>
        <w:outlineLvl w:val="0"/>
        <w:rPr>
          <w:sz w:val="24"/>
          <w:szCs w:val="24"/>
          <w:highlight w:val="none"/>
        </w:rPr>
      </w:pPr>
      <w:r>
        <w:rPr>
          <w:rFonts w:hint="eastAsia" w:ascii="宋体" w:hAnsi="宋体" w:eastAsia="宋体" w:cs="宋体"/>
          <w:b/>
          <w:color w:val="000000"/>
          <w:sz w:val="24"/>
          <w:szCs w:val="24"/>
          <w:highlight w:val="none"/>
        </w:rPr>
        <w:t>一、合同内容</w:t>
      </w:r>
    </w:p>
    <w:p w14:paraId="7FD485F0">
      <w:pPr>
        <w:pStyle w:val="1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1.1 标的名称：</w:t>
      </w:r>
    </w:p>
    <w:p w14:paraId="0C6C1FFC">
      <w:pPr>
        <w:pStyle w:val="1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1.2标的质量：</w:t>
      </w:r>
    </w:p>
    <w:p w14:paraId="3C30E6BA">
      <w:pPr>
        <w:pStyle w:val="1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1.3 标的数量（规模）：</w:t>
      </w:r>
    </w:p>
    <w:p w14:paraId="5034A0B7">
      <w:pPr>
        <w:pStyle w:val="1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1.4 履行时间（期限）：</w:t>
      </w:r>
    </w:p>
    <w:p w14:paraId="41B94B71">
      <w:pPr>
        <w:pStyle w:val="1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1.5 履行地点：</w:t>
      </w:r>
    </w:p>
    <w:p w14:paraId="393CE3F6">
      <w:pPr>
        <w:pStyle w:val="1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1.6履行方式：</w:t>
      </w:r>
    </w:p>
    <w:p w14:paraId="4F452184">
      <w:pPr>
        <w:pStyle w:val="1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2" w:firstLineChars="200"/>
        <w:jc w:val="both"/>
        <w:textAlignment w:val="auto"/>
        <w:outlineLvl w:val="0"/>
        <w:rPr>
          <w:sz w:val="24"/>
          <w:szCs w:val="24"/>
          <w:highlight w:val="none"/>
        </w:rPr>
      </w:pPr>
      <w:r>
        <w:rPr>
          <w:rFonts w:hint="eastAsia" w:ascii="宋体" w:hAnsi="宋体" w:eastAsia="宋体" w:cs="宋体"/>
          <w:b/>
          <w:color w:val="000000"/>
          <w:sz w:val="24"/>
          <w:szCs w:val="24"/>
          <w:highlight w:val="none"/>
        </w:rPr>
        <w:t>二、合同金额</w:t>
      </w:r>
    </w:p>
    <w:p w14:paraId="41BE56DD">
      <w:pPr>
        <w:pStyle w:val="1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left="410"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2.1本合同金额为（大写）：_________________圆（_______________元）人民币。</w:t>
      </w:r>
    </w:p>
    <w:p w14:paraId="1F71D191">
      <w:pPr>
        <w:pStyle w:val="1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2" w:firstLineChars="200"/>
        <w:jc w:val="both"/>
        <w:textAlignment w:val="auto"/>
        <w:outlineLvl w:val="0"/>
        <w:rPr>
          <w:sz w:val="24"/>
          <w:szCs w:val="24"/>
          <w:highlight w:val="none"/>
        </w:rPr>
      </w:pPr>
      <w:r>
        <w:rPr>
          <w:rFonts w:hint="eastAsia" w:ascii="宋体" w:hAnsi="宋体" w:eastAsia="宋体" w:cs="宋体"/>
          <w:b/>
          <w:color w:val="000000"/>
          <w:sz w:val="24"/>
          <w:szCs w:val="24"/>
          <w:highlight w:val="none"/>
        </w:rPr>
        <w:t>三、技术资料</w:t>
      </w:r>
    </w:p>
    <w:p w14:paraId="1D4F9FAC">
      <w:pPr>
        <w:pStyle w:val="1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left="410"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3.1乙方应按招标文件规定的时间向甲方提供服务（包含与服务相关的货物）的有关技术资料。</w:t>
      </w:r>
    </w:p>
    <w:p w14:paraId="580453C6">
      <w:pPr>
        <w:pStyle w:val="1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left="410"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73493BC">
      <w:pPr>
        <w:pStyle w:val="1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left="412" w:leftChars="0" w:firstLine="482" w:firstLineChars="200"/>
        <w:jc w:val="both"/>
        <w:textAlignment w:val="auto"/>
        <w:outlineLvl w:val="0"/>
        <w:rPr>
          <w:sz w:val="24"/>
          <w:szCs w:val="24"/>
          <w:highlight w:val="none"/>
        </w:rPr>
      </w:pPr>
      <w:r>
        <w:rPr>
          <w:rFonts w:hint="eastAsia" w:ascii="宋体" w:hAnsi="宋体" w:eastAsia="宋体" w:cs="宋体"/>
          <w:b/>
          <w:color w:val="000000"/>
          <w:sz w:val="24"/>
          <w:szCs w:val="24"/>
          <w:highlight w:val="none"/>
        </w:rPr>
        <w:t>四、知识产权</w:t>
      </w:r>
    </w:p>
    <w:p w14:paraId="6ACA8E5F">
      <w:pPr>
        <w:pStyle w:val="17"/>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4.1乙方应保证甲方在使用、接受本合同服务（包含与服务相关的货物）或其任何一部分时不受第三方提出侵犯其专利权、版权、商标权和工业设计权等知</w:t>
      </w:r>
      <w:r>
        <w:rPr>
          <w:rFonts w:hint="eastAsia" w:ascii="宋体" w:hAnsi="宋体" w:eastAsia="宋体" w:cs="宋体"/>
          <w:color w:val="000000"/>
          <w:sz w:val="24"/>
          <w:szCs w:val="24"/>
          <w:highlight w:val="none"/>
          <w:lang w:val="en-US" w:eastAsia="zh-CN"/>
        </w:rPr>
        <w:t>识产权的起诉。一旦出现侵权，由乙方负全部责任。</w:t>
      </w:r>
    </w:p>
    <w:p w14:paraId="6EB3C313">
      <w:pPr>
        <w:pStyle w:val="1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2" w:firstLineChars="200"/>
        <w:jc w:val="both"/>
        <w:textAlignment w:val="auto"/>
        <w:outlineLvl w:val="0"/>
        <w:rPr>
          <w:sz w:val="24"/>
          <w:szCs w:val="24"/>
          <w:highlight w:val="none"/>
        </w:rPr>
      </w:pPr>
      <w:r>
        <w:rPr>
          <w:rFonts w:hint="eastAsia" w:ascii="宋体" w:hAnsi="宋体" w:eastAsia="宋体" w:cs="宋体"/>
          <w:b/>
          <w:color w:val="000000"/>
          <w:sz w:val="24"/>
          <w:szCs w:val="24"/>
          <w:highlight w:val="none"/>
        </w:rPr>
        <w:t>五、产权担保</w:t>
      </w:r>
    </w:p>
    <w:p w14:paraId="3E62D632">
      <w:pPr>
        <w:pStyle w:val="1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left="408"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5.1乙方保证所交付的服务（包含与服务相关的货物）的所有权完全属于乙方且无任何抵押、查封等产权瑕疵。</w:t>
      </w:r>
    </w:p>
    <w:p w14:paraId="56817AE3">
      <w:pPr>
        <w:pStyle w:val="1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left="410" w:leftChars="0" w:firstLine="482" w:firstLineChars="200"/>
        <w:jc w:val="both"/>
        <w:textAlignment w:val="auto"/>
        <w:outlineLvl w:val="0"/>
        <w:rPr>
          <w:sz w:val="24"/>
          <w:szCs w:val="24"/>
          <w:highlight w:val="none"/>
        </w:rPr>
      </w:pPr>
      <w:r>
        <w:rPr>
          <w:rFonts w:hint="eastAsia" w:ascii="宋体" w:hAnsi="宋体" w:eastAsia="宋体" w:cs="宋体"/>
          <w:b/>
          <w:color w:val="000000"/>
          <w:sz w:val="24"/>
          <w:szCs w:val="24"/>
          <w:highlight w:val="none"/>
        </w:rPr>
        <w:t>六、履约保证金</w:t>
      </w:r>
    </w:p>
    <w:p w14:paraId="5292D4DC">
      <w:pPr>
        <w:pStyle w:val="1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6.1乙方交纳人民币_________元作为本合同的履约保证金。</w:t>
      </w:r>
    </w:p>
    <w:p w14:paraId="3BB4C1CA">
      <w:pPr>
        <w:pStyle w:val="17"/>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（备注：不得超过合同金额的10%，采购人应当对AA评级及以上政府采购供应商（需提供信用管理部门备案的第三方信用报告）免收履约保证金或降低履约保证金缴纳比例。）</w:t>
      </w:r>
    </w:p>
    <w:p w14:paraId="11E1642B">
      <w:pPr>
        <w:pStyle w:val="1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2确需收取履约保证金的，</w:t>
      </w:r>
      <w:r>
        <w:rPr>
          <w:rFonts w:hint="eastAsia" w:ascii="宋体" w:hAnsi="宋体" w:eastAsia="宋体" w:cs="宋体"/>
          <w:color w:val="auto"/>
          <w:sz w:val="24"/>
          <w:szCs w:val="24"/>
          <w:highlight w:val="none"/>
          <w:lang w:eastAsia="zh-CN"/>
        </w:rPr>
        <w:t>履约保证金的缴纳形式：</w:t>
      </w:r>
    </w:p>
    <w:p w14:paraId="3EDCFA05">
      <w:pPr>
        <w:pStyle w:val="1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6.2.1</w:t>
      </w:r>
      <w:r>
        <w:rPr>
          <w:rFonts w:hint="eastAsia" w:ascii="宋体" w:hAnsi="宋体" w:eastAsia="宋体" w:cs="宋体"/>
          <w:color w:val="auto"/>
          <w:sz w:val="24"/>
          <w:szCs w:val="24"/>
          <w:highlight w:val="none"/>
        </w:rPr>
        <w:t>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履约保证金</w:t>
      </w:r>
      <w:r>
        <w:rPr>
          <w:rFonts w:hint="eastAsia" w:ascii="宋体" w:hAnsi="宋体" w:eastAsia="宋体" w:cs="宋体"/>
          <w:color w:val="auto"/>
          <w:sz w:val="24"/>
          <w:szCs w:val="24"/>
          <w:highlight w:val="none"/>
        </w:rPr>
        <w:t>。依据《关于在全省政府采购领域推行电子履约保函（保险）的通知》，鼓励供应商自愿使用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电子</w:t>
      </w:r>
      <w:r>
        <w:rPr>
          <w:rFonts w:hint="eastAsia" w:ascii="宋体" w:hAnsi="宋体" w:eastAsia="宋体" w:cs="宋体"/>
          <w:color w:val="auto"/>
          <w:sz w:val="24"/>
          <w:szCs w:val="24"/>
          <w:highlight w:val="none"/>
        </w:rPr>
        <w:t>履约保函（保险）代替缴纳履约保证金</w:t>
      </w:r>
      <w:r>
        <w:rPr>
          <w:rFonts w:hint="eastAsia" w:ascii="宋体" w:hAnsi="宋体" w:eastAsia="宋体" w:cs="宋体"/>
          <w:color w:val="auto"/>
          <w:sz w:val="24"/>
          <w:szCs w:val="24"/>
          <w:highlight w:val="none"/>
          <w:lang w:eastAsia="zh-CN"/>
        </w:rPr>
        <w:t>。</w:t>
      </w:r>
    </w:p>
    <w:p w14:paraId="37BA6E94">
      <w:pPr>
        <w:pStyle w:val="1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6.2.2 如以履约保函（保险）形式缴纳履约保证金，供应商可通过政府采购电子履约保函（保险）平台（www.jsdzbh.com）在线申请履约保函（保险）。</w:t>
      </w:r>
    </w:p>
    <w:p w14:paraId="7DD7165C">
      <w:pPr>
        <w:pStyle w:val="1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合同履行结束后，甲方应及时退还交纳的履约保证金。</w:t>
      </w:r>
    </w:p>
    <w:p w14:paraId="454CF72C">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szCs w:val="24"/>
          <w:highlight w:val="none"/>
          <w14:textFill>
            <w14:solidFill>
              <w14:schemeClr w14:val="tx1"/>
            </w14:solidFill>
          </w14:textFill>
        </w:rPr>
        <w:t>履约保证金的退还：</w:t>
      </w:r>
    </w:p>
    <w:p w14:paraId="221D2B31">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szCs w:val="24"/>
          <w:highlight w:val="none"/>
          <w14:textFill>
            <w14:solidFill>
              <w14:schemeClr w14:val="tx1"/>
            </w14:solidFill>
          </w14:textFill>
        </w:rPr>
        <w:t>.1方式：退还至投标人缴纳履约保证金的账户。如为保函，在到期时自行失效。</w:t>
      </w:r>
    </w:p>
    <w:p w14:paraId="6854AF51">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szCs w:val="24"/>
          <w:highlight w:val="none"/>
          <w14:textFill>
            <w14:solidFill>
              <w14:schemeClr w14:val="tx1"/>
            </w14:solidFill>
          </w14:textFill>
        </w:rPr>
        <w:t>.2时间：验收合格且采购人收到发票后30日内。</w:t>
      </w:r>
    </w:p>
    <w:p w14:paraId="4295C4A4">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szCs w:val="24"/>
          <w:highlight w:val="none"/>
          <w14:textFill>
            <w14:solidFill>
              <w14:schemeClr w14:val="tx1"/>
            </w14:solidFill>
          </w14:textFill>
        </w:rPr>
        <w:t>.3条件：按合同要求全部履约完成并经采购人验收合格，且采购人收到中标人出具的发票。</w:t>
      </w:r>
    </w:p>
    <w:p w14:paraId="37A87BC9">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szCs w:val="24"/>
          <w:highlight w:val="none"/>
          <w14:textFill>
            <w14:solidFill>
              <w14:schemeClr w14:val="tx1"/>
            </w14:solidFill>
          </w14:textFill>
        </w:rPr>
        <w:t>.4不予退还情形：</w:t>
      </w:r>
    </w:p>
    <w:p w14:paraId="2DFF7CF7">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除不可抗力情况外，投标人出现下列情形之一的，其履约保证金，招标人将视情节决定不予退还或部分不予退还。</w:t>
      </w:r>
    </w:p>
    <w:p w14:paraId="4405B304">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（1）中标人无正当理由拒绝签订合同的，或者在签订合同时向采购人提出附加条件或者更改合同实质性内容要求的；</w:t>
      </w:r>
    </w:p>
    <w:p w14:paraId="4E2CD09A">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（2）中标人不履行与采购人订立的合同的；</w:t>
      </w:r>
    </w:p>
    <w:p w14:paraId="5D1924A1">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（3）中标人所供货物或服务不符合招标文件规定要求的；</w:t>
      </w:r>
    </w:p>
    <w:p w14:paraId="293A7E43">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（4）中标人采取欺骗、弄虚作假方式投标的或与其它投标人串通投标的；</w:t>
      </w:r>
    </w:p>
    <w:p w14:paraId="3210A1D8">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（5）中标人将合同内容转包、违法分包的；</w:t>
      </w:r>
    </w:p>
    <w:p w14:paraId="4139920D">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（6）中标人故意捏造事实或伪造证明材料，进行虚假恶意投诉或反映的。</w:t>
      </w:r>
    </w:p>
    <w:p w14:paraId="794E4FF8">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szCs w:val="24"/>
          <w:highlight w:val="none"/>
          <w14:textFill>
            <w14:solidFill>
              <w14:schemeClr w14:val="tx1"/>
            </w14:solidFill>
          </w14:textFill>
        </w:rPr>
        <w:t>.5逾期退还的违约责任：采购人逾期无故未退还履约保证金的，按中国人民银行同期贷款基准利率上浮20%后的利率支付超期资金占用费，但因供应商自身原因导致无法及时退还的除外。</w:t>
      </w:r>
    </w:p>
    <w:p w14:paraId="3881BEE0">
      <w:pPr>
        <w:pStyle w:val="17"/>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exact"/>
        <w:ind w:firstLine="482" w:firstLineChars="200"/>
        <w:jc w:val="both"/>
        <w:textAlignment w:val="auto"/>
        <w:outlineLvl w:val="0"/>
        <w:rPr>
          <w:sz w:val="24"/>
          <w:szCs w:val="24"/>
          <w:highlight w:val="none"/>
        </w:rPr>
      </w:pPr>
      <w:r>
        <w:rPr>
          <w:rFonts w:hint="eastAsia" w:ascii="宋体" w:hAnsi="宋体" w:eastAsia="宋体" w:cs="宋体"/>
          <w:b/>
          <w:color w:val="000000"/>
          <w:sz w:val="24"/>
          <w:szCs w:val="24"/>
          <w:highlight w:val="none"/>
        </w:rPr>
        <w:t>七、合同转包或分包</w:t>
      </w:r>
    </w:p>
    <w:p w14:paraId="1C78E87B">
      <w:pPr>
        <w:pStyle w:val="17"/>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exact"/>
        <w:ind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7.1乙方不得将合同标的转包给他人履行。</w:t>
      </w:r>
    </w:p>
    <w:p w14:paraId="1DBA61EF">
      <w:pPr>
        <w:pStyle w:val="17"/>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exact"/>
        <w:ind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7.2乙方不得将合同标的分包给他人履行。</w:t>
      </w:r>
    </w:p>
    <w:p w14:paraId="6F12C20B">
      <w:pPr>
        <w:pStyle w:val="17"/>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exact"/>
        <w:ind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7.3乙方如有转包或未经甲方同意的分包行为，甲方有权解除合同。</w:t>
      </w:r>
    </w:p>
    <w:p w14:paraId="454C8284">
      <w:pPr>
        <w:pStyle w:val="1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2" w:firstLineChars="200"/>
        <w:jc w:val="both"/>
        <w:textAlignment w:val="auto"/>
        <w:outlineLvl w:val="0"/>
        <w:rPr>
          <w:sz w:val="24"/>
          <w:szCs w:val="24"/>
          <w:highlight w:val="none"/>
        </w:rPr>
      </w:pPr>
      <w:r>
        <w:rPr>
          <w:rFonts w:hint="eastAsia" w:ascii="宋体" w:hAnsi="宋体" w:eastAsia="宋体" w:cs="宋体"/>
          <w:b/>
          <w:color w:val="000000"/>
          <w:sz w:val="24"/>
          <w:szCs w:val="24"/>
          <w:highlight w:val="none"/>
        </w:rPr>
        <w:t>八、合同款项支付</w:t>
      </w:r>
    </w:p>
    <w:p w14:paraId="07631687">
      <w:pPr>
        <w:pStyle w:val="1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8.1合同款项的支付方式及进度安排</w:t>
      </w:r>
    </w:p>
    <w:p w14:paraId="7C56311A">
      <w:pPr>
        <w:pStyle w:val="17"/>
        <w:spacing w:beforeAutospacing="0" w:afterAutospacing="0" w:line="460" w:lineRule="exact"/>
        <w:ind w:firstLine="480" w:firstLineChars="0"/>
        <w:jc w:val="both"/>
        <w:outlineLvl w:val="9"/>
        <w:rPr>
          <w:rFonts w:hint="eastAsia" w:ascii="宋体" w:hAnsi="宋体" w:eastAsia="宋体" w:cs="宋体"/>
          <w:color w:val="000000"/>
          <w:lang w:val="en-US" w:eastAsia="zh-CN"/>
        </w:rPr>
      </w:pPr>
      <w:r>
        <w:rPr>
          <w:rFonts w:hint="eastAsia" w:ascii="宋体" w:hAnsi="宋体" w:eastAsia="宋体" w:cs="宋体"/>
          <w:color w:val="000000"/>
          <w:lang w:val="en-US" w:eastAsia="zh-CN"/>
        </w:rPr>
        <w:t>1、</w:t>
      </w:r>
      <w:r>
        <w:rPr>
          <w:rFonts w:hint="eastAsia" w:ascii="宋体" w:hAnsi="宋体" w:eastAsia="宋体" w:cs="宋体"/>
          <w:color w:val="000000"/>
        </w:rPr>
        <w:t>本项目落实预付款制度，合同签订时，经采购人与中标人根据实际情况协商一致，可支付合同总价的30%作为项目启动预付款；余款在每年年底体检工作全部完成并出具报告，在财政拨款到位后10日内按实际体检人数一次性结清</w:t>
      </w:r>
      <w:r>
        <w:rPr>
          <w:rFonts w:hint="eastAsia" w:ascii="宋体" w:hAnsi="宋体" w:cs="宋体"/>
          <w:color w:val="000000"/>
          <w:lang w:val="en-US" w:eastAsia="zh-CN"/>
        </w:rPr>
        <w:t>,并无息退还履约保证金（如有）。以</w:t>
      </w:r>
      <w:r>
        <w:rPr>
          <w:rFonts w:hint="eastAsia" w:ascii="宋体" w:hAnsi="宋体" w:eastAsia="宋体" w:cs="宋体"/>
          <w:color w:val="000000"/>
          <w:lang w:val="en-US" w:eastAsia="zh-CN"/>
        </w:rPr>
        <w:t>上付款均不计任何利息和相关费用，付款时需提供等额发票，付款一律通过银行结转。相关付款手续由用户单位由财政部门报批后办理。</w:t>
      </w:r>
    </w:p>
    <w:p w14:paraId="4146933B">
      <w:pPr>
        <w:pStyle w:val="17"/>
        <w:spacing w:beforeAutospacing="0" w:afterAutospacing="0" w:line="460" w:lineRule="exact"/>
        <w:ind w:firstLine="480" w:firstLineChars="0"/>
        <w:jc w:val="both"/>
        <w:outlineLvl w:val="0"/>
        <w:rPr>
          <w:sz w:val="24"/>
          <w:szCs w:val="24"/>
          <w:highlight w:val="none"/>
        </w:rPr>
      </w:pPr>
      <w:r>
        <w:rPr>
          <w:rFonts w:hint="eastAsia" w:ascii="宋体" w:hAnsi="宋体" w:eastAsia="宋体" w:cs="宋体"/>
          <w:color w:val="000000"/>
          <w:lang w:val="en-US" w:eastAsia="zh-CN"/>
        </w:rPr>
        <w:t xml:space="preserve">2、注：在签订合同时，中标人明确表示无需预付款或者主动要求降低预付款比例的金额，招标人可不适用预付款规定,但中标人需提供书面声明，采购人可就预付款比例作相应调整。 </w:t>
      </w:r>
      <w:r>
        <w:rPr>
          <w:rFonts w:hint="eastAsia" w:ascii="宋体" w:hAnsi="宋体" w:eastAsia="宋体" w:cs="宋体"/>
          <w:b/>
          <w:color w:val="000000"/>
          <w:sz w:val="24"/>
          <w:szCs w:val="24"/>
          <w:highlight w:val="none"/>
        </w:rPr>
        <w:t>九、税费</w:t>
      </w:r>
    </w:p>
    <w:p w14:paraId="66F8CD9B">
      <w:pPr>
        <w:pStyle w:val="17"/>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exact"/>
        <w:ind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9.1本合同执行中相关的一切税费均由乙方负担。</w:t>
      </w:r>
    </w:p>
    <w:p w14:paraId="419A0B9D">
      <w:pPr>
        <w:pStyle w:val="1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2" w:firstLineChars="200"/>
        <w:jc w:val="both"/>
        <w:textAlignment w:val="auto"/>
        <w:outlineLvl w:val="0"/>
        <w:rPr>
          <w:sz w:val="24"/>
          <w:szCs w:val="24"/>
          <w:highlight w:val="none"/>
        </w:rPr>
      </w:pPr>
      <w:r>
        <w:rPr>
          <w:rFonts w:hint="eastAsia" w:ascii="宋体" w:hAnsi="宋体" w:eastAsia="宋体" w:cs="宋体"/>
          <w:b/>
          <w:color w:val="000000"/>
          <w:sz w:val="24"/>
          <w:szCs w:val="24"/>
          <w:highlight w:val="none"/>
        </w:rPr>
        <w:t>十、项目验收</w:t>
      </w:r>
    </w:p>
    <w:p w14:paraId="155CF5BB">
      <w:pPr>
        <w:pStyle w:val="1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10.1甲方依法组织履约验收工作。</w:t>
      </w:r>
    </w:p>
    <w:p w14:paraId="2DF745AC">
      <w:pPr>
        <w:pStyle w:val="1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0D7FF1E4">
      <w:pPr>
        <w:pStyle w:val="1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10.3对于实际使用人和甲方分离的项目，甲方邀请实际使用人参与验收。</w:t>
      </w:r>
    </w:p>
    <w:p w14:paraId="208D1F0B">
      <w:pPr>
        <w:pStyle w:val="1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10.4如有必要，甲方邀请参加本项目的其他供应商或第三方专业机构及专家参与验收，相关意见将作为验收书的参考资料。</w:t>
      </w:r>
    </w:p>
    <w:p w14:paraId="41EC3EB9">
      <w:pPr>
        <w:pStyle w:val="1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43FAAADC">
      <w:pPr>
        <w:pStyle w:val="1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10.6验收合格的项目,甲方根据采购合同的约定及时向乙方支付合同款项、退还履约保证金。验收不合格的项目，甲方依法及时处理。采购合同的履行、违约责任和解决争议的方式等适用《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color w:val="auto"/>
          <w:sz w:val="24"/>
          <w:highlight w:val="none"/>
          <w:shd w:val="clear" w:color="auto" w:fill="auto"/>
          <w:lang w:val="en-US" w:eastAsia="zh-CN"/>
        </w:rPr>
        <w:t>中华人民共和国</w:t>
      </w:r>
      <w:r>
        <w:rPr>
          <w:rFonts w:hint="eastAsia" w:ascii="宋体" w:hAnsi="宋体" w:eastAsia="宋体" w:cs="宋体"/>
          <w:color w:val="000000"/>
          <w:sz w:val="24"/>
          <w:szCs w:val="24"/>
          <w:highlight w:val="none"/>
        </w:rPr>
        <w:t>民法典》。乙方在履约过程中有政府采购法律法规规定的违法违规情形的,甲方将及时报告本级财政部门。</w:t>
      </w:r>
    </w:p>
    <w:p w14:paraId="49DA7329">
      <w:pPr>
        <w:pStyle w:val="1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2" w:firstLineChars="200"/>
        <w:jc w:val="both"/>
        <w:textAlignment w:val="auto"/>
        <w:outlineLvl w:val="0"/>
        <w:rPr>
          <w:sz w:val="24"/>
          <w:szCs w:val="24"/>
          <w:highlight w:val="none"/>
        </w:rPr>
      </w:pPr>
      <w:r>
        <w:rPr>
          <w:rFonts w:hint="eastAsia" w:ascii="宋体" w:hAnsi="宋体" w:eastAsia="宋体" w:cs="宋体"/>
          <w:b/>
          <w:color w:val="000000"/>
          <w:sz w:val="24"/>
          <w:szCs w:val="24"/>
          <w:highlight w:val="none"/>
        </w:rPr>
        <w:t>十一、违约责任</w:t>
      </w:r>
    </w:p>
    <w:p w14:paraId="47573A26">
      <w:pPr>
        <w:pStyle w:val="1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11.1甲方无正当理由拒绝接受乙方提供服务的，甲方向乙方偿付拒绝接受服务合同价款总值</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的违约金。</w:t>
      </w:r>
    </w:p>
    <w:p w14:paraId="0088C9F2">
      <w:pPr>
        <w:pStyle w:val="1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11.2甲方无故逾期验收和办理合同款项支付手续的,甲方应按逾期付款总额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每日向乙方支付违约金。</w:t>
      </w:r>
    </w:p>
    <w:p w14:paraId="1AF79638">
      <w:pPr>
        <w:pStyle w:val="1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的违约金，如造成甲方损失超过违约金的，超出部分由乙方继续承担赔偿责任。 </w:t>
      </w:r>
    </w:p>
    <w:p w14:paraId="52212B84">
      <w:pPr>
        <w:pStyle w:val="1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11.4乙方所提供服务的标准不符合合同规定及招标文件规定标准的，甲方有权拒绝接受服务，并可单方面解除合同。</w:t>
      </w:r>
    </w:p>
    <w:p w14:paraId="33F49882">
      <w:pPr>
        <w:pStyle w:val="1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2" w:firstLineChars="200"/>
        <w:jc w:val="both"/>
        <w:textAlignment w:val="auto"/>
        <w:outlineLvl w:val="0"/>
        <w:rPr>
          <w:sz w:val="24"/>
          <w:szCs w:val="24"/>
          <w:highlight w:val="none"/>
        </w:rPr>
      </w:pPr>
      <w:r>
        <w:rPr>
          <w:rFonts w:hint="eastAsia" w:ascii="宋体" w:hAnsi="宋体" w:eastAsia="宋体" w:cs="宋体"/>
          <w:b/>
          <w:color w:val="000000"/>
          <w:sz w:val="24"/>
          <w:szCs w:val="24"/>
          <w:highlight w:val="none"/>
        </w:rPr>
        <w:t>十二、不可抗力事件处理</w:t>
      </w:r>
    </w:p>
    <w:p w14:paraId="6AC8315C">
      <w:pPr>
        <w:pStyle w:val="1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12.1在合同有效期内，任何一方因不可抗力事件导致不能履行合同，则合同履行期可延长，其延长期与不可抗力影响 期相同。</w:t>
      </w:r>
    </w:p>
    <w:p w14:paraId="06EEDF4B">
      <w:pPr>
        <w:pStyle w:val="1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12.2不可抗力事件发生后，应立即通知对方，并寄送有关权威机构出具的证明。</w:t>
      </w:r>
    </w:p>
    <w:p w14:paraId="39C4AE17">
      <w:pPr>
        <w:pStyle w:val="1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12.3不可抗力事件延续120天以上，双方应通过友好协商，确定是否继续履行合同。</w:t>
      </w:r>
    </w:p>
    <w:p w14:paraId="67AF7C86">
      <w:pPr>
        <w:pStyle w:val="1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2" w:firstLineChars="200"/>
        <w:jc w:val="both"/>
        <w:textAlignment w:val="auto"/>
        <w:outlineLvl w:val="0"/>
        <w:rPr>
          <w:sz w:val="24"/>
          <w:szCs w:val="24"/>
          <w:highlight w:val="none"/>
        </w:rPr>
      </w:pPr>
      <w:r>
        <w:rPr>
          <w:rFonts w:hint="eastAsia" w:ascii="宋体" w:hAnsi="宋体" w:eastAsia="宋体" w:cs="宋体"/>
          <w:b/>
          <w:color w:val="000000"/>
          <w:sz w:val="24"/>
          <w:szCs w:val="24"/>
          <w:highlight w:val="none"/>
        </w:rPr>
        <w:t>十三、解决争议的方法</w:t>
      </w:r>
    </w:p>
    <w:p w14:paraId="71315F29">
      <w:pPr>
        <w:pStyle w:val="1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13.1双方在签订、履行合同中所发生的一切争议，应通过友好协商解决。如协商不成，由甲方住所地人民法院管辖。</w:t>
      </w:r>
    </w:p>
    <w:p w14:paraId="0E8DC9C2">
      <w:pPr>
        <w:pStyle w:val="1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2" w:firstLineChars="200"/>
        <w:jc w:val="both"/>
        <w:textAlignment w:val="auto"/>
        <w:outlineLvl w:val="0"/>
        <w:rPr>
          <w:sz w:val="24"/>
          <w:szCs w:val="24"/>
          <w:highlight w:val="none"/>
        </w:rPr>
      </w:pPr>
      <w:r>
        <w:rPr>
          <w:rFonts w:hint="eastAsia" w:ascii="宋体" w:hAnsi="宋体" w:eastAsia="宋体" w:cs="宋体"/>
          <w:b/>
          <w:color w:val="000000"/>
          <w:sz w:val="24"/>
          <w:szCs w:val="24"/>
          <w:highlight w:val="none"/>
        </w:rPr>
        <w:t>十四、合同生效及其</w:t>
      </w:r>
      <w:r>
        <w:rPr>
          <w:rFonts w:hint="eastAsia" w:ascii="宋体" w:hAnsi="宋体" w:eastAsia="宋体" w:cs="宋体"/>
          <w:b/>
          <w:color w:val="000000"/>
          <w:sz w:val="24"/>
          <w:szCs w:val="24"/>
          <w:highlight w:val="none"/>
          <w:lang w:eastAsia="zh-CN"/>
        </w:rPr>
        <w:t>他</w:t>
      </w:r>
    </w:p>
    <w:p w14:paraId="125BC0EA">
      <w:pPr>
        <w:pStyle w:val="1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14.1合同经双方法定代表人或授权委托代表人签字并加盖单位公章后生效。</w:t>
      </w:r>
    </w:p>
    <w:p w14:paraId="0B680B96">
      <w:pPr>
        <w:pStyle w:val="1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color w:val="auto"/>
          <w:sz w:val="24"/>
          <w:szCs w:val="24"/>
          <w:highlight w:val="none"/>
        </w:rPr>
      </w:pPr>
      <w:r>
        <w:rPr>
          <w:rFonts w:hint="eastAsia" w:ascii="宋体" w:hAnsi="宋体" w:eastAsia="宋体" w:cs="宋体"/>
          <w:color w:val="000000"/>
          <w:sz w:val="24"/>
          <w:szCs w:val="24"/>
          <w:highlight w:val="none"/>
        </w:rPr>
        <w:t>14.2本合同未尽事宜</w:t>
      </w:r>
      <w:r>
        <w:rPr>
          <w:rFonts w:hint="eastAsia" w:ascii="宋体" w:hAnsi="宋体" w:eastAsia="宋体" w:cs="宋体"/>
          <w:color w:val="auto"/>
          <w:sz w:val="24"/>
          <w:szCs w:val="24"/>
          <w:highlight w:val="none"/>
        </w:rPr>
        <w:t>，遵照</w:t>
      </w:r>
      <w:r>
        <w:rPr>
          <w:rFonts w:hint="eastAsia" w:ascii="宋体" w:hAnsi="宋体" w:eastAsia="宋体" w:cs="宋体"/>
          <w:color w:val="auto"/>
          <w:highlight w:val="none"/>
          <w:shd w:val="clear" w:color="auto" w:fill="auto"/>
        </w:rPr>
        <w:t>《</w:t>
      </w:r>
      <w:r>
        <w:rPr>
          <w:rFonts w:hint="eastAsia" w:ascii="宋体" w:hAnsi="宋体" w:eastAsia="宋体" w:cs="宋体"/>
          <w:color w:val="auto"/>
          <w:sz w:val="24"/>
          <w:szCs w:val="24"/>
          <w:highlight w:val="none"/>
        </w:rPr>
        <w:t>民法典》、</w:t>
      </w:r>
      <w:r>
        <w:rPr>
          <w:rFonts w:hint="eastAsia" w:ascii="宋体" w:hAnsi="宋体" w:eastAsia="宋体" w:cs="宋体"/>
          <w:color w:val="auto"/>
          <w:highlight w:val="none"/>
          <w:shd w:val="clear" w:color="auto" w:fill="auto"/>
        </w:rPr>
        <w:t>《</w:t>
      </w:r>
      <w:r>
        <w:rPr>
          <w:rFonts w:hint="eastAsia" w:ascii="宋体" w:hAnsi="宋体" w:eastAsia="宋体" w:cs="宋体"/>
          <w:color w:val="auto"/>
          <w:sz w:val="24"/>
          <w:szCs w:val="24"/>
          <w:highlight w:val="none"/>
        </w:rPr>
        <w:t>政府采购法》有关条文执行。</w:t>
      </w:r>
    </w:p>
    <w:p w14:paraId="7AC8DAFE">
      <w:pPr>
        <w:pStyle w:val="1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sz w:val="24"/>
          <w:szCs w:val="24"/>
          <w:highlight w:val="none"/>
        </w:rPr>
      </w:pPr>
      <w:r>
        <w:rPr>
          <w:rFonts w:hint="eastAsia" w:ascii="宋体" w:hAnsi="宋体" w:eastAsia="宋体" w:cs="宋体"/>
          <w:color w:val="auto"/>
          <w:sz w:val="24"/>
          <w:szCs w:val="24"/>
          <w:highlight w:val="none"/>
        </w:rPr>
        <w:t>14.3 本合同正本一式</w:t>
      </w:r>
      <w:r>
        <w:rPr>
          <w:rFonts w:hint="eastAsia" w:ascii="宋体" w:hAnsi="宋体" w:eastAsia="宋体" w:cs="宋体"/>
          <w:color w:val="auto"/>
          <w:sz w:val="24"/>
          <w:szCs w:val="24"/>
          <w:highlight w:val="none"/>
          <w:lang w:eastAsia="zh-CN"/>
        </w:rPr>
        <w:t>三</w:t>
      </w:r>
      <w:r>
        <w:rPr>
          <w:rFonts w:hint="eastAsia" w:ascii="宋体" w:hAnsi="宋体" w:eastAsia="宋体" w:cs="宋体"/>
          <w:color w:val="auto"/>
          <w:sz w:val="24"/>
          <w:szCs w:val="24"/>
          <w:highlight w:val="none"/>
        </w:rPr>
        <w:t>份，具有同等法律效力，甲方、乙方</w:t>
      </w:r>
      <w:r>
        <w:rPr>
          <w:rFonts w:hint="eastAsia" w:ascii="宋体" w:hAnsi="宋体" w:eastAsia="宋体" w:cs="宋体"/>
          <w:color w:val="auto"/>
          <w:sz w:val="24"/>
          <w:szCs w:val="24"/>
          <w:highlight w:val="none"/>
          <w:lang w:val="en-US" w:eastAsia="zh-CN"/>
        </w:rPr>
        <w:t>及招标代理机构</w:t>
      </w:r>
      <w:r>
        <w:rPr>
          <w:rFonts w:hint="eastAsia" w:ascii="宋体" w:hAnsi="宋体" w:eastAsia="宋体" w:cs="宋体"/>
          <w:color w:val="auto"/>
          <w:sz w:val="24"/>
          <w:szCs w:val="24"/>
          <w:highlight w:val="none"/>
        </w:rPr>
        <w:t>各执一份</w:t>
      </w:r>
      <w:r>
        <w:rPr>
          <w:rFonts w:hint="eastAsia" w:ascii="宋体" w:hAnsi="宋体" w:eastAsia="宋体" w:cs="宋体"/>
          <w:color w:val="000000"/>
          <w:sz w:val="24"/>
          <w:szCs w:val="24"/>
          <w:highlight w:val="none"/>
        </w:rPr>
        <w:t>。</w:t>
      </w:r>
    </w:p>
    <w:p w14:paraId="2B85686E">
      <w:pPr>
        <w:pStyle w:val="1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 xml:space="preserve">甲方：                        乙方： </w:t>
      </w:r>
    </w:p>
    <w:p w14:paraId="28624A47">
      <w:pPr>
        <w:pStyle w:val="1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 xml:space="preserve">地址：                        地址： </w:t>
      </w:r>
    </w:p>
    <w:p w14:paraId="31D6EC24">
      <w:pPr>
        <w:pStyle w:val="1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法定代表人或授权代表：        法定代表人或授权代表：</w:t>
      </w:r>
    </w:p>
    <w:p w14:paraId="47E210A7">
      <w:pPr>
        <w:pStyle w:val="1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 xml:space="preserve">联系电话：               联系电话：          </w:t>
      </w:r>
    </w:p>
    <w:p w14:paraId="139F2FD3">
      <w:pPr>
        <w:pStyle w:val="17"/>
        <w:keepNext w:val="0"/>
        <w:keepLines w:val="0"/>
        <w:pageBreakBefore w:val="0"/>
        <w:widowControl w:val="0"/>
        <w:kinsoku/>
        <w:wordWrap/>
        <w:overflowPunct/>
        <w:topLinePunct w:val="0"/>
        <w:autoSpaceDE/>
        <w:autoSpaceDN/>
        <w:bidi w:val="0"/>
        <w:adjustRightInd/>
        <w:snapToGrid/>
        <w:spacing w:beforeAutospacing="0" w:afterAutospacing="0" w:line="520" w:lineRule="exact"/>
        <w:ind w:right="839" w:rightChars="0"/>
        <w:jc w:val="both"/>
        <w:textAlignment w:val="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签订日期：      年    月 </w:t>
      </w:r>
    </w:p>
    <w:p w14:paraId="09CDE4FA">
      <w:pPr>
        <w:pStyle w:val="17"/>
        <w:keepNext w:val="0"/>
        <w:keepLines w:val="0"/>
        <w:pageBreakBefore w:val="0"/>
        <w:widowControl w:val="0"/>
        <w:kinsoku/>
        <w:wordWrap/>
        <w:overflowPunct/>
        <w:topLinePunct w:val="0"/>
        <w:autoSpaceDE/>
        <w:autoSpaceDN/>
        <w:bidi w:val="0"/>
        <w:adjustRightInd/>
        <w:snapToGrid/>
        <w:spacing w:beforeAutospacing="0" w:afterAutospacing="0" w:line="520" w:lineRule="exact"/>
        <w:ind w:right="839" w:rightChars="0"/>
        <w:jc w:val="both"/>
        <w:textAlignment w:val="auto"/>
        <w:outlineLvl w:val="9"/>
        <w:rPr>
          <w:rFonts w:hint="eastAsia" w:ascii="宋体" w:hAnsi="宋体" w:eastAsia="宋体" w:cs="宋体"/>
          <w:color w:val="000000"/>
          <w:sz w:val="24"/>
          <w:szCs w:val="24"/>
          <w:highlight w:val="none"/>
        </w:rPr>
      </w:pPr>
    </w:p>
    <w:p w14:paraId="6FE03DDE">
      <w:pPr>
        <w:pStyle w:val="17"/>
        <w:keepNext w:val="0"/>
        <w:keepLines w:val="0"/>
        <w:pageBreakBefore w:val="0"/>
        <w:widowControl w:val="0"/>
        <w:kinsoku/>
        <w:wordWrap/>
        <w:overflowPunct/>
        <w:topLinePunct w:val="0"/>
        <w:autoSpaceDE/>
        <w:autoSpaceDN/>
        <w:bidi w:val="0"/>
        <w:adjustRightInd/>
        <w:snapToGrid/>
        <w:spacing w:beforeAutospacing="0" w:afterAutospacing="0" w:line="520" w:lineRule="exact"/>
        <w:ind w:right="839" w:rightChars="0"/>
        <w:jc w:val="both"/>
        <w:textAlignment w:val="auto"/>
        <w:outlineLvl w:val="9"/>
        <w:rPr>
          <w:rFonts w:hint="eastAsia" w:ascii="宋体" w:hAnsi="宋体" w:eastAsia="宋体" w:cs="宋体"/>
          <w:color w:val="000000"/>
          <w:sz w:val="24"/>
          <w:szCs w:val="24"/>
          <w:highlight w:val="none"/>
        </w:rPr>
      </w:pPr>
    </w:p>
    <w:p w14:paraId="238E0015">
      <w:pPr>
        <w:pStyle w:val="17"/>
        <w:keepNext w:val="0"/>
        <w:keepLines w:val="0"/>
        <w:pageBreakBefore w:val="0"/>
        <w:widowControl w:val="0"/>
        <w:kinsoku/>
        <w:wordWrap/>
        <w:overflowPunct/>
        <w:topLinePunct w:val="0"/>
        <w:autoSpaceDE/>
        <w:autoSpaceDN/>
        <w:bidi w:val="0"/>
        <w:adjustRightInd/>
        <w:snapToGrid/>
        <w:spacing w:beforeAutospacing="0" w:afterAutospacing="0" w:line="520" w:lineRule="exact"/>
        <w:ind w:right="839" w:rightChars="0"/>
        <w:jc w:val="both"/>
        <w:textAlignment w:val="auto"/>
        <w:outlineLvl w:val="9"/>
        <w:rPr>
          <w:rFonts w:hint="eastAsia" w:ascii="宋体" w:hAnsi="宋体" w:eastAsia="宋体" w:cs="宋体"/>
          <w:color w:val="000000"/>
          <w:sz w:val="24"/>
          <w:szCs w:val="24"/>
          <w:highlight w:val="none"/>
        </w:rPr>
      </w:pPr>
    </w:p>
    <w:p w14:paraId="4210D4CC">
      <w:pPr>
        <w:pStyle w:val="17"/>
        <w:keepNext w:val="0"/>
        <w:keepLines w:val="0"/>
        <w:pageBreakBefore w:val="0"/>
        <w:widowControl w:val="0"/>
        <w:kinsoku/>
        <w:wordWrap/>
        <w:overflowPunct/>
        <w:topLinePunct w:val="0"/>
        <w:autoSpaceDE/>
        <w:autoSpaceDN/>
        <w:bidi w:val="0"/>
        <w:adjustRightInd/>
        <w:snapToGrid/>
        <w:spacing w:beforeAutospacing="0" w:afterAutospacing="0" w:line="520" w:lineRule="exact"/>
        <w:ind w:right="839" w:rightChars="0"/>
        <w:jc w:val="both"/>
        <w:textAlignment w:val="auto"/>
        <w:outlineLvl w:val="9"/>
        <w:rPr>
          <w:rFonts w:hint="eastAsia" w:ascii="宋体" w:hAnsi="宋体" w:eastAsia="宋体" w:cs="宋体"/>
          <w:color w:val="000000"/>
          <w:sz w:val="24"/>
          <w:szCs w:val="24"/>
          <w:highlight w:val="none"/>
        </w:rPr>
      </w:pPr>
    </w:p>
    <w:p w14:paraId="6493DDB8">
      <w:pPr>
        <w:pStyle w:val="17"/>
        <w:keepNext w:val="0"/>
        <w:keepLines w:val="0"/>
        <w:pageBreakBefore w:val="0"/>
        <w:widowControl w:val="0"/>
        <w:kinsoku/>
        <w:wordWrap/>
        <w:overflowPunct/>
        <w:topLinePunct w:val="0"/>
        <w:autoSpaceDE/>
        <w:autoSpaceDN/>
        <w:bidi w:val="0"/>
        <w:adjustRightInd/>
        <w:snapToGrid/>
        <w:spacing w:beforeAutospacing="0" w:afterAutospacing="0" w:line="520" w:lineRule="exact"/>
        <w:ind w:right="839" w:rightChars="0"/>
        <w:jc w:val="both"/>
        <w:textAlignment w:val="auto"/>
        <w:outlineLvl w:val="9"/>
        <w:rPr>
          <w:rFonts w:hint="eastAsia" w:ascii="宋体" w:hAnsi="宋体" w:eastAsia="宋体" w:cs="宋体"/>
          <w:color w:val="000000"/>
          <w:sz w:val="24"/>
          <w:szCs w:val="24"/>
          <w:highlight w:val="none"/>
        </w:rPr>
      </w:pPr>
    </w:p>
    <w:p w14:paraId="2D4EEE03">
      <w:pPr>
        <w:pStyle w:val="17"/>
        <w:keepNext w:val="0"/>
        <w:keepLines w:val="0"/>
        <w:pageBreakBefore w:val="0"/>
        <w:widowControl w:val="0"/>
        <w:kinsoku/>
        <w:wordWrap/>
        <w:overflowPunct/>
        <w:topLinePunct w:val="0"/>
        <w:autoSpaceDE/>
        <w:autoSpaceDN/>
        <w:bidi w:val="0"/>
        <w:adjustRightInd/>
        <w:snapToGrid/>
        <w:spacing w:beforeAutospacing="0" w:afterAutospacing="0" w:line="520" w:lineRule="exact"/>
        <w:ind w:right="839" w:rightChars="0"/>
        <w:jc w:val="both"/>
        <w:textAlignment w:val="auto"/>
        <w:outlineLvl w:val="9"/>
        <w:rPr>
          <w:rFonts w:hint="eastAsia" w:ascii="宋体" w:hAnsi="宋体" w:eastAsia="宋体" w:cs="宋体"/>
          <w:color w:val="000000"/>
          <w:sz w:val="24"/>
          <w:szCs w:val="24"/>
          <w:highlight w:val="none"/>
        </w:rPr>
      </w:pPr>
    </w:p>
    <w:p w14:paraId="65985E7B">
      <w:pPr>
        <w:pStyle w:val="17"/>
        <w:keepNext w:val="0"/>
        <w:keepLines w:val="0"/>
        <w:pageBreakBefore w:val="0"/>
        <w:widowControl w:val="0"/>
        <w:kinsoku/>
        <w:wordWrap/>
        <w:overflowPunct/>
        <w:topLinePunct w:val="0"/>
        <w:autoSpaceDE/>
        <w:autoSpaceDN/>
        <w:bidi w:val="0"/>
        <w:adjustRightInd/>
        <w:snapToGrid/>
        <w:spacing w:beforeAutospacing="0" w:afterAutospacing="0" w:line="520" w:lineRule="exact"/>
        <w:ind w:right="839" w:rightChars="0"/>
        <w:jc w:val="both"/>
        <w:textAlignment w:val="auto"/>
        <w:outlineLvl w:val="9"/>
        <w:rPr>
          <w:rFonts w:hint="eastAsia" w:ascii="宋体" w:hAnsi="宋体" w:eastAsia="宋体" w:cs="宋体"/>
          <w:color w:val="000000"/>
          <w:sz w:val="24"/>
          <w:szCs w:val="24"/>
          <w:highlight w:val="none"/>
        </w:rPr>
      </w:pPr>
    </w:p>
    <w:p w14:paraId="1FA7FE9E">
      <w:pPr>
        <w:pStyle w:val="17"/>
        <w:keepNext w:val="0"/>
        <w:keepLines w:val="0"/>
        <w:pageBreakBefore w:val="0"/>
        <w:widowControl w:val="0"/>
        <w:kinsoku/>
        <w:wordWrap/>
        <w:overflowPunct/>
        <w:topLinePunct w:val="0"/>
        <w:autoSpaceDE/>
        <w:autoSpaceDN/>
        <w:bidi w:val="0"/>
        <w:adjustRightInd/>
        <w:snapToGrid/>
        <w:spacing w:beforeAutospacing="0" w:afterAutospacing="0" w:line="520" w:lineRule="exact"/>
        <w:ind w:right="839" w:rightChars="0"/>
        <w:jc w:val="both"/>
        <w:textAlignment w:val="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bookmarkStart w:id="176" w:name="_Toc479757211"/>
      <w:bookmarkStart w:id="177" w:name="_Hlt16619350"/>
      <w:bookmarkStart w:id="178" w:name="_Toc16938590"/>
      <w:bookmarkStart w:id="179" w:name="_Toc462564139"/>
      <w:bookmarkStart w:id="180" w:name="_Toc120614244"/>
      <w:bookmarkStart w:id="181" w:name="_Toc20823346"/>
      <w:bookmarkStart w:id="182" w:name="_Hlt16619369"/>
    </w:p>
    <w:p w14:paraId="3E04FCAA">
      <w:pPr>
        <w:pStyle w:val="17"/>
        <w:keepNext w:val="0"/>
        <w:keepLines w:val="0"/>
        <w:pageBreakBefore w:val="0"/>
        <w:widowControl w:val="0"/>
        <w:kinsoku/>
        <w:wordWrap/>
        <w:overflowPunct/>
        <w:topLinePunct w:val="0"/>
        <w:autoSpaceDE/>
        <w:autoSpaceDN/>
        <w:bidi w:val="0"/>
        <w:adjustRightInd/>
        <w:snapToGrid/>
        <w:spacing w:beforeAutospacing="0" w:afterAutospacing="0" w:line="520" w:lineRule="exact"/>
        <w:ind w:right="839" w:rightChars="0"/>
        <w:jc w:val="center"/>
        <w:textAlignment w:val="auto"/>
        <w:outlineLvl w:val="0"/>
        <w:rPr>
          <w:rFonts w:hint="eastAsia" w:ascii="宋体" w:hAnsi="宋体" w:eastAsia="宋体" w:cs="宋体"/>
          <w:b/>
          <w:bCs/>
          <w:color w:val="000000"/>
          <w:sz w:val="40"/>
          <w:szCs w:val="40"/>
          <w:highlight w:val="none"/>
        </w:rPr>
      </w:pPr>
      <w:r>
        <w:rPr>
          <w:rFonts w:hint="eastAsia" w:ascii="宋体" w:hAnsi="宋体" w:eastAsia="宋体" w:cs="宋体"/>
          <w:b/>
          <w:bCs/>
          <w:color w:val="000000"/>
          <w:sz w:val="40"/>
          <w:szCs w:val="40"/>
          <w:highlight w:val="none"/>
        </w:rPr>
        <w:t>第</w:t>
      </w:r>
      <w:bookmarkEnd w:id="176"/>
      <w:r>
        <w:rPr>
          <w:rFonts w:hint="eastAsia" w:ascii="宋体" w:hAnsi="宋体" w:eastAsia="宋体" w:cs="宋体"/>
          <w:b/>
          <w:bCs/>
          <w:color w:val="000000"/>
          <w:sz w:val="40"/>
          <w:szCs w:val="40"/>
          <w:highlight w:val="none"/>
        </w:rPr>
        <w:t>四章 采购需求</w:t>
      </w:r>
      <w:bookmarkEnd w:id="177"/>
      <w:bookmarkEnd w:id="178"/>
      <w:bookmarkEnd w:id="179"/>
      <w:bookmarkEnd w:id="180"/>
      <w:bookmarkEnd w:id="181"/>
    </w:p>
    <w:p w14:paraId="7EE32333">
      <w:pPr>
        <w:pStyle w:val="17"/>
        <w:spacing w:beforeAutospacing="0" w:afterAutospacing="0" w:line="0" w:lineRule="atLeast"/>
        <w:ind w:firstLine="480"/>
        <w:jc w:val="both"/>
        <w:rPr>
          <w:rFonts w:hint="eastAsia" w:ascii="宋体" w:hAnsi="宋体" w:eastAsia="宋体" w:cs="宋体"/>
          <w:sz w:val="24"/>
          <w:szCs w:val="24"/>
          <w:highlight w:val="none"/>
        </w:rPr>
      </w:pPr>
      <w:bookmarkStart w:id="183" w:name="_Toc49090575"/>
      <w:bookmarkStart w:id="184" w:name="_Toc26554093"/>
      <w:r>
        <w:rPr>
          <w:rFonts w:hint="eastAsia" w:ascii="宋体" w:hAnsi="宋体" w:eastAsia="宋体" w:cs="宋体"/>
          <w:color w:val="000000"/>
          <w:sz w:val="24"/>
          <w:szCs w:val="24"/>
          <w:highlight w:val="none"/>
        </w:rPr>
        <w:t>项目属性:服务类项目。</w:t>
      </w:r>
      <w:bookmarkEnd w:id="183"/>
      <w:bookmarkEnd w:id="184"/>
      <w:r>
        <w:rPr>
          <w:rFonts w:hint="eastAsia" w:ascii="宋体" w:hAnsi="宋体" w:eastAsia="宋体" w:cs="宋体"/>
          <w:color w:val="000000"/>
          <w:sz w:val="24"/>
          <w:szCs w:val="24"/>
          <w:highlight w:val="none"/>
          <w:lang w:val="en-US" w:eastAsia="zh-CN"/>
        </w:rPr>
        <w:t> </w:t>
      </w:r>
    </w:p>
    <w:p w14:paraId="183F39C8">
      <w:pPr>
        <w:pStyle w:val="17"/>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2" w:firstLineChars="0"/>
        <w:jc w:val="both"/>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一、项目概况</w:t>
      </w:r>
    </w:p>
    <w:p w14:paraId="485AACD9">
      <w:pPr>
        <w:pStyle w:val="17"/>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2"/>
        <w:jc w:val="both"/>
        <w:textAlignment w:val="auto"/>
        <w:rPr>
          <w:rFonts w:hint="eastAsia" w:ascii="宋体" w:hAnsi="宋体" w:eastAsia="宋体" w:cs="宋体"/>
          <w:b/>
          <w:bCs/>
          <w:sz w:val="28"/>
          <w:szCs w:val="28"/>
          <w:highlight w:val="none"/>
        </w:rPr>
      </w:pPr>
      <w:r>
        <w:rPr>
          <w:rFonts w:hint="eastAsia" w:ascii="宋体" w:hAnsi="宋体" w:eastAsia="宋体" w:cs="宋体"/>
          <w:color w:val="000000"/>
        </w:rPr>
        <w:t>为进一步做好优抚安置工作，深入贯彻落实拥军优属政策，关爱优抚对象的身体健康。根据《省政府办公厅关于切实做好优抚安置有关工作的通知》（苏政发[2017]59号）文件和我县《实施方案》，对九类优抚对象（包括残疾军人、烈士遗属、因公牺牲军人遗属、病故军人遗属、在乡老复员军人、带病回乡退伍军人、参战参试退役人员、年满60周岁农村籍退役士兵、满60周岁的烈士子女）每人每年安排一次体检。给每位退役军人的身体状况建立健康档案，制定专项服务计划，更加全面地掌握退役军人的身体状况，提升优抚对象的医疗保障水平，让退役军人更加深切地体会到党和政府对他们的尊重和重视，进一步增强退役军人的社会参与度，提升他们的自豪感、幸福感和荣誉感。</w:t>
      </w:r>
    </w:p>
    <w:p w14:paraId="40A735E0">
      <w:pPr>
        <w:pStyle w:val="17"/>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2" w:firstLineChars="0"/>
        <w:jc w:val="both"/>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二、项目服务内容</w:t>
      </w:r>
    </w:p>
    <w:p w14:paraId="40A9F18F">
      <w:pPr>
        <w:pStyle w:val="17"/>
        <w:keepNext w:val="0"/>
        <w:keepLines w:val="0"/>
        <w:pageBreakBefore w:val="0"/>
        <w:kinsoku/>
        <w:wordWrap/>
        <w:overflowPunct/>
        <w:topLinePunct w:val="0"/>
        <w:autoSpaceDE/>
        <w:autoSpaceDN/>
        <w:bidi w:val="0"/>
        <w:adjustRightInd/>
        <w:snapToGrid/>
        <w:spacing w:beforeAutospacing="0" w:afterAutospacing="0" w:line="360" w:lineRule="exact"/>
        <w:ind w:firstLine="482"/>
        <w:jc w:val="both"/>
        <w:textAlignment w:val="auto"/>
        <w:rPr>
          <w:rFonts w:hint="eastAsia" w:ascii="宋体" w:hAnsi="宋体" w:eastAsia="宋体" w:cs="宋体"/>
          <w:color w:val="000000"/>
        </w:rPr>
      </w:pPr>
      <w:r>
        <w:rPr>
          <w:rFonts w:hint="eastAsia" w:ascii="宋体" w:hAnsi="宋体" w:eastAsia="宋体" w:cs="宋体"/>
          <w:color w:val="000000"/>
        </w:rPr>
        <w:t>1、本次招标服务对象：约为6</w:t>
      </w:r>
      <w:r>
        <w:rPr>
          <w:rFonts w:hint="eastAsia" w:ascii="宋体" w:hAnsi="宋体" w:cs="宋体"/>
          <w:color w:val="000000"/>
          <w:lang w:val="en-US" w:eastAsia="zh-CN"/>
        </w:rPr>
        <w:t>110</w:t>
      </w:r>
      <w:r>
        <w:rPr>
          <w:rFonts w:hint="eastAsia" w:ascii="宋体" w:hAnsi="宋体" w:eastAsia="宋体" w:cs="宋体"/>
          <w:color w:val="000000"/>
        </w:rPr>
        <w:t>人次的健康体检服务（对象为九类优抚对象，包括残疾军人、烈士遗属、因公牺牲军人遗属、病故军人遗属、在乡老复员军人、带病回乡退伍军人、参战参试退役人员、年满60周岁农村籍退役士兵、满60周岁的烈士子女人数</w:t>
      </w:r>
      <w:r>
        <w:rPr>
          <w:rFonts w:hint="eastAsia" w:ascii="宋体" w:hAnsi="宋体" w:eastAsia="宋体" w:cs="宋体"/>
          <w:color w:val="000000"/>
          <w:lang w:val="en-US" w:eastAsia="zh-CN"/>
        </w:rPr>
        <w:t>约</w:t>
      </w:r>
      <w:r>
        <w:rPr>
          <w:rFonts w:hint="eastAsia" w:ascii="宋体" w:hAnsi="宋体" w:eastAsia="宋体" w:cs="宋体"/>
          <w:color w:val="000000"/>
        </w:rPr>
        <w:t>为5</w:t>
      </w:r>
      <w:r>
        <w:rPr>
          <w:rFonts w:hint="eastAsia" w:ascii="宋体" w:hAnsi="宋体" w:cs="宋体"/>
          <w:color w:val="000000"/>
          <w:lang w:val="en-US" w:eastAsia="zh-CN"/>
        </w:rPr>
        <w:t>8</w:t>
      </w:r>
      <w:r>
        <w:rPr>
          <w:rFonts w:hint="eastAsia" w:ascii="宋体" w:hAnsi="宋体" w:eastAsia="宋体" w:cs="宋体"/>
          <w:color w:val="000000"/>
        </w:rPr>
        <w:t>00人，困难企业军转干约为3</w:t>
      </w:r>
      <w:r>
        <w:rPr>
          <w:rFonts w:hint="eastAsia" w:ascii="宋体" w:hAnsi="宋体" w:cs="宋体"/>
          <w:color w:val="000000"/>
          <w:lang w:val="en-US" w:eastAsia="zh-CN"/>
        </w:rPr>
        <w:t>10</w:t>
      </w:r>
      <w:r>
        <w:rPr>
          <w:rFonts w:hint="eastAsia" w:ascii="宋体" w:hAnsi="宋体" w:eastAsia="宋体" w:cs="宋体"/>
          <w:color w:val="000000"/>
        </w:rPr>
        <w:t>人）。</w:t>
      </w:r>
    </w:p>
    <w:p w14:paraId="10A87621">
      <w:pPr>
        <w:pStyle w:val="17"/>
        <w:keepNext w:val="0"/>
        <w:keepLines w:val="0"/>
        <w:pageBreakBefore w:val="0"/>
        <w:kinsoku/>
        <w:wordWrap/>
        <w:overflowPunct/>
        <w:topLinePunct w:val="0"/>
        <w:autoSpaceDE/>
        <w:autoSpaceDN/>
        <w:bidi w:val="0"/>
        <w:adjustRightInd/>
        <w:snapToGrid/>
        <w:spacing w:beforeAutospacing="0" w:afterAutospacing="0" w:line="360" w:lineRule="exact"/>
        <w:ind w:firstLine="482"/>
        <w:jc w:val="both"/>
        <w:textAlignment w:val="auto"/>
        <w:rPr>
          <w:rFonts w:hint="eastAsia" w:ascii="宋体" w:hAnsi="宋体" w:eastAsia="宋体" w:cs="宋体"/>
          <w:color w:val="auto"/>
        </w:rPr>
      </w:pPr>
      <w:r>
        <w:rPr>
          <w:rFonts w:hint="eastAsia" w:ascii="宋体" w:hAnsi="宋体" w:eastAsia="宋体" w:cs="宋体"/>
          <w:color w:val="000000"/>
        </w:rPr>
        <w:t>2、本次招标服务范围包括：</w:t>
      </w:r>
      <w:r>
        <w:rPr>
          <w:rFonts w:hint="eastAsia" w:ascii="宋体" w:hAnsi="宋体" w:cs="宋体"/>
          <w:color w:val="000000"/>
          <w:lang w:val="en-US" w:eastAsia="zh-CN"/>
        </w:rPr>
        <w:t>投标人</w:t>
      </w:r>
      <w:r>
        <w:rPr>
          <w:rFonts w:hint="eastAsia" w:ascii="宋体" w:hAnsi="宋体" w:eastAsia="宋体" w:cs="宋体"/>
          <w:color w:val="000000"/>
        </w:rPr>
        <w:t>需设有专门的体检接待场所并有专人接待、专人服务、专人引导、热情服务；为参加体检的人员提供免费早餐、体检、健康状况评估报告、健康咨询和结果解释等服务；</w:t>
      </w:r>
      <w:bookmarkStart w:id="185" w:name="_Hlk172694549"/>
      <w:r>
        <w:rPr>
          <w:rFonts w:hint="eastAsia" w:ascii="宋体" w:hAnsi="宋体" w:cs="宋体"/>
          <w:color w:val="auto"/>
          <w:lang w:val="en-US" w:eastAsia="zh-CN"/>
        </w:rPr>
        <w:t>投标人</w:t>
      </w:r>
      <w:r>
        <w:rPr>
          <w:rFonts w:hint="eastAsia" w:ascii="宋体" w:hAnsi="宋体" w:eastAsia="宋体" w:cs="宋体"/>
          <w:color w:val="auto"/>
        </w:rPr>
        <w:t>须提供专业的网络体检管理系统，安装部署在采购人指定设备上，便于采购人实时查询监督体检的服务情况</w:t>
      </w:r>
      <w:bookmarkEnd w:id="185"/>
      <w:r>
        <w:rPr>
          <w:rFonts w:hint="eastAsia" w:ascii="宋体" w:hAnsi="宋体" w:eastAsia="宋体" w:cs="宋体"/>
          <w:color w:val="auto"/>
        </w:rPr>
        <w:t>。系统功能须包括档案建立、登记接待、报告录入/导入、体检数据异常报警、各类报表的生成/浏览/打印、多种模式的数据查询统计、数据持久性存储、人员权限、分级查询等。</w:t>
      </w:r>
    </w:p>
    <w:p w14:paraId="2E6B405E">
      <w:pPr>
        <w:keepNext w:val="0"/>
        <w:keepLines w:val="0"/>
        <w:pageBreakBefore w:val="0"/>
        <w:widowControl/>
        <w:shd w:val="clear" w:color="auto" w:fill="FFFFFF"/>
        <w:kinsoku/>
        <w:wordWrap/>
        <w:overflowPunct/>
        <w:topLinePunct w:val="0"/>
        <w:autoSpaceDE/>
        <w:autoSpaceDN/>
        <w:bidi w:val="0"/>
        <w:adjustRightInd/>
        <w:snapToGrid/>
        <w:spacing w:line="360" w:lineRule="exact"/>
        <w:ind w:firstLine="482"/>
        <w:jc w:val="left"/>
        <w:textAlignment w:val="auto"/>
        <w:rPr>
          <w:rFonts w:hint="eastAsia" w:ascii="宋体" w:hAnsi="宋体" w:eastAsia="宋体" w:cs="宋体"/>
          <w:color w:val="auto"/>
          <w:sz w:val="24"/>
        </w:rPr>
      </w:pPr>
      <w:r>
        <w:rPr>
          <w:rFonts w:hint="eastAsia" w:ascii="宋体" w:hAnsi="宋体" w:cs="宋体"/>
          <w:sz w:val="24"/>
          <w:lang w:val="en-US" w:eastAsia="zh-CN"/>
        </w:rPr>
        <w:t>3</w:t>
      </w:r>
      <w:r>
        <w:rPr>
          <w:rFonts w:hint="eastAsia" w:ascii="宋体" w:hAnsi="宋体" w:eastAsia="宋体" w:cs="宋体"/>
          <w:sz w:val="24"/>
        </w:rPr>
        <w:t>、合同</w:t>
      </w:r>
      <w:r>
        <w:rPr>
          <w:rFonts w:hint="eastAsia" w:ascii="宋体" w:hAnsi="宋体" w:eastAsia="宋体" w:cs="宋体"/>
          <w:color w:val="auto"/>
          <w:sz w:val="24"/>
        </w:rPr>
        <w:t>履约期限：合同期2年，自签订合同之日起至2027年12月31日。</w:t>
      </w:r>
    </w:p>
    <w:p w14:paraId="0871258F">
      <w:pPr>
        <w:keepNext w:val="0"/>
        <w:keepLines w:val="0"/>
        <w:pageBreakBefore w:val="0"/>
        <w:widowControl/>
        <w:shd w:val="clear" w:color="auto" w:fill="FFFFFF"/>
        <w:kinsoku/>
        <w:wordWrap/>
        <w:overflowPunct/>
        <w:topLinePunct w:val="0"/>
        <w:autoSpaceDE/>
        <w:autoSpaceDN/>
        <w:bidi w:val="0"/>
        <w:adjustRightInd/>
        <w:snapToGrid/>
        <w:spacing w:line="360" w:lineRule="exact"/>
        <w:ind w:firstLine="482" w:firstLineChars="0"/>
        <w:jc w:val="left"/>
        <w:textAlignment w:val="auto"/>
        <w:outlineLvl w:val="9"/>
        <w:rPr>
          <w:rFonts w:hint="eastAsia" w:ascii="宋体" w:hAnsi="宋体" w:eastAsia="宋体" w:cs="宋体"/>
          <w:sz w:val="24"/>
        </w:rPr>
      </w:pPr>
      <w:r>
        <w:rPr>
          <w:rFonts w:hint="eastAsia" w:ascii="宋体" w:hAnsi="宋体" w:cs="宋体"/>
          <w:sz w:val="24"/>
          <w:lang w:val="en-US" w:eastAsia="zh-CN"/>
        </w:rPr>
        <w:t>4</w:t>
      </w:r>
      <w:r>
        <w:rPr>
          <w:rFonts w:hint="eastAsia" w:ascii="宋体" w:hAnsi="宋体" w:eastAsia="宋体" w:cs="宋体"/>
          <w:sz w:val="24"/>
        </w:rPr>
        <w:t>、地点：中标人提供服务地点。</w:t>
      </w:r>
    </w:p>
    <w:p w14:paraId="656FAC2D">
      <w:pPr>
        <w:pStyle w:val="17"/>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2" w:firstLineChars="0"/>
        <w:jc w:val="both"/>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三、每人体检项目</w:t>
      </w:r>
    </w:p>
    <w:p w14:paraId="5AECCDFF">
      <w:pPr>
        <w:kinsoku w:val="0"/>
        <w:overflowPunct w:val="0"/>
        <w:autoSpaceDE w:val="0"/>
        <w:autoSpaceDN w:val="0"/>
        <w:adjustRightInd w:val="0"/>
        <w:spacing w:before="9" w:line="120" w:lineRule="exact"/>
        <w:rPr>
          <w:rFonts w:hint="eastAsia" w:ascii="宋体" w:hAnsi="宋体" w:eastAsia="宋体" w:cs="宋体"/>
          <w:color w:val="000000"/>
          <w:szCs w:val="21"/>
        </w:rPr>
      </w:pPr>
    </w:p>
    <w:tbl>
      <w:tblPr>
        <w:tblStyle w:val="19"/>
        <w:tblW w:w="4956" w:type="pct"/>
        <w:tblInd w:w="0" w:type="dxa"/>
        <w:tblLayout w:type="autofit"/>
        <w:tblCellMar>
          <w:top w:w="0" w:type="dxa"/>
          <w:left w:w="108" w:type="dxa"/>
          <w:bottom w:w="0" w:type="dxa"/>
          <w:right w:w="108" w:type="dxa"/>
        </w:tblCellMar>
      </w:tblPr>
      <w:tblGrid>
        <w:gridCol w:w="2151"/>
        <w:gridCol w:w="7616"/>
      </w:tblGrid>
      <w:tr w14:paraId="400FE805">
        <w:tblPrEx>
          <w:tblCellMar>
            <w:top w:w="0" w:type="dxa"/>
            <w:left w:w="108" w:type="dxa"/>
            <w:bottom w:w="0" w:type="dxa"/>
            <w:right w:w="108" w:type="dxa"/>
          </w:tblCellMar>
        </w:tblPrEx>
        <w:trPr>
          <w:trHeight w:val="312" w:hRule="atLeast"/>
        </w:trPr>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8C1465">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项目</w:t>
            </w:r>
          </w:p>
        </w:tc>
        <w:tc>
          <w:tcPr>
            <w:tcW w:w="38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431F19">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细 项</w:t>
            </w:r>
          </w:p>
        </w:tc>
      </w:tr>
      <w:tr w14:paraId="70B81461">
        <w:tblPrEx>
          <w:tblCellMar>
            <w:top w:w="0" w:type="dxa"/>
            <w:left w:w="108" w:type="dxa"/>
            <w:bottom w:w="0" w:type="dxa"/>
            <w:right w:w="108" w:type="dxa"/>
          </w:tblCellMar>
        </w:tblPrEx>
        <w:trPr>
          <w:trHeight w:val="312" w:hRule="atLeast"/>
        </w:trPr>
        <w:tc>
          <w:tcPr>
            <w:tcW w:w="110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D5BE16">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形体机能</w:t>
            </w:r>
          </w:p>
        </w:tc>
        <w:tc>
          <w:tcPr>
            <w:tcW w:w="3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98CF1">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身高</w:t>
            </w:r>
            <w:r>
              <w:rPr>
                <w:rFonts w:hint="eastAsia" w:ascii="宋体" w:hAnsi="宋体" w:eastAsia="宋体" w:cs="宋体"/>
                <w:color w:val="000000"/>
                <w:sz w:val="24"/>
                <w:lang w:val="en-US" w:eastAsia="zh-CN"/>
              </w:rPr>
              <w:t>/</w:t>
            </w:r>
            <w:r>
              <w:rPr>
                <w:rFonts w:hint="eastAsia" w:ascii="宋体" w:hAnsi="宋体" w:eastAsia="宋体" w:cs="宋体"/>
                <w:color w:val="000000"/>
                <w:sz w:val="24"/>
              </w:rPr>
              <w:t>体重</w:t>
            </w:r>
          </w:p>
        </w:tc>
      </w:tr>
      <w:tr w14:paraId="1A6FB18A">
        <w:tblPrEx>
          <w:tblCellMar>
            <w:top w:w="0" w:type="dxa"/>
            <w:left w:w="108" w:type="dxa"/>
            <w:bottom w:w="0" w:type="dxa"/>
            <w:right w:w="108" w:type="dxa"/>
          </w:tblCellMar>
        </w:tblPrEx>
        <w:trPr>
          <w:trHeight w:val="312" w:hRule="atLeast"/>
        </w:trPr>
        <w:tc>
          <w:tcPr>
            <w:tcW w:w="11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CF03C0">
            <w:pPr>
              <w:jc w:val="center"/>
              <w:rPr>
                <w:rFonts w:hint="eastAsia" w:ascii="宋体" w:hAnsi="宋体" w:eastAsia="宋体" w:cs="宋体"/>
                <w:color w:val="000000"/>
                <w:sz w:val="24"/>
              </w:rPr>
            </w:pPr>
          </w:p>
        </w:tc>
        <w:tc>
          <w:tcPr>
            <w:tcW w:w="3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4051B">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血压</w:t>
            </w:r>
          </w:p>
        </w:tc>
      </w:tr>
      <w:tr w14:paraId="6705774C">
        <w:tblPrEx>
          <w:tblCellMar>
            <w:top w:w="0" w:type="dxa"/>
            <w:left w:w="108" w:type="dxa"/>
            <w:bottom w:w="0" w:type="dxa"/>
            <w:right w:w="108" w:type="dxa"/>
          </w:tblCellMar>
        </w:tblPrEx>
        <w:trPr>
          <w:trHeight w:val="312" w:hRule="atLeast"/>
        </w:trPr>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1F754">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眼科检查</w:t>
            </w:r>
          </w:p>
        </w:tc>
        <w:tc>
          <w:tcPr>
            <w:tcW w:w="38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A77F3D">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视力、沙眼、结膜炎</w:t>
            </w:r>
          </w:p>
        </w:tc>
      </w:tr>
      <w:tr w14:paraId="1D4CE614">
        <w:tblPrEx>
          <w:tblCellMar>
            <w:top w:w="0" w:type="dxa"/>
            <w:left w:w="108" w:type="dxa"/>
            <w:bottom w:w="0" w:type="dxa"/>
            <w:right w:w="108" w:type="dxa"/>
          </w:tblCellMar>
        </w:tblPrEx>
        <w:trPr>
          <w:trHeight w:val="312" w:hRule="atLeast"/>
        </w:trPr>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2C089">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血糖</w:t>
            </w:r>
          </w:p>
        </w:tc>
        <w:tc>
          <w:tcPr>
            <w:tcW w:w="38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B16710">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血糖水平</w:t>
            </w:r>
          </w:p>
        </w:tc>
      </w:tr>
      <w:tr w14:paraId="3C0CA0FD">
        <w:tblPrEx>
          <w:tblCellMar>
            <w:top w:w="0" w:type="dxa"/>
            <w:left w:w="108" w:type="dxa"/>
            <w:bottom w:w="0" w:type="dxa"/>
            <w:right w:w="108" w:type="dxa"/>
          </w:tblCellMar>
        </w:tblPrEx>
        <w:trPr>
          <w:trHeight w:val="312" w:hRule="atLeast"/>
        </w:trPr>
        <w:tc>
          <w:tcPr>
            <w:tcW w:w="1101"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A80CD">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风湿四项</w:t>
            </w:r>
          </w:p>
        </w:tc>
        <w:tc>
          <w:tcPr>
            <w:tcW w:w="38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DD60F3">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类风湿因子测定</w:t>
            </w:r>
          </w:p>
        </w:tc>
      </w:tr>
      <w:tr w14:paraId="4A3030ED">
        <w:tblPrEx>
          <w:tblCellMar>
            <w:top w:w="0" w:type="dxa"/>
            <w:left w:w="108" w:type="dxa"/>
            <w:bottom w:w="0" w:type="dxa"/>
            <w:right w:w="108" w:type="dxa"/>
          </w:tblCellMar>
        </w:tblPrEx>
        <w:trPr>
          <w:trHeight w:val="312" w:hRule="atLeast"/>
        </w:trPr>
        <w:tc>
          <w:tcPr>
            <w:tcW w:w="110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48F09">
            <w:pPr>
              <w:jc w:val="center"/>
              <w:rPr>
                <w:rFonts w:hint="eastAsia" w:ascii="宋体" w:hAnsi="宋体" w:eastAsia="宋体" w:cs="宋体"/>
                <w:color w:val="000000"/>
                <w:sz w:val="24"/>
              </w:rPr>
            </w:pPr>
          </w:p>
        </w:tc>
        <w:tc>
          <w:tcPr>
            <w:tcW w:w="38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6B12BA">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抗链球菌溶血素O测定</w:t>
            </w:r>
          </w:p>
        </w:tc>
      </w:tr>
      <w:tr w14:paraId="1C8DFA81">
        <w:tblPrEx>
          <w:tblCellMar>
            <w:top w:w="0" w:type="dxa"/>
            <w:left w:w="108" w:type="dxa"/>
            <w:bottom w:w="0" w:type="dxa"/>
            <w:right w:w="108" w:type="dxa"/>
          </w:tblCellMar>
        </w:tblPrEx>
        <w:trPr>
          <w:trHeight w:val="312" w:hRule="atLeast"/>
        </w:trPr>
        <w:tc>
          <w:tcPr>
            <w:tcW w:w="110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CB4F5">
            <w:pPr>
              <w:jc w:val="center"/>
              <w:rPr>
                <w:rFonts w:hint="eastAsia" w:ascii="宋体" w:hAnsi="宋体" w:eastAsia="宋体" w:cs="宋体"/>
                <w:color w:val="000000"/>
                <w:sz w:val="24"/>
              </w:rPr>
            </w:pPr>
          </w:p>
        </w:tc>
        <w:tc>
          <w:tcPr>
            <w:tcW w:w="38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F08D72">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C-反应蛋白测定</w:t>
            </w:r>
          </w:p>
        </w:tc>
      </w:tr>
      <w:tr w14:paraId="6A07F8F3">
        <w:tblPrEx>
          <w:tblCellMar>
            <w:top w:w="0" w:type="dxa"/>
            <w:left w:w="108" w:type="dxa"/>
            <w:bottom w:w="0" w:type="dxa"/>
            <w:right w:w="108" w:type="dxa"/>
          </w:tblCellMar>
        </w:tblPrEx>
        <w:trPr>
          <w:trHeight w:val="312" w:hRule="atLeast"/>
        </w:trPr>
        <w:tc>
          <w:tcPr>
            <w:tcW w:w="110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88EC3">
            <w:pPr>
              <w:jc w:val="center"/>
              <w:rPr>
                <w:rFonts w:hint="eastAsia" w:ascii="宋体" w:hAnsi="宋体" w:eastAsia="宋体" w:cs="宋体"/>
                <w:color w:val="000000"/>
                <w:sz w:val="24"/>
              </w:rPr>
            </w:pPr>
          </w:p>
        </w:tc>
        <w:tc>
          <w:tcPr>
            <w:tcW w:w="38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B669A9">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血红细胞沉降率测定</w:t>
            </w:r>
          </w:p>
        </w:tc>
      </w:tr>
      <w:tr w14:paraId="3F43D854">
        <w:tblPrEx>
          <w:tblCellMar>
            <w:top w:w="0" w:type="dxa"/>
            <w:left w:w="108" w:type="dxa"/>
            <w:bottom w:w="0" w:type="dxa"/>
            <w:right w:w="108" w:type="dxa"/>
          </w:tblCellMar>
        </w:tblPrEx>
        <w:trPr>
          <w:trHeight w:val="312" w:hRule="atLeast"/>
        </w:trPr>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C899B">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HP</w:t>
            </w:r>
          </w:p>
        </w:tc>
        <w:tc>
          <w:tcPr>
            <w:tcW w:w="38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AEB056">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幽门螺旋杆菌</w:t>
            </w:r>
          </w:p>
        </w:tc>
      </w:tr>
      <w:tr w14:paraId="14E9C7C6">
        <w:tblPrEx>
          <w:tblCellMar>
            <w:top w:w="0" w:type="dxa"/>
            <w:left w:w="108" w:type="dxa"/>
            <w:bottom w:w="0" w:type="dxa"/>
            <w:right w:w="108" w:type="dxa"/>
          </w:tblCellMar>
        </w:tblPrEx>
        <w:trPr>
          <w:trHeight w:val="312" w:hRule="atLeast"/>
        </w:trPr>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B9AEC">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心肌酶谱</w:t>
            </w:r>
          </w:p>
        </w:tc>
        <w:tc>
          <w:tcPr>
            <w:tcW w:w="38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6A577">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心肌酶</w:t>
            </w:r>
          </w:p>
        </w:tc>
      </w:tr>
      <w:tr w14:paraId="5BCCB736">
        <w:tblPrEx>
          <w:tblCellMar>
            <w:top w:w="0" w:type="dxa"/>
            <w:left w:w="108" w:type="dxa"/>
            <w:bottom w:w="0" w:type="dxa"/>
            <w:right w:w="108" w:type="dxa"/>
          </w:tblCellMar>
        </w:tblPrEx>
        <w:trPr>
          <w:trHeight w:val="312" w:hRule="atLeast"/>
        </w:trPr>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424C2">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CEA</w:t>
            </w:r>
          </w:p>
        </w:tc>
        <w:tc>
          <w:tcPr>
            <w:tcW w:w="38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CE5A86">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癌胚抗原</w:t>
            </w:r>
          </w:p>
        </w:tc>
      </w:tr>
      <w:tr w14:paraId="08B86BB2">
        <w:tblPrEx>
          <w:tblCellMar>
            <w:top w:w="0" w:type="dxa"/>
            <w:left w:w="108" w:type="dxa"/>
            <w:bottom w:w="0" w:type="dxa"/>
            <w:right w:w="108" w:type="dxa"/>
          </w:tblCellMar>
        </w:tblPrEx>
        <w:trPr>
          <w:trHeight w:val="312" w:hRule="atLeast"/>
        </w:trPr>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3E9BE">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TPSA</w:t>
            </w:r>
          </w:p>
        </w:tc>
        <w:tc>
          <w:tcPr>
            <w:tcW w:w="38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DC1077">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总前列腺特异性抗原</w:t>
            </w:r>
          </w:p>
        </w:tc>
      </w:tr>
      <w:tr w14:paraId="059025F4">
        <w:tblPrEx>
          <w:tblCellMar>
            <w:top w:w="0" w:type="dxa"/>
            <w:left w:w="108" w:type="dxa"/>
            <w:bottom w:w="0" w:type="dxa"/>
            <w:right w:w="108" w:type="dxa"/>
          </w:tblCellMar>
        </w:tblPrEx>
        <w:trPr>
          <w:trHeight w:val="312" w:hRule="atLeast"/>
        </w:trPr>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23753">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血常规</w:t>
            </w:r>
          </w:p>
        </w:tc>
        <w:tc>
          <w:tcPr>
            <w:tcW w:w="38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518EA7">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血常规</w:t>
            </w:r>
          </w:p>
        </w:tc>
      </w:tr>
      <w:tr w14:paraId="011A455B">
        <w:tblPrEx>
          <w:tblCellMar>
            <w:top w:w="0" w:type="dxa"/>
            <w:left w:w="108" w:type="dxa"/>
            <w:bottom w:w="0" w:type="dxa"/>
            <w:right w:w="108" w:type="dxa"/>
          </w:tblCellMar>
        </w:tblPrEx>
        <w:trPr>
          <w:trHeight w:val="312" w:hRule="atLeast"/>
        </w:trPr>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71BDD">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血脂四项</w:t>
            </w:r>
          </w:p>
        </w:tc>
        <w:tc>
          <w:tcPr>
            <w:tcW w:w="38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D3A306">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胆固醇、甘油三脂等四项</w:t>
            </w:r>
          </w:p>
        </w:tc>
      </w:tr>
      <w:tr w14:paraId="24298613">
        <w:tblPrEx>
          <w:tblCellMar>
            <w:top w:w="0" w:type="dxa"/>
            <w:left w:w="108" w:type="dxa"/>
            <w:bottom w:w="0" w:type="dxa"/>
            <w:right w:w="108" w:type="dxa"/>
          </w:tblCellMar>
        </w:tblPrEx>
        <w:trPr>
          <w:trHeight w:val="312" w:hRule="atLeast"/>
        </w:trPr>
        <w:tc>
          <w:tcPr>
            <w:tcW w:w="1101"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2C543">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肝功能</w:t>
            </w:r>
          </w:p>
        </w:tc>
        <w:tc>
          <w:tcPr>
            <w:tcW w:w="3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895E1">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总蛋白</w:t>
            </w:r>
          </w:p>
        </w:tc>
      </w:tr>
      <w:tr w14:paraId="42DCB04B">
        <w:tblPrEx>
          <w:tblCellMar>
            <w:top w:w="0" w:type="dxa"/>
            <w:left w:w="108" w:type="dxa"/>
            <w:bottom w:w="0" w:type="dxa"/>
            <w:right w:w="108" w:type="dxa"/>
          </w:tblCellMar>
        </w:tblPrEx>
        <w:trPr>
          <w:trHeight w:val="312" w:hRule="atLeast"/>
        </w:trPr>
        <w:tc>
          <w:tcPr>
            <w:tcW w:w="110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0459A">
            <w:pPr>
              <w:jc w:val="center"/>
              <w:rPr>
                <w:rFonts w:hint="eastAsia" w:ascii="宋体" w:hAnsi="宋体" w:eastAsia="宋体" w:cs="宋体"/>
                <w:color w:val="000000"/>
                <w:sz w:val="24"/>
              </w:rPr>
            </w:pPr>
          </w:p>
        </w:tc>
        <w:tc>
          <w:tcPr>
            <w:tcW w:w="3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D11A5">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白蛋白</w:t>
            </w:r>
          </w:p>
        </w:tc>
      </w:tr>
      <w:tr w14:paraId="6F0450C2">
        <w:trPr>
          <w:trHeight w:val="312" w:hRule="atLeast"/>
        </w:trPr>
        <w:tc>
          <w:tcPr>
            <w:tcW w:w="110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0DB75">
            <w:pPr>
              <w:jc w:val="center"/>
              <w:rPr>
                <w:rFonts w:hint="eastAsia" w:ascii="宋体" w:hAnsi="宋体" w:eastAsia="宋体" w:cs="宋体"/>
                <w:color w:val="000000"/>
                <w:sz w:val="24"/>
              </w:rPr>
            </w:pPr>
          </w:p>
        </w:tc>
        <w:tc>
          <w:tcPr>
            <w:tcW w:w="3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FF870">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球蛋白</w:t>
            </w:r>
          </w:p>
        </w:tc>
      </w:tr>
      <w:tr w14:paraId="1605E783">
        <w:tblPrEx>
          <w:tblCellMar>
            <w:top w:w="0" w:type="dxa"/>
            <w:left w:w="108" w:type="dxa"/>
            <w:bottom w:w="0" w:type="dxa"/>
            <w:right w:w="108" w:type="dxa"/>
          </w:tblCellMar>
        </w:tblPrEx>
        <w:trPr>
          <w:trHeight w:val="312" w:hRule="atLeast"/>
        </w:trPr>
        <w:tc>
          <w:tcPr>
            <w:tcW w:w="110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1BFB1">
            <w:pPr>
              <w:jc w:val="center"/>
              <w:rPr>
                <w:rFonts w:hint="eastAsia" w:ascii="宋体" w:hAnsi="宋体" w:eastAsia="宋体" w:cs="宋体"/>
                <w:color w:val="000000"/>
                <w:sz w:val="24"/>
              </w:rPr>
            </w:pPr>
          </w:p>
        </w:tc>
        <w:tc>
          <w:tcPr>
            <w:tcW w:w="3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3D353">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r谷氨酰酶</w:t>
            </w:r>
          </w:p>
        </w:tc>
      </w:tr>
      <w:tr w14:paraId="4B7A8F7F">
        <w:tblPrEx>
          <w:tblCellMar>
            <w:top w:w="0" w:type="dxa"/>
            <w:left w:w="108" w:type="dxa"/>
            <w:bottom w:w="0" w:type="dxa"/>
            <w:right w:w="108" w:type="dxa"/>
          </w:tblCellMar>
        </w:tblPrEx>
        <w:trPr>
          <w:trHeight w:val="312" w:hRule="atLeast"/>
        </w:trPr>
        <w:tc>
          <w:tcPr>
            <w:tcW w:w="110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A4E2D">
            <w:pPr>
              <w:jc w:val="center"/>
              <w:rPr>
                <w:rFonts w:hint="eastAsia" w:ascii="宋体" w:hAnsi="宋体" w:eastAsia="宋体" w:cs="宋体"/>
                <w:color w:val="000000"/>
                <w:sz w:val="24"/>
              </w:rPr>
            </w:pPr>
          </w:p>
        </w:tc>
        <w:tc>
          <w:tcPr>
            <w:tcW w:w="3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0170F">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谷丙转氨酶</w:t>
            </w:r>
          </w:p>
        </w:tc>
      </w:tr>
      <w:tr w14:paraId="43D5E764">
        <w:tblPrEx>
          <w:tblCellMar>
            <w:top w:w="0" w:type="dxa"/>
            <w:left w:w="108" w:type="dxa"/>
            <w:bottom w:w="0" w:type="dxa"/>
            <w:right w:w="108" w:type="dxa"/>
          </w:tblCellMar>
        </w:tblPrEx>
        <w:trPr>
          <w:trHeight w:val="312" w:hRule="atLeast"/>
        </w:trPr>
        <w:tc>
          <w:tcPr>
            <w:tcW w:w="110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FBF00">
            <w:pPr>
              <w:jc w:val="center"/>
              <w:rPr>
                <w:rFonts w:hint="eastAsia" w:ascii="宋体" w:hAnsi="宋体" w:eastAsia="宋体" w:cs="宋体"/>
                <w:color w:val="000000"/>
                <w:sz w:val="24"/>
              </w:rPr>
            </w:pPr>
          </w:p>
        </w:tc>
        <w:tc>
          <w:tcPr>
            <w:tcW w:w="3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9230E">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谷草转氨酶</w:t>
            </w:r>
          </w:p>
        </w:tc>
      </w:tr>
      <w:tr w14:paraId="336F3D56">
        <w:tblPrEx>
          <w:tblCellMar>
            <w:top w:w="0" w:type="dxa"/>
            <w:left w:w="108" w:type="dxa"/>
            <w:bottom w:w="0" w:type="dxa"/>
            <w:right w:w="108" w:type="dxa"/>
          </w:tblCellMar>
        </w:tblPrEx>
        <w:trPr>
          <w:trHeight w:val="312" w:hRule="atLeast"/>
        </w:trPr>
        <w:tc>
          <w:tcPr>
            <w:tcW w:w="110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E86C6">
            <w:pPr>
              <w:jc w:val="center"/>
              <w:rPr>
                <w:rFonts w:hint="eastAsia" w:ascii="宋体" w:hAnsi="宋体" w:eastAsia="宋体" w:cs="宋体"/>
                <w:color w:val="000000"/>
                <w:sz w:val="24"/>
              </w:rPr>
            </w:pPr>
          </w:p>
        </w:tc>
        <w:tc>
          <w:tcPr>
            <w:tcW w:w="3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7415B">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碱性磷酸酶</w:t>
            </w:r>
          </w:p>
        </w:tc>
      </w:tr>
      <w:tr w14:paraId="126D7822">
        <w:tblPrEx>
          <w:tblCellMar>
            <w:top w:w="0" w:type="dxa"/>
            <w:left w:w="108" w:type="dxa"/>
            <w:bottom w:w="0" w:type="dxa"/>
            <w:right w:w="108" w:type="dxa"/>
          </w:tblCellMar>
        </w:tblPrEx>
        <w:trPr>
          <w:trHeight w:val="312" w:hRule="atLeast"/>
        </w:trPr>
        <w:tc>
          <w:tcPr>
            <w:tcW w:w="110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BB396">
            <w:pPr>
              <w:jc w:val="center"/>
              <w:rPr>
                <w:rFonts w:hint="eastAsia" w:ascii="宋体" w:hAnsi="宋体" w:eastAsia="宋体" w:cs="宋体"/>
                <w:color w:val="000000"/>
                <w:sz w:val="24"/>
              </w:rPr>
            </w:pPr>
          </w:p>
        </w:tc>
        <w:tc>
          <w:tcPr>
            <w:tcW w:w="3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60805">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总胆红素</w:t>
            </w:r>
          </w:p>
        </w:tc>
      </w:tr>
      <w:tr w14:paraId="0A2ADEED">
        <w:tblPrEx>
          <w:tblCellMar>
            <w:top w:w="0" w:type="dxa"/>
            <w:left w:w="108" w:type="dxa"/>
            <w:bottom w:w="0" w:type="dxa"/>
            <w:right w:w="108" w:type="dxa"/>
          </w:tblCellMar>
        </w:tblPrEx>
        <w:trPr>
          <w:trHeight w:val="312" w:hRule="atLeast"/>
        </w:trPr>
        <w:tc>
          <w:tcPr>
            <w:tcW w:w="110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C1F50">
            <w:pPr>
              <w:jc w:val="center"/>
              <w:rPr>
                <w:rFonts w:hint="eastAsia" w:ascii="宋体" w:hAnsi="宋体" w:eastAsia="宋体" w:cs="宋体"/>
                <w:color w:val="000000"/>
                <w:sz w:val="24"/>
              </w:rPr>
            </w:pPr>
          </w:p>
        </w:tc>
        <w:tc>
          <w:tcPr>
            <w:tcW w:w="3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5B479">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直胆红素</w:t>
            </w:r>
          </w:p>
        </w:tc>
      </w:tr>
      <w:tr w14:paraId="774401F5">
        <w:tblPrEx>
          <w:tblCellMar>
            <w:top w:w="0" w:type="dxa"/>
            <w:left w:w="108" w:type="dxa"/>
            <w:bottom w:w="0" w:type="dxa"/>
            <w:right w:w="108" w:type="dxa"/>
          </w:tblCellMar>
        </w:tblPrEx>
        <w:trPr>
          <w:trHeight w:val="312" w:hRule="atLeast"/>
        </w:trPr>
        <w:tc>
          <w:tcPr>
            <w:tcW w:w="110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E2330">
            <w:pPr>
              <w:jc w:val="center"/>
              <w:rPr>
                <w:rFonts w:hint="eastAsia" w:ascii="宋体" w:hAnsi="宋体" w:eastAsia="宋体" w:cs="宋体"/>
                <w:color w:val="000000"/>
                <w:sz w:val="24"/>
              </w:rPr>
            </w:pPr>
          </w:p>
        </w:tc>
        <w:tc>
          <w:tcPr>
            <w:tcW w:w="3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A8B13">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间胆红素</w:t>
            </w:r>
          </w:p>
        </w:tc>
      </w:tr>
      <w:tr w14:paraId="2828A74E">
        <w:tblPrEx>
          <w:tblCellMar>
            <w:top w:w="0" w:type="dxa"/>
            <w:left w:w="108" w:type="dxa"/>
            <w:bottom w:w="0" w:type="dxa"/>
            <w:right w:w="108" w:type="dxa"/>
          </w:tblCellMar>
        </w:tblPrEx>
        <w:trPr>
          <w:trHeight w:val="312" w:hRule="atLeast"/>
        </w:trPr>
        <w:tc>
          <w:tcPr>
            <w:tcW w:w="1101"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DC7F8">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肾功能三项</w:t>
            </w:r>
          </w:p>
        </w:tc>
        <w:tc>
          <w:tcPr>
            <w:tcW w:w="3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CB1DE">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尿素</w:t>
            </w:r>
          </w:p>
        </w:tc>
      </w:tr>
      <w:tr w14:paraId="244E5B0D">
        <w:tblPrEx>
          <w:tblCellMar>
            <w:top w:w="0" w:type="dxa"/>
            <w:left w:w="108" w:type="dxa"/>
            <w:bottom w:w="0" w:type="dxa"/>
            <w:right w:w="108" w:type="dxa"/>
          </w:tblCellMar>
        </w:tblPrEx>
        <w:trPr>
          <w:trHeight w:val="312" w:hRule="atLeast"/>
        </w:trPr>
        <w:tc>
          <w:tcPr>
            <w:tcW w:w="110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7A496">
            <w:pPr>
              <w:jc w:val="center"/>
              <w:rPr>
                <w:rFonts w:hint="eastAsia" w:ascii="宋体" w:hAnsi="宋体" w:eastAsia="宋体" w:cs="宋体"/>
                <w:color w:val="000000"/>
                <w:sz w:val="24"/>
              </w:rPr>
            </w:pPr>
          </w:p>
        </w:tc>
        <w:tc>
          <w:tcPr>
            <w:tcW w:w="3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E89E6">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尿酸</w:t>
            </w:r>
          </w:p>
        </w:tc>
      </w:tr>
      <w:tr w14:paraId="708305F2">
        <w:tblPrEx>
          <w:tblCellMar>
            <w:top w:w="0" w:type="dxa"/>
            <w:left w:w="108" w:type="dxa"/>
            <w:bottom w:w="0" w:type="dxa"/>
            <w:right w:w="108" w:type="dxa"/>
          </w:tblCellMar>
        </w:tblPrEx>
        <w:trPr>
          <w:trHeight w:val="312" w:hRule="atLeast"/>
        </w:trPr>
        <w:tc>
          <w:tcPr>
            <w:tcW w:w="110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15895">
            <w:pPr>
              <w:jc w:val="center"/>
              <w:rPr>
                <w:rFonts w:hint="eastAsia" w:ascii="宋体" w:hAnsi="宋体" w:eastAsia="宋体" w:cs="宋体"/>
                <w:color w:val="000000"/>
                <w:sz w:val="24"/>
              </w:rPr>
            </w:pPr>
          </w:p>
        </w:tc>
        <w:tc>
          <w:tcPr>
            <w:tcW w:w="3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1CE98">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肌酐</w:t>
            </w:r>
          </w:p>
        </w:tc>
      </w:tr>
      <w:tr w14:paraId="1936B620">
        <w:trPr>
          <w:trHeight w:val="312" w:hRule="atLeast"/>
        </w:trPr>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6F83F">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CT</w:t>
            </w:r>
          </w:p>
        </w:tc>
        <w:tc>
          <w:tcPr>
            <w:tcW w:w="3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BCD69">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胸部CT</w:t>
            </w:r>
          </w:p>
        </w:tc>
      </w:tr>
      <w:tr w14:paraId="14322A31">
        <w:tblPrEx>
          <w:tblCellMar>
            <w:top w:w="0" w:type="dxa"/>
            <w:left w:w="108" w:type="dxa"/>
            <w:bottom w:w="0" w:type="dxa"/>
            <w:right w:w="108" w:type="dxa"/>
          </w:tblCellMar>
        </w:tblPrEx>
        <w:trPr>
          <w:trHeight w:val="312" w:hRule="atLeast"/>
        </w:trPr>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16AEA">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经颅多普勒</w:t>
            </w:r>
          </w:p>
        </w:tc>
        <w:tc>
          <w:tcPr>
            <w:tcW w:w="3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06C86">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脑血流图</w:t>
            </w:r>
          </w:p>
        </w:tc>
      </w:tr>
      <w:tr w14:paraId="48BBBB1B">
        <w:tblPrEx>
          <w:tblCellMar>
            <w:top w:w="0" w:type="dxa"/>
            <w:left w:w="108" w:type="dxa"/>
            <w:bottom w:w="0" w:type="dxa"/>
            <w:right w:w="108" w:type="dxa"/>
          </w:tblCellMar>
        </w:tblPrEx>
        <w:trPr>
          <w:trHeight w:val="312" w:hRule="atLeast"/>
        </w:trPr>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7CFFD">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心电图</w:t>
            </w:r>
          </w:p>
        </w:tc>
        <w:tc>
          <w:tcPr>
            <w:tcW w:w="3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A2DF7">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心电图</w:t>
            </w:r>
          </w:p>
        </w:tc>
      </w:tr>
      <w:tr w14:paraId="0A39BC45">
        <w:tblPrEx>
          <w:tblCellMar>
            <w:top w:w="0" w:type="dxa"/>
            <w:left w:w="108" w:type="dxa"/>
            <w:bottom w:w="0" w:type="dxa"/>
            <w:right w:w="108" w:type="dxa"/>
          </w:tblCellMar>
        </w:tblPrEx>
        <w:trPr>
          <w:trHeight w:val="312" w:hRule="atLeast"/>
        </w:trPr>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74E51">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甲状腺</w:t>
            </w:r>
          </w:p>
        </w:tc>
        <w:tc>
          <w:tcPr>
            <w:tcW w:w="3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24B98">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甲状腺彩超</w:t>
            </w:r>
          </w:p>
        </w:tc>
      </w:tr>
      <w:tr w14:paraId="365B75B5">
        <w:tblPrEx>
          <w:tblCellMar>
            <w:top w:w="0" w:type="dxa"/>
            <w:left w:w="108" w:type="dxa"/>
            <w:bottom w:w="0" w:type="dxa"/>
            <w:right w:w="108" w:type="dxa"/>
          </w:tblCellMar>
        </w:tblPrEx>
        <w:trPr>
          <w:trHeight w:val="312" w:hRule="atLeast"/>
        </w:trPr>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071D3">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乳腺</w:t>
            </w:r>
          </w:p>
        </w:tc>
        <w:tc>
          <w:tcPr>
            <w:tcW w:w="3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81516">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乳腺彩超（女）</w:t>
            </w:r>
          </w:p>
        </w:tc>
      </w:tr>
      <w:tr w14:paraId="3F7E4A68">
        <w:tblPrEx>
          <w:tblCellMar>
            <w:top w:w="0" w:type="dxa"/>
            <w:left w:w="108" w:type="dxa"/>
            <w:bottom w:w="0" w:type="dxa"/>
            <w:right w:w="108" w:type="dxa"/>
          </w:tblCellMar>
        </w:tblPrEx>
        <w:trPr>
          <w:trHeight w:val="312" w:hRule="atLeast"/>
        </w:trPr>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12B91">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颈动脉</w:t>
            </w:r>
          </w:p>
        </w:tc>
        <w:tc>
          <w:tcPr>
            <w:tcW w:w="3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92BCC">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颈部血管彩色多普勒</w:t>
            </w:r>
          </w:p>
        </w:tc>
      </w:tr>
      <w:tr w14:paraId="7365569E">
        <w:tblPrEx>
          <w:tblCellMar>
            <w:top w:w="0" w:type="dxa"/>
            <w:left w:w="108" w:type="dxa"/>
            <w:bottom w:w="0" w:type="dxa"/>
            <w:right w:w="108" w:type="dxa"/>
          </w:tblCellMar>
        </w:tblPrEx>
        <w:trPr>
          <w:trHeight w:val="312" w:hRule="atLeast"/>
        </w:trPr>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A5B7E">
            <w:pPr>
              <w:widowControl/>
              <w:jc w:val="center"/>
              <w:textAlignment w:val="center"/>
              <w:rPr>
                <w:rFonts w:hint="eastAsia" w:ascii="宋体" w:hAnsi="宋体" w:eastAsia="宋体" w:cs="宋体"/>
                <w:color w:val="000000"/>
                <w:sz w:val="24"/>
                <w:highlight w:val="none"/>
              </w:rPr>
            </w:pPr>
            <w:r>
              <w:rPr>
                <w:rFonts w:hint="eastAsia" w:asciiTheme="minorEastAsia" w:hAnsiTheme="minorEastAsia" w:eastAsiaTheme="minorEastAsia"/>
                <w:color w:val="auto"/>
                <w:sz w:val="24"/>
                <w:szCs w:val="24"/>
                <w:highlight w:val="none"/>
                <w:lang w:val="en-US" w:eastAsia="zh-CN"/>
              </w:rPr>
              <w:t>骨密度</w:t>
            </w:r>
          </w:p>
        </w:tc>
        <w:tc>
          <w:tcPr>
            <w:tcW w:w="3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C72CC">
            <w:pPr>
              <w:widowControl/>
              <w:jc w:val="center"/>
              <w:textAlignment w:val="center"/>
              <w:rPr>
                <w:rFonts w:hint="eastAsia" w:ascii="宋体" w:hAnsi="宋体" w:eastAsia="宋体" w:cs="宋体"/>
                <w:color w:val="000000"/>
                <w:sz w:val="24"/>
                <w:highlight w:val="none"/>
              </w:rPr>
            </w:pPr>
            <w:r>
              <w:rPr>
                <w:rFonts w:hint="eastAsia" w:asciiTheme="minorEastAsia" w:hAnsiTheme="minorEastAsia" w:eastAsiaTheme="minorEastAsia"/>
                <w:color w:val="auto"/>
                <w:sz w:val="24"/>
                <w:szCs w:val="24"/>
                <w:highlight w:val="none"/>
                <w:lang w:val="en-US" w:eastAsia="zh-CN"/>
              </w:rPr>
              <w:t>骨密度</w:t>
            </w:r>
          </w:p>
        </w:tc>
      </w:tr>
      <w:tr w14:paraId="2E931404">
        <w:tblPrEx>
          <w:tblCellMar>
            <w:top w:w="0" w:type="dxa"/>
            <w:left w:w="108" w:type="dxa"/>
            <w:bottom w:w="0" w:type="dxa"/>
            <w:right w:w="108" w:type="dxa"/>
          </w:tblCellMar>
        </w:tblPrEx>
        <w:trPr>
          <w:trHeight w:val="312" w:hRule="atLeast"/>
        </w:trPr>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247A5">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上腹部彩超</w:t>
            </w:r>
          </w:p>
        </w:tc>
        <w:tc>
          <w:tcPr>
            <w:tcW w:w="3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F86F9">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肝 胆 脾 胰</w:t>
            </w:r>
          </w:p>
        </w:tc>
      </w:tr>
      <w:tr w14:paraId="54EAF17E">
        <w:tblPrEx>
          <w:tblCellMar>
            <w:top w:w="0" w:type="dxa"/>
            <w:left w:w="108" w:type="dxa"/>
            <w:bottom w:w="0" w:type="dxa"/>
            <w:right w:w="108" w:type="dxa"/>
          </w:tblCellMar>
        </w:tblPrEx>
        <w:trPr>
          <w:trHeight w:val="312" w:hRule="atLeast"/>
        </w:trPr>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D9BC8">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下腹部彩超</w:t>
            </w:r>
          </w:p>
        </w:tc>
        <w:tc>
          <w:tcPr>
            <w:tcW w:w="38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EFD65E">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双肾 输尿管 膀胱         前列腺（男）          子宫附件（女）</w:t>
            </w:r>
          </w:p>
        </w:tc>
      </w:tr>
      <w:tr w14:paraId="1572278A">
        <w:tblPrEx>
          <w:tblCellMar>
            <w:top w:w="0" w:type="dxa"/>
            <w:left w:w="108" w:type="dxa"/>
            <w:bottom w:w="0" w:type="dxa"/>
            <w:right w:w="108" w:type="dxa"/>
          </w:tblCellMar>
        </w:tblPrEx>
        <w:trPr>
          <w:trHeight w:val="312" w:hRule="atLeast"/>
        </w:trPr>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564C6">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妇科</w:t>
            </w:r>
          </w:p>
        </w:tc>
        <w:tc>
          <w:tcPr>
            <w:tcW w:w="38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1B8FE3">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sz w:val="24"/>
              </w:rPr>
              <w:t>妇科检查</w:t>
            </w:r>
          </w:p>
        </w:tc>
      </w:tr>
    </w:tbl>
    <w:p w14:paraId="78A2C12E">
      <w:pPr>
        <w:pStyle w:val="17"/>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2" w:firstLineChars="0"/>
        <w:jc w:val="both"/>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四、体检服务要求</w:t>
      </w:r>
    </w:p>
    <w:p w14:paraId="4B110DA2">
      <w:pPr>
        <w:keepNext w:val="0"/>
        <w:keepLines w:val="0"/>
        <w:pageBreakBefore w:val="0"/>
        <w:widowControl w:val="0"/>
        <w:tabs>
          <w:tab w:val="left" w:pos="540"/>
        </w:tabs>
        <w:kinsoku/>
        <w:wordWrap/>
        <w:overflowPunct/>
        <w:topLinePunct w:val="0"/>
        <w:autoSpaceDE/>
        <w:autoSpaceDN/>
        <w:bidi w:val="0"/>
        <w:adjustRightInd w:val="0"/>
        <w:snapToGrid w:val="0"/>
        <w:spacing w:line="360" w:lineRule="exact"/>
        <w:ind w:firstLine="480" w:firstLineChars="200"/>
        <w:textAlignment w:val="auto"/>
        <w:rPr>
          <w:rFonts w:hint="eastAsia" w:ascii="宋体" w:hAnsi="宋体" w:eastAsia="宋体" w:cs="宋体"/>
          <w:color w:val="000000"/>
          <w:sz w:val="24"/>
          <w:highlight w:val="yellow"/>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投标</w:t>
      </w:r>
      <w:r>
        <w:rPr>
          <w:rFonts w:hint="eastAsia" w:ascii="宋体" w:hAnsi="宋体" w:cs="宋体"/>
          <w:color w:val="000000"/>
          <w:sz w:val="24"/>
          <w:lang w:val="en-US" w:eastAsia="zh-CN"/>
        </w:rPr>
        <w:t>人</w:t>
      </w:r>
      <w:r>
        <w:rPr>
          <w:rFonts w:hint="eastAsia" w:ascii="宋体" w:hAnsi="宋体" w:eastAsia="宋体" w:cs="宋体"/>
          <w:color w:val="000000"/>
          <w:sz w:val="24"/>
        </w:rPr>
        <w:t>须设优抚</w:t>
      </w:r>
      <w:r>
        <w:rPr>
          <w:rFonts w:hint="eastAsia" w:ascii="宋体" w:hAnsi="宋体" w:eastAsia="宋体" w:cs="宋体"/>
          <w:color w:val="000000"/>
          <w:sz w:val="24"/>
          <w:lang w:val="en-US" w:eastAsia="zh-CN"/>
        </w:rPr>
        <w:t>对象</w:t>
      </w:r>
      <w:r>
        <w:rPr>
          <w:rFonts w:hint="eastAsia" w:ascii="宋体" w:hAnsi="宋体" w:eastAsia="宋体" w:cs="宋体"/>
          <w:color w:val="000000"/>
          <w:sz w:val="24"/>
        </w:rPr>
        <w:t>体检专场，每</w:t>
      </w:r>
      <w:r>
        <w:rPr>
          <w:rFonts w:hint="eastAsia" w:ascii="宋体" w:hAnsi="宋体" w:eastAsia="宋体" w:cs="宋体"/>
          <w:color w:val="000000"/>
          <w:sz w:val="24"/>
          <w:lang w:eastAsia="zh-CN"/>
        </w:rPr>
        <w:t>日</w:t>
      </w:r>
      <w:r>
        <w:rPr>
          <w:rFonts w:hint="eastAsia" w:ascii="宋体" w:hAnsi="宋体" w:eastAsia="宋体" w:cs="宋体"/>
          <w:color w:val="000000"/>
          <w:sz w:val="24"/>
          <w:lang w:val="en-US" w:eastAsia="zh-CN"/>
        </w:rPr>
        <w:t>至少能够</w:t>
      </w:r>
      <w:r>
        <w:rPr>
          <w:rFonts w:hint="eastAsia" w:ascii="宋体" w:hAnsi="宋体" w:eastAsia="宋体" w:cs="宋体"/>
          <w:color w:val="000000"/>
          <w:sz w:val="24"/>
        </w:rPr>
        <w:t>安排</w:t>
      </w:r>
      <w:r>
        <w:rPr>
          <w:rFonts w:hint="eastAsia" w:ascii="宋体" w:hAnsi="宋体" w:cs="宋体"/>
          <w:color w:val="000000"/>
          <w:sz w:val="24"/>
          <w:lang w:val="en-US" w:eastAsia="zh-CN"/>
        </w:rPr>
        <w:t>体检</w:t>
      </w:r>
      <w:r>
        <w:rPr>
          <w:rFonts w:hint="eastAsia" w:ascii="宋体" w:hAnsi="宋体" w:eastAsia="宋体" w:cs="宋体"/>
          <w:color w:val="000000"/>
          <w:sz w:val="24"/>
          <w:lang w:val="en-US" w:eastAsia="zh-CN"/>
        </w:rPr>
        <w:t>人数达</w:t>
      </w:r>
      <w:r>
        <w:rPr>
          <w:rFonts w:hint="eastAsia" w:ascii="宋体" w:hAnsi="宋体" w:eastAsia="宋体" w:cs="宋体"/>
          <w:color w:val="000000"/>
          <w:sz w:val="24"/>
        </w:rPr>
        <w:t>50人以上，非工作日</w:t>
      </w:r>
      <w:r>
        <w:rPr>
          <w:rFonts w:hint="eastAsia" w:ascii="宋体" w:hAnsi="宋体" w:eastAsia="宋体" w:cs="宋体"/>
          <w:color w:val="000000"/>
          <w:sz w:val="24"/>
          <w:lang w:val="en-US" w:eastAsia="zh-CN"/>
        </w:rPr>
        <w:t>能够正常安排体检</w:t>
      </w:r>
      <w:r>
        <w:rPr>
          <w:rFonts w:hint="eastAsia" w:ascii="宋体" w:hAnsi="宋体" w:cs="宋体"/>
          <w:color w:val="000000"/>
          <w:sz w:val="24"/>
          <w:lang w:val="en-US" w:eastAsia="zh-CN"/>
        </w:rPr>
        <w:t>，</w:t>
      </w:r>
      <w:r>
        <w:rPr>
          <w:rFonts w:hint="eastAsia" w:ascii="宋体" w:hAnsi="宋体" w:eastAsia="宋体" w:cs="宋体"/>
          <w:color w:val="000000"/>
          <w:sz w:val="24"/>
          <w:lang w:val="en-US" w:eastAsia="zh-CN"/>
        </w:rPr>
        <w:t>每日</w:t>
      </w:r>
      <w:r>
        <w:rPr>
          <w:rFonts w:hint="eastAsia" w:ascii="宋体" w:hAnsi="宋体" w:eastAsia="宋体" w:cs="宋体"/>
          <w:color w:val="000000"/>
          <w:sz w:val="24"/>
        </w:rPr>
        <w:t>的体检时间须在上午11：30分前完成。</w:t>
      </w:r>
    </w:p>
    <w:p w14:paraId="06FD11B3">
      <w:pPr>
        <w:keepNext w:val="0"/>
        <w:keepLines w:val="0"/>
        <w:pageBreakBefore w:val="0"/>
        <w:widowControl w:val="0"/>
        <w:tabs>
          <w:tab w:val="left" w:pos="540"/>
        </w:tabs>
        <w:kinsoku/>
        <w:wordWrap/>
        <w:overflowPunct/>
        <w:topLinePunct w:val="0"/>
        <w:autoSpaceDE/>
        <w:autoSpaceDN/>
        <w:bidi w:val="0"/>
        <w:adjustRightInd w:val="0"/>
        <w:snapToGrid w:val="0"/>
        <w:spacing w:line="360" w:lineRule="exact"/>
        <w:ind w:firstLine="480" w:firstLineChars="200"/>
        <w:textAlignment w:val="auto"/>
        <w:outlineLvl w:val="9"/>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eastAsia="zh-CN"/>
        </w:rPr>
        <w:t>投标</w:t>
      </w:r>
      <w:r>
        <w:rPr>
          <w:rFonts w:hint="eastAsia" w:ascii="宋体" w:hAnsi="宋体" w:cs="宋体"/>
          <w:color w:val="000000"/>
          <w:sz w:val="24"/>
          <w:lang w:val="en-US" w:eastAsia="zh-CN"/>
        </w:rPr>
        <w:t>人</w:t>
      </w:r>
      <w:r>
        <w:rPr>
          <w:rFonts w:hint="eastAsia" w:ascii="宋体" w:hAnsi="宋体" w:eastAsia="宋体" w:cs="宋体"/>
          <w:color w:val="000000"/>
          <w:sz w:val="24"/>
        </w:rPr>
        <w:t>须</w:t>
      </w:r>
      <w:r>
        <w:rPr>
          <w:rFonts w:hint="eastAsia" w:ascii="宋体" w:hAnsi="宋体" w:cs="宋体"/>
          <w:color w:val="000000"/>
          <w:sz w:val="24"/>
          <w:lang w:val="en-US" w:eastAsia="zh-CN"/>
        </w:rPr>
        <w:t>为</w:t>
      </w:r>
      <w:r>
        <w:rPr>
          <w:rFonts w:hint="eastAsia" w:ascii="宋体" w:hAnsi="宋体" w:eastAsia="宋体" w:cs="宋体"/>
          <w:color w:val="000000"/>
          <w:sz w:val="24"/>
        </w:rPr>
        <w:t>每人</w:t>
      </w:r>
      <w:r>
        <w:rPr>
          <w:rFonts w:hint="eastAsia" w:ascii="宋体" w:hAnsi="宋体" w:cs="宋体"/>
          <w:color w:val="000000"/>
          <w:sz w:val="24"/>
          <w:lang w:val="en-US" w:eastAsia="zh-CN"/>
        </w:rPr>
        <w:t>提供</w:t>
      </w:r>
      <w:r>
        <w:rPr>
          <w:rFonts w:hint="eastAsia" w:ascii="宋体" w:hAnsi="宋体" w:eastAsia="宋体" w:cs="宋体"/>
          <w:color w:val="000000"/>
          <w:sz w:val="24"/>
        </w:rPr>
        <w:t>早餐一份（不少于8元/人）。</w:t>
      </w:r>
    </w:p>
    <w:p w14:paraId="5810260E">
      <w:pPr>
        <w:keepNext w:val="0"/>
        <w:keepLines w:val="0"/>
        <w:pageBreakBefore w:val="0"/>
        <w:widowControl w:val="0"/>
        <w:tabs>
          <w:tab w:val="left" w:pos="540"/>
        </w:tabs>
        <w:kinsoku/>
        <w:wordWrap/>
        <w:overflowPunct/>
        <w:topLinePunct w:val="0"/>
        <w:autoSpaceDE/>
        <w:autoSpaceDN/>
        <w:bidi w:val="0"/>
        <w:adjustRightInd w:val="0"/>
        <w:snapToGrid w:val="0"/>
        <w:spacing w:line="360" w:lineRule="exact"/>
        <w:ind w:firstLine="480" w:firstLineChars="200"/>
        <w:textAlignment w:val="auto"/>
        <w:rPr>
          <w:rFonts w:hint="eastAsia" w:ascii="宋体" w:hAnsi="宋体" w:eastAsia="宋体" w:cs="宋体"/>
          <w:color w:val="000000"/>
          <w:sz w:val="24"/>
        </w:rPr>
      </w:pPr>
      <w:r>
        <w:rPr>
          <w:rFonts w:hint="eastAsia" w:ascii="宋体" w:hAnsi="宋体" w:eastAsia="宋体" w:cs="宋体"/>
          <w:color w:val="000000"/>
          <w:sz w:val="24"/>
        </w:rPr>
        <w:t>3、</w:t>
      </w:r>
      <w:r>
        <w:rPr>
          <w:rFonts w:hint="eastAsia" w:ascii="宋体" w:hAnsi="宋体" w:eastAsia="宋体" w:cs="宋体"/>
          <w:color w:val="000000"/>
          <w:sz w:val="24"/>
          <w:lang w:eastAsia="zh-CN"/>
        </w:rPr>
        <w:t>投标</w:t>
      </w:r>
      <w:r>
        <w:rPr>
          <w:rFonts w:hint="eastAsia" w:ascii="宋体" w:hAnsi="宋体" w:cs="宋体"/>
          <w:color w:val="000000"/>
          <w:sz w:val="24"/>
          <w:lang w:val="en-US" w:eastAsia="zh-CN"/>
        </w:rPr>
        <w:t>人</w:t>
      </w:r>
      <w:r>
        <w:rPr>
          <w:rFonts w:hint="eastAsia" w:ascii="宋体" w:hAnsi="宋体" w:eastAsia="宋体" w:cs="宋体"/>
          <w:color w:val="000000"/>
          <w:sz w:val="24"/>
        </w:rPr>
        <w:t>须有清晰准确的体检引导标志牌和体检导诊员，以及体检表格等资料派发人员。</w:t>
      </w:r>
    </w:p>
    <w:p w14:paraId="2087B12A">
      <w:pPr>
        <w:keepNext w:val="0"/>
        <w:keepLines w:val="0"/>
        <w:pageBreakBefore w:val="0"/>
        <w:widowControl w:val="0"/>
        <w:tabs>
          <w:tab w:val="left" w:pos="540"/>
        </w:tabs>
        <w:kinsoku/>
        <w:wordWrap/>
        <w:overflowPunct/>
        <w:topLinePunct w:val="0"/>
        <w:autoSpaceDE/>
        <w:autoSpaceDN/>
        <w:bidi w:val="0"/>
        <w:adjustRightInd w:val="0"/>
        <w:snapToGrid w:val="0"/>
        <w:spacing w:line="360" w:lineRule="exact"/>
        <w:ind w:firstLine="480" w:firstLineChars="200"/>
        <w:textAlignment w:val="auto"/>
        <w:rPr>
          <w:rFonts w:hint="eastAsia" w:ascii="宋体" w:hAnsi="宋体" w:eastAsia="宋体" w:cs="宋体"/>
          <w:color w:val="000000"/>
          <w:sz w:val="24"/>
        </w:rPr>
      </w:pPr>
      <w:r>
        <w:rPr>
          <w:rFonts w:hint="eastAsia" w:ascii="宋体" w:hAnsi="宋体" w:eastAsia="宋体" w:cs="宋体"/>
          <w:color w:val="000000"/>
          <w:sz w:val="24"/>
          <w:lang w:val="en-US" w:eastAsia="zh-CN"/>
        </w:rPr>
        <w:t>4</w:t>
      </w:r>
      <w:r>
        <w:rPr>
          <w:rFonts w:hint="eastAsia" w:ascii="宋体" w:hAnsi="宋体" w:eastAsia="宋体" w:cs="宋体"/>
          <w:color w:val="000000"/>
          <w:sz w:val="24"/>
        </w:rPr>
        <w:t>、</w:t>
      </w:r>
      <w:r>
        <w:rPr>
          <w:rFonts w:hint="eastAsia" w:ascii="宋体" w:hAnsi="宋体" w:cs="宋体"/>
          <w:color w:val="000000"/>
          <w:sz w:val="24"/>
          <w:lang w:val="en-US" w:eastAsia="zh-CN"/>
        </w:rPr>
        <w:t>投标人须</w:t>
      </w:r>
      <w:r>
        <w:rPr>
          <w:rFonts w:hint="eastAsia" w:ascii="宋体" w:hAnsi="宋体" w:eastAsia="宋体" w:cs="宋体"/>
          <w:color w:val="000000"/>
          <w:sz w:val="24"/>
        </w:rPr>
        <w:t>由副主任医师</w:t>
      </w:r>
      <w:r>
        <w:rPr>
          <w:rFonts w:hint="eastAsia" w:ascii="宋体" w:hAnsi="宋体" w:eastAsia="宋体" w:cs="宋体"/>
          <w:color w:val="000000"/>
          <w:sz w:val="24"/>
          <w:lang w:val="en-US" w:eastAsia="zh-CN"/>
        </w:rPr>
        <w:t>及</w:t>
      </w:r>
      <w:r>
        <w:rPr>
          <w:rFonts w:hint="eastAsia" w:ascii="宋体" w:hAnsi="宋体" w:eastAsia="宋体" w:cs="宋体"/>
          <w:color w:val="000000"/>
          <w:sz w:val="24"/>
        </w:rPr>
        <w:t>以上</w:t>
      </w:r>
      <w:r>
        <w:rPr>
          <w:rFonts w:hint="eastAsia" w:ascii="宋体" w:hAnsi="宋体" w:eastAsia="宋体" w:cs="宋体"/>
          <w:color w:val="000000"/>
          <w:sz w:val="24"/>
          <w:lang w:val="en-US" w:eastAsia="zh-CN"/>
        </w:rPr>
        <w:t>职称的医师出具</w:t>
      </w:r>
      <w:r>
        <w:rPr>
          <w:rFonts w:hint="eastAsia" w:ascii="宋体" w:hAnsi="宋体" w:eastAsia="宋体" w:cs="宋体"/>
          <w:color w:val="000000"/>
          <w:sz w:val="24"/>
        </w:rPr>
        <w:t>体检总评报告</w:t>
      </w:r>
      <w:r>
        <w:rPr>
          <w:rFonts w:hint="eastAsia" w:ascii="宋体" w:hAnsi="宋体" w:eastAsia="宋体" w:cs="宋体"/>
          <w:color w:val="000000"/>
          <w:sz w:val="24"/>
          <w:lang w:val="en-US" w:eastAsia="zh-CN"/>
        </w:rPr>
        <w:t>签字后</w:t>
      </w:r>
      <w:r>
        <w:rPr>
          <w:rFonts w:hint="eastAsia" w:ascii="宋体" w:hAnsi="宋体" w:eastAsia="宋体" w:cs="宋体"/>
          <w:color w:val="000000"/>
          <w:sz w:val="24"/>
        </w:rPr>
        <w:t>并</w:t>
      </w:r>
      <w:r>
        <w:rPr>
          <w:rFonts w:hint="eastAsia" w:ascii="宋体" w:hAnsi="宋体" w:eastAsia="宋体" w:cs="宋体"/>
          <w:color w:val="000000"/>
          <w:sz w:val="24"/>
          <w:lang w:val="en-US" w:eastAsia="zh-CN"/>
        </w:rPr>
        <w:t>加盖公章，由参检人员自行领取或以书面、密封的形式</w:t>
      </w:r>
      <w:r>
        <w:rPr>
          <w:rFonts w:hint="eastAsia" w:ascii="宋体" w:hAnsi="宋体" w:eastAsia="宋体" w:cs="宋体"/>
          <w:color w:val="000000"/>
          <w:sz w:val="24"/>
        </w:rPr>
        <w:t>送达各镇区。</w:t>
      </w:r>
    </w:p>
    <w:p w14:paraId="4CCC21AB">
      <w:pPr>
        <w:keepNext w:val="0"/>
        <w:keepLines w:val="0"/>
        <w:pageBreakBefore w:val="0"/>
        <w:widowControl w:val="0"/>
        <w:tabs>
          <w:tab w:val="left" w:pos="540"/>
        </w:tabs>
        <w:kinsoku/>
        <w:wordWrap/>
        <w:overflowPunct/>
        <w:topLinePunct w:val="0"/>
        <w:autoSpaceDE/>
        <w:autoSpaceDN/>
        <w:bidi w:val="0"/>
        <w:adjustRightInd w:val="0"/>
        <w:snapToGrid w:val="0"/>
        <w:spacing w:line="360" w:lineRule="exact"/>
        <w:ind w:firstLine="480" w:firstLineChars="200"/>
        <w:textAlignment w:val="auto"/>
        <w:rPr>
          <w:rFonts w:hint="eastAsia" w:ascii="宋体" w:hAnsi="宋体" w:eastAsia="宋体" w:cs="宋体"/>
          <w:color w:val="000000"/>
          <w:sz w:val="24"/>
        </w:rPr>
      </w:pPr>
      <w:r>
        <w:rPr>
          <w:rFonts w:hint="eastAsia" w:ascii="宋体" w:hAnsi="宋体" w:eastAsia="宋体" w:cs="宋体"/>
          <w:color w:val="000000"/>
          <w:sz w:val="24"/>
          <w:lang w:val="en-US" w:eastAsia="zh-CN"/>
        </w:rPr>
        <w:t>5</w:t>
      </w:r>
      <w:r>
        <w:rPr>
          <w:rFonts w:hint="eastAsia" w:ascii="宋体" w:hAnsi="宋体" w:eastAsia="宋体" w:cs="宋体"/>
          <w:color w:val="000000"/>
          <w:sz w:val="24"/>
        </w:rPr>
        <w:t>、</w:t>
      </w:r>
      <w:r>
        <w:rPr>
          <w:rFonts w:hint="eastAsia" w:ascii="宋体" w:hAnsi="宋体" w:cs="宋体"/>
          <w:color w:val="000000"/>
          <w:sz w:val="24"/>
          <w:lang w:val="en-US" w:eastAsia="zh-CN"/>
        </w:rPr>
        <w:t>投标人须</w:t>
      </w:r>
      <w:r>
        <w:rPr>
          <w:rFonts w:hint="eastAsia" w:ascii="宋体" w:hAnsi="宋体" w:eastAsia="宋体" w:cs="宋体"/>
          <w:color w:val="000000"/>
          <w:sz w:val="24"/>
        </w:rPr>
        <w:t>设立专门的体检报告解读办公室，由副主任医师及以上职称的医师专门接受优抚对象对体检报告的咨询解答。</w:t>
      </w:r>
    </w:p>
    <w:p w14:paraId="13B369CD">
      <w:pPr>
        <w:keepNext w:val="0"/>
        <w:keepLines w:val="0"/>
        <w:pageBreakBefore w:val="0"/>
        <w:widowControl w:val="0"/>
        <w:tabs>
          <w:tab w:val="left" w:pos="540"/>
        </w:tabs>
        <w:kinsoku/>
        <w:wordWrap/>
        <w:overflowPunct/>
        <w:topLinePunct w:val="0"/>
        <w:autoSpaceDE/>
        <w:autoSpaceDN/>
        <w:bidi w:val="0"/>
        <w:adjustRightInd w:val="0"/>
        <w:snapToGrid w:val="0"/>
        <w:spacing w:line="360" w:lineRule="exact"/>
        <w:ind w:firstLine="480" w:firstLineChars="200"/>
        <w:textAlignment w:val="auto"/>
        <w:rPr>
          <w:rFonts w:hint="eastAsia" w:ascii="宋体" w:hAnsi="宋体" w:eastAsia="宋体" w:cs="宋体"/>
          <w:color w:val="000000"/>
          <w:sz w:val="24"/>
        </w:rPr>
      </w:pPr>
      <w:r>
        <w:rPr>
          <w:rFonts w:hint="eastAsia" w:ascii="宋体" w:hAnsi="宋体" w:eastAsia="宋体" w:cs="宋体"/>
          <w:color w:val="000000"/>
          <w:sz w:val="24"/>
          <w:lang w:val="en-US" w:eastAsia="zh-CN"/>
        </w:rPr>
        <w:t>6</w:t>
      </w:r>
      <w:r>
        <w:rPr>
          <w:rFonts w:hint="eastAsia" w:ascii="宋体" w:hAnsi="宋体" w:eastAsia="宋体" w:cs="宋体"/>
          <w:color w:val="000000"/>
          <w:sz w:val="24"/>
        </w:rPr>
        <w:t>、遇有特殊情况时，如检出急性传染病、恶性肿瘤等应立即通知</w:t>
      </w:r>
      <w:r>
        <w:rPr>
          <w:rFonts w:hint="eastAsia" w:ascii="宋体" w:hAnsi="宋体" w:eastAsia="宋体" w:cs="宋体"/>
          <w:color w:val="000000"/>
          <w:sz w:val="24"/>
          <w:lang w:val="en-US" w:eastAsia="zh-CN"/>
        </w:rPr>
        <w:t>采购人</w:t>
      </w:r>
      <w:r>
        <w:rPr>
          <w:rFonts w:hint="eastAsia" w:ascii="宋体" w:hAnsi="宋体" w:eastAsia="宋体" w:cs="宋体"/>
          <w:color w:val="000000"/>
          <w:sz w:val="24"/>
        </w:rPr>
        <w:t>。对可疑病例要复查的，复查名单及内容通知其个人，并报</w:t>
      </w:r>
      <w:r>
        <w:rPr>
          <w:rFonts w:hint="eastAsia" w:ascii="宋体" w:hAnsi="宋体" w:eastAsia="宋体" w:cs="宋体"/>
          <w:color w:val="000000"/>
          <w:sz w:val="24"/>
          <w:lang w:val="en-US" w:eastAsia="zh-CN"/>
        </w:rPr>
        <w:t>采购人</w:t>
      </w:r>
      <w:r>
        <w:rPr>
          <w:rFonts w:hint="eastAsia" w:ascii="宋体" w:hAnsi="宋体" w:eastAsia="宋体" w:cs="宋体"/>
          <w:color w:val="000000"/>
          <w:sz w:val="24"/>
        </w:rPr>
        <w:t>备案。</w:t>
      </w:r>
    </w:p>
    <w:p w14:paraId="2023806D">
      <w:pPr>
        <w:keepNext w:val="0"/>
        <w:keepLines w:val="0"/>
        <w:pageBreakBefore w:val="0"/>
        <w:widowControl w:val="0"/>
        <w:tabs>
          <w:tab w:val="left" w:pos="540"/>
        </w:tabs>
        <w:kinsoku/>
        <w:wordWrap/>
        <w:overflowPunct/>
        <w:topLinePunct w:val="0"/>
        <w:autoSpaceDE/>
        <w:autoSpaceDN/>
        <w:bidi w:val="0"/>
        <w:adjustRightInd w:val="0"/>
        <w:snapToGrid w:val="0"/>
        <w:spacing w:line="36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7</w:t>
      </w:r>
      <w:r>
        <w:rPr>
          <w:rFonts w:hint="eastAsia" w:ascii="宋体" w:hAnsi="宋体" w:eastAsia="宋体" w:cs="宋体"/>
          <w:color w:val="auto"/>
          <w:sz w:val="24"/>
        </w:rPr>
        <w:t>、</w:t>
      </w:r>
      <w:r>
        <w:rPr>
          <w:rFonts w:hint="eastAsia" w:ascii="宋体" w:hAnsi="宋体" w:cs="宋体"/>
          <w:color w:val="auto"/>
          <w:sz w:val="24"/>
          <w:lang w:val="en-US" w:eastAsia="zh-CN"/>
        </w:rPr>
        <w:t>投标人</w:t>
      </w:r>
      <w:r>
        <w:rPr>
          <w:rFonts w:hint="eastAsia" w:ascii="宋体" w:hAnsi="宋体" w:eastAsia="宋体" w:cs="宋体"/>
          <w:color w:val="auto"/>
          <w:sz w:val="24"/>
        </w:rPr>
        <w:t>须做好数据保密工作</w:t>
      </w:r>
      <w:r>
        <w:rPr>
          <w:rFonts w:hint="eastAsia" w:ascii="宋体" w:hAnsi="宋体" w:eastAsia="宋体" w:cs="宋体"/>
          <w:color w:val="auto"/>
          <w:sz w:val="24"/>
          <w:lang w:eastAsia="zh-CN"/>
        </w:rPr>
        <w:t>，</w:t>
      </w:r>
      <w:r>
        <w:rPr>
          <w:rFonts w:hint="eastAsia" w:ascii="宋体" w:hAnsi="宋体" w:eastAsia="宋体" w:cs="宋体"/>
          <w:color w:val="auto"/>
          <w:sz w:val="24"/>
        </w:rPr>
        <w:t>包括参检人员信息、报告信息等。未经</w:t>
      </w:r>
      <w:r>
        <w:rPr>
          <w:rFonts w:hint="eastAsia" w:ascii="宋体" w:hAnsi="宋体" w:eastAsia="宋体" w:cs="宋体"/>
          <w:color w:val="auto"/>
          <w:sz w:val="24"/>
          <w:lang w:val="en-US" w:eastAsia="zh-CN"/>
        </w:rPr>
        <w:t>采购人</w:t>
      </w:r>
      <w:r>
        <w:rPr>
          <w:rFonts w:hint="eastAsia" w:ascii="宋体" w:hAnsi="宋体" w:eastAsia="宋体" w:cs="宋体"/>
          <w:color w:val="auto"/>
          <w:sz w:val="24"/>
        </w:rPr>
        <w:t>书面同意，不得将信息泄露给除</w:t>
      </w:r>
      <w:r>
        <w:rPr>
          <w:rFonts w:hint="eastAsia" w:ascii="宋体" w:hAnsi="宋体" w:eastAsia="宋体" w:cs="宋体"/>
          <w:color w:val="auto"/>
          <w:sz w:val="24"/>
          <w:lang w:val="en-US" w:eastAsia="zh-CN"/>
        </w:rPr>
        <w:t>采购人</w:t>
      </w:r>
      <w:r>
        <w:rPr>
          <w:rFonts w:hint="eastAsia" w:ascii="宋体" w:hAnsi="宋体" w:eastAsia="宋体" w:cs="宋体"/>
          <w:color w:val="auto"/>
          <w:sz w:val="24"/>
        </w:rPr>
        <w:t>、</w:t>
      </w:r>
      <w:r>
        <w:rPr>
          <w:rFonts w:hint="eastAsia" w:ascii="宋体" w:hAnsi="宋体" w:eastAsia="宋体" w:cs="宋体"/>
          <w:color w:val="auto"/>
          <w:sz w:val="24"/>
          <w:lang w:eastAsia="zh-CN"/>
        </w:rPr>
        <w:t>中标</w:t>
      </w:r>
      <w:r>
        <w:rPr>
          <w:rFonts w:hint="eastAsia" w:ascii="宋体" w:hAnsi="宋体" w:cs="宋体"/>
          <w:color w:val="auto"/>
          <w:sz w:val="24"/>
          <w:lang w:eastAsia="zh-CN"/>
        </w:rPr>
        <w:t>人</w:t>
      </w:r>
      <w:r>
        <w:rPr>
          <w:rFonts w:hint="eastAsia" w:ascii="宋体" w:hAnsi="宋体" w:eastAsia="宋体" w:cs="宋体"/>
          <w:color w:val="auto"/>
          <w:sz w:val="24"/>
        </w:rPr>
        <w:t>、参检人之外的其他人员或机构。</w:t>
      </w:r>
    </w:p>
    <w:p w14:paraId="7B406774">
      <w:pPr>
        <w:pStyle w:val="17"/>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2" w:firstLineChars="0"/>
        <w:jc w:val="both"/>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五</w:t>
      </w:r>
      <w:r>
        <w:rPr>
          <w:rFonts w:hint="eastAsia" w:ascii="宋体" w:hAnsi="宋体" w:eastAsia="宋体" w:cs="宋体"/>
          <w:b/>
          <w:bCs/>
          <w:sz w:val="28"/>
          <w:szCs w:val="28"/>
          <w:highlight w:val="none"/>
        </w:rPr>
        <w:t>、</w:t>
      </w:r>
      <w:r>
        <w:rPr>
          <w:rFonts w:hint="eastAsia" w:ascii="宋体" w:hAnsi="宋体" w:eastAsia="宋体" w:cs="宋体"/>
          <w:b/>
          <w:bCs/>
          <w:sz w:val="28"/>
          <w:szCs w:val="28"/>
          <w:highlight w:val="none"/>
          <w:lang w:val="en-US" w:eastAsia="zh-CN"/>
        </w:rPr>
        <w:t>供应商</w:t>
      </w:r>
      <w:r>
        <w:rPr>
          <w:rFonts w:hint="eastAsia" w:ascii="宋体" w:hAnsi="宋体" w:eastAsia="宋体" w:cs="宋体"/>
          <w:b/>
          <w:bCs/>
          <w:sz w:val="28"/>
          <w:szCs w:val="28"/>
          <w:highlight w:val="none"/>
        </w:rPr>
        <w:t>要求</w:t>
      </w:r>
    </w:p>
    <w:p w14:paraId="072CE80A">
      <w:pPr>
        <w:keepNext w:val="0"/>
        <w:keepLines w:val="0"/>
        <w:pageBreakBefore w:val="0"/>
        <w:widowControl w:val="0"/>
        <w:tabs>
          <w:tab w:val="left" w:pos="540"/>
        </w:tabs>
        <w:kinsoku/>
        <w:wordWrap/>
        <w:overflowPunct/>
        <w:topLinePunct w:val="0"/>
        <w:autoSpaceDE/>
        <w:autoSpaceDN/>
        <w:bidi w:val="0"/>
        <w:adjustRightInd w:val="0"/>
        <w:snapToGrid w:val="0"/>
        <w:spacing w:line="360" w:lineRule="exact"/>
        <w:ind w:firstLine="482" w:firstLineChars="200"/>
        <w:textAlignment w:val="auto"/>
        <w:rPr>
          <w:rFonts w:hint="eastAsia" w:ascii="宋体" w:hAnsi="宋体" w:cs="宋体"/>
          <w:b/>
          <w:bCs/>
          <w:color w:val="auto"/>
          <w:sz w:val="24"/>
          <w:lang w:eastAsia="zh-CN"/>
        </w:rPr>
      </w:pPr>
      <w:r>
        <w:rPr>
          <w:rFonts w:hint="eastAsia" w:ascii="宋体" w:hAnsi="宋体" w:eastAsia="宋体" w:cs="宋体"/>
          <w:b/>
          <w:bCs/>
          <w:color w:val="auto"/>
          <w:sz w:val="24"/>
        </w:rPr>
        <w:t>为了保障项目安全有序、实施有保障，体现投标人履约能力</w:t>
      </w:r>
      <w:r>
        <w:rPr>
          <w:rFonts w:hint="eastAsia" w:ascii="宋体" w:hAnsi="宋体" w:cs="宋体"/>
          <w:b/>
          <w:bCs/>
          <w:color w:val="auto"/>
          <w:sz w:val="24"/>
          <w:lang w:eastAsia="zh-CN"/>
        </w:rPr>
        <w:t>：</w:t>
      </w:r>
    </w:p>
    <w:p w14:paraId="4AA4AF5D">
      <w:pPr>
        <w:keepNext w:val="0"/>
        <w:keepLines w:val="0"/>
        <w:pageBreakBefore w:val="0"/>
        <w:widowControl w:val="0"/>
        <w:tabs>
          <w:tab w:val="left" w:pos="540"/>
        </w:tabs>
        <w:kinsoku/>
        <w:wordWrap/>
        <w:overflowPunct/>
        <w:topLinePunct w:val="0"/>
        <w:autoSpaceDE/>
        <w:autoSpaceDN/>
        <w:bidi w:val="0"/>
        <w:adjustRightInd w:val="0"/>
        <w:snapToGrid w:val="0"/>
        <w:spacing w:line="360" w:lineRule="exact"/>
        <w:ind w:firstLine="480" w:firstLineChars="200"/>
        <w:textAlignment w:val="auto"/>
        <w:rPr>
          <w:rFonts w:hint="eastAsia" w:ascii="宋体" w:hAnsi="宋体" w:cs="宋体"/>
          <w:color w:val="auto"/>
          <w:sz w:val="24"/>
          <w:lang w:val="en-US" w:eastAsia="zh-CN"/>
        </w:rPr>
      </w:pPr>
      <w:r>
        <w:rPr>
          <w:rFonts w:hint="eastAsia" w:ascii="宋体" w:hAnsi="宋体" w:cs="宋体"/>
          <w:color w:val="auto"/>
          <w:sz w:val="24"/>
          <w:lang w:val="en-US" w:eastAsia="zh-CN"/>
        </w:rPr>
        <w:t>1、投标人须提供详细完整的技术方案，包括但不限于总体规划方案、体检服务方案、应急安全保障方案、内部管理制度方案、数据保密方案、合理化建议等，确保项目保质保量、安全有序实施；</w:t>
      </w:r>
    </w:p>
    <w:p w14:paraId="6690079B">
      <w:pPr>
        <w:keepNext w:val="0"/>
        <w:keepLines w:val="0"/>
        <w:pageBreakBefore w:val="0"/>
        <w:widowControl w:val="0"/>
        <w:tabs>
          <w:tab w:val="left" w:pos="540"/>
        </w:tabs>
        <w:kinsoku/>
        <w:wordWrap/>
        <w:overflowPunct/>
        <w:topLinePunct w:val="0"/>
        <w:autoSpaceDE/>
        <w:autoSpaceDN/>
        <w:bidi w:val="0"/>
        <w:adjustRightInd w:val="0"/>
        <w:snapToGrid w:val="0"/>
        <w:spacing w:line="360" w:lineRule="exact"/>
        <w:ind w:firstLine="480" w:firstLineChars="200"/>
        <w:textAlignment w:val="auto"/>
        <w:rPr>
          <w:rFonts w:hint="eastAsia" w:ascii="宋体" w:hAnsi="宋体" w:cs="宋体"/>
          <w:color w:val="auto"/>
          <w:sz w:val="24"/>
          <w:lang w:val="en-US" w:eastAsia="zh-CN"/>
        </w:rPr>
      </w:pPr>
      <w:r>
        <w:rPr>
          <w:rFonts w:hint="eastAsia" w:ascii="宋体" w:hAnsi="宋体" w:cs="宋体"/>
          <w:color w:val="auto"/>
          <w:sz w:val="24"/>
          <w:lang w:val="en-US" w:eastAsia="zh-CN"/>
        </w:rPr>
        <w:t>2、投标人被行政部门认定为优抚定点医院的优先；</w:t>
      </w:r>
    </w:p>
    <w:p w14:paraId="105939CE">
      <w:pPr>
        <w:keepNext w:val="0"/>
        <w:keepLines w:val="0"/>
        <w:pageBreakBefore w:val="0"/>
        <w:widowControl w:val="0"/>
        <w:tabs>
          <w:tab w:val="left" w:pos="540"/>
        </w:tabs>
        <w:kinsoku/>
        <w:wordWrap/>
        <w:overflowPunct/>
        <w:topLinePunct w:val="0"/>
        <w:autoSpaceDE/>
        <w:autoSpaceDN/>
        <w:bidi w:val="0"/>
        <w:adjustRightInd w:val="0"/>
        <w:snapToGrid w:val="0"/>
        <w:spacing w:line="360" w:lineRule="exact"/>
        <w:ind w:firstLine="480" w:firstLineChars="200"/>
        <w:textAlignment w:val="auto"/>
        <w:rPr>
          <w:rFonts w:hint="eastAsia" w:ascii="宋体" w:hAnsi="宋体" w:eastAsia="宋体" w:cs="宋体"/>
          <w:color w:val="auto"/>
          <w:sz w:val="24"/>
        </w:rPr>
      </w:pPr>
      <w:r>
        <w:rPr>
          <w:rFonts w:hint="eastAsia" w:ascii="宋体" w:hAnsi="宋体" w:cs="宋体"/>
          <w:color w:val="auto"/>
          <w:sz w:val="24"/>
          <w:lang w:val="en-US" w:eastAsia="zh-CN"/>
        </w:rPr>
        <w:t>3、</w:t>
      </w:r>
      <w:r>
        <w:rPr>
          <w:rFonts w:hint="eastAsia" w:ascii="宋体" w:hAnsi="宋体" w:eastAsia="宋体" w:cs="宋体"/>
          <w:color w:val="auto"/>
          <w:sz w:val="24"/>
        </w:rPr>
        <w:t>投标人具有彩超不少于2台</w:t>
      </w:r>
      <w:r>
        <w:rPr>
          <w:rFonts w:hint="eastAsia" w:ascii="宋体" w:hAnsi="宋体" w:cs="宋体"/>
          <w:color w:val="auto"/>
          <w:sz w:val="24"/>
          <w:lang w:eastAsia="zh-CN"/>
        </w:rPr>
        <w:t>、</w:t>
      </w:r>
      <w:r>
        <w:rPr>
          <w:rFonts w:hint="eastAsia" w:ascii="宋体" w:hAnsi="宋体" w:eastAsia="宋体" w:cs="宋体"/>
          <w:color w:val="auto"/>
          <w:sz w:val="24"/>
        </w:rPr>
        <w:t>CT不少于1台、生化分析仪不少于1台、血细胞分析仪不少于1台、尿液分析仪不少于1台、心电图不少于1台</w:t>
      </w:r>
      <w:r>
        <w:rPr>
          <w:rFonts w:hint="eastAsia" w:ascii="宋体" w:hAnsi="宋体" w:eastAsia="宋体" w:cs="宋体"/>
          <w:color w:val="auto"/>
          <w:sz w:val="24"/>
          <w:lang w:eastAsia="zh-CN"/>
        </w:rPr>
        <w:t>、</w:t>
      </w:r>
      <w:r>
        <w:rPr>
          <w:rFonts w:hint="eastAsia" w:ascii="宋体" w:hAnsi="宋体" w:eastAsia="宋体" w:cs="宋体"/>
          <w:color w:val="auto"/>
          <w:sz w:val="24"/>
        </w:rPr>
        <w:t>骨密度检测仪1台等与本次体检项目相关的仪器设备的优先；</w:t>
      </w:r>
    </w:p>
    <w:p w14:paraId="46BA84B3">
      <w:pPr>
        <w:keepNext w:val="0"/>
        <w:keepLines w:val="0"/>
        <w:pageBreakBefore w:val="0"/>
        <w:widowControl w:val="0"/>
        <w:tabs>
          <w:tab w:val="left" w:pos="540"/>
        </w:tabs>
        <w:kinsoku/>
        <w:wordWrap/>
        <w:overflowPunct/>
        <w:topLinePunct w:val="0"/>
        <w:autoSpaceDE/>
        <w:autoSpaceDN/>
        <w:bidi w:val="0"/>
        <w:adjustRightInd w:val="0"/>
        <w:snapToGrid w:val="0"/>
        <w:spacing w:line="360" w:lineRule="exact"/>
        <w:ind w:firstLine="480" w:firstLineChars="200"/>
        <w:textAlignment w:val="auto"/>
        <w:rPr>
          <w:rFonts w:hint="eastAsia" w:ascii="宋体" w:hAnsi="宋体" w:cs="宋体"/>
          <w:color w:val="000000"/>
          <w:sz w:val="24"/>
          <w:lang w:val="en-US" w:eastAsia="zh-CN"/>
        </w:rPr>
      </w:pPr>
      <w:r>
        <w:rPr>
          <w:rFonts w:hint="eastAsia" w:ascii="宋体" w:hAnsi="宋体" w:cs="宋体"/>
          <w:color w:val="000000"/>
          <w:sz w:val="24"/>
          <w:lang w:val="en-US" w:eastAsia="zh-CN"/>
        </w:rPr>
        <w:t>4、投标人须具有一定的综合实力、人员力量、丰富的项目经验，确保本项目实施有保障；</w:t>
      </w:r>
    </w:p>
    <w:p w14:paraId="5A27FB02">
      <w:pPr>
        <w:keepNext w:val="0"/>
        <w:keepLines w:val="0"/>
        <w:pageBreakBefore w:val="0"/>
        <w:widowControl w:val="0"/>
        <w:tabs>
          <w:tab w:val="left" w:pos="540"/>
        </w:tabs>
        <w:kinsoku/>
        <w:wordWrap/>
        <w:overflowPunct/>
        <w:topLinePunct w:val="0"/>
        <w:autoSpaceDE/>
        <w:autoSpaceDN/>
        <w:bidi w:val="0"/>
        <w:adjustRightInd w:val="0"/>
        <w:snapToGrid w:val="0"/>
        <w:spacing w:line="360" w:lineRule="exact"/>
        <w:ind w:firstLine="480" w:firstLineChars="200"/>
        <w:textAlignment w:val="auto"/>
        <w:rPr>
          <w:rFonts w:hint="eastAsia" w:ascii="宋体" w:hAnsi="宋体" w:eastAsia="宋体" w:cs="宋体"/>
          <w:b/>
          <w:bCs/>
          <w:color w:val="000000"/>
          <w:sz w:val="24"/>
          <w:lang w:val="en-US" w:eastAsia="zh-CN"/>
        </w:rPr>
      </w:pPr>
      <w:r>
        <w:rPr>
          <w:rFonts w:hint="eastAsia" w:ascii="宋体" w:hAnsi="宋体" w:cs="宋体"/>
          <w:color w:val="000000"/>
          <w:sz w:val="24"/>
          <w:lang w:val="en-US" w:eastAsia="zh-CN"/>
        </w:rPr>
        <w:t>5、</w:t>
      </w:r>
      <w:r>
        <w:rPr>
          <w:rFonts w:hint="eastAsia" w:ascii="宋体" w:hAnsi="宋体" w:eastAsia="宋体" w:cs="宋体"/>
          <w:color w:val="000000"/>
          <w:sz w:val="24"/>
          <w:lang w:val="en-US" w:eastAsia="zh-CN"/>
        </w:rPr>
        <w:t>投标人能够提供专业的体检服务管理，安装部署在采购人指定设备上，便于采购人实时查询监督体检的服务情况。功能须包括档案建立、登记接待、报告录入/导入、体检数据异常报警、各类报表的生成/浏览/打印、多种模式的数据查询统计、数据持久性存储、人员权限、分级查询等的优先；</w:t>
      </w:r>
      <w:r>
        <w:rPr>
          <w:rFonts w:hint="eastAsia" w:ascii="宋体" w:hAnsi="宋体" w:cs="宋体"/>
          <w:b/>
          <w:bCs/>
          <w:color w:val="000000"/>
          <w:sz w:val="24"/>
          <w:lang w:val="en-US" w:eastAsia="zh-CN"/>
        </w:rPr>
        <w:t>（中标人</w:t>
      </w:r>
      <w:r>
        <w:rPr>
          <w:rFonts w:hint="eastAsia" w:ascii="宋体" w:hAnsi="宋体" w:eastAsia="宋体" w:cs="宋体"/>
          <w:b/>
          <w:bCs/>
          <w:color w:val="000000"/>
          <w:sz w:val="24"/>
          <w:lang w:val="en-US" w:eastAsia="zh-CN"/>
        </w:rPr>
        <w:t>承诺在签订中标合同后30日内安装部署完成并确保正常使用体检服务管理</w:t>
      </w:r>
      <w:r>
        <w:rPr>
          <w:rFonts w:hint="eastAsia" w:ascii="宋体" w:hAnsi="宋体" w:cs="宋体"/>
          <w:b/>
          <w:bCs/>
          <w:color w:val="000000"/>
          <w:sz w:val="24"/>
          <w:lang w:val="en-US" w:eastAsia="zh-CN"/>
        </w:rPr>
        <w:t>的</w:t>
      </w:r>
      <w:r>
        <w:rPr>
          <w:rFonts w:hint="eastAsia" w:ascii="宋体" w:hAnsi="宋体" w:eastAsia="宋体" w:cs="宋体"/>
          <w:b/>
          <w:bCs/>
          <w:color w:val="000000"/>
          <w:sz w:val="24"/>
          <w:lang w:val="en-US" w:eastAsia="zh-CN"/>
        </w:rPr>
        <w:t>，若未能在规定时间内确保体检服务管理正常使用，采购人有权调整安排到本项目满足条件的第二顺位的中标候选人完成本项目，中标人应当无条件配合相关事宜</w:t>
      </w:r>
      <w:r>
        <w:rPr>
          <w:rFonts w:hint="eastAsia" w:ascii="宋体" w:hAnsi="宋体" w:cs="宋体"/>
          <w:b/>
          <w:bCs/>
          <w:color w:val="000000"/>
          <w:sz w:val="24"/>
          <w:lang w:val="en-US" w:eastAsia="zh-CN"/>
        </w:rPr>
        <w:t>）</w:t>
      </w:r>
    </w:p>
    <w:p w14:paraId="0BA25695">
      <w:pPr>
        <w:keepNext w:val="0"/>
        <w:keepLines w:val="0"/>
        <w:pageBreakBefore w:val="0"/>
        <w:widowControl w:val="0"/>
        <w:tabs>
          <w:tab w:val="left" w:pos="540"/>
        </w:tabs>
        <w:kinsoku/>
        <w:wordWrap/>
        <w:overflowPunct/>
        <w:topLinePunct w:val="0"/>
        <w:autoSpaceDE/>
        <w:autoSpaceDN/>
        <w:bidi w:val="0"/>
        <w:adjustRightInd w:val="0"/>
        <w:snapToGrid w:val="0"/>
        <w:spacing w:line="360" w:lineRule="exact"/>
        <w:ind w:firstLine="480" w:firstLineChars="200"/>
        <w:textAlignment w:val="auto"/>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6</w:t>
      </w:r>
      <w:r>
        <w:rPr>
          <w:rFonts w:hint="eastAsia" w:ascii="宋体" w:hAnsi="宋体" w:eastAsia="宋体" w:cs="宋体"/>
          <w:color w:val="000000"/>
          <w:sz w:val="24"/>
        </w:rPr>
        <w:t>、因本项目参检人员中有残疾、高龄等人群，投标人能够提供康复医师、康复治疗师执业资格的人员，为参检人员提供健康状况、生活能力评估，并制定科学合理的康复治疗计划的优先</w:t>
      </w:r>
      <w:r>
        <w:rPr>
          <w:rFonts w:hint="eastAsia" w:ascii="宋体" w:hAnsi="宋体" w:eastAsia="宋体" w:cs="宋体"/>
          <w:color w:val="000000"/>
          <w:sz w:val="24"/>
          <w:lang w:eastAsia="zh-CN"/>
        </w:rPr>
        <w:t>。</w:t>
      </w:r>
    </w:p>
    <w:p w14:paraId="44028C40">
      <w:pPr>
        <w:pStyle w:val="17"/>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2" w:firstLineChars="0"/>
        <w:jc w:val="both"/>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六</w:t>
      </w:r>
      <w:r>
        <w:rPr>
          <w:rFonts w:hint="eastAsia" w:ascii="宋体" w:hAnsi="宋体" w:eastAsia="宋体" w:cs="宋体"/>
          <w:b/>
          <w:bCs/>
          <w:sz w:val="28"/>
          <w:szCs w:val="28"/>
          <w:highlight w:val="none"/>
        </w:rPr>
        <w:t>、付款方式</w:t>
      </w:r>
    </w:p>
    <w:p w14:paraId="59D9E5EB">
      <w:pPr>
        <w:pStyle w:val="17"/>
        <w:spacing w:beforeAutospacing="0" w:afterAutospacing="0" w:line="460" w:lineRule="exact"/>
        <w:ind w:firstLine="480" w:firstLineChars="0"/>
        <w:jc w:val="both"/>
        <w:outlineLvl w:val="9"/>
        <w:rPr>
          <w:rFonts w:hint="eastAsia" w:ascii="宋体" w:hAnsi="宋体" w:eastAsia="宋体" w:cs="宋体"/>
          <w:color w:val="000000"/>
          <w:lang w:val="en-US" w:eastAsia="zh-CN"/>
        </w:rPr>
      </w:pPr>
      <w:r>
        <w:rPr>
          <w:rFonts w:hint="eastAsia" w:ascii="宋体" w:hAnsi="宋体" w:eastAsia="宋体" w:cs="宋体"/>
          <w:color w:val="000000"/>
          <w:lang w:val="en-US" w:eastAsia="zh-CN"/>
        </w:rPr>
        <w:t>1、</w:t>
      </w:r>
      <w:r>
        <w:rPr>
          <w:rFonts w:hint="eastAsia" w:ascii="宋体" w:hAnsi="宋体" w:eastAsia="宋体" w:cs="宋体"/>
          <w:color w:val="000000"/>
        </w:rPr>
        <w:t>本项目落实预付款制度，合同签订时，经采购人与中标人根据实际情况协商一致，可支付合同总价的30%作为项目启动预付款；余款在每年年底体检工作全部完成并出具报告，在财政拨款到位后10日内按实际体检人数一次性结清</w:t>
      </w:r>
      <w:r>
        <w:rPr>
          <w:rFonts w:hint="eastAsia" w:ascii="宋体" w:hAnsi="宋体" w:cs="宋体"/>
          <w:color w:val="000000"/>
          <w:lang w:val="en-US" w:eastAsia="zh-CN"/>
        </w:rPr>
        <w:t>,并无息退还履约保证金（如有）。以</w:t>
      </w:r>
      <w:r>
        <w:rPr>
          <w:rFonts w:hint="eastAsia" w:ascii="宋体" w:hAnsi="宋体" w:eastAsia="宋体" w:cs="宋体"/>
          <w:color w:val="000000"/>
          <w:lang w:val="en-US" w:eastAsia="zh-CN"/>
        </w:rPr>
        <w:t>上付款均不计任何利息和相关费用，付款时需提供等额发票，付款一律通过银行结转。相关付款手续由用户单位由财政部门报批后办理。</w:t>
      </w:r>
    </w:p>
    <w:p w14:paraId="73BBD6CE">
      <w:pPr>
        <w:pStyle w:val="17"/>
        <w:spacing w:beforeAutospacing="0" w:afterAutospacing="0" w:line="460" w:lineRule="exact"/>
        <w:ind w:firstLine="480" w:firstLineChars="0"/>
        <w:jc w:val="both"/>
        <w:outlineLvl w:val="9"/>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2、注：在签订合同时，中标人明确表示无需预付款或者主动要求降低预付款比例的金额，招标人可不适用预付款规定,但中标人需提供书面声明，采购人可就预付款比例作相应调整。   </w:t>
      </w:r>
    </w:p>
    <w:p w14:paraId="32FF1215">
      <w:pPr>
        <w:pStyle w:val="17"/>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2" w:firstLineChars="0"/>
        <w:jc w:val="both"/>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七</w:t>
      </w:r>
      <w:r>
        <w:rPr>
          <w:rFonts w:hint="eastAsia" w:ascii="宋体" w:hAnsi="宋体" w:eastAsia="宋体" w:cs="宋体"/>
          <w:b/>
          <w:bCs/>
          <w:sz w:val="28"/>
          <w:szCs w:val="28"/>
          <w:highlight w:val="none"/>
        </w:rPr>
        <w:t>、安全管理要求</w:t>
      </w:r>
    </w:p>
    <w:p w14:paraId="454CDB75">
      <w:pPr>
        <w:keepNext w:val="0"/>
        <w:keepLines w:val="0"/>
        <w:pageBreakBefore w:val="0"/>
        <w:widowControl w:val="0"/>
        <w:tabs>
          <w:tab w:val="left" w:pos="540"/>
        </w:tabs>
        <w:kinsoku/>
        <w:wordWrap/>
        <w:overflowPunct/>
        <w:topLinePunct w:val="0"/>
        <w:autoSpaceDE/>
        <w:autoSpaceDN/>
        <w:bidi w:val="0"/>
        <w:adjustRightInd w:val="0"/>
        <w:snapToGrid w:val="0"/>
        <w:spacing w:line="360" w:lineRule="exact"/>
        <w:ind w:firstLine="480" w:firstLineChars="200"/>
        <w:textAlignment w:val="auto"/>
        <w:rPr>
          <w:rFonts w:hint="eastAsia" w:ascii="宋体" w:hAnsi="宋体" w:eastAsia="宋体" w:cs="宋体"/>
          <w:color w:val="000000"/>
          <w:sz w:val="24"/>
        </w:rPr>
      </w:pPr>
      <w:r>
        <w:rPr>
          <w:rFonts w:hint="eastAsia" w:ascii="宋体" w:hAnsi="宋体" w:eastAsia="宋体" w:cs="宋体"/>
          <w:color w:val="000000"/>
          <w:sz w:val="24"/>
        </w:rPr>
        <w:t>1、为贯彻“安全第一，预防为主”方针，中标方应为服务人员购买不记名意外伤害保险。中标方在项目服务过程中，必须遵守国家和地方关于劳动安全、劳务用工等法律法规及规章制度，制定严格的安全措施，加强安全监督管理，对服务过程中发生的人身伤害、设备损坏事故承担安全责任，并按国家有关规定，为服务人员进行人身保险，配备合格的劳动防护用品、安全用具。</w:t>
      </w:r>
    </w:p>
    <w:p w14:paraId="48883147">
      <w:pPr>
        <w:keepNext w:val="0"/>
        <w:keepLines w:val="0"/>
        <w:pageBreakBefore w:val="0"/>
        <w:widowControl w:val="0"/>
        <w:tabs>
          <w:tab w:val="left" w:pos="540"/>
        </w:tabs>
        <w:kinsoku/>
        <w:wordWrap/>
        <w:overflowPunct/>
        <w:topLinePunct w:val="0"/>
        <w:autoSpaceDE/>
        <w:autoSpaceDN/>
        <w:bidi w:val="0"/>
        <w:adjustRightInd w:val="0"/>
        <w:snapToGrid w:val="0"/>
        <w:spacing w:line="360" w:lineRule="exact"/>
        <w:ind w:firstLine="480" w:firstLineChars="200"/>
        <w:textAlignment w:val="auto"/>
        <w:rPr>
          <w:rFonts w:hint="eastAsia" w:ascii="宋体" w:hAnsi="宋体" w:eastAsia="宋体" w:cs="宋体"/>
          <w:color w:val="0000FF"/>
        </w:rPr>
      </w:pPr>
      <w:r>
        <w:rPr>
          <w:rFonts w:hint="eastAsia" w:ascii="宋体" w:hAnsi="宋体" w:eastAsia="宋体" w:cs="宋体"/>
          <w:color w:val="000000"/>
          <w:sz w:val="24"/>
        </w:rPr>
        <w:t>2、若发生安全问题，由中标方自行负责处理并承担一切经济和法律责任，其与招标单位一切无关，同时按合同要求保证服务进度，按时履约。</w:t>
      </w:r>
    </w:p>
    <w:p w14:paraId="2C14955D">
      <w:pPr>
        <w:pStyle w:val="17"/>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2" w:firstLineChars="0"/>
        <w:jc w:val="both"/>
        <w:textAlignment w:val="auto"/>
        <w:outlineLvl w:val="0"/>
        <w:rPr>
          <w:rFonts w:hint="eastAsia" w:ascii="宋体" w:hAnsi="宋体" w:eastAsia="宋体" w:cs="宋体"/>
          <w:b/>
          <w:bCs/>
          <w:sz w:val="28"/>
          <w:szCs w:val="28"/>
          <w:highlight w:val="none"/>
          <w:lang w:val="en-US" w:eastAsia="zh-CN"/>
        </w:rPr>
      </w:pPr>
      <w:bookmarkStart w:id="186" w:name="_Toc133336288"/>
      <w:bookmarkStart w:id="187" w:name="_Toc133336110"/>
      <w:bookmarkStart w:id="188" w:name="_Toc133336466"/>
      <w:r>
        <w:rPr>
          <w:rFonts w:hint="eastAsia" w:ascii="宋体" w:hAnsi="宋体" w:eastAsia="宋体" w:cs="宋体"/>
          <w:b/>
          <w:bCs/>
          <w:sz w:val="28"/>
          <w:szCs w:val="28"/>
          <w:highlight w:val="none"/>
          <w:lang w:val="en-US" w:eastAsia="zh-CN"/>
        </w:rPr>
        <w:t>八、特别说明</w:t>
      </w:r>
      <w:bookmarkEnd w:id="186"/>
      <w:bookmarkEnd w:id="187"/>
      <w:bookmarkEnd w:id="188"/>
    </w:p>
    <w:p w14:paraId="61BE1E11">
      <w:pPr>
        <w:pStyle w:val="17"/>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rPr>
      </w:pPr>
      <w:r>
        <w:rPr>
          <w:rFonts w:hint="eastAsia" w:ascii="宋体" w:hAnsi="宋体" w:eastAsia="宋体" w:cs="宋体"/>
          <w:color w:val="auto"/>
        </w:rPr>
        <w:t>1、报价含交付使用前一切费用。不接受选择性报价。</w:t>
      </w:r>
    </w:p>
    <w:p w14:paraId="1317D004">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b/>
          <w:bCs/>
          <w:sz w:val="28"/>
          <w:szCs w:val="28"/>
          <w:highlight w:val="none"/>
          <w:lang w:val="en-US" w:eastAsia="zh-CN"/>
        </w:rPr>
      </w:pPr>
      <w:r>
        <w:rPr>
          <w:rFonts w:hint="eastAsia" w:ascii="宋体" w:hAnsi="宋体" w:cs="宋体"/>
          <w:color w:val="auto"/>
          <w:sz w:val="24"/>
          <w:szCs w:val="22"/>
          <w:lang w:val="en-US" w:eastAsia="zh-CN" w:bidi="ar-SA"/>
        </w:rPr>
        <w:t>2</w:t>
      </w:r>
      <w:r>
        <w:rPr>
          <w:rFonts w:hint="eastAsia" w:ascii="宋体" w:hAnsi="宋体" w:eastAsia="宋体" w:cs="宋体"/>
          <w:color w:val="auto"/>
          <w:sz w:val="24"/>
          <w:szCs w:val="22"/>
          <w:lang w:val="en-US" w:eastAsia="zh-CN" w:bidi="ar-SA"/>
        </w:rPr>
        <w:t>、对本项目投标人资格要求、项目需求、评分标准等的质疑由采购单位负责答复；采购单位具有项目的解释权，质疑函和答复由采购代理机构备案。</w:t>
      </w:r>
    </w:p>
    <w:p w14:paraId="7C4C7A4F">
      <w:pPr>
        <w:pStyle w:val="17"/>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2" w:firstLineChars="0"/>
        <w:jc w:val="both"/>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九</w:t>
      </w:r>
      <w:r>
        <w:rPr>
          <w:rFonts w:hint="eastAsia" w:ascii="宋体" w:hAnsi="宋体" w:eastAsia="宋体" w:cs="宋体"/>
          <w:b/>
          <w:bCs/>
          <w:sz w:val="28"/>
          <w:szCs w:val="28"/>
          <w:highlight w:val="none"/>
        </w:rPr>
        <w:t>、采购标的对应的中小企业划分标准所属行业一览表</w:t>
      </w:r>
    </w:p>
    <w:p w14:paraId="698631C8">
      <w:pPr>
        <w:spacing w:line="360" w:lineRule="exact"/>
        <w:ind w:firstLine="480"/>
        <w:rPr>
          <w:rFonts w:ascii="宋体" w:hAnsi="宋体"/>
          <w:sz w:val="24"/>
          <w:highlight w:val="none"/>
        </w:rPr>
      </w:pPr>
      <w:r>
        <w:rPr>
          <w:rFonts w:hint="eastAsia" w:ascii="宋体" w:hAnsi="宋体"/>
          <w:sz w:val="24"/>
          <w:highlight w:val="none"/>
        </w:rPr>
        <w:t xml:space="preserve"> 根据《工业和信息化部、国家统计局、国家发展和改革委员会、财政部关于印发中小企业划型标准规定的通知》（工信部联企业[2011]300号）规定的划分标准填写。 </w:t>
      </w:r>
    </w:p>
    <w:tbl>
      <w:tblPr>
        <w:tblStyle w:val="19"/>
        <w:tblW w:w="9165" w:type="dxa"/>
        <w:jc w:val="center"/>
        <w:tblLayout w:type="fixed"/>
        <w:tblCellMar>
          <w:top w:w="0" w:type="dxa"/>
          <w:left w:w="108" w:type="dxa"/>
          <w:bottom w:w="0" w:type="dxa"/>
          <w:right w:w="108" w:type="dxa"/>
        </w:tblCellMar>
      </w:tblPr>
      <w:tblGrid>
        <w:gridCol w:w="790"/>
        <w:gridCol w:w="4727"/>
        <w:gridCol w:w="3648"/>
      </w:tblGrid>
      <w:tr w14:paraId="5D7383E8">
        <w:tblPrEx>
          <w:tblCellMar>
            <w:top w:w="0" w:type="dxa"/>
            <w:left w:w="108" w:type="dxa"/>
            <w:bottom w:w="0" w:type="dxa"/>
            <w:right w:w="108" w:type="dxa"/>
          </w:tblCellMar>
        </w:tblPrEx>
        <w:trPr>
          <w:trHeight w:val="90" w:hRule="atLeast"/>
          <w:jc w:val="center"/>
        </w:trPr>
        <w:tc>
          <w:tcPr>
            <w:tcW w:w="790" w:type="dxa"/>
            <w:tcBorders>
              <w:top w:val="single" w:color="000000" w:sz="4" w:space="0"/>
              <w:left w:val="single" w:color="000000" w:sz="4" w:space="0"/>
              <w:bottom w:val="single" w:color="000000" w:sz="4" w:space="0"/>
              <w:right w:val="single" w:color="000000" w:sz="4" w:space="0"/>
            </w:tcBorders>
            <w:noWrap/>
            <w:vAlign w:val="center"/>
          </w:tcPr>
          <w:p w14:paraId="7FE8A103">
            <w:pPr>
              <w:pStyle w:val="17"/>
              <w:spacing w:beforeAutospacing="0" w:afterAutospacing="0" w:line="360" w:lineRule="exact"/>
              <w:jc w:val="center"/>
              <w:rPr>
                <w:rFonts w:ascii="宋体" w:hAnsi="宋体"/>
                <w:bCs/>
                <w:highlight w:val="none"/>
              </w:rPr>
            </w:pPr>
            <w:r>
              <w:rPr>
                <w:rFonts w:hint="eastAsia" w:ascii="宋体" w:hAnsi="宋体"/>
                <w:bCs/>
                <w:highlight w:val="none"/>
              </w:rPr>
              <w:t>序号</w:t>
            </w:r>
          </w:p>
        </w:tc>
        <w:tc>
          <w:tcPr>
            <w:tcW w:w="4727" w:type="dxa"/>
            <w:tcBorders>
              <w:top w:val="single" w:color="000000" w:sz="4" w:space="0"/>
              <w:left w:val="nil"/>
              <w:bottom w:val="single" w:color="000000" w:sz="4" w:space="0"/>
              <w:right w:val="single" w:color="000000" w:sz="4" w:space="0"/>
            </w:tcBorders>
            <w:noWrap/>
            <w:vAlign w:val="center"/>
          </w:tcPr>
          <w:p w14:paraId="41DDF6EF">
            <w:pPr>
              <w:pStyle w:val="17"/>
              <w:spacing w:beforeAutospacing="0" w:afterAutospacing="0" w:line="360" w:lineRule="exact"/>
              <w:jc w:val="center"/>
              <w:rPr>
                <w:rFonts w:ascii="宋体" w:hAnsi="宋体"/>
                <w:bCs/>
                <w:highlight w:val="none"/>
              </w:rPr>
            </w:pPr>
            <w:r>
              <w:rPr>
                <w:rFonts w:hint="eastAsia" w:ascii="宋体" w:hAnsi="宋体"/>
                <w:bCs/>
                <w:highlight w:val="none"/>
              </w:rPr>
              <w:t>采购标的</w:t>
            </w:r>
          </w:p>
        </w:tc>
        <w:tc>
          <w:tcPr>
            <w:tcW w:w="3648" w:type="dxa"/>
            <w:tcBorders>
              <w:top w:val="single" w:color="000000" w:sz="4" w:space="0"/>
              <w:left w:val="nil"/>
              <w:bottom w:val="single" w:color="000000" w:sz="4" w:space="0"/>
              <w:right w:val="single" w:color="000000" w:sz="4" w:space="0"/>
            </w:tcBorders>
            <w:noWrap/>
            <w:vAlign w:val="center"/>
          </w:tcPr>
          <w:p w14:paraId="41263133">
            <w:pPr>
              <w:pStyle w:val="17"/>
              <w:spacing w:beforeAutospacing="0" w:afterAutospacing="0" w:line="360" w:lineRule="exact"/>
              <w:jc w:val="center"/>
              <w:rPr>
                <w:rFonts w:ascii="宋体" w:hAnsi="宋体"/>
                <w:bCs/>
                <w:highlight w:val="none"/>
              </w:rPr>
            </w:pPr>
            <w:r>
              <w:rPr>
                <w:rFonts w:hint="eastAsia" w:ascii="宋体" w:hAnsi="宋体"/>
                <w:bCs/>
                <w:highlight w:val="none"/>
              </w:rPr>
              <w:t>对应中小企业划分标准所属行业</w:t>
            </w:r>
          </w:p>
        </w:tc>
      </w:tr>
      <w:tr w14:paraId="03AE9F89">
        <w:tblPrEx>
          <w:tblCellMar>
            <w:top w:w="0" w:type="dxa"/>
            <w:left w:w="108" w:type="dxa"/>
            <w:bottom w:w="0" w:type="dxa"/>
            <w:right w:w="108" w:type="dxa"/>
          </w:tblCellMar>
        </w:tblPrEx>
        <w:trPr>
          <w:trHeight w:val="143" w:hRule="atLeast"/>
          <w:jc w:val="center"/>
        </w:trPr>
        <w:tc>
          <w:tcPr>
            <w:tcW w:w="790" w:type="dxa"/>
            <w:tcBorders>
              <w:top w:val="single" w:color="000000" w:sz="4" w:space="0"/>
              <w:left w:val="single" w:color="000000" w:sz="4" w:space="0"/>
              <w:bottom w:val="single" w:color="000000" w:sz="4" w:space="0"/>
              <w:right w:val="single" w:color="000000" w:sz="4" w:space="0"/>
            </w:tcBorders>
            <w:noWrap/>
            <w:vAlign w:val="center"/>
          </w:tcPr>
          <w:p w14:paraId="0D0AF64C">
            <w:pPr>
              <w:pStyle w:val="17"/>
              <w:spacing w:beforeAutospacing="0" w:afterAutospacing="0" w:line="360" w:lineRule="exact"/>
              <w:ind w:firstLine="240" w:firstLineChars="100"/>
              <w:jc w:val="both"/>
              <w:rPr>
                <w:rFonts w:ascii="宋体" w:hAnsi="宋体"/>
                <w:bCs/>
                <w:highlight w:val="none"/>
              </w:rPr>
            </w:pPr>
            <w:r>
              <w:rPr>
                <w:rFonts w:hint="eastAsia" w:ascii="宋体" w:hAnsi="宋体"/>
                <w:bCs/>
                <w:highlight w:val="none"/>
              </w:rPr>
              <w:t>1</w:t>
            </w:r>
          </w:p>
        </w:tc>
        <w:tc>
          <w:tcPr>
            <w:tcW w:w="4727" w:type="dxa"/>
            <w:tcBorders>
              <w:top w:val="single" w:color="000000" w:sz="4" w:space="0"/>
              <w:left w:val="nil"/>
              <w:bottom w:val="single" w:color="000000" w:sz="4" w:space="0"/>
              <w:right w:val="single" w:color="000000" w:sz="4" w:space="0"/>
            </w:tcBorders>
            <w:noWrap/>
            <w:vAlign w:val="center"/>
          </w:tcPr>
          <w:p w14:paraId="3FB6CC89">
            <w:pPr>
              <w:pStyle w:val="17"/>
              <w:spacing w:beforeAutospacing="0" w:afterAutospacing="0" w:line="360" w:lineRule="exact"/>
              <w:jc w:val="both"/>
              <w:rPr>
                <w:rFonts w:ascii="宋体" w:hAnsi="宋体"/>
                <w:bCs/>
                <w:highlight w:val="none"/>
              </w:rPr>
            </w:pPr>
            <w:r>
              <w:rPr>
                <w:rFonts w:hint="eastAsia"/>
              </w:rPr>
              <w:t>射阳县退役军人事务局2026-2027年度优抚对象及困难企业军转干健康体检合作医院采购项目</w:t>
            </w:r>
          </w:p>
        </w:tc>
        <w:tc>
          <w:tcPr>
            <w:tcW w:w="3648" w:type="dxa"/>
            <w:tcBorders>
              <w:top w:val="single" w:color="000000" w:sz="4" w:space="0"/>
              <w:left w:val="nil"/>
              <w:bottom w:val="single" w:color="000000" w:sz="4" w:space="0"/>
              <w:right w:val="single" w:color="000000" w:sz="4" w:space="0"/>
            </w:tcBorders>
            <w:noWrap/>
            <w:vAlign w:val="center"/>
          </w:tcPr>
          <w:p w14:paraId="0C302A04">
            <w:pPr>
              <w:pStyle w:val="17"/>
              <w:spacing w:beforeAutospacing="0" w:afterAutospacing="0" w:line="360" w:lineRule="exact"/>
              <w:jc w:val="center"/>
              <w:rPr>
                <w:rFonts w:hint="eastAsia" w:ascii="宋体" w:hAnsi="宋体" w:eastAsia="宋体"/>
                <w:bCs/>
                <w:sz w:val="20"/>
                <w:szCs w:val="18"/>
                <w:highlight w:val="none"/>
                <w:lang w:eastAsia="zh-CN"/>
              </w:rPr>
            </w:pPr>
            <w:r>
              <w:rPr>
                <w:rFonts w:hint="eastAsia" w:ascii="宋体" w:hAnsi="宋体" w:eastAsia="宋体" w:cs="宋体"/>
                <w:color w:val="auto"/>
                <w:sz w:val="24"/>
                <w:szCs w:val="24"/>
                <w:highlight w:val="none"/>
                <w:lang w:val="en-US" w:eastAsia="zh-CN"/>
              </w:rPr>
              <w:t>其他未列明行业</w:t>
            </w:r>
          </w:p>
        </w:tc>
      </w:tr>
    </w:tbl>
    <w:p w14:paraId="6792D8AA">
      <w:pPr>
        <w:pStyle w:val="17"/>
        <w:tabs>
          <w:tab w:val="left" w:pos="6205"/>
        </w:tabs>
        <w:spacing w:beforeAutospacing="0" w:afterAutospacing="0"/>
        <w:jc w:val="both"/>
        <w:rPr>
          <w:rFonts w:hint="eastAsia" w:ascii="宋体" w:hAnsi="宋体" w:eastAsia="宋体" w:cs="宋体"/>
          <w:sz w:val="24"/>
          <w:szCs w:val="24"/>
          <w:highlight w:val="none"/>
        </w:rPr>
      </w:pPr>
    </w:p>
    <w:p w14:paraId="5AEEB34B">
      <w:pPr>
        <w:pStyle w:val="17"/>
        <w:keepNext/>
        <w:spacing w:beforeAutospacing="0" w:afterAutospacing="0"/>
        <w:jc w:val="center"/>
        <w:rPr>
          <w:rFonts w:hint="eastAsia" w:ascii="宋体" w:hAnsi="宋体" w:eastAsia="宋体" w:cs="宋体"/>
          <w:sz w:val="24"/>
          <w:szCs w:val="24"/>
          <w:highlight w:val="none"/>
        </w:rPr>
      </w:pPr>
      <w:bookmarkStart w:id="189" w:name="_Toc120614281"/>
      <w:r>
        <w:rPr>
          <w:rFonts w:hint="eastAsia" w:ascii="宋体" w:hAnsi="宋体" w:eastAsia="宋体" w:cs="宋体"/>
          <w:sz w:val="24"/>
          <w:szCs w:val="24"/>
          <w:highlight w:val="none"/>
        </w:rPr>
        <w:t> </w:t>
      </w:r>
    </w:p>
    <w:p w14:paraId="61AA3C61">
      <w:pPr>
        <w:pStyle w:val="17"/>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23810F0B">
      <w:pPr>
        <w:pStyle w:val="17"/>
        <w:spacing w:beforeAutospacing="0" w:afterAutospacing="0"/>
        <w:jc w:val="both"/>
        <w:rPr>
          <w:highlight w:val="none"/>
        </w:rPr>
      </w:pPr>
    </w:p>
    <w:p w14:paraId="7375105D">
      <w:pPr>
        <w:pStyle w:val="17"/>
        <w:spacing w:beforeAutospacing="0" w:afterAutospacing="0"/>
        <w:jc w:val="both"/>
        <w:rPr>
          <w:highlight w:val="none"/>
        </w:rPr>
      </w:pPr>
    </w:p>
    <w:p w14:paraId="498F8BED">
      <w:pPr>
        <w:pStyle w:val="17"/>
        <w:spacing w:beforeAutospacing="0" w:afterAutospacing="0"/>
        <w:jc w:val="both"/>
        <w:rPr>
          <w:highlight w:val="none"/>
        </w:rPr>
      </w:pPr>
    </w:p>
    <w:p w14:paraId="2AD50BEB">
      <w:pPr>
        <w:pStyle w:val="17"/>
        <w:spacing w:beforeAutospacing="0" w:afterAutospacing="0"/>
        <w:jc w:val="both"/>
        <w:rPr>
          <w:highlight w:val="none"/>
        </w:rPr>
      </w:pPr>
    </w:p>
    <w:p w14:paraId="2ED372E7">
      <w:pPr>
        <w:pStyle w:val="17"/>
        <w:spacing w:beforeAutospacing="0" w:afterAutospacing="0"/>
        <w:jc w:val="both"/>
        <w:rPr>
          <w:highlight w:val="none"/>
        </w:rPr>
      </w:pPr>
      <w:r>
        <w:rPr>
          <w:highlight w:val="none"/>
        </w:rPr>
        <w:t> </w:t>
      </w:r>
    </w:p>
    <w:p w14:paraId="1970E4F5">
      <w:pPr>
        <w:pStyle w:val="17"/>
        <w:spacing w:beforeAutospacing="0" w:afterAutospacing="0"/>
        <w:jc w:val="both"/>
        <w:rPr>
          <w:highlight w:val="none"/>
        </w:rPr>
      </w:pPr>
    </w:p>
    <w:p w14:paraId="07ED31F9">
      <w:pPr>
        <w:pStyle w:val="17"/>
        <w:spacing w:beforeAutospacing="0" w:afterAutospacing="0"/>
        <w:jc w:val="both"/>
        <w:rPr>
          <w:highlight w:val="none"/>
        </w:rPr>
      </w:pPr>
    </w:p>
    <w:p w14:paraId="53D27070">
      <w:pPr>
        <w:pStyle w:val="17"/>
        <w:spacing w:beforeAutospacing="0" w:afterAutospacing="0"/>
        <w:jc w:val="both"/>
        <w:rPr>
          <w:highlight w:val="none"/>
        </w:rPr>
      </w:pPr>
    </w:p>
    <w:p w14:paraId="5DAA78F2">
      <w:pPr>
        <w:pStyle w:val="17"/>
        <w:spacing w:beforeAutospacing="0" w:afterAutospacing="0"/>
        <w:jc w:val="both"/>
        <w:rPr>
          <w:highlight w:val="none"/>
        </w:rPr>
      </w:pPr>
    </w:p>
    <w:p w14:paraId="69F16FC8">
      <w:pPr>
        <w:pStyle w:val="17"/>
        <w:spacing w:beforeAutospacing="0" w:afterAutospacing="0"/>
        <w:jc w:val="both"/>
        <w:rPr>
          <w:highlight w:val="none"/>
        </w:rPr>
      </w:pPr>
    </w:p>
    <w:p w14:paraId="4B60567F">
      <w:pPr>
        <w:pStyle w:val="17"/>
        <w:spacing w:beforeAutospacing="0" w:afterAutospacing="0"/>
        <w:jc w:val="both"/>
        <w:rPr>
          <w:highlight w:val="none"/>
        </w:rPr>
      </w:pPr>
    </w:p>
    <w:p w14:paraId="1B8729C9">
      <w:pPr>
        <w:pStyle w:val="17"/>
        <w:spacing w:beforeAutospacing="0" w:afterAutospacing="0"/>
        <w:jc w:val="both"/>
        <w:rPr>
          <w:highlight w:val="none"/>
        </w:rPr>
      </w:pPr>
    </w:p>
    <w:p w14:paraId="16C3032F">
      <w:pPr>
        <w:pStyle w:val="17"/>
        <w:spacing w:beforeAutospacing="0" w:afterAutospacing="0"/>
        <w:jc w:val="both"/>
        <w:rPr>
          <w:highlight w:val="none"/>
        </w:rPr>
      </w:pPr>
    </w:p>
    <w:p w14:paraId="7965DB08">
      <w:pPr>
        <w:pStyle w:val="17"/>
        <w:spacing w:beforeAutospacing="0" w:afterAutospacing="0"/>
        <w:jc w:val="both"/>
        <w:rPr>
          <w:highlight w:val="none"/>
        </w:rPr>
      </w:pPr>
    </w:p>
    <w:p w14:paraId="14E17F22">
      <w:pPr>
        <w:pStyle w:val="17"/>
        <w:spacing w:beforeAutospacing="0" w:afterAutospacing="0"/>
        <w:jc w:val="both"/>
        <w:rPr>
          <w:highlight w:val="none"/>
        </w:rPr>
      </w:pPr>
    </w:p>
    <w:p w14:paraId="03B54946">
      <w:pPr>
        <w:pStyle w:val="17"/>
        <w:spacing w:beforeAutospacing="0" w:afterAutospacing="0"/>
        <w:jc w:val="both"/>
        <w:rPr>
          <w:highlight w:val="none"/>
        </w:rPr>
      </w:pPr>
    </w:p>
    <w:p w14:paraId="39C93EEF">
      <w:pPr>
        <w:pStyle w:val="17"/>
        <w:spacing w:beforeAutospacing="0" w:afterAutospacing="0"/>
        <w:jc w:val="both"/>
        <w:rPr>
          <w:highlight w:val="none"/>
        </w:rPr>
      </w:pPr>
    </w:p>
    <w:p w14:paraId="3425FBE6">
      <w:pPr>
        <w:pStyle w:val="17"/>
        <w:spacing w:beforeAutospacing="0" w:afterAutospacing="0"/>
        <w:jc w:val="both"/>
        <w:rPr>
          <w:highlight w:val="none"/>
        </w:rPr>
      </w:pPr>
    </w:p>
    <w:p w14:paraId="527EC45A">
      <w:pPr>
        <w:pStyle w:val="17"/>
        <w:spacing w:beforeAutospacing="0" w:afterAutospacing="0"/>
        <w:jc w:val="both"/>
        <w:rPr>
          <w:highlight w:val="none"/>
        </w:rPr>
      </w:pPr>
    </w:p>
    <w:p w14:paraId="70111B3A">
      <w:pPr>
        <w:pStyle w:val="17"/>
        <w:spacing w:beforeAutospacing="0" w:afterAutospacing="0"/>
        <w:jc w:val="both"/>
        <w:rPr>
          <w:highlight w:val="none"/>
        </w:rPr>
      </w:pPr>
    </w:p>
    <w:p w14:paraId="074B2D0C">
      <w:pPr>
        <w:pStyle w:val="17"/>
        <w:spacing w:beforeAutospacing="0" w:afterAutospacing="0"/>
        <w:jc w:val="both"/>
        <w:rPr>
          <w:highlight w:val="none"/>
        </w:rPr>
      </w:pPr>
    </w:p>
    <w:p w14:paraId="6A3D85B8">
      <w:pPr>
        <w:pStyle w:val="17"/>
        <w:spacing w:beforeAutospacing="0" w:afterAutospacing="0"/>
        <w:jc w:val="both"/>
        <w:rPr>
          <w:highlight w:val="none"/>
        </w:rPr>
      </w:pPr>
    </w:p>
    <w:p w14:paraId="06443718">
      <w:pPr>
        <w:pStyle w:val="17"/>
        <w:spacing w:beforeAutospacing="0" w:afterAutospacing="0"/>
        <w:jc w:val="both"/>
        <w:rPr>
          <w:highlight w:val="none"/>
        </w:rPr>
      </w:pPr>
    </w:p>
    <w:p w14:paraId="7FC7DC5B">
      <w:pPr>
        <w:pStyle w:val="17"/>
        <w:spacing w:beforeAutospacing="0" w:afterAutospacing="0"/>
        <w:jc w:val="both"/>
        <w:rPr>
          <w:highlight w:val="none"/>
        </w:rPr>
      </w:pPr>
    </w:p>
    <w:p w14:paraId="692C9B6E">
      <w:pPr>
        <w:pStyle w:val="17"/>
        <w:spacing w:beforeAutospacing="0" w:afterAutospacing="0"/>
        <w:jc w:val="both"/>
        <w:rPr>
          <w:highlight w:val="none"/>
        </w:rPr>
      </w:pPr>
    </w:p>
    <w:p w14:paraId="5D50DEEA">
      <w:pPr>
        <w:pStyle w:val="17"/>
        <w:spacing w:beforeAutospacing="0" w:afterAutospacing="0"/>
        <w:jc w:val="both"/>
        <w:rPr>
          <w:highlight w:val="none"/>
        </w:rPr>
      </w:pPr>
    </w:p>
    <w:p w14:paraId="52684FAC">
      <w:pPr>
        <w:pStyle w:val="17"/>
        <w:spacing w:beforeAutospacing="0" w:afterAutospacing="0"/>
        <w:jc w:val="both"/>
        <w:rPr>
          <w:highlight w:val="none"/>
        </w:rPr>
      </w:pPr>
    </w:p>
    <w:p w14:paraId="2596E75E">
      <w:pPr>
        <w:pStyle w:val="17"/>
        <w:spacing w:beforeAutospacing="0" w:afterAutospacing="0"/>
        <w:jc w:val="both"/>
        <w:rPr>
          <w:highlight w:val="none"/>
        </w:rPr>
      </w:pPr>
    </w:p>
    <w:p w14:paraId="03279A9E">
      <w:pPr>
        <w:pStyle w:val="17"/>
        <w:spacing w:beforeAutospacing="0" w:afterAutospacing="0"/>
        <w:jc w:val="both"/>
        <w:rPr>
          <w:highlight w:val="none"/>
        </w:rPr>
      </w:pPr>
    </w:p>
    <w:p w14:paraId="39EA9D81">
      <w:pPr>
        <w:pStyle w:val="17"/>
        <w:spacing w:beforeAutospacing="0" w:afterAutospacing="0"/>
        <w:jc w:val="both"/>
        <w:rPr>
          <w:highlight w:val="none"/>
        </w:rPr>
      </w:pPr>
    </w:p>
    <w:p w14:paraId="17F35D1A">
      <w:pPr>
        <w:pStyle w:val="17"/>
        <w:spacing w:beforeAutospacing="0" w:afterAutospacing="0"/>
        <w:jc w:val="both"/>
        <w:rPr>
          <w:highlight w:val="none"/>
        </w:rPr>
      </w:pPr>
    </w:p>
    <w:p w14:paraId="05970C7B">
      <w:pPr>
        <w:pStyle w:val="17"/>
        <w:spacing w:beforeAutospacing="0" w:afterAutospacing="0"/>
        <w:jc w:val="both"/>
        <w:rPr>
          <w:highlight w:val="none"/>
        </w:rPr>
      </w:pPr>
    </w:p>
    <w:p w14:paraId="4CC42936">
      <w:pPr>
        <w:pStyle w:val="17"/>
        <w:spacing w:beforeAutospacing="0" w:afterAutospacing="0"/>
        <w:jc w:val="both"/>
        <w:rPr>
          <w:highlight w:val="none"/>
        </w:rPr>
      </w:pPr>
    </w:p>
    <w:p w14:paraId="138D9711">
      <w:pPr>
        <w:pStyle w:val="17"/>
        <w:spacing w:beforeAutospacing="0" w:afterAutospacing="0"/>
        <w:jc w:val="both"/>
        <w:rPr>
          <w:highlight w:val="none"/>
        </w:rPr>
      </w:pPr>
    </w:p>
    <w:p w14:paraId="3880A673">
      <w:pPr>
        <w:pStyle w:val="17"/>
        <w:keepNext/>
        <w:spacing w:beforeAutospacing="0" w:afterAutospacing="0"/>
        <w:jc w:val="center"/>
        <w:outlineLvl w:val="0"/>
        <w:rPr>
          <w:rFonts w:hint="eastAsia" w:ascii="宋体" w:hAnsi="宋体" w:eastAsia="宋体" w:cs="宋体"/>
          <w:b/>
          <w:bCs/>
          <w:color w:val="000000"/>
          <w:sz w:val="40"/>
          <w:szCs w:val="40"/>
          <w:highlight w:val="none"/>
        </w:rPr>
      </w:pPr>
      <w:r>
        <w:rPr>
          <w:rFonts w:hint="eastAsia" w:ascii="宋体" w:hAnsi="宋体" w:eastAsia="宋体" w:cs="宋体"/>
          <w:b/>
          <w:bCs/>
          <w:color w:val="000000"/>
          <w:sz w:val="40"/>
          <w:szCs w:val="40"/>
          <w:highlight w:val="none"/>
        </w:rPr>
        <w:t>第五章  评标方法与评标标准</w:t>
      </w:r>
    </w:p>
    <w:p w14:paraId="423C8189">
      <w:pPr>
        <w:pStyle w:val="17"/>
        <w:spacing w:beforeAutospacing="0" w:afterAutospacing="0"/>
        <w:jc w:val="both"/>
        <w:rPr>
          <w:highlight w:val="none"/>
        </w:rPr>
      </w:pPr>
      <w:r>
        <w:rPr>
          <w:highlight w:val="none"/>
        </w:rPr>
        <w:t> </w:t>
      </w:r>
    </w:p>
    <w:p w14:paraId="668FEA9F">
      <w:pPr>
        <w:snapToGrid w:val="0"/>
        <w:spacing w:line="360" w:lineRule="auto"/>
        <w:ind w:firstLine="482" w:firstLineChars="200"/>
        <w:outlineLvl w:val="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一、定标原则</w:t>
      </w:r>
    </w:p>
    <w:p w14:paraId="0CC3377A">
      <w:pPr>
        <w:spacing w:line="360" w:lineRule="auto"/>
        <w:ind w:firstLine="480"/>
        <w:rPr>
          <w:rFonts w:hint="eastAsia" w:ascii="宋体" w:hAnsi="宋体" w:eastAsia="宋体" w:cs="宋体"/>
          <w:b/>
          <w:bCs/>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本项目采用</w:t>
      </w:r>
      <w:r>
        <w:rPr>
          <w:rFonts w:hint="eastAsia" w:ascii="宋体" w:hAnsi="宋体" w:eastAsia="宋体" w:cs="宋体"/>
          <w:b/>
          <w:bCs/>
          <w:kern w:val="2"/>
          <w:sz w:val="24"/>
          <w:szCs w:val="24"/>
          <w:highlight w:val="none"/>
          <w:lang w:val="en-US" w:eastAsia="zh-CN" w:bidi="ar-SA"/>
        </w:rPr>
        <w:t>综合评分法</w:t>
      </w:r>
      <w:r>
        <w:rPr>
          <w:rFonts w:hint="eastAsia" w:ascii="宋体" w:hAnsi="宋体" w:eastAsia="宋体" w:cs="宋体"/>
          <w:b w:val="0"/>
          <w:bCs w:val="0"/>
          <w:kern w:val="2"/>
          <w:sz w:val="24"/>
          <w:szCs w:val="24"/>
          <w:highlight w:val="none"/>
          <w:lang w:val="en-US" w:eastAsia="zh-CN" w:bidi="ar-SA"/>
        </w:rPr>
        <w:t>，评标结果按评审后得分由高到低顺序排列。投标文件满足招标文件全部实质性要求，且按照评审因素的量化指标评审得分最高的投标人为中标候选人。</w:t>
      </w:r>
    </w:p>
    <w:p w14:paraId="624E367A">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
          <w:bCs/>
          <w:color w:val="auto"/>
          <w:kern w:val="2"/>
          <w:sz w:val="24"/>
          <w:szCs w:val="24"/>
          <w:highlight w:val="none"/>
          <w:lang w:val="en-US" w:eastAsia="zh-CN" w:bidi="ar-SA"/>
        </w:rPr>
        <w:t>如总得分相同的，按项目实施方案得分最高的投标供应商确定为本项目的第一中标候选供应商。本项目选取1名中标候选供应商。采购人确定排名第一的中标候选供应商为中标供应商并与其签订合同。</w:t>
      </w:r>
    </w:p>
    <w:p w14:paraId="7A676DAE">
      <w:pPr>
        <w:pStyle w:val="17"/>
        <w:spacing w:before="120" w:beforeAutospacing="0" w:after="120" w:afterAutospacing="0" w:line="360" w:lineRule="auto"/>
        <w:ind w:firstLine="441" w:firstLineChars="0"/>
        <w:outlineLvl w:val="0"/>
        <w:rPr>
          <w:rFonts w:hint="eastAsia" w:ascii="宋体" w:hAnsi="宋体" w:eastAsia="宋体" w:cs="宋体"/>
          <w:highlight w:val="none"/>
        </w:rPr>
      </w:pPr>
      <w:r>
        <w:rPr>
          <w:rFonts w:hint="eastAsia" w:ascii="宋体" w:hAnsi="宋体" w:eastAsia="宋体" w:cs="宋体"/>
          <w:b/>
          <w:color w:val="000000"/>
          <w:highlight w:val="none"/>
          <w:lang w:val="en-US" w:eastAsia="zh-CN"/>
        </w:rPr>
        <w:t>二、</w:t>
      </w:r>
      <w:r>
        <w:rPr>
          <w:rFonts w:hint="eastAsia" w:ascii="宋体" w:hAnsi="宋体" w:eastAsia="宋体" w:cs="宋体"/>
          <w:b/>
          <w:color w:val="000000"/>
          <w:highlight w:val="none"/>
        </w:rPr>
        <w:t>政府采购政策功能落实</w:t>
      </w:r>
    </w:p>
    <w:p w14:paraId="5B1ABE48">
      <w:pPr>
        <w:pStyle w:val="17"/>
        <w:spacing w:before="120" w:beforeAutospacing="0" w:after="120" w:afterAutospacing="0" w:line="360" w:lineRule="exact"/>
        <w:ind w:firstLine="480"/>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1、小微型企业价格扣除</w:t>
      </w:r>
    </w:p>
    <w:p w14:paraId="440AB80C">
      <w:pPr>
        <w:pStyle w:val="17"/>
        <w:spacing w:before="120" w:beforeAutospacing="0" w:after="120" w:afterAutospacing="0" w:line="360" w:lineRule="exact"/>
        <w:ind w:firstLine="360"/>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（1）本项目对小型和微型企业给予20%的价格扣除，用扣除后的价格参与评审。</w:t>
      </w:r>
    </w:p>
    <w:p w14:paraId="1B087332">
      <w:pPr>
        <w:pStyle w:val="17"/>
        <w:spacing w:before="120" w:beforeAutospacing="0" w:after="120" w:afterAutospacing="0" w:line="360" w:lineRule="exact"/>
        <w:ind w:firstLine="360"/>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（2）投标人需按照招标文件的要求提供相应的《小微企业声明函》。</w:t>
      </w:r>
    </w:p>
    <w:p w14:paraId="4537E022">
      <w:pPr>
        <w:pStyle w:val="17"/>
        <w:spacing w:before="120" w:beforeAutospacing="0" w:after="120" w:afterAutospacing="0" w:line="360" w:lineRule="exact"/>
        <w:ind w:firstLine="360"/>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（3）企业标准请参照《关于印发中小企业划型标准规定的通知》（工信部联企业[2011]300号）文件规定自行填写。</w:t>
      </w:r>
    </w:p>
    <w:p w14:paraId="1523C72E">
      <w:pPr>
        <w:pStyle w:val="17"/>
        <w:spacing w:before="120" w:beforeAutospacing="0" w:after="120" w:afterAutospacing="0" w:line="360" w:lineRule="exact"/>
        <w:ind w:firstLine="480"/>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2、残疾人福利单位价格扣除</w:t>
      </w:r>
    </w:p>
    <w:p w14:paraId="37F15D82">
      <w:pPr>
        <w:pStyle w:val="17"/>
        <w:spacing w:before="120" w:beforeAutospacing="0" w:after="120" w:afterAutospacing="0" w:line="360" w:lineRule="exact"/>
        <w:ind w:left="120" w:firstLine="360"/>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（1）本项目对残疾人福利性单位视同小型、微型企业，给予20%的价格扣除，用扣除后的价格参与评审。</w:t>
      </w:r>
    </w:p>
    <w:p w14:paraId="2EE1A776">
      <w:pPr>
        <w:pStyle w:val="17"/>
        <w:spacing w:before="120" w:beforeAutospacing="0" w:after="120" w:afterAutospacing="0" w:line="360" w:lineRule="exact"/>
        <w:ind w:left="120" w:firstLine="360"/>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（2）残疾人福利单位需按照招标文件的要求提供《残疾人福利性单位声明函》。</w:t>
      </w:r>
    </w:p>
    <w:p w14:paraId="5E309A56">
      <w:pPr>
        <w:pStyle w:val="17"/>
        <w:spacing w:before="120" w:beforeAutospacing="0" w:after="120" w:afterAutospacing="0" w:line="360" w:lineRule="exact"/>
        <w:ind w:left="120" w:firstLine="360"/>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（3）残疾人福利单位标准请参照《关于促进残疾人就业政府采购政策的通知》（财库〔2017〕141号）。</w:t>
      </w:r>
    </w:p>
    <w:p w14:paraId="038593FE">
      <w:pPr>
        <w:pStyle w:val="17"/>
        <w:spacing w:before="120" w:beforeAutospacing="0" w:after="120" w:afterAutospacing="0" w:line="360" w:lineRule="exact"/>
        <w:ind w:firstLine="480"/>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3、监狱和戒毒企业价格扣除</w:t>
      </w:r>
    </w:p>
    <w:p w14:paraId="27BD1229">
      <w:pPr>
        <w:pStyle w:val="17"/>
        <w:spacing w:before="120" w:beforeAutospacing="0" w:after="120" w:afterAutospacing="0" w:line="360" w:lineRule="exact"/>
        <w:ind w:firstLine="480"/>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（1）本项目对监狱和戒毒企业（简称监狱企业）视同小型、微型企业，给予20%的价格扣除，用扣除后的价格参与评审。</w:t>
      </w:r>
    </w:p>
    <w:p w14:paraId="55DBA49D">
      <w:pPr>
        <w:pStyle w:val="17"/>
        <w:spacing w:before="120" w:beforeAutospacing="0" w:after="120" w:afterAutospacing="0" w:line="360" w:lineRule="exact"/>
        <w:ind w:firstLine="480"/>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（2）监狱企业参加政府采购活动时，需提供由省级以上监狱管理局、戒毒管理局(含新疆生产建设兵团)出具的属于监狱企业的证明文件。投标人如不提供上述证明文件，价格将不做相应扣除。</w:t>
      </w:r>
    </w:p>
    <w:p w14:paraId="2E2F877A">
      <w:pPr>
        <w:pStyle w:val="17"/>
        <w:spacing w:before="120" w:beforeAutospacing="0" w:after="120" w:afterAutospacing="0" w:line="360" w:lineRule="exact"/>
        <w:ind w:firstLine="480"/>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（3）监狱企业标准请参照《关于政府采购支持监狱企业发展有关问题的通知》（财库[2014]68号）。</w:t>
      </w:r>
    </w:p>
    <w:p w14:paraId="44ED67F3">
      <w:pPr>
        <w:pStyle w:val="17"/>
        <w:spacing w:before="120" w:beforeAutospacing="0" w:after="120" w:afterAutospacing="0" w:line="360" w:lineRule="exact"/>
        <w:ind w:firstLine="480"/>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4、残疾人福利单位、监狱企业属于小型、微型企业的，不重复享受政策。</w:t>
      </w:r>
    </w:p>
    <w:p w14:paraId="62E807BF">
      <w:pPr>
        <w:spacing w:line="360" w:lineRule="exact"/>
        <w:ind w:firstLine="480"/>
        <w:rPr>
          <w:rFonts w:ascii="宋体" w:hAnsi="宋体" w:cs="宋体"/>
          <w:sz w:val="24"/>
          <w:szCs w:val="24"/>
        </w:rPr>
      </w:pPr>
      <w:r>
        <w:rPr>
          <w:rFonts w:hint="eastAsia" w:asciiTheme="minorEastAsia" w:hAnsiTheme="minorEastAsia" w:eastAsiaTheme="minorEastAsia" w:cstheme="minorEastAsia"/>
          <w:sz w:val="24"/>
          <w:szCs w:val="24"/>
        </w:rPr>
        <w:t>5、严格执行政府采购关于支持节能产品、环境标志产品的相关政策规定。如本次采购的产品属于财政部、国家发</w:t>
      </w:r>
      <w:r>
        <w:rPr>
          <w:rFonts w:hint="eastAsia" w:ascii="宋体" w:hAnsi="宋体" w:cs="宋体"/>
          <w:sz w:val="24"/>
          <w:szCs w:val="24"/>
        </w:rPr>
        <w:t>展改革委、生态环境部、市场监管总局等部门发布的节能产品、环境标志产品品目清单政府强制采购范围的，投标人必须在投标文件中提供所投产品的相关证书(由国家确定的认证机构出具的、处于有效期之内的节能产品、环境标志产品认证证书)。节能产品、环境标志产品品目清单以递交投标文件截止时已正式公布的最近一期信息为准，</w:t>
      </w:r>
      <w:r>
        <w:rPr>
          <w:rFonts w:hint="eastAsia" w:ascii="宋体" w:hAnsi="宋体" w:cs="宋体"/>
          <w:b/>
          <w:i/>
          <w:sz w:val="24"/>
          <w:szCs w:val="24"/>
        </w:rPr>
        <w:t>如属政府强制采购产品未提供认证证书的或认证证书提供不全的将视为未实质性响应采购要求</w:t>
      </w:r>
      <w:r>
        <w:rPr>
          <w:rFonts w:hint="eastAsia" w:ascii="宋体" w:hAnsi="宋体" w:cs="宋体"/>
          <w:i/>
          <w:sz w:val="24"/>
          <w:szCs w:val="24"/>
        </w:rPr>
        <w:t>。</w:t>
      </w:r>
      <w:r>
        <w:rPr>
          <w:rFonts w:hint="eastAsia" w:ascii="宋体" w:hAnsi="宋体" w:cs="宋体"/>
          <w:sz w:val="24"/>
          <w:szCs w:val="24"/>
        </w:rPr>
        <w:t>其他条件相同情况下，应当优先采购节能产品、环境标志产品。</w:t>
      </w:r>
    </w:p>
    <w:p w14:paraId="04B0560A">
      <w:pPr>
        <w:spacing w:line="360" w:lineRule="exact"/>
        <w:ind w:firstLine="480"/>
        <w:rPr>
          <w:rFonts w:ascii="宋体" w:hAnsi="宋体" w:cs="宋体"/>
          <w:sz w:val="24"/>
          <w:szCs w:val="24"/>
        </w:rPr>
      </w:pPr>
      <w:r>
        <w:rPr>
          <w:rFonts w:ascii="宋体" w:hAnsi="宋体" w:cs="宋体"/>
          <w:sz w:val="24"/>
          <w:szCs w:val="24"/>
        </w:rPr>
        <w:t>6</w:t>
      </w:r>
      <w:r>
        <w:rPr>
          <w:rFonts w:hint="eastAsia" w:ascii="宋体" w:hAnsi="宋体" w:cs="宋体"/>
          <w:sz w:val="24"/>
          <w:szCs w:val="24"/>
        </w:rPr>
        <w:t>、投标人对于投标产品的商品包装、快递包装应按照“财办库〔2020〕123号《关于印发《商品包装政府采购需求标准（试行）》、《快递包装政府采购需求标准（试行）》的通知》”执行。</w:t>
      </w:r>
    </w:p>
    <w:p w14:paraId="34F93E56">
      <w:pPr>
        <w:spacing w:line="360" w:lineRule="exact"/>
        <w:ind w:firstLine="480"/>
        <w:rPr>
          <w:rFonts w:hint="eastAsia" w:ascii="宋体" w:hAnsi="宋体" w:eastAsia="宋体" w:cs="宋体"/>
          <w:color w:val="auto"/>
          <w:kern w:val="0"/>
          <w:sz w:val="24"/>
          <w:highlight w:val="none"/>
        </w:rPr>
      </w:pPr>
      <w:r>
        <w:rPr>
          <w:rFonts w:ascii="宋体" w:hAnsi="宋体" w:cs="宋体"/>
          <w:sz w:val="24"/>
          <w:szCs w:val="24"/>
        </w:rPr>
        <w:t>7</w:t>
      </w:r>
      <w:r>
        <w:rPr>
          <w:rFonts w:hint="eastAsia" w:ascii="宋体" w:hAnsi="宋体" w:cs="宋体"/>
          <w:sz w:val="24"/>
          <w:szCs w:val="24"/>
        </w:rPr>
        <w:t>、本文件中若涉及到数据中心采购，应按照《&lt;绿色数据中心政府采购需求标准（试行）&gt;的通知》（财库〔2023〕7号）执行。</w:t>
      </w:r>
    </w:p>
    <w:p w14:paraId="7CC0C503">
      <w:pPr>
        <w:pStyle w:val="17"/>
        <w:spacing w:before="120" w:beforeAutospacing="0" w:after="120" w:afterAutospacing="0" w:line="0" w:lineRule="atLeast"/>
        <w:ind w:firstLine="482" w:firstLineChars="0"/>
        <w:outlineLvl w:val="0"/>
        <w:rPr>
          <w:rFonts w:hint="eastAsia" w:ascii="宋体" w:hAnsi="宋体" w:eastAsia="宋体" w:cs="宋体"/>
          <w:highlight w:val="none"/>
        </w:rPr>
      </w:pPr>
      <w:r>
        <w:rPr>
          <w:rFonts w:hint="eastAsia" w:ascii="宋体" w:hAnsi="宋体" w:eastAsia="宋体" w:cs="宋体"/>
          <w:b/>
          <w:color w:val="000000"/>
          <w:highlight w:val="none"/>
          <w:lang w:eastAsia="zh-CN"/>
        </w:rPr>
        <w:t>三、</w:t>
      </w:r>
      <w:r>
        <w:rPr>
          <w:rFonts w:hint="eastAsia" w:ascii="宋体" w:hAnsi="宋体" w:eastAsia="宋体" w:cs="宋体"/>
          <w:b/>
          <w:color w:val="000000"/>
          <w:highlight w:val="none"/>
        </w:rPr>
        <w:t>评标方法与评标标准</w:t>
      </w:r>
    </w:p>
    <w:tbl>
      <w:tblPr>
        <w:tblStyle w:val="20"/>
        <w:tblW w:w="96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2"/>
        <w:gridCol w:w="1192"/>
        <w:gridCol w:w="7161"/>
      </w:tblGrid>
      <w:tr w14:paraId="5C0CC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44" w:type="dxa"/>
            <w:gridSpan w:val="2"/>
          </w:tcPr>
          <w:p w14:paraId="50D695B7">
            <w:pPr>
              <w:pStyle w:val="11"/>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宋体" w:hAnsi="宋体" w:cs="宋体"/>
                <w:b/>
                <w:bCs/>
                <w:sz w:val="24"/>
                <w:szCs w:val="24"/>
              </w:rPr>
            </w:pPr>
            <w:bookmarkStart w:id="190" w:name="_Hlk169588677"/>
            <w:r>
              <w:rPr>
                <w:rFonts w:hint="eastAsia" w:ascii="宋体" w:hAnsi="宋体" w:cs="宋体"/>
                <w:b/>
                <w:bCs/>
                <w:sz w:val="24"/>
                <w:szCs w:val="24"/>
              </w:rPr>
              <w:t>评审项目</w:t>
            </w:r>
          </w:p>
        </w:tc>
        <w:tc>
          <w:tcPr>
            <w:tcW w:w="7161" w:type="dxa"/>
          </w:tcPr>
          <w:p w14:paraId="559E2DBB">
            <w:pPr>
              <w:pStyle w:val="11"/>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宋体" w:hAnsi="宋体" w:cs="宋体"/>
                <w:b/>
                <w:bCs/>
                <w:sz w:val="24"/>
                <w:szCs w:val="24"/>
              </w:rPr>
            </w:pPr>
            <w:r>
              <w:rPr>
                <w:rFonts w:hint="eastAsia" w:ascii="宋体" w:hAnsi="宋体" w:cs="宋体"/>
                <w:b/>
                <w:bCs/>
                <w:sz w:val="24"/>
                <w:szCs w:val="24"/>
              </w:rPr>
              <w:t>评审规则</w:t>
            </w:r>
          </w:p>
        </w:tc>
      </w:tr>
      <w:tr w14:paraId="012D1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52" w:type="dxa"/>
            <w:vMerge w:val="restart"/>
            <w:vAlign w:val="center"/>
          </w:tcPr>
          <w:p w14:paraId="5A1A9F19">
            <w:pPr>
              <w:pStyle w:val="11"/>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宋体" w:hAnsi="宋体" w:cs="宋体"/>
                <w:sz w:val="24"/>
                <w:szCs w:val="24"/>
              </w:rPr>
            </w:pPr>
            <w:r>
              <w:rPr>
                <w:rFonts w:hint="eastAsia" w:ascii="宋体" w:hAnsi="宋体" w:cs="宋体"/>
                <w:sz w:val="24"/>
                <w:szCs w:val="24"/>
              </w:rPr>
              <w:t>技术方案</w:t>
            </w:r>
          </w:p>
          <w:p w14:paraId="48638CA2">
            <w:pPr>
              <w:pStyle w:val="11"/>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宋体" w:hAnsi="宋体" w:cs="宋体"/>
                <w:sz w:val="24"/>
                <w:szCs w:val="24"/>
              </w:rPr>
            </w:pPr>
            <w:r>
              <w:rPr>
                <w:rFonts w:hint="eastAsia" w:ascii="宋体" w:hAnsi="宋体" w:cs="宋体"/>
                <w:sz w:val="24"/>
                <w:szCs w:val="24"/>
              </w:rPr>
              <w:t>（</w:t>
            </w:r>
            <w:r>
              <w:rPr>
                <w:rFonts w:hint="eastAsia" w:ascii="宋体" w:hAnsi="宋体" w:cs="宋体"/>
                <w:sz w:val="24"/>
                <w:szCs w:val="24"/>
                <w:lang w:val="en-US" w:eastAsia="zh-CN"/>
              </w:rPr>
              <w:t>36</w:t>
            </w:r>
            <w:r>
              <w:rPr>
                <w:rFonts w:hint="eastAsia" w:ascii="宋体" w:hAnsi="宋体" w:cs="宋体"/>
                <w:sz w:val="24"/>
                <w:szCs w:val="24"/>
              </w:rPr>
              <w:t>分）</w:t>
            </w:r>
          </w:p>
        </w:tc>
        <w:tc>
          <w:tcPr>
            <w:tcW w:w="1192" w:type="dxa"/>
            <w:vAlign w:val="center"/>
          </w:tcPr>
          <w:p w14:paraId="0EE0A141">
            <w:pPr>
              <w:pStyle w:val="11"/>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宋体" w:hAnsi="宋体" w:cs="宋体" w:eastAsiaTheme="minorEastAsia"/>
                <w:sz w:val="24"/>
                <w:szCs w:val="24"/>
                <w:lang w:val="en-US" w:eastAsia="zh-CN"/>
              </w:rPr>
            </w:pPr>
            <w:r>
              <w:rPr>
                <w:rFonts w:hint="eastAsia" w:ascii="宋体" w:hAnsi="宋体" w:cs="宋体"/>
                <w:sz w:val="24"/>
                <w:szCs w:val="24"/>
              </w:rPr>
              <w:t>总体规划</w:t>
            </w:r>
            <w:r>
              <w:rPr>
                <w:rFonts w:hint="eastAsia" w:ascii="宋体" w:hAnsi="宋体" w:cs="宋体"/>
                <w:sz w:val="24"/>
                <w:szCs w:val="24"/>
                <w:lang w:val="en-US" w:eastAsia="zh-CN"/>
              </w:rPr>
              <w:t>方案</w:t>
            </w:r>
          </w:p>
          <w:p w14:paraId="1DD9C109">
            <w:pPr>
              <w:pStyle w:val="11"/>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宋体" w:hAnsi="宋体" w:cs="宋体"/>
                <w:sz w:val="24"/>
                <w:szCs w:val="24"/>
              </w:rPr>
            </w:pPr>
            <w:r>
              <w:rPr>
                <w:rFonts w:hint="eastAsia" w:ascii="宋体" w:hAnsi="宋体" w:cs="宋体"/>
                <w:sz w:val="24"/>
                <w:szCs w:val="24"/>
              </w:rPr>
              <w:t>（</w:t>
            </w:r>
            <w:r>
              <w:rPr>
                <w:rFonts w:hint="eastAsia" w:ascii="宋体" w:hAnsi="宋体" w:cs="宋体"/>
                <w:sz w:val="24"/>
                <w:szCs w:val="24"/>
                <w:lang w:val="en-US" w:eastAsia="zh-CN"/>
              </w:rPr>
              <w:t>8</w:t>
            </w:r>
            <w:r>
              <w:rPr>
                <w:rFonts w:hint="eastAsia" w:ascii="宋体" w:hAnsi="宋体" w:cs="宋体"/>
                <w:sz w:val="24"/>
                <w:szCs w:val="24"/>
              </w:rPr>
              <w:t>分）</w:t>
            </w:r>
          </w:p>
        </w:tc>
        <w:tc>
          <w:tcPr>
            <w:tcW w:w="7161" w:type="dxa"/>
            <w:vAlign w:val="center"/>
          </w:tcPr>
          <w:p w14:paraId="2E0B59A7">
            <w:pPr>
              <w:pStyle w:val="11"/>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jc w:val="left"/>
              <w:textAlignment w:val="auto"/>
              <w:rPr>
                <w:rFonts w:hint="eastAsia" w:ascii="宋体" w:hAnsi="宋体" w:cs="宋体" w:eastAsiaTheme="minorEastAsia"/>
                <w:sz w:val="24"/>
                <w:szCs w:val="24"/>
                <w:lang w:val="en-US" w:eastAsia="zh-CN" w:bidi="ar-SA"/>
              </w:rPr>
            </w:pPr>
            <w:r>
              <w:rPr>
                <w:rFonts w:hint="eastAsia" w:ascii="宋体" w:hAnsi="宋体" w:eastAsia="宋体" w:cs="宋体"/>
                <w:sz w:val="24"/>
                <w:szCs w:val="24"/>
                <w:lang w:val="en-US" w:eastAsia="zh-CN" w:bidi="ar-SA"/>
              </w:rPr>
              <w:t>根据投标人</w:t>
            </w:r>
            <w:r>
              <w:rPr>
                <w:rFonts w:hint="eastAsia" w:ascii="宋体" w:hAnsi="宋体" w:cs="宋体"/>
                <w:sz w:val="24"/>
                <w:szCs w:val="24"/>
                <w:lang w:val="en-US" w:eastAsia="zh-CN" w:bidi="ar-SA"/>
              </w:rPr>
              <w:t>针对</w:t>
            </w:r>
            <w:r>
              <w:rPr>
                <w:rFonts w:hint="eastAsia" w:ascii="宋体" w:hAnsi="宋体" w:eastAsia="宋体" w:cs="宋体"/>
                <w:sz w:val="24"/>
                <w:szCs w:val="24"/>
                <w:lang w:val="en-US" w:eastAsia="zh-CN" w:bidi="ar-SA"/>
              </w:rPr>
              <w:t>本项目，结合我县优抚对象的实际情况，制定的</w:t>
            </w:r>
            <w:r>
              <w:rPr>
                <w:rFonts w:hint="eastAsia" w:ascii="宋体" w:hAnsi="宋体" w:cs="宋体"/>
                <w:sz w:val="24"/>
                <w:szCs w:val="24"/>
              </w:rPr>
              <w:t>总体规划</w:t>
            </w:r>
            <w:r>
              <w:rPr>
                <w:rFonts w:hint="eastAsia" w:ascii="宋体" w:hAnsi="宋体" w:cs="宋体"/>
                <w:sz w:val="24"/>
                <w:szCs w:val="24"/>
                <w:lang w:val="en-US" w:eastAsia="zh-CN"/>
              </w:rPr>
              <w:t>方案</w:t>
            </w:r>
            <w:r>
              <w:rPr>
                <w:rFonts w:hint="eastAsia" w:ascii="宋体" w:hAnsi="宋体" w:cs="宋体"/>
                <w:sz w:val="24"/>
              </w:rPr>
              <w:t>进行综合评分</w:t>
            </w:r>
            <w:r>
              <w:rPr>
                <w:rFonts w:hint="eastAsia" w:ascii="宋体" w:hAnsi="宋体" w:cs="宋体"/>
                <w:sz w:val="24"/>
                <w:lang w:eastAsia="zh-CN"/>
              </w:rPr>
              <w:t>。</w:t>
            </w:r>
          </w:p>
          <w:p w14:paraId="73BFB52D">
            <w:pPr>
              <w:pStyle w:val="30"/>
              <w:keepNext w:val="0"/>
              <w:keepLines w:val="0"/>
              <w:pageBreakBefore w:val="0"/>
              <w:widowControl w:val="0"/>
              <w:kinsoku/>
              <w:wordWrap/>
              <w:overflowPunct/>
              <w:topLinePunct w:val="0"/>
              <w:bidi w:val="0"/>
              <w:spacing w:line="320" w:lineRule="exact"/>
              <w:ind w:firstLine="376"/>
              <w:textAlignment w:val="auto"/>
              <w:rPr>
                <w:rFonts w:hint="default" w:ascii="宋体" w:hAnsi="宋体" w:cs="宋体"/>
                <w:b w:val="0"/>
                <w:bCs w:val="0"/>
                <w:sz w:val="24"/>
                <w:lang w:val="en-US" w:eastAsia="zh-CN"/>
              </w:rPr>
            </w:pPr>
            <w:r>
              <w:rPr>
                <w:rFonts w:hint="default" w:ascii="宋体" w:hAnsi="宋体" w:cs="宋体"/>
                <w:b w:val="0"/>
                <w:bCs w:val="0"/>
                <w:sz w:val="24"/>
                <w:lang w:val="en-US" w:eastAsia="zh-CN"/>
              </w:rPr>
              <w:t>1、服务目标与整体规划。方案需涵盖服务周期内的总体目标、阶段性任务、组织架构及全流程管理机制</w:t>
            </w:r>
            <w:r>
              <w:rPr>
                <w:rFonts w:hint="eastAsia" w:cs="宋体"/>
                <w:b w:val="0"/>
                <w:bCs w:val="0"/>
                <w:sz w:val="24"/>
                <w:lang w:val="en-US" w:eastAsia="zh-CN"/>
              </w:rPr>
              <w:t>、</w:t>
            </w:r>
            <w:r>
              <w:rPr>
                <w:rFonts w:hint="default" w:ascii="宋体" w:hAnsi="宋体" w:cs="宋体"/>
                <w:b w:val="0"/>
                <w:bCs w:val="0"/>
                <w:sz w:val="24"/>
                <w:lang w:val="en-US" w:eastAsia="zh-CN"/>
              </w:rPr>
              <w:t>逻辑闭环。</w:t>
            </w:r>
          </w:p>
          <w:p w14:paraId="4DF0B8E5">
            <w:pPr>
              <w:pStyle w:val="30"/>
              <w:keepNext w:val="0"/>
              <w:keepLines w:val="0"/>
              <w:pageBreakBefore w:val="0"/>
              <w:widowControl w:val="0"/>
              <w:kinsoku/>
              <w:wordWrap/>
              <w:overflowPunct/>
              <w:topLinePunct w:val="0"/>
              <w:bidi w:val="0"/>
              <w:spacing w:line="320" w:lineRule="exact"/>
              <w:ind w:firstLine="376"/>
              <w:textAlignment w:val="auto"/>
              <w:rPr>
                <w:rFonts w:hint="default" w:ascii="宋体" w:hAnsi="宋体" w:cs="宋体"/>
                <w:b w:val="0"/>
                <w:bCs w:val="0"/>
                <w:sz w:val="24"/>
                <w:lang w:val="en-US" w:eastAsia="zh-CN"/>
              </w:rPr>
            </w:pPr>
            <w:r>
              <w:rPr>
                <w:rFonts w:hint="default" w:ascii="宋体" w:hAnsi="宋体" w:cs="宋体"/>
                <w:b w:val="0"/>
                <w:bCs w:val="0"/>
                <w:sz w:val="24"/>
                <w:lang w:val="en-US" w:eastAsia="zh-CN"/>
              </w:rPr>
              <w:t>2、实施路径与操作思路。服务流程设计需直观易懂（如流程图），关键环节（上门探访、应急处理等）的操作指引明确。</w:t>
            </w:r>
          </w:p>
          <w:p w14:paraId="5C18A68C">
            <w:pPr>
              <w:pStyle w:val="30"/>
              <w:keepNext w:val="0"/>
              <w:keepLines w:val="0"/>
              <w:pageBreakBefore w:val="0"/>
              <w:widowControl w:val="0"/>
              <w:kinsoku/>
              <w:wordWrap/>
              <w:overflowPunct/>
              <w:topLinePunct w:val="0"/>
              <w:bidi w:val="0"/>
              <w:spacing w:line="320" w:lineRule="exact"/>
              <w:ind w:firstLine="376"/>
              <w:textAlignment w:val="auto"/>
              <w:rPr>
                <w:rFonts w:hint="default" w:ascii="宋体" w:hAnsi="宋体" w:cs="宋体"/>
                <w:b w:val="0"/>
                <w:bCs w:val="0"/>
                <w:sz w:val="24"/>
                <w:lang w:val="en-US" w:eastAsia="zh-CN"/>
              </w:rPr>
            </w:pPr>
            <w:r>
              <w:rPr>
                <w:rFonts w:hint="default" w:ascii="宋体" w:hAnsi="宋体" w:cs="宋体"/>
                <w:b w:val="0"/>
                <w:bCs w:val="0"/>
                <w:sz w:val="24"/>
                <w:lang w:val="en-US" w:eastAsia="zh-CN"/>
              </w:rPr>
              <w:t>3、本地化适配与可行性。需结合本县地理特点（城乡差异）、财政预算及现有资源，提出切实可行的落地措施。</w:t>
            </w:r>
          </w:p>
          <w:p w14:paraId="4AF4233E">
            <w:pPr>
              <w:pStyle w:val="30"/>
              <w:keepNext w:val="0"/>
              <w:keepLines w:val="0"/>
              <w:pageBreakBefore w:val="0"/>
              <w:widowControl w:val="0"/>
              <w:kinsoku/>
              <w:wordWrap/>
              <w:overflowPunct/>
              <w:topLinePunct w:val="0"/>
              <w:bidi w:val="0"/>
              <w:spacing w:line="320" w:lineRule="exact"/>
              <w:ind w:firstLine="376"/>
              <w:textAlignment w:val="auto"/>
              <w:rPr>
                <w:rFonts w:hint="default" w:ascii="宋体" w:hAnsi="宋体" w:cs="宋体"/>
                <w:b w:val="0"/>
                <w:bCs w:val="0"/>
                <w:sz w:val="24"/>
                <w:lang w:val="en-US" w:eastAsia="zh-CN"/>
              </w:rPr>
            </w:pPr>
            <w:r>
              <w:rPr>
                <w:rFonts w:hint="default" w:ascii="宋体" w:hAnsi="宋体" w:cs="宋体"/>
                <w:b w:val="0"/>
                <w:bCs w:val="0"/>
                <w:sz w:val="24"/>
                <w:lang w:val="en-US" w:eastAsia="zh-CN"/>
              </w:rPr>
              <w:t>4、采购需求响应度。对招标文件提出的实质性条款、服务指标（如响应时效、覆盖率）必须逐条响应并承诺。</w:t>
            </w:r>
          </w:p>
          <w:p w14:paraId="238C88A5">
            <w:pPr>
              <w:pStyle w:val="30"/>
              <w:keepNext w:val="0"/>
              <w:keepLines w:val="0"/>
              <w:pageBreakBefore w:val="0"/>
              <w:widowControl w:val="0"/>
              <w:kinsoku/>
              <w:wordWrap/>
              <w:overflowPunct/>
              <w:topLinePunct w:val="0"/>
              <w:bidi w:val="0"/>
              <w:spacing w:line="320" w:lineRule="exact"/>
              <w:ind w:firstLine="376"/>
              <w:textAlignment w:val="auto"/>
              <w:rPr>
                <w:rFonts w:hint="eastAsia" w:ascii="宋体" w:hAnsi="宋体" w:cs="宋体"/>
                <w:sz w:val="24"/>
                <w:szCs w:val="24"/>
              </w:rPr>
            </w:pPr>
            <w:r>
              <w:rPr>
                <w:rFonts w:hint="default" w:ascii="宋体" w:hAnsi="宋体" w:cs="宋体"/>
                <w:b/>
                <w:bCs/>
                <w:sz w:val="24"/>
                <w:lang w:val="en-US" w:eastAsia="zh-CN"/>
              </w:rPr>
              <w:t>方案中有上述内容，方案完整详细、思路清晰明了、对现状有全面深入的了解、符合实际，完全满足采购需求的得</w:t>
            </w:r>
            <w:r>
              <w:rPr>
                <w:rFonts w:hint="eastAsia" w:cs="宋体"/>
                <w:b/>
                <w:bCs/>
                <w:sz w:val="24"/>
                <w:lang w:val="en-US" w:eastAsia="zh-CN"/>
              </w:rPr>
              <w:t>8</w:t>
            </w:r>
            <w:r>
              <w:rPr>
                <w:rFonts w:hint="default" w:ascii="宋体" w:hAnsi="宋体" w:cs="宋体"/>
                <w:b/>
                <w:bCs/>
                <w:sz w:val="24"/>
                <w:lang w:val="en-US" w:eastAsia="zh-CN"/>
              </w:rPr>
              <w:t>分；每有一项内容缺失的扣</w:t>
            </w:r>
            <w:r>
              <w:rPr>
                <w:rFonts w:hint="eastAsia" w:cs="宋体"/>
                <w:b/>
                <w:bCs/>
                <w:sz w:val="24"/>
                <w:lang w:val="en-US" w:eastAsia="zh-CN"/>
              </w:rPr>
              <w:t>2</w:t>
            </w:r>
            <w:r>
              <w:rPr>
                <w:rFonts w:hint="default" w:ascii="宋体" w:hAnsi="宋体" w:cs="宋体"/>
                <w:b/>
                <w:bCs/>
                <w:sz w:val="24"/>
                <w:lang w:val="en-US" w:eastAsia="zh-CN"/>
              </w:rPr>
              <w:t xml:space="preserve">分； </w:t>
            </w:r>
            <w:r>
              <w:rPr>
                <w:rFonts w:hint="eastAsia" w:ascii="宋体" w:hAnsi="宋体" w:cs="宋体"/>
                <w:b/>
                <w:bCs/>
                <w:sz w:val="24"/>
              </w:rPr>
              <w:t>每有一处内容存在缺陷或不满足</w:t>
            </w:r>
            <w:r>
              <w:rPr>
                <w:rFonts w:hint="eastAsia" w:ascii="宋体" w:hAnsi="宋体" w:cs="宋体"/>
                <w:b/>
                <w:bCs/>
                <w:sz w:val="24"/>
                <w:lang w:val="en-US" w:eastAsia="zh-CN"/>
              </w:rPr>
              <w:t>需求</w:t>
            </w:r>
            <w:r>
              <w:rPr>
                <w:rFonts w:hint="eastAsia" w:ascii="宋体" w:hAnsi="宋体" w:cs="宋体"/>
                <w:b/>
                <w:bCs/>
                <w:sz w:val="24"/>
              </w:rPr>
              <w:t>的扣</w:t>
            </w:r>
            <w:r>
              <w:rPr>
                <w:rFonts w:hint="eastAsia" w:cs="宋体"/>
                <w:b/>
                <w:bCs/>
                <w:sz w:val="24"/>
                <w:lang w:val="en-US" w:eastAsia="zh-CN"/>
              </w:rPr>
              <w:t>0.5</w:t>
            </w:r>
            <w:r>
              <w:rPr>
                <w:rFonts w:hint="eastAsia" w:ascii="宋体" w:hAnsi="宋体" w:cs="宋体"/>
                <w:b/>
                <w:bCs/>
                <w:sz w:val="24"/>
              </w:rPr>
              <w:t>分，扣完为止。(缺陷或不满足指</w:t>
            </w:r>
            <w:r>
              <w:rPr>
                <w:rFonts w:hint="eastAsia" w:ascii="宋体" w:hAnsi="宋体" w:cs="宋体"/>
                <w:b/>
                <w:bCs/>
                <w:sz w:val="24"/>
                <w:lang w:eastAsia="zh-CN"/>
              </w:rPr>
              <w:t>：</w:t>
            </w:r>
            <w:r>
              <w:rPr>
                <w:rFonts w:hint="eastAsia" w:ascii="宋体" w:hAnsi="宋体" w:cs="宋体"/>
                <w:b/>
                <w:bCs/>
                <w:sz w:val="24"/>
              </w:rPr>
              <w:t>内容不全面、与实际需求不符、内容不清晰或交叉混乱、套用其他项目方案、有规范性或常识性错误、有逻辑漏洞、存在无关的事项、凭空编造、存在不可能实现的夸大情形等任意一种情形)</w:t>
            </w:r>
            <w:r>
              <w:rPr>
                <w:rFonts w:hint="default" w:ascii="宋体" w:hAnsi="宋体" w:cs="宋体"/>
                <w:b/>
                <w:bCs/>
                <w:sz w:val="24"/>
                <w:lang w:val="en-US" w:eastAsia="zh-CN"/>
              </w:rPr>
              <w:t>；未提供方案不得分。</w:t>
            </w:r>
          </w:p>
        </w:tc>
      </w:tr>
      <w:tr w14:paraId="2D482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1252" w:type="dxa"/>
            <w:vMerge w:val="continue"/>
          </w:tcPr>
          <w:p w14:paraId="1C717810">
            <w:pPr>
              <w:pStyle w:val="11"/>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cs="宋体"/>
                <w:sz w:val="24"/>
                <w:szCs w:val="24"/>
              </w:rPr>
            </w:pPr>
          </w:p>
        </w:tc>
        <w:tc>
          <w:tcPr>
            <w:tcW w:w="1192" w:type="dxa"/>
            <w:vAlign w:val="center"/>
          </w:tcPr>
          <w:p w14:paraId="0C7DAA8E">
            <w:pPr>
              <w:pStyle w:val="11"/>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宋体" w:hAnsi="宋体" w:cs="宋体"/>
                <w:sz w:val="24"/>
                <w:szCs w:val="24"/>
              </w:rPr>
            </w:pPr>
            <w:r>
              <w:rPr>
                <w:rFonts w:hint="eastAsia" w:ascii="宋体" w:hAnsi="宋体" w:cs="宋体"/>
                <w:sz w:val="24"/>
                <w:szCs w:val="24"/>
                <w:lang w:val="en-US" w:eastAsia="zh-CN"/>
              </w:rPr>
              <w:t>体检</w:t>
            </w:r>
            <w:r>
              <w:rPr>
                <w:rFonts w:hint="eastAsia" w:ascii="宋体" w:hAnsi="宋体" w:cs="宋体"/>
                <w:sz w:val="24"/>
                <w:szCs w:val="24"/>
              </w:rPr>
              <w:t>服务方案</w:t>
            </w:r>
          </w:p>
          <w:p w14:paraId="2E971250">
            <w:pPr>
              <w:pStyle w:val="12"/>
              <w:keepNext w:val="0"/>
              <w:keepLines w:val="0"/>
              <w:pageBreakBefore w:val="0"/>
              <w:widowControl w:val="0"/>
              <w:kinsoku/>
              <w:wordWrap/>
              <w:overflowPunct/>
              <w:topLinePunct w:val="0"/>
              <w:autoSpaceDE/>
              <w:autoSpaceDN/>
              <w:bidi w:val="0"/>
              <w:adjustRightInd/>
              <w:snapToGrid/>
              <w:spacing w:line="360" w:lineRule="exact"/>
              <w:jc w:val="center"/>
              <w:textAlignment w:val="auto"/>
              <w:rPr>
                <w:sz w:val="24"/>
                <w:szCs w:val="24"/>
              </w:rPr>
            </w:pPr>
            <w:r>
              <w:rPr>
                <w:rFonts w:hint="eastAsia" w:ascii="宋体" w:hAnsi="宋体" w:cs="宋体"/>
                <w:sz w:val="24"/>
                <w:szCs w:val="24"/>
              </w:rPr>
              <w:t>（</w:t>
            </w:r>
            <w:r>
              <w:rPr>
                <w:rFonts w:hint="eastAsia" w:ascii="宋体" w:hAnsi="宋体" w:cs="宋体"/>
                <w:sz w:val="24"/>
                <w:szCs w:val="24"/>
                <w:lang w:val="en-US" w:eastAsia="zh-CN"/>
              </w:rPr>
              <w:t>6</w:t>
            </w:r>
            <w:r>
              <w:rPr>
                <w:rFonts w:hint="eastAsia" w:ascii="宋体" w:hAnsi="宋体" w:cs="宋体"/>
                <w:sz w:val="24"/>
                <w:szCs w:val="24"/>
              </w:rPr>
              <w:t>分）</w:t>
            </w:r>
          </w:p>
        </w:tc>
        <w:tc>
          <w:tcPr>
            <w:tcW w:w="7161" w:type="dxa"/>
            <w:vAlign w:val="center"/>
          </w:tcPr>
          <w:p w14:paraId="5099808A">
            <w:pPr>
              <w:pStyle w:val="11"/>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textAlignment w:val="auto"/>
              <w:rPr>
                <w:rFonts w:hint="eastAsia" w:ascii="宋体" w:hAnsi="宋体" w:cs="宋体" w:eastAsiaTheme="minorEastAsia"/>
                <w:sz w:val="24"/>
                <w:szCs w:val="24"/>
                <w:lang w:eastAsia="zh-CN"/>
              </w:rPr>
            </w:pPr>
            <w:r>
              <w:rPr>
                <w:rFonts w:hint="eastAsia" w:ascii="宋体" w:hAnsi="宋体" w:cs="宋体"/>
                <w:color w:val="auto"/>
                <w:sz w:val="24"/>
                <w:szCs w:val="24"/>
              </w:rPr>
              <w:t>根据投标人</w:t>
            </w:r>
            <w:r>
              <w:rPr>
                <w:rFonts w:hint="eastAsia" w:ascii="宋体" w:hAnsi="宋体" w:cs="宋体"/>
                <w:sz w:val="24"/>
                <w:szCs w:val="24"/>
                <w:lang w:val="en-US" w:eastAsia="zh-CN" w:bidi="ar-SA"/>
              </w:rPr>
              <w:t>针对</w:t>
            </w:r>
            <w:r>
              <w:rPr>
                <w:rFonts w:hint="eastAsia" w:ascii="宋体" w:hAnsi="宋体" w:eastAsia="宋体" w:cs="宋体"/>
                <w:sz w:val="24"/>
                <w:szCs w:val="24"/>
                <w:lang w:val="en-US" w:eastAsia="zh-CN" w:bidi="ar-SA"/>
              </w:rPr>
              <w:t>本项目</w:t>
            </w:r>
            <w:r>
              <w:rPr>
                <w:rFonts w:hint="eastAsia" w:ascii="宋体" w:hAnsi="宋体" w:cs="宋体"/>
                <w:color w:val="auto"/>
                <w:sz w:val="24"/>
                <w:szCs w:val="24"/>
              </w:rPr>
              <w:t>参检人员实际情况制定的体检服务方案，包括但不限于医疗护理服务方面的详细计划</w:t>
            </w:r>
            <w:r>
              <w:rPr>
                <w:rFonts w:hint="eastAsia" w:ascii="宋体" w:hAnsi="宋体" w:cs="宋体"/>
                <w:color w:val="auto"/>
                <w:sz w:val="24"/>
                <w:szCs w:val="24"/>
                <w:lang w:eastAsia="zh-CN"/>
              </w:rPr>
              <w:t>、</w:t>
            </w:r>
            <w:r>
              <w:rPr>
                <w:rFonts w:hint="eastAsia" w:ascii="宋体" w:hAnsi="宋体" w:cs="宋体"/>
                <w:color w:val="auto"/>
                <w:sz w:val="24"/>
                <w:szCs w:val="24"/>
              </w:rPr>
              <w:t>服务质量考评情况</w:t>
            </w:r>
            <w:r>
              <w:rPr>
                <w:rFonts w:hint="eastAsia" w:ascii="宋体" w:hAnsi="宋体" w:cs="宋体"/>
                <w:color w:val="auto"/>
                <w:sz w:val="24"/>
                <w:szCs w:val="24"/>
                <w:lang w:eastAsia="zh-CN"/>
              </w:rPr>
              <w:t>等</w:t>
            </w:r>
            <w:r>
              <w:rPr>
                <w:rFonts w:hint="eastAsia" w:ascii="宋体" w:hAnsi="宋体" w:cs="宋体"/>
                <w:color w:val="auto"/>
                <w:sz w:val="24"/>
                <w:szCs w:val="24"/>
              </w:rPr>
              <w:t>进</w:t>
            </w:r>
            <w:r>
              <w:rPr>
                <w:rFonts w:hint="eastAsia" w:ascii="宋体" w:hAnsi="宋体" w:cs="宋体"/>
                <w:sz w:val="24"/>
              </w:rPr>
              <w:t>行综合评分</w:t>
            </w:r>
            <w:r>
              <w:rPr>
                <w:rFonts w:hint="eastAsia" w:ascii="宋体" w:hAnsi="宋体" w:cs="宋体"/>
                <w:sz w:val="24"/>
                <w:lang w:eastAsia="zh-CN"/>
              </w:rPr>
              <w:t>。</w:t>
            </w:r>
          </w:p>
          <w:p w14:paraId="40D95EBF">
            <w:pPr>
              <w:keepNext w:val="0"/>
              <w:keepLines w:val="0"/>
              <w:pageBreakBefore w:val="0"/>
              <w:widowControl w:val="0"/>
              <w:numPr>
                <w:ilvl w:val="0"/>
                <w:numId w:val="0"/>
              </w:numPr>
              <w:kinsoku/>
              <w:wordWrap/>
              <w:overflowPunct/>
              <w:topLinePunct w:val="0"/>
              <w:bidi w:val="0"/>
              <w:spacing w:line="320" w:lineRule="exact"/>
              <w:ind w:firstLine="482" w:firstLineChars="200"/>
              <w:textAlignment w:val="auto"/>
              <w:rPr>
                <w:rFonts w:hint="eastAsia" w:ascii="宋体" w:hAnsi="宋体" w:cs="宋体"/>
                <w:color w:val="00B050"/>
                <w:sz w:val="24"/>
                <w:szCs w:val="24"/>
              </w:rPr>
            </w:pPr>
            <w:r>
              <w:rPr>
                <w:rFonts w:hint="default" w:ascii="宋体" w:hAnsi="宋体" w:cs="宋体"/>
                <w:b/>
                <w:bCs/>
                <w:sz w:val="24"/>
                <w:lang w:val="en-US" w:eastAsia="zh-CN"/>
              </w:rPr>
              <w:t>方案中有上述内容，方案完整详细、思路清晰明了、对现状有全面深入的了解、符合实际，完全满足采购需求的得</w:t>
            </w:r>
            <w:r>
              <w:rPr>
                <w:rFonts w:hint="eastAsia" w:ascii="宋体" w:hAnsi="宋体" w:cs="宋体"/>
                <w:b/>
                <w:bCs/>
                <w:sz w:val="24"/>
                <w:lang w:val="en-US" w:eastAsia="zh-CN"/>
              </w:rPr>
              <w:t>6</w:t>
            </w:r>
            <w:r>
              <w:rPr>
                <w:rFonts w:hint="default" w:ascii="宋体" w:hAnsi="宋体" w:cs="宋体"/>
                <w:b/>
                <w:bCs/>
                <w:sz w:val="24"/>
                <w:lang w:val="en-US" w:eastAsia="zh-CN"/>
              </w:rPr>
              <w:t>分；每有一项内容缺失的扣</w:t>
            </w:r>
            <w:r>
              <w:rPr>
                <w:rFonts w:hint="eastAsia" w:ascii="宋体" w:hAnsi="宋体" w:cs="宋体"/>
                <w:b/>
                <w:bCs/>
                <w:sz w:val="24"/>
                <w:lang w:val="en-US" w:eastAsia="zh-CN"/>
              </w:rPr>
              <w:t>3</w:t>
            </w:r>
            <w:r>
              <w:rPr>
                <w:rFonts w:hint="default" w:ascii="宋体" w:hAnsi="宋体" w:cs="宋体"/>
                <w:b/>
                <w:bCs/>
                <w:sz w:val="24"/>
                <w:lang w:val="en-US" w:eastAsia="zh-CN"/>
              </w:rPr>
              <w:t xml:space="preserve">分； </w:t>
            </w:r>
            <w:r>
              <w:rPr>
                <w:rFonts w:hint="eastAsia" w:ascii="宋体" w:hAnsi="宋体" w:cs="宋体"/>
                <w:b/>
                <w:bCs/>
                <w:sz w:val="24"/>
              </w:rPr>
              <w:t>每有一处内容存在缺陷或不满足</w:t>
            </w:r>
            <w:r>
              <w:rPr>
                <w:rFonts w:hint="eastAsia" w:ascii="宋体" w:hAnsi="宋体" w:cs="宋体"/>
                <w:b/>
                <w:bCs/>
                <w:sz w:val="24"/>
                <w:lang w:val="en-US" w:eastAsia="zh-CN"/>
              </w:rPr>
              <w:t>需求</w:t>
            </w:r>
            <w:r>
              <w:rPr>
                <w:rFonts w:hint="eastAsia" w:ascii="宋体" w:hAnsi="宋体" w:cs="宋体"/>
                <w:b/>
                <w:bCs/>
                <w:sz w:val="24"/>
              </w:rPr>
              <w:t>的扣</w:t>
            </w:r>
            <w:r>
              <w:rPr>
                <w:rFonts w:hint="eastAsia" w:ascii="宋体" w:hAnsi="宋体" w:cs="宋体"/>
                <w:b/>
                <w:bCs/>
                <w:sz w:val="24"/>
                <w:lang w:val="en-US" w:eastAsia="zh-CN"/>
              </w:rPr>
              <w:t>1</w:t>
            </w:r>
            <w:r>
              <w:rPr>
                <w:rFonts w:hint="eastAsia" w:ascii="宋体" w:hAnsi="宋体" w:cs="宋体"/>
                <w:b/>
                <w:bCs/>
                <w:sz w:val="24"/>
              </w:rPr>
              <w:t>分，扣完为止。(缺陷或不满足指</w:t>
            </w:r>
            <w:r>
              <w:rPr>
                <w:rFonts w:hint="eastAsia" w:ascii="宋体" w:hAnsi="宋体" w:cs="宋体"/>
                <w:b/>
                <w:bCs/>
                <w:sz w:val="24"/>
                <w:lang w:eastAsia="zh-CN"/>
              </w:rPr>
              <w:t>：</w:t>
            </w:r>
            <w:r>
              <w:rPr>
                <w:rFonts w:hint="eastAsia" w:ascii="宋体" w:hAnsi="宋体" w:cs="宋体"/>
                <w:b/>
                <w:bCs/>
                <w:sz w:val="24"/>
              </w:rPr>
              <w:t>内容不全面、与实际需求不符、内容不清晰或交叉混乱、套用其他项目方案、有规范性或常识性错误、有逻辑漏洞、存在无关的事项、凭空编造、存在不可能实现的夸大情形等任意一种情形)</w:t>
            </w:r>
            <w:r>
              <w:rPr>
                <w:rFonts w:hint="default" w:ascii="宋体" w:hAnsi="宋体" w:cs="宋体"/>
                <w:b/>
                <w:bCs/>
                <w:sz w:val="24"/>
                <w:lang w:val="en-US" w:eastAsia="zh-CN"/>
              </w:rPr>
              <w:t>；未提供方案不得分。</w:t>
            </w:r>
          </w:p>
        </w:tc>
      </w:tr>
      <w:tr w14:paraId="3F392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2" w:type="dxa"/>
            <w:vMerge w:val="continue"/>
          </w:tcPr>
          <w:p w14:paraId="228D49B1">
            <w:pPr>
              <w:pStyle w:val="1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cs="宋体"/>
                <w:sz w:val="24"/>
                <w:szCs w:val="24"/>
              </w:rPr>
            </w:pPr>
          </w:p>
        </w:tc>
        <w:tc>
          <w:tcPr>
            <w:tcW w:w="1192" w:type="dxa"/>
            <w:vAlign w:val="center"/>
          </w:tcPr>
          <w:p w14:paraId="254DEBF3">
            <w:pPr>
              <w:pStyle w:val="11"/>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宋体" w:hAnsi="宋体" w:cs="宋体"/>
                <w:sz w:val="24"/>
                <w:szCs w:val="24"/>
              </w:rPr>
            </w:pPr>
          </w:p>
          <w:p w14:paraId="37ABEF26">
            <w:pPr>
              <w:pStyle w:val="11"/>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宋体" w:hAnsi="宋体" w:cs="宋体"/>
                <w:sz w:val="24"/>
                <w:szCs w:val="24"/>
              </w:rPr>
            </w:pPr>
          </w:p>
          <w:p w14:paraId="50696E74">
            <w:pPr>
              <w:pStyle w:val="11"/>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宋体" w:hAnsi="宋体" w:cs="宋体"/>
                <w:sz w:val="24"/>
                <w:szCs w:val="24"/>
              </w:rPr>
            </w:pPr>
          </w:p>
          <w:p w14:paraId="49FCB67A">
            <w:pPr>
              <w:pStyle w:val="11"/>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宋体" w:hAnsi="宋体" w:cs="宋体"/>
                <w:sz w:val="24"/>
                <w:szCs w:val="24"/>
              </w:rPr>
            </w:pPr>
            <w:r>
              <w:rPr>
                <w:rFonts w:hint="eastAsia" w:ascii="宋体" w:hAnsi="宋体" w:cs="宋体"/>
                <w:sz w:val="24"/>
                <w:szCs w:val="24"/>
              </w:rPr>
              <w:t>应急安全保障</w:t>
            </w:r>
            <w:r>
              <w:rPr>
                <w:rFonts w:hint="eastAsia" w:ascii="宋体" w:hAnsi="宋体" w:cs="宋体"/>
                <w:sz w:val="24"/>
                <w:szCs w:val="24"/>
                <w:lang w:val="en-US" w:eastAsia="zh-CN"/>
              </w:rPr>
              <w:t>方</w:t>
            </w:r>
            <w:r>
              <w:rPr>
                <w:rFonts w:hint="eastAsia" w:ascii="宋体" w:hAnsi="宋体" w:cs="宋体"/>
                <w:sz w:val="24"/>
                <w:szCs w:val="24"/>
              </w:rPr>
              <w:t>案（</w:t>
            </w:r>
            <w:r>
              <w:rPr>
                <w:rFonts w:hint="eastAsia" w:ascii="宋体" w:hAnsi="宋体" w:cs="宋体"/>
                <w:sz w:val="24"/>
                <w:szCs w:val="24"/>
                <w:lang w:val="en-US" w:eastAsia="zh-CN"/>
              </w:rPr>
              <w:t>4</w:t>
            </w:r>
            <w:r>
              <w:rPr>
                <w:rFonts w:hint="eastAsia" w:ascii="宋体" w:hAnsi="宋体" w:cs="宋体"/>
                <w:sz w:val="24"/>
                <w:szCs w:val="24"/>
              </w:rPr>
              <w:t>分）</w:t>
            </w:r>
          </w:p>
        </w:tc>
        <w:tc>
          <w:tcPr>
            <w:tcW w:w="7161" w:type="dxa"/>
            <w:vAlign w:val="center"/>
          </w:tcPr>
          <w:p w14:paraId="42494BA1">
            <w:pPr>
              <w:pStyle w:val="11"/>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textAlignment w:val="auto"/>
              <w:rPr>
                <w:rFonts w:hint="eastAsia" w:ascii="宋体" w:hAnsi="宋体" w:cs="宋体" w:eastAsiaTheme="minorEastAsia"/>
                <w:sz w:val="24"/>
                <w:szCs w:val="24"/>
                <w:lang w:eastAsia="zh-CN"/>
              </w:rPr>
            </w:pPr>
            <w:r>
              <w:rPr>
                <w:rFonts w:hint="eastAsia" w:ascii="宋体" w:hAnsi="宋体" w:cs="宋体"/>
                <w:color w:val="auto"/>
                <w:sz w:val="24"/>
                <w:szCs w:val="24"/>
              </w:rPr>
              <w:t>根据投标人</w:t>
            </w:r>
            <w:r>
              <w:rPr>
                <w:rFonts w:hint="eastAsia" w:ascii="宋体" w:hAnsi="宋体" w:cs="宋体"/>
                <w:sz w:val="24"/>
                <w:szCs w:val="24"/>
                <w:lang w:val="en-US" w:eastAsia="zh-CN" w:bidi="ar-SA"/>
              </w:rPr>
              <w:t>针对</w:t>
            </w:r>
            <w:r>
              <w:rPr>
                <w:rFonts w:hint="eastAsia" w:ascii="宋体" w:hAnsi="宋体" w:eastAsia="宋体" w:cs="宋体"/>
                <w:sz w:val="24"/>
                <w:szCs w:val="24"/>
                <w:lang w:val="en-US" w:eastAsia="zh-CN" w:bidi="ar-SA"/>
              </w:rPr>
              <w:t>本项目</w:t>
            </w:r>
            <w:r>
              <w:rPr>
                <w:rFonts w:hint="eastAsia" w:ascii="宋体" w:hAnsi="宋体" w:cs="宋体"/>
                <w:color w:val="auto"/>
                <w:sz w:val="24"/>
                <w:szCs w:val="24"/>
              </w:rPr>
              <w:t>制定的突发事件</w:t>
            </w:r>
            <w:r>
              <w:rPr>
                <w:rFonts w:hint="eastAsia" w:ascii="宋体" w:hAnsi="宋体" w:cs="宋体"/>
                <w:sz w:val="24"/>
                <w:szCs w:val="24"/>
              </w:rPr>
              <w:t>应急安全保障</w:t>
            </w:r>
            <w:r>
              <w:rPr>
                <w:rFonts w:hint="eastAsia" w:ascii="宋体" w:hAnsi="宋体" w:cs="宋体"/>
                <w:sz w:val="24"/>
                <w:szCs w:val="24"/>
                <w:lang w:val="en-US" w:eastAsia="zh-CN"/>
              </w:rPr>
              <w:t>方</w:t>
            </w:r>
            <w:r>
              <w:rPr>
                <w:rFonts w:hint="eastAsia" w:ascii="宋体" w:hAnsi="宋体" w:cs="宋体"/>
                <w:sz w:val="24"/>
                <w:szCs w:val="24"/>
              </w:rPr>
              <w:t>案</w:t>
            </w:r>
            <w:r>
              <w:rPr>
                <w:rFonts w:hint="eastAsia" w:ascii="宋体" w:hAnsi="宋体" w:cs="宋体"/>
                <w:color w:val="auto"/>
                <w:sz w:val="24"/>
                <w:szCs w:val="24"/>
              </w:rPr>
              <w:t>，包括但不限于人员安全、服务安全</w:t>
            </w:r>
            <w:r>
              <w:rPr>
                <w:rFonts w:hint="eastAsia" w:ascii="宋体" w:hAnsi="宋体" w:cs="宋体"/>
                <w:color w:val="auto"/>
                <w:sz w:val="24"/>
                <w:szCs w:val="24"/>
                <w:lang w:eastAsia="zh-CN"/>
              </w:rPr>
              <w:t>、</w:t>
            </w:r>
            <w:r>
              <w:rPr>
                <w:rFonts w:hint="eastAsia" w:ascii="宋体" w:hAnsi="宋体" w:cs="宋体"/>
                <w:sz w:val="24"/>
                <w:szCs w:val="24"/>
              </w:rPr>
              <w:t>规章制度</w:t>
            </w:r>
            <w:r>
              <w:rPr>
                <w:rFonts w:hint="eastAsia" w:ascii="宋体" w:hAnsi="宋体" w:cs="宋体"/>
                <w:sz w:val="24"/>
                <w:szCs w:val="24"/>
                <w:lang w:eastAsia="zh-CN"/>
              </w:rPr>
              <w:t>、</w:t>
            </w:r>
            <w:r>
              <w:rPr>
                <w:rFonts w:hint="eastAsia" w:ascii="宋体" w:hAnsi="宋体" w:cs="宋体"/>
                <w:sz w:val="24"/>
                <w:szCs w:val="24"/>
              </w:rPr>
              <w:t>服务规范</w:t>
            </w:r>
            <w:r>
              <w:rPr>
                <w:rFonts w:hint="eastAsia" w:ascii="宋体" w:hAnsi="宋体" w:cs="宋体"/>
                <w:sz w:val="24"/>
                <w:szCs w:val="24"/>
                <w:lang w:val="en-US" w:eastAsia="zh-CN"/>
              </w:rPr>
              <w:t>等</w:t>
            </w:r>
            <w:r>
              <w:rPr>
                <w:rFonts w:hint="eastAsia" w:ascii="宋体" w:hAnsi="宋体" w:cs="宋体"/>
                <w:sz w:val="24"/>
              </w:rPr>
              <w:t>进行综合评分</w:t>
            </w:r>
            <w:r>
              <w:rPr>
                <w:rFonts w:hint="eastAsia" w:ascii="宋体" w:hAnsi="宋体" w:cs="宋体"/>
                <w:sz w:val="24"/>
                <w:lang w:eastAsia="zh-CN"/>
              </w:rPr>
              <w:t>。</w:t>
            </w:r>
          </w:p>
          <w:p w14:paraId="37EE974C">
            <w:pPr>
              <w:pStyle w:val="11"/>
              <w:keepNext w:val="0"/>
              <w:keepLines w:val="0"/>
              <w:pageBreakBefore w:val="0"/>
              <w:widowControl w:val="0"/>
              <w:kinsoku/>
              <w:wordWrap/>
              <w:overflowPunct/>
              <w:topLinePunct w:val="0"/>
              <w:autoSpaceDE/>
              <w:autoSpaceDN/>
              <w:bidi w:val="0"/>
              <w:adjustRightInd/>
              <w:snapToGrid/>
              <w:spacing w:line="360" w:lineRule="exact"/>
              <w:ind w:left="0" w:leftChars="0" w:firstLine="482" w:firstLineChars="200"/>
              <w:textAlignment w:val="auto"/>
              <w:rPr>
                <w:rFonts w:hint="eastAsia" w:ascii="宋体" w:hAnsi="宋体" w:cs="宋体"/>
                <w:color w:val="00B050"/>
                <w:sz w:val="24"/>
                <w:szCs w:val="24"/>
              </w:rPr>
            </w:pPr>
            <w:r>
              <w:rPr>
                <w:rFonts w:hint="default" w:ascii="宋体" w:hAnsi="宋体" w:cs="宋体"/>
                <w:b/>
                <w:bCs/>
                <w:sz w:val="24"/>
                <w:lang w:val="en-US" w:eastAsia="zh-CN"/>
              </w:rPr>
              <w:t>方案中有上述内容，方案完整详细、思路清晰明了、对现状有全面深入的了解、符合实际，完全满足采购需求的得</w:t>
            </w:r>
            <w:r>
              <w:rPr>
                <w:rFonts w:hint="eastAsia" w:ascii="宋体" w:hAnsi="宋体" w:cs="宋体"/>
                <w:b/>
                <w:bCs/>
                <w:sz w:val="24"/>
                <w:lang w:val="en-US" w:eastAsia="zh-CN"/>
              </w:rPr>
              <w:t>4</w:t>
            </w:r>
            <w:r>
              <w:rPr>
                <w:rFonts w:hint="default" w:ascii="宋体" w:hAnsi="宋体" w:cs="宋体"/>
                <w:b/>
                <w:bCs/>
                <w:sz w:val="24"/>
                <w:lang w:val="en-US" w:eastAsia="zh-CN"/>
              </w:rPr>
              <w:t>分；每有一项内容缺失的扣</w:t>
            </w:r>
            <w:r>
              <w:rPr>
                <w:rFonts w:hint="eastAsia" w:ascii="宋体" w:hAnsi="宋体" w:cs="宋体"/>
                <w:b/>
                <w:bCs/>
                <w:sz w:val="24"/>
                <w:lang w:val="en-US" w:eastAsia="zh-CN"/>
              </w:rPr>
              <w:t>1</w:t>
            </w:r>
            <w:r>
              <w:rPr>
                <w:rFonts w:hint="default" w:ascii="宋体" w:hAnsi="宋体" w:cs="宋体"/>
                <w:b/>
                <w:bCs/>
                <w:sz w:val="24"/>
                <w:lang w:val="en-US" w:eastAsia="zh-CN"/>
              </w:rPr>
              <w:t xml:space="preserve">分； </w:t>
            </w:r>
            <w:r>
              <w:rPr>
                <w:rFonts w:hint="eastAsia" w:ascii="宋体" w:hAnsi="宋体" w:cs="宋体"/>
                <w:b/>
                <w:bCs/>
                <w:sz w:val="24"/>
              </w:rPr>
              <w:t>每有一处内容存在缺陷或不满足</w:t>
            </w:r>
            <w:r>
              <w:rPr>
                <w:rFonts w:hint="eastAsia" w:ascii="宋体" w:hAnsi="宋体" w:cs="宋体"/>
                <w:b/>
                <w:bCs/>
                <w:sz w:val="24"/>
                <w:lang w:val="en-US" w:eastAsia="zh-CN"/>
              </w:rPr>
              <w:t>需求</w:t>
            </w:r>
            <w:r>
              <w:rPr>
                <w:rFonts w:hint="eastAsia" w:ascii="宋体" w:hAnsi="宋体" w:cs="宋体"/>
                <w:b/>
                <w:bCs/>
                <w:sz w:val="24"/>
              </w:rPr>
              <w:t>的扣</w:t>
            </w:r>
            <w:r>
              <w:rPr>
                <w:rFonts w:hint="eastAsia" w:ascii="宋体" w:hAnsi="宋体" w:cs="宋体"/>
                <w:b/>
                <w:bCs/>
                <w:sz w:val="24"/>
                <w:lang w:val="en-US" w:eastAsia="zh-CN"/>
              </w:rPr>
              <w:t>0.5</w:t>
            </w:r>
            <w:r>
              <w:rPr>
                <w:rFonts w:hint="eastAsia" w:ascii="宋体" w:hAnsi="宋体" w:cs="宋体"/>
                <w:b/>
                <w:bCs/>
                <w:sz w:val="24"/>
              </w:rPr>
              <w:t>分，扣完为止。(缺陷或不满足指</w:t>
            </w:r>
            <w:r>
              <w:rPr>
                <w:rFonts w:hint="eastAsia" w:ascii="宋体" w:hAnsi="宋体" w:cs="宋体"/>
                <w:b/>
                <w:bCs/>
                <w:sz w:val="24"/>
                <w:lang w:eastAsia="zh-CN"/>
              </w:rPr>
              <w:t>：</w:t>
            </w:r>
            <w:r>
              <w:rPr>
                <w:rFonts w:hint="eastAsia" w:ascii="宋体" w:hAnsi="宋体" w:cs="宋体"/>
                <w:b/>
                <w:bCs/>
                <w:sz w:val="24"/>
              </w:rPr>
              <w:t>内容不全面、与实际需求不符、内容不清晰或交叉混乱、套用其他项目方案、有规范性或常识性错误、有逻辑漏洞、存在无关的事项、凭空编造、存在不可能实现的夸大情形等任意一种情形)</w:t>
            </w:r>
            <w:r>
              <w:rPr>
                <w:rFonts w:hint="default" w:ascii="宋体" w:hAnsi="宋体" w:cs="宋体"/>
                <w:b/>
                <w:bCs/>
                <w:sz w:val="24"/>
                <w:lang w:val="en-US" w:eastAsia="zh-CN"/>
              </w:rPr>
              <w:t>；未提供方案不得分。</w:t>
            </w:r>
          </w:p>
        </w:tc>
      </w:tr>
      <w:tr w14:paraId="2ABB2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1252" w:type="dxa"/>
            <w:vMerge w:val="continue"/>
          </w:tcPr>
          <w:p w14:paraId="4B90ADDC">
            <w:pPr>
              <w:pStyle w:val="1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cs="宋体"/>
                <w:sz w:val="24"/>
                <w:szCs w:val="24"/>
              </w:rPr>
            </w:pPr>
          </w:p>
        </w:tc>
        <w:tc>
          <w:tcPr>
            <w:tcW w:w="1192" w:type="dxa"/>
            <w:vAlign w:val="center"/>
          </w:tcPr>
          <w:p w14:paraId="26253AE8">
            <w:pPr>
              <w:pStyle w:val="11"/>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宋体" w:hAnsi="宋体" w:cs="宋体"/>
                <w:sz w:val="24"/>
                <w:szCs w:val="24"/>
              </w:rPr>
            </w:pPr>
            <w:r>
              <w:rPr>
                <w:rFonts w:hint="eastAsia" w:ascii="宋体" w:hAnsi="宋体" w:cs="宋体"/>
                <w:sz w:val="24"/>
                <w:szCs w:val="24"/>
              </w:rPr>
              <w:t>内部管</w:t>
            </w:r>
          </w:p>
          <w:p w14:paraId="00B2FCF5">
            <w:pPr>
              <w:pStyle w:val="11"/>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宋体" w:hAnsi="宋体" w:cs="宋体" w:eastAsiaTheme="minorEastAsia"/>
                <w:sz w:val="24"/>
                <w:szCs w:val="24"/>
                <w:lang w:val="en-US" w:eastAsia="zh-CN"/>
              </w:rPr>
            </w:pPr>
            <w:r>
              <w:rPr>
                <w:rFonts w:hint="eastAsia" w:ascii="宋体" w:hAnsi="宋体" w:cs="宋体"/>
                <w:sz w:val="24"/>
                <w:szCs w:val="24"/>
              </w:rPr>
              <w:t>理制度</w:t>
            </w:r>
            <w:r>
              <w:rPr>
                <w:rFonts w:hint="eastAsia" w:ascii="宋体" w:hAnsi="宋体" w:cs="宋体"/>
                <w:sz w:val="24"/>
                <w:szCs w:val="24"/>
                <w:lang w:val="en-US" w:eastAsia="zh-CN"/>
              </w:rPr>
              <w:t>方案</w:t>
            </w:r>
          </w:p>
          <w:p w14:paraId="43160087">
            <w:pPr>
              <w:pStyle w:val="11"/>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宋体" w:hAnsi="宋体" w:cs="宋体"/>
                <w:sz w:val="24"/>
                <w:szCs w:val="24"/>
              </w:rPr>
            </w:pPr>
            <w:r>
              <w:rPr>
                <w:rFonts w:hint="eastAsia" w:ascii="宋体" w:hAnsi="宋体" w:cs="宋体"/>
                <w:sz w:val="24"/>
                <w:szCs w:val="24"/>
              </w:rPr>
              <w:t>（</w:t>
            </w:r>
            <w:r>
              <w:rPr>
                <w:rFonts w:hint="eastAsia" w:ascii="宋体" w:hAnsi="宋体" w:cs="宋体"/>
                <w:sz w:val="24"/>
                <w:szCs w:val="24"/>
                <w:lang w:val="en-US" w:eastAsia="zh-CN"/>
              </w:rPr>
              <w:t>10</w:t>
            </w:r>
            <w:r>
              <w:rPr>
                <w:rFonts w:hint="eastAsia" w:ascii="宋体" w:hAnsi="宋体" w:cs="宋体"/>
                <w:sz w:val="24"/>
                <w:szCs w:val="24"/>
              </w:rPr>
              <w:t>分）</w:t>
            </w:r>
          </w:p>
        </w:tc>
        <w:tc>
          <w:tcPr>
            <w:tcW w:w="7161" w:type="dxa"/>
            <w:vAlign w:val="center"/>
          </w:tcPr>
          <w:p w14:paraId="048D97CD">
            <w:pPr>
              <w:pStyle w:val="11"/>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textAlignment w:val="auto"/>
              <w:rPr>
                <w:rFonts w:hint="eastAsia" w:ascii="宋体" w:hAnsi="宋体" w:cs="宋体" w:eastAsiaTheme="minorEastAsia"/>
                <w:sz w:val="24"/>
                <w:szCs w:val="24"/>
                <w:lang w:eastAsia="zh-CN"/>
              </w:rPr>
            </w:pPr>
            <w:r>
              <w:rPr>
                <w:rFonts w:hint="eastAsia" w:ascii="宋体" w:hAnsi="宋体" w:cs="宋体"/>
                <w:sz w:val="24"/>
                <w:szCs w:val="24"/>
                <w:lang w:val="en-US" w:eastAsia="zh-CN"/>
              </w:rPr>
              <w:t>根据</w:t>
            </w:r>
            <w:r>
              <w:rPr>
                <w:rFonts w:hint="eastAsia" w:ascii="宋体" w:hAnsi="宋体" w:cs="宋体"/>
                <w:sz w:val="24"/>
                <w:szCs w:val="24"/>
              </w:rPr>
              <w:t>投标人针对本项目</w:t>
            </w:r>
            <w:r>
              <w:rPr>
                <w:rFonts w:hint="eastAsia" w:ascii="宋体" w:hAnsi="宋体" w:cs="宋体"/>
                <w:color w:val="auto"/>
                <w:sz w:val="24"/>
                <w:szCs w:val="24"/>
              </w:rPr>
              <w:t>制定</w:t>
            </w:r>
            <w:r>
              <w:rPr>
                <w:rFonts w:hint="eastAsia" w:ascii="宋体" w:hAnsi="宋体" w:cs="宋体"/>
                <w:color w:val="auto"/>
                <w:sz w:val="24"/>
                <w:szCs w:val="24"/>
                <w:lang w:val="en-US" w:eastAsia="zh-CN"/>
              </w:rPr>
              <w:t>的</w:t>
            </w:r>
            <w:r>
              <w:rPr>
                <w:rFonts w:hint="eastAsia" w:ascii="宋体" w:hAnsi="宋体" w:cs="宋体"/>
                <w:sz w:val="24"/>
                <w:szCs w:val="24"/>
              </w:rPr>
              <w:t>内部管理制度</w:t>
            </w:r>
            <w:r>
              <w:rPr>
                <w:rFonts w:hint="eastAsia" w:ascii="宋体" w:hAnsi="宋体" w:cs="宋体"/>
                <w:sz w:val="24"/>
                <w:szCs w:val="24"/>
                <w:lang w:val="en-US" w:eastAsia="zh-CN"/>
              </w:rPr>
              <w:t>方案，</w:t>
            </w:r>
            <w:r>
              <w:rPr>
                <w:rFonts w:hint="eastAsia" w:ascii="宋体" w:hAnsi="宋体" w:cs="宋体"/>
                <w:color w:val="auto"/>
                <w:sz w:val="24"/>
                <w:szCs w:val="24"/>
              </w:rPr>
              <w:t>包括但不限于</w:t>
            </w:r>
            <w:r>
              <w:rPr>
                <w:rFonts w:hint="eastAsia" w:ascii="宋体" w:hAnsi="宋体" w:cs="宋体"/>
                <w:sz w:val="24"/>
                <w:szCs w:val="24"/>
              </w:rPr>
              <w:t>拟设立的组织架构、人员配备、运营管理、规章制度</w:t>
            </w:r>
            <w:r>
              <w:rPr>
                <w:rFonts w:hint="eastAsia" w:ascii="宋体" w:hAnsi="宋体" w:cs="宋体"/>
                <w:sz w:val="24"/>
                <w:szCs w:val="24"/>
                <w:lang w:eastAsia="zh-CN"/>
              </w:rPr>
              <w:t>、</w:t>
            </w:r>
            <w:r>
              <w:rPr>
                <w:rFonts w:hint="eastAsia" w:ascii="宋体" w:hAnsi="宋体" w:cs="宋体"/>
                <w:sz w:val="24"/>
                <w:szCs w:val="24"/>
              </w:rPr>
              <w:t>档案资料的建立管理</w:t>
            </w:r>
            <w:r>
              <w:rPr>
                <w:rFonts w:hint="eastAsia" w:ascii="宋体" w:hAnsi="宋体" w:cs="宋体"/>
                <w:sz w:val="24"/>
                <w:szCs w:val="24"/>
                <w:lang w:eastAsia="zh-CN"/>
              </w:rPr>
              <w:t>、</w:t>
            </w:r>
            <w:r>
              <w:rPr>
                <w:rFonts w:hint="eastAsia" w:ascii="宋体" w:hAnsi="宋体" w:cs="宋体"/>
                <w:sz w:val="24"/>
                <w:szCs w:val="24"/>
              </w:rPr>
              <w:t>各项基本制度、内部岗位责任制度、管理运作制度、考核制度及标准等</w:t>
            </w:r>
            <w:r>
              <w:rPr>
                <w:rFonts w:hint="eastAsia" w:ascii="宋体" w:hAnsi="宋体" w:cs="宋体"/>
                <w:sz w:val="24"/>
              </w:rPr>
              <w:t>进行综合评分</w:t>
            </w:r>
            <w:r>
              <w:rPr>
                <w:rFonts w:hint="eastAsia" w:ascii="宋体" w:hAnsi="宋体" w:cs="宋体"/>
                <w:sz w:val="24"/>
                <w:lang w:eastAsia="zh-CN"/>
              </w:rPr>
              <w:t>。</w:t>
            </w:r>
          </w:p>
          <w:p w14:paraId="4C8E66D6">
            <w:pPr>
              <w:pStyle w:val="11"/>
              <w:keepNext w:val="0"/>
              <w:keepLines w:val="0"/>
              <w:pageBreakBefore w:val="0"/>
              <w:widowControl w:val="0"/>
              <w:kinsoku/>
              <w:wordWrap/>
              <w:overflowPunct/>
              <w:topLinePunct w:val="0"/>
              <w:autoSpaceDE/>
              <w:autoSpaceDN/>
              <w:bidi w:val="0"/>
              <w:adjustRightInd/>
              <w:snapToGrid/>
              <w:spacing w:line="360" w:lineRule="exact"/>
              <w:ind w:left="0" w:leftChars="0" w:firstLine="482" w:firstLineChars="200"/>
              <w:textAlignment w:val="auto"/>
              <w:rPr>
                <w:rFonts w:hint="eastAsia" w:ascii="宋体" w:hAnsi="宋体" w:cs="宋体"/>
                <w:color w:val="00B050"/>
                <w:sz w:val="24"/>
                <w:szCs w:val="24"/>
              </w:rPr>
            </w:pPr>
            <w:r>
              <w:rPr>
                <w:rFonts w:hint="default" w:ascii="宋体" w:hAnsi="宋体" w:cs="宋体"/>
                <w:b/>
                <w:bCs/>
                <w:sz w:val="24"/>
                <w:lang w:val="en-US" w:eastAsia="zh-CN"/>
              </w:rPr>
              <w:t>方案中有上述内容，方案完整详细、思路清晰明了、对现状有全面深入的了解、符合实际，完全满足采购需求的得10分；每有一项内容缺失的扣</w:t>
            </w:r>
            <w:r>
              <w:rPr>
                <w:rFonts w:hint="eastAsia" w:ascii="宋体" w:hAnsi="宋体" w:cs="宋体"/>
                <w:b/>
                <w:bCs/>
                <w:sz w:val="24"/>
                <w:lang w:val="en-US" w:eastAsia="zh-CN"/>
              </w:rPr>
              <w:t>1</w:t>
            </w:r>
            <w:r>
              <w:rPr>
                <w:rFonts w:hint="default" w:ascii="宋体" w:hAnsi="宋体" w:cs="宋体"/>
                <w:b/>
                <w:bCs/>
                <w:sz w:val="24"/>
                <w:lang w:val="en-US" w:eastAsia="zh-CN"/>
              </w:rPr>
              <w:t xml:space="preserve">分； </w:t>
            </w:r>
            <w:r>
              <w:rPr>
                <w:rFonts w:hint="eastAsia" w:ascii="宋体" w:hAnsi="宋体" w:cs="宋体"/>
                <w:b/>
                <w:bCs/>
                <w:sz w:val="24"/>
              </w:rPr>
              <w:t>每有一处内容存在缺陷或不满足</w:t>
            </w:r>
            <w:r>
              <w:rPr>
                <w:rFonts w:hint="eastAsia" w:ascii="宋体" w:hAnsi="宋体" w:cs="宋体"/>
                <w:b/>
                <w:bCs/>
                <w:sz w:val="24"/>
                <w:lang w:val="en-US" w:eastAsia="zh-CN"/>
              </w:rPr>
              <w:t>需求</w:t>
            </w:r>
            <w:r>
              <w:rPr>
                <w:rFonts w:hint="eastAsia" w:ascii="宋体" w:hAnsi="宋体" w:cs="宋体"/>
                <w:b/>
                <w:bCs/>
                <w:sz w:val="24"/>
              </w:rPr>
              <w:t>的扣</w:t>
            </w:r>
            <w:r>
              <w:rPr>
                <w:rFonts w:hint="eastAsia" w:ascii="宋体" w:hAnsi="宋体" w:cs="宋体"/>
                <w:b/>
                <w:bCs/>
                <w:sz w:val="24"/>
                <w:lang w:val="en-US" w:eastAsia="zh-CN"/>
              </w:rPr>
              <w:t>0.5</w:t>
            </w:r>
            <w:r>
              <w:rPr>
                <w:rFonts w:hint="eastAsia" w:ascii="宋体" w:hAnsi="宋体" w:cs="宋体"/>
                <w:b/>
                <w:bCs/>
                <w:sz w:val="24"/>
              </w:rPr>
              <w:t>分，扣完为止。(缺陷或不满足指</w:t>
            </w:r>
            <w:r>
              <w:rPr>
                <w:rFonts w:hint="eastAsia" w:ascii="宋体" w:hAnsi="宋体" w:cs="宋体"/>
                <w:b/>
                <w:bCs/>
                <w:sz w:val="24"/>
                <w:lang w:eastAsia="zh-CN"/>
              </w:rPr>
              <w:t>：</w:t>
            </w:r>
            <w:r>
              <w:rPr>
                <w:rFonts w:hint="eastAsia" w:ascii="宋体" w:hAnsi="宋体" w:cs="宋体"/>
                <w:b/>
                <w:bCs/>
                <w:sz w:val="24"/>
              </w:rPr>
              <w:t>内容不全面、与实际需求不符、内容不清晰或交叉混乱、套用其他项目方案、有规范性或常识性错误、有逻辑漏洞、存在无关的事项、凭空编造、存在不可能实现的夸大情形等任意一种情形)</w:t>
            </w:r>
            <w:r>
              <w:rPr>
                <w:rFonts w:hint="default" w:ascii="宋体" w:hAnsi="宋体" w:cs="宋体"/>
                <w:b/>
                <w:bCs/>
                <w:sz w:val="24"/>
                <w:lang w:val="en-US" w:eastAsia="zh-CN"/>
              </w:rPr>
              <w:t>；未提供方案不得分。</w:t>
            </w:r>
          </w:p>
        </w:tc>
      </w:tr>
      <w:tr w14:paraId="4824D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5" w:hRule="atLeast"/>
          <w:jc w:val="center"/>
        </w:trPr>
        <w:tc>
          <w:tcPr>
            <w:tcW w:w="1252" w:type="dxa"/>
            <w:vMerge w:val="continue"/>
          </w:tcPr>
          <w:p w14:paraId="7B8DAEC6">
            <w:pPr>
              <w:pStyle w:val="1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cs="宋体"/>
                <w:sz w:val="24"/>
                <w:szCs w:val="24"/>
              </w:rPr>
            </w:pPr>
          </w:p>
        </w:tc>
        <w:tc>
          <w:tcPr>
            <w:tcW w:w="1192" w:type="dxa"/>
            <w:vAlign w:val="center"/>
          </w:tcPr>
          <w:p w14:paraId="488E84B4">
            <w:pPr>
              <w:pStyle w:val="11"/>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宋体" w:hAnsi="宋体" w:cs="宋体"/>
                <w:sz w:val="24"/>
                <w:szCs w:val="24"/>
              </w:rPr>
            </w:pPr>
            <w:r>
              <w:rPr>
                <w:rFonts w:hint="eastAsia" w:ascii="宋体" w:hAnsi="宋体" w:cs="宋体"/>
                <w:sz w:val="24"/>
                <w:szCs w:val="24"/>
              </w:rPr>
              <w:t>数据保</w:t>
            </w:r>
          </w:p>
          <w:p w14:paraId="6ED0BAD2">
            <w:pPr>
              <w:pStyle w:val="11"/>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宋体" w:hAnsi="宋体" w:cs="宋体"/>
                <w:sz w:val="24"/>
                <w:szCs w:val="24"/>
              </w:rPr>
            </w:pPr>
            <w:r>
              <w:rPr>
                <w:rFonts w:hint="eastAsia" w:ascii="宋体" w:hAnsi="宋体" w:cs="宋体"/>
                <w:sz w:val="24"/>
                <w:szCs w:val="24"/>
              </w:rPr>
              <w:t>密方案</w:t>
            </w:r>
          </w:p>
          <w:p w14:paraId="6967EAD1">
            <w:pPr>
              <w:pStyle w:val="11"/>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宋体" w:hAnsi="宋体" w:cs="宋体"/>
                <w:sz w:val="24"/>
                <w:szCs w:val="24"/>
              </w:rPr>
            </w:pPr>
            <w:r>
              <w:rPr>
                <w:rFonts w:hint="eastAsia" w:ascii="宋体" w:hAnsi="宋体" w:cs="宋体"/>
                <w:sz w:val="24"/>
                <w:szCs w:val="24"/>
              </w:rPr>
              <w:t>（</w:t>
            </w:r>
            <w:r>
              <w:rPr>
                <w:rFonts w:hint="eastAsia" w:ascii="宋体" w:hAnsi="宋体" w:cs="宋体"/>
                <w:sz w:val="24"/>
                <w:szCs w:val="24"/>
                <w:lang w:val="en-US" w:eastAsia="zh-CN"/>
              </w:rPr>
              <w:t>4</w:t>
            </w:r>
            <w:r>
              <w:rPr>
                <w:rFonts w:hint="eastAsia" w:ascii="宋体" w:hAnsi="宋体" w:cs="宋体"/>
                <w:sz w:val="24"/>
                <w:szCs w:val="24"/>
              </w:rPr>
              <w:t>分）</w:t>
            </w:r>
          </w:p>
        </w:tc>
        <w:tc>
          <w:tcPr>
            <w:tcW w:w="7161" w:type="dxa"/>
            <w:vAlign w:val="center"/>
          </w:tcPr>
          <w:p w14:paraId="21EF1F4C">
            <w:pPr>
              <w:pStyle w:val="11"/>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jc w:val="both"/>
              <w:textAlignment w:val="auto"/>
              <w:rPr>
                <w:rFonts w:hint="eastAsia" w:ascii="宋体" w:hAnsi="宋体" w:cs="宋体" w:eastAsiaTheme="minorEastAsia"/>
                <w:sz w:val="24"/>
                <w:szCs w:val="24"/>
                <w:lang w:eastAsia="zh-CN"/>
              </w:rPr>
            </w:pPr>
            <w:r>
              <w:rPr>
                <w:rFonts w:hint="eastAsia" w:ascii="宋体" w:hAnsi="宋体" w:cs="宋体"/>
                <w:sz w:val="24"/>
                <w:szCs w:val="24"/>
                <w:lang w:val="en-US" w:eastAsia="zh-CN"/>
              </w:rPr>
              <w:t>根据</w:t>
            </w:r>
            <w:r>
              <w:rPr>
                <w:rFonts w:hint="eastAsia" w:ascii="宋体" w:hAnsi="宋体" w:cs="宋体"/>
                <w:sz w:val="24"/>
                <w:szCs w:val="24"/>
              </w:rPr>
              <w:t>投标人针对本项目</w:t>
            </w:r>
            <w:r>
              <w:rPr>
                <w:rFonts w:hint="eastAsia" w:ascii="宋体" w:hAnsi="宋体" w:cs="宋体"/>
                <w:color w:val="auto"/>
                <w:sz w:val="24"/>
                <w:szCs w:val="24"/>
              </w:rPr>
              <w:t>制定</w:t>
            </w:r>
            <w:r>
              <w:rPr>
                <w:rFonts w:hint="eastAsia" w:ascii="宋体" w:hAnsi="宋体" w:cs="宋体"/>
                <w:color w:val="auto"/>
                <w:sz w:val="24"/>
                <w:szCs w:val="24"/>
                <w:lang w:val="en-US" w:eastAsia="zh-CN"/>
              </w:rPr>
              <w:t>的</w:t>
            </w:r>
            <w:r>
              <w:rPr>
                <w:rFonts w:hint="eastAsia" w:ascii="宋体" w:hAnsi="宋体" w:cs="宋体"/>
                <w:sz w:val="24"/>
                <w:szCs w:val="24"/>
              </w:rPr>
              <w:t>符合国家法律法规的数据保密方案</w:t>
            </w:r>
            <w:r>
              <w:rPr>
                <w:rFonts w:hint="eastAsia" w:ascii="宋体" w:hAnsi="宋体" w:cs="宋体"/>
                <w:sz w:val="24"/>
                <w:szCs w:val="24"/>
                <w:lang w:eastAsia="zh-CN"/>
              </w:rPr>
              <w:t>，</w:t>
            </w:r>
            <w:r>
              <w:rPr>
                <w:rFonts w:hint="eastAsia" w:ascii="宋体" w:hAnsi="宋体" w:cs="宋体"/>
                <w:color w:val="auto"/>
                <w:sz w:val="24"/>
                <w:szCs w:val="24"/>
              </w:rPr>
              <w:t>包括但不限于人员信息、报告结果等</w:t>
            </w:r>
            <w:r>
              <w:rPr>
                <w:rFonts w:hint="eastAsia" w:ascii="宋体" w:hAnsi="宋体" w:cs="宋体"/>
                <w:sz w:val="24"/>
              </w:rPr>
              <w:t>进行综合评分</w:t>
            </w:r>
            <w:r>
              <w:rPr>
                <w:rFonts w:hint="eastAsia" w:ascii="宋体" w:hAnsi="宋体" w:cs="宋体"/>
                <w:sz w:val="24"/>
                <w:lang w:eastAsia="zh-CN"/>
              </w:rPr>
              <w:t>。</w:t>
            </w:r>
          </w:p>
          <w:p w14:paraId="06EF5463">
            <w:pPr>
              <w:pStyle w:val="11"/>
              <w:keepNext w:val="0"/>
              <w:keepLines w:val="0"/>
              <w:pageBreakBefore w:val="0"/>
              <w:widowControl w:val="0"/>
              <w:kinsoku/>
              <w:wordWrap/>
              <w:overflowPunct/>
              <w:topLinePunct w:val="0"/>
              <w:autoSpaceDE/>
              <w:autoSpaceDN/>
              <w:bidi w:val="0"/>
              <w:adjustRightInd/>
              <w:snapToGrid/>
              <w:spacing w:line="360" w:lineRule="exact"/>
              <w:ind w:left="0" w:leftChars="0" w:firstLine="482" w:firstLineChars="200"/>
              <w:textAlignment w:val="auto"/>
              <w:rPr>
                <w:rFonts w:hint="eastAsia" w:ascii="宋体" w:hAnsi="宋体" w:cs="宋体"/>
                <w:color w:val="00B050"/>
                <w:sz w:val="24"/>
                <w:szCs w:val="24"/>
              </w:rPr>
            </w:pPr>
            <w:r>
              <w:rPr>
                <w:rFonts w:hint="default" w:ascii="宋体" w:hAnsi="宋体" w:cs="宋体"/>
                <w:b/>
                <w:bCs/>
                <w:sz w:val="24"/>
                <w:lang w:val="en-US" w:eastAsia="zh-CN"/>
              </w:rPr>
              <w:t>方案中有上述内容，方案完整详细、思路清晰明了、对现状有全面深入的了解、符合实际，完全满足采购需求的得</w:t>
            </w:r>
            <w:r>
              <w:rPr>
                <w:rFonts w:hint="eastAsia" w:ascii="宋体" w:hAnsi="宋体" w:cs="宋体"/>
                <w:b/>
                <w:bCs/>
                <w:sz w:val="24"/>
                <w:lang w:val="en-US" w:eastAsia="zh-CN"/>
              </w:rPr>
              <w:t>4</w:t>
            </w:r>
            <w:r>
              <w:rPr>
                <w:rFonts w:hint="default" w:ascii="宋体" w:hAnsi="宋体" w:cs="宋体"/>
                <w:b/>
                <w:bCs/>
                <w:sz w:val="24"/>
                <w:lang w:val="en-US" w:eastAsia="zh-CN"/>
              </w:rPr>
              <w:t>分；每有一项内容缺失的扣</w:t>
            </w:r>
            <w:r>
              <w:rPr>
                <w:rFonts w:hint="eastAsia" w:ascii="宋体" w:hAnsi="宋体" w:cs="宋体"/>
                <w:b/>
                <w:bCs/>
                <w:sz w:val="24"/>
                <w:lang w:val="en-US" w:eastAsia="zh-CN"/>
              </w:rPr>
              <w:t>2</w:t>
            </w:r>
            <w:r>
              <w:rPr>
                <w:rFonts w:hint="default" w:ascii="宋体" w:hAnsi="宋体" w:cs="宋体"/>
                <w:b/>
                <w:bCs/>
                <w:sz w:val="24"/>
                <w:lang w:val="en-US" w:eastAsia="zh-CN"/>
              </w:rPr>
              <w:t xml:space="preserve">分； </w:t>
            </w:r>
            <w:r>
              <w:rPr>
                <w:rFonts w:hint="eastAsia" w:ascii="宋体" w:hAnsi="宋体" w:cs="宋体"/>
                <w:b/>
                <w:bCs/>
                <w:sz w:val="24"/>
              </w:rPr>
              <w:t>每有一处内容存在缺陷或不满足</w:t>
            </w:r>
            <w:r>
              <w:rPr>
                <w:rFonts w:hint="eastAsia" w:ascii="宋体" w:hAnsi="宋体" w:cs="宋体"/>
                <w:b/>
                <w:bCs/>
                <w:sz w:val="24"/>
                <w:lang w:val="en-US" w:eastAsia="zh-CN"/>
              </w:rPr>
              <w:t>需求</w:t>
            </w:r>
            <w:r>
              <w:rPr>
                <w:rFonts w:hint="eastAsia" w:ascii="宋体" w:hAnsi="宋体" w:cs="宋体"/>
                <w:b/>
                <w:bCs/>
                <w:sz w:val="24"/>
              </w:rPr>
              <w:t>的扣</w:t>
            </w:r>
            <w:r>
              <w:rPr>
                <w:rFonts w:hint="eastAsia" w:ascii="宋体" w:hAnsi="宋体" w:cs="宋体"/>
                <w:b/>
                <w:bCs/>
                <w:sz w:val="24"/>
                <w:lang w:val="en-US" w:eastAsia="zh-CN"/>
              </w:rPr>
              <w:t>0.5</w:t>
            </w:r>
            <w:r>
              <w:rPr>
                <w:rFonts w:hint="eastAsia" w:ascii="宋体" w:hAnsi="宋体" w:cs="宋体"/>
                <w:b/>
                <w:bCs/>
                <w:sz w:val="24"/>
              </w:rPr>
              <w:t>分，扣完为止。(缺陷或不满足指</w:t>
            </w:r>
            <w:r>
              <w:rPr>
                <w:rFonts w:hint="eastAsia" w:ascii="宋体" w:hAnsi="宋体" w:cs="宋体"/>
                <w:b/>
                <w:bCs/>
                <w:sz w:val="24"/>
                <w:lang w:eastAsia="zh-CN"/>
              </w:rPr>
              <w:t>：</w:t>
            </w:r>
            <w:r>
              <w:rPr>
                <w:rFonts w:hint="eastAsia" w:ascii="宋体" w:hAnsi="宋体" w:cs="宋体"/>
                <w:b/>
                <w:bCs/>
                <w:sz w:val="24"/>
              </w:rPr>
              <w:t>内容不全面、与实际需求不符、内容不清晰或交叉混乱、套用其他项目方案、有规范性或常识性错误、有逻辑漏洞、存在无关的事项、凭空编造、存在不可能实现的夸大情形等任意一种情形)</w:t>
            </w:r>
            <w:r>
              <w:rPr>
                <w:rFonts w:hint="default" w:ascii="宋体" w:hAnsi="宋体" w:cs="宋体"/>
                <w:b/>
                <w:bCs/>
                <w:sz w:val="24"/>
                <w:lang w:val="en-US" w:eastAsia="zh-CN"/>
              </w:rPr>
              <w:t>；未提供方案不得分。</w:t>
            </w:r>
          </w:p>
        </w:tc>
      </w:tr>
      <w:tr w14:paraId="38A2A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252" w:type="dxa"/>
            <w:vMerge w:val="continue"/>
          </w:tcPr>
          <w:p w14:paraId="4E368A83">
            <w:pPr>
              <w:pStyle w:val="1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cs="宋体"/>
                <w:sz w:val="24"/>
                <w:szCs w:val="24"/>
              </w:rPr>
            </w:pPr>
          </w:p>
        </w:tc>
        <w:tc>
          <w:tcPr>
            <w:tcW w:w="1192" w:type="dxa"/>
            <w:vAlign w:val="center"/>
          </w:tcPr>
          <w:p w14:paraId="13CC2308">
            <w:pPr>
              <w:pStyle w:val="11"/>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合理化建议</w:t>
            </w:r>
          </w:p>
          <w:p w14:paraId="76FB781B">
            <w:pPr>
              <w:pStyle w:val="11"/>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宋体" w:hAnsi="宋体" w:cs="宋体"/>
                <w:sz w:val="24"/>
                <w:szCs w:val="24"/>
              </w:rPr>
            </w:pPr>
            <w:r>
              <w:rPr>
                <w:rFonts w:hint="eastAsia" w:ascii="宋体" w:hAnsi="宋体" w:cs="宋体"/>
                <w:sz w:val="24"/>
                <w:szCs w:val="24"/>
              </w:rPr>
              <w:t>（</w:t>
            </w:r>
            <w:r>
              <w:rPr>
                <w:rFonts w:hint="eastAsia" w:ascii="宋体" w:hAnsi="宋体" w:cs="宋体"/>
                <w:sz w:val="24"/>
                <w:szCs w:val="24"/>
                <w:lang w:val="en-US" w:eastAsia="zh-CN"/>
              </w:rPr>
              <w:t>4</w:t>
            </w:r>
            <w:r>
              <w:rPr>
                <w:rFonts w:hint="eastAsia" w:ascii="宋体" w:hAnsi="宋体" w:cs="宋体"/>
                <w:sz w:val="24"/>
                <w:szCs w:val="24"/>
              </w:rPr>
              <w:t>分）</w:t>
            </w:r>
          </w:p>
        </w:tc>
        <w:tc>
          <w:tcPr>
            <w:tcW w:w="7161" w:type="dxa"/>
          </w:tcPr>
          <w:p w14:paraId="193DA6C4">
            <w:pPr>
              <w:pStyle w:val="11"/>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jc w:val="both"/>
              <w:textAlignment w:val="auto"/>
              <w:rPr>
                <w:rFonts w:hint="eastAsia" w:ascii="宋体" w:hAnsi="宋体" w:cs="宋体" w:eastAsiaTheme="minorEastAsia"/>
                <w:sz w:val="24"/>
                <w:szCs w:val="24"/>
                <w:lang w:eastAsia="zh-CN"/>
              </w:rPr>
            </w:pPr>
            <w:r>
              <w:rPr>
                <w:rFonts w:hint="eastAsia" w:ascii="宋体" w:hAnsi="宋体" w:cs="宋体"/>
                <w:sz w:val="24"/>
                <w:szCs w:val="24"/>
                <w:lang w:val="en-US" w:eastAsia="zh-CN"/>
              </w:rPr>
              <w:t>根据</w:t>
            </w:r>
            <w:r>
              <w:rPr>
                <w:rFonts w:hint="eastAsia" w:ascii="宋体" w:hAnsi="宋体" w:cs="宋体"/>
                <w:sz w:val="24"/>
                <w:szCs w:val="24"/>
              </w:rPr>
              <w:t>投标人结合我县优抚对象的现状，对项目实施及未来发展</w:t>
            </w:r>
            <w:r>
              <w:rPr>
                <w:rFonts w:hint="eastAsia" w:ascii="宋体" w:hAnsi="宋体" w:cs="宋体"/>
                <w:color w:val="auto"/>
                <w:sz w:val="24"/>
                <w:szCs w:val="24"/>
              </w:rPr>
              <w:t>制定</w:t>
            </w:r>
            <w:r>
              <w:rPr>
                <w:rFonts w:hint="eastAsia" w:ascii="宋体" w:hAnsi="宋体" w:cs="宋体"/>
                <w:color w:val="auto"/>
                <w:sz w:val="24"/>
                <w:szCs w:val="24"/>
                <w:lang w:val="en-US" w:eastAsia="zh-CN"/>
              </w:rPr>
              <w:t>的</w:t>
            </w:r>
            <w:r>
              <w:rPr>
                <w:rFonts w:hint="eastAsia" w:ascii="宋体" w:hAnsi="宋体" w:cs="宋体"/>
                <w:sz w:val="24"/>
                <w:szCs w:val="24"/>
              </w:rPr>
              <w:t>合理化建议，包括但不限于提供刚性服务需求分析、自费服务项目可行性分析等</w:t>
            </w:r>
            <w:r>
              <w:rPr>
                <w:rFonts w:hint="eastAsia" w:ascii="宋体" w:hAnsi="宋体" w:cs="宋体"/>
                <w:sz w:val="24"/>
              </w:rPr>
              <w:t>进行综合评分</w:t>
            </w:r>
            <w:r>
              <w:rPr>
                <w:rFonts w:hint="eastAsia" w:ascii="宋体" w:hAnsi="宋体" w:cs="宋体"/>
                <w:sz w:val="24"/>
                <w:lang w:eastAsia="zh-CN"/>
              </w:rPr>
              <w:t>。</w:t>
            </w:r>
          </w:p>
          <w:p w14:paraId="68660AE6">
            <w:pPr>
              <w:pStyle w:val="11"/>
              <w:keepNext w:val="0"/>
              <w:keepLines w:val="0"/>
              <w:pageBreakBefore w:val="0"/>
              <w:widowControl w:val="0"/>
              <w:kinsoku/>
              <w:wordWrap/>
              <w:overflowPunct/>
              <w:topLinePunct w:val="0"/>
              <w:autoSpaceDE/>
              <w:autoSpaceDN/>
              <w:bidi w:val="0"/>
              <w:adjustRightInd/>
              <w:snapToGrid/>
              <w:spacing w:line="360" w:lineRule="exact"/>
              <w:ind w:left="0" w:leftChars="0" w:firstLine="482" w:firstLineChars="200"/>
              <w:textAlignment w:val="auto"/>
              <w:rPr>
                <w:rFonts w:hint="eastAsia" w:ascii="宋体" w:hAnsi="宋体" w:cs="宋体"/>
                <w:sz w:val="24"/>
                <w:szCs w:val="24"/>
              </w:rPr>
            </w:pPr>
            <w:r>
              <w:rPr>
                <w:rFonts w:hint="default" w:ascii="宋体" w:hAnsi="宋体" w:cs="宋体"/>
                <w:b/>
                <w:bCs/>
                <w:sz w:val="24"/>
                <w:lang w:val="en-US" w:eastAsia="zh-CN"/>
              </w:rPr>
              <w:t>方案中有上述内容，方案完整详细、思路清晰明了、对现状有全面深入的了解、符合实际，完全满足采购需求的得</w:t>
            </w:r>
            <w:r>
              <w:rPr>
                <w:rFonts w:hint="eastAsia" w:ascii="宋体" w:hAnsi="宋体" w:cs="宋体"/>
                <w:b/>
                <w:bCs/>
                <w:sz w:val="24"/>
                <w:lang w:val="en-US" w:eastAsia="zh-CN"/>
              </w:rPr>
              <w:t>4</w:t>
            </w:r>
            <w:r>
              <w:rPr>
                <w:rFonts w:hint="default" w:ascii="宋体" w:hAnsi="宋体" w:cs="宋体"/>
                <w:b/>
                <w:bCs/>
                <w:sz w:val="24"/>
                <w:lang w:val="en-US" w:eastAsia="zh-CN"/>
              </w:rPr>
              <w:t>分；每有一项内容缺失的扣</w:t>
            </w:r>
            <w:r>
              <w:rPr>
                <w:rFonts w:hint="eastAsia" w:ascii="宋体" w:hAnsi="宋体" w:cs="宋体"/>
                <w:b/>
                <w:bCs/>
                <w:sz w:val="24"/>
                <w:lang w:val="en-US" w:eastAsia="zh-CN"/>
              </w:rPr>
              <w:t>2</w:t>
            </w:r>
            <w:r>
              <w:rPr>
                <w:rFonts w:hint="default" w:ascii="宋体" w:hAnsi="宋体" w:cs="宋体"/>
                <w:b/>
                <w:bCs/>
                <w:sz w:val="24"/>
                <w:lang w:val="en-US" w:eastAsia="zh-CN"/>
              </w:rPr>
              <w:t xml:space="preserve">分； </w:t>
            </w:r>
            <w:r>
              <w:rPr>
                <w:rFonts w:hint="eastAsia" w:ascii="宋体" w:hAnsi="宋体" w:cs="宋体"/>
                <w:b/>
                <w:bCs/>
                <w:sz w:val="24"/>
              </w:rPr>
              <w:t>每有一处内容存在缺陷或不满足</w:t>
            </w:r>
            <w:r>
              <w:rPr>
                <w:rFonts w:hint="eastAsia" w:ascii="宋体" w:hAnsi="宋体" w:cs="宋体"/>
                <w:b/>
                <w:bCs/>
                <w:sz w:val="24"/>
                <w:lang w:val="en-US" w:eastAsia="zh-CN"/>
              </w:rPr>
              <w:t>需求</w:t>
            </w:r>
            <w:r>
              <w:rPr>
                <w:rFonts w:hint="eastAsia" w:ascii="宋体" w:hAnsi="宋体" w:cs="宋体"/>
                <w:b/>
                <w:bCs/>
                <w:sz w:val="24"/>
              </w:rPr>
              <w:t>的扣</w:t>
            </w:r>
            <w:r>
              <w:rPr>
                <w:rFonts w:hint="eastAsia" w:ascii="宋体" w:hAnsi="宋体" w:cs="宋体"/>
                <w:b/>
                <w:bCs/>
                <w:sz w:val="24"/>
                <w:lang w:val="en-US" w:eastAsia="zh-CN"/>
              </w:rPr>
              <w:t>0.5</w:t>
            </w:r>
            <w:r>
              <w:rPr>
                <w:rFonts w:hint="eastAsia" w:ascii="宋体" w:hAnsi="宋体" w:cs="宋体"/>
                <w:b/>
                <w:bCs/>
                <w:sz w:val="24"/>
              </w:rPr>
              <w:t>分，扣完为止。(缺陷或不满足指</w:t>
            </w:r>
            <w:r>
              <w:rPr>
                <w:rFonts w:hint="eastAsia" w:ascii="宋体" w:hAnsi="宋体" w:cs="宋体"/>
                <w:b/>
                <w:bCs/>
                <w:sz w:val="24"/>
                <w:lang w:eastAsia="zh-CN"/>
              </w:rPr>
              <w:t>：</w:t>
            </w:r>
            <w:r>
              <w:rPr>
                <w:rFonts w:hint="eastAsia" w:ascii="宋体" w:hAnsi="宋体" w:cs="宋体"/>
                <w:b/>
                <w:bCs/>
                <w:sz w:val="24"/>
              </w:rPr>
              <w:t>内容不全面、与实际需求不符、内容不清晰或交叉混乱、套用其他项目方案、有规范性或常识性错误、有逻辑漏洞、存在无关的事项、凭空编造、存在不可能实现的夸大情形等任意一种情形)</w:t>
            </w:r>
            <w:r>
              <w:rPr>
                <w:rFonts w:hint="default" w:ascii="宋体" w:hAnsi="宋体" w:cs="宋体"/>
                <w:b/>
                <w:bCs/>
                <w:sz w:val="24"/>
                <w:lang w:val="en-US" w:eastAsia="zh-CN"/>
              </w:rPr>
              <w:t>；未提供方案不得分。</w:t>
            </w:r>
          </w:p>
        </w:tc>
      </w:tr>
      <w:tr w14:paraId="2F824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52" w:type="dxa"/>
            <w:vMerge w:val="restart"/>
            <w:vAlign w:val="center"/>
          </w:tcPr>
          <w:p w14:paraId="3EE1D40E">
            <w:pPr>
              <w:pStyle w:val="11"/>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default" w:ascii="宋体" w:hAnsi="宋体" w:cs="宋体" w:eastAsiaTheme="minorEastAsia"/>
                <w:sz w:val="24"/>
                <w:szCs w:val="24"/>
                <w:lang w:val="en-US" w:eastAsia="zh-CN"/>
              </w:rPr>
            </w:pPr>
            <w:r>
              <w:rPr>
                <w:rFonts w:hint="eastAsia" w:ascii="宋体" w:hAnsi="宋体" w:cs="宋体"/>
                <w:sz w:val="24"/>
                <w:szCs w:val="24"/>
                <w:lang w:val="en-US" w:eastAsia="zh-CN"/>
              </w:rPr>
              <w:t>综合实力（45分）</w:t>
            </w:r>
          </w:p>
        </w:tc>
        <w:tc>
          <w:tcPr>
            <w:tcW w:w="1192" w:type="dxa"/>
            <w:vAlign w:val="center"/>
          </w:tcPr>
          <w:p w14:paraId="5F6A2D46">
            <w:pPr>
              <w:pStyle w:val="11"/>
              <w:keepNext w:val="0"/>
              <w:keepLines w:val="0"/>
              <w:pageBreakBefore w:val="0"/>
              <w:widowControl w:val="0"/>
              <w:kinsoku/>
              <w:wordWrap/>
              <w:overflowPunct/>
              <w:topLinePunct w:val="0"/>
              <w:autoSpaceDE/>
              <w:autoSpaceDN/>
              <w:bidi w:val="0"/>
              <w:adjustRightInd/>
              <w:snapToGrid/>
              <w:spacing w:line="360" w:lineRule="exact"/>
              <w:ind w:left="0" w:leftChars="0"/>
              <w:jc w:val="both"/>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实施装备（</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分）</w:t>
            </w:r>
          </w:p>
        </w:tc>
        <w:tc>
          <w:tcPr>
            <w:tcW w:w="7161" w:type="dxa"/>
            <w:vAlign w:val="center"/>
          </w:tcPr>
          <w:p w14:paraId="0BBBFBA8">
            <w:pPr>
              <w:pStyle w:val="16"/>
              <w:keepNext w:val="0"/>
              <w:keepLines w:val="0"/>
              <w:pageBreakBefore w:val="0"/>
              <w:widowControl w:val="0"/>
              <w:kinsoku/>
              <w:wordWrap/>
              <w:overflowPunct/>
              <w:topLinePunct w:val="0"/>
              <w:autoSpaceDE/>
              <w:autoSpaceDN/>
              <w:bidi w:val="0"/>
              <w:adjustRightInd/>
              <w:snapToGrid/>
              <w:spacing w:line="360" w:lineRule="exact"/>
              <w:ind w:left="0" w:firstLine="480" w:firstLineChars="200"/>
              <w:textAlignment w:val="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投标人提供的体检设备仪器数量至少有：彩超2台、CT 1台、生化分析仪1台、血细胞分析仪1台、尿液分析仪1台、心电图1台</w:t>
            </w: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lang w:val="en-US" w:eastAsia="zh-CN"/>
              </w:rPr>
              <w:t>骨密度检测仪1台</w:t>
            </w:r>
            <w:r>
              <w:rPr>
                <w:rFonts w:hint="eastAsia" w:asciiTheme="minorEastAsia" w:hAnsiTheme="minorEastAsia" w:eastAsiaTheme="minorEastAsia"/>
                <w:color w:val="auto"/>
                <w:sz w:val="24"/>
                <w:szCs w:val="24"/>
                <w:highlight w:val="none"/>
              </w:rPr>
              <w:t>。每类设备仪器每提供1台得1分，彩超最高得2分，其它设备仪器最高得1分，每缺少一类扣1分，本项最高</w:t>
            </w:r>
            <w:r>
              <w:rPr>
                <w:rFonts w:hint="eastAsia" w:asciiTheme="minorEastAsia" w:hAnsiTheme="minorEastAsia" w:eastAsiaTheme="minorEastAsia"/>
                <w:color w:val="auto"/>
                <w:sz w:val="24"/>
                <w:szCs w:val="24"/>
                <w:highlight w:val="none"/>
                <w:lang w:val="en-US" w:eastAsia="zh-CN"/>
              </w:rPr>
              <w:t>8</w:t>
            </w:r>
            <w:r>
              <w:rPr>
                <w:rFonts w:hint="eastAsia" w:asciiTheme="minorEastAsia" w:hAnsiTheme="minorEastAsia" w:eastAsiaTheme="minorEastAsia"/>
                <w:color w:val="auto"/>
                <w:sz w:val="24"/>
                <w:szCs w:val="24"/>
                <w:highlight w:val="none"/>
              </w:rPr>
              <w:t>分。</w:t>
            </w:r>
          </w:p>
          <w:p w14:paraId="7F02F05F">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bCs/>
                <w:color w:val="auto"/>
                <w:highlight w:val="none"/>
              </w:rPr>
            </w:pPr>
            <w:r>
              <w:rPr>
                <w:rFonts w:hint="eastAsia" w:asciiTheme="minorEastAsia" w:hAnsiTheme="minorEastAsia" w:eastAsiaTheme="minorEastAsia"/>
                <w:b/>
                <w:bCs/>
                <w:color w:val="auto"/>
                <w:sz w:val="24"/>
                <w:szCs w:val="24"/>
                <w:highlight w:val="none"/>
              </w:rPr>
              <w:t>备注：提供购买发票或购买合同彩色扫描件</w:t>
            </w:r>
            <w:r>
              <w:rPr>
                <w:rFonts w:hint="eastAsia" w:ascii="宋体" w:hAnsi="宋体" w:cs="宋体"/>
                <w:b/>
                <w:bCs/>
                <w:sz w:val="24"/>
                <w:szCs w:val="24"/>
                <w:highlight w:val="none"/>
              </w:rPr>
              <w:t>加盖投标人公章</w:t>
            </w:r>
            <w:r>
              <w:rPr>
                <w:rFonts w:hint="eastAsia" w:asciiTheme="minorEastAsia" w:hAnsiTheme="minorEastAsia" w:eastAsiaTheme="minorEastAsia"/>
                <w:b/>
                <w:bCs/>
                <w:color w:val="auto"/>
                <w:sz w:val="24"/>
                <w:szCs w:val="24"/>
                <w:highlight w:val="none"/>
              </w:rPr>
              <w:t>。未提供或未按要求提供材料的不得分。</w:t>
            </w:r>
          </w:p>
        </w:tc>
      </w:tr>
      <w:tr w14:paraId="13ECA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1252" w:type="dxa"/>
            <w:vMerge w:val="continue"/>
            <w:vAlign w:val="center"/>
          </w:tcPr>
          <w:p w14:paraId="06F279CD">
            <w:pPr>
              <w:pStyle w:val="11"/>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cs="宋体"/>
                <w:sz w:val="24"/>
                <w:szCs w:val="24"/>
              </w:rPr>
            </w:pPr>
          </w:p>
        </w:tc>
        <w:tc>
          <w:tcPr>
            <w:tcW w:w="1192" w:type="dxa"/>
            <w:vAlign w:val="center"/>
          </w:tcPr>
          <w:p w14:paraId="0342A0C9">
            <w:pPr>
              <w:pStyle w:val="11"/>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宋体" w:hAnsi="宋体" w:cs="宋体"/>
                <w:sz w:val="24"/>
                <w:szCs w:val="24"/>
              </w:rPr>
            </w:pPr>
            <w:r>
              <w:rPr>
                <w:rFonts w:hint="eastAsia" w:ascii="宋体" w:hAnsi="宋体" w:cs="宋体"/>
                <w:sz w:val="24"/>
                <w:szCs w:val="24"/>
              </w:rPr>
              <w:t>实施团队(18分)</w:t>
            </w:r>
          </w:p>
        </w:tc>
        <w:tc>
          <w:tcPr>
            <w:tcW w:w="7161" w:type="dxa"/>
            <w:vAlign w:val="center"/>
          </w:tcPr>
          <w:p w14:paraId="396B8641">
            <w:pPr>
              <w:pStyle w:val="31"/>
              <w:keepNext w:val="0"/>
              <w:keepLines w:val="0"/>
              <w:pageBreakBefore w:val="0"/>
              <w:widowControl w:val="0"/>
              <w:kinsoku/>
              <w:wordWrap/>
              <w:overflowPunct/>
              <w:topLinePunct w:val="0"/>
              <w:autoSpaceDE/>
              <w:autoSpaceDN/>
              <w:bidi w:val="0"/>
              <w:adjustRightInd/>
              <w:snapToGrid/>
              <w:spacing w:line="360" w:lineRule="exact"/>
              <w:ind w:left="0" w:firstLine="480" w:firstLineChars="200"/>
              <w:jc w:val="left"/>
              <w:textAlignment w:val="auto"/>
              <w:rPr>
                <w:rFonts w:hint="eastAsia" w:ascii="宋体" w:hAnsi="宋体" w:cs="宋体"/>
                <w:color w:val="auto"/>
                <w:sz w:val="24"/>
                <w:szCs w:val="24"/>
              </w:rPr>
            </w:pPr>
            <w:r>
              <w:rPr>
                <w:rFonts w:hint="eastAsia" w:ascii="宋体" w:hAnsi="宋体" w:cs="宋体"/>
                <w:color w:val="auto"/>
                <w:sz w:val="24"/>
                <w:szCs w:val="24"/>
              </w:rPr>
              <w:t>1</w:t>
            </w:r>
            <w:r>
              <w:rPr>
                <w:rFonts w:hint="eastAsia" w:ascii="宋体" w:hAnsi="宋体" w:cs="宋体"/>
                <w:color w:val="auto"/>
                <w:sz w:val="24"/>
                <w:szCs w:val="24"/>
                <w:lang w:val="en-US" w:eastAsia="zh-CN"/>
              </w:rPr>
              <w:t>.</w:t>
            </w:r>
            <w:r>
              <w:rPr>
                <w:rFonts w:hint="eastAsia" w:ascii="宋体" w:hAnsi="宋体" w:cs="宋体"/>
                <w:color w:val="auto"/>
                <w:sz w:val="24"/>
                <w:szCs w:val="24"/>
              </w:rPr>
              <w:t>项目负责人须为本单位职工，具有3年及以上医疗护理经验的得2分，本项最高得2分。</w:t>
            </w:r>
          </w:p>
          <w:p w14:paraId="38E0EA3C">
            <w:pPr>
              <w:pStyle w:val="31"/>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200"/>
              <w:jc w:val="left"/>
              <w:textAlignment w:val="auto"/>
              <w:rPr>
                <w:rFonts w:hint="eastAsia" w:ascii="宋体" w:hAnsi="宋体"/>
                <w:color w:val="auto"/>
                <w:sz w:val="24"/>
                <w:szCs w:val="24"/>
                <w:highlight w:val="none"/>
              </w:rPr>
            </w:pPr>
            <w:r>
              <w:rPr>
                <w:rFonts w:hint="eastAsia" w:ascii="宋体" w:hAnsi="宋体" w:cs="宋体"/>
                <w:strike w:val="0"/>
                <w:dstrike w:val="0"/>
                <w:color w:val="auto"/>
                <w:sz w:val="24"/>
                <w:szCs w:val="24"/>
                <w:highlight w:val="none"/>
                <w:lang w:val="en-US" w:eastAsia="zh-CN"/>
              </w:rPr>
              <w:t>2.</w:t>
            </w:r>
            <w:r>
              <w:rPr>
                <w:rFonts w:hint="eastAsia" w:ascii="宋体" w:hAnsi="宋体" w:cs="宋体"/>
                <w:strike w:val="0"/>
                <w:dstrike w:val="0"/>
                <w:color w:val="auto"/>
                <w:sz w:val="24"/>
                <w:szCs w:val="24"/>
                <w:highlight w:val="none"/>
              </w:rPr>
              <w:t>项目组成员（不含</w:t>
            </w:r>
            <w:r>
              <w:rPr>
                <w:rFonts w:hint="eastAsia" w:ascii="宋体" w:hAnsi="宋体" w:cs="宋体"/>
                <w:color w:val="auto"/>
                <w:sz w:val="24"/>
                <w:szCs w:val="24"/>
              </w:rPr>
              <w:t>项目负责人</w:t>
            </w:r>
            <w:r>
              <w:rPr>
                <w:rFonts w:hint="eastAsia" w:ascii="宋体" w:hAnsi="宋体" w:cs="宋体"/>
                <w:strike w:val="0"/>
                <w:dstrike w:val="0"/>
                <w:color w:val="auto"/>
                <w:sz w:val="24"/>
                <w:szCs w:val="24"/>
                <w:highlight w:val="none"/>
              </w:rPr>
              <w:t>）须为本单位职工</w:t>
            </w:r>
            <w:r>
              <w:rPr>
                <w:rFonts w:hint="eastAsia" w:ascii="宋体" w:hAnsi="宋体" w:cs="宋体"/>
                <w:strike w:val="0"/>
                <w:dstrike w:val="0"/>
                <w:color w:val="auto"/>
                <w:sz w:val="24"/>
                <w:szCs w:val="24"/>
                <w:highlight w:val="none"/>
                <w:lang w:eastAsia="zh-CN"/>
              </w:rPr>
              <w:t>：</w:t>
            </w:r>
          </w:p>
          <w:p w14:paraId="0AF04817">
            <w:pPr>
              <w:pStyle w:val="31"/>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jc w:val="left"/>
              <w:textAlignment w:val="auto"/>
              <w:rPr>
                <w:rFonts w:hint="eastAsia" w:ascii="宋体" w:hAnsi="宋体" w:cs="宋体"/>
                <w:strike w:val="0"/>
                <w:dstrike w:val="0"/>
                <w:color w:val="auto"/>
                <w:sz w:val="24"/>
                <w:szCs w:val="24"/>
                <w:highlight w:val="none"/>
                <w:lang w:val="en-US" w:eastAsia="zh-CN"/>
              </w:rPr>
            </w:pPr>
            <w:r>
              <w:rPr>
                <w:rFonts w:hint="eastAsia" w:ascii="宋体" w:hAnsi="宋体" w:cs="宋体"/>
                <w:color w:val="auto"/>
                <w:sz w:val="24"/>
                <w:szCs w:val="24"/>
                <w:highlight w:val="none"/>
                <w:lang w:val="en-US" w:eastAsia="zh-CN"/>
              </w:rPr>
              <w:t>2.1</w:t>
            </w:r>
            <w:r>
              <w:rPr>
                <w:rFonts w:hint="eastAsia" w:ascii="宋体" w:hAnsi="宋体" w:cs="宋体"/>
                <w:color w:val="auto"/>
                <w:sz w:val="24"/>
                <w:szCs w:val="24"/>
                <w:highlight w:val="none"/>
              </w:rPr>
              <w:t>项目组成员至少有1名具有内科或外科副高级及以上职称的医师；超声科、放射科至少各有1名具有中级及以上职称的医师；检验科至少有1名具有专业技术职务任职资格的医师或技师。上述四类人员每类每提供一名得2分，</w:t>
            </w:r>
            <w:r>
              <w:rPr>
                <w:rFonts w:hint="eastAsia" w:ascii="宋体" w:hAnsi="宋体" w:cs="宋体"/>
                <w:color w:val="auto"/>
                <w:sz w:val="24"/>
                <w:szCs w:val="24"/>
                <w:highlight w:val="none"/>
                <w:lang w:val="en-US" w:eastAsia="zh-CN"/>
              </w:rPr>
              <w:t>每人</w:t>
            </w:r>
            <w:r>
              <w:rPr>
                <w:rFonts w:hint="eastAsia" w:ascii="宋体" w:hAnsi="宋体" w:cs="宋体"/>
                <w:color w:val="auto"/>
                <w:sz w:val="24"/>
                <w:szCs w:val="24"/>
                <w:highlight w:val="none"/>
              </w:rPr>
              <w:t>最多得2分，本项最高得8分。</w:t>
            </w:r>
          </w:p>
          <w:p w14:paraId="45E0BE98">
            <w:pPr>
              <w:pStyle w:val="31"/>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cs="宋体"/>
                <w:strike w:val="0"/>
                <w:dstrike w:val="0"/>
                <w:color w:val="auto"/>
                <w:sz w:val="24"/>
                <w:szCs w:val="24"/>
                <w:highlight w:val="none"/>
                <w:lang w:val="en-US" w:eastAsia="zh-CN"/>
              </w:rPr>
            </w:pPr>
            <w:r>
              <w:rPr>
                <w:rFonts w:hint="eastAsia" w:ascii="宋体" w:hAnsi="宋体" w:cs="宋体"/>
                <w:strike w:val="0"/>
                <w:dstrike w:val="0"/>
                <w:color w:val="auto"/>
                <w:sz w:val="24"/>
                <w:szCs w:val="24"/>
                <w:highlight w:val="none"/>
                <w:lang w:val="en-US" w:eastAsia="zh-CN"/>
              </w:rPr>
              <w:t>2.2</w:t>
            </w:r>
            <w:r>
              <w:rPr>
                <w:rFonts w:hint="eastAsia" w:ascii="宋体" w:hAnsi="宋体" w:cs="宋体"/>
                <w:strike w:val="0"/>
                <w:dstrike w:val="0"/>
                <w:color w:val="auto"/>
                <w:sz w:val="24"/>
                <w:szCs w:val="24"/>
                <w:highlight w:val="none"/>
              </w:rPr>
              <w:t>项目组成员</w:t>
            </w:r>
            <w:r>
              <w:rPr>
                <w:rFonts w:hint="eastAsia" w:ascii="宋体" w:hAnsi="宋体" w:cs="宋体"/>
                <w:strike w:val="0"/>
                <w:dstrike w:val="0"/>
                <w:color w:val="auto"/>
                <w:sz w:val="24"/>
                <w:szCs w:val="24"/>
                <w:highlight w:val="none"/>
                <w:lang w:val="en-US" w:eastAsia="zh-CN"/>
              </w:rPr>
              <w:t>同时</w:t>
            </w:r>
            <w:r>
              <w:rPr>
                <w:rFonts w:hint="eastAsia" w:ascii="宋体" w:hAnsi="宋体" w:cs="宋体"/>
                <w:strike w:val="0"/>
                <w:dstrike w:val="0"/>
                <w:color w:val="auto"/>
                <w:sz w:val="24"/>
                <w:szCs w:val="24"/>
                <w:highlight w:val="none"/>
              </w:rPr>
              <w:t>具有</w:t>
            </w:r>
            <w:r>
              <w:rPr>
                <w:rFonts w:hint="eastAsia" w:ascii="宋体" w:hAnsi="宋体" w:cs="宋体"/>
                <w:strike w:val="0"/>
                <w:dstrike w:val="0"/>
                <w:color w:val="auto"/>
                <w:sz w:val="24"/>
                <w:szCs w:val="24"/>
                <w:highlight w:val="none"/>
                <w:lang w:val="en-US" w:eastAsia="zh-CN"/>
              </w:rPr>
              <w:t>一名</w:t>
            </w:r>
            <w:r>
              <w:rPr>
                <w:rFonts w:hint="eastAsia" w:ascii="宋体" w:hAnsi="宋体" w:cs="宋体"/>
                <w:strike w:val="0"/>
                <w:dstrike w:val="0"/>
                <w:color w:val="auto"/>
                <w:sz w:val="24"/>
                <w:szCs w:val="24"/>
                <w:highlight w:val="none"/>
              </w:rPr>
              <w:t>康复医师</w:t>
            </w:r>
            <w:r>
              <w:rPr>
                <w:rFonts w:hint="eastAsia" w:ascii="宋体" w:hAnsi="宋体" w:cs="宋体"/>
                <w:strike w:val="0"/>
                <w:dstrike w:val="0"/>
                <w:color w:val="auto"/>
                <w:sz w:val="24"/>
                <w:szCs w:val="24"/>
                <w:highlight w:val="none"/>
                <w:lang w:val="en-US" w:eastAsia="zh-CN"/>
              </w:rPr>
              <w:t>和一名</w:t>
            </w:r>
            <w:r>
              <w:rPr>
                <w:rFonts w:hint="eastAsia" w:ascii="宋体" w:hAnsi="宋体" w:cs="宋体"/>
                <w:strike w:val="0"/>
                <w:dstrike w:val="0"/>
                <w:color w:val="auto"/>
                <w:sz w:val="24"/>
                <w:szCs w:val="24"/>
                <w:highlight w:val="none"/>
              </w:rPr>
              <w:t>康复治疗师的</w:t>
            </w:r>
            <w:r>
              <w:rPr>
                <w:rFonts w:hint="eastAsia" w:ascii="宋体" w:hAnsi="宋体" w:cs="宋体"/>
                <w:strike w:val="0"/>
                <w:dstrike w:val="0"/>
                <w:color w:val="auto"/>
                <w:sz w:val="24"/>
                <w:szCs w:val="24"/>
                <w:highlight w:val="none"/>
                <w:lang w:val="en-US" w:eastAsia="zh-CN"/>
              </w:rPr>
              <w:t>得3分，</w:t>
            </w:r>
            <w:r>
              <w:rPr>
                <w:rFonts w:hint="eastAsia" w:ascii="宋体" w:hAnsi="宋体" w:cs="宋体"/>
                <w:color w:val="auto"/>
                <w:sz w:val="24"/>
                <w:szCs w:val="24"/>
                <w:highlight w:val="none"/>
              </w:rPr>
              <w:t>本项最高得</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分。</w:t>
            </w:r>
          </w:p>
          <w:p w14:paraId="36A2EBFB">
            <w:pPr>
              <w:pStyle w:val="31"/>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cs="宋体"/>
                <w:strike w:val="0"/>
                <w:dstrike w:val="0"/>
                <w:color w:val="auto"/>
                <w:sz w:val="24"/>
                <w:szCs w:val="24"/>
                <w:highlight w:val="none"/>
                <w:lang w:eastAsia="zh-CN"/>
              </w:rPr>
            </w:pPr>
            <w:r>
              <w:rPr>
                <w:rFonts w:hint="eastAsia" w:ascii="宋体" w:hAnsi="宋体" w:cs="宋体"/>
                <w:strike w:val="0"/>
                <w:dstrike w:val="0"/>
                <w:color w:val="auto"/>
                <w:sz w:val="24"/>
                <w:szCs w:val="24"/>
                <w:highlight w:val="none"/>
                <w:lang w:val="en-US" w:eastAsia="zh-CN"/>
              </w:rPr>
              <w:t>2.3</w:t>
            </w:r>
            <w:r>
              <w:rPr>
                <w:rFonts w:hint="eastAsia" w:ascii="宋体" w:hAnsi="宋体" w:cs="宋体"/>
                <w:strike w:val="0"/>
                <w:dstrike w:val="0"/>
                <w:color w:val="auto"/>
                <w:sz w:val="24"/>
                <w:szCs w:val="24"/>
                <w:highlight w:val="none"/>
              </w:rPr>
              <w:t>项目组成员</w:t>
            </w:r>
            <w:r>
              <w:rPr>
                <w:rFonts w:hint="eastAsia" w:ascii="宋体" w:hAnsi="宋体" w:cs="宋体"/>
                <w:strike w:val="0"/>
                <w:dstrike w:val="0"/>
                <w:color w:val="auto"/>
                <w:sz w:val="24"/>
                <w:szCs w:val="24"/>
                <w:highlight w:val="none"/>
                <w:lang w:val="en-US" w:eastAsia="zh-CN"/>
              </w:rPr>
              <w:t>每增加一名</w:t>
            </w:r>
            <w:r>
              <w:rPr>
                <w:rFonts w:hint="eastAsia" w:ascii="宋体" w:hAnsi="宋体" w:cs="宋体"/>
                <w:strike w:val="0"/>
                <w:dstrike w:val="0"/>
                <w:color w:val="auto"/>
                <w:sz w:val="24"/>
                <w:szCs w:val="24"/>
                <w:highlight w:val="none"/>
              </w:rPr>
              <w:t>康复医师</w:t>
            </w:r>
            <w:r>
              <w:rPr>
                <w:rFonts w:hint="eastAsia" w:ascii="宋体" w:hAnsi="宋体" w:cs="宋体"/>
                <w:strike w:val="0"/>
                <w:dstrike w:val="0"/>
                <w:color w:val="auto"/>
                <w:sz w:val="24"/>
                <w:szCs w:val="24"/>
                <w:highlight w:val="none"/>
                <w:lang w:val="en-US" w:eastAsia="zh-CN"/>
              </w:rPr>
              <w:t>的得2分，</w:t>
            </w:r>
            <w:r>
              <w:rPr>
                <w:rFonts w:hint="eastAsia" w:ascii="宋体" w:hAnsi="宋体" w:cs="宋体"/>
                <w:strike w:val="0"/>
                <w:dstrike w:val="0"/>
                <w:color w:val="auto"/>
                <w:sz w:val="24"/>
                <w:szCs w:val="24"/>
                <w:highlight w:val="none"/>
              </w:rPr>
              <w:t>本项最高得</w:t>
            </w:r>
            <w:r>
              <w:rPr>
                <w:rFonts w:hint="eastAsia" w:ascii="宋体" w:hAnsi="宋体" w:cs="宋体"/>
                <w:strike w:val="0"/>
                <w:dstrike w:val="0"/>
                <w:color w:val="auto"/>
                <w:sz w:val="24"/>
                <w:szCs w:val="24"/>
                <w:highlight w:val="none"/>
                <w:lang w:val="en-US" w:eastAsia="zh-CN"/>
              </w:rPr>
              <w:t>2</w:t>
            </w:r>
            <w:r>
              <w:rPr>
                <w:rFonts w:hint="eastAsia" w:ascii="宋体" w:hAnsi="宋体" w:cs="宋体"/>
                <w:strike w:val="0"/>
                <w:dstrike w:val="0"/>
                <w:color w:val="auto"/>
                <w:sz w:val="24"/>
                <w:szCs w:val="24"/>
                <w:highlight w:val="none"/>
              </w:rPr>
              <w:t>分</w:t>
            </w:r>
            <w:r>
              <w:rPr>
                <w:rFonts w:hint="eastAsia" w:ascii="宋体" w:hAnsi="宋体" w:cs="宋体"/>
                <w:strike w:val="0"/>
                <w:dstrike w:val="0"/>
                <w:color w:val="auto"/>
                <w:sz w:val="24"/>
                <w:szCs w:val="24"/>
                <w:highlight w:val="none"/>
                <w:lang w:eastAsia="zh-CN"/>
              </w:rPr>
              <w:t>；</w:t>
            </w:r>
          </w:p>
          <w:p w14:paraId="755FA04F">
            <w:pPr>
              <w:pStyle w:val="31"/>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cs="宋体"/>
                <w:strike w:val="0"/>
                <w:dstrike w:val="0"/>
                <w:color w:val="auto"/>
                <w:sz w:val="24"/>
                <w:szCs w:val="24"/>
                <w:highlight w:val="none"/>
                <w:lang w:eastAsia="zh-CN"/>
              </w:rPr>
            </w:pPr>
            <w:r>
              <w:rPr>
                <w:rFonts w:hint="eastAsia" w:ascii="宋体" w:hAnsi="宋体" w:cs="宋体"/>
                <w:strike w:val="0"/>
                <w:dstrike w:val="0"/>
                <w:color w:val="auto"/>
                <w:sz w:val="24"/>
                <w:szCs w:val="24"/>
                <w:highlight w:val="none"/>
                <w:lang w:val="en-US" w:eastAsia="zh-CN"/>
              </w:rPr>
              <w:t>2.4</w:t>
            </w:r>
            <w:r>
              <w:rPr>
                <w:rFonts w:hint="eastAsia" w:ascii="宋体" w:hAnsi="宋体" w:cs="宋体"/>
                <w:strike w:val="0"/>
                <w:dstrike w:val="0"/>
                <w:color w:val="auto"/>
                <w:sz w:val="24"/>
                <w:szCs w:val="24"/>
                <w:highlight w:val="none"/>
              </w:rPr>
              <w:t>项目组成员</w:t>
            </w:r>
            <w:r>
              <w:rPr>
                <w:rFonts w:hint="eastAsia" w:ascii="宋体" w:hAnsi="宋体" w:cs="宋体"/>
                <w:strike w:val="0"/>
                <w:dstrike w:val="0"/>
                <w:color w:val="auto"/>
                <w:sz w:val="24"/>
                <w:szCs w:val="24"/>
                <w:highlight w:val="none"/>
                <w:lang w:val="en-US" w:eastAsia="zh-CN"/>
              </w:rPr>
              <w:t>每增加一名</w:t>
            </w:r>
            <w:r>
              <w:rPr>
                <w:rFonts w:hint="eastAsia" w:ascii="宋体" w:hAnsi="宋体" w:cs="宋体"/>
                <w:strike w:val="0"/>
                <w:dstrike w:val="0"/>
                <w:color w:val="auto"/>
                <w:sz w:val="24"/>
                <w:szCs w:val="24"/>
                <w:highlight w:val="none"/>
              </w:rPr>
              <w:t>康复治疗师的</w:t>
            </w:r>
            <w:r>
              <w:rPr>
                <w:rFonts w:hint="eastAsia" w:ascii="宋体" w:hAnsi="宋体" w:cs="宋体"/>
                <w:strike w:val="0"/>
                <w:dstrike w:val="0"/>
                <w:color w:val="auto"/>
                <w:sz w:val="24"/>
                <w:szCs w:val="24"/>
                <w:highlight w:val="none"/>
                <w:lang w:val="en-US" w:eastAsia="zh-CN"/>
              </w:rPr>
              <w:t>得1分，</w:t>
            </w:r>
            <w:r>
              <w:rPr>
                <w:rFonts w:hint="eastAsia" w:ascii="宋体" w:hAnsi="宋体" w:cs="宋体"/>
                <w:strike w:val="0"/>
                <w:dstrike w:val="0"/>
                <w:color w:val="auto"/>
                <w:sz w:val="24"/>
                <w:szCs w:val="24"/>
                <w:highlight w:val="none"/>
              </w:rPr>
              <w:t>本项最高得</w:t>
            </w:r>
            <w:r>
              <w:rPr>
                <w:rFonts w:hint="eastAsia" w:ascii="宋体" w:hAnsi="宋体" w:cs="宋体"/>
                <w:strike w:val="0"/>
                <w:dstrike w:val="0"/>
                <w:color w:val="auto"/>
                <w:sz w:val="24"/>
                <w:szCs w:val="24"/>
                <w:highlight w:val="none"/>
                <w:lang w:val="en-US" w:eastAsia="zh-CN"/>
              </w:rPr>
              <w:t>3</w:t>
            </w:r>
            <w:r>
              <w:rPr>
                <w:rFonts w:hint="eastAsia" w:ascii="宋体" w:hAnsi="宋体" w:cs="宋体"/>
                <w:strike w:val="0"/>
                <w:dstrike w:val="0"/>
                <w:color w:val="auto"/>
                <w:sz w:val="24"/>
                <w:szCs w:val="24"/>
                <w:highlight w:val="none"/>
              </w:rPr>
              <w:t>分</w:t>
            </w:r>
            <w:r>
              <w:rPr>
                <w:rFonts w:hint="eastAsia" w:ascii="宋体" w:hAnsi="宋体" w:cs="宋体"/>
                <w:strike w:val="0"/>
                <w:dstrike w:val="0"/>
                <w:color w:val="auto"/>
                <w:sz w:val="24"/>
                <w:szCs w:val="24"/>
                <w:highlight w:val="none"/>
                <w:lang w:eastAsia="zh-CN"/>
              </w:rPr>
              <w:t>；</w:t>
            </w:r>
          </w:p>
          <w:p w14:paraId="6B98DD96">
            <w:pPr>
              <w:pStyle w:val="31"/>
              <w:keepNext w:val="0"/>
              <w:keepLines w:val="0"/>
              <w:pageBreakBefore w:val="0"/>
              <w:widowControl w:val="0"/>
              <w:kinsoku/>
              <w:wordWrap/>
              <w:overflowPunct/>
              <w:topLinePunct w:val="0"/>
              <w:autoSpaceDE/>
              <w:autoSpaceDN/>
              <w:bidi w:val="0"/>
              <w:adjustRightInd/>
              <w:snapToGrid/>
              <w:spacing w:line="360" w:lineRule="exact"/>
              <w:ind w:left="0" w:firstLine="482" w:firstLineChars="200"/>
              <w:jc w:val="left"/>
              <w:textAlignment w:val="auto"/>
              <w:rPr>
                <w:rFonts w:hint="eastAsia" w:ascii="宋体" w:hAnsi="宋体" w:cs="宋体"/>
                <w:color w:val="auto"/>
                <w:sz w:val="24"/>
                <w:szCs w:val="24"/>
              </w:rPr>
            </w:pPr>
            <w:r>
              <w:rPr>
                <w:rFonts w:hint="eastAsia" w:ascii="宋体" w:hAnsi="宋体"/>
                <w:b/>
                <w:bCs/>
                <w:strike w:val="0"/>
                <w:dstrike w:val="0"/>
                <w:color w:val="auto"/>
                <w:sz w:val="24"/>
                <w:highlight w:val="none"/>
              </w:rPr>
              <w:t>备注：同一人不重复得分，提供</w:t>
            </w:r>
            <w:r>
              <w:rPr>
                <w:rFonts w:hint="eastAsia" w:ascii="宋体" w:hAnsi="宋体"/>
                <w:b/>
                <w:bCs/>
                <w:strike w:val="0"/>
                <w:dstrike w:val="0"/>
                <w:color w:val="auto"/>
                <w:sz w:val="24"/>
                <w:highlight w:val="none"/>
                <w:lang w:val="en-US" w:eastAsia="zh-CN"/>
              </w:rPr>
              <w:t>项目</w:t>
            </w:r>
            <w:r>
              <w:rPr>
                <w:rFonts w:hint="eastAsia" w:ascii="宋体" w:hAnsi="宋体"/>
                <w:b/>
                <w:bCs/>
                <w:strike w:val="0"/>
                <w:dstrike w:val="0"/>
                <w:color w:val="auto"/>
                <w:sz w:val="24"/>
                <w:highlight w:val="none"/>
              </w:rPr>
              <w:t>实施团队</w:t>
            </w:r>
            <w:r>
              <w:rPr>
                <w:rFonts w:hint="eastAsia" w:ascii="宋体" w:hAnsi="宋体"/>
                <w:b/>
                <w:bCs/>
                <w:strike w:val="0"/>
                <w:dstrike w:val="0"/>
                <w:color w:val="auto"/>
                <w:sz w:val="24"/>
                <w:highlight w:val="none"/>
                <w:lang w:val="en-US" w:eastAsia="zh-CN"/>
              </w:rPr>
              <w:t>人员</w:t>
            </w:r>
            <w:r>
              <w:rPr>
                <w:rFonts w:hint="eastAsia" w:ascii="宋体" w:hAnsi="宋体"/>
                <w:b/>
                <w:bCs/>
                <w:strike w:val="0"/>
                <w:dstrike w:val="0"/>
                <w:color w:val="auto"/>
                <w:sz w:val="24"/>
                <w:highlight w:val="none"/>
              </w:rPr>
              <w:t>相关证书彩色扫描件</w:t>
            </w:r>
            <w:r>
              <w:rPr>
                <w:rFonts w:hint="eastAsia" w:ascii="宋体" w:hAnsi="宋体"/>
                <w:b/>
                <w:bCs/>
                <w:strike w:val="0"/>
                <w:dstrike w:val="0"/>
                <w:color w:val="auto"/>
                <w:sz w:val="24"/>
                <w:highlight w:val="none"/>
                <w:lang w:val="en-US" w:eastAsia="zh-CN"/>
              </w:rPr>
              <w:t>及</w:t>
            </w:r>
            <w:r>
              <w:rPr>
                <w:rFonts w:hint="eastAsia" w:ascii="宋体" w:hAnsi="宋体"/>
                <w:b/>
                <w:bCs/>
                <w:strike w:val="0"/>
                <w:dstrike w:val="0"/>
                <w:color w:val="auto"/>
                <w:sz w:val="24"/>
                <w:highlight w:val="none"/>
              </w:rPr>
              <w:t>挂网前</w:t>
            </w:r>
            <w:r>
              <w:rPr>
                <w:rFonts w:hint="eastAsia" w:ascii="宋体" w:hAnsi="宋体"/>
                <w:b/>
                <w:bCs/>
                <w:strike w:val="0"/>
                <w:dstrike w:val="0"/>
                <w:color w:val="auto"/>
                <w:sz w:val="24"/>
                <w:highlight w:val="none"/>
                <w:lang w:val="en-US" w:eastAsia="zh-CN"/>
              </w:rPr>
              <w:t>1</w:t>
            </w:r>
            <w:r>
              <w:rPr>
                <w:rFonts w:hint="eastAsia" w:ascii="宋体" w:hAnsi="宋体"/>
                <w:b/>
                <w:bCs/>
                <w:strike w:val="0"/>
                <w:dstrike w:val="0"/>
                <w:color w:val="auto"/>
                <w:sz w:val="24"/>
                <w:highlight w:val="none"/>
              </w:rPr>
              <w:t>个月</w:t>
            </w:r>
            <w:r>
              <w:rPr>
                <w:rFonts w:hint="eastAsia" w:ascii="宋体" w:hAnsi="宋体"/>
                <w:b/>
                <w:bCs/>
                <w:strike w:val="0"/>
                <w:dstrike w:val="0"/>
                <w:color w:val="auto"/>
                <w:sz w:val="24"/>
                <w:highlight w:val="none"/>
                <w:lang w:val="en-US" w:eastAsia="zh-CN"/>
              </w:rPr>
              <w:t>投标人</w:t>
            </w:r>
            <w:r>
              <w:rPr>
                <w:rFonts w:hint="eastAsia" w:ascii="宋体" w:hAnsi="宋体"/>
                <w:b/>
                <w:bCs/>
                <w:strike w:val="0"/>
                <w:dstrike w:val="0"/>
                <w:color w:val="auto"/>
                <w:sz w:val="24"/>
                <w:highlight w:val="none"/>
              </w:rPr>
              <w:t>为其</w:t>
            </w:r>
            <w:r>
              <w:rPr>
                <w:rFonts w:hint="eastAsia" w:ascii="宋体" w:hAnsi="宋体"/>
                <w:b/>
                <w:bCs/>
                <w:strike w:val="0"/>
                <w:dstrike w:val="0"/>
                <w:color w:val="auto"/>
                <w:sz w:val="24"/>
                <w:highlight w:val="none"/>
                <w:lang w:val="en-US" w:eastAsia="zh-CN"/>
              </w:rPr>
              <w:t>发放</w:t>
            </w:r>
            <w:r>
              <w:rPr>
                <w:rFonts w:hint="eastAsia" w:ascii="宋体" w:hAnsi="宋体"/>
                <w:b/>
                <w:bCs/>
                <w:strike w:val="0"/>
                <w:dstrike w:val="0"/>
                <w:color w:val="auto"/>
                <w:sz w:val="24"/>
                <w:highlight w:val="none"/>
              </w:rPr>
              <w:t>的银行工资流水证明材料彩色扫描件加盖</w:t>
            </w:r>
            <w:r>
              <w:rPr>
                <w:rFonts w:hint="eastAsia" w:ascii="宋体" w:hAnsi="宋体"/>
                <w:b/>
                <w:bCs/>
                <w:strike w:val="0"/>
                <w:dstrike w:val="0"/>
                <w:color w:val="auto"/>
                <w:sz w:val="24"/>
                <w:highlight w:val="none"/>
                <w:lang w:val="en-US" w:eastAsia="zh-CN"/>
              </w:rPr>
              <w:t>投标人</w:t>
            </w:r>
            <w:r>
              <w:rPr>
                <w:rFonts w:hint="eastAsia" w:ascii="宋体" w:hAnsi="宋体"/>
                <w:b/>
                <w:bCs/>
                <w:strike w:val="0"/>
                <w:dstrike w:val="0"/>
                <w:color w:val="auto"/>
                <w:sz w:val="24"/>
                <w:highlight w:val="none"/>
              </w:rPr>
              <w:t>公章</w:t>
            </w:r>
            <w:r>
              <w:rPr>
                <w:rFonts w:hint="eastAsia" w:ascii="宋体" w:hAnsi="宋体"/>
                <w:b/>
                <w:bCs/>
                <w:strike w:val="0"/>
                <w:dstrike w:val="0"/>
                <w:color w:val="auto"/>
                <w:sz w:val="24"/>
                <w:highlight w:val="none"/>
                <w:lang w:eastAsia="zh-CN"/>
              </w:rPr>
              <w:t>；</w:t>
            </w:r>
            <w:r>
              <w:rPr>
                <w:rFonts w:hint="eastAsia" w:ascii="宋体" w:hAnsi="宋体"/>
                <w:b/>
                <w:bCs/>
                <w:strike w:val="0"/>
                <w:dstrike w:val="0"/>
                <w:color w:val="auto"/>
                <w:sz w:val="24"/>
                <w:highlight w:val="none"/>
              </w:rPr>
              <w:t>按卫健部门要求,需要进行执业注册的，提供开标前在投标单位连续执业注册时间不少于3个月的注册证明材料加盖投标人公章。未提供或未按要求提供材料的</w:t>
            </w:r>
            <w:r>
              <w:rPr>
                <w:rFonts w:hint="eastAsia" w:ascii="宋体" w:hAnsi="宋体"/>
                <w:b/>
                <w:bCs/>
                <w:strike w:val="0"/>
                <w:dstrike w:val="0"/>
                <w:color w:val="auto"/>
                <w:sz w:val="24"/>
                <w:szCs w:val="24"/>
                <w:highlight w:val="none"/>
              </w:rPr>
              <w:t>不得分</w:t>
            </w:r>
            <w:r>
              <w:rPr>
                <w:rFonts w:hint="eastAsia" w:ascii="宋体" w:hAnsi="宋体"/>
                <w:b/>
                <w:bCs/>
                <w:strike w:val="0"/>
                <w:color w:val="auto"/>
                <w:sz w:val="24"/>
                <w:szCs w:val="24"/>
                <w:highlight w:val="none"/>
              </w:rPr>
              <w:t>。</w:t>
            </w:r>
          </w:p>
        </w:tc>
      </w:tr>
      <w:tr w14:paraId="68818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252" w:type="dxa"/>
            <w:vMerge w:val="continue"/>
            <w:vAlign w:val="center"/>
          </w:tcPr>
          <w:p w14:paraId="5452BC8C">
            <w:pPr>
              <w:pStyle w:val="11"/>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cs="宋体"/>
                <w:sz w:val="24"/>
                <w:szCs w:val="24"/>
              </w:rPr>
            </w:pPr>
          </w:p>
        </w:tc>
        <w:tc>
          <w:tcPr>
            <w:tcW w:w="1192" w:type="dxa"/>
            <w:vAlign w:val="center"/>
          </w:tcPr>
          <w:p w14:paraId="285D6ABF">
            <w:pPr>
              <w:pStyle w:val="11"/>
              <w:keepNext w:val="0"/>
              <w:keepLines w:val="0"/>
              <w:pageBreakBefore w:val="0"/>
              <w:widowControl w:val="0"/>
              <w:kinsoku/>
              <w:wordWrap/>
              <w:overflowPunct/>
              <w:topLinePunct w:val="0"/>
              <w:autoSpaceDE/>
              <w:autoSpaceDN/>
              <w:bidi w:val="0"/>
              <w:adjustRightInd/>
              <w:snapToGrid/>
              <w:spacing w:line="360" w:lineRule="exact"/>
              <w:ind w:left="0" w:leftChars="0" w:firstLine="240" w:firstLineChars="100"/>
              <w:textAlignment w:val="auto"/>
              <w:rPr>
                <w:rFonts w:hint="eastAsia" w:ascii="宋体" w:hAnsi="宋体" w:cs="宋体"/>
                <w:sz w:val="24"/>
                <w:szCs w:val="24"/>
              </w:rPr>
            </w:pPr>
            <w:r>
              <w:rPr>
                <w:rFonts w:hint="eastAsia" w:ascii="宋体" w:hAnsi="宋体" w:cs="宋体"/>
                <w:sz w:val="24"/>
                <w:szCs w:val="24"/>
              </w:rPr>
              <w:t>业绩</w:t>
            </w:r>
          </w:p>
          <w:p w14:paraId="099247DC">
            <w:pPr>
              <w:pStyle w:val="11"/>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宋体" w:hAnsi="宋体" w:cs="宋体"/>
                <w:sz w:val="24"/>
                <w:szCs w:val="24"/>
              </w:rPr>
            </w:pPr>
            <w:r>
              <w:rPr>
                <w:rFonts w:hint="eastAsia" w:ascii="宋体" w:hAnsi="宋体" w:cs="宋体"/>
                <w:sz w:val="24"/>
                <w:szCs w:val="24"/>
              </w:rPr>
              <w:t>（</w:t>
            </w:r>
            <w:r>
              <w:rPr>
                <w:rFonts w:hint="eastAsia" w:ascii="宋体" w:hAnsi="宋体" w:cs="宋体"/>
                <w:sz w:val="24"/>
                <w:szCs w:val="24"/>
                <w:lang w:val="en-US" w:eastAsia="zh-CN"/>
              </w:rPr>
              <w:t>6</w:t>
            </w:r>
            <w:r>
              <w:rPr>
                <w:rFonts w:hint="eastAsia" w:ascii="宋体" w:hAnsi="宋体" w:cs="宋体"/>
                <w:sz w:val="24"/>
                <w:szCs w:val="24"/>
              </w:rPr>
              <w:t>分）</w:t>
            </w:r>
          </w:p>
        </w:tc>
        <w:tc>
          <w:tcPr>
            <w:tcW w:w="7161" w:type="dxa"/>
            <w:vAlign w:val="center"/>
          </w:tcPr>
          <w:p w14:paraId="71116574">
            <w:pPr>
              <w:pStyle w:val="11"/>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textAlignment w:val="auto"/>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投标人202</w:t>
            </w:r>
            <w:r>
              <w:rPr>
                <w:rFonts w:hint="eastAsia" w:ascii="宋体" w:hAnsi="宋体" w:cs="宋体"/>
                <w:color w:val="auto"/>
                <w:sz w:val="24"/>
                <w:szCs w:val="24"/>
                <w:highlight w:val="none"/>
                <w:shd w:val="clear" w:color="auto" w:fill="auto"/>
                <w:lang w:val="en-US" w:eastAsia="zh-CN"/>
              </w:rPr>
              <w:t>3</w:t>
            </w:r>
            <w:r>
              <w:rPr>
                <w:rFonts w:hint="eastAsia" w:ascii="宋体" w:hAnsi="宋体" w:cs="宋体"/>
                <w:color w:val="auto"/>
                <w:sz w:val="24"/>
                <w:szCs w:val="24"/>
                <w:highlight w:val="none"/>
                <w:shd w:val="clear" w:color="auto" w:fill="auto"/>
              </w:rPr>
              <w:t>年1月1日（以</w:t>
            </w:r>
            <w:r>
              <w:rPr>
                <w:rFonts w:hint="eastAsia" w:ascii="宋体" w:hAnsi="宋体" w:cs="宋体"/>
                <w:b w:val="0"/>
                <w:bCs w:val="0"/>
                <w:color w:val="auto"/>
                <w:sz w:val="24"/>
                <w:szCs w:val="24"/>
                <w:highlight w:val="none"/>
                <w:shd w:val="clear" w:color="auto" w:fill="auto"/>
              </w:rPr>
              <w:t>合同签订时间为准）以来承担过</w:t>
            </w:r>
            <w:r>
              <w:rPr>
                <w:rFonts w:hint="eastAsia" w:ascii="宋体" w:hAnsi="宋体" w:cs="宋体"/>
                <w:b w:val="0"/>
                <w:bCs w:val="0"/>
                <w:color w:val="000000" w:themeColor="text1"/>
                <w:sz w:val="24"/>
                <w:szCs w:val="24"/>
                <w:highlight w:val="none"/>
                <w:shd w:val="clear" w:color="auto" w:fill="auto"/>
                <w14:textFill>
                  <w14:solidFill>
                    <w14:schemeClr w14:val="tx1"/>
                  </w14:solidFill>
                </w14:textFill>
              </w:rPr>
              <w:t>区县级</w:t>
            </w:r>
            <w:r>
              <w:rPr>
                <w:rFonts w:hint="eastAsia" w:ascii="宋体" w:hAnsi="宋体" w:cs="宋体"/>
                <w:b w:val="0"/>
                <w:bCs w:val="0"/>
                <w:color w:val="000000" w:themeColor="text1"/>
                <w:sz w:val="24"/>
                <w:szCs w:val="24"/>
                <w:highlight w:val="none"/>
                <w:shd w:val="clear" w:color="auto" w:fill="auto"/>
                <w:lang w:eastAsia="zh-CN"/>
                <w14:textFill>
                  <w14:solidFill>
                    <w14:schemeClr w14:val="tx1"/>
                  </w14:solidFill>
                </w14:textFill>
              </w:rPr>
              <w:t>行政部门</w:t>
            </w:r>
            <w:r>
              <w:rPr>
                <w:rFonts w:hint="eastAsia" w:ascii="宋体" w:hAnsi="宋体" w:cs="宋体"/>
                <w:b w:val="0"/>
                <w:bCs w:val="0"/>
                <w:color w:val="000000" w:themeColor="text1"/>
                <w:sz w:val="24"/>
                <w:szCs w:val="24"/>
                <w:highlight w:val="none"/>
                <w:shd w:val="clear" w:color="auto" w:fill="auto"/>
                <w14:textFill>
                  <w14:solidFill>
                    <w14:schemeClr w14:val="tx1"/>
                  </w14:solidFill>
                </w14:textFill>
              </w:rPr>
              <w:t>及以上</w:t>
            </w:r>
            <w:r>
              <w:rPr>
                <w:rFonts w:hint="eastAsia" w:ascii="宋体" w:hAnsi="宋体" w:cs="宋体"/>
                <w:b w:val="0"/>
                <w:bCs w:val="0"/>
                <w:color w:val="000000" w:themeColor="text1"/>
                <w:sz w:val="24"/>
                <w:szCs w:val="24"/>
                <w:highlight w:val="none"/>
                <w:shd w:val="clear" w:color="auto" w:fill="auto"/>
                <w:lang w:eastAsia="zh-CN"/>
                <w14:textFill>
                  <w14:solidFill>
                    <w14:schemeClr w14:val="tx1"/>
                  </w14:solidFill>
                </w14:textFill>
              </w:rPr>
              <w:t>的</w:t>
            </w:r>
            <w:r>
              <w:rPr>
                <w:rFonts w:hint="eastAsia" w:ascii="宋体" w:hAnsi="宋体" w:cs="宋体"/>
                <w:color w:val="auto"/>
                <w:sz w:val="24"/>
                <w:szCs w:val="24"/>
                <w:highlight w:val="none"/>
                <w:shd w:val="clear" w:color="auto" w:fill="auto"/>
              </w:rPr>
              <w:t>类似</w:t>
            </w:r>
            <w:r>
              <w:rPr>
                <w:rFonts w:hint="eastAsia" w:ascii="宋体" w:hAnsi="宋体" w:cs="宋体"/>
                <w:color w:val="auto"/>
                <w:sz w:val="24"/>
                <w:szCs w:val="24"/>
                <w:highlight w:val="none"/>
                <w:shd w:val="clear" w:color="auto" w:fill="auto"/>
                <w:lang w:val="en-US" w:eastAsia="zh-CN"/>
              </w:rPr>
              <w:t>体检项目</w:t>
            </w:r>
            <w:r>
              <w:rPr>
                <w:rFonts w:hint="eastAsia" w:ascii="宋体" w:hAnsi="宋体" w:cs="宋体"/>
                <w:color w:val="auto"/>
                <w:sz w:val="24"/>
                <w:szCs w:val="24"/>
                <w:highlight w:val="none"/>
                <w:shd w:val="clear" w:color="auto" w:fill="auto"/>
              </w:rPr>
              <w:t>业绩的，每提供1份得</w:t>
            </w:r>
            <w:r>
              <w:rPr>
                <w:rFonts w:hint="eastAsia" w:ascii="宋体" w:hAnsi="宋体" w:cs="宋体"/>
                <w:color w:val="auto"/>
                <w:sz w:val="24"/>
                <w:szCs w:val="24"/>
                <w:highlight w:val="none"/>
                <w:shd w:val="clear" w:color="auto" w:fill="auto"/>
                <w:lang w:val="en-US" w:eastAsia="zh-CN"/>
              </w:rPr>
              <w:t>2</w:t>
            </w:r>
            <w:r>
              <w:rPr>
                <w:rFonts w:hint="eastAsia" w:ascii="宋体" w:hAnsi="宋体" w:cs="宋体"/>
                <w:color w:val="auto"/>
                <w:sz w:val="24"/>
                <w:szCs w:val="24"/>
                <w:highlight w:val="none"/>
                <w:shd w:val="clear" w:color="auto" w:fill="auto"/>
              </w:rPr>
              <w:t>分，</w:t>
            </w:r>
            <w:r>
              <w:rPr>
                <w:rFonts w:hint="eastAsia" w:ascii="宋体" w:hAnsi="宋体" w:cs="宋体"/>
                <w:color w:val="auto"/>
                <w:sz w:val="24"/>
                <w:szCs w:val="24"/>
                <w:highlight w:val="none"/>
                <w:shd w:val="clear" w:color="auto" w:fill="auto"/>
                <w:lang w:val="en-US" w:eastAsia="zh-CN"/>
              </w:rPr>
              <w:t>本项</w:t>
            </w:r>
            <w:r>
              <w:rPr>
                <w:rFonts w:hint="eastAsia" w:ascii="宋体" w:hAnsi="宋体" w:cs="宋体"/>
                <w:color w:val="auto"/>
                <w:sz w:val="24"/>
                <w:szCs w:val="24"/>
                <w:highlight w:val="none"/>
                <w:shd w:val="clear" w:color="auto" w:fill="auto"/>
              </w:rPr>
              <w:t>最高得</w:t>
            </w:r>
            <w:r>
              <w:rPr>
                <w:rFonts w:hint="eastAsia" w:ascii="宋体" w:hAnsi="宋体" w:cs="宋体"/>
                <w:color w:val="auto"/>
                <w:sz w:val="24"/>
                <w:szCs w:val="24"/>
                <w:highlight w:val="none"/>
                <w:shd w:val="clear" w:color="auto" w:fill="auto"/>
                <w:lang w:val="en-US" w:eastAsia="zh-CN"/>
              </w:rPr>
              <w:t>6</w:t>
            </w:r>
            <w:r>
              <w:rPr>
                <w:rFonts w:hint="eastAsia" w:ascii="宋体" w:hAnsi="宋体" w:cs="宋体"/>
                <w:color w:val="auto"/>
                <w:sz w:val="24"/>
                <w:szCs w:val="24"/>
                <w:highlight w:val="none"/>
                <w:shd w:val="clear" w:color="auto" w:fill="auto"/>
              </w:rPr>
              <w:t>分。</w:t>
            </w:r>
          </w:p>
          <w:p w14:paraId="34C19B2F">
            <w:pPr>
              <w:pStyle w:val="11"/>
              <w:keepNext w:val="0"/>
              <w:keepLines w:val="0"/>
              <w:pageBreakBefore w:val="0"/>
              <w:widowControl w:val="0"/>
              <w:kinsoku/>
              <w:wordWrap/>
              <w:overflowPunct/>
              <w:topLinePunct w:val="0"/>
              <w:autoSpaceDE/>
              <w:autoSpaceDN/>
              <w:bidi w:val="0"/>
              <w:adjustRightInd/>
              <w:snapToGrid/>
              <w:spacing w:line="360" w:lineRule="exact"/>
              <w:ind w:left="0" w:leftChars="0" w:firstLine="470" w:firstLineChars="200"/>
              <w:textAlignment w:val="auto"/>
              <w:rPr>
                <w:rFonts w:hint="eastAsia" w:ascii="宋体" w:hAnsi="宋体" w:cs="宋体"/>
                <w:color w:val="auto"/>
                <w:sz w:val="24"/>
                <w:szCs w:val="24"/>
                <w:highlight w:val="none"/>
                <w:shd w:val="clear" w:color="FFFFFF" w:fill="D9D9D9"/>
              </w:rPr>
            </w:pPr>
            <w:r>
              <w:rPr>
                <w:rFonts w:hint="eastAsia" w:asciiTheme="minorEastAsia" w:hAnsiTheme="minorEastAsia" w:eastAsiaTheme="minorEastAsia" w:cstheme="minorEastAsia"/>
                <w:b/>
                <w:bCs/>
                <w:color w:val="auto"/>
                <w:spacing w:val="-3"/>
                <w:sz w:val="24"/>
                <w:szCs w:val="24"/>
                <w:highlight w:val="none"/>
                <w:shd w:val="clear" w:color="auto" w:fill="auto"/>
              </w:rPr>
              <w:t>提供完整合同</w:t>
            </w:r>
            <w:r>
              <w:rPr>
                <w:rFonts w:hint="eastAsia" w:asciiTheme="minorEastAsia" w:hAnsiTheme="minorEastAsia" w:eastAsiaTheme="minorEastAsia" w:cstheme="minorEastAsia"/>
                <w:b/>
                <w:bCs/>
                <w:color w:val="auto"/>
                <w:sz w:val="24"/>
                <w:szCs w:val="24"/>
                <w:highlight w:val="none"/>
                <w:shd w:val="clear" w:color="auto" w:fill="auto"/>
              </w:rPr>
              <w:t>（</w:t>
            </w:r>
            <w:r>
              <w:rPr>
                <w:rFonts w:hint="eastAsia" w:ascii="宋体" w:hAnsi="宋体" w:cs="宋体"/>
                <w:b/>
                <w:bCs/>
                <w:color w:val="auto"/>
                <w:sz w:val="24"/>
                <w:szCs w:val="24"/>
                <w:highlight w:val="none"/>
                <w:shd w:val="clear" w:color="auto" w:fill="auto"/>
              </w:rPr>
              <w:t>合同内容须清晰可见，不可涂改，否则无效。</w:t>
            </w:r>
            <w:r>
              <w:rPr>
                <w:rFonts w:hint="eastAsia" w:asciiTheme="minorEastAsia" w:hAnsiTheme="minorEastAsia" w:eastAsiaTheme="minorEastAsia" w:cstheme="minorEastAsia"/>
                <w:b/>
                <w:bCs/>
                <w:color w:val="auto"/>
                <w:spacing w:val="-3"/>
                <w:sz w:val="24"/>
                <w:szCs w:val="24"/>
                <w:highlight w:val="none"/>
                <w:shd w:val="clear" w:color="auto" w:fill="auto"/>
              </w:rPr>
              <w:t>）证明材料彩色扫描件加盖</w:t>
            </w:r>
            <w:r>
              <w:rPr>
                <w:rFonts w:hint="eastAsia" w:asciiTheme="minorEastAsia" w:hAnsiTheme="minorEastAsia" w:cstheme="minorEastAsia"/>
                <w:b/>
                <w:bCs/>
                <w:color w:val="auto"/>
                <w:spacing w:val="-3"/>
                <w:sz w:val="24"/>
                <w:szCs w:val="24"/>
                <w:highlight w:val="none"/>
                <w:shd w:val="clear" w:color="auto" w:fill="auto"/>
              </w:rPr>
              <w:t>投标人</w:t>
            </w:r>
            <w:r>
              <w:rPr>
                <w:rFonts w:hint="eastAsia" w:asciiTheme="minorEastAsia" w:hAnsiTheme="minorEastAsia" w:eastAsiaTheme="minorEastAsia" w:cstheme="minorEastAsia"/>
                <w:b/>
                <w:bCs/>
                <w:color w:val="auto"/>
                <w:spacing w:val="-3"/>
                <w:sz w:val="24"/>
                <w:szCs w:val="24"/>
                <w:highlight w:val="none"/>
                <w:shd w:val="clear" w:color="auto" w:fill="auto"/>
              </w:rPr>
              <w:t>公章</w:t>
            </w:r>
            <w:r>
              <w:rPr>
                <w:rFonts w:hint="eastAsia" w:asciiTheme="minorEastAsia" w:hAnsiTheme="minorEastAsia" w:eastAsiaTheme="minorEastAsia" w:cstheme="minorEastAsia"/>
                <w:b/>
                <w:bCs/>
                <w:color w:val="auto"/>
                <w:spacing w:val="-3"/>
                <w:sz w:val="24"/>
                <w:szCs w:val="24"/>
                <w:highlight w:val="none"/>
                <w:shd w:val="clear" w:color="auto" w:fill="auto"/>
                <w:lang w:eastAsia="zh-CN"/>
              </w:rPr>
              <w:t>，</w:t>
            </w:r>
            <w:r>
              <w:rPr>
                <w:rFonts w:hint="eastAsia" w:asciiTheme="minorEastAsia" w:hAnsiTheme="minorEastAsia" w:cstheme="minorEastAsia"/>
                <w:b/>
                <w:bCs/>
                <w:color w:val="auto"/>
                <w:spacing w:val="-3"/>
                <w:sz w:val="24"/>
                <w:szCs w:val="24"/>
                <w:highlight w:val="none"/>
                <w:shd w:val="clear" w:color="auto" w:fill="auto"/>
              </w:rPr>
              <w:t>未提供的不得分。</w:t>
            </w:r>
          </w:p>
        </w:tc>
      </w:tr>
      <w:tr w14:paraId="225F1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1252" w:type="dxa"/>
            <w:vAlign w:val="center"/>
          </w:tcPr>
          <w:p w14:paraId="6F958C40">
            <w:pPr>
              <w:pStyle w:val="11"/>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cs="宋体"/>
                <w:sz w:val="24"/>
                <w:szCs w:val="24"/>
              </w:rPr>
            </w:pPr>
          </w:p>
        </w:tc>
        <w:tc>
          <w:tcPr>
            <w:tcW w:w="1192" w:type="dxa"/>
            <w:vAlign w:val="center"/>
          </w:tcPr>
          <w:p w14:paraId="685D2053">
            <w:pPr>
              <w:pStyle w:val="11"/>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宋体" w:hAnsi="宋体" w:cs="宋体"/>
                <w:sz w:val="24"/>
                <w:szCs w:val="24"/>
              </w:rPr>
            </w:pPr>
            <w:r>
              <w:rPr>
                <w:rFonts w:hint="eastAsia" w:ascii="宋体" w:hAnsi="宋体" w:cs="宋体"/>
                <w:sz w:val="24"/>
                <w:szCs w:val="24"/>
                <w:lang w:val="en-US" w:eastAsia="zh-CN"/>
              </w:rPr>
              <w:t>企业实力</w:t>
            </w:r>
            <w:r>
              <w:rPr>
                <w:rFonts w:hint="eastAsia" w:ascii="宋体" w:hAnsi="宋体" w:cs="宋体"/>
                <w:sz w:val="24"/>
                <w:szCs w:val="24"/>
              </w:rPr>
              <w:t>（1</w:t>
            </w:r>
            <w:r>
              <w:rPr>
                <w:rFonts w:hint="eastAsia" w:ascii="宋体" w:hAnsi="宋体" w:cs="宋体"/>
                <w:sz w:val="24"/>
                <w:szCs w:val="24"/>
                <w:lang w:val="en-US" w:eastAsia="zh-CN"/>
              </w:rPr>
              <w:t>3</w:t>
            </w:r>
            <w:r>
              <w:rPr>
                <w:rFonts w:hint="eastAsia" w:ascii="宋体" w:hAnsi="宋体" w:cs="宋体"/>
                <w:sz w:val="24"/>
                <w:szCs w:val="24"/>
              </w:rPr>
              <w:t>分）</w:t>
            </w:r>
          </w:p>
        </w:tc>
        <w:tc>
          <w:tcPr>
            <w:tcW w:w="7161" w:type="dxa"/>
            <w:vAlign w:val="center"/>
          </w:tcPr>
          <w:p w14:paraId="3908AC96">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cs="宋体" w:eastAsiaTheme="minorEastAsia"/>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w:t>
            </w:r>
            <w:r>
              <w:rPr>
                <w:rFonts w:hint="eastAsia" w:ascii="宋体" w:hAnsi="宋体" w:cs="宋体"/>
                <w:color w:val="000000" w:themeColor="text1"/>
                <w:sz w:val="24"/>
                <w:szCs w:val="24"/>
                <w14:textFill>
                  <w14:solidFill>
                    <w14:schemeClr w14:val="tx1"/>
                  </w14:solidFill>
                </w14:textFill>
              </w:rPr>
              <w:t>投标人具有主管部门认定体检资质的得</w:t>
            </w:r>
            <w:r>
              <w:rPr>
                <w:rFonts w:hint="eastAsia" w:ascii="宋体" w:hAnsi="宋体" w:cs="宋体"/>
                <w:color w:val="000000" w:themeColor="text1"/>
                <w:sz w:val="24"/>
                <w:szCs w:val="24"/>
                <w:lang w:val="en-US" w:eastAsia="zh-CN"/>
                <w14:textFill>
                  <w14:solidFill>
                    <w14:schemeClr w14:val="tx1"/>
                  </w14:solidFill>
                </w14:textFill>
              </w:rPr>
              <w:t>3</w:t>
            </w:r>
            <w:r>
              <w:rPr>
                <w:rFonts w:hint="eastAsia" w:ascii="宋体" w:hAnsi="宋体" w:cs="宋体"/>
                <w:color w:val="000000" w:themeColor="text1"/>
                <w:sz w:val="24"/>
                <w:szCs w:val="24"/>
                <w14:textFill>
                  <w14:solidFill>
                    <w14:schemeClr w14:val="tx1"/>
                  </w14:solidFill>
                </w14:textFill>
              </w:rPr>
              <w:t>分</w:t>
            </w:r>
            <w:r>
              <w:rPr>
                <w:rFonts w:hint="eastAsia" w:ascii="宋体" w:hAnsi="宋体" w:cs="宋体"/>
                <w:color w:val="000000" w:themeColor="text1"/>
                <w:sz w:val="24"/>
                <w:szCs w:val="24"/>
                <w:lang w:eastAsia="zh-CN"/>
                <w14:textFill>
                  <w14:solidFill>
                    <w14:schemeClr w14:val="tx1"/>
                  </w14:solidFill>
                </w14:textFill>
              </w:rPr>
              <w:t>。</w:t>
            </w:r>
          </w:p>
          <w:p w14:paraId="65E30AD9">
            <w:pPr>
              <w:pStyle w:val="11"/>
              <w:keepNext w:val="0"/>
              <w:keepLines w:val="0"/>
              <w:pageBreakBefore w:val="0"/>
              <w:widowControl w:val="0"/>
              <w:kinsoku/>
              <w:wordWrap/>
              <w:overflowPunct/>
              <w:topLinePunct w:val="0"/>
              <w:autoSpaceDE/>
              <w:autoSpaceDN/>
              <w:bidi w:val="0"/>
              <w:adjustRightInd/>
              <w:snapToGrid/>
              <w:spacing w:line="360" w:lineRule="exact"/>
              <w:ind w:left="0" w:leftChars="0" w:firstLine="482" w:firstLineChars="2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sz w:val="24"/>
                <w:szCs w:val="24"/>
              </w:rPr>
              <w:t>备注：提供相关证明材料彩色扫描件加盖投标人公章，未提供的不得分。</w:t>
            </w:r>
          </w:p>
          <w:p w14:paraId="629AD7AE">
            <w:pPr>
              <w:pStyle w:val="11"/>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textAlignment w:val="auto"/>
              <w:rPr>
                <w:rFonts w:hint="eastAsia" w:ascii="宋体" w:hAnsi="宋体" w:cs="宋体"/>
                <w:sz w:val="24"/>
                <w:szCs w:val="24"/>
                <w:highlight w:val="none"/>
              </w:rPr>
            </w:pP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、投标人自202</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年1月1日以来获得区县级及以上行政部门关于</w:t>
            </w:r>
            <w:r>
              <w:rPr>
                <w:rFonts w:hint="eastAsia" w:ascii="宋体" w:hAnsi="宋体" w:cs="宋体"/>
                <w:strike w:val="0"/>
                <w:dstrike w:val="0"/>
                <w:color w:val="000000" w:themeColor="text1"/>
                <w:sz w:val="24"/>
                <w:szCs w:val="24"/>
                <w:highlight w:val="none"/>
                <w14:textFill>
                  <w14:solidFill>
                    <w14:schemeClr w14:val="tx1"/>
                  </w14:solidFill>
                </w14:textFill>
              </w:rPr>
              <w:t>开展社会事业服务、医</w:t>
            </w:r>
            <w:r>
              <w:rPr>
                <w:rFonts w:hint="eastAsia" w:ascii="宋体" w:hAnsi="宋体" w:cs="宋体"/>
                <w:color w:val="000000" w:themeColor="text1"/>
                <w:sz w:val="24"/>
                <w:szCs w:val="24"/>
                <w:highlight w:val="none"/>
                <w14:textFill>
                  <w14:solidFill>
                    <w14:schemeClr w14:val="tx1"/>
                  </w14:solidFill>
                </w14:textFill>
              </w:rPr>
              <w:t>疗服务、体检服务相关表彰的，</w:t>
            </w:r>
            <w:r>
              <w:rPr>
                <w:rFonts w:hint="eastAsia" w:ascii="宋体" w:hAnsi="宋体" w:cs="宋体"/>
                <w:sz w:val="24"/>
                <w:szCs w:val="24"/>
                <w:highlight w:val="none"/>
              </w:rPr>
              <w:t>每项最多得2分，不重复得分，本项最高</w:t>
            </w:r>
            <w:r>
              <w:rPr>
                <w:rFonts w:hint="eastAsia" w:ascii="宋体" w:hAnsi="宋体" w:cs="宋体"/>
                <w:sz w:val="24"/>
                <w:szCs w:val="24"/>
                <w:highlight w:val="none"/>
                <w:lang w:val="en-US" w:eastAsia="zh-CN"/>
              </w:rPr>
              <w:t>6</w:t>
            </w:r>
            <w:r>
              <w:rPr>
                <w:rFonts w:hint="eastAsia" w:ascii="宋体" w:hAnsi="宋体" w:cs="宋体"/>
                <w:sz w:val="24"/>
                <w:szCs w:val="24"/>
                <w:highlight w:val="none"/>
              </w:rPr>
              <w:t>分。</w:t>
            </w:r>
          </w:p>
          <w:p w14:paraId="56A606B4">
            <w:pPr>
              <w:pStyle w:val="11"/>
              <w:keepNext w:val="0"/>
              <w:keepLines w:val="0"/>
              <w:pageBreakBefore w:val="0"/>
              <w:widowControl w:val="0"/>
              <w:kinsoku/>
              <w:wordWrap/>
              <w:overflowPunct/>
              <w:topLinePunct w:val="0"/>
              <w:autoSpaceDE/>
              <w:autoSpaceDN/>
              <w:bidi w:val="0"/>
              <w:adjustRightInd/>
              <w:snapToGrid/>
              <w:spacing w:line="360" w:lineRule="exact"/>
              <w:ind w:left="0" w:leftChars="0" w:firstLine="482" w:firstLineChars="200"/>
              <w:textAlignment w:val="auto"/>
              <w:rPr>
                <w:rFonts w:hint="eastAsia" w:ascii="宋体" w:hAnsi="宋体" w:cs="宋体"/>
                <w:sz w:val="24"/>
                <w:szCs w:val="24"/>
                <w:highlight w:val="none"/>
              </w:rPr>
            </w:pPr>
            <w:r>
              <w:rPr>
                <w:rFonts w:hint="eastAsia" w:ascii="宋体" w:hAnsi="宋体" w:cs="宋体"/>
                <w:b/>
                <w:bCs/>
                <w:sz w:val="24"/>
                <w:szCs w:val="24"/>
                <w:highlight w:val="none"/>
              </w:rPr>
              <w:t>备注：提供获得的表彰相关证明材料彩色扫描件加盖投标人公章；表彰时间须为本项目招标公告发布之日前；同一行政部门不同年</w:t>
            </w:r>
            <w:r>
              <w:rPr>
                <w:rFonts w:hint="eastAsia" w:ascii="宋体" w:hAnsi="宋体" w:cs="宋体"/>
                <w:b/>
                <w:bCs/>
                <w:sz w:val="24"/>
                <w:szCs w:val="24"/>
                <w:highlight w:val="none"/>
                <w:lang w:val="en-US" w:eastAsia="zh-CN"/>
              </w:rPr>
              <w:t>份</w:t>
            </w:r>
            <w:r>
              <w:rPr>
                <w:rFonts w:hint="eastAsia" w:ascii="宋体" w:hAnsi="宋体" w:cs="宋体"/>
                <w:b/>
                <w:bCs/>
                <w:sz w:val="24"/>
                <w:szCs w:val="24"/>
                <w:highlight w:val="none"/>
              </w:rPr>
              <w:t>、同类型的表彰只计一次得分，不累计得分。</w:t>
            </w:r>
            <w:r>
              <w:rPr>
                <w:rFonts w:hint="eastAsia" w:ascii="宋体" w:hAnsi="宋体"/>
                <w:b/>
                <w:bCs/>
                <w:sz w:val="24"/>
                <w:szCs w:val="24"/>
                <w:highlight w:val="none"/>
              </w:rPr>
              <w:t>未提供或未按要求提供材料的不得分。</w:t>
            </w:r>
          </w:p>
          <w:p w14:paraId="03F87222">
            <w:pPr>
              <w:pStyle w:val="11"/>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、投标人自202</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年1月1日以来开展医疗服务过程中被省级</w:t>
            </w:r>
            <w:r>
              <w:rPr>
                <w:rFonts w:hint="eastAsia" w:ascii="宋体" w:hAnsi="宋体" w:cs="宋体"/>
                <w:color w:val="auto"/>
                <w:sz w:val="24"/>
                <w:szCs w:val="24"/>
                <w:highlight w:val="none"/>
                <w:lang w:eastAsia="zh-CN"/>
              </w:rPr>
              <w:t>主流</w:t>
            </w:r>
            <w:r>
              <w:rPr>
                <w:rFonts w:hint="eastAsia" w:ascii="宋体" w:hAnsi="宋体" w:cs="宋体"/>
                <w:color w:val="auto"/>
                <w:sz w:val="24"/>
                <w:szCs w:val="24"/>
                <w:highlight w:val="none"/>
              </w:rPr>
              <w:t>媒体宣传报道</w:t>
            </w:r>
            <w:r>
              <w:rPr>
                <w:rFonts w:hint="eastAsia" w:ascii="宋体" w:hAnsi="宋体" w:cs="宋体"/>
                <w:color w:val="auto"/>
                <w:sz w:val="24"/>
                <w:szCs w:val="24"/>
                <w:highlight w:val="none"/>
                <w:lang w:val="en-US" w:eastAsia="zh-CN"/>
              </w:rPr>
              <w:t>过</w:t>
            </w:r>
            <w:r>
              <w:rPr>
                <w:rFonts w:hint="eastAsia" w:ascii="宋体" w:hAnsi="宋体" w:cs="宋体"/>
                <w:color w:val="auto"/>
                <w:sz w:val="24"/>
                <w:szCs w:val="24"/>
                <w:highlight w:val="none"/>
              </w:rPr>
              <w:t>一次</w:t>
            </w:r>
            <w:r>
              <w:rPr>
                <w:rFonts w:hint="eastAsia" w:ascii="宋体" w:hAnsi="宋体" w:cs="宋体"/>
                <w:color w:val="auto"/>
                <w:sz w:val="24"/>
                <w:szCs w:val="24"/>
                <w:highlight w:val="none"/>
                <w:lang w:val="en-US" w:eastAsia="zh-CN"/>
              </w:rPr>
              <w:t>的</w:t>
            </w:r>
            <w:r>
              <w:rPr>
                <w:rFonts w:hint="eastAsia" w:ascii="宋体" w:hAnsi="宋体" w:cs="宋体"/>
                <w:color w:val="auto"/>
                <w:sz w:val="24"/>
                <w:szCs w:val="24"/>
                <w:highlight w:val="none"/>
              </w:rPr>
              <w:t>得</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分，市级</w:t>
            </w:r>
            <w:r>
              <w:rPr>
                <w:rFonts w:hint="eastAsia" w:ascii="宋体" w:hAnsi="宋体" w:cs="宋体"/>
                <w:color w:val="auto"/>
                <w:sz w:val="24"/>
                <w:szCs w:val="24"/>
                <w:highlight w:val="none"/>
                <w:lang w:eastAsia="zh-CN"/>
              </w:rPr>
              <w:t>主流</w:t>
            </w:r>
            <w:r>
              <w:rPr>
                <w:rFonts w:hint="eastAsia" w:ascii="宋体" w:hAnsi="宋体" w:cs="宋体"/>
                <w:color w:val="auto"/>
                <w:sz w:val="24"/>
                <w:szCs w:val="24"/>
                <w:highlight w:val="none"/>
              </w:rPr>
              <w:t>媒体宣传报道</w:t>
            </w:r>
            <w:r>
              <w:rPr>
                <w:rFonts w:hint="eastAsia" w:ascii="宋体" w:hAnsi="宋体" w:cs="宋体"/>
                <w:color w:val="auto"/>
                <w:sz w:val="24"/>
                <w:szCs w:val="24"/>
                <w:highlight w:val="none"/>
                <w:lang w:val="en-US" w:eastAsia="zh-CN"/>
              </w:rPr>
              <w:t>过</w:t>
            </w:r>
            <w:r>
              <w:rPr>
                <w:rFonts w:hint="eastAsia" w:ascii="宋体" w:hAnsi="宋体" w:cs="宋体"/>
                <w:color w:val="auto"/>
                <w:sz w:val="24"/>
                <w:szCs w:val="24"/>
                <w:highlight w:val="none"/>
              </w:rPr>
              <w:t>一次</w:t>
            </w:r>
            <w:r>
              <w:rPr>
                <w:rFonts w:hint="eastAsia" w:ascii="宋体" w:hAnsi="宋体" w:cs="宋体"/>
                <w:color w:val="auto"/>
                <w:sz w:val="24"/>
                <w:szCs w:val="24"/>
                <w:highlight w:val="none"/>
                <w:lang w:val="en-US" w:eastAsia="zh-CN"/>
              </w:rPr>
              <w:t>的</w:t>
            </w:r>
            <w:r>
              <w:rPr>
                <w:rFonts w:hint="eastAsia" w:ascii="宋体" w:hAnsi="宋体" w:cs="宋体"/>
                <w:color w:val="auto"/>
                <w:sz w:val="24"/>
                <w:szCs w:val="24"/>
                <w:highlight w:val="none"/>
              </w:rPr>
              <w:t>得2分，区县级</w:t>
            </w:r>
            <w:r>
              <w:rPr>
                <w:rFonts w:hint="eastAsia" w:ascii="宋体" w:hAnsi="宋体" w:cs="宋体"/>
                <w:color w:val="auto"/>
                <w:sz w:val="24"/>
                <w:szCs w:val="24"/>
                <w:highlight w:val="none"/>
                <w:lang w:eastAsia="zh-CN"/>
              </w:rPr>
              <w:t>主流</w:t>
            </w:r>
            <w:r>
              <w:rPr>
                <w:rFonts w:hint="eastAsia" w:ascii="宋体" w:hAnsi="宋体" w:cs="宋体"/>
                <w:color w:val="auto"/>
                <w:sz w:val="24"/>
                <w:szCs w:val="24"/>
                <w:highlight w:val="none"/>
              </w:rPr>
              <w:t>媒体宣传报道</w:t>
            </w:r>
            <w:r>
              <w:rPr>
                <w:rFonts w:hint="eastAsia" w:ascii="宋体" w:hAnsi="宋体" w:cs="宋体"/>
                <w:color w:val="auto"/>
                <w:sz w:val="24"/>
                <w:szCs w:val="24"/>
                <w:highlight w:val="none"/>
                <w:lang w:val="en-US" w:eastAsia="zh-CN"/>
              </w:rPr>
              <w:t>过</w:t>
            </w:r>
            <w:r>
              <w:rPr>
                <w:rFonts w:hint="eastAsia" w:ascii="宋体" w:hAnsi="宋体" w:cs="宋体"/>
                <w:color w:val="auto"/>
                <w:sz w:val="24"/>
                <w:szCs w:val="24"/>
                <w:highlight w:val="none"/>
              </w:rPr>
              <w:t>一次</w:t>
            </w:r>
            <w:r>
              <w:rPr>
                <w:rFonts w:hint="eastAsia" w:ascii="宋体" w:hAnsi="宋体" w:cs="宋体"/>
                <w:color w:val="auto"/>
                <w:sz w:val="24"/>
                <w:szCs w:val="24"/>
                <w:highlight w:val="none"/>
                <w:lang w:val="en-US" w:eastAsia="zh-CN"/>
              </w:rPr>
              <w:t>的</w:t>
            </w:r>
            <w:r>
              <w:rPr>
                <w:rFonts w:hint="eastAsia" w:ascii="宋体" w:hAnsi="宋体" w:cs="宋体"/>
                <w:color w:val="auto"/>
                <w:sz w:val="24"/>
                <w:szCs w:val="24"/>
                <w:highlight w:val="none"/>
              </w:rPr>
              <w:t>得1分，本项最高得</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分。</w:t>
            </w:r>
          </w:p>
          <w:p w14:paraId="3BA842AF">
            <w:pPr>
              <w:pStyle w:val="11"/>
              <w:keepNext w:val="0"/>
              <w:keepLines w:val="0"/>
              <w:pageBreakBefore w:val="0"/>
              <w:widowControl w:val="0"/>
              <w:kinsoku/>
              <w:wordWrap/>
              <w:overflowPunct/>
              <w:topLinePunct w:val="0"/>
              <w:autoSpaceDE/>
              <w:autoSpaceDN/>
              <w:bidi w:val="0"/>
              <w:adjustRightInd/>
              <w:snapToGrid/>
              <w:spacing w:line="360" w:lineRule="exact"/>
              <w:ind w:left="0" w:leftChars="0" w:firstLine="482" w:firstLineChars="200"/>
              <w:textAlignment w:val="auto"/>
              <w:rPr>
                <w:rFonts w:hint="eastAsia" w:ascii="宋体" w:hAnsi="宋体" w:cs="宋体"/>
                <w:sz w:val="24"/>
                <w:szCs w:val="24"/>
                <w:highlight w:val="none"/>
              </w:rPr>
            </w:pPr>
            <w:r>
              <w:rPr>
                <w:rFonts w:hint="eastAsia" w:ascii="宋体" w:hAnsi="宋体" w:cs="宋体"/>
                <w:b/>
                <w:bCs/>
                <w:color w:val="000000" w:themeColor="text1"/>
                <w:sz w:val="24"/>
                <w:szCs w:val="24"/>
                <w:highlight w:val="none"/>
                <w14:textFill>
                  <w14:solidFill>
                    <w14:schemeClr w14:val="tx1"/>
                  </w14:solidFill>
                </w14:textFill>
              </w:rPr>
              <w:t>备注：提供相关报道材料截图彩色扫描件及有效的媒体链接。报道材料发布时间须为本项目招标公告发布之日前，且材料能够证明开展医疗服务过程的内容，报道媒体名称并标明媒体级别加盖投标人公章。同一服务过程被不同平台媒体报道过，按报道的最高平台计分，不累计得分。</w:t>
            </w:r>
            <w:r>
              <w:rPr>
                <w:rFonts w:hint="eastAsia" w:ascii="宋体" w:hAnsi="宋体"/>
                <w:b/>
                <w:bCs/>
                <w:color w:val="000000" w:themeColor="text1"/>
                <w:sz w:val="24"/>
                <w:szCs w:val="24"/>
                <w:highlight w:val="none"/>
                <w14:textFill>
                  <w14:solidFill>
                    <w14:schemeClr w14:val="tx1"/>
                  </w14:solidFill>
                </w14:textFill>
              </w:rPr>
              <w:t>未提供或未按要求提供材料的不得分。</w:t>
            </w:r>
          </w:p>
        </w:tc>
      </w:tr>
      <w:tr w14:paraId="16770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5" w:hRule="atLeast"/>
          <w:jc w:val="center"/>
        </w:trPr>
        <w:tc>
          <w:tcPr>
            <w:tcW w:w="1252" w:type="dxa"/>
            <w:vAlign w:val="center"/>
          </w:tcPr>
          <w:p w14:paraId="6E0689A4">
            <w:pPr>
              <w:pStyle w:val="11"/>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rPr>
                <w:rFonts w:hint="eastAsia" w:ascii="宋体" w:hAnsi="宋体" w:cs="宋体"/>
                <w:sz w:val="24"/>
                <w:szCs w:val="24"/>
              </w:rPr>
            </w:pPr>
            <w:r>
              <w:rPr>
                <w:rFonts w:hint="eastAsia" w:ascii="宋体" w:hAnsi="宋体" w:cs="宋体"/>
                <w:sz w:val="24"/>
                <w:szCs w:val="24"/>
              </w:rPr>
              <w:t>体检</w:t>
            </w:r>
            <w:r>
              <w:rPr>
                <w:rFonts w:hint="eastAsia" w:ascii="宋体" w:hAnsi="宋体" w:cs="宋体"/>
                <w:sz w:val="24"/>
                <w:szCs w:val="24"/>
                <w:lang w:val="en-US" w:eastAsia="zh-CN"/>
              </w:rPr>
              <w:t>服务</w:t>
            </w:r>
            <w:r>
              <w:rPr>
                <w:rFonts w:hint="eastAsia" w:ascii="宋体" w:hAnsi="宋体" w:cs="宋体"/>
                <w:sz w:val="24"/>
                <w:szCs w:val="24"/>
              </w:rPr>
              <w:t>管理</w:t>
            </w:r>
          </w:p>
          <w:p w14:paraId="1B120190">
            <w:pPr>
              <w:pStyle w:val="11"/>
              <w:keepNext w:val="0"/>
              <w:keepLines w:val="0"/>
              <w:pageBreakBefore w:val="0"/>
              <w:widowControl w:val="0"/>
              <w:kinsoku/>
              <w:wordWrap/>
              <w:overflowPunct/>
              <w:topLinePunct w:val="0"/>
              <w:autoSpaceDE/>
              <w:autoSpaceDN/>
              <w:bidi w:val="0"/>
              <w:adjustRightInd/>
              <w:snapToGrid/>
              <w:spacing w:line="360" w:lineRule="exact"/>
              <w:ind w:left="0" w:leftChars="0"/>
              <w:textAlignment w:val="auto"/>
              <w:rPr>
                <w:rFonts w:hint="eastAsia" w:ascii="宋体" w:hAnsi="宋体" w:cs="宋体" w:eastAsiaTheme="minorEastAsia"/>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6分</w:t>
            </w:r>
            <w:r>
              <w:rPr>
                <w:rFonts w:hint="eastAsia" w:ascii="宋体" w:hAnsi="宋体" w:cs="宋体"/>
                <w:sz w:val="24"/>
                <w:szCs w:val="24"/>
                <w:lang w:eastAsia="zh-CN"/>
              </w:rPr>
              <w:t>）</w:t>
            </w:r>
          </w:p>
          <w:p w14:paraId="7165E7AE">
            <w:pPr>
              <w:pStyle w:val="12"/>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sz w:val="24"/>
                <w:szCs w:val="24"/>
              </w:rPr>
            </w:pPr>
          </w:p>
        </w:tc>
        <w:tc>
          <w:tcPr>
            <w:tcW w:w="1192" w:type="dxa"/>
            <w:vAlign w:val="center"/>
          </w:tcPr>
          <w:p w14:paraId="56F1E628">
            <w:pPr>
              <w:pStyle w:val="11"/>
              <w:keepNext w:val="0"/>
              <w:keepLines w:val="0"/>
              <w:pageBreakBefore w:val="0"/>
              <w:widowControl w:val="0"/>
              <w:kinsoku/>
              <w:wordWrap/>
              <w:overflowPunct/>
              <w:topLinePunct w:val="0"/>
              <w:autoSpaceDE/>
              <w:autoSpaceDN/>
              <w:bidi w:val="0"/>
              <w:adjustRightInd/>
              <w:snapToGrid/>
              <w:spacing w:line="360" w:lineRule="exact"/>
              <w:ind w:left="0" w:leftChars="0" w:firstLine="240" w:firstLineChars="100"/>
              <w:textAlignment w:val="auto"/>
              <w:rPr>
                <w:rFonts w:hint="eastAsia" w:ascii="宋体" w:hAnsi="宋体" w:cs="宋体"/>
                <w:sz w:val="24"/>
                <w:szCs w:val="24"/>
              </w:rPr>
            </w:pPr>
            <w:r>
              <w:rPr>
                <w:rFonts w:hint="eastAsia" w:ascii="宋体" w:hAnsi="宋体"/>
                <w:sz w:val="24"/>
                <w:szCs w:val="24"/>
                <w:lang w:val="en-US" w:eastAsia="zh-CN"/>
              </w:rPr>
              <w:t>6</w:t>
            </w:r>
            <w:r>
              <w:rPr>
                <w:rFonts w:hint="eastAsia" w:ascii="宋体" w:hAnsi="宋体"/>
                <w:sz w:val="24"/>
                <w:szCs w:val="24"/>
              </w:rPr>
              <w:t>分</w:t>
            </w:r>
          </w:p>
        </w:tc>
        <w:tc>
          <w:tcPr>
            <w:tcW w:w="7161" w:type="dxa"/>
            <w:vAlign w:val="center"/>
          </w:tcPr>
          <w:p w14:paraId="526E316A">
            <w:pPr>
              <w:pStyle w:val="12"/>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color w:val="00B050"/>
                <w:sz w:val="24"/>
                <w:szCs w:val="24"/>
              </w:rPr>
            </w:pPr>
            <w:r>
              <w:rPr>
                <w:rFonts w:hint="eastAsia" w:ascii="宋体" w:hAnsi="宋体" w:cs="宋体"/>
                <w:color w:val="000000" w:themeColor="text1"/>
                <w:sz w:val="24"/>
                <w:szCs w:val="24"/>
                <w:lang w:val="en-US" w:eastAsia="zh-CN"/>
                <w14:textFill>
                  <w14:solidFill>
                    <w14:schemeClr w14:val="tx1"/>
                  </w14:solidFill>
                </w14:textFill>
              </w:rPr>
              <w:t>投标人能够</w:t>
            </w:r>
            <w:r>
              <w:rPr>
                <w:rFonts w:hint="eastAsia" w:ascii="宋体" w:hAnsi="宋体" w:cs="宋体"/>
                <w:color w:val="000000" w:themeColor="text1"/>
                <w:sz w:val="24"/>
                <w:szCs w:val="24"/>
                <w14:textFill>
                  <w14:solidFill>
                    <w14:schemeClr w14:val="tx1"/>
                  </w14:solidFill>
                </w14:textFill>
              </w:rPr>
              <w:t>提供专业的体检</w:t>
            </w:r>
            <w:r>
              <w:rPr>
                <w:rFonts w:hint="eastAsia" w:ascii="宋体" w:hAnsi="宋体" w:cs="宋体"/>
                <w:color w:val="000000" w:themeColor="text1"/>
                <w:sz w:val="24"/>
                <w:szCs w:val="24"/>
                <w:lang w:val="en-US" w:eastAsia="zh-CN"/>
                <w14:textFill>
                  <w14:solidFill>
                    <w14:schemeClr w14:val="tx1"/>
                  </w14:solidFill>
                </w14:textFill>
              </w:rPr>
              <w:t>服务</w:t>
            </w:r>
            <w:r>
              <w:rPr>
                <w:rFonts w:hint="eastAsia" w:ascii="宋体" w:hAnsi="宋体" w:cs="宋体"/>
                <w:color w:val="000000" w:themeColor="text1"/>
                <w:sz w:val="24"/>
                <w:szCs w:val="24"/>
                <w14:textFill>
                  <w14:solidFill>
                    <w14:schemeClr w14:val="tx1"/>
                  </w14:solidFill>
                </w14:textFill>
              </w:rPr>
              <w:t>管理，安装部署在采购人指定设备上，便于采购人实时查询监督体检的服务情况。功能须包括档案建立、登记接待、报告录入/导入、体检数据异常报警、各类报表的生成/浏览/打印、多种模式的数据查询统计、数据持久性存储、人员权限、分级查询等</w:t>
            </w:r>
            <w:r>
              <w:rPr>
                <w:rFonts w:hint="eastAsia" w:ascii="宋体" w:hAnsi="宋体" w:cs="宋体"/>
                <w:color w:val="000000" w:themeColor="text1"/>
                <w:sz w:val="24"/>
                <w:szCs w:val="24"/>
                <w:lang w:val="en-US" w:eastAsia="zh-CN"/>
                <w14:textFill>
                  <w14:solidFill>
                    <w14:schemeClr w14:val="tx1"/>
                  </w14:solidFill>
                </w14:textFill>
              </w:rPr>
              <w:t>的得6分。</w:t>
            </w:r>
            <w:r>
              <w:rPr>
                <w:rFonts w:hint="eastAsia" w:ascii="宋体" w:hAnsi="宋体" w:cs="宋体"/>
                <w:b/>
                <w:bCs/>
                <w:color w:val="000000" w:themeColor="text1"/>
                <w:sz w:val="24"/>
                <w:szCs w:val="24"/>
                <w:lang w:val="en-US" w:eastAsia="zh-CN"/>
                <w14:textFill>
                  <w14:solidFill>
                    <w14:schemeClr w14:val="tx1"/>
                  </w14:solidFill>
                </w14:textFill>
              </w:rPr>
              <w:t>（</w:t>
            </w:r>
            <w:r>
              <w:rPr>
                <w:rFonts w:hint="eastAsia" w:ascii="宋体" w:hAnsi="宋体" w:cs="宋体"/>
                <w:b/>
                <w:bCs/>
                <w:color w:val="000000" w:themeColor="text1"/>
                <w:sz w:val="24"/>
                <w:szCs w:val="24"/>
                <w14:textFill>
                  <w14:solidFill>
                    <w14:schemeClr w14:val="tx1"/>
                  </w14:solidFill>
                </w14:textFill>
              </w:rPr>
              <w:t>提供体检管理UI截图和购买合同或开发合同书彩色扫描件</w:t>
            </w:r>
            <w:r>
              <w:rPr>
                <w:rFonts w:hint="eastAsia" w:ascii="宋体" w:hAnsi="宋体" w:cs="宋体"/>
                <w:b/>
                <w:bCs/>
                <w:color w:val="000000" w:themeColor="text1"/>
                <w:sz w:val="24"/>
                <w:szCs w:val="24"/>
                <w:lang w:eastAsia="zh-CN"/>
                <w14:textFill>
                  <w14:solidFill>
                    <w14:schemeClr w14:val="tx1"/>
                  </w14:solidFill>
                </w14:textFill>
              </w:rPr>
              <w:t>，</w:t>
            </w:r>
            <w:r>
              <w:rPr>
                <w:rFonts w:hint="eastAsia" w:ascii="宋体" w:hAnsi="宋体" w:cs="宋体"/>
                <w:b/>
                <w:bCs/>
                <w:color w:val="000000" w:themeColor="text1"/>
                <w:sz w:val="24"/>
                <w:szCs w:val="24"/>
                <w14:textFill>
                  <w14:solidFill>
                    <w14:schemeClr w14:val="tx1"/>
                  </w14:solidFill>
                </w14:textFill>
              </w:rPr>
              <w:t>提供的证明材料须完整且无涂改，未提供或提供不全的不得</w:t>
            </w:r>
            <w:r>
              <w:rPr>
                <w:rFonts w:hint="eastAsia" w:ascii="宋体" w:hAnsi="宋体" w:cs="宋体"/>
                <w:b/>
                <w:bCs/>
                <w:sz w:val="24"/>
                <w:szCs w:val="24"/>
              </w:rPr>
              <w:t>分</w:t>
            </w:r>
            <w:r>
              <w:rPr>
                <w:rFonts w:hint="eastAsia" w:ascii="宋体" w:hAnsi="宋体" w:cs="宋体"/>
                <w:b/>
                <w:bCs/>
                <w:color w:val="000000" w:themeColor="text1"/>
                <w:sz w:val="24"/>
                <w:szCs w:val="24"/>
                <w14:textFill>
                  <w14:solidFill>
                    <w14:schemeClr w14:val="tx1"/>
                  </w14:solidFill>
                </w14:textFill>
              </w:rPr>
              <w:t>。</w:t>
            </w:r>
            <w:r>
              <w:rPr>
                <w:rFonts w:hint="eastAsia" w:ascii="宋体" w:hAnsi="宋体" w:cs="宋体"/>
                <w:b/>
                <w:bCs/>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投标人</w:t>
            </w:r>
            <w:r>
              <w:rPr>
                <w:rFonts w:hint="eastAsia" w:ascii="宋体" w:hAnsi="宋体" w:cs="宋体"/>
                <w:color w:val="000000" w:themeColor="text1"/>
                <w:sz w:val="24"/>
                <w:szCs w:val="24"/>
                <w14:textFill>
                  <w14:solidFill>
                    <w14:schemeClr w14:val="tx1"/>
                  </w14:solidFill>
                </w14:textFill>
              </w:rPr>
              <w:t>承诺在签订中标合同后30日内安装部署完成并确保正常使用体检</w:t>
            </w:r>
            <w:r>
              <w:rPr>
                <w:rFonts w:hint="eastAsia" w:ascii="宋体" w:hAnsi="宋体" w:cs="宋体"/>
                <w:color w:val="000000" w:themeColor="text1"/>
                <w:sz w:val="24"/>
                <w:szCs w:val="24"/>
                <w:lang w:val="en-US" w:eastAsia="zh-CN"/>
                <w14:textFill>
                  <w14:solidFill>
                    <w14:schemeClr w14:val="tx1"/>
                  </w14:solidFill>
                </w14:textFill>
              </w:rPr>
              <w:t>服务</w:t>
            </w:r>
            <w:r>
              <w:rPr>
                <w:rFonts w:hint="eastAsia" w:ascii="宋体" w:hAnsi="宋体" w:cs="宋体"/>
                <w:color w:val="000000" w:themeColor="text1"/>
                <w:sz w:val="24"/>
                <w:szCs w:val="24"/>
                <w14:textFill>
                  <w14:solidFill>
                    <w14:schemeClr w14:val="tx1"/>
                  </w14:solidFill>
                </w14:textFill>
              </w:rPr>
              <w:t>管理</w:t>
            </w:r>
            <w:r>
              <w:rPr>
                <w:rFonts w:hint="eastAsia" w:ascii="宋体" w:hAnsi="宋体" w:cs="宋体"/>
                <w:color w:val="000000" w:themeColor="text1"/>
                <w:sz w:val="24"/>
                <w:szCs w:val="24"/>
                <w:lang w:val="en-US" w:eastAsia="zh-CN"/>
                <w14:textFill>
                  <w14:solidFill>
                    <w14:schemeClr w14:val="tx1"/>
                  </w14:solidFill>
                </w14:textFill>
              </w:rPr>
              <w:t>的得3分。</w:t>
            </w:r>
            <w:r>
              <w:rPr>
                <w:rFonts w:hint="eastAsia" w:ascii="宋体" w:hAnsi="宋体" w:cs="宋体"/>
                <w:b/>
                <w:bCs/>
                <w:color w:val="000000" w:themeColor="text1"/>
                <w:sz w:val="24"/>
                <w:szCs w:val="24"/>
                <w14:textFill>
                  <w14:solidFill>
                    <w14:schemeClr w14:val="tx1"/>
                  </w14:solidFill>
                </w14:textFill>
              </w:rPr>
              <w:t>（</w:t>
            </w:r>
            <w:r>
              <w:rPr>
                <w:rFonts w:hint="eastAsia" w:ascii="宋体" w:hAnsi="宋体" w:cs="宋体"/>
                <w:b/>
                <w:bCs/>
                <w:color w:val="000000" w:themeColor="text1"/>
                <w:sz w:val="24"/>
                <w:szCs w:val="24"/>
                <w:lang w:val="en-US" w:eastAsia="zh-CN"/>
                <w14:textFill>
                  <w14:solidFill>
                    <w14:schemeClr w14:val="tx1"/>
                  </w14:solidFill>
                </w14:textFill>
              </w:rPr>
              <w:t>承诺函</w:t>
            </w:r>
            <w:r>
              <w:rPr>
                <w:rFonts w:hint="eastAsia" w:ascii="宋体" w:hAnsi="宋体" w:cs="宋体"/>
                <w:b/>
                <w:bCs/>
                <w:color w:val="000000" w:themeColor="text1"/>
                <w:sz w:val="24"/>
                <w:szCs w:val="24"/>
                <w14:textFill>
                  <w14:solidFill>
                    <w14:schemeClr w14:val="tx1"/>
                  </w14:solidFill>
                </w14:textFill>
              </w:rPr>
              <w:t>格式自拟</w:t>
            </w:r>
            <w:r>
              <w:rPr>
                <w:rFonts w:hint="eastAsia" w:ascii="宋体" w:hAnsi="宋体" w:cs="宋体"/>
                <w:b/>
                <w:bCs/>
                <w:color w:val="000000" w:themeColor="text1"/>
                <w:sz w:val="24"/>
                <w:szCs w:val="24"/>
                <w:lang w:eastAsia="zh-CN"/>
                <w14:textFill>
                  <w14:solidFill>
                    <w14:schemeClr w14:val="tx1"/>
                  </w14:solidFill>
                </w14:textFill>
              </w:rPr>
              <w:t>，</w:t>
            </w:r>
            <w:r>
              <w:rPr>
                <w:rFonts w:hint="eastAsia" w:ascii="宋体" w:hAnsi="宋体" w:cs="宋体"/>
                <w:b/>
                <w:bCs/>
                <w:color w:val="000000" w:themeColor="text1"/>
                <w:sz w:val="24"/>
                <w:szCs w:val="24"/>
                <w:lang w:val="en-US" w:eastAsia="zh-CN"/>
                <w14:textFill>
                  <w14:solidFill>
                    <w14:schemeClr w14:val="tx1"/>
                  </w14:solidFill>
                </w14:textFill>
              </w:rPr>
              <w:t>加盖投标人公章。</w:t>
            </w:r>
            <w:r>
              <w:rPr>
                <w:rFonts w:hint="eastAsia" w:ascii="宋体" w:hAnsi="宋体" w:cs="宋体"/>
                <w:b/>
                <w:bCs/>
                <w:color w:val="000000" w:themeColor="text1"/>
                <w:sz w:val="24"/>
                <w:szCs w:val="24"/>
                <w14:textFill>
                  <w14:solidFill>
                    <w14:schemeClr w14:val="tx1"/>
                  </w14:solidFill>
                </w14:textFill>
              </w:rPr>
              <w:t>）</w:t>
            </w:r>
          </w:p>
        </w:tc>
      </w:tr>
      <w:tr w14:paraId="3CC51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8" w:hRule="atLeast"/>
          <w:jc w:val="center"/>
        </w:trPr>
        <w:tc>
          <w:tcPr>
            <w:tcW w:w="1252" w:type="dxa"/>
            <w:vMerge w:val="restart"/>
            <w:vAlign w:val="center"/>
          </w:tcPr>
          <w:p w14:paraId="7C575783">
            <w:pPr>
              <w:pStyle w:val="12"/>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cs="宋体" w:eastAsiaTheme="minorEastAsia"/>
                <w:color w:val="000000" w:themeColor="text1"/>
                <w:kern w:val="2"/>
                <w:sz w:val="24"/>
                <w:szCs w:val="24"/>
                <w:lang w:val="en-US" w:eastAsia="zh-CN" w:bidi="ar-SA"/>
                <w14:textFill>
                  <w14:solidFill>
                    <w14:schemeClr w14:val="tx1"/>
                  </w14:solidFill>
                </w14:textFill>
              </w:rPr>
            </w:pPr>
          </w:p>
          <w:p w14:paraId="39CD7822">
            <w:pPr>
              <w:pStyle w:val="12"/>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cs="宋体" w:eastAsiaTheme="minorEastAsia"/>
                <w:color w:val="000000" w:themeColor="text1"/>
                <w:kern w:val="2"/>
                <w:sz w:val="24"/>
                <w:szCs w:val="24"/>
                <w:lang w:val="en-US" w:eastAsia="zh-CN" w:bidi="ar-SA"/>
                <w14:textFill>
                  <w14:solidFill>
                    <w14:schemeClr w14:val="tx1"/>
                  </w14:solidFill>
                </w14:textFill>
              </w:rPr>
            </w:pPr>
          </w:p>
          <w:p w14:paraId="039C6E16">
            <w:pPr>
              <w:pStyle w:val="12"/>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cs="宋体" w:eastAsiaTheme="minorEastAsia"/>
                <w:color w:val="000000" w:themeColor="text1"/>
                <w:kern w:val="2"/>
                <w:sz w:val="24"/>
                <w:szCs w:val="24"/>
                <w:lang w:val="en-US" w:eastAsia="zh-CN" w:bidi="ar-SA"/>
                <w14:textFill>
                  <w14:solidFill>
                    <w14:schemeClr w14:val="tx1"/>
                  </w14:solidFill>
                </w14:textFill>
              </w:rPr>
            </w:pPr>
          </w:p>
          <w:p w14:paraId="4472E018">
            <w:pPr>
              <w:pStyle w:val="12"/>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cs="宋体" w:eastAsiaTheme="minorEastAsia"/>
                <w:color w:val="000000" w:themeColor="text1"/>
                <w:kern w:val="2"/>
                <w:sz w:val="24"/>
                <w:szCs w:val="24"/>
                <w:lang w:val="en-US" w:eastAsia="zh-CN" w:bidi="ar-SA"/>
                <w14:textFill>
                  <w14:solidFill>
                    <w14:schemeClr w14:val="tx1"/>
                  </w14:solidFill>
                </w14:textFill>
              </w:rPr>
            </w:pPr>
          </w:p>
          <w:p w14:paraId="5E26C3BB">
            <w:pPr>
              <w:pStyle w:val="12"/>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cs="宋体" w:eastAsiaTheme="minorEastAsia"/>
                <w:color w:val="000000" w:themeColor="text1"/>
                <w:kern w:val="2"/>
                <w:sz w:val="24"/>
                <w:szCs w:val="24"/>
                <w:lang w:val="en-US" w:eastAsia="zh-CN" w:bidi="ar-SA"/>
                <w14:textFill>
                  <w14:solidFill>
                    <w14:schemeClr w14:val="tx1"/>
                  </w14:solidFill>
                </w14:textFill>
              </w:rPr>
            </w:pPr>
          </w:p>
          <w:p w14:paraId="6717DF01">
            <w:pPr>
              <w:pStyle w:val="12"/>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cs="宋体" w:eastAsiaTheme="minorEastAsia"/>
                <w:color w:val="000000" w:themeColor="text1"/>
                <w:kern w:val="2"/>
                <w:sz w:val="24"/>
                <w:szCs w:val="24"/>
                <w:lang w:val="en-US" w:eastAsia="zh-CN" w:bidi="ar-SA"/>
                <w14:textFill>
                  <w14:solidFill>
                    <w14:schemeClr w14:val="tx1"/>
                  </w14:solidFill>
                </w14:textFill>
              </w:rPr>
            </w:pPr>
          </w:p>
          <w:p w14:paraId="29DDAECF">
            <w:pPr>
              <w:pStyle w:val="12"/>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cs="宋体" w:eastAsiaTheme="minorEastAsia"/>
                <w:color w:val="000000" w:themeColor="text1"/>
                <w:kern w:val="2"/>
                <w:sz w:val="24"/>
                <w:szCs w:val="24"/>
                <w:lang w:val="en-US" w:eastAsia="zh-CN" w:bidi="ar-SA"/>
                <w14:textFill>
                  <w14:solidFill>
                    <w14:schemeClr w14:val="tx1"/>
                  </w14:solidFill>
                </w14:textFill>
              </w:rPr>
            </w:pPr>
          </w:p>
          <w:p w14:paraId="3DEC0E78">
            <w:pPr>
              <w:pStyle w:val="12"/>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cs="宋体" w:eastAsiaTheme="minorEastAsia"/>
                <w:color w:val="000000" w:themeColor="text1"/>
                <w:kern w:val="2"/>
                <w:sz w:val="24"/>
                <w:szCs w:val="24"/>
                <w:lang w:val="en-US" w:eastAsia="zh-CN" w:bidi="ar-SA"/>
                <w14:textFill>
                  <w14:solidFill>
                    <w14:schemeClr w14:val="tx1"/>
                  </w14:solidFill>
                </w14:textFill>
              </w:rPr>
            </w:pPr>
          </w:p>
          <w:p w14:paraId="379E433C">
            <w:pPr>
              <w:pStyle w:val="12"/>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cs="宋体" w:eastAsiaTheme="minorEastAsia"/>
                <w:color w:val="000000" w:themeColor="text1"/>
                <w:kern w:val="2"/>
                <w:sz w:val="24"/>
                <w:szCs w:val="24"/>
                <w:lang w:val="en-US" w:eastAsia="zh-CN" w:bidi="ar-SA"/>
                <w14:textFill>
                  <w14:solidFill>
                    <w14:schemeClr w14:val="tx1"/>
                  </w14:solidFill>
                </w14:textFill>
              </w:rPr>
            </w:pPr>
          </w:p>
          <w:p w14:paraId="217E8017">
            <w:pPr>
              <w:pStyle w:val="12"/>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cs="宋体" w:eastAsiaTheme="minorEastAsia"/>
                <w:color w:val="000000" w:themeColor="text1"/>
                <w:kern w:val="2"/>
                <w:sz w:val="24"/>
                <w:szCs w:val="24"/>
                <w:lang w:val="en-US" w:eastAsia="zh-CN" w:bidi="ar-SA"/>
                <w14:textFill>
                  <w14:solidFill>
                    <w14:schemeClr w14:val="tx1"/>
                  </w14:solidFill>
                </w14:textFill>
              </w:rPr>
            </w:pPr>
          </w:p>
          <w:p w14:paraId="7628B381">
            <w:pPr>
              <w:pStyle w:val="12"/>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cs="宋体" w:eastAsiaTheme="minorEastAsia"/>
                <w:color w:val="000000" w:themeColor="text1"/>
                <w:kern w:val="2"/>
                <w:sz w:val="24"/>
                <w:szCs w:val="24"/>
                <w:lang w:val="en-US" w:eastAsia="zh-CN" w:bidi="ar-SA"/>
                <w14:textFill>
                  <w14:solidFill>
                    <w14:schemeClr w14:val="tx1"/>
                  </w14:solidFill>
                </w14:textFill>
              </w:rPr>
            </w:pPr>
          </w:p>
          <w:p w14:paraId="01F1C997">
            <w:pPr>
              <w:pStyle w:val="12"/>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cs="宋体" w:eastAsiaTheme="minorEastAsia"/>
                <w:color w:val="000000" w:themeColor="text1"/>
                <w:kern w:val="2"/>
                <w:sz w:val="24"/>
                <w:szCs w:val="24"/>
                <w:lang w:val="en-US" w:eastAsia="zh-CN" w:bidi="ar-SA"/>
                <w14:textFill>
                  <w14:solidFill>
                    <w14:schemeClr w14:val="tx1"/>
                  </w14:solidFill>
                </w14:textFill>
              </w:rPr>
            </w:pPr>
          </w:p>
          <w:p w14:paraId="5FF9C522">
            <w:pPr>
              <w:pStyle w:val="12"/>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cs="宋体" w:eastAsiaTheme="minorEastAsia"/>
                <w:color w:val="000000" w:themeColor="text1"/>
                <w:kern w:val="2"/>
                <w:sz w:val="24"/>
                <w:szCs w:val="24"/>
                <w:lang w:val="en-US" w:eastAsia="zh-CN" w:bidi="ar-SA"/>
                <w14:textFill>
                  <w14:solidFill>
                    <w14:schemeClr w14:val="tx1"/>
                  </w14:solidFill>
                </w14:textFill>
              </w:rPr>
            </w:pPr>
          </w:p>
          <w:p w14:paraId="1B0518B1">
            <w:pPr>
              <w:pStyle w:val="12"/>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cs="宋体" w:eastAsiaTheme="minorEastAsia"/>
                <w:color w:val="000000" w:themeColor="text1"/>
                <w:kern w:val="2"/>
                <w:sz w:val="24"/>
                <w:szCs w:val="24"/>
                <w:lang w:val="en-US" w:eastAsia="zh-CN" w:bidi="ar-SA"/>
                <w14:textFill>
                  <w14:solidFill>
                    <w14:schemeClr w14:val="tx1"/>
                  </w14:solidFill>
                </w14:textFill>
              </w:rPr>
            </w:pPr>
            <w:r>
              <w:rPr>
                <w:rFonts w:hint="eastAsia" w:ascii="宋体" w:hAnsi="宋体" w:cs="宋体" w:eastAsiaTheme="minorEastAsia"/>
                <w:color w:val="000000" w:themeColor="text1"/>
                <w:kern w:val="2"/>
                <w:sz w:val="24"/>
                <w:szCs w:val="24"/>
                <w:lang w:val="en-US" w:eastAsia="zh-CN" w:bidi="ar-SA"/>
                <w14:textFill>
                  <w14:solidFill>
                    <w14:schemeClr w14:val="tx1"/>
                  </w14:solidFill>
                </w14:textFill>
              </w:rPr>
              <w:t>拥军</w:t>
            </w:r>
            <w:r>
              <w:rPr>
                <w:rFonts w:hint="eastAsia" w:ascii="宋体" w:hAnsi="宋体" w:cs="宋体"/>
                <w:color w:val="000000" w:themeColor="text1"/>
                <w:kern w:val="2"/>
                <w:sz w:val="24"/>
                <w:szCs w:val="24"/>
                <w:lang w:val="en-US" w:eastAsia="zh-CN" w:bidi="ar-SA"/>
                <w14:textFill>
                  <w14:solidFill>
                    <w14:schemeClr w14:val="tx1"/>
                  </w14:solidFill>
                </w14:textFill>
              </w:rPr>
              <w:t>服务保障</w:t>
            </w:r>
          </w:p>
          <w:p w14:paraId="6DAAB92B">
            <w:pPr>
              <w:pStyle w:val="12"/>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sz w:val="24"/>
                <w:szCs w:val="24"/>
              </w:rPr>
            </w:pPr>
            <w:r>
              <w:rPr>
                <w:rFonts w:hint="eastAsia" w:ascii="宋体" w:hAnsi="宋体" w:cs="宋体"/>
                <w:color w:val="000000" w:themeColor="text1"/>
                <w:kern w:val="2"/>
                <w:sz w:val="24"/>
                <w:szCs w:val="24"/>
                <w:lang w:val="en-US" w:eastAsia="zh-CN" w:bidi="ar-SA"/>
                <w14:textFill>
                  <w14:solidFill>
                    <w14:schemeClr w14:val="tx1"/>
                  </w14:solidFill>
                </w14:textFill>
              </w:rPr>
              <w:t>（13分）</w:t>
            </w:r>
          </w:p>
        </w:tc>
        <w:tc>
          <w:tcPr>
            <w:tcW w:w="1192" w:type="dxa"/>
            <w:vAlign w:val="center"/>
          </w:tcPr>
          <w:p w14:paraId="1A958C7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宋体" w:hAnsi="宋体" w:cs="宋体"/>
                <w:color w:val="000000" w:themeColor="text1"/>
                <w:kern w:val="2"/>
                <w:sz w:val="24"/>
                <w:szCs w:val="24"/>
                <w:lang w:val="en-US" w:eastAsia="zh-CN" w:bidi="ar-SA"/>
                <w14:textFill>
                  <w14:solidFill>
                    <w14:schemeClr w14:val="tx1"/>
                  </w14:solidFill>
                </w14:textFill>
              </w:rPr>
            </w:pPr>
            <w:r>
              <w:rPr>
                <w:rFonts w:hint="eastAsia" w:ascii="宋体" w:hAnsi="宋体" w:cs="宋体"/>
                <w:color w:val="000000" w:themeColor="text1"/>
                <w:kern w:val="2"/>
                <w:sz w:val="24"/>
                <w:szCs w:val="24"/>
                <w:lang w:val="en-US" w:eastAsia="zh-CN" w:bidi="ar-SA"/>
                <w14:textFill>
                  <w14:solidFill>
                    <w14:schemeClr w14:val="tx1"/>
                  </w14:solidFill>
                </w14:textFill>
              </w:rPr>
              <w:t>3分</w:t>
            </w:r>
          </w:p>
        </w:tc>
        <w:tc>
          <w:tcPr>
            <w:tcW w:w="7161" w:type="dxa"/>
            <w:vAlign w:val="center"/>
          </w:tcPr>
          <w:p w14:paraId="6BF01433">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cs="宋体"/>
                <w:sz w:val="24"/>
                <w:szCs w:val="24"/>
              </w:rPr>
            </w:pPr>
            <w:r>
              <w:rPr>
                <w:rFonts w:hint="eastAsia" w:ascii="宋体" w:hAnsi="宋体" w:cs="宋体"/>
                <w:color w:val="000000" w:themeColor="text1"/>
                <w:sz w:val="24"/>
                <w:szCs w:val="24"/>
                <w:lang w:val="en-US" w:eastAsia="zh-CN"/>
                <w14:textFill>
                  <w14:solidFill>
                    <w14:schemeClr w14:val="tx1"/>
                  </w14:solidFill>
                </w14:textFill>
              </w:rPr>
              <w:t>1、</w:t>
            </w:r>
            <w:r>
              <w:rPr>
                <w:rFonts w:hint="eastAsia" w:ascii="宋体" w:hAnsi="宋体" w:cs="宋体"/>
                <w:color w:val="000000" w:themeColor="text1"/>
                <w:sz w:val="24"/>
                <w:szCs w:val="24"/>
                <w14:textFill>
                  <w14:solidFill>
                    <w14:schemeClr w14:val="tx1"/>
                  </w14:solidFill>
                </w14:textFill>
              </w:rPr>
              <w:t>投标人被行政</w:t>
            </w:r>
            <w:r>
              <w:rPr>
                <w:rFonts w:hint="eastAsia" w:ascii="宋体" w:hAnsi="宋体" w:cs="宋体"/>
                <w:sz w:val="24"/>
                <w:szCs w:val="24"/>
              </w:rPr>
              <w:t>部门认定为优抚定点医院的得</w:t>
            </w:r>
            <w:r>
              <w:rPr>
                <w:rFonts w:hint="eastAsia" w:ascii="宋体" w:hAnsi="宋体" w:cs="宋体"/>
                <w:sz w:val="24"/>
                <w:szCs w:val="24"/>
                <w:lang w:val="en-US" w:eastAsia="zh-CN"/>
              </w:rPr>
              <w:t>3</w:t>
            </w:r>
            <w:r>
              <w:rPr>
                <w:rFonts w:hint="eastAsia" w:ascii="宋体" w:hAnsi="宋体" w:cs="宋体"/>
                <w:sz w:val="24"/>
                <w:szCs w:val="24"/>
              </w:rPr>
              <w:t>分。</w:t>
            </w:r>
          </w:p>
          <w:p w14:paraId="44E9371B">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both"/>
              <w:textAlignment w:val="auto"/>
              <w:rPr>
                <w:rFonts w:hint="eastAsia" w:ascii="宋体" w:hAnsi="宋体" w:cs="宋体"/>
                <w:b/>
                <w:bCs/>
                <w:sz w:val="24"/>
                <w:szCs w:val="24"/>
                <w:highlight w:val="none"/>
              </w:rPr>
            </w:pPr>
            <w:r>
              <w:rPr>
                <w:rFonts w:hint="eastAsia" w:ascii="宋体" w:hAnsi="宋体" w:cs="宋体"/>
                <w:b/>
                <w:bCs/>
                <w:sz w:val="24"/>
                <w:szCs w:val="24"/>
              </w:rPr>
              <w:t>备注：提供相关证明材料彩色扫描件加盖投标人公章，未提供的不得分。</w:t>
            </w:r>
          </w:p>
        </w:tc>
      </w:tr>
      <w:tr w14:paraId="56C46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5" w:hRule="atLeast"/>
          <w:jc w:val="center"/>
        </w:trPr>
        <w:tc>
          <w:tcPr>
            <w:tcW w:w="1252" w:type="dxa"/>
            <w:vMerge w:val="continue"/>
            <w:vAlign w:val="center"/>
          </w:tcPr>
          <w:p w14:paraId="38E44B37">
            <w:pPr>
              <w:pStyle w:val="12"/>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sz w:val="24"/>
                <w:szCs w:val="24"/>
              </w:rPr>
            </w:pPr>
          </w:p>
        </w:tc>
        <w:tc>
          <w:tcPr>
            <w:tcW w:w="1192" w:type="dxa"/>
            <w:vAlign w:val="center"/>
          </w:tcPr>
          <w:p w14:paraId="28BE7FA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sz w:val="24"/>
                <w:szCs w:val="24"/>
              </w:rPr>
            </w:pPr>
            <w:r>
              <w:rPr>
                <w:rFonts w:hint="eastAsia" w:ascii="宋体" w:hAnsi="宋体" w:cs="宋体"/>
                <w:color w:val="000000" w:themeColor="text1"/>
                <w:kern w:val="2"/>
                <w:sz w:val="24"/>
                <w:szCs w:val="24"/>
                <w:lang w:val="en-US" w:eastAsia="zh-CN" w:bidi="ar-SA"/>
                <w14:textFill>
                  <w14:solidFill>
                    <w14:schemeClr w14:val="tx1"/>
                  </w14:solidFill>
                </w14:textFill>
              </w:rPr>
              <w:t>2</w:t>
            </w:r>
            <w:r>
              <w:rPr>
                <w:rFonts w:hint="eastAsia" w:ascii="宋体" w:hAnsi="宋体" w:cs="宋体" w:eastAsiaTheme="minorEastAsia"/>
                <w:color w:val="000000" w:themeColor="text1"/>
                <w:kern w:val="2"/>
                <w:sz w:val="24"/>
                <w:szCs w:val="24"/>
                <w:lang w:val="en-US" w:eastAsia="zh-CN" w:bidi="ar-SA"/>
                <w14:textFill>
                  <w14:solidFill>
                    <w14:schemeClr w14:val="tx1"/>
                  </w14:solidFill>
                </w14:textFill>
              </w:rPr>
              <w:t>分</w:t>
            </w:r>
          </w:p>
        </w:tc>
        <w:tc>
          <w:tcPr>
            <w:tcW w:w="7161" w:type="dxa"/>
            <w:vAlign w:val="center"/>
          </w:tcPr>
          <w:p w14:paraId="3176D49D">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hint="eastAsia" w:ascii="宋体" w:hAnsi="宋体" w:cs="宋体" w:eastAsiaTheme="minorEastAsia"/>
                <w:color w:val="000000" w:themeColor="text1"/>
                <w:kern w:val="2"/>
                <w:sz w:val="24"/>
                <w:szCs w:val="24"/>
                <w:lang w:val="en-US" w:eastAsia="zh-CN" w:bidi="ar-SA"/>
                <w14:textFill>
                  <w14:solidFill>
                    <w14:schemeClr w14:val="tx1"/>
                  </w14:solidFill>
                </w14:textFill>
              </w:rPr>
            </w:pPr>
            <w:r>
              <w:rPr>
                <w:rFonts w:hint="eastAsia" w:ascii="宋体" w:hAnsi="宋体" w:cs="宋体"/>
                <w:color w:val="000000" w:themeColor="text1"/>
                <w:kern w:val="2"/>
                <w:sz w:val="24"/>
                <w:szCs w:val="24"/>
                <w:lang w:val="en-US" w:eastAsia="zh-CN" w:bidi="ar-SA"/>
                <w14:textFill>
                  <w14:solidFill>
                    <w14:schemeClr w14:val="tx1"/>
                  </w14:solidFill>
                </w14:textFill>
              </w:rPr>
              <w:t>2、</w:t>
            </w:r>
            <w:r>
              <w:rPr>
                <w:rFonts w:hint="eastAsia" w:ascii="宋体" w:hAnsi="宋体" w:cs="宋体" w:eastAsiaTheme="minorEastAsia"/>
                <w:color w:val="000000" w:themeColor="text1"/>
                <w:kern w:val="2"/>
                <w:sz w:val="24"/>
                <w:szCs w:val="24"/>
                <w:lang w:val="en-US" w:eastAsia="zh-CN" w:bidi="ar-SA"/>
                <w14:textFill>
                  <w14:solidFill>
                    <w14:schemeClr w14:val="tx1"/>
                  </w14:solidFill>
                </w14:textFill>
              </w:rPr>
              <w:t>专门拥军服务窗口</w:t>
            </w:r>
          </w:p>
          <w:p w14:paraId="60A7EF5B">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hint="eastAsia" w:ascii="宋体" w:hAnsi="宋体" w:cs="宋体"/>
                <w:color w:val="000000" w:themeColor="text1"/>
                <w:kern w:val="2"/>
                <w:sz w:val="24"/>
                <w:szCs w:val="24"/>
                <w:lang w:val="en-US" w:eastAsia="zh-CN" w:bidi="ar-SA"/>
                <w14:textFill>
                  <w14:solidFill>
                    <w14:schemeClr w14:val="tx1"/>
                  </w14:solidFill>
                </w14:textFill>
              </w:rPr>
            </w:pPr>
            <w:r>
              <w:rPr>
                <w:rFonts w:hint="eastAsia" w:ascii="宋体" w:hAnsi="宋体" w:cs="宋体"/>
                <w:color w:val="000000" w:themeColor="text1"/>
                <w:kern w:val="2"/>
                <w:sz w:val="24"/>
                <w:szCs w:val="24"/>
                <w:lang w:val="en-US" w:eastAsia="zh-CN" w:bidi="ar-SA"/>
                <w14:textFill>
                  <w14:solidFill>
                    <w14:schemeClr w14:val="tx1"/>
                  </w14:solidFill>
                </w14:textFill>
              </w:rPr>
              <w:t>投标人</w:t>
            </w:r>
            <w:r>
              <w:rPr>
                <w:rFonts w:hint="eastAsia" w:ascii="宋体" w:hAnsi="宋体" w:cs="宋体" w:eastAsiaTheme="minorEastAsia"/>
                <w:color w:val="000000" w:themeColor="text1"/>
                <w:kern w:val="2"/>
                <w:sz w:val="24"/>
                <w:szCs w:val="24"/>
                <w:lang w:val="en-US" w:eastAsia="zh-CN" w:bidi="ar-SA"/>
                <w14:textFill>
                  <w14:solidFill>
                    <w14:schemeClr w14:val="tx1"/>
                  </w14:solidFill>
                </w14:textFill>
              </w:rPr>
              <w:t>设有独立或醒目的“退役军人优先”服务窗口（站点），提供体检登记、咨询、引导等一站式服务</w:t>
            </w:r>
            <w:r>
              <w:rPr>
                <w:rFonts w:hint="eastAsia" w:ascii="宋体" w:hAnsi="宋体" w:cs="宋体"/>
                <w:color w:val="000000" w:themeColor="text1"/>
                <w:kern w:val="2"/>
                <w:sz w:val="24"/>
                <w:szCs w:val="24"/>
                <w:lang w:val="en-US" w:eastAsia="zh-CN" w:bidi="ar-SA"/>
                <w14:textFill>
                  <w14:solidFill>
                    <w14:schemeClr w14:val="tx1"/>
                  </w14:solidFill>
                </w14:textFill>
              </w:rPr>
              <w:t>的得2分。</w:t>
            </w:r>
          </w:p>
          <w:p w14:paraId="424255F7">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both"/>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b/>
                <w:bCs/>
                <w:sz w:val="24"/>
                <w:szCs w:val="24"/>
                <w:highlight w:val="none"/>
              </w:rPr>
              <w:t>备注：</w:t>
            </w:r>
            <w:r>
              <w:rPr>
                <w:rFonts w:hint="eastAsia" w:ascii="宋体" w:hAnsi="宋体" w:cs="宋体" w:eastAsiaTheme="minorEastAsia"/>
                <w:b/>
                <w:bCs/>
                <w:color w:val="000000" w:themeColor="text1"/>
                <w:kern w:val="2"/>
                <w:sz w:val="24"/>
                <w:szCs w:val="24"/>
                <w:lang w:val="en-US" w:eastAsia="zh-CN" w:bidi="ar-SA"/>
                <w14:textFill>
                  <w14:solidFill>
                    <w14:schemeClr w14:val="tx1"/>
                  </w14:solidFill>
                </w14:textFill>
              </w:rPr>
              <w:t>提供工作场所照片及功能说明</w:t>
            </w:r>
            <w:r>
              <w:rPr>
                <w:rFonts w:hint="eastAsia" w:ascii="宋体" w:hAnsi="宋体" w:cs="宋体"/>
                <w:b/>
                <w:bCs/>
                <w:sz w:val="24"/>
                <w:szCs w:val="24"/>
              </w:rPr>
              <w:t>加盖投标人公章</w:t>
            </w:r>
            <w:r>
              <w:rPr>
                <w:rFonts w:hint="eastAsia" w:ascii="宋体" w:hAnsi="宋体" w:cs="宋体"/>
                <w:b/>
                <w:bCs/>
                <w:sz w:val="24"/>
                <w:szCs w:val="24"/>
                <w:lang w:eastAsia="zh-CN"/>
              </w:rPr>
              <w:t>，</w:t>
            </w:r>
            <w:r>
              <w:rPr>
                <w:rFonts w:hint="eastAsia" w:ascii="宋体" w:hAnsi="宋体" w:cs="宋体" w:eastAsiaTheme="minorEastAsia"/>
                <w:b/>
                <w:bCs/>
                <w:color w:val="000000" w:themeColor="text1"/>
                <w:kern w:val="2"/>
                <w:sz w:val="24"/>
                <w:szCs w:val="24"/>
                <w:lang w:val="en-US" w:eastAsia="zh-CN" w:bidi="ar-SA"/>
                <w14:textFill>
                  <w14:solidFill>
                    <w14:schemeClr w14:val="tx1"/>
                  </w14:solidFill>
                </w14:textFill>
              </w:rPr>
              <w:t>未设置或设施不全不得分</w:t>
            </w:r>
            <w:r>
              <w:rPr>
                <w:rFonts w:hint="eastAsia" w:ascii="宋体" w:hAnsi="宋体" w:cs="宋体"/>
                <w:b/>
                <w:bCs/>
                <w:color w:val="000000" w:themeColor="text1"/>
                <w:kern w:val="2"/>
                <w:sz w:val="24"/>
                <w:szCs w:val="24"/>
                <w:lang w:val="en-US" w:eastAsia="zh-CN" w:bidi="ar-SA"/>
                <w14:textFill>
                  <w14:solidFill>
                    <w14:schemeClr w14:val="tx1"/>
                  </w14:solidFill>
                </w14:textFill>
              </w:rPr>
              <w:t>。</w:t>
            </w:r>
          </w:p>
        </w:tc>
      </w:tr>
      <w:tr w14:paraId="4C378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5" w:hRule="atLeast"/>
          <w:jc w:val="center"/>
        </w:trPr>
        <w:tc>
          <w:tcPr>
            <w:tcW w:w="1252" w:type="dxa"/>
            <w:vMerge w:val="continue"/>
            <w:vAlign w:val="center"/>
          </w:tcPr>
          <w:p w14:paraId="4CEC7F87">
            <w:pPr>
              <w:pStyle w:val="12"/>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cs="宋体" w:eastAsiaTheme="minorEastAsia"/>
                <w:color w:val="000000" w:themeColor="text1"/>
                <w:kern w:val="2"/>
                <w:sz w:val="24"/>
                <w:szCs w:val="24"/>
                <w:lang w:val="en-US" w:eastAsia="zh-CN" w:bidi="ar-SA"/>
                <w14:textFill>
                  <w14:solidFill>
                    <w14:schemeClr w14:val="tx1"/>
                  </w14:solidFill>
                </w14:textFill>
              </w:rPr>
            </w:pPr>
          </w:p>
        </w:tc>
        <w:tc>
          <w:tcPr>
            <w:tcW w:w="1192" w:type="dxa"/>
            <w:vAlign w:val="center"/>
          </w:tcPr>
          <w:p w14:paraId="1234FBF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sz w:val="24"/>
                <w:szCs w:val="24"/>
              </w:rPr>
            </w:pPr>
            <w:r>
              <w:rPr>
                <w:rFonts w:hint="eastAsia" w:ascii="宋体" w:hAnsi="宋体" w:cs="宋体" w:eastAsiaTheme="minorEastAsia"/>
                <w:color w:val="000000" w:themeColor="text1"/>
                <w:kern w:val="2"/>
                <w:sz w:val="24"/>
                <w:szCs w:val="24"/>
                <w:lang w:val="en-US" w:eastAsia="zh-CN" w:bidi="ar-SA"/>
                <w14:textFill>
                  <w14:solidFill>
                    <w14:schemeClr w14:val="tx1"/>
                  </w14:solidFill>
                </w14:textFill>
              </w:rPr>
              <w:t>1分</w:t>
            </w:r>
          </w:p>
        </w:tc>
        <w:tc>
          <w:tcPr>
            <w:tcW w:w="7161" w:type="dxa"/>
            <w:vAlign w:val="center"/>
          </w:tcPr>
          <w:p w14:paraId="4B815A8F">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hint="eastAsia" w:ascii="宋体" w:hAnsi="宋体" w:cs="宋体" w:eastAsiaTheme="minorEastAsia"/>
                <w:color w:val="000000" w:themeColor="text1"/>
                <w:kern w:val="2"/>
                <w:sz w:val="24"/>
                <w:szCs w:val="24"/>
                <w:lang w:val="en-US" w:eastAsia="zh-CN" w:bidi="ar-SA"/>
                <w14:textFill>
                  <w14:solidFill>
                    <w14:schemeClr w14:val="tx1"/>
                  </w14:solidFill>
                </w14:textFill>
              </w:rPr>
            </w:pPr>
            <w:r>
              <w:rPr>
                <w:rFonts w:hint="eastAsia" w:ascii="宋体" w:hAnsi="宋体" w:cs="宋体"/>
                <w:color w:val="000000" w:themeColor="text1"/>
                <w:kern w:val="2"/>
                <w:sz w:val="24"/>
                <w:szCs w:val="24"/>
                <w:lang w:val="en-US" w:eastAsia="zh-CN" w:bidi="ar-SA"/>
                <w14:textFill>
                  <w14:solidFill>
                    <w14:schemeClr w14:val="tx1"/>
                  </w14:solidFill>
                </w14:textFill>
              </w:rPr>
              <w:t>3、</w:t>
            </w:r>
            <w:r>
              <w:rPr>
                <w:rFonts w:hint="eastAsia" w:ascii="宋体" w:hAnsi="宋体" w:cs="宋体" w:eastAsiaTheme="minorEastAsia"/>
                <w:color w:val="000000" w:themeColor="text1"/>
                <w:kern w:val="2"/>
                <w:sz w:val="24"/>
                <w:szCs w:val="24"/>
                <w:lang w:val="en-US" w:eastAsia="zh-CN" w:bidi="ar-SA"/>
                <w14:textFill>
                  <w14:solidFill>
                    <w14:schemeClr w14:val="tx1"/>
                  </w14:solidFill>
                </w14:textFill>
              </w:rPr>
              <w:t>专人引导服务体检对象</w:t>
            </w:r>
          </w:p>
          <w:p w14:paraId="47852381">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hint="default" w:ascii="宋体" w:hAnsi="宋体" w:cs="宋体" w:eastAsiaTheme="minorEastAsia"/>
                <w:color w:val="000000" w:themeColor="text1"/>
                <w:kern w:val="2"/>
                <w:sz w:val="24"/>
                <w:szCs w:val="24"/>
                <w:lang w:val="en-US" w:eastAsia="zh-CN" w:bidi="ar-SA"/>
                <w14:textFill>
                  <w14:solidFill>
                    <w14:schemeClr w14:val="tx1"/>
                  </w14:solidFill>
                </w14:textFill>
              </w:rPr>
            </w:pPr>
            <w:r>
              <w:rPr>
                <w:rFonts w:hint="eastAsia" w:ascii="宋体" w:hAnsi="宋体" w:cs="宋体"/>
                <w:color w:val="000000" w:themeColor="text1"/>
                <w:kern w:val="2"/>
                <w:sz w:val="24"/>
                <w:szCs w:val="24"/>
                <w:lang w:val="en-US" w:eastAsia="zh-CN" w:bidi="ar-SA"/>
                <w14:textFill>
                  <w14:solidFill>
                    <w14:schemeClr w14:val="tx1"/>
                  </w14:solidFill>
                </w14:textFill>
              </w:rPr>
              <w:t>投标人</w:t>
            </w:r>
            <w:r>
              <w:rPr>
                <w:rFonts w:hint="eastAsia" w:ascii="宋体" w:hAnsi="宋体" w:cs="宋体" w:eastAsiaTheme="minorEastAsia"/>
                <w:color w:val="000000" w:themeColor="text1"/>
                <w:kern w:val="2"/>
                <w:sz w:val="24"/>
                <w:szCs w:val="24"/>
                <w:lang w:val="en-US" w:eastAsia="zh-CN" w:bidi="ar-SA"/>
                <w14:textFill>
                  <w14:solidFill>
                    <w14:schemeClr w14:val="tx1"/>
                  </w14:solidFill>
                </w14:textFill>
              </w:rPr>
              <w:t>配备专职人员（穿明显标识服装或佩戴工牌）全程引导退役军人体检流程</w:t>
            </w:r>
            <w:r>
              <w:rPr>
                <w:rFonts w:hint="eastAsia" w:ascii="宋体" w:hAnsi="宋体" w:cs="宋体"/>
                <w:color w:val="000000" w:themeColor="text1"/>
                <w:kern w:val="2"/>
                <w:sz w:val="24"/>
                <w:szCs w:val="24"/>
                <w:lang w:val="en-US" w:eastAsia="zh-CN" w:bidi="ar-SA"/>
                <w14:textFill>
                  <w14:solidFill>
                    <w14:schemeClr w14:val="tx1"/>
                  </w14:solidFill>
                </w14:textFill>
              </w:rPr>
              <w:t>的得1分。</w:t>
            </w:r>
          </w:p>
          <w:p w14:paraId="7512A0AF">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both"/>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b/>
                <w:bCs/>
                <w:sz w:val="24"/>
                <w:szCs w:val="24"/>
                <w:highlight w:val="none"/>
              </w:rPr>
              <w:t>备注：</w:t>
            </w:r>
            <w:r>
              <w:rPr>
                <w:rFonts w:hint="eastAsia" w:ascii="宋体" w:hAnsi="宋体" w:cs="宋体" w:eastAsiaTheme="minorEastAsia"/>
                <w:b/>
                <w:bCs/>
                <w:color w:val="000000" w:themeColor="text1"/>
                <w:kern w:val="2"/>
                <w:sz w:val="24"/>
                <w:szCs w:val="24"/>
                <w:lang w:val="en-US" w:eastAsia="zh-CN" w:bidi="ar-SA"/>
                <w14:textFill>
                  <w14:solidFill>
                    <w14:schemeClr w14:val="tx1"/>
                  </w14:solidFill>
                </w14:textFill>
              </w:rPr>
              <w:t>提供人员名单、岗位职责及培训记录</w:t>
            </w:r>
            <w:r>
              <w:rPr>
                <w:rFonts w:hint="eastAsia" w:ascii="宋体" w:hAnsi="宋体" w:cs="宋体"/>
                <w:b/>
                <w:bCs/>
                <w:color w:val="000000" w:themeColor="text1"/>
                <w:kern w:val="2"/>
                <w:sz w:val="24"/>
                <w:szCs w:val="24"/>
                <w:lang w:val="en-US" w:eastAsia="zh-CN" w:bidi="ar-SA"/>
                <w14:textFill>
                  <w14:solidFill>
                    <w14:schemeClr w14:val="tx1"/>
                  </w14:solidFill>
                </w14:textFill>
              </w:rPr>
              <w:t>，</w:t>
            </w:r>
            <w:r>
              <w:rPr>
                <w:rFonts w:hint="eastAsia" w:ascii="宋体" w:hAnsi="宋体" w:cs="宋体" w:eastAsiaTheme="minorEastAsia"/>
                <w:b/>
                <w:bCs/>
                <w:color w:val="000000" w:themeColor="text1"/>
                <w:kern w:val="2"/>
                <w:sz w:val="24"/>
                <w:szCs w:val="24"/>
                <w:lang w:val="en-US" w:eastAsia="zh-CN" w:bidi="ar-SA"/>
                <w14:textFill>
                  <w14:solidFill>
                    <w14:schemeClr w14:val="tx1"/>
                  </w14:solidFill>
                </w14:textFill>
              </w:rPr>
              <w:t>未配备或未提供证明</w:t>
            </w:r>
            <w:r>
              <w:rPr>
                <w:rFonts w:hint="eastAsia" w:ascii="宋体" w:hAnsi="宋体" w:cs="宋体"/>
                <w:b/>
                <w:bCs/>
                <w:color w:val="000000" w:themeColor="text1"/>
                <w:kern w:val="2"/>
                <w:sz w:val="24"/>
                <w:szCs w:val="24"/>
                <w:lang w:val="en-US" w:eastAsia="zh-CN" w:bidi="ar-SA"/>
                <w14:textFill>
                  <w14:solidFill>
                    <w14:schemeClr w14:val="tx1"/>
                  </w14:solidFill>
                </w14:textFill>
              </w:rPr>
              <w:t>的</w:t>
            </w:r>
            <w:r>
              <w:rPr>
                <w:rFonts w:hint="eastAsia" w:ascii="宋体" w:hAnsi="宋体" w:cs="宋体" w:eastAsiaTheme="minorEastAsia"/>
                <w:b/>
                <w:bCs/>
                <w:color w:val="000000" w:themeColor="text1"/>
                <w:kern w:val="2"/>
                <w:sz w:val="24"/>
                <w:szCs w:val="24"/>
                <w:lang w:val="en-US" w:eastAsia="zh-CN" w:bidi="ar-SA"/>
                <w14:textFill>
                  <w14:solidFill>
                    <w14:schemeClr w14:val="tx1"/>
                  </w14:solidFill>
                </w14:textFill>
              </w:rPr>
              <w:t>不得分。</w:t>
            </w:r>
          </w:p>
        </w:tc>
      </w:tr>
      <w:tr w14:paraId="5CE03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5" w:hRule="atLeast"/>
          <w:jc w:val="center"/>
        </w:trPr>
        <w:tc>
          <w:tcPr>
            <w:tcW w:w="1252" w:type="dxa"/>
            <w:vMerge w:val="continue"/>
            <w:vAlign w:val="center"/>
          </w:tcPr>
          <w:p w14:paraId="04F1161F">
            <w:pPr>
              <w:pStyle w:val="12"/>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cs="宋体" w:eastAsiaTheme="minorEastAsia"/>
                <w:color w:val="000000" w:themeColor="text1"/>
                <w:kern w:val="2"/>
                <w:sz w:val="24"/>
                <w:szCs w:val="24"/>
                <w:lang w:val="en-US" w:eastAsia="zh-CN" w:bidi="ar-SA"/>
                <w14:textFill>
                  <w14:solidFill>
                    <w14:schemeClr w14:val="tx1"/>
                  </w14:solidFill>
                </w14:textFill>
              </w:rPr>
            </w:pPr>
          </w:p>
        </w:tc>
        <w:tc>
          <w:tcPr>
            <w:tcW w:w="1192" w:type="dxa"/>
            <w:vAlign w:val="center"/>
          </w:tcPr>
          <w:p w14:paraId="2379006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sz w:val="24"/>
                <w:szCs w:val="24"/>
              </w:rPr>
            </w:pPr>
            <w:r>
              <w:rPr>
                <w:rFonts w:hint="eastAsia" w:ascii="宋体" w:hAnsi="宋体" w:cs="宋体" w:eastAsiaTheme="minorEastAsia"/>
                <w:color w:val="000000" w:themeColor="text1"/>
                <w:kern w:val="2"/>
                <w:sz w:val="24"/>
                <w:szCs w:val="24"/>
                <w:lang w:val="en-US" w:eastAsia="zh-CN" w:bidi="ar-SA"/>
                <w14:textFill>
                  <w14:solidFill>
                    <w14:schemeClr w14:val="tx1"/>
                  </w14:solidFill>
                </w14:textFill>
              </w:rPr>
              <w:t>1分</w:t>
            </w:r>
          </w:p>
        </w:tc>
        <w:tc>
          <w:tcPr>
            <w:tcW w:w="7161" w:type="dxa"/>
            <w:vAlign w:val="center"/>
          </w:tcPr>
          <w:p w14:paraId="42ACE4FD">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hint="eastAsia" w:ascii="宋体" w:hAnsi="宋体" w:cs="宋体" w:eastAsiaTheme="minorEastAsia"/>
                <w:color w:val="000000" w:themeColor="text1"/>
                <w:kern w:val="2"/>
                <w:sz w:val="24"/>
                <w:szCs w:val="24"/>
                <w:lang w:val="en-US" w:eastAsia="zh-CN" w:bidi="ar-SA"/>
                <w14:textFill>
                  <w14:solidFill>
                    <w14:schemeClr w14:val="tx1"/>
                  </w14:solidFill>
                </w14:textFill>
              </w:rPr>
            </w:pPr>
            <w:r>
              <w:rPr>
                <w:rFonts w:hint="eastAsia" w:ascii="宋体" w:hAnsi="宋体" w:cs="宋体"/>
                <w:color w:val="000000" w:themeColor="text1"/>
                <w:kern w:val="2"/>
                <w:sz w:val="24"/>
                <w:szCs w:val="24"/>
                <w:lang w:val="en-US" w:eastAsia="zh-CN" w:bidi="ar-SA"/>
                <w14:textFill>
                  <w14:solidFill>
                    <w14:schemeClr w14:val="tx1"/>
                  </w14:solidFill>
                </w14:textFill>
              </w:rPr>
              <w:t>4、</w:t>
            </w:r>
            <w:r>
              <w:rPr>
                <w:rFonts w:hint="eastAsia" w:ascii="宋体" w:hAnsi="宋体" w:cs="宋体" w:eastAsiaTheme="minorEastAsia"/>
                <w:color w:val="000000" w:themeColor="text1"/>
                <w:kern w:val="2"/>
                <w:sz w:val="24"/>
                <w:szCs w:val="24"/>
                <w:lang w:val="en-US" w:eastAsia="zh-CN" w:bidi="ar-SA"/>
                <w14:textFill>
                  <w14:solidFill>
                    <w14:schemeClr w14:val="tx1"/>
                  </w14:solidFill>
                </w14:textFill>
              </w:rPr>
              <w:t>退役军人服务休息专区</w:t>
            </w:r>
          </w:p>
          <w:p w14:paraId="3EE86F22">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hint="eastAsia" w:ascii="宋体" w:hAnsi="宋体" w:cs="宋体" w:eastAsiaTheme="minorEastAsia"/>
                <w:color w:val="000000" w:themeColor="text1"/>
                <w:kern w:val="2"/>
                <w:sz w:val="24"/>
                <w:szCs w:val="24"/>
                <w:lang w:val="en-US" w:eastAsia="zh-CN" w:bidi="ar-SA"/>
                <w14:textFill>
                  <w14:solidFill>
                    <w14:schemeClr w14:val="tx1"/>
                  </w14:solidFill>
                </w14:textFill>
              </w:rPr>
            </w:pPr>
            <w:r>
              <w:rPr>
                <w:rFonts w:hint="eastAsia" w:ascii="宋体" w:hAnsi="宋体" w:cs="宋体"/>
                <w:color w:val="000000" w:themeColor="text1"/>
                <w:kern w:val="2"/>
                <w:sz w:val="24"/>
                <w:szCs w:val="24"/>
                <w:lang w:val="en-US" w:eastAsia="zh-CN" w:bidi="ar-SA"/>
                <w14:textFill>
                  <w14:solidFill>
                    <w14:schemeClr w14:val="tx1"/>
                  </w14:solidFill>
                </w14:textFill>
              </w:rPr>
              <w:t>投标人</w:t>
            </w:r>
            <w:r>
              <w:rPr>
                <w:rFonts w:hint="eastAsia" w:ascii="宋体" w:hAnsi="宋体" w:cs="宋体" w:eastAsiaTheme="minorEastAsia"/>
                <w:color w:val="000000" w:themeColor="text1"/>
                <w:kern w:val="2"/>
                <w:sz w:val="24"/>
                <w:szCs w:val="24"/>
                <w:lang w:val="en-US" w:eastAsia="zh-CN" w:bidi="ar-SA"/>
                <w14:textFill>
                  <w14:solidFill>
                    <w14:schemeClr w14:val="tx1"/>
                  </w14:solidFill>
                </w14:textFill>
              </w:rPr>
              <w:t>设置独立休息区，配备座椅、饮水、军旅文化宣传（如英模画像、荣誉墙等）</w:t>
            </w:r>
            <w:r>
              <w:rPr>
                <w:rFonts w:hint="eastAsia" w:ascii="宋体" w:hAnsi="宋体" w:cs="宋体"/>
                <w:color w:val="000000" w:themeColor="text1"/>
                <w:kern w:val="2"/>
                <w:sz w:val="24"/>
                <w:szCs w:val="24"/>
                <w:lang w:val="en-US" w:eastAsia="zh-CN" w:bidi="ar-SA"/>
                <w14:textFill>
                  <w14:solidFill>
                    <w14:schemeClr w14:val="tx1"/>
                  </w14:solidFill>
                </w14:textFill>
              </w:rPr>
              <w:t>的得1分。</w:t>
            </w:r>
          </w:p>
          <w:p w14:paraId="0BA3A447">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both"/>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b/>
                <w:bCs/>
                <w:sz w:val="24"/>
                <w:szCs w:val="24"/>
                <w:highlight w:val="none"/>
              </w:rPr>
              <w:t>备注：</w:t>
            </w:r>
            <w:r>
              <w:rPr>
                <w:rFonts w:hint="eastAsia" w:ascii="宋体" w:hAnsi="宋体" w:cs="宋体" w:eastAsiaTheme="minorEastAsia"/>
                <w:b/>
                <w:bCs/>
                <w:color w:val="000000" w:themeColor="text1"/>
                <w:kern w:val="2"/>
                <w:sz w:val="24"/>
                <w:szCs w:val="24"/>
                <w:lang w:val="en-US" w:eastAsia="zh-CN" w:bidi="ar-SA"/>
                <w14:textFill>
                  <w14:solidFill>
                    <w14:schemeClr w14:val="tx1"/>
                  </w14:solidFill>
                </w14:textFill>
              </w:rPr>
              <w:t>提供区域实景照片及设施清单</w:t>
            </w:r>
            <w:r>
              <w:rPr>
                <w:rFonts w:hint="eastAsia" w:ascii="宋体" w:hAnsi="宋体" w:cs="宋体"/>
                <w:b/>
                <w:bCs/>
                <w:color w:val="000000" w:themeColor="text1"/>
                <w:kern w:val="2"/>
                <w:sz w:val="24"/>
                <w:szCs w:val="24"/>
                <w:lang w:val="en-US" w:eastAsia="zh-CN" w:bidi="ar-SA"/>
                <w14:textFill>
                  <w14:solidFill>
                    <w14:schemeClr w14:val="tx1"/>
                  </w14:solidFill>
                </w14:textFill>
              </w:rPr>
              <w:t>，</w:t>
            </w:r>
            <w:r>
              <w:rPr>
                <w:rFonts w:hint="eastAsia" w:ascii="宋体" w:hAnsi="宋体" w:cs="宋体" w:eastAsiaTheme="minorEastAsia"/>
                <w:b/>
                <w:bCs/>
                <w:color w:val="000000" w:themeColor="text1"/>
                <w:kern w:val="2"/>
                <w:sz w:val="24"/>
                <w:szCs w:val="24"/>
                <w:lang w:val="en-US" w:eastAsia="zh-CN" w:bidi="ar-SA"/>
                <w14:textFill>
                  <w14:solidFill>
                    <w14:schemeClr w14:val="tx1"/>
                  </w14:solidFill>
                </w14:textFill>
              </w:rPr>
              <w:t>未设置或设施不全</w:t>
            </w:r>
            <w:r>
              <w:rPr>
                <w:rFonts w:hint="eastAsia" w:ascii="宋体" w:hAnsi="宋体" w:cs="宋体"/>
                <w:b/>
                <w:bCs/>
                <w:color w:val="000000" w:themeColor="text1"/>
                <w:kern w:val="2"/>
                <w:sz w:val="24"/>
                <w:szCs w:val="24"/>
                <w:lang w:val="en-US" w:eastAsia="zh-CN" w:bidi="ar-SA"/>
                <w14:textFill>
                  <w14:solidFill>
                    <w14:schemeClr w14:val="tx1"/>
                  </w14:solidFill>
                </w14:textFill>
              </w:rPr>
              <w:t>的</w:t>
            </w:r>
            <w:r>
              <w:rPr>
                <w:rFonts w:hint="eastAsia" w:ascii="宋体" w:hAnsi="宋体" w:cs="宋体" w:eastAsiaTheme="minorEastAsia"/>
                <w:b/>
                <w:bCs/>
                <w:color w:val="000000" w:themeColor="text1"/>
                <w:kern w:val="2"/>
                <w:sz w:val="24"/>
                <w:szCs w:val="24"/>
                <w:lang w:val="en-US" w:eastAsia="zh-CN" w:bidi="ar-SA"/>
                <w14:textFill>
                  <w14:solidFill>
                    <w14:schemeClr w14:val="tx1"/>
                  </w14:solidFill>
                </w14:textFill>
              </w:rPr>
              <w:t>不得分。</w:t>
            </w:r>
          </w:p>
        </w:tc>
      </w:tr>
      <w:tr w14:paraId="3034C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5" w:hRule="atLeast"/>
          <w:jc w:val="center"/>
        </w:trPr>
        <w:tc>
          <w:tcPr>
            <w:tcW w:w="1252" w:type="dxa"/>
            <w:vMerge w:val="continue"/>
            <w:vAlign w:val="center"/>
          </w:tcPr>
          <w:p w14:paraId="5EFF313B">
            <w:pPr>
              <w:pStyle w:val="12"/>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cs="宋体" w:eastAsiaTheme="minorEastAsia"/>
                <w:color w:val="000000" w:themeColor="text1"/>
                <w:kern w:val="2"/>
                <w:sz w:val="24"/>
                <w:szCs w:val="24"/>
                <w:lang w:val="en-US" w:eastAsia="zh-CN" w:bidi="ar-SA"/>
                <w14:textFill>
                  <w14:solidFill>
                    <w14:schemeClr w14:val="tx1"/>
                  </w14:solidFill>
                </w14:textFill>
              </w:rPr>
            </w:pPr>
          </w:p>
        </w:tc>
        <w:tc>
          <w:tcPr>
            <w:tcW w:w="1192" w:type="dxa"/>
            <w:vAlign w:val="center"/>
          </w:tcPr>
          <w:p w14:paraId="0CCB551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sz w:val="24"/>
                <w:szCs w:val="24"/>
              </w:rPr>
            </w:pPr>
            <w:r>
              <w:rPr>
                <w:rFonts w:hint="eastAsia" w:ascii="宋体" w:hAnsi="宋体" w:cs="宋体"/>
                <w:color w:val="000000" w:themeColor="text1"/>
                <w:kern w:val="2"/>
                <w:sz w:val="24"/>
                <w:szCs w:val="24"/>
                <w:lang w:val="en-US" w:eastAsia="zh-CN" w:bidi="ar-SA"/>
                <w14:textFill>
                  <w14:solidFill>
                    <w14:schemeClr w14:val="tx1"/>
                  </w14:solidFill>
                </w14:textFill>
              </w:rPr>
              <w:t>2</w:t>
            </w:r>
            <w:r>
              <w:rPr>
                <w:rFonts w:hint="eastAsia" w:ascii="宋体" w:hAnsi="宋体" w:cs="宋体" w:eastAsiaTheme="minorEastAsia"/>
                <w:color w:val="000000" w:themeColor="text1"/>
                <w:kern w:val="2"/>
                <w:sz w:val="24"/>
                <w:szCs w:val="24"/>
                <w:lang w:val="en-US" w:eastAsia="zh-CN" w:bidi="ar-SA"/>
                <w14:textFill>
                  <w14:solidFill>
                    <w14:schemeClr w14:val="tx1"/>
                  </w14:solidFill>
                </w14:textFill>
              </w:rPr>
              <w:t>分</w:t>
            </w:r>
          </w:p>
        </w:tc>
        <w:tc>
          <w:tcPr>
            <w:tcW w:w="7161" w:type="dxa"/>
            <w:vAlign w:val="center"/>
          </w:tcPr>
          <w:p w14:paraId="57D770B5">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hint="eastAsia" w:ascii="宋体" w:hAnsi="宋体" w:cs="宋体" w:eastAsiaTheme="minorEastAsia"/>
                <w:strike w:val="0"/>
                <w:color w:val="auto"/>
                <w:kern w:val="2"/>
                <w:sz w:val="24"/>
                <w:szCs w:val="24"/>
                <w:highlight w:val="none"/>
                <w:lang w:val="en-US" w:eastAsia="zh-CN" w:bidi="ar-SA"/>
              </w:rPr>
            </w:pPr>
            <w:r>
              <w:rPr>
                <w:rFonts w:hint="eastAsia" w:ascii="宋体" w:hAnsi="宋体" w:cs="宋体"/>
                <w:color w:val="000000" w:themeColor="text1"/>
                <w:kern w:val="2"/>
                <w:sz w:val="24"/>
                <w:szCs w:val="24"/>
                <w:highlight w:val="none"/>
                <w:lang w:val="en-US" w:eastAsia="zh-CN" w:bidi="ar-SA"/>
                <w14:textFill>
                  <w14:solidFill>
                    <w14:schemeClr w14:val="tx1"/>
                  </w14:solidFill>
                </w14:textFill>
              </w:rPr>
              <w:t>5、</w:t>
            </w:r>
            <w:r>
              <w:rPr>
                <w:rFonts w:hint="eastAsia" w:ascii="宋体" w:hAnsi="宋体" w:cs="宋体" w:eastAsiaTheme="minorEastAsia"/>
                <w:color w:val="000000" w:themeColor="text1"/>
                <w:kern w:val="2"/>
                <w:sz w:val="24"/>
                <w:szCs w:val="24"/>
                <w:highlight w:val="none"/>
                <w:lang w:val="en-US" w:eastAsia="zh-CN" w:bidi="ar-SA"/>
                <w14:textFill>
                  <w14:solidFill>
                    <w14:schemeClr w14:val="tx1"/>
                  </w14:solidFill>
                </w14:textFill>
              </w:rPr>
              <w:t>拥军病房设置</w:t>
            </w:r>
            <w:r>
              <w:rPr>
                <w:rFonts w:hint="eastAsia" w:ascii="宋体" w:hAnsi="宋体" w:cs="宋体" w:eastAsiaTheme="minorEastAsia"/>
                <w:strike w:val="0"/>
                <w:dstrike w:val="0"/>
                <w:color w:val="auto"/>
                <w:kern w:val="2"/>
                <w:sz w:val="24"/>
                <w:szCs w:val="24"/>
                <w:highlight w:val="none"/>
                <w:lang w:val="en-US" w:eastAsia="zh-CN" w:bidi="ar-SA"/>
              </w:rPr>
              <w:t>（≥2间）</w:t>
            </w:r>
          </w:p>
          <w:p w14:paraId="4B17558F">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hint="default" w:ascii="宋体" w:hAnsi="宋体" w:cs="宋体" w:eastAsiaTheme="minorEastAsia"/>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kern w:val="2"/>
                <w:sz w:val="24"/>
                <w:szCs w:val="24"/>
                <w:highlight w:val="none"/>
                <w:lang w:val="en-US" w:eastAsia="zh-CN" w:bidi="ar-SA"/>
                <w14:textFill>
                  <w14:solidFill>
                    <w14:schemeClr w14:val="tx1"/>
                  </w14:solidFill>
                </w14:textFill>
              </w:rPr>
              <w:t>投标人</w:t>
            </w:r>
            <w:r>
              <w:rPr>
                <w:rFonts w:hint="eastAsia" w:ascii="宋体" w:hAnsi="宋体" w:cs="宋体" w:eastAsiaTheme="minorEastAsia"/>
                <w:color w:val="000000" w:themeColor="text1"/>
                <w:kern w:val="2"/>
                <w:sz w:val="24"/>
                <w:szCs w:val="24"/>
                <w:highlight w:val="none"/>
                <w:lang w:val="en-US" w:eastAsia="zh-CN" w:bidi="ar-SA"/>
                <w14:textFill>
                  <w14:solidFill>
                    <w14:schemeClr w14:val="tx1"/>
                  </w14:solidFill>
                </w14:textFill>
              </w:rPr>
              <w:t>设置不少于2间拥军病房，具备军旅元素装饰（如军绿色主题、部队标语、荣誉展板等），提供优先入住保障</w:t>
            </w:r>
            <w:r>
              <w:rPr>
                <w:rFonts w:hint="eastAsia" w:ascii="宋体" w:hAnsi="宋体" w:cs="宋体"/>
                <w:color w:val="000000" w:themeColor="text1"/>
                <w:kern w:val="2"/>
                <w:sz w:val="24"/>
                <w:szCs w:val="24"/>
                <w:highlight w:val="none"/>
                <w:lang w:val="en-US" w:eastAsia="zh-CN" w:bidi="ar-SA"/>
                <w14:textFill>
                  <w14:solidFill>
                    <w14:schemeClr w14:val="tx1"/>
                  </w14:solidFill>
                </w14:textFill>
              </w:rPr>
              <w:t>的得2分；1</w:t>
            </w:r>
            <w:r>
              <w:rPr>
                <w:rFonts w:hint="eastAsia" w:ascii="宋体" w:hAnsi="宋体" w:cs="宋体" w:eastAsiaTheme="minorEastAsia"/>
                <w:color w:val="000000" w:themeColor="text1"/>
                <w:kern w:val="2"/>
                <w:sz w:val="24"/>
                <w:szCs w:val="24"/>
                <w:highlight w:val="none"/>
                <w:lang w:val="en-US" w:eastAsia="zh-CN" w:bidi="ar-SA"/>
                <w14:textFill>
                  <w14:solidFill>
                    <w14:schemeClr w14:val="tx1"/>
                  </w14:solidFill>
                </w14:textFill>
              </w:rPr>
              <w:t>间</w:t>
            </w:r>
            <w:r>
              <w:rPr>
                <w:rFonts w:hint="eastAsia" w:ascii="宋体" w:hAnsi="宋体" w:cs="宋体"/>
                <w:color w:val="000000" w:themeColor="text1"/>
                <w:kern w:val="2"/>
                <w:sz w:val="24"/>
                <w:szCs w:val="24"/>
                <w:highlight w:val="none"/>
                <w:lang w:val="en-US" w:eastAsia="zh-CN" w:bidi="ar-SA"/>
                <w14:textFill>
                  <w14:solidFill>
                    <w14:schemeClr w14:val="tx1"/>
                  </w14:solidFill>
                </w14:textFill>
              </w:rPr>
              <w:t>符合以上条件的得1分。</w:t>
            </w:r>
          </w:p>
          <w:p w14:paraId="363A9AEB">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both"/>
              <w:textAlignment w:val="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b/>
                <w:bCs/>
                <w:sz w:val="24"/>
                <w:szCs w:val="24"/>
                <w:highlight w:val="none"/>
              </w:rPr>
              <w:t>备注：</w:t>
            </w:r>
            <w:r>
              <w:rPr>
                <w:rFonts w:hint="eastAsia" w:ascii="宋体" w:hAnsi="宋体" w:cs="宋体" w:eastAsiaTheme="minorEastAsia"/>
                <w:b/>
                <w:bCs/>
                <w:color w:val="000000" w:themeColor="text1"/>
                <w:kern w:val="2"/>
                <w:sz w:val="24"/>
                <w:szCs w:val="24"/>
                <w:highlight w:val="none"/>
                <w:lang w:val="en-US" w:eastAsia="zh-CN" w:bidi="ar-SA"/>
                <w14:textFill>
                  <w14:solidFill>
                    <w14:schemeClr w14:val="tx1"/>
                  </w14:solidFill>
                </w14:textFill>
              </w:rPr>
              <w:t>提供病房照片、数量证明</w:t>
            </w:r>
            <w:r>
              <w:rPr>
                <w:rFonts w:hint="eastAsia" w:ascii="宋体" w:hAnsi="宋体" w:cs="宋体"/>
                <w:b/>
                <w:bCs/>
                <w:color w:val="000000" w:themeColor="text1"/>
                <w:kern w:val="2"/>
                <w:sz w:val="24"/>
                <w:szCs w:val="24"/>
                <w:highlight w:val="none"/>
                <w:lang w:val="en-US" w:eastAsia="zh-CN" w:bidi="ar-SA"/>
                <w14:textFill>
                  <w14:solidFill>
                    <w14:schemeClr w14:val="tx1"/>
                  </w14:solidFill>
                </w14:textFill>
              </w:rPr>
              <w:t>，未提供或提供不全的不得分。</w:t>
            </w:r>
          </w:p>
        </w:tc>
      </w:tr>
      <w:tr w14:paraId="726A2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5" w:hRule="atLeast"/>
          <w:jc w:val="center"/>
        </w:trPr>
        <w:tc>
          <w:tcPr>
            <w:tcW w:w="1252" w:type="dxa"/>
            <w:vMerge w:val="continue"/>
            <w:vAlign w:val="center"/>
          </w:tcPr>
          <w:p w14:paraId="1F23D99E">
            <w:pPr>
              <w:pStyle w:val="12"/>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cs="宋体" w:eastAsiaTheme="minorEastAsia"/>
                <w:color w:val="000000" w:themeColor="text1"/>
                <w:kern w:val="2"/>
                <w:sz w:val="24"/>
                <w:szCs w:val="24"/>
                <w:lang w:val="en-US" w:eastAsia="zh-CN" w:bidi="ar-SA"/>
                <w14:textFill>
                  <w14:solidFill>
                    <w14:schemeClr w14:val="tx1"/>
                  </w14:solidFill>
                </w14:textFill>
              </w:rPr>
            </w:pPr>
          </w:p>
        </w:tc>
        <w:tc>
          <w:tcPr>
            <w:tcW w:w="1192" w:type="dxa"/>
            <w:vAlign w:val="center"/>
          </w:tcPr>
          <w:p w14:paraId="7396687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sz w:val="24"/>
                <w:szCs w:val="24"/>
              </w:rPr>
            </w:pPr>
            <w:r>
              <w:rPr>
                <w:rFonts w:hint="eastAsia" w:ascii="宋体" w:hAnsi="宋体" w:cs="宋体" w:eastAsiaTheme="minorEastAsia"/>
                <w:color w:val="000000" w:themeColor="text1"/>
                <w:kern w:val="2"/>
                <w:sz w:val="24"/>
                <w:szCs w:val="24"/>
                <w:lang w:val="en-US" w:eastAsia="zh-CN" w:bidi="ar-SA"/>
                <w14:textFill>
                  <w14:solidFill>
                    <w14:schemeClr w14:val="tx1"/>
                  </w14:solidFill>
                </w14:textFill>
              </w:rPr>
              <w:t>2分</w:t>
            </w:r>
          </w:p>
        </w:tc>
        <w:tc>
          <w:tcPr>
            <w:tcW w:w="7161" w:type="dxa"/>
            <w:vAlign w:val="center"/>
          </w:tcPr>
          <w:p w14:paraId="78ACCB8F">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hint="eastAsia" w:ascii="宋体" w:hAnsi="宋体" w:cs="宋体" w:eastAsiaTheme="minorEastAsia"/>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kern w:val="2"/>
                <w:sz w:val="24"/>
                <w:szCs w:val="24"/>
                <w:highlight w:val="none"/>
                <w:lang w:val="en-US" w:eastAsia="zh-CN" w:bidi="ar-SA"/>
                <w14:textFill>
                  <w14:solidFill>
                    <w14:schemeClr w14:val="tx1"/>
                  </w14:solidFill>
                </w14:textFill>
              </w:rPr>
              <w:t>6、</w:t>
            </w:r>
            <w:r>
              <w:rPr>
                <w:rFonts w:hint="eastAsia" w:ascii="宋体" w:hAnsi="宋体" w:cs="宋体" w:eastAsiaTheme="minorEastAsia"/>
                <w:color w:val="000000" w:themeColor="text1"/>
                <w:kern w:val="2"/>
                <w:sz w:val="24"/>
                <w:szCs w:val="24"/>
                <w:highlight w:val="none"/>
                <w:lang w:val="en-US" w:eastAsia="zh-CN" w:bidi="ar-SA"/>
                <w14:textFill>
                  <w14:solidFill>
                    <w14:schemeClr w14:val="tx1"/>
                  </w14:solidFill>
                </w14:textFill>
              </w:rPr>
              <w:t>绿色通道与接续服务</w:t>
            </w:r>
          </w:p>
          <w:p w14:paraId="5C13362A">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hint="eastAsia"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kern w:val="2"/>
                <w:sz w:val="24"/>
                <w:szCs w:val="24"/>
                <w:highlight w:val="none"/>
                <w:lang w:val="en-US" w:eastAsia="zh-CN" w:bidi="ar-SA"/>
                <w14:textFill>
                  <w14:solidFill>
                    <w14:schemeClr w14:val="tx1"/>
                  </w14:solidFill>
                </w14:textFill>
              </w:rPr>
              <w:t>投标人在体检流程中设置退役军人优先通道，缩短等候时间；体检发现疾病需门诊治疗时，退役军人凭体检报告减免门诊挂号费的得2分。</w:t>
            </w:r>
          </w:p>
          <w:p w14:paraId="36D7127E">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both"/>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kern w:val="2"/>
                <w:sz w:val="24"/>
                <w:szCs w:val="24"/>
                <w:highlight w:val="none"/>
                <w:lang w:val="en-US" w:eastAsia="zh-CN" w:bidi="ar-SA"/>
                <w14:textFill>
                  <w14:solidFill>
                    <w14:schemeClr w14:val="tx1"/>
                  </w14:solidFill>
                </w14:textFill>
              </w:rPr>
              <w:t>备注：提供相关证明材料、流程示意图以及优先和减免服务方案；未提供或流程不合理的不得分。</w:t>
            </w:r>
          </w:p>
        </w:tc>
      </w:tr>
      <w:tr w14:paraId="438DB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5" w:hRule="atLeast"/>
          <w:jc w:val="center"/>
        </w:trPr>
        <w:tc>
          <w:tcPr>
            <w:tcW w:w="1252" w:type="dxa"/>
            <w:vMerge w:val="continue"/>
            <w:vAlign w:val="center"/>
          </w:tcPr>
          <w:p w14:paraId="16104E84">
            <w:pPr>
              <w:pStyle w:val="12"/>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cs="宋体" w:eastAsiaTheme="minorEastAsia"/>
                <w:color w:val="000000" w:themeColor="text1"/>
                <w:kern w:val="2"/>
                <w:sz w:val="24"/>
                <w:szCs w:val="24"/>
                <w:lang w:val="en-US" w:eastAsia="zh-CN" w:bidi="ar-SA"/>
                <w14:textFill>
                  <w14:solidFill>
                    <w14:schemeClr w14:val="tx1"/>
                  </w14:solidFill>
                </w14:textFill>
              </w:rPr>
            </w:pPr>
          </w:p>
        </w:tc>
        <w:tc>
          <w:tcPr>
            <w:tcW w:w="1192" w:type="dxa"/>
            <w:vAlign w:val="center"/>
          </w:tcPr>
          <w:p w14:paraId="1001C71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sz w:val="24"/>
                <w:szCs w:val="24"/>
              </w:rPr>
            </w:pPr>
            <w:r>
              <w:rPr>
                <w:rFonts w:hint="eastAsia" w:ascii="宋体" w:hAnsi="宋体" w:cs="宋体" w:eastAsiaTheme="minorEastAsia"/>
                <w:color w:val="000000" w:themeColor="text1"/>
                <w:kern w:val="2"/>
                <w:sz w:val="24"/>
                <w:szCs w:val="24"/>
                <w:lang w:val="en-US" w:eastAsia="zh-CN" w:bidi="ar-SA"/>
                <w14:textFill>
                  <w14:solidFill>
                    <w14:schemeClr w14:val="tx1"/>
                  </w14:solidFill>
                </w14:textFill>
              </w:rPr>
              <w:t>2分</w:t>
            </w:r>
          </w:p>
        </w:tc>
        <w:tc>
          <w:tcPr>
            <w:tcW w:w="7161" w:type="dxa"/>
            <w:vAlign w:val="center"/>
          </w:tcPr>
          <w:p w14:paraId="78C436C5">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hint="eastAsia" w:ascii="宋体" w:hAnsi="宋体" w:cs="宋体" w:eastAsiaTheme="minorEastAsia"/>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kern w:val="2"/>
                <w:sz w:val="24"/>
                <w:szCs w:val="24"/>
                <w:highlight w:val="none"/>
                <w:lang w:val="en-US" w:eastAsia="zh-CN" w:bidi="ar-SA"/>
                <w14:textFill>
                  <w14:solidFill>
                    <w14:schemeClr w14:val="tx1"/>
                  </w14:solidFill>
                </w14:textFill>
              </w:rPr>
              <w:t>7、</w:t>
            </w:r>
            <w:r>
              <w:rPr>
                <w:rFonts w:hint="eastAsia" w:ascii="宋体" w:hAnsi="宋体" w:cs="宋体" w:eastAsiaTheme="minorEastAsia"/>
                <w:color w:val="000000" w:themeColor="text1"/>
                <w:kern w:val="2"/>
                <w:sz w:val="24"/>
                <w:szCs w:val="24"/>
                <w:highlight w:val="none"/>
                <w:lang w:val="en-US" w:eastAsia="zh-CN" w:bidi="ar-SA"/>
                <w14:textFill>
                  <w14:solidFill>
                    <w14:schemeClr w14:val="tx1"/>
                  </w14:solidFill>
                </w14:textFill>
              </w:rPr>
              <w:t xml:space="preserve">个性化服务与长效机制 </w:t>
            </w:r>
          </w:p>
          <w:p w14:paraId="557F65FF">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hint="eastAsia" w:ascii="宋体" w:hAnsi="宋体" w:cs="宋体" w:eastAsiaTheme="minorEastAsia"/>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kern w:val="2"/>
                <w:sz w:val="24"/>
                <w:szCs w:val="24"/>
                <w:highlight w:val="none"/>
                <w:lang w:val="en-US" w:eastAsia="zh-CN" w:bidi="ar-SA"/>
                <w14:textFill>
                  <w14:solidFill>
                    <w14:schemeClr w14:val="tx1"/>
                  </w14:solidFill>
                </w14:textFill>
              </w:rPr>
              <w:t>投标人</w:t>
            </w:r>
            <w:r>
              <w:rPr>
                <w:rFonts w:hint="eastAsia" w:ascii="宋体" w:hAnsi="宋体" w:cs="宋体" w:eastAsiaTheme="minorEastAsia"/>
                <w:color w:val="000000" w:themeColor="text1"/>
                <w:kern w:val="2"/>
                <w:sz w:val="24"/>
                <w:szCs w:val="24"/>
                <w:highlight w:val="none"/>
                <w:lang w:val="en-US" w:eastAsia="zh-CN" w:bidi="ar-SA"/>
                <w14:textFill>
                  <w14:solidFill>
                    <w14:schemeClr w14:val="tx1"/>
                  </w14:solidFill>
                </w14:textFill>
              </w:rPr>
              <w:t>提供退役军人中老年群体体检专属服务（包含</w:t>
            </w:r>
            <w:r>
              <w:rPr>
                <w:rFonts w:hint="eastAsia" w:ascii="宋体" w:hAnsi="宋体" w:cs="宋体"/>
                <w:color w:val="000000" w:themeColor="text1"/>
                <w:kern w:val="2"/>
                <w:sz w:val="24"/>
                <w:szCs w:val="24"/>
                <w:highlight w:val="none"/>
                <w:lang w:val="en-US" w:eastAsia="zh-CN" w:bidi="ar-SA"/>
                <w14:textFill>
                  <w14:solidFill>
                    <w14:schemeClr w14:val="tx1"/>
                  </w14:solidFill>
                </w14:textFill>
              </w:rPr>
              <w:t>但</w:t>
            </w:r>
            <w:r>
              <w:rPr>
                <w:rFonts w:hint="eastAsia" w:ascii="宋体" w:hAnsi="宋体" w:cs="宋体" w:eastAsiaTheme="minorEastAsia"/>
                <w:color w:val="000000" w:themeColor="text1"/>
                <w:kern w:val="2"/>
                <w:sz w:val="24"/>
                <w:szCs w:val="24"/>
                <w:highlight w:val="none"/>
                <w:lang w:val="en-US" w:eastAsia="zh-CN" w:bidi="ar-SA"/>
                <w14:textFill>
                  <w14:solidFill>
                    <w14:schemeClr w14:val="tx1"/>
                  </w14:solidFill>
                </w14:textFill>
              </w:rPr>
              <w:t>不限于：乡镇预约并定点集中接送服务、健康咨询电话服务专线等）；建立拥军服务管理制度（含专人负责、巡查抽查、定期培训、投诉反馈机制等）</w:t>
            </w:r>
            <w:r>
              <w:rPr>
                <w:rFonts w:hint="eastAsia" w:ascii="宋体" w:hAnsi="宋体" w:cs="宋体"/>
                <w:color w:val="000000" w:themeColor="text1"/>
                <w:kern w:val="2"/>
                <w:sz w:val="24"/>
                <w:szCs w:val="24"/>
                <w:highlight w:val="none"/>
                <w:lang w:val="en-US" w:eastAsia="zh-CN" w:bidi="ar-SA"/>
                <w14:textFill>
                  <w14:solidFill>
                    <w14:schemeClr w14:val="tx1"/>
                  </w14:solidFill>
                </w14:textFill>
              </w:rPr>
              <w:t>的得2分。</w:t>
            </w:r>
          </w:p>
          <w:p w14:paraId="3E3153E6">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both"/>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kern w:val="2"/>
                <w:sz w:val="24"/>
                <w:szCs w:val="24"/>
                <w:highlight w:val="none"/>
                <w:lang w:val="en-US" w:eastAsia="zh-CN" w:bidi="ar-SA"/>
                <w14:textFill>
                  <w14:solidFill>
                    <w14:schemeClr w14:val="tx1"/>
                  </w14:solidFill>
                </w14:textFill>
              </w:rPr>
              <w:t>备注：</w:t>
            </w:r>
            <w:r>
              <w:rPr>
                <w:rFonts w:hint="eastAsia" w:ascii="宋体" w:hAnsi="宋体" w:cs="宋体" w:eastAsiaTheme="minorEastAsia"/>
                <w:b/>
                <w:bCs/>
                <w:color w:val="000000" w:themeColor="text1"/>
                <w:kern w:val="2"/>
                <w:sz w:val="24"/>
                <w:szCs w:val="24"/>
                <w:highlight w:val="none"/>
                <w:lang w:val="en-US" w:eastAsia="zh-CN" w:bidi="ar-SA"/>
                <w14:textFill>
                  <w14:solidFill>
                    <w14:schemeClr w14:val="tx1"/>
                  </w14:solidFill>
                </w14:textFill>
              </w:rPr>
              <w:t>提供方案文件及实施证明</w:t>
            </w:r>
            <w:r>
              <w:rPr>
                <w:rFonts w:hint="eastAsia" w:ascii="宋体" w:hAnsi="宋体" w:cs="宋体"/>
                <w:b/>
                <w:bCs/>
                <w:color w:val="000000" w:themeColor="text1"/>
                <w:kern w:val="2"/>
                <w:sz w:val="24"/>
                <w:szCs w:val="24"/>
                <w:highlight w:val="none"/>
                <w:lang w:val="en-US" w:eastAsia="zh-CN" w:bidi="ar-SA"/>
                <w14:textFill>
                  <w14:solidFill>
                    <w14:schemeClr w14:val="tx1"/>
                  </w14:solidFill>
                </w14:textFill>
              </w:rPr>
              <w:t>，</w:t>
            </w:r>
            <w:r>
              <w:rPr>
                <w:rFonts w:hint="eastAsia" w:ascii="宋体" w:hAnsi="宋体" w:cs="宋体" w:eastAsiaTheme="minorEastAsia"/>
                <w:b/>
                <w:bCs/>
                <w:color w:val="000000" w:themeColor="text1"/>
                <w:kern w:val="2"/>
                <w:sz w:val="24"/>
                <w:szCs w:val="24"/>
                <w:highlight w:val="none"/>
                <w:lang w:val="en-US" w:eastAsia="zh-CN" w:bidi="ar-SA"/>
                <w14:textFill>
                  <w14:solidFill>
                    <w14:schemeClr w14:val="tx1"/>
                  </w14:solidFill>
                </w14:textFill>
              </w:rPr>
              <w:t>未提供或未建立机制不得分。</w:t>
            </w:r>
          </w:p>
        </w:tc>
      </w:tr>
      <w:bookmarkEnd w:id="190"/>
    </w:tbl>
    <w:p w14:paraId="5171F1ED">
      <w:pPr>
        <w:pBdr>
          <w:top w:val="none" w:color="000000" w:sz="0" w:space="0"/>
          <w:left w:val="none" w:color="000000" w:sz="0" w:space="0"/>
          <w:bottom w:val="none" w:color="000000" w:sz="0" w:space="0"/>
          <w:right w:val="none" w:color="000000" w:sz="0" w:space="0"/>
        </w:pBdr>
        <w:spacing w:line="360" w:lineRule="exact"/>
        <w:jc w:val="left"/>
        <w:rPr>
          <w:rFonts w:ascii="宋体" w:hAnsi="宋体"/>
          <w:color w:val="000000"/>
          <w:sz w:val="24"/>
          <w:szCs w:val="24"/>
        </w:rPr>
      </w:pPr>
      <w:r>
        <w:rPr>
          <w:rFonts w:hint="eastAsia" w:ascii="宋体" w:hAnsi="宋体"/>
          <w:color w:val="000000"/>
          <w:sz w:val="24"/>
          <w:szCs w:val="24"/>
        </w:rPr>
        <w:t>备注：</w:t>
      </w:r>
    </w:p>
    <w:p w14:paraId="43C2CD54">
      <w:pPr>
        <w:pBdr>
          <w:top w:val="none" w:color="000000" w:sz="0" w:space="0"/>
          <w:left w:val="none" w:color="000000" w:sz="0" w:space="0"/>
          <w:bottom w:val="none" w:color="000000" w:sz="0" w:space="0"/>
          <w:right w:val="none" w:color="000000" w:sz="0" w:space="0"/>
        </w:pBdr>
        <w:spacing w:line="360" w:lineRule="exact"/>
        <w:ind w:firstLine="480" w:firstLineChars="200"/>
        <w:jc w:val="left"/>
        <w:rPr>
          <w:rFonts w:ascii="宋体" w:hAnsi="宋体"/>
          <w:color w:val="000000"/>
          <w:sz w:val="24"/>
          <w:szCs w:val="24"/>
        </w:rPr>
      </w:pPr>
      <w:r>
        <w:rPr>
          <w:rFonts w:hint="eastAsia" w:ascii="宋体" w:hAnsi="宋体"/>
          <w:color w:val="000000"/>
          <w:sz w:val="24"/>
          <w:szCs w:val="24"/>
        </w:rPr>
        <w:t>1、评分标准中要求提供的证明材料均以原件扫描加盖所要求的公章在投标文件中反映，相关证明材料须按要求完整提供且不得涂改，本项目所须提供的证明材料均应原件扫描（如原件是彩色件，则扫描件须是彩色）。否则不能得分。</w:t>
      </w:r>
    </w:p>
    <w:p w14:paraId="1B294793">
      <w:pPr>
        <w:pBdr>
          <w:top w:val="none" w:color="000000" w:sz="0" w:space="0"/>
          <w:left w:val="none" w:color="000000" w:sz="0" w:space="0"/>
          <w:bottom w:val="none" w:color="000000" w:sz="0" w:space="0"/>
          <w:right w:val="none" w:color="000000" w:sz="0" w:space="0"/>
        </w:pBdr>
        <w:spacing w:line="360" w:lineRule="exact"/>
        <w:ind w:firstLine="480" w:firstLineChars="200"/>
        <w:jc w:val="left"/>
        <w:rPr>
          <w:rFonts w:ascii="宋体" w:hAnsi="宋体"/>
          <w:color w:val="000000"/>
          <w:sz w:val="24"/>
          <w:szCs w:val="24"/>
        </w:rPr>
      </w:pPr>
      <w:r>
        <w:rPr>
          <w:rFonts w:hint="eastAsia" w:ascii="宋体" w:hAnsi="宋体"/>
          <w:color w:val="000000"/>
          <w:sz w:val="24"/>
          <w:szCs w:val="24"/>
        </w:rPr>
        <w:t>2、采购人有权在规定的时间内（中标公示或质疑期间及其他采购人明确要求的时间内）对中标人或其他投标人提供的与采购需求、评分办法相关的材料等评分依据（原件）的真实性进行复查。如未在采购人规定的时间内提交，采购人有权根据政府采购法律法规处理。如发现有通过提供虚假证明文件获得分值，将取消中标资格，并提请监督机构按照政府采购相关法规处理。</w:t>
      </w:r>
    </w:p>
    <w:p w14:paraId="0950E0E8">
      <w:pPr>
        <w:pBdr>
          <w:top w:val="none" w:color="000000" w:sz="0" w:space="0"/>
          <w:left w:val="none" w:color="000000" w:sz="0" w:space="0"/>
          <w:bottom w:val="none" w:color="000000" w:sz="0" w:space="0"/>
          <w:right w:val="none" w:color="000000" w:sz="0" w:space="0"/>
        </w:pBdr>
        <w:spacing w:line="360" w:lineRule="exact"/>
        <w:ind w:firstLine="480" w:firstLineChars="200"/>
        <w:jc w:val="left"/>
        <w:rPr>
          <w:rFonts w:ascii="Times New Roman" w:hAnsi="Times New Roman"/>
          <w:color w:val="000000"/>
          <w:sz w:val="24"/>
          <w:szCs w:val="24"/>
        </w:rPr>
      </w:pPr>
      <w:r>
        <w:rPr>
          <w:rFonts w:hint="eastAsia" w:ascii="宋体" w:hAnsi="宋体"/>
          <w:color w:val="000000"/>
          <w:sz w:val="24"/>
          <w:szCs w:val="24"/>
        </w:rPr>
        <w:t>3、评分中涉及相关证明材料均应在有效期内</w:t>
      </w:r>
      <w:r>
        <w:rPr>
          <w:rFonts w:hint="eastAsia" w:ascii="宋体" w:hAnsi="宋体"/>
          <w:b/>
          <w:bCs/>
          <w:color w:val="000000"/>
          <w:sz w:val="24"/>
          <w:szCs w:val="24"/>
        </w:rPr>
        <w:t>。</w:t>
      </w:r>
    </w:p>
    <w:p w14:paraId="1D8365AA">
      <w:pPr>
        <w:pStyle w:val="17"/>
        <w:spacing w:beforeAutospacing="0" w:afterAutospacing="0" w:line="360" w:lineRule="auto"/>
        <w:ind w:firstLine="480"/>
        <w:jc w:val="both"/>
        <w:rPr>
          <w:rFonts w:hint="eastAsia" w:ascii="宋体" w:hAnsi="宋体" w:eastAsia="宋体" w:cs="宋体"/>
          <w:color w:val="auto"/>
          <w:highlight w:val="none"/>
        </w:rPr>
      </w:pPr>
    </w:p>
    <w:p w14:paraId="3DE1348F">
      <w:pPr>
        <w:pStyle w:val="17"/>
        <w:spacing w:beforeAutospacing="0" w:afterAutospacing="0" w:line="360" w:lineRule="auto"/>
        <w:ind w:firstLine="480"/>
        <w:jc w:val="both"/>
        <w:rPr>
          <w:rFonts w:hint="eastAsia" w:ascii="宋体" w:hAnsi="宋体" w:eastAsia="宋体" w:cs="宋体"/>
          <w:color w:val="auto"/>
          <w:highlight w:val="none"/>
        </w:rPr>
      </w:pPr>
    </w:p>
    <w:p w14:paraId="368AE1E5">
      <w:pPr>
        <w:pStyle w:val="17"/>
        <w:spacing w:beforeAutospacing="0" w:afterAutospacing="0" w:line="360" w:lineRule="auto"/>
        <w:ind w:firstLine="480"/>
        <w:jc w:val="both"/>
        <w:rPr>
          <w:rFonts w:hint="eastAsia" w:ascii="宋体" w:hAnsi="宋体" w:eastAsia="宋体" w:cs="宋体"/>
          <w:color w:val="auto"/>
          <w:highlight w:val="none"/>
        </w:rPr>
      </w:pPr>
    </w:p>
    <w:p w14:paraId="0FDE1D3D">
      <w:pPr>
        <w:pStyle w:val="17"/>
        <w:spacing w:beforeAutospacing="0" w:afterAutospacing="0" w:line="360" w:lineRule="auto"/>
        <w:ind w:firstLine="480"/>
        <w:jc w:val="both"/>
        <w:rPr>
          <w:rFonts w:hint="eastAsia" w:ascii="宋体" w:hAnsi="宋体" w:eastAsia="宋体" w:cs="宋体"/>
          <w:color w:val="auto"/>
          <w:highlight w:val="none"/>
        </w:rPr>
      </w:pPr>
    </w:p>
    <w:p w14:paraId="225990C3">
      <w:pPr>
        <w:pStyle w:val="17"/>
        <w:spacing w:beforeAutospacing="0" w:afterAutospacing="0" w:line="360" w:lineRule="auto"/>
        <w:ind w:firstLine="480"/>
        <w:jc w:val="both"/>
        <w:rPr>
          <w:rFonts w:hint="eastAsia" w:ascii="宋体" w:hAnsi="宋体" w:eastAsia="宋体" w:cs="宋体"/>
          <w:color w:val="auto"/>
          <w:highlight w:val="none"/>
        </w:rPr>
      </w:pPr>
    </w:p>
    <w:p w14:paraId="15D541B7">
      <w:pPr>
        <w:pStyle w:val="1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83661C7">
      <w:pPr>
        <w:pStyle w:val="17"/>
        <w:spacing w:beforeAutospacing="0" w:afterAutospacing="0"/>
        <w:jc w:val="both"/>
        <w:rPr>
          <w:rFonts w:hint="eastAsia" w:ascii="宋体" w:hAnsi="宋体" w:eastAsia="宋体" w:cs="宋体"/>
          <w:highlight w:val="none"/>
        </w:rPr>
      </w:pPr>
      <w:r>
        <w:rPr>
          <w:rFonts w:hint="eastAsia" w:ascii="宋体" w:hAnsi="宋体" w:eastAsia="宋体" w:cs="宋体"/>
          <w:highlight w:val="none"/>
        </w:rPr>
        <w:t> </w:t>
      </w:r>
    </w:p>
    <w:p w14:paraId="394BDBC7">
      <w:pPr>
        <w:pStyle w:val="17"/>
        <w:spacing w:beforeAutospacing="0" w:afterAutospacing="0"/>
        <w:jc w:val="center"/>
        <w:rPr>
          <w:highlight w:val="none"/>
        </w:rPr>
      </w:pPr>
      <w:r>
        <w:rPr>
          <w:rFonts w:hint="eastAsia" w:ascii="宋体" w:hAnsi="宋体" w:eastAsia="宋体" w:cs="宋体"/>
          <w:b/>
          <w:bCs/>
          <w:color w:val="000000"/>
          <w:sz w:val="40"/>
          <w:szCs w:val="40"/>
          <w:highlight w:val="none"/>
        </w:rPr>
        <w:t>第六章  投标文件格式</w:t>
      </w:r>
    </w:p>
    <w:p w14:paraId="41503813">
      <w:pPr>
        <w:pStyle w:val="17"/>
        <w:spacing w:beforeAutospacing="0" w:afterAutospacing="0"/>
        <w:jc w:val="center"/>
        <w:rPr>
          <w:rFonts w:hint="eastAsia" w:ascii="宋体" w:hAnsi="宋体" w:eastAsia="宋体" w:cs="宋体"/>
          <w:b/>
          <w:color w:val="000000"/>
          <w:sz w:val="72"/>
          <w:szCs w:val="72"/>
          <w:highlight w:val="none"/>
        </w:rPr>
      </w:pPr>
      <w:bookmarkStart w:id="191" w:name="_Hlt26955039"/>
      <w:bookmarkEnd w:id="191"/>
      <w:bookmarkStart w:id="192" w:name="_Toc26554094"/>
      <w:bookmarkEnd w:id="192"/>
      <w:bookmarkStart w:id="193" w:name="_Hlt26671244"/>
      <w:bookmarkEnd w:id="193"/>
      <w:bookmarkStart w:id="194" w:name="_Toc49090576"/>
      <w:bookmarkStart w:id="195" w:name="_Toc120614282"/>
    </w:p>
    <w:p w14:paraId="14D7A9D0">
      <w:pPr>
        <w:pStyle w:val="17"/>
        <w:spacing w:beforeAutospacing="0" w:afterAutospacing="0"/>
        <w:jc w:val="center"/>
        <w:outlineLvl w:val="0"/>
        <w:rPr>
          <w:highlight w:val="none"/>
        </w:rPr>
      </w:pPr>
      <w:r>
        <w:rPr>
          <w:rFonts w:hint="eastAsia" w:ascii="宋体" w:hAnsi="宋体" w:eastAsia="宋体" w:cs="宋体"/>
          <w:b/>
          <w:color w:val="000000"/>
          <w:sz w:val="72"/>
          <w:szCs w:val="72"/>
          <w:highlight w:val="none"/>
        </w:rPr>
        <w:t>投  标  文  件</w:t>
      </w:r>
    </w:p>
    <w:p w14:paraId="22DEB80C">
      <w:pPr>
        <w:pStyle w:val="17"/>
        <w:spacing w:beforeAutospacing="0" w:afterAutospacing="0"/>
        <w:jc w:val="center"/>
        <w:rPr>
          <w:highlight w:val="none"/>
        </w:rPr>
      </w:pPr>
      <w:r>
        <w:rPr>
          <w:highlight w:val="none"/>
        </w:rPr>
        <w:t> </w:t>
      </w:r>
    </w:p>
    <w:p w14:paraId="71BD0C14">
      <w:pPr>
        <w:pStyle w:val="17"/>
        <w:spacing w:beforeAutospacing="0" w:afterAutospacing="0"/>
        <w:jc w:val="center"/>
        <w:rPr>
          <w:highlight w:val="none"/>
        </w:rPr>
      </w:pPr>
      <w:r>
        <w:rPr>
          <w:highlight w:val="none"/>
        </w:rPr>
        <w:t> </w:t>
      </w:r>
    </w:p>
    <w:p w14:paraId="14CECC71">
      <w:pPr>
        <w:pStyle w:val="17"/>
        <w:spacing w:beforeAutospacing="0" w:afterAutospacing="0"/>
        <w:jc w:val="center"/>
        <w:rPr>
          <w:highlight w:val="none"/>
        </w:rPr>
      </w:pPr>
      <w:r>
        <w:rPr>
          <w:highlight w:val="none"/>
        </w:rPr>
        <w:t> </w:t>
      </w:r>
    </w:p>
    <w:p w14:paraId="6CF50948">
      <w:pPr>
        <w:pStyle w:val="17"/>
        <w:spacing w:beforeAutospacing="0" w:afterAutospacing="0"/>
        <w:jc w:val="center"/>
        <w:rPr>
          <w:highlight w:val="none"/>
        </w:rPr>
      </w:pPr>
      <w:r>
        <w:rPr>
          <w:highlight w:val="none"/>
        </w:rPr>
        <w:t> </w:t>
      </w:r>
    </w:p>
    <w:p w14:paraId="059E7B16">
      <w:pPr>
        <w:pStyle w:val="17"/>
        <w:spacing w:beforeAutospacing="0" w:afterAutospacing="0"/>
        <w:jc w:val="center"/>
        <w:rPr>
          <w:highlight w:val="none"/>
        </w:rPr>
      </w:pPr>
      <w:r>
        <w:rPr>
          <w:highlight w:val="none"/>
        </w:rPr>
        <w:t> </w:t>
      </w:r>
    </w:p>
    <w:p w14:paraId="47A79981">
      <w:pPr>
        <w:pStyle w:val="17"/>
        <w:spacing w:beforeAutospacing="0" w:afterAutospacing="0"/>
        <w:ind w:firstLine="1084"/>
        <w:jc w:val="both"/>
        <w:rPr>
          <w:highlight w:val="none"/>
        </w:rPr>
      </w:pPr>
      <w:r>
        <w:rPr>
          <w:rFonts w:hint="eastAsia" w:ascii="宋体" w:hAnsi="宋体" w:eastAsia="宋体" w:cs="宋体"/>
          <w:b/>
          <w:color w:val="000000"/>
          <w:sz w:val="36"/>
          <w:szCs w:val="36"/>
          <w:highlight w:val="none"/>
        </w:rPr>
        <w:t>项目 名 称：</w:t>
      </w:r>
      <w:r>
        <w:rPr>
          <w:rFonts w:hint="eastAsia" w:ascii="宋体" w:hAnsi="宋体" w:eastAsia="宋体" w:cs="宋体"/>
          <w:b/>
          <w:color w:val="000000"/>
          <w:sz w:val="36"/>
          <w:szCs w:val="36"/>
          <w:highlight w:val="none"/>
          <w:u w:val="single"/>
        </w:rPr>
        <w:t xml:space="preserve">               </w:t>
      </w:r>
    </w:p>
    <w:p w14:paraId="45010DBF">
      <w:pPr>
        <w:pStyle w:val="17"/>
        <w:spacing w:beforeAutospacing="0" w:afterAutospacing="0"/>
        <w:ind w:firstLine="1084"/>
        <w:jc w:val="both"/>
        <w:rPr>
          <w:highlight w:val="none"/>
        </w:rPr>
      </w:pPr>
      <w:r>
        <w:rPr>
          <w:rFonts w:hint="eastAsia" w:ascii="宋体" w:hAnsi="宋体" w:eastAsia="宋体" w:cs="宋体"/>
          <w:b/>
          <w:color w:val="000000"/>
          <w:sz w:val="36"/>
          <w:szCs w:val="36"/>
          <w:highlight w:val="none"/>
        </w:rPr>
        <w:t>项目 编 号：</w:t>
      </w:r>
      <w:r>
        <w:rPr>
          <w:rFonts w:hint="eastAsia" w:ascii="宋体" w:hAnsi="宋体" w:eastAsia="宋体" w:cs="宋体"/>
          <w:b/>
          <w:color w:val="000000"/>
          <w:sz w:val="36"/>
          <w:szCs w:val="36"/>
          <w:highlight w:val="none"/>
          <w:u w:val="single"/>
        </w:rPr>
        <w:t xml:space="preserve">               </w:t>
      </w:r>
    </w:p>
    <w:p w14:paraId="736DE0D4">
      <w:pPr>
        <w:pStyle w:val="17"/>
        <w:spacing w:beforeAutospacing="0" w:afterAutospacing="0"/>
        <w:jc w:val="both"/>
        <w:rPr>
          <w:highlight w:val="none"/>
        </w:rPr>
      </w:pPr>
      <w:r>
        <w:rPr>
          <w:rFonts w:hint="eastAsia" w:ascii="宋体" w:hAnsi="宋体" w:eastAsia="宋体" w:cs="宋体"/>
          <w:b/>
          <w:color w:val="000000"/>
          <w:sz w:val="36"/>
          <w:szCs w:val="36"/>
          <w:highlight w:val="none"/>
        </w:rPr>
        <w:t>   投标人名称 ：</w:t>
      </w:r>
      <w:r>
        <w:rPr>
          <w:rFonts w:hint="eastAsia" w:ascii="宋体" w:hAnsi="宋体" w:eastAsia="宋体" w:cs="宋体"/>
          <w:b/>
          <w:color w:val="000000"/>
          <w:sz w:val="36"/>
          <w:szCs w:val="36"/>
          <w:highlight w:val="none"/>
          <w:u w:val="single"/>
        </w:rPr>
        <w:t xml:space="preserve">（加盖CA电子公章）        </w:t>
      </w:r>
    </w:p>
    <w:p w14:paraId="3947E53D">
      <w:pPr>
        <w:pStyle w:val="17"/>
        <w:spacing w:beforeAutospacing="0" w:afterAutospacing="0"/>
        <w:jc w:val="both"/>
        <w:rPr>
          <w:highlight w:val="none"/>
        </w:rPr>
      </w:pPr>
      <w:r>
        <w:rPr>
          <w:rFonts w:hint="eastAsia" w:ascii="宋体" w:hAnsi="宋体" w:eastAsia="宋体" w:cs="宋体"/>
          <w:b/>
          <w:color w:val="000000"/>
          <w:sz w:val="36"/>
          <w:szCs w:val="36"/>
          <w:highlight w:val="none"/>
        </w:rPr>
        <w:t>   日   期 ：</w:t>
      </w:r>
      <w:r>
        <w:rPr>
          <w:rFonts w:hint="eastAsia" w:ascii="宋体" w:hAnsi="宋体" w:eastAsia="宋体" w:cs="宋体"/>
          <w:b/>
          <w:color w:val="000000"/>
          <w:sz w:val="36"/>
          <w:szCs w:val="36"/>
          <w:highlight w:val="none"/>
          <w:u w:val="single"/>
        </w:rPr>
        <w:t>                     </w:t>
      </w:r>
    </w:p>
    <w:p w14:paraId="008F6786">
      <w:pPr>
        <w:pStyle w:val="17"/>
        <w:spacing w:beforeAutospacing="0" w:afterAutospacing="0" w:line="0" w:lineRule="atLeast"/>
        <w:jc w:val="center"/>
        <w:rPr>
          <w:highlight w:val="none"/>
        </w:rPr>
      </w:pPr>
      <w:r>
        <w:rPr>
          <w:highlight w:val="none"/>
        </w:rPr>
        <w:t> </w:t>
      </w:r>
    </w:p>
    <w:p w14:paraId="0004A50C">
      <w:pPr>
        <w:pStyle w:val="17"/>
        <w:spacing w:beforeAutospacing="0" w:afterAutospacing="0" w:line="0" w:lineRule="atLeast"/>
        <w:jc w:val="both"/>
        <w:rPr>
          <w:highlight w:val="none"/>
        </w:rPr>
      </w:pPr>
      <w:r>
        <w:rPr>
          <w:highlight w:val="none"/>
        </w:rPr>
        <w:t> </w:t>
      </w:r>
    </w:p>
    <w:p w14:paraId="79EF6E88">
      <w:pPr>
        <w:pStyle w:val="17"/>
        <w:spacing w:beforeAutospacing="0" w:afterAutospacing="0" w:line="0" w:lineRule="atLeast"/>
        <w:jc w:val="center"/>
        <w:rPr>
          <w:rFonts w:ascii="宋体" w:hAnsi="宋体" w:eastAsia="宋体" w:cs="宋体"/>
          <w:b/>
          <w:color w:val="000000"/>
          <w:sz w:val="36"/>
          <w:szCs w:val="36"/>
          <w:highlight w:val="none"/>
          <w:u w:val="single"/>
        </w:rPr>
      </w:pPr>
    </w:p>
    <w:p w14:paraId="7FDB23BC">
      <w:pPr>
        <w:pStyle w:val="17"/>
        <w:spacing w:beforeAutospacing="0" w:afterAutospacing="0" w:line="0" w:lineRule="atLeast"/>
        <w:jc w:val="center"/>
        <w:rPr>
          <w:rFonts w:ascii="宋体" w:hAnsi="宋体" w:eastAsia="宋体" w:cs="宋体"/>
          <w:b/>
          <w:color w:val="000000"/>
          <w:sz w:val="36"/>
          <w:szCs w:val="36"/>
          <w:highlight w:val="none"/>
          <w:u w:val="single"/>
        </w:rPr>
      </w:pPr>
    </w:p>
    <w:p w14:paraId="535972F9">
      <w:pPr>
        <w:pStyle w:val="17"/>
        <w:spacing w:beforeAutospacing="0" w:afterAutospacing="0" w:line="0" w:lineRule="atLeast"/>
        <w:jc w:val="center"/>
        <w:rPr>
          <w:rFonts w:ascii="宋体" w:hAnsi="宋体" w:eastAsia="宋体" w:cs="宋体"/>
          <w:b/>
          <w:color w:val="000000"/>
          <w:sz w:val="36"/>
          <w:szCs w:val="36"/>
          <w:highlight w:val="none"/>
          <w:u w:val="single"/>
        </w:rPr>
      </w:pPr>
    </w:p>
    <w:p w14:paraId="3B5B4E47">
      <w:pPr>
        <w:pStyle w:val="17"/>
        <w:spacing w:beforeAutospacing="0" w:afterAutospacing="0" w:line="0" w:lineRule="atLeast"/>
        <w:jc w:val="center"/>
        <w:rPr>
          <w:rFonts w:ascii="宋体" w:hAnsi="宋体" w:eastAsia="宋体" w:cs="宋体"/>
          <w:b/>
          <w:color w:val="000000"/>
          <w:sz w:val="36"/>
          <w:szCs w:val="36"/>
          <w:highlight w:val="none"/>
          <w:u w:val="single"/>
        </w:rPr>
      </w:pPr>
    </w:p>
    <w:p w14:paraId="4F4FD738">
      <w:pPr>
        <w:pStyle w:val="17"/>
        <w:spacing w:beforeAutospacing="0" w:afterAutospacing="0" w:line="0" w:lineRule="atLeast"/>
        <w:jc w:val="center"/>
        <w:rPr>
          <w:rFonts w:ascii="宋体" w:hAnsi="宋体" w:eastAsia="宋体" w:cs="宋体"/>
          <w:b/>
          <w:color w:val="000000"/>
          <w:sz w:val="36"/>
          <w:szCs w:val="36"/>
          <w:highlight w:val="none"/>
          <w:u w:val="single"/>
        </w:rPr>
      </w:pPr>
    </w:p>
    <w:p w14:paraId="24537143">
      <w:pPr>
        <w:pStyle w:val="17"/>
        <w:spacing w:beforeAutospacing="0" w:afterAutospacing="0" w:line="0" w:lineRule="atLeast"/>
        <w:jc w:val="center"/>
        <w:rPr>
          <w:rFonts w:ascii="宋体" w:hAnsi="宋体" w:eastAsia="宋体" w:cs="宋体"/>
          <w:b/>
          <w:color w:val="000000"/>
          <w:sz w:val="36"/>
          <w:szCs w:val="36"/>
          <w:highlight w:val="none"/>
          <w:u w:val="single"/>
        </w:rPr>
      </w:pPr>
    </w:p>
    <w:p w14:paraId="6D5EFAD9">
      <w:pPr>
        <w:pStyle w:val="17"/>
        <w:spacing w:beforeAutospacing="0" w:afterAutospacing="0" w:line="0" w:lineRule="atLeast"/>
        <w:jc w:val="center"/>
        <w:rPr>
          <w:rFonts w:ascii="宋体" w:hAnsi="宋体" w:eastAsia="宋体" w:cs="宋体"/>
          <w:b/>
          <w:color w:val="000000"/>
          <w:sz w:val="36"/>
          <w:szCs w:val="36"/>
          <w:highlight w:val="none"/>
          <w:u w:val="single"/>
        </w:rPr>
      </w:pPr>
    </w:p>
    <w:p w14:paraId="508E2E8E">
      <w:pPr>
        <w:pStyle w:val="17"/>
        <w:spacing w:beforeAutospacing="0" w:afterAutospacing="0" w:line="0" w:lineRule="atLeast"/>
        <w:jc w:val="center"/>
        <w:rPr>
          <w:rFonts w:ascii="宋体" w:hAnsi="宋体" w:eastAsia="宋体" w:cs="宋体"/>
          <w:b/>
          <w:color w:val="000000"/>
          <w:sz w:val="36"/>
          <w:szCs w:val="36"/>
          <w:highlight w:val="none"/>
          <w:u w:val="single"/>
        </w:rPr>
      </w:pPr>
    </w:p>
    <w:p w14:paraId="6EAA78E2">
      <w:pPr>
        <w:pStyle w:val="17"/>
        <w:spacing w:beforeAutospacing="0" w:afterAutospacing="0" w:line="0" w:lineRule="atLeast"/>
        <w:jc w:val="center"/>
        <w:rPr>
          <w:rFonts w:ascii="宋体" w:hAnsi="宋体" w:eastAsia="宋体" w:cs="宋体"/>
          <w:b/>
          <w:color w:val="000000"/>
          <w:sz w:val="36"/>
          <w:szCs w:val="36"/>
          <w:highlight w:val="none"/>
          <w:u w:val="single"/>
        </w:rPr>
      </w:pPr>
    </w:p>
    <w:p w14:paraId="25F9088A">
      <w:pPr>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br w:type="page"/>
      </w:r>
    </w:p>
    <w:p w14:paraId="06EE6D93">
      <w:pPr>
        <w:pStyle w:val="17"/>
        <w:spacing w:beforeAutospacing="0" w:afterAutospacing="0" w:line="0" w:lineRule="atLeast"/>
        <w:jc w:val="center"/>
        <w:rPr>
          <w:highlight w:val="none"/>
        </w:rPr>
      </w:pPr>
      <w:r>
        <w:rPr>
          <w:rFonts w:hint="eastAsia" w:ascii="宋体" w:hAnsi="宋体" w:eastAsia="宋体" w:cs="宋体"/>
          <w:b/>
          <w:color w:val="000000"/>
          <w:sz w:val="32"/>
          <w:szCs w:val="32"/>
          <w:highlight w:val="none"/>
        </w:rPr>
        <w:t>投标文件目录</w:t>
      </w:r>
    </w:p>
    <w:p w14:paraId="30EA27C7">
      <w:pPr>
        <w:pStyle w:val="17"/>
        <w:spacing w:beforeAutospacing="0" w:afterAutospacing="0" w:line="0" w:lineRule="atLeast"/>
        <w:jc w:val="center"/>
        <w:rPr>
          <w:highlight w:val="none"/>
        </w:rPr>
      </w:pPr>
      <w:r>
        <w:rPr>
          <w:highlight w:val="none"/>
        </w:rPr>
        <w:t> </w:t>
      </w:r>
    </w:p>
    <w:p w14:paraId="5713C76E">
      <w:pPr>
        <w:pStyle w:val="17"/>
        <w:spacing w:beforeAutospacing="0" w:afterAutospacing="0"/>
        <w:ind w:left="480"/>
        <w:jc w:val="both"/>
        <w:rPr>
          <w:rFonts w:hint="eastAsia" w:ascii="宋体" w:hAnsi="宋体" w:eastAsia="宋体" w:cs="宋体"/>
          <w:i/>
          <w:iCs w:val="0"/>
          <w:color w:val="000000"/>
          <w:highlight w:val="none"/>
          <w:u w:val="none"/>
          <w:lang w:eastAsia="zh-CN"/>
        </w:rPr>
      </w:pPr>
      <w:r>
        <w:rPr>
          <w:rFonts w:hint="eastAsia" w:ascii="宋体" w:hAnsi="宋体" w:eastAsia="宋体" w:cs="宋体"/>
          <w:i/>
          <w:iCs w:val="0"/>
          <w:color w:val="000000"/>
          <w:highlight w:val="none"/>
          <w:u w:val="none"/>
        </w:rPr>
        <w:t>一、法人或者其他组织的营业执照等证明文件，自然人的身份证明</w:t>
      </w:r>
      <w:r>
        <w:rPr>
          <w:rFonts w:hint="eastAsia" w:ascii="宋体" w:hAnsi="宋体" w:eastAsia="宋体" w:cs="宋体"/>
          <w:i/>
          <w:iCs w:val="0"/>
          <w:color w:val="000000"/>
          <w:highlight w:val="none"/>
          <w:u w:val="none"/>
          <w:lang w:eastAsia="zh-CN"/>
        </w:rPr>
        <w:t>；</w:t>
      </w:r>
    </w:p>
    <w:p w14:paraId="0C60B884">
      <w:pPr>
        <w:tabs>
          <w:tab w:val="left" w:pos="1331"/>
        </w:tabs>
        <w:bidi w:val="0"/>
        <w:ind w:firstLine="480" w:firstLineChars="200"/>
        <w:jc w:val="left"/>
        <w:rPr>
          <w:rFonts w:hint="eastAsia" w:ascii="宋体" w:hAnsi="宋体" w:eastAsia="宋体" w:cs="宋体"/>
          <w:i/>
          <w:iCs w:val="0"/>
          <w:color w:val="000000"/>
          <w:kern w:val="0"/>
          <w:sz w:val="24"/>
          <w:szCs w:val="24"/>
          <w:highlight w:val="none"/>
          <w:u w:val="none"/>
          <w:lang w:val="en-US" w:eastAsia="zh-CN" w:bidi="ar-SA"/>
        </w:rPr>
      </w:pPr>
      <w:r>
        <w:rPr>
          <w:rFonts w:hint="eastAsia" w:ascii="宋体" w:hAnsi="宋体" w:eastAsia="宋体" w:cs="宋体"/>
          <w:i/>
          <w:iCs w:val="0"/>
          <w:color w:val="000000"/>
          <w:kern w:val="0"/>
          <w:sz w:val="24"/>
          <w:szCs w:val="24"/>
          <w:highlight w:val="none"/>
          <w:u w:val="none"/>
          <w:lang w:val="en-US" w:eastAsia="zh-CN" w:bidi="ar-SA"/>
        </w:rPr>
        <w:t>二、上一年度的财务状况报表（至少提供资产负债表、利润表、现金流量表，投标人成立不满一年无需提供）；</w:t>
      </w:r>
    </w:p>
    <w:p w14:paraId="42ACAE88">
      <w:pPr>
        <w:pStyle w:val="17"/>
        <w:spacing w:beforeAutospacing="0" w:afterAutospacing="0"/>
        <w:ind w:left="480"/>
        <w:jc w:val="both"/>
        <w:rPr>
          <w:rFonts w:hint="eastAsia" w:ascii="宋体" w:hAnsi="宋体" w:eastAsia="宋体" w:cs="宋体"/>
          <w:i/>
          <w:iCs w:val="0"/>
          <w:color w:val="000000"/>
          <w:highlight w:val="none"/>
          <w:u w:val="none"/>
          <w:lang w:eastAsia="zh-CN"/>
        </w:rPr>
      </w:pPr>
      <w:r>
        <w:rPr>
          <w:rFonts w:hint="eastAsia" w:ascii="宋体" w:hAnsi="宋体" w:eastAsia="宋体" w:cs="宋体"/>
          <w:i/>
          <w:iCs w:val="0"/>
          <w:color w:val="000000"/>
          <w:highlight w:val="none"/>
          <w:u w:val="none"/>
          <w:lang w:val="en-US" w:eastAsia="zh-CN"/>
        </w:rPr>
        <w:t>三</w:t>
      </w:r>
      <w:r>
        <w:rPr>
          <w:rFonts w:hint="eastAsia" w:ascii="宋体" w:hAnsi="宋体" w:eastAsia="宋体" w:cs="宋体"/>
          <w:i/>
          <w:iCs w:val="0"/>
          <w:color w:val="000000"/>
          <w:highlight w:val="none"/>
          <w:u w:val="none"/>
        </w:rPr>
        <w:t>、具备履行合同所必需的设备和专业技术能力的书面声明</w:t>
      </w:r>
      <w:r>
        <w:rPr>
          <w:rFonts w:hint="eastAsia" w:ascii="宋体" w:hAnsi="宋体" w:eastAsia="宋体" w:cs="宋体"/>
          <w:i/>
          <w:iCs w:val="0"/>
          <w:color w:val="000000"/>
          <w:highlight w:val="none"/>
          <w:u w:val="none"/>
          <w:lang w:eastAsia="zh-CN"/>
        </w:rPr>
        <w:t>；</w:t>
      </w:r>
    </w:p>
    <w:p w14:paraId="3F988CBE">
      <w:pPr>
        <w:pStyle w:val="17"/>
        <w:spacing w:beforeAutospacing="0" w:afterAutospacing="0"/>
        <w:ind w:firstLine="480" w:firstLineChars="200"/>
        <w:jc w:val="both"/>
        <w:rPr>
          <w:rFonts w:hint="eastAsia" w:ascii="宋体" w:hAnsi="宋体" w:eastAsia="宋体" w:cs="宋体"/>
          <w:i/>
          <w:iCs w:val="0"/>
          <w:color w:val="000000"/>
          <w:highlight w:val="none"/>
          <w:u w:val="none"/>
          <w:lang w:eastAsia="zh-CN"/>
        </w:rPr>
      </w:pPr>
      <w:r>
        <w:rPr>
          <w:rFonts w:hint="eastAsia" w:ascii="宋体" w:hAnsi="宋体" w:eastAsia="宋体" w:cs="宋体"/>
          <w:i/>
          <w:iCs w:val="0"/>
          <w:color w:val="000000"/>
          <w:highlight w:val="none"/>
          <w:u w:val="none"/>
          <w:lang w:val="en-US" w:eastAsia="zh-CN"/>
        </w:rPr>
        <w:t>四</w:t>
      </w:r>
      <w:r>
        <w:rPr>
          <w:rFonts w:hint="eastAsia" w:ascii="宋体" w:hAnsi="宋体" w:eastAsia="宋体" w:cs="宋体"/>
          <w:i/>
          <w:iCs w:val="0"/>
          <w:color w:val="000000"/>
          <w:highlight w:val="none"/>
          <w:u w:val="none"/>
        </w:rPr>
        <w:t>、依法缴纳税收和社会保障资金的相关材料（提供提交投标文件截止时间前一年内至少一个月依法缴纳税收及缴纳社会保障资金的证明材料。投标人依法享受缓缴、免缴税收、社会保障资金的提供证明材料）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i/>
          <w:iCs w:val="0"/>
          <w:color w:val="000000"/>
          <w:highlight w:val="none"/>
          <w:u w:val="none"/>
          <w:lang w:eastAsia="zh-CN"/>
        </w:rPr>
        <w:t>；</w:t>
      </w:r>
    </w:p>
    <w:p w14:paraId="58936FC6">
      <w:pPr>
        <w:pStyle w:val="17"/>
        <w:spacing w:beforeAutospacing="0" w:afterAutospacing="0"/>
        <w:ind w:left="480"/>
        <w:jc w:val="both"/>
        <w:rPr>
          <w:rFonts w:hint="eastAsia" w:ascii="宋体" w:hAnsi="宋体" w:eastAsia="宋体" w:cs="宋体"/>
          <w:i/>
          <w:iCs w:val="0"/>
          <w:color w:val="000000"/>
          <w:highlight w:val="none"/>
          <w:u w:val="none"/>
          <w:lang w:eastAsia="zh-CN"/>
        </w:rPr>
      </w:pPr>
      <w:r>
        <w:rPr>
          <w:rFonts w:hint="eastAsia" w:ascii="宋体" w:hAnsi="宋体" w:eastAsia="宋体" w:cs="宋体"/>
          <w:i/>
          <w:iCs w:val="0"/>
          <w:color w:val="000000"/>
          <w:highlight w:val="none"/>
          <w:u w:val="none"/>
        </w:rPr>
        <w:t>五、参加政府采购活动前 3 年内在经营活动中没有重大违法记录的书面声明</w:t>
      </w:r>
      <w:r>
        <w:rPr>
          <w:rFonts w:hint="eastAsia" w:ascii="宋体" w:hAnsi="宋体" w:eastAsia="宋体" w:cs="宋体"/>
          <w:i/>
          <w:iCs w:val="0"/>
          <w:color w:val="000000"/>
          <w:highlight w:val="none"/>
          <w:u w:val="none"/>
          <w:lang w:eastAsia="zh-CN"/>
        </w:rPr>
        <w:t>；</w:t>
      </w:r>
    </w:p>
    <w:p w14:paraId="4DF9C68B">
      <w:pPr>
        <w:pStyle w:val="17"/>
        <w:spacing w:beforeAutospacing="0" w:afterAutospacing="0"/>
        <w:ind w:left="480"/>
        <w:jc w:val="both"/>
        <w:rPr>
          <w:rFonts w:hint="eastAsia" w:ascii="宋体" w:hAnsi="宋体" w:eastAsia="宋体" w:cs="宋体"/>
          <w:i/>
          <w:iCs w:val="0"/>
          <w:color w:val="000000"/>
          <w:highlight w:val="none"/>
          <w:u w:val="none"/>
        </w:rPr>
      </w:pPr>
      <w:r>
        <w:rPr>
          <w:rFonts w:hint="eastAsia" w:ascii="宋体" w:hAnsi="宋体" w:eastAsia="宋体" w:cs="宋体"/>
          <w:i/>
          <w:iCs w:val="0"/>
          <w:color w:val="000000"/>
          <w:highlight w:val="none"/>
          <w:u w:val="none"/>
          <w:lang w:val="en-US" w:eastAsia="zh-CN"/>
        </w:rPr>
        <w:t>六、单位负责人为同一人或者存在直接控股、服务关系的不同投标人，不得参加同一合同项下的政府采购活动。</w:t>
      </w:r>
    </w:p>
    <w:p w14:paraId="6CFBDE60">
      <w:pPr>
        <w:pStyle w:val="17"/>
        <w:spacing w:beforeAutospacing="0" w:afterAutospacing="0"/>
        <w:ind w:left="480"/>
        <w:jc w:val="both"/>
        <w:rPr>
          <w:rFonts w:ascii="宋体" w:hAnsi="宋体" w:eastAsia="宋体" w:cs="宋体"/>
          <w:i/>
          <w:iCs w:val="0"/>
          <w:color w:val="000000"/>
          <w:highlight w:val="none"/>
          <w:u w:val="none"/>
        </w:rPr>
      </w:pPr>
      <w:r>
        <w:rPr>
          <w:rFonts w:hint="eastAsia" w:ascii="宋体" w:hAnsi="宋体" w:eastAsia="宋体" w:cs="宋体"/>
          <w:i/>
          <w:iCs w:val="0"/>
          <w:color w:val="000000"/>
          <w:highlight w:val="none"/>
          <w:u w:val="none"/>
          <w:lang w:val="en-US" w:eastAsia="zh-CN"/>
        </w:rPr>
        <w:t>七</w:t>
      </w:r>
      <w:r>
        <w:rPr>
          <w:rFonts w:hint="eastAsia" w:ascii="宋体" w:hAnsi="宋体" w:eastAsia="宋体" w:cs="宋体"/>
          <w:i/>
          <w:iCs w:val="0"/>
          <w:color w:val="000000"/>
          <w:highlight w:val="none"/>
          <w:u w:val="none"/>
        </w:rPr>
        <w:t>、特定资格要求的证明文件（如果本项目设置特定资格要求，则需要提供）</w:t>
      </w:r>
    </w:p>
    <w:p w14:paraId="3E3E3867">
      <w:pPr>
        <w:pStyle w:val="17"/>
        <w:spacing w:beforeAutospacing="0" w:afterAutospacing="0"/>
        <w:ind w:left="480"/>
        <w:jc w:val="both"/>
        <w:rPr>
          <w:rFonts w:ascii="宋体" w:hAnsi="宋体" w:eastAsia="宋体" w:cs="宋体"/>
          <w:i/>
          <w:iCs w:val="0"/>
          <w:color w:val="000000"/>
          <w:highlight w:val="none"/>
          <w:u w:val="none"/>
        </w:rPr>
      </w:pPr>
      <w:r>
        <w:rPr>
          <w:rFonts w:hint="eastAsia" w:ascii="宋体" w:hAnsi="宋体" w:eastAsia="宋体" w:cs="宋体"/>
          <w:i/>
          <w:iCs w:val="0"/>
          <w:color w:val="000000"/>
          <w:highlight w:val="none"/>
          <w:u w:val="none"/>
          <w:lang w:val="en-US" w:eastAsia="zh-CN"/>
        </w:rPr>
        <w:t>八</w:t>
      </w:r>
      <w:r>
        <w:rPr>
          <w:rFonts w:hint="eastAsia" w:ascii="宋体" w:hAnsi="宋体" w:eastAsia="宋体" w:cs="宋体"/>
          <w:i/>
          <w:iCs w:val="0"/>
          <w:color w:val="000000"/>
          <w:highlight w:val="none"/>
          <w:u w:val="none"/>
        </w:rPr>
        <w:t>、法人授权书</w:t>
      </w:r>
    </w:p>
    <w:p w14:paraId="3BDE6B94">
      <w:pPr>
        <w:pStyle w:val="17"/>
        <w:spacing w:beforeAutospacing="0" w:afterAutospacing="0"/>
        <w:ind w:left="480"/>
        <w:jc w:val="both"/>
        <w:rPr>
          <w:rFonts w:ascii="宋体" w:hAnsi="宋体" w:eastAsia="宋体" w:cs="宋体"/>
          <w:i/>
          <w:iCs w:val="0"/>
          <w:color w:val="000000"/>
          <w:highlight w:val="none"/>
          <w:u w:val="none"/>
        </w:rPr>
      </w:pPr>
      <w:r>
        <w:rPr>
          <w:rFonts w:hint="eastAsia" w:ascii="宋体" w:hAnsi="宋体" w:eastAsia="宋体" w:cs="宋体"/>
          <w:i/>
          <w:iCs w:val="0"/>
          <w:color w:val="000000"/>
          <w:highlight w:val="none"/>
          <w:u w:val="none"/>
          <w:lang w:val="en-US" w:eastAsia="zh-CN"/>
        </w:rPr>
        <w:t>九</w:t>
      </w:r>
      <w:r>
        <w:rPr>
          <w:rFonts w:hint="eastAsia" w:ascii="宋体" w:hAnsi="宋体" w:eastAsia="宋体" w:cs="宋体"/>
          <w:i/>
          <w:iCs w:val="0"/>
          <w:color w:val="000000"/>
          <w:highlight w:val="none"/>
          <w:u w:val="none"/>
        </w:rPr>
        <w:t>、投标函</w:t>
      </w:r>
    </w:p>
    <w:p w14:paraId="5FEA8D1E">
      <w:pPr>
        <w:pStyle w:val="17"/>
        <w:spacing w:beforeAutospacing="0" w:afterAutospacing="0" w:line="0" w:lineRule="atLeast"/>
        <w:ind w:firstLine="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十</w:t>
      </w:r>
      <w:r>
        <w:rPr>
          <w:rFonts w:hint="eastAsia" w:ascii="宋体" w:hAnsi="宋体" w:eastAsia="宋体" w:cs="宋体"/>
          <w:i w:val="0"/>
          <w:iCs/>
          <w:color w:val="000000"/>
          <w:highlight w:val="none"/>
          <w:u w:val="none"/>
        </w:rPr>
        <w:t>、</w:t>
      </w:r>
      <w:r>
        <w:rPr>
          <w:rFonts w:hint="eastAsia" w:ascii="宋体" w:hAnsi="宋体" w:eastAsia="宋体" w:cs="宋体"/>
          <w:i w:val="0"/>
          <w:iCs/>
          <w:color w:val="auto"/>
          <w:highlight w:val="none"/>
          <w:u w:val="none"/>
          <w:lang w:val="en-US" w:eastAsia="zh-CN"/>
        </w:rPr>
        <w:t>中小</w:t>
      </w:r>
      <w:r>
        <w:rPr>
          <w:rFonts w:hint="eastAsia" w:ascii="宋体" w:hAnsi="宋体" w:eastAsia="宋体" w:cs="宋体"/>
          <w:i w:val="0"/>
          <w:iCs/>
          <w:color w:val="auto"/>
          <w:highlight w:val="none"/>
          <w:u w:val="none"/>
        </w:rPr>
        <w:t>企业声明函</w:t>
      </w:r>
    </w:p>
    <w:p w14:paraId="4D58AB9A">
      <w:pPr>
        <w:pStyle w:val="17"/>
        <w:spacing w:beforeAutospacing="0" w:afterAutospacing="0" w:line="0" w:lineRule="atLeast"/>
        <w:ind w:firstLine="480"/>
        <w:jc w:val="both"/>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一</w:t>
      </w:r>
      <w:r>
        <w:rPr>
          <w:rFonts w:hint="eastAsia" w:ascii="宋体" w:hAnsi="宋体" w:eastAsia="宋体" w:cs="宋体"/>
          <w:i w:val="0"/>
          <w:iCs/>
          <w:color w:val="000000"/>
          <w:highlight w:val="none"/>
          <w:u w:val="none"/>
        </w:rPr>
        <w:t>、残疾人福利性单位声明函</w:t>
      </w:r>
    </w:p>
    <w:p w14:paraId="260078DA">
      <w:pPr>
        <w:pStyle w:val="17"/>
        <w:spacing w:beforeAutospacing="0" w:afterAutospacing="0" w:line="0" w:lineRule="atLeast"/>
        <w:ind w:firstLine="480"/>
        <w:jc w:val="both"/>
        <w:rPr>
          <w:rFonts w:ascii="宋体" w:hAnsi="宋体" w:eastAsia="宋体" w:cs="宋体"/>
          <w:i/>
          <w:iCs w:val="0"/>
          <w:color w:val="000000"/>
          <w:highlight w:val="none"/>
          <w:u w:val="none"/>
        </w:rPr>
      </w:pPr>
      <w:r>
        <w:rPr>
          <w:rFonts w:hint="eastAsia" w:ascii="宋体" w:hAnsi="宋体" w:eastAsia="宋体" w:cs="宋体"/>
          <w:i/>
          <w:iCs w:val="0"/>
          <w:color w:val="000000"/>
          <w:highlight w:val="none"/>
          <w:u w:val="none"/>
        </w:rPr>
        <w:t>十</w:t>
      </w:r>
      <w:r>
        <w:rPr>
          <w:rFonts w:hint="eastAsia" w:ascii="宋体" w:hAnsi="宋体" w:eastAsia="宋体" w:cs="宋体"/>
          <w:i/>
          <w:iCs w:val="0"/>
          <w:color w:val="000000"/>
          <w:highlight w:val="none"/>
          <w:u w:val="none"/>
          <w:lang w:val="en-US" w:eastAsia="zh-CN"/>
        </w:rPr>
        <w:t>二</w:t>
      </w:r>
      <w:r>
        <w:rPr>
          <w:rFonts w:hint="eastAsia" w:ascii="宋体" w:hAnsi="宋体" w:eastAsia="宋体" w:cs="宋体"/>
          <w:i/>
          <w:iCs w:val="0"/>
          <w:color w:val="000000"/>
          <w:highlight w:val="none"/>
          <w:u w:val="none"/>
        </w:rPr>
        <w:t>、资格性审查响应对照表</w:t>
      </w:r>
    </w:p>
    <w:p w14:paraId="7D69B72A">
      <w:pPr>
        <w:pStyle w:val="17"/>
        <w:spacing w:beforeAutospacing="0" w:afterAutospacing="0" w:line="0" w:lineRule="atLeast"/>
        <w:ind w:firstLine="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三</w:t>
      </w:r>
      <w:r>
        <w:rPr>
          <w:rFonts w:hint="eastAsia" w:ascii="宋体" w:hAnsi="宋体" w:eastAsia="宋体" w:cs="宋体"/>
          <w:i w:val="0"/>
          <w:iCs/>
          <w:color w:val="000000"/>
          <w:highlight w:val="none"/>
          <w:u w:val="none"/>
        </w:rPr>
        <w:t>、</w:t>
      </w:r>
      <w:r>
        <w:rPr>
          <w:rFonts w:hint="eastAsia" w:ascii="宋体" w:hAnsi="宋体" w:eastAsia="宋体" w:cs="宋体"/>
          <w:i/>
          <w:iCs w:val="0"/>
          <w:color w:val="000000"/>
          <w:highlight w:val="none"/>
          <w:u w:val="none"/>
        </w:rPr>
        <w:t>符合性检查响应对照表</w:t>
      </w:r>
    </w:p>
    <w:p w14:paraId="48EFFF5A">
      <w:pPr>
        <w:pStyle w:val="17"/>
        <w:spacing w:beforeAutospacing="0" w:afterAutospacing="0"/>
        <w:ind w:left="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四</w:t>
      </w:r>
      <w:r>
        <w:rPr>
          <w:rFonts w:hint="eastAsia" w:ascii="宋体" w:hAnsi="宋体" w:eastAsia="宋体" w:cs="宋体"/>
          <w:i w:val="0"/>
          <w:iCs/>
          <w:color w:val="000000"/>
          <w:highlight w:val="none"/>
          <w:u w:val="none"/>
        </w:rPr>
        <w:t>、开标一览表</w:t>
      </w:r>
    </w:p>
    <w:p w14:paraId="161CCAB1">
      <w:pPr>
        <w:widowControl/>
        <w:spacing w:before="50" w:after="50"/>
        <w:ind w:firstLine="480" w:firstLineChars="200"/>
        <w:rPr>
          <w:rFonts w:ascii="宋体" w:hAnsi="宋体" w:eastAsia="宋体" w:cs="宋体"/>
          <w:i w:val="0"/>
          <w:iCs/>
          <w:color w:val="000000"/>
          <w:kern w:val="0"/>
          <w:sz w:val="24"/>
          <w:highlight w:val="none"/>
          <w:u w:val="none"/>
        </w:rPr>
      </w:pPr>
      <w:r>
        <w:rPr>
          <w:rFonts w:hint="eastAsia" w:ascii="宋体" w:hAnsi="宋体" w:eastAsia="宋体" w:cs="宋体"/>
          <w:i w:val="0"/>
          <w:iCs/>
          <w:color w:val="000000"/>
          <w:kern w:val="0"/>
          <w:sz w:val="24"/>
          <w:highlight w:val="none"/>
          <w:u w:val="none"/>
        </w:rPr>
        <w:t>十</w:t>
      </w:r>
      <w:r>
        <w:rPr>
          <w:rFonts w:hint="eastAsia" w:ascii="宋体" w:hAnsi="宋体" w:eastAsia="宋体" w:cs="宋体"/>
          <w:i w:val="0"/>
          <w:iCs/>
          <w:color w:val="000000"/>
          <w:kern w:val="0"/>
          <w:sz w:val="24"/>
          <w:highlight w:val="none"/>
          <w:u w:val="none"/>
          <w:lang w:val="en-US" w:eastAsia="zh-CN"/>
        </w:rPr>
        <w:t>五</w:t>
      </w:r>
      <w:r>
        <w:rPr>
          <w:rFonts w:hint="eastAsia" w:ascii="宋体" w:hAnsi="宋体" w:eastAsia="宋体" w:cs="宋体"/>
          <w:i w:val="0"/>
          <w:iCs/>
          <w:color w:val="000000"/>
          <w:kern w:val="0"/>
          <w:sz w:val="24"/>
          <w:highlight w:val="none"/>
          <w:u w:val="none"/>
        </w:rPr>
        <w:t>、技术方案、服务承诺、培训承诺等</w:t>
      </w:r>
    </w:p>
    <w:p w14:paraId="138E25DE">
      <w:pPr>
        <w:pStyle w:val="17"/>
        <w:spacing w:beforeAutospacing="0" w:afterAutospacing="0" w:line="360" w:lineRule="auto"/>
        <w:ind w:firstLine="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六</w:t>
      </w:r>
      <w:r>
        <w:rPr>
          <w:rFonts w:hint="eastAsia" w:ascii="宋体" w:hAnsi="宋体" w:eastAsia="宋体" w:cs="宋体"/>
          <w:i w:val="0"/>
          <w:iCs/>
          <w:color w:val="000000"/>
          <w:highlight w:val="none"/>
          <w:u w:val="none"/>
        </w:rPr>
        <w:t>、盐城市政府采购事前信用承诺书</w:t>
      </w:r>
    </w:p>
    <w:p w14:paraId="2B4328CE">
      <w:pPr>
        <w:pStyle w:val="17"/>
        <w:spacing w:beforeAutospacing="0" w:afterAutospacing="0" w:line="0" w:lineRule="atLeast"/>
        <w:ind w:firstLine="480"/>
        <w:jc w:val="both"/>
        <w:rPr>
          <w:rFonts w:ascii="宋体" w:hAnsi="宋体" w:eastAsia="宋体" w:cs="宋体"/>
          <w:color w:val="000000"/>
          <w:highlight w:val="none"/>
        </w:rPr>
      </w:pPr>
    </w:p>
    <w:p w14:paraId="77C0513D">
      <w:pPr>
        <w:pStyle w:val="17"/>
        <w:spacing w:beforeAutospacing="0" w:afterAutospacing="0" w:line="0" w:lineRule="atLeast"/>
        <w:ind w:firstLine="480"/>
        <w:jc w:val="both"/>
        <w:rPr>
          <w:rFonts w:ascii="宋体" w:hAnsi="宋体" w:eastAsia="宋体" w:cs="宋体"/>
          <w:color w:val="000000"/>
          <w:highlight w:val="none"/>
        </w:rPr>
      </w:pPr>
    </w:p>
    <w:p w14:paraId="28A2EEB9">
      <w:pPr>
        <w:pStyle w:val="17"/>
        <w:spacing w:beforeAutospacing="0" w:afterAutospacing="0" w:line="0" w:lineRule="atLeast"/>
        <w:ind w:firstLine="480"/>
        <w:jc w:val="both"/>
        <w:rPr>
          <w:highlight w:val="none"/>
        </w:rPr>
      </w:pPr>
      <w:r>
        <w:rPr>
          <w:highlight w:val="none"/>
        </w:rPr>
        <w:t> </w:t>
      </w:r>
    </w:p>
    <w:p w14:paraId="400734C6">
      <w:pPr>
        <w:pStyle w:val="17"/>
        <w:spacing w:beforeAutospacing="0" w:afterAutospacing="0" w:line="0" w:lineRule="atLeast"/>
        <w:ind w:firstLine="480"/>
        <w:jc w:val="both"/>
        <w:rPr>
          <w:highlight w:val="none"/>
        </w:rPr>
      </w:pPr>
      <w:r>
        <w:rPr>
          <w:highlight w:val="none"/>
        </w:rPr>
        <w:t> </w:t>
      </w:r>
    </w:p>
    <w:p w14:paraId="41206A44">
      <w:pPr>
        <w:pStyle w:val="17"/>
        <w:spacing w:beforeAutospacing="0" w:afterAutospacing="0" w:line="0" w:lineRule="atLeast"/>
        <w:ind w:firstLine="480"/>
        <w:jc w:val="both"/>
        <w:rPr>
          <w:highlight w:val="none"/>
        </w:rPr>
      </w:pPr>
      <w:r>
        <w:rPr>
          <w:highlight w:val="none"/>
        </w:rPr>
        <w:t> </w:t>
      </w:r>
    </w:p>
    <w:p w14:paraId="7E08E7EC">
      <w:pPr>
        <w:pStyle w:val="17"/>
        <w:spacing w:beforeAutospacing="0" w:afterAutospacing="0" w:line="0" w:lineRule="atLeast"/>
        <w:ind w:firstLine="480"/>
        <w:jc w:val="both"/>
        <w:rPr>
          <w:highlight w:val="none"/>
        </w:rPr>
      </w:pPr>
      <w:r>
        <w:rPr>
          <w:highlight w:val="none"/>
        </w:rPr>
        <w:t> </w:t>
      </w:r>
    </w:p>
    <w:p w14:paraId="22FD2207">
      <w:pPr>
        <w:pStyle w:val="17"/>
        <w:spacing w:beforeAutospacing="0" w:afterAutospacing="0" w:line="0" w:lineRule="atLeast"/>
        <w:ind w:firstLine="480"/>
        <w:jc w:val="both"/>
        <w:rPr>
          <w:highlight w:val="none"/>
        </w:rPr>
      </w:pPr>
    </w:p>
    <w:p w14:paraId="5C7EF343">
      <w:pPr>
        <w:pStyle w:val="17"/>
        <w:spacing w:beforeAutospacing="0" w:afterAutospacing="0" w:line="0" w:lineRule="atLeast"/>
        <w:ind w:firstLine="480"/>
        <w:jc w:val="both"/>
        <w:rPr>
          <w:highlight w:val="none"/>
        </w:rPr>
      </w:pPr>
    </w:p>
    <w:p w14:paraId="36B01A60">
      <w:pPr>
        <w:pStyle w:val="17"/>
        <w:spacing w:beforeAutospacing="0" w:afterAutospacing="0" w:line="0" w:lineRule="atLeast"/>
        <w:ind w:firstLine="480"/>
        <w:jc w:val="both"/>
        <w:rPr>
          <w:highlight w:val="none"/>
        </w:rPr>
      </w:pPr>
    </w:p>
    <w:p w14:paraId="02254F24">
      <w:pPr>
        <w:pStyle w:val="17"/>
        <w:spacing w:beforeAutospacing="0" w:afterAutospacing="0" w:line="0" w:lineRule="atLeast"/>
        <w:ind w:firstLine="480"/>
        <w:jc w:val="both"/>
        <w:rPr>
          <w:highlight w:val="none"/>
        </w:rPr>
      </w:pPr>
    </w:p>
    <w:p w14:paraId="4AB0D669">
      <w:pPr>
        <w:pStyle w:val="17"/>
        <w:spacing w:beforeAutospacing="0" w:afterAutospacing="0" w:line="0" w:lineRule="atLeast"/>
        <w:ind w:firstLine="480"/>
        <w:jc w:val="both"/>
        <w:rPr>
          <w:highlight w:val="none"/>
        </w:rPr>
      </w:pPr>
    </w:p>
    <w:p w14:paraId="083788F3">
      <w:pPr>
        <w:pStyle w:val="17"/>
        <w:spacing w:beforeAutospacing="0" w:afterAutospacing="0" w:line="0" w:lineRule="atLeast"/>
        <w:ind w:firstLine="480"/>
        <w:jc w:val="both"/>
        <w:rPr>
          <w:highlight w:val="none"/>
        </w:rPr>
      </w:pPr>
    </w:p>
    <w:p w14:paraId="1EC8B59E">
      <w:pPr>
        <w:pStyle w:val="17"/>
        <w:spacing w:beforeAutospacing="0" w:afterAutospacing="0" w:line="0" w:lineRule="atLeast"/>
        <w:ind w:firstLine="480"/>
        <w:jc w:val="both"/>
        <w:rPr>
          <w:highlight w:val="none"/>
        </w:rPr>
      </w:pPr>
    </w:p>
    <w:p w14:paraId="02056A74">
      <w:pPr>
        <w:pStyle w:val="17"/>
        <w:spacing w:beforeAutospacing="0" w:afterAutospacing="0" w:line="0" w:lineRule="atLeast"/>
        <w:ind w:firstLine="480"/>
        <w:jc w:val="both"/>
        <w:rPr>
          <w:highlight w:val="none"/>
        </w:rPr>
      </w:pPr>
    </w:p>
    <w:p w14:paraId="220C742C">
      <w:pPr>
        <w:pStyle w:val="17"/>
        <w:spacing w:beforeAutospacing="0" w:afterAutospacing="0" w:line="0" w:lineRule="atLeast"/>
        <w:ind w:firstLine="480"/>
        <w:jc w:val="both"/>
        <w:rPr>
          <w:highlight w:val="none"/>
        </w:rPr>
      </w:pPr>
    </w:p>
    <w:p w14:paraId="19D49FFD">
      <w:pPr>
        <w:pStyle w:val="17"/>
        <w:spacing w:beforeAutospacing="0" w:afterAutospacing="0" w:line="0" w:lineRule="atLeast"/>
        <w:ind w:firstLine="480"/>
        <w:jc w:val="both"/>
        <w:rPr>
          <w:highlight w:val="none"/>
        </w:rPr>
      </w:pPr>
    </w:p>
    <w:p w14:paraId="5593769B">
      <w:pPr>
        <w:pStyle w:val="17"/>
        <w:spacing w:beforeAutospacing="0" w:afterAutospacing="0" w:line="0" w:lineRule="atLeast"/>
        <w:ind w:firstLine="480"/>
        <w:jc w:val="both"/>
        <w:rPr>
          <w:highlight w:val="none"/>
        </w:rPr>
      </w:pPr>
    </w:p>
    <w:p w14:paraId="75F6EE61">
      <w:pPr>
        <w:pStyle w:val="17"/>
        <w:spacing w:beforeAutospacing="0" w:afterAutospacing="0" w:line="0" w:lineRule="atLeast"/>
        <w:ind w:firstLine="480"/>
        <w:jc w:val="both"/>
        <w:rPr>
          <w:highlight w:val="none"/>
        </w:rPr>
      </w:pPr>
    </w:p>
    <w:p w14:paraId="31558438">
      <w:pPr>
        <w:pStyle w:val="17"/>
        <w:spacing w:beforeAutospacing="0" w:afterAutospacing="0" w:line="0" w:lineRule="atLeast"/>
        <w:ind w:firstLine="480"/>
        <w:jc w:val="both"/>
        <w:rPr>
          <w:highlight w:val="none"/>
        </w:rPr>
      </w:pPr>
    </w:p>
    <w:p w14:paraId="28CCB0B1">
      <w:pPr>
        <w:pStyle w:val="17"/>
        <w:spacing w:beforeAutospacing="0" w:afterAutospacing="0" w:line="0" w:lineRule="atLeast"/>
        <w:ind w:firstLine="480"/>
        <w:jc w:val="both"/>
        <w:rPr>
          <w:highlight w:val="none"/>
        </w:rPr>
      </w:pPr>
    </w:p>
    <w:p w14:paraId="6AC28CB2">
      <w:pPr>
        <w:pStyle w:val="17"/>
        <w:spacing w:beforeAutospacing="0" w:afterAutospacing="0" w:line="0" w:lineRule="atLeast"/>
        <w:ind w:firstLine="480"/>
        <w:jc w:val="both"/>
        <w:rPr>
          <w:highlight w:val="none"/>
        </w:rPr>
      </w:pPr>
    </w:p>
    <w:p w14:paraId="7D102F90">
      <w:pPr>
        <w:pStyle w:val="17"/>
        <w:spacing w:beforeAutospacing="0" w:afterAutospacing="0" w:line="0" w:lineRule="atLeast"/>
        <w:ind w:firstLine="480"/>
        <w:jc w:val="both"/>
        <w:rPr>
          <w:highlight w:val="none"/>
        </w:rPr>
      </w:pPr>
    </w:p>
    <w:p w14:paraId="69E86489">
      <w:pPr>
        <w:pStyle w:val="17"/>
        <w:spacing w:beforeAutospacing="0" w:afterAutospacing="0" w:line="0" w:lineRule="atLeast"/>
        <w:ind w:firstLine="480"/>
        <w:jc w:val="both"/>
        <w:rPr>
          <w:highlight w:val="none"/>
        </w:rPr>
      </w:pPr>
      <w:r>
        <w:rPr>
          <w:highlight w:val="none"/>
        </w:rPr>
        <w:t> </w:t>
      </w:r>
    </w:p>
    <w:p w14:paraId="583B5796">
      <w:pPr>
        <w:pStyle w:val="17"/>
        <w:spacing w:beforeAutospacing="0" w:afterAutospacing="0" w:line="0" w:lineRule="atLeast"/>
        <w:ind w:firstLine="480"/>
        <w:jc w:val="both"/>
        <w:rPr>
          <w:highlight w:val="none"/>
        </w:rPr>
      </w:pPr>
      <w:r>
        <w:rPr>
          <w:highlight w:val="none"/>
        </w:rPr>
        <w:t> </w:t>
      </w:r>
    </w:p>
    <w:p w14:paraId="65A71E3F">
      <w:pPr>
        <w:pStyle w:val="17"/>
        <w:spacing w:beforeAutospacing="0" w:afterAutospacing="0" w:line="0" w:lineRule="atLeast"/>
        <w:ind w:firstLine="480"/>
        <w:jc w:val="both"/>
        <w:rPr>
          <w:highlight w:val="none"/>
        </w:rPr>
      </w:pPr>
      <w:r>
        <w:rPr>
          <w:highlight w:val="none"/>
        </w:rPr>
        <w:t> </w:t>
      </w:r>
    </w:p>
    <w:p w14:paraId="3AFD48EA">
      <w:pPr>
        <w:pStyle w:val="17"/>
        <w:spacing w:beforeAutospacing="0" w:afterAutospacing="0" w:line="0" w:lineRule="atLeast"/>
        <w:jc w:val="both"/>
        <w:rPr>
          <w:rFonts w:hint="eastAsia" w:eastAsia="黑体"/>
          <w:highlight w:val="none"/>
          <w:lang w:eastAsia="zh-CN"/>
        </w:rPr>
      </w:pPr>
      <w:r>
        <w:rPr>
          <w:rFonts w:hint="eastAsia" w:ascii="黑体" w:hAnsi="宋体" w:eastAsia="黑体" w:cs="黑体"/>
          <w:i/>
          <w:color w:val="000000"/>
          <w:sz w:val="32"/>
          <w:szCs w:val="32"/>
          <w:highlight w:val="none"/>
          <w:u w:val="single"/>
        </w:rPr>
        <w:t>一、法人或者其他组织的营业执照等证明文件，自然人的身份证明</w:t>
      </w:r>
      <w:r>
        <w:rPr>
          <w:rFonts w:hint="eastAsia" w:ascii="黑体" w:hAnsi="宋体" w:eastAsia="黑体" w:cs="黑体"/>
          <w:i/>
          <w:color w:val="000000"/>
          <w:sz w:val="32"/>
          <w:szCs w:val="32"/>
          <w:highlight w:val="none"/>
          <w:u w:val="single"/>
          <w:lang w:eastAsia="zh-CN"/>
        </w:rPr>
        <w:t>；</w:t>
      </w:r>
    </w:p>
    <w:p w14:paraId="20683007">
      <w:pPr>
        <w:pStyle w:val="17"/>
        <w:spacing w:beforeAutospacing="0" w:afterAutospacing="0" w:line="0" w:lineRule="atLeast"/>
        <w:ind w:firstLine="480"/>
        <w:jc w:val="both"/>
        <w:rPr>
          <w:highlight w:val="none"/>
        </w:rPr>
      </w:pPr>
      <w:r>
        <w:rPr>
          <w:highlight w:val="none"/>
        </w:rPr>
        <w:t> </w:t>
      </w:r>
    </w:p>
    <w:p w14:paraId="31F29E3F">
      <w:pPr>
        <w:pStyle w:val="17"/>
        <w:spacing w:beforeAutospacing="0" w:afterAutospacing="0"/>
        <w:jc w:val="both"/>
        <w:outlineLvl w:val="0"/>
        <w:rPr>
          <w:rFonts w:hint="eastAsia" w:eastAsia="黑体"/>
          <w:highlight w:val="none"/>
          <w:lang w:val="en-US" w:eastAsia="zh-CN"/>
        </w:rPr>
      </w:pPr>
      <w:r>
        <w:rPr>
          <w:rFonts w:hint="eastAsia" w:ascii="黑体" w:hAnsi="宋体" w:eastAsia="黑体" w:cs="黑体"/>
          <w:i/>
          <w:color w:val="000000"/>
          <w:sz w:val="32"/>
          <w:szCs w:val="32"/>
          <w:highlight w:val="none"/>
          <w:u w:val="single"/>
        </w:rPr>
        <w:t>二、上一年度的财务状况报</w:t>
      </w:r>
      <w:r>
        <w:rPr>
          <w:rFonts w:hint="eastAsia" w:ascii="黑体" w:hAnsi="宋体" w:eastAsia="黑体" w:cs="黑体"/>
          <w:i/>
          <w:color w:val="000000"/>
          <w:sz w:val="32"/>
          <w:szCs w:val="32"/>
          <w:highlight w:val="none"/>
          <w:u w:val="single"/>
          <w:lang w:val="en-US" w:eastAsia="zh-CN"/>
        </w:rPr>
        <w:t>表；</w:t>
      </w:r>
    </w:p>
    <w:p w14:paraId="057FE733">
      <w:pPr>
        <w:tabs>
          <w:tab w:val="left" w:pos="1331"/>
        </w:tabs>
        <w:bidi w:val="0"/>
        <w:jc w:val="left"/>
        <w:rPr>
          <w:rFonts w:hint="eastAsia" w:ascii="宋体" w:hAnsi="宋体" w:eastAsia="宋体" w:cs="宋体"/>
          <w:i w:val="0"/>
          <w:iCs/>
          <w:color w:val="000000"/>
          <w:kern w:val="0"/>
          <w:sz w:val="24"/>
          <w:szCs w:val="24"/>
          <w:highlight w:val="none"/>
          <w:u w:val="none"/>
          <w:lang w:val="en-US" w:eastAsia="zh-CN" w:bidi="ar-SA"/>
        </w:rPr>
      </w:pPr>
      <w:r>
        <w:rPr>
          <w:rFonts w:hint="eastAsia" w:ascii="宋体" w:hAnsi="宋体" w:eastAsia="宋体" w:cs="宋体"/>
          <w:i w:val="0"/>
          <w:iCs/>
          <w:color w:val="000000"/>
          <w:kern w:val="0"/>
          <w:sz w:val="24"/>
          <w:szCs w:val="24"/>
          <w:highlight w:val="none"/>
          <w:u w:val="none"/>
          <w:lang w:val="en-US" w:eastAsia="zh-CN" w:bidi="ar-SA"/>
        </w:rPr>
        <w:t>（至少提供资产负债表、利润表、现金流量表，投标人成立不满一年无需提供）</w:t>
      </w:r>
    </w:p>
    <w:p w14:paraId="63180049">
      <w:pPr>
        <w:pStyle w:val="17"/>
        <w:spacing w:beforeAutospacing="0" w:afterAutospacing="0"/>
        <w:jc w:val="both"/>
        <w:rPr>
          <w:highlight w:val="none"/>
        </w:rPr>
      </w:pPr>
    </w:p>
    <w:p w14:paraId="7F1E7E29">
      <w:pPr>
        <w:pStyle w:val="17"/>
        <w:spacing w:beforeAutospacing="0" w:afterAutospacing="0"/>
        <w:jc w:val="both"/>
        <w:outlineLvl w:val="0"/>
        <w:rPr>
          <w:rFonts w:hint="eastAsia" w:eastAsia="黑体"/>
          <w:highlight w:val="none"/>
          <w:lang w:eastAsia="zh-CN"/>
        </w:rPr>
      </w:pPr>
      <w:r>
        <w:rPr>
          <w:rFonts w:hint="eastAsia" w:ascii="黑体" w:hAnsi="宋体" w:eastAsia="黑体" w:cs="黑体"/>
          <w:i/>
          <w:color w:val="000000"/>
          <w:sz w:val="32"/>
          <w:szCs w:val="32"/>
          <w:highlight w:val="none"/>
          <w:u w:val="single"/>
          <w:lang w:val="en-US" w:eastAsia="zh-CN"/>
        </w:rPr>
        <w:t>三</w:t>
      </w:r>
      <w:r>
        <w:rPr>
          <w:rFonts w:hint="eastAsia" w:ascii="黑体" w:hAnsi="宋体" w:eastAsia="黑体" w:cs="黑体"/>
          <w:i/>
          <w:color w:val="000000"/>
          <w:sz w:val="32"/>
          <w:szCs w:val="32"/>
          <w:highlight w:val="none"/>
          <w:u w:val="single"/>
        </w:rPr>
        <w:t>、具备履行合同所必需的设备和专业技术能力的书面声明</w:t>
      </w:r>
      <w:r>
        <w:rPr>
          <w:rFonts w:hint="eastAsia" w:ascii="黑体" w:hAnsi="宋体" w:eastAsia="黑体" w:cs="黑体"/>
          <w:i/>
          <w:color w:val="000000"/>
          <w:sz w:val="32"/>
          <w:szCs w:val="32"/>
          <w:highlight w:val="none"/>
          <w:u w:val="single"/>
          <w:lang w:eastAsia="zh-CN"/>
        </w:rPr>
        <w:t>；</w:t>
      </w:r>
    </w:p>
    <w:p w14:paraId="472E9ABD">
      <w:pPr>
        <w:pStyle w:val="17"/>
        <w:spacing w:beforeAutospacing="0" w:afterAutospacing="0" w:line="0" w:lineRule="atLeast"/>
        <w:ind w:firstLine="492"/>
        <w:jc w:val="both"/>
        <w:rPr>
          <w:highlight w:val="none"/>
        </w:rPr>
      </w:pPr>
      <w:r>
        <w:rPr>
          <w:rFonts w:hint="eastAsia" w:ascii="宋体" w:hAnsi="宋体" w:eastAsia="宋体" w:cs="宋体"/>
          <w:color w:val="000000"/>
          <w:highlight w:val="none"/>
        </w:rPr>
        <w:t>我单位郑重声明：我单位具备履行本项采购合同所必需的设备和专业技术能力，为履行本项采购合同我公司具备如下主要设备和主要专业技术能力：</w:t>
      </w:r>
    </w:p>
    <w:p w14:paraId="2987A767">
      <w:pPr>
        <w:pStyle w:val="17"/>
        <w:spacing w:beforeAutospacing="0" w:afterAutospacing="0" w:line="0" w:lineRule="atLeast"/>
        <w:ind w:firstLine="492"/>
        <w:jc w:val="both"/>
        <w:rPr>
          <w:highlight w:val="none"/>
        </w:rPr>
      </w:pPr>
      <w:r>
        <w:rPr>
          <w:rFonts w:hint="eastAsia" w:ascii="宋体" w:hAnsi="宋体" w:eastAsia="宋体" w:cs="宋体"/>
          <w:color w:val="000000"/>
          <w:highlight w:val="none"/>
        </w:rPr>
        <w:t>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14:paraId="3BCA7677">
      <w:pPr>
        <w:pStyle w:val="17"/>
        <w:spacing w:beforeAutospacing="0" w:afterAutospacing="0"/>
        <w:jc w:val="both"/>
        <w:rPr>
          <w:rFonts w:hint="eastAsia" w:ascii="宋体" w:hAnsi="宋体" w:eastAsia="宋体" w:cs="宋体"/>
          <w:color w:val="000000"/>
          <w:highlight w:val="none"/>
        </w:rPr>
      </w:pPr>
      <w:r>
        <w:rPr>
          <w:rFonts w:hint="eastAsia" w:ascii="宋体" w:hAnsi="宋体" w:eastAsia="宋体" w:cs="宋体"/>
          <w:color w:val="000000"/>
          <w:highlight w:val="none"/>
        </w:rPr>
        <w:t>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14:paraId="7E763E7C">
      <w:pPr>
        <w:pStyle w:val="17"/>
        <w:spacing w:beforeAutospacing="0" w:afterAutospacing="0"/>
        <w:jc w:val="both"/>
        <w:outlineLvl w:val="0"/>
        <w:rPr>
          <w:rFonts w:hint="eastAsia" w:eastAsia="黑体"/>
          <w:highlight w:val="none"/>
          <w:lang w:eastAsia="zh-CN"/>
        </w:rPr>
      </w:pPr>
      <w:r>
        <w:rPr>
          <w:rFonts w:hint="eastAsia" w:ascii="黑体" w:hAnsi="宋体" w:eastAsia="黑体" w:cs="黑体"/>
          <w:i/>
          <w:color w:val="000000"/>
          <w:sz w:val="32"/>
          <w:szCs w:val="32"/>
          <w:highlight w:val="none"/>
          <w:u w:val="single"/>
          <w:lang w:val="en-US" w:eastAsia="zh-CN"/>
        </w:rPr>
        <w:t>四</w:t>
      </w:r>
      <w:r>
        <w:rPr>
          <w:rFonts w:hint="eastAsia" w:ascii="黑体" w:hAnsi="宋体" w:eastAsia="黑体" w:cs="黑体"/>
          <w:i/>
          <w:color w:val="000000"/>
          <w:sz w:val="32"/>
          <w:szCs w:val="32"/>
          <w:highlight w:val="none"/>
          <w:u w:val="single"/>
        </w:rPr>
        <w:t>、依法缴纳税收和社会保障资金的相关材料</w:t>
      </w:r>
      <w:r>
        <w:rPr>
          <w:rFonts w:hint="eastAsia" w:ascii="黑体" w:hAnsi="宋体" w:eastAsia="黑体" w:cs="黑体"/>
          <w:i/>
          <w:color w:val="000000"/>
          <w:sz w:val="32"/>
          <w:szCs w:val="32"/>
          <w:highlight w:val="none"/>
          <w:u w:val="single"/>
          <w:lang w:eastAsia="zh-CN"/>
        </w:rPr>
        <w:t>；</w:t>
      </w:r>
    </w:p>
    <w:p w14:paraId="573B755F">
      <w:pPr>
        <w:pStyle w:val="17"/>
        <w:spacing w:beforeAutospacing="0" w:afterAutospacing="0"/>
        <w:ind w:firstLine="480"/>
        <w:jc w:val="both"/>
        <w:rPr>
          <w:highlight w:val="none"/>
        </w:rPr>
      </w:pPr>
      <w:bookmarkStart w:id="196" w:name="_Toc120614284"/>
      <w:r>
        <w:rPr>
          <w:rFonts w:hint="eastAsia" w:ascii="宋体" w:hAnsi="宋体" w:eastAsia="宋体" w:cs="宋体"/>
          <w:color w:val="000000"/>
          <w:highlight w:val="none"/>
        </w:rPr>
        <w:t>提供提交投标文件截止时间前一年内至少一个月依法缴纳税收及缴纳社会保障资金的证明材料。投标人依法享受缓缴、免缴税收、社会保障资金的提供证明材料。</w:t>
      </w:r>
      <w:bookmarkEnd w:id="196"/>
    </w:p>
    <w:p w14:paraId="363F6DD6">
      <w:pPr>
        <w:pStyle w:val="17"/>
        <w:spacing w:beforeAutospacing="0" w:afterAutospacing="0"/>
        <w:jc w:val="both"/>
        <w:outlineLvl w:val="0"/>
        <w:rPr>
          <w:highlight w:val="none"/>
        </w:rPr>
      </w:pPr>
      <w:r>
        <w:rPr>
          <w:rFonts w:hint="eastAsia" w:ascii="黑体" w:hAnsi="宋体" w:eastAsia="黑体" w:cs="黑体"/>
          <w:i/>
          <w:color w:val="000000"/>
          <w:sz w:val="32"/>
          <w:szCs w:val="32"/>
          <w:highlight w:val="none"/>
          <w:u w:val="single"/>
        </w:rPr>
        <w:t>五、参加政府采购活动前 3 年内在经营活动中没有重大违法记录的书面声明</w:t>
      </w:r>
    </w:p>
    <w:p w14:paraId="493AC879">
      <w:pPr>
        <w:pStyle w:val="17"/>
        <w:spacing w:beforeAutospacing="0" w:afterAutospacing="0" w:line="0" w:lineRule="atLeast"/>
        <w:jc w:val="both"/>
        <w:rPr>
          <w:highlight w:val="none"/>
        </w:rPr>
      </w:pPr>
      <w:r>
        <w:rPr>
          <w:rFonts w:hint="eastAsia" w:ascii="宋体" w:hAnsi="宋体" w:eastAsia="宋体" w:cs="宋体"/>
          <w:b/>
          <w:color w:val="000000"/>
          <w:sz w:val="44"/>
          <w:szCs w:val="44"/>
          <w:highlight w:val="none"/>
        </w:rPr>
        <w:t>       声  明</w:t>
      </w:r>
    </w:p>
    <w:p w14:paraId="41791563">
      <w:pPr>
        <w:pStyle w:val="17"/>
        <w:spacing w:beforeAutospacing="0" w:afterAutospacing="0" w:line="0" w:lineRule="atLeast"/>
        <w:jc w:val="both"/>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我单位郑重声明：参加本次政府采购活动前 3 年内，我单位在经营活动中没有因违法经营受到刑事处罚或者责令停产停业、吊销许可证或者执照、较大数额罚款等行政处罚。</w:t>
      </w:r>
    </w:p>
    <w:p w14:paraId="6119E2AF">
      <w:pPr>
        <w:pStyle w:val="17"/>
        <w:spacing w:beforeAutospacing="0" w:afterAutospacing="0"/>
        <w:jc w:val="both"/>
        <w:rPr>
          <w:highlight w:val="none"/>
        </w:rPr>
      </w:pPr>
      <w:r>
        <w:rPr>
          <w:highlight w:val="none"/>
        </w:rPr>
        <w:t> </w:t>
      </w:r>
    </w:p>
    <w:p w14:paraId="355C0235">
      <w:pPr>
        <w:jc w:val="both"/>
        <w:outlineLvl w:val="0"/>
        <w:rPr>
          <w:rFonts w:hint="eastAsia" w:ascii="黑体" w:hAnsi="黑体" w:eastAsia="黑体"/>
          <w:i/>
          <w:color w:val="000000"/>
          <w:sz w:val="32"/>
          <w:szCs w:val="32"/>
          <w:u w:val="single"/>
        </w:rPr>
      </w:pPr>
      <w:r>
        <w:rPr>
          <w:rFonts w:hint="eastAsia" w:ascii="黑体" w:hAnsi="黑体" w:eastAsia="黑体"/>
          <w:i/>
          <w:color w:val="000000"/>
          <w:sz w:val="32"/>
          <w:szCs w:val="32"/>
          <w:u w:val="single"/>
          <w:lang w:val="en-US" w:eastAsia="zh-CN"/>
        </w:rPr>
        <w:t>六</w:t>
      </w:r>
      <w:r>
        <w:rPr>
          <w:rFonts w:hint="eastAsia" w:ascii="黑体" w:hAnsi="黑体" w:eastAsia="黑体"/>
          <w:i/>
          <w:color w:val="000000"/>
          <w:sz w:val="32"/>
          <w:szCs w:val="32"/>
          <w:u w:val="single"/>
        </w:rPr>
        <w:t>、单位负责人为同一人或者存在直接控股、服务关系的不同</w:t>
      </w:r>
      <w:r>
        <w:rPr>
          <w:rFonts w:hint="eastAsia" w:ascii="黑体" w:hAnsi="黑体" w:eastAsia="黑体"/>
          <w:i/>
          <w:color w:val="000000"/>
          <w:sz w:val="32"/>
          <w:szCs w:val="32"/>
          <w:u w:val="single"/>
          <w:lang w:eastAsia="zh-CN"/>
        </w:rPr>
        <w:t>投标人</w:t>
      </w:r>
      <w:r>
        <w:rPr>
          <w:rFonts w:hint="eastAsia" w:ascii="黑体" w:hAnsi="黑体" w:eastAsia="黑体"/>
          <w:i/>
          <w:color w:val="000000"/>
          <w:sz w:val="32"/>
          <w:szCs w:val="32"/>
          <w:u w:val="single"/>
        </w:rPr>
        <w:t>，不得参加同一合同项下的政府采购活动。</w:t>
      </w:r>
    </w:p>
    <w:p w14:paraId="5F3E505E">
      <w:pPr>
        <w:pStyle w:val="17"/>
        <w:spacing w:beforeAutospacing="0" w:afterAutospacing="0" w:line="0" w:lineRule="atLeast"/>
        <w:jc w:val="center"/>
      </w:pPr>
      <w:r>
        <w:rPr>
          <w:rFonts w:hint="eastAsia"/>
          <w:b/>
          <w:color w:val="000000"/>
          <w:sz w:val="44"/>
          <w:szCs w:val="44"/>
        </w:rPr>
        <w:t>声  明</w:t>
      </w:r>
    </w:p>
    <w:p w14:paraId="087735F4">
      <w:pPr>
        <w:pStyle w:val="17"/>
        <w:spacing w:beforeAutospacing="0" w:afterAutospacing="0" w:line="0" w:lineRule="atLeast"/>
        <w:ind w:firstLine="480" w:firstLineChars="200"/>
        <w:jc w:val="both"/>
        <w:rPr>
          <w:color w:val="000000"/>
        </w:rPr>
      </w:pPr>
      <w:r>
        <w:rPr>
          <w:rFonts w:hint="eastAsia"/>
          <w:color w:val="000000"/>
        </w:rPr>
        <w:t xml:space="preserve">我单位郑重声明： </w:t>
      </w:r>
    </w:p>
    <w:p w14:paraId="38126C2E">
      <w:pPr>
        <w:pStyle w:val="17"/>
        <w:spacing w:beforeAutospacing="0" w:afterAutospacing="0" w:line="0" w:lineRule="atLeast"/>
        <w:ind w:firstLine="480" w:firstLineChars="200"/>
        <w:jc w:val="both"/>
        <w:rPr>
          <w:rFonts w:hint="eastAsia"/>
        </w:rPr>
      </w:pPr>
      <w:r>
        <w:rPr>
          <w:rFonts w:hint="eastAsia"/>
        </w:rPr>
        <w:t>我单位不存在：单位负责人为同一人或者存在直接控股、服务关系的不同</w:t>
      </w:r>
      <w:r>
        <w:rPr>
          <w:rFonts w:hint="eastAsia"/>
          <w:lang w:eastAsia="zh-CN"/>
        </w:rPr>
        <w:t>投标人</w:t>
      </w:r>
      <w:r>
        <w:rPr>
          <w:rFonts w:hint="eastAsia"/>
        </w:rPr>
        <w:t>，同时参加同一合同项下的政府采购活动。</w:t>
      </w:r>
    </w:p>
    <w:p w14:paraId="45D1BB3A">
      <w:pPr>
        <w:pStyle w:val="17"/>
        <w:spacing w:beforeAutospacing="0" w:afterAutospacing="0" w:line="0" w:lineRule="atLeast"/>
        <w:ind w:firstLine="480" w:firstLineChars="200"/>
        <w:jc w:val="both"/>
        <w:rPr>
          <w:rFonts w:hint="eastAsia"/>
        </w:rPr>
      </w:pPr>
    </w:p>
    <w:p w14:paraId="03822A78">
      <w:pPr>
        <w:pStyle w:val="17"/>
        <w:spacing w:beforeAutospacing="0" w:afterAutospacing="0"/>
        <w:jc w:val="both"/>
        <w:outlineLvl w:val="0"/>
        <w:rPr>
          <w:highlight w:val="none"/>
        </w:rPr>
      </w:pPr>
      <w:r>
        <w:rPr>
          <w:rFonts w:hint="eastAsia" w:ascii="黑体" w:hAnsi="宋体" w:eastAsia="黑体" w:cs="黑体"/>
          <w:i/>
          <w:color w:val="000000"/>
          <w:sz w:val="32"/>
          <w:szCs w:val="32"/>
          <w:highlight w:val="none"/>
          <w:u w:val="single"/>
          <w:lang w:val="en-US" w:eastAsia="zh-CN"/>
        </w:rPr>
        <w:t>七</w:t>
      </w:r>
      <w:r>
        <w:rPr>
          <w:rFonts w:hint="eastAsia" w:ascii="黑体" w:hAnsi="宋体" w:eastAsia="黑体" w:cs="黑体"/>
          <w:i/>
          <w:color w:val="000000"/>
          <w:sz w:val="32"/>
          <w:szCs w:val="32"/>
          <w:highlight w:val="none"/>
          <w:u w:val="single"/>
        </w:rPr>
        <w:t>、特定资格要求的证明文件</w:t>
      </w:r>
    </w:p>
    <w:p w14:paraId="4C7AE4BB">
      <w:pPr>
        <w:pStyle w:val="17"/>
        <w:spacing w:beforeAutospacing="0" w:afterAutospacing="0" w:line="0" w:lineRule="atLeast"/>
        <w:jc w:val="both"/>
        <w:rPr>
          <w:highlight w:val="none"/>
        </w:rPr>
      </w:pPr>
      <w:r>
        <w:rPr>
          <w:rFonts w:hint="eastAsia" w:ascii="宋体" w:hAnsi="宋体" w:eastAsia="宋体" w:cs="宋体"/>
          <w:color w:val="000000"/>
          <w:highlight w:val="none"/>
        </w:rPr>
        <w:t>   投标人须具备一级及以上医疗资质的医院。</w:t>
      </w:r>
    </w:p>
    <w:p w14:paraId="4F82CDD6">
      <w:pPr>
        <w:pStyle w:val="17"/>
        <w:spacing w:beforeAutospacing="0" w:afterAutospacing="0" w:line="0" w:lineRule="atLeast"/>
        <w:jc w:val="both"/>
        <w:rPr>
          <w:highlight w:val="none"/>
        </w:rPr>
      </w:pPr>
      <w:r>
        <w:rPr>
          <w:highlight w:val="none"/>
        </w:rPr>
        <w:t> </w:t>
      </w:r>
    </w:p>
    <w:p w14:paraId="18734FE7">
      <w:pPr>
        <w:pStyle w:val="17"/>
        <w:spacing w:beforeAutospacing="0" w:afterAutospacing="0"/>
        <w:jc w:val="center"/>
        <w:rPr>
          <w:rFonts w:ascii="黑体" w:hAnsi="宋体" w:eastAsia="黑体" w:cs="黑体"/>
          <w:i/>
          <w:color w:val="000000"/>
          <w:sz w:val="32"/>
          <w:szCs w:val="32"/>
          <w:highlight w:val="none"/>
          <w:u w:val="single"/>
        </w:rPr>
      </w:pPr>
    </w:p>
    <w:p w14:paraId="7BAAE054">
      <w:pPr>
        <w:pStyle w:val="17"/>
        <w:spacing w:beforeAutospacing="0" w:afterAutospacing="0"/>
        <w:jc w:val="both"/>
        <w:rPr>
          <w:rFonts w:hint="eastAsia" w:ascii="黑体" w:hAnsi="宋体" w:eastAsia="黑体" w:cs="黑体"/>
          <w:i/>
          <w:color w:val="000000"/>
          <w:sz w:val="32"/>
          <w:szCs w:val="32"/>
          <w:highlight w:val="none"/>
          <w:u w:val="single"/>
        </w:rPr>
      </w:pPr>
    </w:p>
    <w:p w14:paraId="41F5B6B7">
      <w:pPr>
        <w:pStyle w:val="17"/>
        <w:spacing w:beforeAutospacing="0" w:afterAutospacing="0"/>
        <w:jc w:val="both"/>
        <w:rPr>
          <w:rFonts w:hint="eastAsia" w:ascii="黑体" w:hAnsi="宋体" w:eastAsia="黑体" w:cs="黑体"/>
          <w:i/>
          <w:color w:val="000000"/>
          <w:sz w:val="32"/>
          <w:szCs w:val="32"/>
          <w:highlight w:val="none"/>
          <w:u w:val="single"/>
        </w:rPr>
      </w:pPr>
    </w:p>
    <w:p w14:paraId="429D58A5">
      <w:pPr>
        <w:pStyle w:val="17"/>
        <w:spacing w:beforeAutospacing="0" w:afterAutospacing="0"/>
        <w:jc w:val="center"/>
        <w:outlineLvl w:val="0"/>
        <w:rPr>
          <w:highlight w:val="none"/>
        </w:rPr>
      </w:pPr>
      <w:r>
        <w:rPr>
          <w:rFonts w:hint="eastAsia" w:ascii="黑体" w:hAnsi="宋体" w:eastAsia="黑体" w:cs="黑体"/>
          <w:i/>
          <w:color w:val="000000"/>
          <w:sz w:val="32"/>
          <w:szCs w:val="32"/>
          <w:highlight w:val="none"/>
          <w:u w:val="single"/>
          <w:lang w:val="en-US" w:eastAsia="zh-CN"/>
        </w:rPr>
        <w:t>八</w:t>
      </w:r>
      <w:r>
        <w:rPr>
          <w:rFonts w:hint="eastAsia" w:ascii="黑体" w:hAnsi="宋体" w:eastAsia="黑体" w:cs="黑体"/>
          <w:i/>
          <w:color w:val="000000"/>
          <w:sz w:val="32"/>
          <w:szCs w:val="32"/>
          <w:highlight w:val="none"/>
          <w:u w:val="single"/>
        </w:rPr>
        <w:t>、法人授权书</w:t>
      </w:r>
    </w:p>
    <w:p w14:paraId="75371E96">
      <w:pPr>
        <w:pStyle w:val="17"/>
        <w:tabs>
          <w:tab w:val="left" w:pos="360"/>
        </w:tabs>
        <w:spacing w:beforeAutospacing="0" w:afterAutospacing="0"/>
        <w:ind w:firstLine="480"/>
        <w:jc w:val="both"/>
        <w:rPr>
          <w:highlight w:val="none"/>
        </w:rPr>
      </w:pPr>
      <w:r>
        <w:rPr>
          <w:rFonts w:ascii="Times New Roman" w:hAnsi="Times New Roman"/>
          <w:color w:val="000000"/>
          <w:highlight w:val="none"/>
        </w:rPr>
        <w:t>本授权书声明：</w:t>
      </w:r>
      <w:r>
        <w:rPr>
          <w:rFonts w:hint="eastAsia" w:ascii="Times New Roman" w:hAnsi="Times New Roman"/>
          <w:color w:val="000000"/>
          <w:highlight w:val="none"/>
          <w:u w:val="single"/>
          <w:lang w:val="en-US" w:eastAsia="zh-CN"/>
        </w:rPr>
        <w:t xml:space="preserve">   </w:t>
      </w:r>
      <w:r>
        <w:rPr>
          <w:rFonts w:ascii="Times New Roman" w:hAnsi="Times New Roman"/>
          <w:color w:val="000000"/>
          <w:highlight w:val="none"/>
          <w:u w:val="single"/>
        </w:rPr>
        <w:t>（投标人名称）</w:t>
      </w:r>
      <w:r>
        <w:rPr>
          <w:rFonts w:hint="eastAsia" w:ascii="Times New Roman" w:hAnsi="Times New Roman"/>
          <w:color w:val="000000"/>
          <w:highlight w:val="none"/>
          <w:u w:val="single"/>
          <w:lang w:val="en-US" w:eastAsia="zh-CN"/>
        </w:rPr>
        <w:t xml:space="preserve">   </w:t>
      </w:r>
      <w:r>
        <w:rPr>
          <w:rFonts w:ascii="Times New Roman" w:hAnsi="Times New Roman"/>
          <w:color w:val="000000"/>
          <w:highlight w:val="none"/>
        </w:rPr>
        <w:t>授权____</w:t>
      </w:r>
      <w:r>
        <w:rPr>
          <w:rFonts w:ascii="Times New Roman" w:hAnsi="Times New Roman"/>
          <w:color w:val="000000"/>
          <w:highlight w:val="none"/>
          <w:u w:val="single"/>
        </w:rPr>
        <w:t>（被授权人的姓名）</w:t>
      </w:r>
      <w:r>
        <w:rPr>
          <w:rFonts w:hint="eastAsia" w:ascii="Times New Roman" w:hAnsi="Times New Roman"/>
          <w:color w:val="000000"/>
          <w:highlight w:val="none"/>
          <w:u w:val="single"/>
          <w:lang w:val="en-US" w:eastAsia="zh-CN"/>
        </w:rPr>
        <w:t xml:space="preserve">   </w:t>
      </w:r>
      <w:r>
        <w:rPr>
          <w:rFonts w:ascii="Times New Roman" w:hAnsi="Times New Roman"/>
          <w:color w:val="000000"/>
          <w:highlight w:val="none"/>
        </w:rPr>
        <w:t>为我方就</w:t>
      </w:r>
      <w:r>
        <w:rPr>
          <w:rFonts w:hint="eastAsia" w:ascii="Times New Roman" w:hAnsi="Times New Roman"/>
          <w:color w:val="000000"/>
          <w:highlight w:val="none"/>
          <w:u w:val="single"/>
        </w:rPr>
        <w:t>JSZC-320924-SYHY-G2026-0007</w:t>
      </w:r>
      <w:r>
        <w:rPr>
          <w:rFonts w:ascii="Times New Roman" w:hAnsi="Times New Roman"/>
          <w:color w:val="000000"/>
          <w:highlight w:val="none"/>
        </w:rPr>
        <w:t>号项目采购活动的合法代理人，以本单位名义全权处理一切与该项目采购有关的事务。</w:t>
      </w:r>
    </w:p>
    <w:p w14:paraId="3AC9EC25">
      <w:pPr>
        <w:pStyle w:val="17"/>
        <w:tabs>
          <w:tab w:val="left" w:pos="360"/>
        </w:tabs>
        <w:spacing w:beforeAutospacing="0" w:afterAutospacing="0"/>
        <w:ind w:firstLine="480"/>
        <w:jc w:val="both"/>
        <w:rPr>
          <w:highlight w:val="none"/>
        </w:rPr>
      </w:pPr>
      <w:r>
        <w:rPr>
          <w:rFonts w:ascii="Times New Roman" w:hAnsi="Times New Roman"/>
          <w:color w:val="000000"/>
          <w:highlight w:val="none"/>
        </w:rPr>
        <w:t>本授权书于______年____月____日起生效，特此声明。</w:t>
      </w:r>
    </w:p>
    <w:p w14:paraId="2DC53DE8">
      <w:pPr>
        <w:pStyle w:val="17"/>
        <w:tabs>
          <w:tab w:val="left" w:pos="360"/>
        </w:tabs>
        <w:spacing w:beforeAutospacing="0" w:afterAutospacing="0"/>
        <w:jc w:val="both"/>
        <w:rPr>
          <w:highlight w:val="none"/>
        </w:rPr>
      </w:pPr>
      <w:r>
        <w:rPr>
          <w:rFonts w:ascii="Times New Roman" w:hAnsi="Times New Roman"/>
          <w:color w:val="000000"/>
          <w:highlight w:val="none"/>
        </w:rPr>
        <w:t>        被授权人身份证号码：</w:t>
      </w:r>
      <w:r>
        <w:rPr>
          <w:rFonts w:ascii="Times New Roman" w:hAnsi="Times New Roman"/>
          <w:color w:val="000000"/>
          <w:highlight w:val="none"/>
          <w:u w:val="single"/>
        </w:rPr>
        <w:t xml:space="preserve">                              </w:t>
      </w:r>
    </w:p>
    <w:p w14:paraId="75D0F0B5">
      <w:pPr>
        <w:pStyle w:val="17"/>
        <w:tabs>
          <w:tab w:val="left" w:pos="360"/>
        </w:tabs>
        <w:spacing w:beforeAutospacing="0" w:afterAutospacing="0"/>
        <w:jc w:val="both"/>
        <w:rPr>
          <w:highlight w:val="none"/>
        </w:rPr>
      </w:pPr>
      <w:r>
        <w:rPr>
          <w:rFonts w:ascii="Times New Roman" w:hAnsi="Times New Roman"/>
          <w:color w:val="000000"/>
          <w:highlight w:val="none"/>
        </w:rPr>
        <w:t>        被授权人联系电话：（手机）</w:t>
      </w:r>
      <w:r>
        <w:rPr>
          <w:rFonts w:ascii="Times New Roman" w:hAnsi="Times New Roman"/>
          <w:color w:val="000000"/>
          <w:highlight w:val="none"/>
          <w:u w:val="single"/>
        </w:rPr>
        <w:t xml:space="preserve">                          </w:t>
      </w:r>
    </w:p>
    <w:p w14:paraId="4FE26A2D">
      <w:pPr>
        <w:pStyle w:val="17"/>
        <w:tabs>
          <w:tab w:val="left" w:pos="360"/>
        </w:tabs>
        <w:spacing w:beforeAutospacing="0" w:afterAutospacing="0"/>
        <w:ind w:firstLine="480" w:firstLineChars="200"/>
        <w:jc w:val="both"/>
        <w:rPr>
          <w:highlight w:val="none"/>
        </w:rPr>
      </w:pPr>
      <w:r>
        <w:rPr>
          <w:rFonts w:ascii="Times New Roman" w:hAnsi="Times New Roman"/>
          <w:color w:val="000000"/>
          <w:highlight w:val="none"/>
        </w:rPr>
        <w:t>授权单位名称：</w:t>
      </w:r>
      <w:r>
        <w:rPr>
          <w:rFonts w:ascii="Times New Roman" w:hAnsi="Times New Roman"/>
          <w:color w:val="000000"/>
          <w:highlight w:val="none"/>
          <w:u w:val="single"/>
        </w:rPr>
        <w:t>（加盖CA电子公章）</w:t>
      </w:r>
    </w:p>
    <w:p w14:paraId="4679057D">
      <w:pPr>
        <w:pStyle w:val="17"/>
        <w:tabs>
          <w:tab w:val="left" w:pos="360"/>
        </w:tabs>
        <w:spacing w:beforeAutospacing="0" w:afterAutospacing="0"/>
        <w:ind w:firstLine="480"/>
        <w:jc w:val="both"/>
        <w:rPr>
          <w:rFonts w:ascii="Times New Roman" w:hAnsi="Times New Roman"/>
          <w:color w:val="000000"/>
          <w:highlight w:val="none"/>
          <w:u w:val="single"/>
        </w:rPr>
      </w:pPr>
      <w:r>
        <w:rPr>
          <w:rFonts w:ascii="Times New Roman" w:hAnsi="Times New Roman"/>
          <w:color w:val="000000"/>
          <w:highlight w:val="none"/>
        </w:rPr>
        <w:t>单位地址：</w:t>
      </w:r>
      <w:r>
        <w:rPr>
          <w:rFonts w:ascii="Times New Roman" w:hAnsi="Times New Roman"/>
          <w:color w:val="000000"/>
          <w:highlight w:val="none"/>
          <w:u w:val="single"/>
        </w:rPr>
        <w:t xml:space="preserve">                                         </w:t>
      </w:r>
    </w:p>
    <w:p w14:paraId="747B88F2">
      <w:pPr>
        <w:pStyle w:val="17"/>
        <w:tabs>
          <w:tab w:val="left" w:pos="360"/>
        </w:tabs>
        <w:spacing w:beforeAutospacing="0" w:afterAutospacing="0"/>
        <w:ind w:firstLine="480"/>
        <w:jc w:val="both"/>
        <w:rPr>
          <w:rFonts w:ascii="Times New Roman" w:hAnsi="Times New Roman"/>
          <w:color w:val="000000"/>
          <w:highlight w:val="none"/>
          <w:u w:val="single"/>
        </w:rPr>
      </w:pPr>
      <w:r>
        <w:rPr>
          <w:rFonts w:ascii="Times New Roman" w:hAnsi="Times New Roman"/>
          <w:color w:val="000000"/>
          <w:highlight w:val="none"/>
        </w:rPr>
        <w:t>日期：</w:t>
      </w:r>
      <w:bookmarkStart w:id="197" w:name="_格式3__银行出具的资信证明"/>
      <w:bookmarkStart w:id="198" w:name="_Hlt26955070"/>
      <w:bookmarkStart w:id="199" w:name="_Hlt26671380"/>
      <w:r>
        <w:rPr>
          <w:rFonts w:ascii="Times New Roman" w:hAnsi="Times New Roman"/>
          <w:color w:val="000000"/>
          <w:highlight w:val="none"/>
          <w:u w:val="single"/>
        </w:rPr>
        <w:t xml:space="preserve">                                         </w:t>
      </w:r>
    </w:p>
    <w:p w14:paraId="19A6E286">
      <w:pPr>
        <w:pStyle w:val="17"/>
        <w:tabs>
          <w:tab w:val="left" w:pos="360"/>
        </w:tabs>
        <w:spacing w:beforeAutospacing="0" w:afterAutospacing="0"/>
        <w:ind w:firstLine="480"/>
        <w:jc w:val="both"/>
        <w:rPr>
          <w:rFonts w:ascii="Times New Roman" w:hAnsi="Times New Roman"/>
          <w:color w:val="000000"/>
          <w:highlight w:val="none"/>
          <w:u w:val="single"/>
        </w:rPr>
      </w:pPr>
    </w:p>
    <w:p w14:paraId="3A9FAA12">
      <w:pPr>
        <w:pStyle w:val="17"/>
        <w:tabs>
          <w:tab w:val="left" w:pos="360"/>
        </w:tabs>
        <w:spacing w:beforeAutospacing="0" w:afterAutospacing="0"/>
        <w:ind w:firstLine="480"/>
        <w:jc w:val="both"/>
        <w:rPr>
          <w:rFonts w:ascii="Times New Roman" w:hAnsi="Times New Roman"/>
          <w:color w:val="000000"/>
          <w:highlight w:val="none"/>
          <w:u w:val="single"/>
        </w:rPr>
      </w:pPr>
    </w:p>
    <w:p w14:paraId="2D2A6C02">
      <w:pPr>
        <w:pStyle w:val="17"/>
        <w:tabs>
          <w:tab w:val="left" w:pos="360"/>
        </w:tabs>
        <w:spacing w:beforeAutospacing="0" w:afterAutospacing="0"/>
        <w:ind w:firstLine="480"/>
        <w:jc w:val="both"/>
        <w:rPr>
          <w:rFonts w:ascii="Times New Roman" w:hAnsi="Times New Roman"/>
          <w:color w:val="000000"/>
          <w:highlight w:val="none"/>
          <w:u w:val="single"/>
        </w:rPr>
      </w:pPr>
    </w:p>
    <w:p w14:paraId="14483D0B">
      <w:pPr>
        <w:pStyle w:val="17"/>
        <w:tabs>
          <w:tab w:val="left" w:pos="360"/>
        </w:tabs>
        <w:spacing w:beforeAutospacing="0" w:afterAutospacing="0"/>
        <w:ind w:firstLine="480"/>
        <w:jc w:val="both"/>
        <w:rPr>
          <w:rFonts w:ascii="Times New Roman" w:hAnsi="Times New Roman"/>
          <w:color w:val="000000"/>
          <w:highlight w:val="none"/>
          <w:u w:val="single"/>
        </w:rPr>
      </w:pPr>
    </w:p>
    <w:p w14:paraId="2E114475">
      <w:pPr>
        <w:pStyle w:val="17"/>
        <w:tabs>
          <w:tab w:val="left" w:pos="360"/>
        </w:tabs>
        <w:spacing w:beforeAutospacing="0" w:afterAutospacing="0"/>
        <w:ind w:firstLine="480"/>
        <w:jc w:val="both"/>
        <w:rPr>
          <w:rFonts w:ascii="Times New Roman" w:hAnsi="Times New Roman"/>
          <w:color w:val="000000"/>
          <w:highlight w:val="none"/>
          <w:u w:val="single"/>
        </w:rPr>
      </w:pPr>
    </w:p>
    <w:p w14:paraId="1D83CC7C">
      <w:pPr>
        <w:pStyle w:val="17"/>
        <w:tabs>
          <w:tab w:val="left" w:pos="360"/>
        </w:tabs>
        <w:spacing w:beforeAutospacing="0" w:afterAutospacing="0"/>
        <w:ind w:firstLine="480"/>
        <w:jc w:val="both"/>
        <w:rPr>
          <w:rFonts w:ascii="Times New Roman" w:hAnsi="Times New Roman"/>
          <w:color w:val="000000"/>
          <w:highlight w:val="none"/>
          <w:u w:val="single"/>
        </w:rPr>
      </w:pPr>
    </w:p>
    <w:p w14:paraId="52A94E6E">
      <w:pPr>
        <w:pStyle w:val="17"/>
        <w:tabs>
          <w:tab w:val="left" w:pos="360"/>
        </w:tabs>
        <w:spacing w:beforeAutospacing="0" w:afterAutospacing="0"/>
        <w:ind w:firstLine="480"/>
        <w:jc w:val="both"/>
        <w:rPr>
          <w:rFonts w:ascii="Times New Roman" w:hAnsi="Times New Roman"/>
          <w:color w:val="000000"/>
          <w:highlight w:val="none"/>
          <w:u w:val="single"/>
        </w:rPr>
      </w:pPr>
    </w:p>
    <w:p w14:paraId="17019C90">
      <w:pPr>
        <w:pStyle w:val="17"/>
        <w:tabs>
          <w:tab w:val="left" w:pos="360"/>
        </w:tabs>
        <w:spacing w:beforeAutospacing="0" w:afterAutospacing="0"/>
        <w:ind w:firstLine="480"/>
        <w:jc w:val="both"/>
        <w:rPr>
          <w:rFonts w:ascii="Times New Roman" w:hAnsi="Times New Roman"/>
          <w:color w:val="000000"/>
          <w:highlight w:val="none"/>
          <w:u w:val="single"/>
        </w:rPr>
      </w:pPr>
    </w:p>
    <w:p w14:paraId="29D39E1D">
      <w:pPr>
        <w:pStyle w:val="17"/>
        <w:tabs>
          <w:tab w:val="left" w:pos="360"/>
        </w:tabs>
        <w:spacing w:beforeAutospacing="0" w:afterAutospacing="0"/>
        <w:ind w:firstLine="480"/>
        <w:jc w:val="both"/>
        <w:rPr>
          <w:rFonts w:ascii="Times New Roman" w:hAnsi="Times New Roman"/>
          <w:color w:val="000000"/>
          <w:highlight w:val="none"/>
          <w:u w:val="single"/>
        </w:rPr>
      </w:pPr>
    </w:p>
    <w:p w14:paraId="0F5ECCB2">
      <w:pPr>
        <w:pStyle w:val="17"/>
        <w:tabs>
          <w:tab w:val="left" w:pos="360"/>
        </w:tabs>
        <w:spacing w:beforeAutospacing="0" w:afterAutospacing="0"/>
        <w:ind w:firstLine="480"/>
        <w:jc w:val="both"/>
        <w:rPr>
          <w:rFonts w:ascii="Times New Roman" w:hAnsi="Times New Roman"/>
          <w:color w:val="000000"/>
          <w:highlight w:val="none"/>
          <w:u w:val="single"/>
        </w:rPr>
      </w:pPr>
    </w:p>
    <w:p w14:paraId="02BFE0D3">
      <w:pPr>
        <w:pStyle w:val="17"/>
        <w:tabs>
          <w:tab w:val="left" w:pos="360"/>
        </w:tabs>
        <w:spacing w:beforeAutospacing="0" w:afterAutospacing="0"/>
        <w:ind w:firstLine="480"/>
        <w:jc w:val="both"/>
        <w:rPr>
          <w:rFonts w:ascii="Times New Roman" w:hAnsi="Times New Roman"/>
          <w:color w:val="000000"/>
          <w:highlight w:val="none"/>
          <w:u w:val="single"/>
        </w:rPr>
      </w:pPr>
    </w:p>
    <w:p w14:paraId="6E86CE7E">
      <w:pPr>
        <w:pStyle w:val="17"/>
        <w:tabs>
          <w:tab w:val="left" w:pos="360"/>
        </w:tabs>
        <w:spacing w:beforeAutospacing="0" w:afterAutospacing="0"/>
        <w:ind w:firstLine="480"/>
        <w:jc w:val="both"/>
        <w:rPr>
          <w:rFonts w:ascii="Times New Roman" w:hAnsi="Times New Roman"/>
          <w:color w:val="000000"/>
          <w:highlight w:val="none"/>
          <w:u w:val="single"/>
        </w:rPr>
      </w:pPr>
    </w:p>
    <w:p w14:paraId="5B6D3164">
      <w:pPr>
        <w:pStyle w:val="17"/>
        <w:tabs>
          <w:tab w:val="left" w:pos="360"/>
        </w:tabs>
        <w:spacing w:beforeAutospacing="0" w:afterAutospacing="0"/>
        <w:ind w:firstLine="480"/>
        <w:jc w:val="both"/>
        <w:rPr>
          <w:rFonts w:ascii="Times New Roman" w:hAnsi="Times New Roman"/>
          <w:color w:val="000000"/>
          <w:highlight w:val="none"/>
          <w:u w:val="single"/>
        </w:rPr>
      </w:pPr>
    </w:p>
    <w:p w14:paraId="0398D3CA">
      <w:pPr>
        <w:pStyle w:val="17"/>
        <w:tabs>
          <w:tab w:val="left" w:pos="360"/>
        </w:tabs>
        <w:spacing w:beforeAutospacing="0" w:afterAutospacing="0"/>
        <w:ind w:firstLine="480"/>
        <w:jc w:val="both"/>
        <w:rPr>
          <w:rFonts w:ascii="Times New Roman" w:hAnsi="Times New Roman"/>
          <w:color w:val="000000"/>
          <w:highlight w:val="none"/>
          <w:u w:val="single"/>
        </w:rPr>
      </w:pPr>
    </w:p>
    <w:p w14:paraId="2A19FDE3">
      <w:pPr>
        <w:pStyle w:val="17"/>
        <w:tabs>
          <w:tab w:val="left" w:pos="360"/>
        </w:tabs>
        <w:spacing w:beforeAutospacing="0" w:afterAutospacing="0"/>
        <w:ind w:firstLine="480"/>
        <w:jc w:val="both"/>
        <w:rPr>
          <w:rFonts w:ascii="Times New Roman" w:hAnsi="Times New Roman"/>
          <w:color w:val="000000"/>
          <w:highlight w:val="none"/>
          <w:u w:val="single"/>
        </w:rPr>
      </w:pPr>
    </w:p>
    <w:p w14:paraId="2A55901C">
      <w:pPr>
        <w:pStyle w:val="17"/>
        <w:tabs>
          <w:tab w:val="left" w:pos="360"/>
        </w:tabs>
        <w:spacing w:beforeAutospacing="0" w:afterAutospacing="0"/>
        <w:ind w:firstLine="480"/>
        <w:jc w:val="both"/>
        <w:rPr>
          <w:rFonts w:ascii="Times New Roman" w:hAnsi="Times New Roman"/>
          <w:color w:val="000000"/>
          <w:highlight w:val="none"/>
          <w:u w:val="single"/>
        </w:rPr>
      </w:pPr>
    </w:p>
    <w:p w14:paraId="3790DEBD">
      <w:pPr>
        <w:pStyle w:val="17"/>
        <w:tabs>
          <w:tab w:val="left" w:pos="360"/>
        </w:tabs>
        <w:spacing w:beforeAutospacing="0" w:afterAutospacing="0"/>
        <w:ind w:firstLine="480"/>
        <w:jc w:val="both"/>
        <w:rPr>
          <w:rFonts w:ascii="Times New Roman" w:hAnsi="Times New Roman"/>
          <w:color w:val="000000"/>
          <w:highlight w:val="none"/>
          <w:u w:val="single"/>
        </w:rPr>
      </w:pPr>
    </w:p>
    <w:p w14:paraId="1F474D78">
      <w:pPr>
        <w:pStyle w:val="17"/>
        <w:tabs>
          <w:tab w:val="left" w:pos="360"/>
        </w:tabs>
        <w:spacing w:beforeAutospacing="0" w:afterAutospacing="0"/>
        <w:ind w:firstLine="480"/>
        <w:jc w:val="both"/>
        <w:rPr>
          <w:rFonts w:ascii="Times New Roman" w:hAnsi="Times New Roman"/>
          <w:color w:val="000000"/>
          <w:highlight w:val="none"/>
          <w:u w:val="single"/>
        </w:rPr>
      </w:pPr>
    </w:p>
    <w:p w14:paraId="5BE4EBDD">
      <w:pPr>
        <w:pStyle w:val="17"/>
        <w:tabs>
          <w:tab w:val="left" w:pos="360"/>
        </w:tabs>
        <w:spacing w:beforeAutospacing="0" w:afterAutospacing="0"/>
        <w:ind w:firstLine="480"/>
        <w:jc w:val="both"/>
        <w:rPr>
          <w:rFonts w:ascii="Times New Roman" w:hAnsi="Times New Roman"/>
          <w:color w:val="000000"/>
          <w:highlight w:val="none"/>
          <w:u w:val="single"/>
        </w:rPr>
      </w:pPr>
    </w:p>
    <w:p w14:paraId="4BE704F7">
      <w:pPr>
        <w:pStyle w:val="17"/>
        <w:tabs>
          <w:tab w:val="left" w:pos="360"/>
        </w:tabs>
        <w:spacing w:beforeAutospacing="0" w:afterAutospacing="0"/>
        <w:ind w:firstLine="480"/>
        <w:jc w:val="both"/>
        <w:rPr>
          <w:rFonts w:ascii="Times New Roman" w:hAnsi="Times New Roman"/>
          <w:color w:val="000000"/>
          <w:highlight w:val="none"/>
          <w:u w:val="single"/>
        </w:rPr>
      </w:pPr>
    </w:p>
    <w:p w14:paraId="4FDC555C">
      <w:pPr>
        <w:pStyle w:val="17"/>
        <w:tabs>
          <w:tab w:val="left" w:pos="360"/>
        </w:tabs>
        <w:spacing w:beforeAutospacing="0" w:afterAutospacing="0"/>
        <w:ind w:firstLine="480"/>
        <w:jc w:val="both"/>
        <w:rPr>
          <w:rFonts w:ascii="Times New Roman" w:hAnsi="Times New Roman"/>
          <w:color w:val="000000"/>
          <w:highlight w:val="none"/>
          <w:u w:val="single"/>
        </w:rPr>
      </w:pPr>
    </w:p>
    <w:p w14:paraId="273C0720">
      <w:pPr>
        <w:pStyle w:val="17"/>
        <w:tabs>
          <w:tab w:val="left" w:pos="360"/>
        </w:tabs>
        <w:spacing w:beforeAutospacing="0" w:afterAutospacing="0"/>
        <w:ind w:firstLine="480"/>
        <w:jc w:val="both"/>
        <w:rPr>
          <w:rFonts w:ascii="Times New Roman" w:hAnsi="Times New Roman"/>
          <w:color w:val="000000"/>
          <w:highlight w:val="none"/>
          <w:u w:val="single"/>
        </w:rPr>
      </w:pPr>
    </w:p>
    <w:p w14:paraId="4434C07B">
      <w:pPr>
        <w:pStyle w:val="17"/>
        <w:spacing w:beforeAutospacing="0" w:afterAutospacing="0"/>
        <w:ind w:firstLine="420"/>
        <w:jc w:val="both"/>
        <w:rPr>
          <w:highlight w:val="none"/>
        </w:rPr>
      </w:pPr>
      <w:r>
        <w:rPr>
          <w:highlight w:val="none"/>
        </w:rPr>
        <w:t> </w:t>
      </w:r>
    </w:p>
    <w:p w14:paraId="54380AE8">
      <w:pPr>
        <w:pStyle w:val="17"/>
        <w:spacing w:beforeAutospacing="0" w:afterAutospacing="0"/>
        <w:jc w:val="both"/>
        <w:rPr>
          <w:highlight w:val="none"/>
        </w:rPr>
      </w:pPr>
      <w:r>
        <w:rPr>
          <w:highlight w:val="none"/>
        </w:rPr>
        <w:t> </w:t>
      </w:r>
    </w:p>
    <w:p w14:paraId="35C87C39">
      <w:pPr>
        <w:pStyle w:val="17"/>
        <w:spacing w:beforeAutospacing="0" w:afterAutospacing="0" w:line="0" w:lineRule="atLeast"/>
        <w:jc w:val="both"/>
        <w:rPr>
          <w:highlight w:val="none"/>
        </w:rPr>
      </w:pPr>
      <w:r>
        <w:rPr>
          <w:highlight w:val="none"/>
        </w:rPr>
        <w:t> </w:t>
      </w:r>
    </w:p>
    <w:p w14:paraId="4937D57C">
      <w:pPr>
        <w:pStyle w:val="17"/>
        <w:spacing w:beforeAutospacing="0" w:afterAutospacing="0" w:line="0" w:lineRule="atLeast"/>
        <w:jc w:val="both"/>
        <w:rPr>
          <w:highlight w:val="none"/>
        </w:rPr>
      </w:pPr>
      <w:r>
        <w:rPr>
          <w:highlight w:val="none"/>
        </w:rPr>
        <w:t> </w:t>
      </w:r>
    </w:p>
    <w:p w14:paraId="04FED358">
      <w:pPr>
        <w:pStyle w:val="17"/>
        <w:spacing w:beforeAutospacing="0" w:afterAutospacing="0" w:line="0" w:lineRule="atLeast"/>
        <w:jc w:val="both"/>
        <w:rPr>
          <w:highlight w:val="none"/>
        </w:rPr>
      </w:pPr>
    </w:p>
    <w:p w14:paraId="3E9FEF97">
      <w:pPr>
        <w:pStyle w:val="17"/>
        <w:spacing w:beforeAutospacing="0" w:afterAutospacing="0" w:line="0" w:lineRule="atLeast"/>
        <w:jc w:val="both"/>
        <w:rPr>
          <w:highlight w:val="none"/>
        </w:rPr>
      </w:pPr>
    </w:p>
    <w:p w14:paraId="4146A4FA">
      <w:pPr>
        <w:pStyle w:val="17"/>
        <w:spacing w:beforeAutospacing="0" w:afterAutospacing="0" w:line="0" w:lineRule="atLeast"/>
        <w:jc w:val="both"/>
        <w:rPr>
          <w:highlight w:val="none"/>
        </w:rPr>
      </w:pPr>
    </w:p>
    <w:p w14:paraId="405C0952">
      <w:pPr>
        <w:pStyle w:val="17"/>
        <w:spacing w:beforeAutospacing="0" w:afterAutospacing="0" w:line="0" w:lineRule="atLeast"/>
        <w:jc w:val="both"/>
        <w:rPr>
          <w:highlight w:val="none"/>
        </w:rPr>
      </w:pPr>
    </w:p>
    <w:p w14:paraId="5D23CC6A">
      <w:pPr>
        <w:pStyle w:val="17"/>
        <w:spacing w:beforeAutospacing="0" w:afterAutospacing="0" w:line="0" w:lineRule="atLeast"/>
        <w:jc w:val="both"/>
        <w:rPr>
          <w:highlight w:val="none"/>
        </w:rPr>
      </w:pPr>
    </w:p>
    <w:p w14:paraId="0020CEC4">
      <w:pPr>
        <w:pStyle w:val="17"/>
        <w:spacing w:beforeAutospacing="0" w:afterAutospacing="0" w:line="0" w:lineRule="atLeast"/>
        <w:jc w:val="both"/>
        <w:rPr>
          <w:highlight w:val="none"/>
        </w:rPr>
      </w:pPr>
    </w:p>
    <w:p w14:paraId="0F02C396">
      <w:pPr>
        <w:pStyle w:val="17"/>
        <w:keepNext/>
        <w:keepLines/>
        <w:spacing w:before="260" w:beforeAutospacing="0" w:after="260" w:afterAutospacing="0" w:line="415" w:lineRule="auto"/>
        <w:jc w:val="center"/>
        <w:outlineLvl w:val="0"/>
        <w:rPr>
          <w:rFonts w:ascii="黑体" w:hAnsi="宋体" w:eastAsia="黑体" w:cs="黑体"/>
          <w:b/>
          <w:color w:val="000000"/>
          <w:sz w:val="32"/>
          <w:szCs w:val="32"/>
          <w:highlight w:val="none"/>
        </w:rPr>
      </w:pPr>
      <w:r>
        <w:rPr>
          <w:rFonts w:hint="eastAsia" w:ascii="黑体" w:hAnsi="宋体" w:eastAsia="黑体" w:cs="黑体"/>
          <w:b/>
          <w:color w:val="000000"/>
          <w:sz w:val="32"/>
          <w:szCs w:val="32"/>
          <w:highlight w:val="none"/>
          <w:lang w:val="en-US" w:eastAsia="zh-CN"/>
        </w:rPr>
        <w:t>九</w:t>
      </w:r>
      <w:r>
        <w:rPr>
          <w:rFonts w:hint="eastAsia" w:ascii="黑体" w:hAnsi="宋体" w:eastAsia="黑体" w:cs="黑体"/>
          <w:b/>
          <w:color w:val="000000"/>
          <w:sz w:val="32"/>
          <w:szCs w:val="32"/>
          <w:highlight w:val="none"/>
        </w:rPr>
        <w:t>、投标函</w:t>
      </w:r>
    </w:p>
    <w:p w14:paraId="26D1CCB0">
      <w:pPr>
        <w:pStyle w:val="17"/>
        <w:spacing w:beforeAutospacing="0" w:afterAutospacing="0" w:line="0" w:lineRule="atLeast"/>
        <w:rPr>
          <w:highlight w:val="none"/>
        </w:rPr>
      </w:pPr>
      <w:r>
        <w:rPr>
          <w:rFonts w:hint="eastAsia" w:ascii="宋体" w:hAnsi="宋体" w:eastAsia="宋体" w:cs="宋体"/>
          <w:color w:val="000000"/>
          <w:highlight w:val="none"/>
        </w:rPr>
        <w:t>致：射阳县退役军人事务局</w:t>
      </w:r>
    </w:p>
    <w:p w14:paraId="2DE50441">
      <w:pPr>
        <w:pStyle w:val="17"/>
        <w:spacing w:beforeAutospacing="0" w:afterAutospacing="0" w:line="0" w:lineRule="atLeast"/>
        <w:ind w:firstLine="480" w:firstLineChars="200"/>
        <w:rPr>
          <w:highlight w:val="none"/>
        </w:rPr>
      </w:pPr>
      <w:r>
        <w:rPr>
          <w:rFonts w:hint="eastAsia" w:ascii="宋体" w:hAnsi="宋体" w:eastAsia="宋体" w:cs="宋体"/>
          <w:color w:val="000000"/>
          <w:highlight w:val="none"/>
        </w:rPr>
        <w:t>根据贵方的</w:t>
      </w:r>
      <w:r>
        <w:rPr>
          <w:rFonts w:hint="eastAsia" w:ascii="宋体" w:hAnsi="宋体"/>
          <w:color w:val="000000"/>
          <w:sz w:val="24"/>
          <w:szCs w:val="21"/>
          <w:highlight w:val="none"/>
          <w:u w:val="single"/>
        </w:rPr>
        <w:t>JSZC-320924-SYHY-G2026-0007</w:t>
      </w:r>
      <w:r>
        <w:rPr>
          <w:rFonts w:hint="eastAsia" w:ascii="宋体" w:hAnsi="宋体" w:eastAsia="宋体" w:cs="宋体"/>
          <w:color w:val="000000"/>
          <w:highlight w:val="none"/>
        </w:rPr>
        <w:t>号招标文件，正式授权下述签字人</w:t>
      </w:r>
      <w:r>
        <w:rPr>
          <w:rFonts w:hint="eastAsia" w:ascii="宋体" w:hAnsi="宋体" w:eastAsia="宋体" w:cs="宋体"/>
          <w:color w:val="000000"/>
          <w:highlight w:val="none"/>
          <w:u w:val="single"/>
        </w:rPr>
        <w:t>(姓名)</w:t>
      </w:r>
      <w:r>
        <w:rPr>
          <w:rFonts w:hint="eastAsia" w:ascii="宋体" w:hAnsi="宋体" w:eastAsia="宋体" w:cs="宋体"/>
          <w:color w:val="000000"/>
          <w:highlight w:val="none"/>
        </w:rPr>
        <w:t>代表我方</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（投标人的名称）</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，全权处理本次项目投标的有关事宜。</w:t>
      </w:r>
    </w:p>
    <w:p w14:paraId="64F87FD4">
      <w:pPr>
        <w:pStyle w:val="17"/>
        <w:spacing w:beforeAutospacing="0" w:afterAutospacing="0" w:line="0" w:lineRule="atLeast"/>
        <w:ind w:firstLine="480"/>
        <w:rPr>
          <w:highlight w:val="none"/>
        </w:rPr>
      </w:pPr>
      <w:r>
        <w:rPr>
          <w:rFonts w:hint="eastAsia" w:ascii="宋体" w:hAnsi="宋体" w:eastAsia="宋体" w:cs="宋体"/>
          <w:color w:val="000000"/>
          <w:highlight w:val="none"/>
        </w:rPr>
        <w:t>据此函，__________签字人兹宣布同意如下：</w:t>
      </w:r>
    </w:p>
    <w:p w14:paraId="313F2607">
      <w:pPr>
        <w:pStyle w:val="17"/>
        <w:spacing w:beforeAutospacing="0" w:afterAutospacing="0" w:line="0" w:lineRule="atLeast"/>
        <w:ind w:firstLine="480"/>
        <w:rPr>
          <w:highlight w:val="none"/>
        </w:rPr>
      </w:pPr>
      <w:r>
        <w:rPr>
          <w:rFonts w:hint="eastAsia" w:ascii="宋体" w:hAnsi="宋体" w:eastAsia="宋体" w:cs="宋体"/>
          <w:color w:val="000000"/>
          <w:highlight w:val="none"/>
        </w:rPr>
        <w:t>1.按招标文件规定的各项要求，向买方提供所需服务（包含与服务相关的货物）。</w:t>
      </w:r>
    </w:p>
    <w:p w14:paraId="473EF1FB">
      <w:pPr>
        <w:pStyle w:val="17"/>
        <w:spacing w:beforeAutospacing="0" w:afterAutospacing="0" w:line="0" w:lineRule="atLeast"/>
        <w:ind w:firstLine="480"/>
        <w:rPr>
          <w:highlight w:val="none"/>
        </w:rPr>
      </w:pPr>
      <w:r>
        <w:rPr>
          <w:rFonts w:hint="eastAsia" w:ascii="宋体" w:hAnsi="宋体" w:eastAsia="宋体" w:cs="宋体"/>
          <w:color w:val="000000"/>
          <w:highlight w:val="none"/>
        </w:rPr>
        <w:t>2.我们完全理解贵方不一定将合同授予最低报价的投标人。</w:t>
      </w:r>
    </w:p>
    <w:p w14:paraId="58062D8A">
      <w:pPr>
        <w:pStyle w:val="17"/>
        <w:spacing w:beforeAutospacing="0" w:afterAutospacing="0" w:line="0" w:lineRule="atLeast"/>
        <w:ind w:firstLine="480"/>
        <w:rPr>
          <w:highlight w:val="none"/>
        </w:rPr>
      </w:pPr>
      <w:r>
        <w:rPr>
          <w:rFonts w:hint="eastAsia" w:ascii="宋体" w:hAnsi="宋体" w:eastAsia="宋体" w:cs="宋体"/>
          <w:color w:val="000000"/>
          <w:highlight w:val="none"/>
        </w:rPr>
        <w:t>3.我们已详细审核全部招标文件及其有效补充文件，我们知道必须放弃提出含糊不清或误解问题的权利。</w:t>
      </w:r>
    </w:p>
    <w:p w14:paraId="08CB0CD4">
      <w:pPr>
        <w:pStyle w:val="17"/>
        <w:spacing w:beforeAutospacing="0" w:afterAutospacing="0" w:line="0" w:lineRule="atLeast"/>
        <w:ind w:firstLine="480"/>
        <w:rPr>
          <w:highlight w:val="none"/>
        </w:rPr>
      </w:pPr>
      <w:r>
        <w:rPr>
          <w:rFonts w:hint="eastAsia" w:ascii="宋体" w:hAnsi="宋体" w:eastAsia="宋体" w:cs="宋体"/>
          <w:color w:val="000000"/>
          <w:highlight w:val="none"/>
        </w:rPr>
        <w:t>4.我们同意从规定的开标日期起遵循本投标文件，并在规定的投标有效期期满之前均具有约束力。</w:t>
      </w:r>
    </w:p>
    <w:p w14:paraId="209DD427">
      <w:pPr>
        <w:pStyle w:val="17"/>
        <w:spacing w:beforeAutospacing="0" w:afterAutospacing="0" w:line="0" w:lineRule="atLeast"/>
        <w:ind w:firstLine="480"/>
        <w:rPr>
          <w:highlight w:val="none"/>
        </w:rPr>
      </w:pPr>
      <w:r>
        <w:rPr>
          <w:rFonts w:hint="eastAsia" w:ascii="宋体" w:hAnsi="宋体" w:eastAsia="宋体" w:cs="宋体"/>
          <w:color w:val="000000"/>
          <w:highlight w:val="none"/>
        </w:rPr>
        <w:t>5.同意向贵方提供贵方可能另外要求的与投标有关的任何证据或资料，并保证我方已提供和将要提供的文件是真实的、准确的。</w:t>
      </w:r>
    </w:p>
    <w:p w14:paraId="1F9BB1C3">
      <w:pPr>
        <w:pStyle w:val="17"/>
        <w:spacing w:beforeAutospacing="0" w:afterAutospacing="0" w:line="0" w:lineRule="atLeast"/>
        <w:ind w:firstLine="480"/>
        <w:rPr>
          <w:highlight w:val="none"/>
        </w:rPr>
      </w:pPr>
      <w:r>
        <w:rPr>
          <w:rFonts w:hint="eastAsia" w:ascii="宋体" w:hAnsi="宋体" w:eastAsia="宋体" w:cs="宋体"/>
          <w:color w:val="000000"/>
          <w:highlight w:val="none"/>
        </w:rPr>
        <w:t>6.一旦我方中标,我方将根据招标文件的规定，严格履行合同的责任和义务,并保证在招标文件规定的时间完成项目，交付买方验收、使用。</w:t>
      </w:r>
    </w:p>
    <w:p w14:paraId="33641869">
      <w:pPr>
        <w:pStyle w:val="17"/>
        <w:spacing w:beforeAutospacing="0" w:afterAutospacing="0" w:line="0" w:lineRule="atLeast"/>
        <w:ind w:firstLine="480"/>
        <w:rPr>
          <w:highlight w:val="none"/>
        </w:rPr>
      </w:pPr>
      <w:r>
        <w:rPr>
          <w:rFonts w:hint="eastAsia" w:ascii="宋体" w:hAnsi="宋体" w:eastAsia="宋体" w:cs="宋体"/>
          <w:color w:val="000000"/>
          <w:highlight w:val="none"/>
        </w:rPr>
        <w:t>7.与本投标有关的正式通讯地址为：</w:t>
      </w:r>
    </w:p>
    <w:p w14:paraId="63F512FF">
      <w:pPr>
        <w:pStyle w:val="17"/>
        <w:spacing w:beforeAutospacing="0" w:afterAutospacing="0" w:line="0" w:lineRule="atLeast"/>
        <w:ind w:left="420" w:firstLine="480"/>
        <w:rPr>
          <w:highlight w:val="none"/>
        </w:rPr>
      </w:pPr>
      <w:r>
        <w:rPr>
          <w:rFonts w:hint="eastAsia" w:ascii="宋体" w:hAnsi="宋体" w:eastAsia="宋体" w:cs="宋体"/>
          <w:color w:val="000000"/>
          <w:highlight w:val="none"/>
        </w:rPr>
        <w:t>地       址：</w:t>
      </w:r>
    </w:p>
    <w:p w14:paraId="40615D05">
      <w:pPr>
        <w:pStyle w:val="17"/>
        <w:spacing w:beforeAutospacing="0" w:afterAutospacing="0" w:line="0" w:lineRule="atLeast"/>
        <w:ind w:left="420" w:firstLine="480"/>
        <w:rPr>
          <w:highlight w:val="none"/>
        </w:rPr>
      </w:pPr>
      <w:r>
        <w:rPr>
          <w:rFonts w:hint="eastAsia" w:ascii="宋体" w:hAnsi="宋体" w:eastAsia="宋体" w:cs="宋体"/>
          <w:color w:val="000000"/>
          <w:highlight w:val="none"/>
        </w:rPr>
        <w:t>邮       编：</w:t>
      </w:r>
    </w:p>
    <w:p w14:paraId="6828345E">
      <w:pPr>
        <w:pStyle w:val="17"/>
        <w:spacing w:beforeAutospacing="0" w:afterAutospacing="0" w:line="0" w:lineRule="atLeast"/>
        <w:ind w:left="420" w:firstLine="480"/>
        <w:rPr>
          <w:highlight w:val="none"/>
        </w:rPr>
      </w:pPr>
      <w:r>
        <w:rPr>
          <w:rFonts w:hint="eastAsia" w:ascii="宋体" w:hAnsi="宋体" w:eastAsia="宋体" w:cs="宋体"/>
          <w:color w:val="000000"/>
          <w:highlight w:val="none"/>
        </w:rPr>
        <w:t>电       话：</w:t>
      </w:r>
    </w:p>
    <w:p w14:paraId="3AB5B37A">
      <w:pPr>
        <w:pStyle w:val="17"/>
        <w:spacing w:beforeAutospacing="0" w:afterAutospacing="0" w:line="0" w:lineRule="atLeast"/>
        <w:ind w:left="420" w:firstLine="480"/>
        <w:rPr>
          <w:highlight w:val="none"/>
        </w:rPr>
      </w:pPr>
      <w:r>
        <w:rPr>
          <w:rFonts w:hint="eastAsia" w:ascii="宋体" w:hAnsi="宋体" w:eastAsia="宋体" w:cs="宋体"/>
          <w:color w:val="000000"/>
          <w:highlight w:val="none"/>
        </w:rPr>
        <w:t>传       真：</w:t>
      </w:r>
    </w:p>
    <w:p w14:paraId="3DA45C60">
      <w:pPr>
        <w:pStyle w:val="17"/>
        <w:spacing w:beforeAutospacing="0" w:afterAutospacing="0" w:line="0" w:lineRule="atLeast"/>
        <w:ind w:left="420" w:firstLine="480"/>
        <w:rPr>
          <w:highlight w:val="none"/>
        </w:rPr>
      </w:pPr>
      <w:r>
        <w:rPr>
          <w:rFonts w:hint="eastAsia" w:ascii="宋体" w:hAnsi="宋体" w:eastAsia="宋体" w:cs="宋体"/>
          <w:color w:val="000000"/>
          <w:highlight w:val="none"/>
        </w:rPr>
        <w:t>投</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标</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人</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开</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户</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行：</w:t>
      </w:r>
    </w:p>
    <w:p w14:paraId="19B2C12A">
      <w:pPr>
        <w:pStyle w:val="17"/>
        <w:spacing w:beforeAutospacing="0" w:afterAutospacing="0" w:line="0" w:lineRule="atLeast"/>
        <w:ind w:left="420" w:firstLine="480"/>
        <w:rPr>
          <w:highlight w:val="none"/>
        </w:rPr>
      </w:pPr>
      <w:r>
        <w:rPr>
          <w:rFonts w:hint="eastAsia" w:ascii="宋体" w:hAnsi="宋体" w:eastAsia="宋体" w:cs="宋体"/>
          <w:color w:val="000000"/>
          <w:highlight w:val="none"/>
        </w:rPr>
        <w:t xml:space="preserve">账       号： </w:t>
      </w:r>
    </w:p>
    <w:p w14:paraId="4B904C99">
      <w:pPr>
        <w:pStyle w:val="17"/>
        <w:spacing w:beforeAutospacing="0" w:afterAutospacing="0" w:line="0" w:lineRule="atLeast"/>
        <w:ind w:left="420" w:firstLine="480"/>
        <w:rPr>
          <w:highlight w:val="none"/>
        </w:rPr>
      </w:pPr>
      <w:r>
        <w:rPr>
          <w:rFonts w:hint="eastAsia" w:ascii="宋体" w:hAnsi="宋体" w:eastAsia="宋体" w:cs="宋体"/>
          <w:color w:val="000000"/>
          <w:highlight w:val="none"/>
        </w:rPr>
        <w:t>日       期：________年____月____日</w:t>
      </w:r>
    </w:p>
    <w:p w14:paraId="517D30F4">
      <w:pPr>
        <w:pStyle w:val="17"/>
        <w:spacing w:beforeAutospacing="0" w:afterAutospacing="0" w:line="0" w:lineRule="atLeast"/>
        <w:ind w:firstLine="240"/>
        <w:jc w:val="center"/>
        <w:rPr>
          <w:highlight w:val="none"/>
        </w:rPr>
      </w:pPr>
      <w:r>
        <w:rPr>
          <w:highlight w:val="none"/>
        </w:rPr>
        <w:t> </w:t>
      </w:r>
    </w:p>
    <w:p w14:paraId="7D02EC5F">
      <w:pPr>
        <w:pStyle w:val="17"/>
        <w:spacing w:beforeAutospacing="0" w:afterAutospacing="0" w:line="0" w:lineRule="atLeast"/>
        <w:ind w:firstLine="240"/>
        <w:jc w:val="center"/>
        <w:rPr>
          <w:highlight w:val="none"/>
        </w:rPr>
      </w:pPr>
      <w:r>
        <w:rPr>
          <w:highlight w:val="none"/>
        </w:rPr>
        <w:t> </w:t>
      </w:r>
    </w:p>
    <w:p w14:paraId="526D8B48">
      <w:pPr>
        <w:pStyle w:val="17"/>
        <w:spacing w:beforeAutospacing="0" w:afterAutospacing="0" w:line="0" w:lineRule="atLeast"/>
        <w:ind w:firstLine="240"/>
        <w:jc w:val="center"/>
        <w:rPr>
          <w:highlight w:val="none"/>
        </w:rPr>
      </w:pPr>
      <w:r>
        <w:rPr>
          <w:highlight w:val="none"/>
        </w:rPr>
        <w:t> </w:t>
      </w:r>
    </w:p>
    <w:p w14:paraId="7D664580">
      <w:pPr>
        <w:pStyle w:val="17"/>
        <w:spacing w:beforeAutospacing="0" w:afterAutospacing="0" w:line="0" w:lineRule="atLeast"/>
        <w:ind w:firstLine="240"/>
        <w:jc w:val="center"/>
        <w:rPr>
          <w:highlight w:val="none"/>
        </w:rPr>
      </w:pPr>
      <w:r>
        <w:rPr>
          <w:highlight w:val="none"/>
        </w:rPr>
        <w:t> </w:t>
      </w:r>
    </w:p>
    <w:p w14:paraId="4CB43A27">
      <w:pPr>
        <w:pStyle w:val="17"/>
        <w:spacing w:beforeAutospacing="0" w:afterAutospacing="0" w:line="0" w:lineRule="atLeast"/>
        <w:ind w:firstLine="240"/>
        <w:jc w:val="center"/>
        <w:rPr>
          <w:highlight w:val="none"/>
        </w:rPr>
      </w:pPr>
      <w:r>
        <w:rPr>
          <w:highlight w:val="none"/>
        </w:rPr>
        <w:t> </w:t>
      </w:r>
    </w:p>
    <w:p w14:paraId="009E3C67">
      <w:pPr>
        <w:pStyle w:val="17"/>
        <w:spacing w:beforeAutospacing="0" w:afterAutospacing="0" w:line="0" w:lineRule="atLeast"/>
        <w:ind w:firstLine="240"/>
        <w:jc w:val="center"/>
        <w:rPr>
          <w:highlight w:val="none"/>
        </w:rPr>
      </w:pPr>
    </w:p>
    <w:p w14:paraId="076B6F71">
      <w:pPr>
        <w:pStyle w:val="17"/>
        <w:spacing w:beforeAutospacing="0" w:afterAutospacing="0" w:line="0" w:lineRule="atLeast"/>
        <w:ind w:firstLine="240"/>
        <w:jc w:val="center"/>
        <w:rPr>
          <w:highlight w:val="none"/>
        </w:rPr>
      </w:pPr>
    </w:p>
    <w:p w14:paraId="3827CC3B">
      <w:pPr>
        <w:pStyle w:val="17"/>
        <w:spacing w:beforeAutospacing="0" w:afterAutospacing="0" w:line="0" w:lineRule="atLeast"/>
        <w:ind w:firstLine="240"/>
        <w:jc w:val="center"/>
        <w:rPr>
          <w:highlight w:val="none"/>
        </w:rPr>
      </w:pPr>
    </w:p>
    <w:p w14:paraId="2B728E37">
      <w:pPr>
        <w:pStyle w:val="17"/>
        <w:spacing w:beforeAutospacing="0" w:afterAutospacing="0" w:line="0" w:lineRule="atLeast"/>
        <w:ind w:firstLine="240"/>
        <w:jc w:val="center"/>
        <w:rPr>
          <w:highlight w:val="none"/>
        </w:rPr>
      </w:pPr>
    </w:p>
    <w:p w14:paraId="4A16AAF8">
      <w:pPr>
        <w:pStyle w:val="17"/>
        <w:spacing w:beforeAutospacing="0" w:afterAutospacing="0" w:line="0" w:lineRule="atLeast"/>
        <w:ind w:firstLine="240"/>
        <w:jc w:val="center"/>
        <w:rPr>
          <w:highlight w:val="none"/>
        </w:rPr>
      </w:pPr>
    </w:p>
    <w:p w14:paraId="69A5DCA0">
      <w:pPr>
        <w:pStyle w:val="17"/>
        <w:spacing w:beforeAutospacing="0" w:afterAutospacing="0" w:line="0" w:lineRule="atLeast"/>
        <w:ind w:firstLine="240"/>
        <w:jc w:val="center"/>
        <w:rPr>
          <w:highlight w:val="none"/>
        </w:rPr>
      </w:pPr>
    </w:p>
    <w:p w14:paraId="0F79A881">
      <w:pPr>
        <w:pStyle w:val="17"/>
        <w:spacing w:beforeAutospacing="0" w:afterAutospacing="0" w:line="0" w:lineRule="atLeast"/>
        <w:ind w:firstLine="240"/>
        <w:jc w:val="center"/>
        <w:rPr>
          <w:highlight w:val="none"/>
        </w:rPr>
      </w:pPr>
    </w:p>
    <w:p w14:paraId="15EC5A70">
      <w:pPr>
        <w:pStyle w:val="17"/>
        <w:spacing w:beforeAutospacing="0" w:afterAutospacing="0" w:line="0" w:lineRule="atLeast"/>
        <w:ind w:firstLine="240"/>
        <w:jc w:val="center"/>
        <w:rPr>
          <w:highlight w:val="none"/>
        </w:rPr>
      </w:pPr>
    </w:p>
    <w:p w14:paraId="048221C4">
      <w:pPr>
        <w:pStyle w:val="17"/>
        <w:spacing w:beforeAutospacing="0" w:afterAutospacing="0" w:line="0" w:lineRule="atLeast"/>
        <w:ind w:firstLine="240"/>
        <w:jc w:val="center"/>
        <w:rPr>
          <w:highlight w:val="none"/>
        </w:rPr>
      </w:pPr>
    </w:p>
    <w:p w14:paraId="3802D699">
      <w:pPr>
        <w:pStyle w:val="17"/>
        <w:spacing w:beforeAutospacing="0" w:afterAutospacing="0" w:line="0" w:lineRule="atLeast"/>
        <w:ind w:firstLine="240"/>
        <w:jc w:val="center"/>
        <w:rPr>
          <w:highlight w:val="none"/>
        </w:rPr>
      </w:pPr>
    </w:p>
    <w:p w14:paraId="01C0E0F0">
      <w:pPr>
        <w:pStyle w:val="17"/>
        <w:spacing w:beforeAutospacing="0" w:afterAutospacing="0" w:line="0" w:lineRule="atLeast"/>
        <w:ind w:firstLine="240"/>
        <w:jc w:val="center"/>
        <w:rPr>
          <w:highlight w:val="none"/>
        </w:rPr>
      </w:pPr>
    </w:p>
    <w:p w14:paraId="0CBE4F34">
      <w:pPr>
        <w:pStyle w:val="17"/>
        <w:spacing w:beforeAutospacing="0" w:afterAutospacing="0" w:line="0" w:lineRule="atLeast"/>
        <w:ind w:firstLine="240"/>
        <w:jc w:val="center"/>
        <w:rPr>
          <w:highlight w:val="none"/>
        </w:rPr>
      </w:pPr>
    </w:p>
    <w:p w14:paraId="49D8D69F">
      <w:pPr>
        <w:pStyle w:val="17"/>
        <w:spacing w:beforeAutospacing="0" w:afterAutospacing="0" w:line="0" w:lineRule="atLeast"/>
        <w:ind w:firstLine="240"/>
        <w:jc w:val="center"/>
        <w:rPr>
          <w:highlight w:val="none"/>
        </w:rPr>
      </w:pPr>
    </w:p>
    <w:p w14:paraId="5191DBC0">
      <w:pPr>
        <w:pStyle w:val="17"/>
        <w:spacing w:beforeAutospacing="0" w:afterAutospacing="0" w:line="0" w:lineRule="atLeast"/>
        <w:ind w:firstLine="240"/>
        <w:jc w:val="center"/>
        <w:rPr>
          <w:highlight w:val="none"/>
        </w:rPr>
      </w:pPr>
    </w:p>
    <w:p w14:paraId="3FCF2303">
      <w:pPr>
        <w:pStyle w:val="17"/>
        <w:spacing w:beforeAutospacing="0" w:afterAutospacing="0" w:line="0" w:lineRule="atLeast"/>
        <w:ind w:firstLine="240"/>
        <w:jc w:val="center"/>
        <w:rPr>
          <w:highlight w:val="none"/>
        </w:rPr>
      </w:pPr>
    </w:p>
    <w:p w14:paraId="2B93E367">
      <w:pPr>
        <w:pStyle w:val="17"/>
        <w:spacing w:beforeAutospacing="0" w:afterAutospacing="0" w:line="0" w:lineRule="atLeast"/>
        <w:ind w:firstLine="240"/>
        <w:jc w:val="center"/>
        <w:rPr>
          <w:highlight w:val="none"/>
        </w:rPr>
      </w:pPr>
    </w:p>
    <w:p w14:paraId="757DE681">
      <w:pPr>
        <w:pStyle w:val="17"/>
        <w:spacing w:beforeAutospacing="0" w:afterAutospacing="0" w:line="0" w:lineRule="atLeast"/>
        <w:jc w:val="center"/>
        <w:rPr>
          <w:highlight w:val="none"/>
        </w:rPr>
      </w:pPr>
      <w:r>
        <w:rPr>
          <w:highlight w:val="none"/>
        </w:rPr>
        <w:t> </w:t>
      </w:r>
    </w:p>
    <w:p w14:paraId="76E9D5C9">
      <w:pPr>
        <w:pStyle w:val="17"/>
        <w:spacing w:beforeAutospacing="0" w:afterAutospacing="0" w:line="0" w:lineRule="atLeast"/>
        <w:jc w:val="center"/>
        <w:outlineLvl w:val="0"/>
        <w:rPr>
          <w:color w:val="auto"/>
          <w:highlight w:val="none"/>
        </w:rPr>
      </w:pPr>
      <w:r>
        <w:rPr>
          <w:rFonts w:hint="eastAsia" w:ascii="黑体" w:hAnsi="宋体" w:eastAsia="黑体" w:cs="黑体"/>
          <w:b/>
          <w:color w:val="auto"/>
          <w:sz w:val="32"/>
          <w:szCs w:val="32"/>
          <w:highlight w:val="none"/>
          <w:lang w:val="en-US" w:eastAsia="zh-CN"/>
        </w:rPr>
        <w:t>十</w:t>
      </w:r>
      <w:r>
        <w:rPr>
          <w:rFonts w:hint="eastAsia" w:ascii="黑体" w:hAnsi="宋体" w:eastAsia="黑体" w:cs="黑体"/>
          <w:b/>
          <w:color w:val="auto"/>
          <w:sz w:val="32"/>
          <w:szCs w:val="32"/>
          <w:highlight w:val="none"/>
        </w:rPr>
        <w:t>、</w:t>
      </w:r>
      <w:r>
        <w:rPr>
          <w:rFonts w:hint="eastAsia" w:ascii="黑体" w:hAnsi="宋体" w:eastAsia="黑体" w:cs="黑体"/>
          <w:b/>
          <w:color w:val="auto"/>
          <w:sz w:val="32"/>
          <w:szCs w:val="32"/>
          <w:highlight w:val="none"/>
          <w:lang w:val="en-US" w:eastAsia="zh-CN"/>
        </w:rPr>
        <w:t>中小</w:t>
      </w:r>
      <w:r>
        <w:rPr>
          <w:rFonts w:hint="eastAsia" w:ascii="黑体" w:hAnsi="宋体" w:eastAsia="黑体" w:cs="黑体"/>
          <w:b/>
          <w:color w:val="auto"/>
          <w:sz w:val="32"/>
          <w:szCs w:val="32"/>
          <w:highlight w:val="none"/>
        </w:rPr>
        <w:t>企业声明函（服务）</w:t>
      </w:r>
    </w:p>
    <w:p w14:paraId="1DCF832C">
      <w:pPr>
        <w:spacing w:line="500" w:lineRule="exact"/>
        <w:ind w:firstLine="480"/>
        <w:jc w:val="both"/>
        <w:rPr>
          <w:rFonts w:hint="eastAsia"/>
          <w:color w:val="auto"/>
          <w:sz w:val="24"/>
          <w:highlight w:val="none"/>
        </w:rPr>
      </w:pPr>
      <w:r>
        <w:rPr>
          <w:rFonts w:hint="eastAsia"/>
          <w:color w:val="auto"/>
          <w:sz w:val="24"/>
          <w:highlight w:val="none"/>
        </w:rPr>
        <w:t>本公司郑重声明，根据《政府采购促进中小企业发展管理办法》（财库﹝2020﹞46 号）的规定，本公司参加</w:t>
      </w:r>
      <w:r>
        <w:rPr>
          <w:rFonts w:hint="eastAsia"/>
          <w:color w:val="auto"/>
          <w:sz w:val="24"/>
          <w:highlight w:val="none"/>
          <w:u w:val="single"/>
        </w:rPr>
        <w:t>射阳宏远财会服务有限公司</w:t>
      </w:r>
      <w:r>
        <w:rPr>
          <w:rFonts w:hint="eastAsia"/>
          <w:color w:val="auto"/>
          <w:sz w:val="24"/>
          <w:highlight w:val="none"/>
        </w:rPr>
        <w:t>组织的</w:t>
      </w:r>
      <w:r>
        <w:rPr>
          <w:rFonts w:hint="eastAsia"/>
          <w:i w:val="0"/>
          <w:iCs w:val="0"/>
          <w:color w:val="auto"/>
          <w:sz w:val="24"/>
          <w:szCs w:val="24"/>
          <w:highlight w:val="none"/>
          <w:u w:val="single"/>
        </w:rPr>
        <w:t>射阳县退役军人事务局</w:t>
      </w:r>
      <w:r>
        <w:rPr>
          <w:rFonts w:hint="eastAsia"/>
          <w:color w:val="auto"/>
          <w:sz w:val="24"/>
          <w:szCs w:val="20"/>
          <w:highlight w:val="none"/>
        </w:rPr>
        <w:t>，</w:t>
      </w:r>
      <w:r>
        <w:rPr>
          <w:rFonts w:hint="eastAsia"/>
          <w:color w:val="auto"/>
          <w:sz w:val="24"/>
          <w:highlight w:val="none"/>
        </w:rPr>
        <w:t>采购编号为</w:t>
      </w:r>
      <w:r>
        <w:rPr>
          <w:rFonts w:hint="eastAsia" w:asciiTheme="minorEastAsia" w:hAnsiTheme="minorEastAsia" w:eastAsiaTheme="minorEastAsia" w:cstheme="minorEastAsia"/>
          <w:color w:val="auto"/>
          <w:sz w:val="24"/>
          <w:highlight w:val="none"/>
          <w:u w:val="single"/>
        </w:rPr>
        <w:t>JSZC-320924-SYHY-G2026-0007</w:t>
      </w:r>
      <w:r>
        <w:rPr>
          <w:rFonts w:hint="eastAsia"/>
          <w:color w:val="auto"/>
          <w:sz w:val="24"/>
          <w:highlight w:val="none"/>
          <w:lang w:val="en-US" w:eastAsia="zh-CN"/>
        </w:rPr>
        <w:t>的</w:t>
      </w:r>
      <w:r>
        <w:rPr>
          <w:rFonts w:hint="eastAsia" w:asciiTheme="minorEastAsia" w:hAnsiTheme="minorEastAsia" w:eastAsiaTheme="minorEastAsia" w:cstheme="minorEastAsia"/>
          <w:i w:val="0"/>
          <w:iCs w:val="0"/>
          <w:color w:val="auto"/>
          <w:sz w:val="24"/>
          <w:highlight w:val="none"/>
          <w:u w:val="single"/>
        </w:rPr>
        <w:t>射阳县退役军人事务局2026-2027年度优抚对象及困难企业军转干健康体检合作医院采购项目</w:t>
      </w:r>
      <w:r>
        <w:rPr>
          <w:rFonts w:hint="eastAsia"/>
          <w:color w:val="auto"/>
          <w:sz w:val="24"/>
          <w:highlight w:val="none"/>
        </w:rPr>
        <w:t>的采购活动，服务全部由符合政策要求的中小企业承接。相关企业的具体情况如下：</w:t>
      </w:r>
    </w:p>
    <w:p w14:paraId="32604D9A">
      <w:pPr>
        <w:numPr>
          <w:ilvl w:val="0"/>
          <w:numId w:val="0"/>
        </w:numPr>
        <w:spacing w:line="500" w:lineRule="exact"/>
        <w:ind w:firstLine="480" w:firstLineChars="200"/>
        <w:jc w:val="both"/>
        <w:rPr>
          <w:rFonts w:hint="eastAsia"/>
          <w:color w:val="auto"/>
          <w:sz w:val="24"/>
          <w:highlight w:val="none"/>
        </w:rPr>
      </w:pPr>
      <w:r>
        <w:rPr>
          <w:rFonts w:hint="eastAsia" w:asciiTheme="minorEastAsia" w:hAnsiTheme="minorEastAsia" w:eastAsiaTheme="minorEastAsia" w:cstheme="minorEastAsia"/>
          <w:i w:val="0"/>
          <w:iCs w:val="0"/>
          <w:color w:val="auto"/>
          <w:sz w:val="24"/>
          <w:highlight w:val="none"/>
          <w:u w:val="single"/>
        </w:rPr>
        <w:t>射阳县退役军人事务局2026-2027年度优抚对象及困难企业军转干健康体检合作医院采购项目</w:t>
      </w:r>
      <w:r>
        <w:rPr>
          <w:rFonts w:hint="eastAsia"/>
          <w:color w:val="auto"/>
          <w:sz w:val="24"/>
          <w:highlight w:val="none"/>
        </w:rPr>
        <w:t xml:space="preserve"> ，</w:t>
      </w:r>
      <w:r>
        <w:rPr>
          <w:rFonts w:hint="eastAsia"/>
          <w:i w:val="0"/>
          <w:iCs w:val="0"/>
          <w:color w:val="auto"/>
          <w:sz w:val="24"/>
          <w:highlight w:val="none"/>
        </w:rPr>
        <w:t>属于</w:t>
      </w:r>
      <w:r>
        <w:rPr>
          <w:rFonts w:hint="eastAsia"/>
          <w:i w:val="0"/>
          <w:iCs w:val="0"/>
          <w:color w:val="auto"/>
          <w:sz w:val="24"/>
          <w:highlight w:val="none"/>
          <w:u w:val="single"/>
        </w:rPr>
        <w:t>其他未列明行业</w:t>
      </w:r>
      <w:r>
        <w:rPr>
          <w:rFonts w:hint="eastAsia"/>
          <w:i w:val="0"/>
          <w:iCs w:val="0"/>
          <w:color w:val="auto"/>
          <w:sz w:val="24"/>
          <w:highlight w:val="none"/>
        </w:rPr>
        <w:t>；</w:t>
      </w:r>
      <w:r>
        <w:rPr>
          <w:rFonts w:hint="eastAsia"/>
          <w:color w:val="auto"/>
          <w:sz w:val="24"/>
          <w:highlight w:val="none"/>
        </w:rPr>
        <w:t>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r>
        <w:rPr>
          <w:rFonts w:hint="eastAsia"/>
          <w:color w:val="auto"/>
          <w:sz w:val="24"/>
          <w:highlight w:val="none"/>
          <w:lang w:eastAsia="zh-CN"/>
        </w:rPr>
        <w:t>。</w:t>
      </w:r>
    </w:p>
    <w:p w14:paraId="34FA3AC3">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以上企业，不属于大企业的分支机构，不存在控股股东为大企业的情形，也不存在与大企业的负责人为同一人的情形。</w:t>
      </w:r>
    </w:p>
    <w:p w14:paraId="2479C3CA">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本企业对上述声明内容的真实性负责。如有虚假，将依法承担相应责任。</w:t>
      </w:r>
    </w:p>
    <w:p w14:paraId="0FE19C0D">
      <w:pPr>
        <w:pStyle w:val="17"/>
        <w:spacing w:beforeAutospacing="0" w:afterAutospacing="0" w:line="0" w:lineRule="atLeast"/>
        <w:ind w:right="720"/>
        <w:jc w:val="both"/>
        <w:rPr>
          <w:color w:val="auto"/>
          <w:highlight w:val="none"/>
        </w:rPr>
      </w:pPr>
      <w:r>
        <w:rPr>
          <w:color w:val="auto"/>
          <w:highlight w:val="none"/>
        </w:rPr>
        <w:t> </w:t>
      </w:r>
    </w:p>
    <w:p w14:paraId="6CD49601">
      <w:pPr>
        <w:pStyle w:val="17"/>
        <w:spacing w:beforeAutospacing="0" w:afterAutospacing="0" w:line="0" w:lineRule="atLeast"/>
        <w:ind w:right="180" w:firstLine="360"/>
        <w:jc w:val="right"/>
        <w:rPr>
          <w:color w:val="auto"/>
          <w:highlight w:val="none"/>
        </w:rPr>
      </w:pPr>
      <w:r>
        <w:rPr>
          <w:rFonts w:hint="eastAsia" w:ascii="宋体" w:hAnsi="宋体" w:eastAsia="宋体" w:cs="宋体"/>
          <w:color w:val="auto"/>
          <w:highlight w:val="none"/>
        </w:rPr>
        <w:t>企业名称（加盖CA电子公章）：</w:t>
      </w:r>
    </w:p>
    <w:p w14:paraId="19405A62">
      <w:pPr>
        <w:pStyle w:val="17"/>
        <w:spacing w:beforeAutospacing="0" w:afterAutospacing="0" w:line="0" w:lineRule="atLeast"/>
        <w:ind w:right="480" w:firstLine="6648" w:firstLineChars="2770"/>
        <w:jc w:val="both"/>
        <w:rPr>
          <w:color w:val="auto"/>
          <w:highlight w:val="none"/>
        </w:rPr>
      </w:pPr>
      <w:r>
        <w:rPr>
          <w:rFonts w:hint="eastAsia" w:ascii="宋体" w:hAnsi="宋体" w:eastAsia="宋体" w:cs="宋体"/>
          <w:color w:val="auto"/>
          <w:highlight w:val="none"/>
        </w:rPr>
        <w:t>日  期：</w:t>
      </w:r>
    </w:p>
    <w:p w14:paraId="09B20EFD">
      <w:pPr>
        <w:pStyle w:val="17"/>
        <w:spacing w:beforeAutospacing="0" w:afterAutospacing="0" w:line="0" w:lineRule="atLeast"/>
        <w:ind w:firstLine="240"/>
        <w:jc w:val="both"/>
        <w:rPr>
          <w:color w:val="auto"/>
          <w:highlight w:val="none"/>
        </w:rPr>
      </w:pPr>
      <w:r>
        <w:rPr>
          <w:color w:val="auto"/>
          <w:highlight w:val="none"/>
        </w:rPr>
        <w:t> </w:t>
      </w:r>
    </w:p>
    <w:p w14:paraId="5FD8B9FE">
      <w:pPr>
        <w:pStyle w:val="17"/>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4181A3D1">
      <w:pPr>
        <w:pStyle w:val="17"/>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备注2：供应商如不提供此声明函，价格将不做相应扣除</w:t>
      </w:r>
      <w:r>
        <w:rPr>
          <w:rFonts w:hint="eastAsia" w:ascii="宋体" w:hAnsi="宋体" w:eastAsia="宋体" w:cs="宋体"/>
          <w:color w:val="auto"/>
          <w:highlight w:val="none"/>
          <w:lang w:eastAsia="zh-CN"/>
        </w:rPr>
        <w:t>（如项目全面面向中小企业，则资格审查不通过）</w:t>
      </w:r>
      <w:r>
        <w:rPr>
          <w:rFonts w:hint="eastAsia" w:ascii="宋体" w:hAnsi="宋体" w:eastAsia="宋体" w:cs="宋体"/>
          <w:color w:val="auto"/>
          <w:highlight w:val="none"/>
        </w:rPr>
        <w:t>。</w:t>
      </w:r>
    </w:p>
    <w:p w14:paraId="3C438E2C">
      <w:pPr>
        <w:pStyle w:val="17"/>
        <w:spacing w:beforeAutospacing="0" w:afterAutospacing="0" w:line="0" w:lineRule="atLeast"/>
        <w:jc w:val="center"/>
        <w:outlineLvl w:val="0"/>
        <w:rPr>
          <w:highlight w:val="none"/>
        </w:rPr>
      </w:pPr>
      <w:r>
        <w:rPr>
          <w:rFonts w:hint="eastAsia" w:ascii="黑体" w:hAnsi="宋体" w:eastAsia="黑体" w:cs="黑体"/>
          <w:b/>
          <w:color w:val="auto"/>
          <w:sz w:val="32"/>
          <w:szCs w:val="32"/>
          <w:highlight w:val="none"/>
        </w:rPr>
        <w:br w:type="page"/>
      </w:r>
      <w:r>
        <w:rPr>
          <w:rFonts w:hint="eastAsia" w:ascii="黑体" w:hAnsi="宋体" w:eastAsia="黑体" w:cs="黑体"/>
          <w:b/>
          <w:color w:val="000000"/>
          <w:sz w:val="32"/>
          <w:szCs w:val="32"/>
          <w:highlight w:val="none"/>
        </w:rPr>
        <w:t> 十</w:t>
      </w:r>
      <w:r>
        <w:rPr>
          <w:rFonts w:hint="eastAsia" w:ascii="黑体" w:hAnsi="宋体" w:eastAsia="黑体" w:cs="黑体"/>
          <w:b/>
          <w:color w:val="000000"/>
          <w:sz w:val="32"/>
          <w:szCs w:val="32"/>
          <w:highlight w:val="none"/>
          <w:lang w:val="en-US" w:eastAsia="zh-CN"/>
        </w:rPr>
        <w:t>一</w:t>
      </w:r>
      <w:r>
        <w:rPr>
          <w:rFonts w:hint="eastAsia" w:ascii="黑体" w:hAnsi="宋体" w:eastAsia="黑体" w:cs="黑体"/>
          <w:b/>
          <w:color w:val="000000"/>
          <w:sz w:val="32"/>
          <w:szCs w:val="32"/>
          <w:highlight w:val="none"/>
        </w:rPr>
        <w:t>、残疾人福利性单位声明函</w:t>
      </w:r>
    </w:p>
    <w:p w14:paraId="40AD2CD4">
      <w:pPr>
        <w:pStyle w:val="17"/>
        <w:spacing w:beforeAutospacing="0" w:afterAutospacing="0" w:line="0" w:lineRule="atLeast"/>
        <w:ind w:firstLine="480"/>
        <w:jc w:val="both"/>
        <w:rPr>
          <w:highlight w:val="none"/>
        </w:rPr>
      </w:pPr>
      <w:r>
        <w:rPr>
          <w:rFonts w:hint="eastAsia" w:ascii="宋体" w:hAnsi="宋体" w:eastAsia="宋体" w:cs="宋体"/>
          <w:color w:val="000000"/>
          <w:highlight w:val="none"/>
        </w:rPr>
        <w:t>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〔2017〕141号</w:t>
      </w:r>
      <w:r>
        <w:rPr>
          <w:rFonts w:hint="eastAsia" w:ascii="宋体" w:hAnsi="宋体" w:eastAsia="宋体" w:cs="宋体"/>
          <w:color w:val="000000"/>
          <w:highlight w:val="none"/>
        </w:rPr>
        <w:t>）的规定，本单位为符合条件的残疾人福利性单位，且本单位参加</w:t>
      </w:r>
      <w:r>
        <w:rPr>
          <w:rFonts w:hint="eastAsia" w:ascii="宋体" w:hAnsi="宋体" w:eastAsia="宋体" w:cs="宋体"/>
          <w:color w:val="000000"/>
          <w:highlight w:val="none"/>
          <w:u w:val="single"/>
        </w:rPr>
        <w:t>射阳县退役军人事务局</w:t>
      </w:r>
      <w:r>
        <w:rPr>
          <w:rFonts w:hint="eastAsia" w:ascii="宋体" w:hAnsi="宋体" w:eastAsia="宋体" w:cs="宋体"/>
          <w:color w:val="000000"/>
          <w:highlight w:val="none"/>
        </w:rPr>
        <w:t>单位的采购文件编号为</w:t>
      </w:r>
      <w:r>
        <w:rPr>
          <w:rFonts w:hint="eastAsia" w:ascii="宋体" w:hAnsi="宋体" w:eastAsia="宋体" w:cs="宋体"/>
          <w:color w:val="000000"/>
          <w:highlight w:val="none"/>
          <w:u w:val="single"/>
        </w:rPr>
        <w:t>JSZC-320924-SYHY-G2026-0007</w:t>
      </w:r>
      <w:r>
        <w:rPr>
          <w:rFonts w:hint="eastAsia" w:ascii="宋体" w:hAnsi="宋体" w:eastAsia="宋体" w:cs="宋体"/>
          <w:color w:val="000000"/>
          <w:highlight w:val="none"/>
        </w:rPr>
        <w:t>的</w:t>
      </w:r>
      <w:r>
        <w:rPr>
          <w:rFonts w:hint="eastAsia" w:ascii="宋体" w:hAnsi="宋体" w:eastAsia="宋体" w:cs="宋体"/>
          <w:color w:val="000000"/>
          <w:highlight w:val="none"/>
          <w:u w:val="single"/>
        </w:rPr>
        <w:t>射阳县退役军人事务局2026-2027年度优抚对象及困难企业军转干健康体检合作医院采购项目</w:t>
      </w:r>
      <w:r>
        <w:rPr>
          <w:rFonts w:hint="eastAsia" w:ascii="宋体" w:hAnsi="宋体" w:eastAsia="宋体" w:cs="宋体"/>
          <w:color w:val="000000"/>
          <w:highlight w:val="none"/>
        </w:rPr>
        <w:t>项目采购活动由本单位提供服务。</w:t>
      </w:r>
    </w:p>
    <w:p w14:paraId="7214428A">
      <w:pPr>
        <w:pStyle w:val="17"/>
        <w:spacing w:beforeAutospacing="0" w:afterAutospacing="0" w:line="0" w:lineRule="atLeast"/>
        <w:ind w:firstLine="480"/>
        <w:jc w:val="both"/>
        <w:rPr>
          <w:highlight w:val="none"/>
        </w:rPr>
      </w:pPr>
      <w:r>
        <w:rPr>
          <w:rFonts w:hint="eastAsia" w:ascii="宋体" w:hAnsi="宋体" w:eastAsia="宋体" w:cs="宋体"/>
          <w:color w:val="000000"/>
          <w:highlight w:val="none"/>
        </w:rPr>
        <w:t>本单位对上述声明的真实性负责。如有虚假，将依法承担相应责任。</w:t>
      </w:r>
    </w:p>
    <w:p w14:paraId="13451427">
      <w:pPr>
        <w:pStyle w:val="17"/>
        <w:spacing w:beforeAutospacing="0" w:afterAutospacing="0" w:line="0" w:lineRule="atLeast"/>
        <w:ind w:firstLine="480"/>
        <w:jc w:val="both"/>
        <w:rPr>
          <w:highlight w:val="none"/>
        </w:rPr>
      </w:pPr>
      <w:r>
        <w:rPr>
          <w:highlight w:val="none"/>
        </w:rPr>
        <w:t> </w:t>
      </w:r>
    </w:p>
    <w:p w14:paraId="2F5C5190">
      <w:pPr>
        <w:pStyle w:val="17"/>
        <w:spacing w:beforeAutospacing="0" w:afterAutospacing="0" w:line="0" w:lineRule="atLeast"/>
        <w:ind w:firstLine="480"/>
        <w:jc w:val="both"/>
        <w:rPr>
          <w:rFonts w:hint="eastAsia" w:ascii="宋体" w:hAnsi="宋体" w:eastAsia="宋体" w:cs="宋体"/>
          <w:color w:val="000000"/>
          <w:highlight w:val="none"/>
        </w:rPr>
      </w:pPr>
      <w:r>
        <w:rPr>
          <w:rFonts w:hint="eastAsia" w:ascii="宋体" w:hAnsi="宋体" w:eastAsia="宋体" w:cs="宋体"/>
          <w:color w:val="000000"/>
          <w:highlight w:val="none"/>
        </w:rPr>
        <w:t>备注：</w:t>
      </w:r>
    </w:p>
    <w:p w14:paraId="2FAF371E">
      <w:pPr>
        <w:pStyle w:val="17"/>
        <w:spacing w:beforeAutospacing="0" w:afterAutospacing="0" w:line="0" w:lineRule="atLeast"/>
        <w:ind w:firstLine="480"/>
        <w:jc w:val="both"/>
        <w:rPr>
          <w:rFonts w:hint="eastAsia" w:eastAsia="宋体"/>
          <w:highlight w:val="none"/>
          <w:lang w:eastAsia="zh-CN"/>
        </w:rPr>
      </w:pPr>
      <w:r>
        <w:rPr>
          <w:rFonts w:hint="eastAsia" w:ascii="宋体" w:hAnsi="宋体" w:eastAsia="宋体" w:cs="宋体"/>
          <w:color w:val="000000"/>
          <w:highlight w:val="none"/>
        </w:rPr>
        <w:t>1、供应商如不提供此声明函，价格将不做相应扣除</w:t>
      </w:r>
      <w:r>
        <w:rPr>
          <w:rFonts w:hint="eastAsia" w:ascii="宋体" w:hAnsi="宋体" w:eastAsia="宋体" w:cs="宋体"/>
          <w:color w:val="000000"/>
          <w:highlight w:val="none"/>
          <w:lang w:eastAsia="zh-CN"/>
        </w:rPr>
        <w:t>（如项目全面面向中小企业，则资格审查不通过）。</w:t>
      </w:r>
    </w:p>
    <w:p w14:paraId="29CEDC66">
      <w:pPr>
        <w:pStyle w:val="17"/>
        <w:spacing w:beforeAutospacing="0" w:afterAutospacing="0" w:line="0" w:lineRule="atLeast"/>
        <w:ind w:firstLine="480"/>
        <w:jc w:val="both"/>
        <w:rPr>
          <w:rFonts w:hint="eastAsia" w:eastAsia="宋体"/>
          <w:highlight w:val="none"/>
          <w:lang w:eastAsia="zh-CN"/>
        </w:rPr>
      </w:pPr>
      <w:r>
        <w:rPr>
          <w:rFonts w:hint="eastAsia" w:ascii="宋体" w:hAnsi="宋体" w:eastAsia="宋体" w:cs="宋体"/>
          <w:color w:val="000000"/>
          <w:highlight w:val="none"/>
        </w:rPr>
        <w:t>2、中标人为残疾人福利单位的，此声明函将随中标结果同时公告，接受社会监督</w:t>
      </w:r>
      <w:r>
        <w:rPr>
          <w:rFonts w:hint="eastAsia" w:ascii="宋体" w:hAnsi="宋体" w:eastAsia="宋体" w:cs="宋体"/>
          <w:color w:val="000000"/>
          <w:highlight w:val="none"/>
          <w:lang w:eastAsia="zh-CN"/>
        </w:rPr>
        <w:t>。</w:t>
      </w:r>
    </w:p>
    <w:p w14:paraId="756ED4E7">
      <w:pPr>
        <w:pStyle w:val="17"/>
        <w:spacing w:beforeAutospacing="0" w:afterAutospacing="0" w:line="0" w:lineRule="atLeast"/>
        <w:ind w:firstLine="624"/>
        <w:jc w:val="both"/>
        <w:rPr>
          <w:highlight w:val="none"/>
        </w:rPr>
      </w:pPr>
      <w:r>
        <w:rPr>
          <w:highlight w:val="none"/>
        </w:rPr>
        <w:t> </w:t>
      </w:r>
    </w:p>
    <w:p w14:paraId="0A80BD48">
      <w:pPr>
        <w:pStyle w:val="17"/>
        <w:tabs>
          <w:tab w:val="left" w:pos="4864"/>
        </w:tabs>
        <w:spacing w:beforeAutospacing="0" w:afterAutospacing="0" w:line="0" w:lineRule="atLeast"/>
        <w:ind w:right="1560" w:firstLine="624"/>
        <w:jc w:val="center"/>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投标人</w:t>
      </w:r>
      <w:r>
        <w:rPr>
          <w:rFonts w:hint="eastAsia" w:ascii="宋体" w:hAnsi="宋体" w:eastAsia="宋体" w:cs="宋体"/>
          <w:color w:val="000000"/>
          <w:highlight w:val="none"/>
        </w:rPr>
        <w:t>全称（加盖CA电子公章）：</w:t>
      </w:r>
    </w:p>
    <w:p w14:paraId="26FB6E74">
      <w:pPr>
        <w:pStyle w:val="17"/>
        <w:tabs>
          <w:tab w:val="left" w:pos="4864"/>
        </w:tabs>
        <w:spacing w:beforeAutospacing="0" w:afterAutospacing="0" w:line="0" w:lineRule="atLeast"/>
        <w:ind w:right="1560" w:firstLine="480"/>
        <w:jc w:val="center"/>
        <w:rPr>
          <w:highlight w:val="none"/>
        </w:rPr>
      </w:pPr>
      <w:r>
        <w:rPr>
          <w:rFonts w:hint="eastAsia" w:ascii="宋体" w:hAnsi="宋体" w:eastAsia="宋体" w:cs="宋体"/>
          <w:color w:val="000000"/>
          <w:highlight w:val="none"/>
        </w:rPr>
        <w:t>        日  期：</w:t>
      </w:r>
    </w:p>
    <w:p w14:paraId="2B15E9CD">
      <w:pPr>
        <w:pStyle w:val="17"/>
        <w:spacing w:beforeAutospacing="0" w:afterAutospacing="0" w:line="0" w:lineRule="atLeast"/>
        <w:jc w:val="center"/>
        <w:rPr>
          <w:highlight w:val="none"/>
        </w:rPr>
      </w:pPr>
      <w:r>
        <w:rPr>
          <w:highlight w:val="none"/>
        </w:rPr>
        <w:t> </w:t>
      </w:r>
    </w:p>
    <w:p w14:paraId="5B4F30B6">
      <w:pPr>
        <w:pStyle w:val="17"/>
        <w:spacing w:beforeAutospacing="0" w:afterAutospacing="0" w:line="0" w:lineRule="atLeast"/>
        <w:jc w:val="center"/>
        <w:rPr>
          <w:highlight w:val="none"/>
        </w:rPr>
      </w:pPr>
      <w:r>
        <w:rPr>
          <w:highlight w:val="none"/>
        </w:rPr>
        <w:t> </w:t>
      </w:r>
    </w:p>
    <w:p w14:paraId="0BFA54F0">
      <w:pPr>
        <w:pStyle w:val="17"/>
        <w:spacing w:beforeAutospacing="0" w:afterAutospacing="0" w:line="0" w:lineRule="atLeast"/>
        <w:jc w:val="center"/>
        <w:rPr>
          <w:highlight w:val="none"/>
        </w:rPr>
      </w:pPr>
      <w:r>
        <w:rPr>
          <w:highlight w:val="none"/>
        </w:rPr>
        <w:t> </w:t>
      </w:r>
    </w:p>
    <w:p w14:paraId="23548FC4">
      <w:pPr>
        <w:pStyle w:val="17"/>
        <w:spacing w:beforeAutospacing="0" w:afterAutospacing="0" w:line="0" w:lineRule="atLeast"/>
        <w:jc w:val="center"/>
        <w:rPr>
          <w:highlight w:val="none"/>
        </w:rPr>
      </w:pPr>
      <w:r>
        <w:rPr>
          <w:highlight w:val="none"/>
        </w:rPr>
        <w:t> </w:t>
      </w:r>
    </w:p>
    <w:p w14:paraId="7CC18ADA">
      <w:pPr>
        <w:pStyle w:val="17"/>
        <w:spacing w:beforeAutospacing="0" w:afterAutospacing="0" w:line="0" w:lineRule="atLeast"/>
        <w:jc w:val="center"/>
        <w:rPr>
          <w:highlight w:val="none"/>
        </w:rPr>
      </w:pPr>
      <w:r>
        <w:rPr>
          <w:highlight w:val="none"/>
        </w:rPr>
        <w:t> </w:t>
      </w:r>
    </w:p>
    <w:p w14:paraId="3620AEDE">
      <w:pPr>
        <w:pStyle w:val="17"/>
        <w:spacing w:beforeAutospacing="0" w:afterAutospacing="0" w:line="0" w:lineRule="atLeast"/>
        <w:jc w:val="center"/>
        <w:rPr>
          <w:highlight w:val="none"/>
        </w:rPr>
      </w:pPr>
      <w:r>
        <w:rPr>
          <w:highlight w:val="none"/>
        </w:rPr>
        <w:t> </w:t>
      </w:r>
    </w:p>
    <w:p w14:paraId="45D5FEAA">
      <w:pPr>
        <w:pStyle w:val="17"/>
        <w:spacing w:beforeAutospacing="0" w:afterAutospacing="0" w:line="0" w:lineRule="atLeast"/>
        <w:jc w:val="center"/>
        <w:rPr>
          <w:highlight w:val="none"/>
        </w:rPr>
      </w:pPr>
      <w:r>
        <w:rPr>
          <w:highlight w:val="none"/>
        </w:rPr>
        <w:t> </w:t>
      </w:r>
    </w:p>
    <w:p w14:paraId="02551D98">
      <w:pPr>
        <w:pStyle w:val="17"/>
        <w:spacing w:beforeAutospacing="0" w:afterAutospacing="0" w:line="0" w:lineRule="atLeast"/>
        <w:jc w:val="center"/>
        <w:rPr>
          <w:highlight w:val="none"/>
        </w:rPr>
      </w:pPr>
      <w:r>
        <w:rPr>
          <w:highlight w:val="none"/>
        </w:rPr>
        <w:t> </w:t>
      </w:r>
    </w:p>
    <w:p w14:paraId="2E201E66">
      <w:pPr>
        <w:pStyle w:val="17"/>
        <w:spacing w:beforeAutospacing="0" w:afterAutospacing="0" w:line="0" w:lineRule="atLeast"/>
        <w:jc w:val="center"/>
        <w:rPr>
          <w:highlight w:val="none"/>
        </w:rPr>
      </w:pPr>
    </w:p>
    <w:p w14:paraId="26480510">
      <w:pPr>
        <w:pStyle w:val="17"/>
        <w:spacing w:beforeAutospacing="0" w:afterAutospacing="0" w:line="0" w:lineRule="atLeast"/>
        <w:jc w:val="center"/>
        <w:rPr>
          <w:highlight w:val="none"/>
        </w:rPr>
      </w:pPr>
    </w:p>
    <w:p w14:paraId="040A5ABB">
      <w:pPr>
        <w:pStyle w:val="17"/>
        <w:spacing w:beforeAutospacing="0" w:afterAutospacing="0" w:line="0" w:lineRule="atLeast"/>
        <w:jc w:val="center"/>
        <w:rPr>
          <w:highlight w:val="none"/>
        </w:rPr>
      </w:pPr>
    </w:p>
    <w:p w14:paraId="0E4F8989">
      <w:pPr>
        <w:pStyle w:val="17"/>
        <w:spacing w:beforeAutospacing="0" w:afterAutospacing="0" w:line="0" w:lineRule="atLeast"/>
        <w:jc w:val="center"/>
        <w:rPr>
          <w:highlight w:val="none"/>
        </w:rPr>
      </w:pPr>
    </w:p>
    <w:p w14:paraId="33B3D7CE">
      <w:pPr>
        <w:pStyle w:val="17"/>
        <w:spacing w:beforeAutospacing="0" w:afterAutospacing="0" w:line="0" w:lineRule="atLeast"/>
        <w:jc w:val="center"/>
        <w:rPr>
          <w:highlight w:val="none"/>
        </w:rPr>
      </w:pPr>
    </w:p>
    <w:p w14:paraId="47822C90">
      <w:pPr>
        <w:pStyle w:val="17"/>
        <w:spacing w:beforeAutospacing="0" w:afterAutospacing="0" w:line="0" w:lineRule="atLeast"/>
        <w:jc w:val="center"/>
        <w:rPr>
          <w:highlight w:val="none"/>
        </w:rPr>
      </w:pPr>
    </w:p>
    <w:p w14:paraId="09A39851">
      <w:pPr>
        <w:pStyle w:val="17"/>
        <w:spacing w:beforeAutospacing="0" w:afterAutospacing="0" w:line="0" w:lineRule="atLeast"/>
        <w:jc w:val="center"/>
        <w:rPr>
          <w:highlight w:val="none"/>
        </w:rPr>
      </w:pPr>
    </w:p>
    <w:p w14:paraId="7FD1136E">
      <w:pPr>
        <w:pStyle w:val="17"/>
        <w:spacing w:beforeAutospacing="0" w:afterAutospacing="0" w:line="0" w:lineRule="atLeast"/>
        <w:jc w:val="center"/>
        <w:rPr>
          <w:highlight w:val="none"/>
        </w:rPr>
      </w:pPr>
    </w:p>
    <w:p w14:paraId="5BEB7273">
      <w:pPr>
        <w:pStyle w:val="17"/>
        <w:spacing w:beforeAutospacing="0" w:afterAutospacing="0" w:line="0" w:lineRule="atLeast"/>
        <w:jc w:val="center"/>
        <w:rPr>
          <w:highlight w:val="none"/>
        </w:rPr>
      </w:pPr>
    </w:p>
    <w:p w14:paraId="033ACD42">
      <w:pPr>
        <w:pStyle w:val="17"/>
        <w:spacing w:beforeAutospacing="0" w:afterAutospacing="0" w:line="0" w:lineRule="atLeast"/>
        <w:jc w:val="center"/>
        <w:rPr>
          <w:highlight w:val="none"/>
        </w:rPr>
      </w:pPr>
    </w:p>
    <w:p w14:paraId="0E7A7A07">
      <w:pPr>
        <w:pStyle w:val="17"/>
        <w:spacing w:beforeAutospacing="0" w:afterAutospacing="0" w:line="0" w:lineRule="atLeast"/>
        <w:jc w:val="center"/>
        <w:rPr>
          <w:highlight w:val="none"/>
        </w:rPr>
      </w:pPr>
    </w:p>
    <w:p w14:paraId="290ED4BC">
      <w:pPr>
        <w:pStyle w:val="17"/>
        <w:spacing w:beforeAutospacing="0" w:afterAutospacing="0" w:line="0" w:lineRule="atLeast"/>
        <w:jc w:val="center"/>
        <w:rPr>
          <w:highlight w:val="none"/>
        </w:rPr>
      </w:pPr>
    </w:p>
    <w:p w14:paraId="2DE28D43">
      <w:pPr>
        <w:pStyle w:val="17"/>
        <w:spacing w:beforeAutospacing="0" w:afterAutospacing="0" w:line="0" w:lineRule="atLeast"/>
        <w:jc w:val="center"/>
        <w:rPr>
          <w:highlight w:val="none"/>
        </w:rPr>
      </w:pPr>
    </w:p>
    <w:p w14:paraId="4C188FB5">
      <w:pPr>
        <w:pStyle w:val="17"/>
        <w:spacing w:beforeAutospacing="0" w:afterAutospacing="0" w:line="0" w:lineRule="atLeast"/>
        <w:jc w:val="center"/>
        <w:rPr>
          <w:highlight w:val="none"/>
        </w:rPr>
      </w:pPr>
    </w:p>
    <w:p w14:paraId="44A213E5">
      <w:pPr>
        <w:pStyle w:val="17"/>
        <w:spacing w:beforeAutospacing="0" w:afterAutospacing="0" w:line="0" w:lineRule="atLeast"/>
        <w:jc w:val="center"/>
        <w:rPr>
          <w:highlight w:val="none"/>
        </w:rPr>
      </w:pPr>
    </w:p>
    <w:p w14:paraId="3B49ABBC">
      <w:pPr>
        <w:pStyle w:val="17"/>
        <w:spacing w:beforeAutospacing="0" w:afterAutospacing="0" w:line="0" w:lineRule="atLeast"/>
        <w:jc w:val="center"/>
        <w:rPr>
          <w:highlight w:val="none"/>
        </w:rPr>
      </w:pPr>
    </w:p>
    <w:p w14:paraId="6B3C584E">
      <w:pPr>
        <w:pStyle w:val="17"/>
        <w:spacing w:beforeAutospacing="0" w:afterAutospacing="0" w:line="0" w:lineRule="atLeast"/>
        <w:jc w:val="center"/>
        <w:rPr>
          <w:highlight w:val="none"/>
        </w:rPr>
      </w:pPr>
    </w:p>
    <w:p w14:paraId="61D08AC6">
      <w:pPr>
        <w:pStyle w:val="17"/>
        <w:spacing w:beforeAutospacing="0" w:afterAutospacing="0" w:line="0" w:lineRule="atLeast"/>
        <w:jc w:val="center"/>
        <w:rPr>
          <w:highlight w:val="none"/>
        </w:rPr>
      </w:pPr>
    </w:p>
    <w:p w14:paraId="0251136B">
      <w:pPr>
        <w:pStyle w:val="17"/>
        <w:spacing w:beforeAutospacing="0" w:afterAutospacing="0" w:line="0" w:lineRule="atLeast"/>
        <w:jc w:val="center"/>
        <w:rPr>
          <w:highlight w:val="none"/>
        </w:rPr>
      </w:pPr>
    </w:p>
    <w:p w14:paraId="2F312E3D">
      <w:pPr>
        <w:pStyle w:val="17"/>
        <w:spacing w:beforeAutospacing="0" w:afterAutospacing="0" w:line="0" w:lineRule="atLeast"/>
        <w:jc w:val="center"/>
        <w:rPr>
          <w:highlight w:val="none"/>
        </w:rPr>
      </w:pPr>
    </w:p>
    <w:p w14:paraId="42557233">
      <w:pPr>
        <w:pStyle w:val="17"/>
        <w:spacing w:beforeAutospacing="0" w:afterAutospacing="0" w:line="0" w:lineRule="atLeast"/>
        <w:jc w:val="center"/>
        <w:rPr>
          <w:highlight w:val="none"/>
        </w:rPr>
      </w:pPr>
      <w:r>
        <w:rPr>
          <w:highlight w:val="none"/>
        </w:rPr>
        <w:t> </w:t>
      </w:r>
    </w:p>
    <w:p w14:paraId="5915A32A">
      <w:pPr>
        <w:pStyle w:val="17"/>
        <w:spacing w:beforeAutospacing="0" w:afterAutospacing="0" w:line="0" w:lineRule="atLeast"/>
        <w:jc w:val="center"/>
        <w:rPr>
          <w:highlight w:val="none"/>
        </w:rPr>
      </w:pPr>
      <w:r>
        <w:rPr>
          <w:highlight w:val="none"/>
        </w:rPr>
        <w:t> </w:t>
      </w:r>
    </w:p>
    <w:p w14:paraId="23894C2A">
      <w:pPr>
        <w:pStyle w:val="17"/>
        <w:spacing w:beforeAutospacing="0" w:afterAutospacing="0" w:line="0" w:lineRule="atLeast"/>
        <w:jc w:val="center"/>
        <w:rPr>
          <w:highlight w:val="none"/>
        </w:rPr>
      </w:pPr>
      <w:r>
        <w:rPr>
          <w:highlight w:val="none"/>
        </w:rPr>
        <w:t> </w:t>
      </w:r>
    </w:p>
    <w:p w14:paraId="588DC660">
      <w:pPr>
        <w:pStyle w:val="17"/>
        <w:spacing w:beforeAutospacing="0" w:afterAutospacing="0" w:line="0" w:lineRule="atLeast"/>
        <w:jc w:val="center"/>
        <w:rPr>
          <w:highlight w:val="none"/>
        </w:rPr>
      </w:pPr>
      <w:r>
        <w:rPr>
          <w:highlight w:val="none"/>
        </w:rPr>
        <w:t> </w:t>
      </w:r>
    </w:p>
    <w:p w14:paraId="37E6BE0B">
      <w:pPr>
        <w:pStyle w:val="17"/>
        <w:spacing w:beforeAutospacing="0" w:afterAutospacing="0" w:line="0" w:lineRule="atLeast"/>
        <w:jc w:val="both"/>
        <w:rPr>
          <w:highlight w:val="none"/>
        </w:rPr>
      </w:pPr>
      <w:r>
        <w:rPr>
          <w:highlight w:val="none"/>
        </w:rPr>
        <w:t> </w:t>
      </w:r>
    </w:p>
    <w:p w14:paraId="55F1432A">
      <w:pPr>
        <w:pStyle w:val="17"/>
        <w:spacing w:beforeAutospacing="0" w:afterAutospacing="0"/>
        <w:jc w:val="center"/>
        <w:outlineLvl w:val="0"/>
        <w:rPr>
          <w:rFonts w:hint="eastAsia" w:ascii="黑体" w:hAnsi="宋体" w:eastAsia="黑体" w:cs="黑体"/>
          <w:b/>
          <w:i/>
          <w:iCs/>
          <w:color w:val="000000"/>
          <w:sz w:val="32"/>
          <w:szCs w:val="32"/>
          <w:u w:val="single"/>
        </w:rPr>
      </w:pPr>
      <w:r>
        <w:rPr>
          <w:rFonts w:hint="eastAsia" w:ascii="黑体" w:hAnsi="宋体" w:eastAsia="黑体" w:cs="黑体"/>
          <w:b/>
          <w:i/>
          <w:iCs/>
          <w:color w:val="000000"/>
          <w:sz w:val="32"/>
          <w:szCs w:val="32"/>
          <w:u w:val="single"/>
          <w:lang w:val="en-US" w:eastAsia="zh-CN"/>
        </w:rPr>
        <w:t>十二、</w:t>
      </w:r>
      <w:r>
        <w:rPr>
          <w:rFonts w:hint="eastAsia" w:ascii="黑体" w:hAnsi="宋体" w:eastAsia="黑体" w:cs="黑体"/>
          <w:b/>
          <w:i/>
          <w:iCs/>
          <w:color w:val="000000"/>
          <w:sz w:val="32"/>
          <w:szCs w:val="32"/>
          <w:u w:val="single"/>
        </w:rPr>
        <w:t>资格性审查响应对照表</w:t>
      </w:r>
    </w:p>
    <w:tbl>
      <w:tblPr>
        <w:tblStyle w:val="19"/>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320"/>
        <w:gridCol w:w="1807"/>
        <w:gridCol w:w="1785"/>
      </w:tblGrid>
      <w:tr w14:paraId="23CBA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82" w:hRule="atLeast"/>
        </w:trPr>
        <w:tc>
          <w:tcPr>
            <w:tcW w:w="646" w:type="dxa"/>
            <w:noWrap w:val="0"/>
            <w:vAlign w:val="center"/>
          </w:tcPr>
          <w:p w14:paraId="36FE2055">
            <w:pPr>
              <w:spacing w:line="240" w:lineRule="atLeast"/>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序号</w:t>
            </w:r>
          </w:p>
        </w:tc>
        <w:tc>
          <w:tcPr>
            <w:tcW w:w="5320" w:type="dxa"/>
            <w:noWrap w:val="0"/>
            <w:vAlign w:val="center"/>
          </w:tcPr>
          <w:p w14:paraId="239F7F4B">
            <w:pPr>
              <w:spacing w:line="240" w:lineRule="atLeast"/>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资格性审查响应内容</w:t>
            </w:r>
          </w:p>
        </w:tc>
        <w:tc>
          <w:tcPr>
            <w:tcW w:w="1807" w:type="dxa"/>
            <w:noWrap w:val="0"/>
            <w:vAlign w:val="center"/>
          </w:tcPr>
          <w:p w14:paraId="35644A90">
            <w:pPr>
              <w:spacing w:line="240" w:lineRule="atLeast"/>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是否响应</w:t>
            </w:r>
          </w:p>
          <w:p w14:paraId="37BC8091">
            <w:pPr>
              <w:spacing w:line="240" w:lineRule="atLeast"/>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（填是或者否）</w:t>
            </w:r>
          </w:p>
        </w:tc>
        <w:tc>
          <w:tcPr>
            <w:tcW w:w="1785" w:type="dxa"/>
            <w:noWrap w:val="0"/>
            <w:vAlign w:val="center"/>
          </w:tcPr>
          <w:p w14:paraId="0A4BF6E8">
            <w:pPr>
              <w:spacing w:line="240" w:lineRule="atLeast"/>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lang w:val="en-US" w:eastAsia="zh-CN"/>
              </w:rPr>
              <w:t>投标</w:t>
            </w:r>
            <w:r>
              <w:rPr>
                <w:rFonts w:hint="eastAsia" w:asciiTheme="minorEastAsia" w:hAnsiTheme="minorEastAsia" w:eastAsiaTheme="minorEastAsia" w:cstheme="minorEastAsia"/>
                <w:b/>
                <w:sz w:val="24"/>
                <w:szCs w:val="24"/>
              </w:rPr>
              <w:t>文件中的</w:t>
            </w:r>
          </w:p>
          <w:p w14:paraId="6FA947A5">
            <w:pPr>
              <w:spacing w:line="240" w:lineRule="atLeast"/>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页码位置</w:t>
            </w:r>
          </w:p>
        </w:tc>
      </w:tr>
      <w:tr w14:paraId="57B3F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14:paraId="08AEB253">
            <w:pPr>
              <w:jc w:val="cente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1</w:t>
            </w:r>
          </w:p>
        </w:tc>
        <w:tc>
          <w:tcPr>
            <w:tcW w:w="5320" w:type="dxa"/>
            <w:noWrap w:val="0"/>
            <w:vAlign w:val="center"/>
          </w:tcPr>
          <w:p w14:paraId="4242A281">
            <w:pPr>
              <w:jc w:val="left"/>
              <w:rPr>
                <w:rFonts w:hint="eastAsia" w:asciiTheme="minorEastAsia" w:hAnsiTheme="minorEastAsia" w:eastAsiaTheme="minorEastAsia" w:cstheme="minorEastAsia"/>
                <w:b w:val="0"/>
                <w:bCs/>
                <w:iCs/>
                <w:sz w:val="24"/>
                <w:szCs w:val="24"/>
              </w:rPr>
            </w:pPr>
            <w:r>
              <w:rPr>
                <w:rFonts w:hint="eastAsia" w:asciiTheme="minorEastAsia" w:hAnsiTheme="minorEastAsia" w:eastAsiaTheme="minorEastAsia" w:cstheme="minorEastAsia"/>
                <w:b w:val="0"/>
                <w:bCs/>
                <w:i w:val="0"/>
                <w:iCs/>
                <w:color w:val="000000"/>
                <w:sz w:val="24"/>
                <w:szCs w:val="24"/>
                <w:highlight w:val="none"/>
                <w:u w:val="none"/>
              </w:rPr>
              <w:t>法人或者其他组织的营业执照等证明文件，自然人的身份证明</w:t>
            </w:r>
            <w:r>
              <w:rPr>
                <w:rFonts w:hint="eastAsia" w:asciiTheme="minorEastAsia" w:hAnsiTheme="minorEastAsia" w:eastAsiaTheme="minorEastAsia" w:cstheme="minorEastAsia"/>
                <w:b w:val="0"/>
                <w:bCs/>
                <w:i w:val="0"/>
                <w:iCs/>
                <w:color w:val="000000"/>
                <w:sz w:val="24"/>
                <w:szCs w:val="24"/>
                <w:highlight w:val="none"/>
                <w:u w:val="none"/>
                <w:lang w:eastAsia="zh-CN"/>
              </w:rPr>
              <w:t>；</w:t>
            </w:r>
          </w:p>
        </w:tc>
        <w:tc>
          <w:tcPr>
            <w:tcW w:w="1807" w:type="dxa"/>
            <w:noWrap w:val="0"/>
            <w:vAlign w:val="center"/>
          </w:tcPr>
          <w:p w14:paraId="48BD0B36">
            <w:pPr>
              <w:rPr>
                <w:rFonts w:hint="eastAsia" w:asciiTheme="minorEastAsia" w:hAnsiTheme="minorEastAsia" w:eastAsiaTheme="minorEastAsia" w:cstheme="minorEastAsia"/>
                <w:b/>
                <w:sz w:val="24"/>
                <w:szCs w:val="24"/>
              </w:rPr>
            </w:pPr>
          </w:p>
        </w:tc>
        <w:tc>
          <w:tcPr>
            <w:tcW w:w="1785" w:type="dxa"/>
            <w:noWrap w:val="0"/>
            <w:vAlign w:val="center"/>
          </w:tcPr>
          <w:p w14:paraId="15D1B351">
            <w:pPr>
              <w:rPr>
                <w:rFonts w:hint="eastAsia" w:asciiTheme="minorEastAsia" w:hAnsiTheme="minorEastAsia" w:eastAsiaTheme="minorEastAsia" w:cstheme="minorEastAsia"/>
                <w:b/>
                <w:sz w:val="24"/>
                <w:szCs w:val="24"/>
              </w:rPr>
            </w:pPr>
          </w:p>
        </w:tc>
      </w:tr>
      <w:tr w14:paraId="11496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14:paraId="6C24FF42">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5320" w:type="dxa"/>
            <w:noWrap w:val="0"/>
            <w:vAlign w:val="center"/>
          </w:tcPr>
          <w:p w14:paraId="18427094">
            <w:pPr>
              <w:jc w:val="left"/>
              <w:rPr>
                <w:rFonts w:hint="eastAsia" w:asciiTheme="minorEastAsia" w:hAnsiTheme="minorEastAsia" w:eastAsiaTheme="minorEastAsia" w:cstheme="minorEastAsia"/>
                <w:iCs/>
                <w:sz w:val="24"/>
                <w:szCs w:val="24"/>
              </w:rPr>
            </w:pPr>
            <w:r>
              <w:rPr>
                <w:rFonts w:hint="eastAsia" w:asciiTheme="minorEastAsia" w:hAnsiTheme="minorEastAsia" w:eastAsiaTheme="minorEastAsia" w:cstheme="minorEastAsia"/>
                <w:i w:val="0"/>
                <w:iCs/>
                <w:color w:val="000000"/>
                <w:kern w:val="0"/>
                <w:sz w:val="24"/>
                <w:szCs w:val="24"/>
                <w:highlight w:val="none"/>
                <w:u w:val="none"/>
                <w:lang w:val="en-US" w:eastAsia="zh-CN" w:bidi="ar-SA"/>
              </w:rPr>
              <w:t>上一年度的财务状况报表（至少提供资产负债表、利润表、现金流量表，投标人成立不满一年无需提供）</w:t>
            </w:r>
            <w:r>
              <w:rPr>
                <w:rFonts w:hint="eastAsia" w:asciiTheme="minorEastAsia" w:hAnsiTheme="minorEastAsia" w:cstheme="minorEastAsia"/>
                <w:i w:val="0"/>
                <w:iCs/>
                <w:color w:val="000000"/>
                <w:kern w:val="0"/>
                <w:sz w:val="24"/>
                <w:szCs w:val="24"/>
                <w:highlight w:val="none"/>
                <w:u w:val="none"/>
                <w:lang w:val="en-US" w:eastAsia="zh-CN" w:bidi="ar-SA"/>
              </w:rPr>
              <w:t>；</w:t>
            </w:r>
          </w:p>
        </w:tc>
        <w:tc>
          <w:tcPr>
            <w:tcW w:w="1807" w:type="dxa"/>
            <w:noWrap w:val="0"/>
            <w:vAlign w:val="center"/>
          </w:tcPr>
          <w:p w14:paraId="2953BB47">
            <w:pPr>
              <w:rPr>
                <w:rFonts w:hint="eastAsia" w:asciiTheme="minorEastAsia" w:hAnsiTheme="minorEastAsia" w:eastAsiaTheme="minorEastAsia" w:cstheme="minorEastAsia"/>
                <w:sz w:val="24"/>
                <w:szCs w:val="24"/>
              </w:rPr>
            </w:pPr>
          </w:p>
        </w:tc>
        <w:tc>
          <w:tcPr>
            <w:tcW w:w="1785" w:type="dxa"/>
            <w:noWrap w:val="0"/>
            <w:vAlign w:val="center"/>
          </w:tcPr>
          <w:p w14:paraId="2DBE0CC3">
            <w:pPr>
              <w:rPr>
                <w:rFonts w:hint="eastAsia" w:asciiTheme="minorEastAsia" w:hAnsiTheme="minorEastAsia" w:eastAsiaTheme="minorEastAsia" w:cstheme="minorEastAsia"/>
                <w:sz w:val="24"/>
                <w:szCs w:val="24"/>
              </w:rPr>
            </w:pPr>
          </w:p>
        </w:tc>
      </w:tr>
      <w:tr w14:paraId="2C14A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14:paraId="16E7AFC8">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5320" w:type="dxa"/>
            <w:noWrap w:val="0"/>
            <w:vAlign w:val="center"/>
          </w:tcPr>
          <w:p w14:paraId="51D6D606">
            <w:pPr>
              <w:jc w:val="left"/>
              <w:rPr>
                <w:rFonts w:hint="eastAsia" w:asciiTheme="minorEastAsia" w:hAnsiTheme="minorEastAsia" w:eastAsiaTheme="minorEastAsia" w:cstheme="minorEastAsia"/>
                <w:iCs/>
                <w:sz w:val="24"/>
                <w:szCs w:val="24"/>
              </w:rPr>
            </w:pPr>
            <w:r>
              <w:rPr>
                <w:rFonts w:hint="eastAsia" w:asciiTheme="minorEastAsia" w:hAnsiTheme="minorEastAsia" w:eastAsiaTheme="minorEastAsia" w:cstheme="minorEastAsia"/>
                <w:i w:val="0"/>
                <w:iCs/>
                <w:color w:val="000000"/>
                <w:sz w:val="24"/>
                <w:szCs w:val="24"/>
                <w:highlight w:val="none"/>
                <w:u w:val="none"/>
              </w:rPr>
              <w:t>具备履行合同所必需的设备和专业技术能力的书面声明</w:t>
            </w:r>
            <w:r>
              <w:rPr>
                <w:rFonts w:hint="eastAsia" w:asciiTheme="minorEastAsia" w:hAnsiTheme="minorEastAsia" w:eastAsiaTheme="minorEastAsia" w:cstheme="minorEastAsia"/>
                <w:i w:val="0"/>
                <w:iCs/>
                <w:color w:val="000000"/>
                <w:sz w:val="24"/>
                <w:szCs w:val="24"/>
                <w:highlight w:val="none"/>
                <w:u w:val="none"/>
                <w:lang w:eastAsia="zh-CN"/>
              </w:rPr>
              <w:t>；</w:t>
            </w:r>
          </w:p>
        </w:tc>
        <w:tc>
          <w:tcPr>
            <w:tcW w:w="1807" w:type="dxa"/>
            <w:noWrap w:val="0"/>
            <w:vAlign w:val="center"/>
          </w:tcPr>
          <w:p w14:paraId="7E7E4FE5">
            <w:pPr>
              <w:rPr>
                <w:rFonts w:hint="eastAsia" w:asciiTheme="minorEastAsia" w:hAnsiTheme="minorEastAsia" w:eastAsiaTheme="minorEastAsia" w:cstheme="minorEastAsia"/>
                <w:sz w:val="24"/>
                <w:szCs w:val="24"/>
              </w:rPr>
            </w:pPr>
          </w:p>
        </w:tc>
        <w:tc>
          <w:tcPr>
            <w:tcW w:w="1785" w:type="dxa"/>
            <w:noWrap w:val="0"/>
            <w:vAlign w:val="center"/>
          </w:tcPr>
          <w:p w14:paraId="694CBE56">
            <w:pPr>
              <w:rPr>
                <w:rFonts w:hint="eastAsia" w:asciiTheme="minorEastAsia" w:hAnsiTheme="minorEastAsia" w:eastAsiaTheme="minorEastAsia" w:cstheme="minorEastAsia"/>
                <w:sz w:val="24"/>
                <w:szCs w:val="24"/>
              </w:rPr>
            </w:pPr>
          </w:p>
        </w:tc>
      </w:tr>
      <w:tr w14:paraId="7D566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646" w:type="dxa"/>
            <w:noWrap w:val="0"/>
            <w:vAlign w:val="center"/>
          </w:tcPr>
          <w:p w14:paraId="609DE6DD">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p>
        </w:tc>
        <w:tc>
          <w:tcPr>
            <w:tcW w:w="5320" w:type="dxa"/>
            <w:noWrap w:val="0"/>
            <w:vAlign w:val="center"/>
          </w:tcPr>
          <w:p w14:paraId="796AD735">
            <w:pPr>
              <w:jc w:val="left"/>
              <w:rPr>
                <w:rFonts w:hint="eastAsia" w:asciiTheme="minorEastAsia" w:hAnsiTheme="minorEastAsia" w:eastAsiaTheme="minorEastAsia" w:cstheme="minorEastAsia"/>
                <w:iCs/>
                <w:sz w:val="24"/>
                <w:szCs w:val="24"/>
              </w:rPr>
            </w:pPr>
            <w:r>
              <w:rPr>
                <w:rFonts w:hint="eastAsia" w:asciiTheme="minorEastAsia" w:hAnsiTheme="minorEastAsia" w:eastAsiaTheme="minorEastAsia" w:cstheme="minorEastAsia"/>
                <w:i w:val="0"/>
                <w:iCs/>
                <w:color w:val="000000"/>
                <w:sz w:val="24"/>
                <w:szCs w:val="24"/>
                <w:highlight w:val="none"/>
                <w:u w:val="none"/>
              </w:rPr>
              <w:t>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Theme="minorEastAsia" w:hAnsiTheme="minorEastAsia" w:eastAsiaTheme="minorEastAsia" w:cstheme="minorEastAsia"/>
                <w:i w:val="0"/>
                <w:iCs/>
                <w:color w:val="000000"/>
                <w:sz w:val="24"/>
                <w:szCs w:val="24"/>
                <w:highlight w:val="none"/>
                <w:u w:val="none"/>
                <w:lang w:eastAsia="zh-CN"/>
              </w:rPr>
              <w:t>；</w:t>
            </w:r>
          </w:p>
        </w:tc>
        <w:tc>
          <w:tcPr>
            <w:tcW w:w="1807" w:type="dxa"/>
            <w:noWrap w:val="0"/>
            <w:vAlign w:val="center"/>
          </w:tcPr>
          <w:p w14:paraId="7F0CC483">
            <w:pPr>
              <w:rPr>
                <w:rFonts w:hint="eastAsia" w:asciiTheme="minorEastAsia" w:hAnsiTheme="minorEastAsia" w:eastAsiaTheme="minorEastAsia" w:cstheme="minorEastAsia"/>
                <w:sz w:val="24"/>
                <w:szCs w:val="24"/>
              </w:rPr>
            </w:pPr>
          </w:p>
        </w:tc>
        <w:tc>
          <w:tcPr>
            <w:tcW w:w="1785" w:type="dxa"/>
            <w:noWrap w:val="0"/>
            <w:vAlign w:val="center"/>
          </w:tcPr>
          <w:p w14:paraId="34B47AAF">
            <w:pPr>
              <w:rPr>
                <w:rFonts w:hint="eastAsia" w:asciiTheme="minorEastAsia" w:hAnsiTheme="minorEastAsia" w:eastAsiaTheme="minorEastAsia" w:cstheme="minorEastAsia"/>
                <w:sz w:val="24"/>
                <w:szCs w:val="24"/>
              </w:rPr>
            </w:pPr>
          </w:p>
        </w:tc>
      </w:tr>
      <w:tr w14:paraId="03B51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646" w:type="dxa"/>
            <w:noWrap w:val="0"/>
            <w:vAlign w:val="center"/>
          </w:tcPr>
          <w:p w14:paraId="552A5D69">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5320" w:type="dxa"/>
            <w:noWrap w:val="0"/>
            <w:vAlign w:val="center"/>
          </w:tcPr>
          <w:p w14:paraId="1959BD4E">
            <w:pPr>
              <w:jc w:val="left"/>
              <w:rPr>
                <w:rFonts w:hint="eastAsia" w:asciiTheme="minorEastAsia" w:hAnsiTheme="minorEastAsia" w:eastAsiaTheme="minorEastAsia" w:cstheme="minorEastAsia"/>
                <w:iCs/>
                <w:sz w:val="24"/>
                <w:szCs w:val="24"/>
              </w:rPr>
            </w:pPr>
            <w:r>
              <w:rPr>
                <w:rFonts w:hint="eastAsia" w:asciiTheme="minorEastAsia" w:hAnsiTheme="minorEastAsia" w:eastAsiaTheme="minorEastAsia" w:cstheme="minorEastAsia"/>
                <w:i w:val="0"/>
                <w:iCs/>
                <w:color w:val="000000"/>
                <w:sz w:val="24"/>
                <w:szCs w:val="24"/>
                <w:highlight w:val="none"/>
                <w:u w:val="none"/>
              </w:rPr>
              <w:t>参加政府采购活动前 3 年内在经营活动中没有重大违法记录的书面声明</w:t>
            </w:r>
            <w:r>
              <w:rPr>
                <w:rFonts w:hint="eastAsia" w:asciiTheme="minorEastAsia" w:hAnsiTheme="minorEastAsia" w:eastAsiaTheme="minorEastAsia" w:cstheme="minorEastAsia"/>
                <w:i w:val="0"/>
                <w:iCs/>
                <w:color w:val="000000"/>
                <w:sz w:val="24"/>
                <w:szCs w:val="24"/>
                <w:highlight w:val="none"/>
                <w:u w:val="none"/>
                <w:lang w:eastAsia="zh-CN"/>
              </w:rPr>
              <w:t>；</w:t>
            </w:r>
          </w:p>
        </w:tc>
        <w:tc>
          <w:tcPr>
            <w:tcW w:w="1807" w:type="dxa"/>
            <w:noWrap w:val="0"/>
            <w:vAlign w:val="center"/>
          </w:tcPr>
          <w:p w14:paraId="762E8E31">
            <w:pPr>
              <w:rPr>
                <w:rFonts w:hint="eastAsia" w:asciiTheme="minorEastAsia" w:hAnsiTheme="minorEastAsia" w:eastAsiaTheme="minorEastAsia" w:cstheme="minorEastAsia"/>
                <w:sz w:val="24"/>
                <w:szCs w:val="24"/>
              </w:rPr>
            </w:pPr>
          </w:p>
        </w:tc>
        <w:tc>
          <w:tcPr>
            <w:tcW w:w="1785" w:type="dxa"/>
            <w:noWrap w:val="0"/>
            <w:vAlign w:val="center"/>
          </w:tcPr>
          <w:p w14:paraId="49575EE4">
            <w:pPr>
              <w:rPr>
                <w:rFonts w:hint="eastAsia" w:asciiTheme="minorEastAsia" w:hAnsiTheme="minorEastAsia" w:eastAsiaTheme="minorEastAsia" w:cstheme="minorEastAsia"/>
                <w:sz w:val="24"/>
                <w:szCs w:val="24"/>
              </w:rPr>
            </w:pPr>
          </w:p>
        </w:tc>
      </w:tr>
      <w:tr w14:paraId="2BF0A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646" w:type="dxa"/>
            <w:noWrap w:val="0"/>
            <w:vAlign w:val="center"/>
          </w:tcPr>
          <w:p w14:paraId="28435D25">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w:t>
            </w:r>
          </w:p>
        </w:tc>
        <w:tc>
          <w:tcPr>
            <w:tcW w:w="5320" w:type="dxa"/>
            <w:noWrap w:val="0"/>
            <w:vAlign w:val="center"/>
          </w:tcPr>
          <w:p w14:paraId="0AA0AB72">
            <w:pPr>
              <w:jc w:val="left"/>
              <w:rPr>
                <w:rFonts w:hint="eastAsia" w:asciiTheme="minorEastAsia" w:hAnsiTheme="minorEastAsia" w:eastAsiaTheme="minorEastAsia" w:cstheme="minorEastAsia"/>
                <w:iCs/>
                <w:sz w:val="24"/>
                <w:szCs w:val="24"/>
              </w:rPr>
            </w:pPr>
            <w:r>
              <w:rPr>
                <w:rFonts w:hint="eastAsia" w:asciiTheme="minorEastAsia" w:hAnsiTheme="minorEastAsia" w:eastAsiaTheme="minorEastAsia" w:cstheme="minorEastAsia"/>
                <w:i w:val="0"/>
                <w:iCs/>
                <w:color w:val="000000"/>
                <w:sz w:val="24"/>
                <w:szCs w:val="24"/>
                <w:highlight w:val="none"/>
                <w:u w:val="none"/>
              </w:rPr>
              <w:t>投标人须具备一级及以上医疗资质的医院。</w:t>
            </w:r>
          </w:p>
        </w:tc>
        <w:tc>
          <w:tcPr>
            <w:tcW w:w="1807" w:type="dxa"/>
            <w:noWrap w:val="0"/>
            <w:vAlign w:val="center"/>
          </w:tcPr>
          <w:p w14:paraId="26E79327">
            <w:pPr>
              <w:rPr>
                <w:rFonts w:hint="eastAsia" w:asciiTheme="minorEastAsia" w:hAnsiTheme="minorEastAsia" w:eastAsiaTheme="minorEastAsia" w:cstheme="minorEastAsia"/>
                <w:sz w:val="24"/>
                <w:szCs w:val="24"/>
              </w:rPr>
            </w:pPr>
          </w:p>
        </w:tc>
        <w:tc>
          <w:tcPr>
            <w:tcW w:w="1785" w:type="dxa"/>
            <w:noWrap w:val="0"/>
            <w:vAlign w:val="center"/>
          </w:tcPr>
          <w:p w14:paraId="1E1ECD3A">
            <w:pPr>
              <w:rPr>
                <w:rFonts w:hint="eastAsia" w:asciiTheme="minorEastAsia" w:hAnsiTheme="minorEastAsia" w:eastAsiaTheme="minorEastAsia" w:cstheme="minorEastAsia"/>
                <w:sz w:val="24"/>
                <w:szCs w:val="24"/>
              </w:rPr>
            </w:pPr>
          </w:p>
        </w:tc>
      </w:tr>
      <w:tr w14:paraId="3E0D2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646" w:type="dxa"/>
            <w:noWrap w:val="0"/>
            <w:vAlign w:val="center"/>
          </w:tcPr>
          <w:p w14:paraId="499A5974">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w:t>
            </w:r>
          </w:p>
        </w:tc>
        <w:tc>
          <w:tcPr>
            <w:tcW w:w="5320" w:type="dxa"/>
            <w:noWrap w:val="0"/>
            <w:vAlign w:val="center"/>
          </w:tcPr>
          <w:p w14:paraId="0B5FEE20">
            <w:pPr>
              <w:jc w:val="left"/>
              <w:rPr>
                <w:rFonts w:hint="default" w:asciiTheme="minorEastAsia" w:hAnsiTheme="minorEastAsia" w:eastAsiaTheme="minorEastAsia" w:cstheme="minorEastAsia"/>
                <w:iCs/>
                <w:sz w:val="24"/>
                <w:szCs w:val="24"/>
                <w:lang w:val="en-US" w:eastAsia="zh-CN"/>
              </w:rPr>
            </w:pPr>
            <w:r>
              <w:rPr>
                <w:rFonts w:hint="eastAsia" w:asciiTheme="minorEastAsia" w:hAnsiTheme="minorEastAsia" w:cstheme="minorEastAsia"/>
                <w:iCs/>
                <w:sz w:val="24"/>
                <w:szCs w:val="24"/>
                <w:lang w:val="en-US" w:eastAsia="zh-CN"/>
              </w:rPr>
              <w:t>......</w:t>
            </w:r>
          </w:p>
        </w:tc>
        <w:tc>
          <w:tcPr>
            <w:tcW w:w="1807" w:type="dxa"/>
            <w:noWrap w:val="0"/>
            <w:vAlign w:val="center"/>
          </w:tcPr>
          <w:p w14:paraId="659CF2DC">
            <w:pPr>
              <w:rPr>
                <w:rFonts w:hint="eastAsia" w:asciiTheme="minorEastAsia" w:hAnsiTheme="minorEastAsia" w:eastAsiaTheme="minorEastAsia" w:cstheme="minorEastAsia"/>
                <w:sz w:val="24"/>
                <w:szCs w:val="24"/>
              </w:rPr>
            </w:pPr>
          </w:p>
        </w:tc>
        <w:tc>
          <w:tcPr>
            <w:tcW w:w="1785" w:type="dxa"/>
            <w:noWrap w:val="0"/>
            <w:vAlign w:val="center"/>
          </w:tcPr>
          <w:p w14:paraId="5FBB78A7">
            <w:pPr>
              <w:rPr>
                <w:rFonts w:hint="eastAsia" w:asciiTheme="minorEastAsia" w:hAnsiTheme="minorEastAsia" w:eastAsiaTheme="minorEastAsia" w:cstheme="minorEastAsia"/>
                <w:sz w:val="24"/>
                <w:szCs w:val="24"/>
              </w:rPr>
            </w:pPr>
          </w:p>
        </w:tc>
      </w:tr>
    </w:tbl>
    <w:p w14:paraId="38580695">
      <w:pPr>
        <w:ind w:firstLine="210"/>
        <w:rPr>
          <w:rFonts w:cs="宋体"/>
          <w:szCs w:val="28"/>
          <w:lang w:val="zh-CN"/>
        </w:rPr>
      </w:pPr>
    </w:p>
    <w:p w14:paraId="3ED85D6C">
      <w:pPr>
        <w:rPr>
          <w:rFonts w:hAnsi="宋体" w:eastAsia="宋体" w:cs="宋体"/>
          <w:iCs/>
          <w:sz w:val="24"/>
          <w:szCs w:val="24"/>
          <w:lang w:val="zh-CN"/>
        </w:rPr>
      </w:pPr>
      <w:r>
        <w:rPr>
          <w:rFonts w:hint="eastAsia" w:hAnsi="宋体" w:eastAsia="宋体" w:cs="宋体"/>
          <w:iCs/>
          <w:sz w:val="24"/>
          <w:szCs w:val="24"/>
          <w:lang w:val="zh-CN"/>
        </w:rPr>
        <w:t>注：本表须明确填写并按招标文件要求提供材料，否则资格性检查无法通过。</w:t>
      </w:r>
    </w:p>
    <w:p w14:paraId="4406C43B">
      <w:pPr>
        <w:spacing w:line="560" w:lineRule="exact"/>
        <w:ind w:firstLine="3780"/>
        <w:rPr>
          <w:rFonts w:hAnsi="宋体"/>
          <w:bCs/>
          <w:szCs w:val="28"/>
        </w:rPr>
      </w:pPr>
    </w:p>
    <w:p w14:paraId="4BB7C68D">
      <w:pPr>
        <w:pStyle w:val="17"/>
        <w:tabs>
          <w:tab w:val="left" w:pos="4864"/>
        </w:tabs>
        <w:spacing w:line="0" w:lineRule="atLeast"/>
        <w:ind w:right="1560" w:firstLine="624"/>
        <w:jc w:val="right"/>
        <w:rPr>
          <w:rFonts w:ascii="宋体" w:hAnsi="宋体" w:eastAsia="宋体" w:cs="宋体"/>
          <w:color w:val="000000"/>
        </w:rPr>
      </w:pPr>
    </w:p>
    <w:p w14:paraId="5280E099">
      <w:pPr>
        <w:pStyle w:val="17"/>
        <w:tabs>
          <w:tab w:val="left" w:pos="4864"/>
        </w:tabs>
        <w:spacing w:line="0" w:lineRule="atLeast"/>
        <w:ind w:right="1560" w:firstLine="624"/>
        <w:jc w:val="right"/>
      </w:pPr>
      <w:r>
        <w:rPr>
          <w:rFonts w:hint="eastAsia" w:ascii="宋体" w:hAnsi="宋体" w:eastAsia="宋体" w:cs="宋体"/>
          <w:color w:val="000000"/>
        </w:rPr>
        <w:t xml:space="preserve"> 投标人全称（加盖CA电子公章）：</w:t>
      </w:r>
    </w:p>
    <w:p w14:paraId="7A3848CA">
      <w:pPr>
        <w:pStyle w:val="17"/>
        <w:tabs>
          <w:tab w:val="left" w:pos="4864"/>
        </w:tabs>
        <w:spacing w:line="0" w:lineRule="atLeast"/>
        <w:ind w:right="1560"/>
        <w:rPr>
          <w:rFonts w:ascii="宋体" w:hAnsi="宋体" w:eastAsia="宋体" w:cs="宋体"/>
          <w:color w:val="000000"/>
        </w:rPr>
      </w:pPr>
    </w:p>
    <w:p w14:paraId="057A06BD">
      <w:pPr>
        <w:pStyle w:val="17"/>
        <w:tabs>
          <w:tab w:val="left" w:pos="4864"/>
        </w:tabs>
        <w:spacing w:line="0" w:lineRule="atLeast"/>
        <w:ind w:right="1560" w:firstLine="480"/>
        <w:jc w:val="right"/>
        <w:rPr>
          <w:rFonts w:ascii="宋体" w:hAnsi="宋体" w:eastAsia="宋体" w:cs="宋体"/>
          <w:color w:val="000000"/>
          <w:sz w:val="30"/>
          <w:szCs w:val="30"/>
        </w:rPr>
      </w:pPr>
      <w:r>
        <w:rPr>
          <w:rFonts w:hint="eastAsia" w:ascii="宋体" w:hAnsi="宋体" w:eastAsia="宋体" w:cs="宋体"/>
          <w:color w:val="000000"/>
        </w:rPr>
        <w:t>        日  期：</w:t>
      </w:r>
    </w:p>
    <w:p w14:paraId="4A94BB85">
      <w:pPr>
        <w:pStyle w:val="17"/>
        <w:spacing w:beforeAutospacing="0" w:afterAutospacing="0"/>
        <w:jc w:val="center"/>
        <w:rPr>
          <w:highlight w:val="none"/>
        </w:rPr>
      </w:pPr>
      <w:r>
        <w:rPr>
          <w:highlight w:val="none"/>
        </w:rPr>
        <w:t> </w:t>
      </w:r>
    </w:p>
    <w:p w14:paraId="3EFE5620">
      <w:pPr>
        <w:pStyle w:val="17"/>
        <w:spacing w:beforeAutospacing="0" w:afterAutospacing="0"/>
        <w:jc w:val="center"/>
        <w:rPr>
          <w:highlight w:val="none"/>
        </w:rPr>
      </w:pPr>
    </w:p>
    <w:p w14:paraId="75117A34">
      <w:pPr>
        <w:pStyle w:val="17"/>
        <w:spacing w:beforeAutospacing="0" w:afterAutospacing="0"/>
        <w:jc w:val="center"/>
        <w:rPr>
          <w:highlight w:val="none"/>
        </w:rPr>
      </w:pPr>
    </w:p>
    <w:p w14:paraId="7D01EFCA">
      <w:pPr>
        <w:pStyle w:val="17"/>
        <w:spacing w:beforeAutospacing="0" w:afterAutospacing="0"/>
        <w:jc w:val="center"/>
        <w:rPr>
          <w:highlight w:val="none"/>
        </w:rPr>
      </w:pPr>
    </w:p>
    <w:p w14:paraId="17DDE5B4">
      <w:pPr>
        <w:pStyle w:val="17"/>
        <w:spacing w:beforeAutospacing="0" w:afterAutospacing="0"/>
        <w:jc w:val="center"/>
        <w:rPr>
          <w:highlight w:val="none"/>
        </w:rPr>
      </w:pPr>
    </w:p>
    <w:p w14:paraId="0ADF81D3">
      <w:pPr>
        <w:pStyle w:val="17"/>
        <w:spacing w:beforeAutospacing="0" w:afterAutospacing="0"/>
        <w:jc w:val="center"/>
        <w:rPr>
          <w:highlight w:val="none"/>
        </w:rPr>
      </w:pPr>
    </w:p>
    <w:p w14:paraId="106EDDF6">
      <w:pPr>
        <w:pStyle w:val="17"/>
        <w:spacing w:beforeAutospacing="0" w:afterAutospacing="0"/>
        <w:jc w:val="center"/>
        <w:rPr>
          <w:highlight w:val="none"/>
        </w:rPr>
      </w:pPr>
    </w:p>
    <w:p w14:paraId="01A3C97E">
      <w:pPr>
        <w:pStyle w:val="17"/>
        <w:spacing w:beforeAutospacing="0" w:afterAutospacing="0"/>
        <w:jc w:val="center"/>
        <w:rPr>
          <w:highlight w:val="none"/>
        </w:rPr>
      </w:pPr>
    </w:p>
    <w:p w14:paraId="3BC2BC63">
      <w:pPr>
        <w:pStyle w:val="17"/>
        <w:spacing w:beforeAutospacing="0" w:afterAutospacing="0"/>
        <w:jc w:val="center"/>
        <w:rPr>
          <w:highlight w:val="none"/>
        </w:rPr>
      </w:pPr>
    </w:p>
    <w:p w14:paraId="17D749AA">
      <w:pPr>
        <w:pStyle w:val="17"/>
        <w:spacing w:beforeAutospacing="0" w:afterAutospacing="0"/>
        <w:jc w:val="center"/>
        <w:rPr>
          <w:highlight w:val="none"/>
        </w:rPr>
      </w:pPr>
    </w:p>
    <w:p w14:paraId="79A93E91">
      <w:pPr>
        <w:pStyle w:val="3"/>
        <w:numPr>
          <w:ilvl w:val="1"/>
          <w:numId w:val="0"/>
        </w:numPr>
        <w:tabs>
          <w:tab w:val="left" w:pos="851"/>
        </w:tabs>
        <w:ind w:left="0" w:leftChars="0" w:firstLine="0" w:firstLineChars="0"/>
        <w:jc w:val="center"/>
        <w:outlineLvl w:val="0"/>
      </w:pPr>
      <w:r>
        <w:rPr>
          <w:rFonts w:hint="eastAsia" w:ascii="黑体" w:hAnsi="宋体" w:eastAsia="黑体" w:cs="黑体"/>
          <w:b/>
          <w:i/>
          <w:iCs/>
          <w:color w:val="000000"/>
          <w:sz w:val="32"/>
          <w:szCs w:val="32"/>
          <w:highlight w:val="none"/>
        </w:rPr>
        <w:t>十</w:t>
      </w:r>
      <w:r>
        <w:rPr>
          <w:rFonts w:hint="eastAsia" w:ascii="黑体" w:eastAsia="黑体" w:cs="黑体"/>
          <w:b/>
          <w:i/>
          <w:iCs/>
          <w:color w:val="000000"/>
          <w:sz w:val="32"/>
          <w:szCs w:val="32"/>
          <w:highlight w:val="none"/>
          <w:lang w:eastAsia="zh-CN"/>
        </w:rPr>
        <w:t>三</w:t>
      </w:r>
      <w:r>
        <w:rPr>
          <w:rFonts w:hint="eastAsia" w:ascii="黑体" w:hAnsi="宋体" w:eastAsia="黑体" w:cs="黑体"/>
          <w:b/>
          <w:i/>
          <w:iCs/>
          <w:color w:val="000000"/>
          <w:sz w:val="32"/>
          <w:szCs w:val="32"/>
          <w:highlight w:val="none"/>
        </w:rPr>
        <w:t>、</w:t>
      </w:r>
      <w:r>
        <w:rPr>
          <w:rFonts w:hint="eastAsia" w:ascii="黑体" w:hAnsi="宋体" w:eastAsia="黑体" w:cs="黑体"/>
          <w:b/>
          <w:i/>
          <w:iCs/>
          <w:color w:val="000000"/>
          <w:sz w:val="32"/>
          <w:szCs w:val="32"/>
          <w:u w:val="single"/>
          <w:lang w:val="en-US" w:eastAsia="zh-CN" w:bidi="ar-SA"/>
        </w:rPr>
        <w:t>符合性检查响应对照表</w:t>
      </w:r>
    </w:p>
    <w:tbl>
      <w:tblPr>
        <w:tblStyle w:val="19"/>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2"/>
        <w:gridCol w:w="4650"/>
        <w:gridCol w:w="2085"/>
        <w:gridCol w:w="2021"/>
      </w:tblGrid>
      <w:tr w14:paraId="343BB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802" w:type="dxa"/>
            <w:noWrap w:val="0"/>
            <w:vAlign w:val="center"/>
          </w:tcPr>
          <w:p w14:paraId="6B183F34">
            <w:pPr>
              <w:spacing w:line="240" w:lineRule="atLeast"/>
              <w:jc w:val="center"/>
              <w:rPr>
                <w:rFonts w:hAnsi="宋体" w:eastAsia="宋体" w:cs="宋体"/>
                <w:b/>
                <w:sz w:val="24"/>
                <w:szCs w:val="24"/>
              </w:rPr>
            </w:pPr>
            <w:r>
              <w:rPr>
                <w:rFonts w:hint="eastAsia" w:hAnsi="宋体" w:eastAsia="宋体" w:cs="宋体"/>
                <w:b/>
                <w:sz w:val="24"/>
                <w:szCs w:val="24"/>
              </w:rPr>
              <w:t>序号</w:t>
            </w:r>
          </w:p>
        </w:tc>
        <w:tc>
          <w:tcPr>
            <w:tcW w:w="4650" w:type="dxa"/>
            <w:noWrap w:val="0"/>
            <w:vAlign w:val="center"/>
          </w:tcPr>
          <w:p w14:paraId="3CD7B5FD">
            <w:pPr>
              <w:spacing w:line="240" w:lineRule="atLeast"/>
              <w:jc w:val="center"/>
              <w:rPr>
                <w:rFonts w:hAnsi="宋体" w:eastAsia="宋体" w:cs="宋体"/>
                <w:b/>
                <w:sz w:val="24"/>
                <w:szCs w:val="24"/>
              </w:rPr>
            </w:pPr>
            <w:r>
              <w:rPr>
                <w:rFonts w:hint="eastAsia" w:hAnsi="宋体" w:eastAsia="宋体" w:cs="宋体"/>
                <w:b/>
                <w:sz w:val="24"/>
                <w:szCs w:val="24"/>
              </w:rPr>
              <w:t>符合性检查响应内容</w:t>
            </w:r>
          </w:p>
        </w:tc>
        <w:tc>
          <w:tcPr>
            <w:tcW w:w="2085" w:type="dxa"/>
            <w:noWrap w:val="0"/>
            <w:vAlign w:val="center"/>
          </w:tcPr>
          <w:p w14:paraId="6E672C2C">
            <w:pPr>
              <w:spacing w:line="240" w:lineRule="atLeast"/>
              <w:jc w:val="center"/>
              <w:rPr>
                <w:rFonts w:hAnsi="宋体" w:eastAsia="宋体" w:cs="宋体"/>
                <w:b/>
                <w:sz w:val="24"/>
                <w:szCs w:val="24"/>
              </w:rPr>
            </w:pPr>
            <w:r>
              <w:rPr>
                <w:rFonts w:hint="eastAsia" w:hAnsi="宋体" w:eastAsia="宋体" w:cs="宋体"/>
                <w:b/>
                <w:sz w:val="24"/>
                <w:szCs w:val="24"/>
              </w:rPr>
              <w:t>是否响应</w:t>
            </w:r>
          </w:p>
          <w:p w14:paraId="6219C6AB">
            <w:pPr>
              <w:spacing w:line="240" w:lineRule="atLeast"/>
              <w:jc w:val="center"/>
              <w:rPr>
                <w:rFonts w:hAnsi="宋体" w:eastAsia="宋体" w:cs="宋体"/>
                <w:b/>
                <w:sz w:val="24"/>
                <w:szCs w:val="24"/>
              </w:rPr>
            </w:pPr>
            <w:r>
              <w:rPr>
                <w:rFonts w:hint="eastAsia" w:hAnsi="宋体" w:eastAsia="宋体" w:cs="宋体"/>
                <w:b/>
                <w:sz w:val="24"/>
                <w:szCs w:val="24"/>
              </w:rPr>
              <w:t>（填是或者否）</w:t>
            </w:r>
          </w:p>
        </w:tc>
        <w:tc>
          <w:tcPr>
            <w:tcW w:w="2021" w:type="dxa"/>
            <w:noWrap w:val="0"/>
            <w:vAlign w:val="center"/>
          </w:tcPr>
          <w:p w14:paraId="7C8668EA">
            <w:pPr>
              <w:spacing w:line="240" w:lineRule="atLeast"/>
              <w:jc w:val="center"/>
              <w:rPr>
                <w:rFonts w:hAnsi="宋体" w:eastAsia="宋体" w:cs="宋体"/>
                <w:b/>
                <w:sz w:val="24"/>
                <w:szCs w:val="24"/>
              </w:rPr>
            </w:pPr>
            <w:r>
              <w:rPr>
                <w:rFonts w:hint="eastAsia" w:hAnsi="宋体" w:cs="宋体"/>
                <w:b/>
                <w:sz w:val="24"/>
                <w:szCs w:val="24"/>
                <w:lang w:val="en-US" w:eastAsia="zh-CN"/>
              </w:rPr>
              <w:t>投标</w:t>
            </w:r>
            <w:r>
              <w:rPr>
                <w:rFonts w:hint="eastAsia" w:hAnsi="宋体" w:eastAsia="宋体" w:cs="宋体"/>
                <w:b/>
                <w:sz w:val="24"/>
                <w:szCs w:val="24"/>
              </w:rPr>
              <w:t>文件中的</w:t>
            </w:r>
          </w:p>
          <w:p w14:paraId="362D6258">
            <w:pPr>
              <w:spacing w:line="240" w:lineRule="atLeast"/>
              <w:jc w:val="center"/>
              <w:rPr>
                <w:rFonts w:hAnsi="宋体" w:eastAsia="宋体" w:cs="宋体"/>
                <w:b/>
                <w:sz w:val="24"/>
                <w:szCs w:val="24"/>
              </w:rPr>
            </w:pPr>
            <w:r>
              <w:rPr>
                <w:rFonts w:hint="eastAsia" w:hAnsi="宋体" w:eastAsia="宋体" w:cs="宋体"/>
                <w:b/>
                <w:sz w:val="24"/>
                <w:szCs w:val="24"/>
              </w:rPr>
              <w:t>页码位置</w:t>
            </w:r>
          </w:p>
        </w:tc>
      </w:tr>
      <w:tr w14:paraId="4C141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802" w:type="dxa"/>
            <w:noWrap w:val="0"/>
            <w:vAlign w:val="center"/>
          </w:tcPr>
          <w:p w14:paraId="03605419">
            <w:pPr>
              <w:spacing w:line="240" w:lineRule="auto"/>
              <w:jc w:val="center"/>
              <w:rPr>
                <w:rFonts w:hint="eastAsia" w:hAnsi="宋体" w:eastAsia="宋体" w:cs="宋体"/>
                <w:iCs/>
                <w:sz w:val="24"/>
                <w:szCs w:val="24"/>
                <w:lang w:val="en-US" w:eastAsia="zh-CN"/>
              </w:rPr>
            </w:pPr>
            <w:r>
              <w:rPr>
                <w:rFonts w:hint="eastAsia" w:hAnsi="宋体" w:eastAsia="宋体" w:cs="宋体"/>
                <w:iCs/>
                <w:sz w:val="24"/>
                <w:szCs w:val="24"/>
                <w:lang w:val="en-US" w:eastAsia="zh-CN"/>
              </w:rPr>
              <w:t>1</w:t>
            </w:r>
          </w:p>
        </w:tc>
        <w:tc>
          <w:tcPr>
            <w:tcW w:w="4650" w:type="dxa"/>
            <w:noWrap w:val="0"/>
            <w:vAlign w:val="center"/>
          </w:tcPr>
          <w:p w14:paraId="60AFF3CB">
            <w:pPr>
              <w:spacing w:line="240" w:lineRule="auto"/>
              <w:jc w:val="left"/>
              <w:rPr>
                <w:rFonts w:hint="eastAsia" w:hAnsi="宋体" w:eastAsia="宋体" w:cs="宋体"/>
                <w:iCs/>
                <w:sz w:val="24"/>
                <w:szCs w:val="24"/>
              </w:rPr>
            </w:pPr>
            <w:r>
              <w:rPr>
                <w:rFonts w:hint="eastAsia" w:ascii="宋体" w:hAnsi="宋体" w:eastAsia="宋体" w:cs="宋体"/>
                <w:color w:val="000000"/>
                <w:sz w:val="24"/>
                <w:szCs w:val="24"/>
                <w:highlight w:val="none"/>
                <w:lang w:val="en-US" w:eastAsia="zh-CN"/>
              </w:rPr>
              <w:t>固定</w:t>
            </w:r>
            <w:r>
              <w:rPr>
                <w:rFonts w:hint="eastAsia" w:ascii="宋体" w:hAnsi="宋体" w:eastAsia="宋体" w:cs="宋体"/>
                <w:color w:val="000000"/>
                <w:sz w:val="24"/>
                <w:szCs w:val="24"/>
                <w:highlight w:val="none"/>
              </w:rPr>
              <w:t>单价</w:t>
            </w:r>
          </w:p>
        </w:tc>
        <w:tc>
          <w:tcPr>
            <w:tcW w:w="2085" w:type="dxa"/>
            <w:noWrap w:val="0"/>
            <w:vAlign w:val="center"/>
          </w:tcPr>
          <w:p w14:paraId="13774274">
            <w:pPr>
              <w:rPr>
                <w:rFonts w:hAnsi="宋体" w:eastAsia="宋体" w:cs="宋体"/>
                <w:b/>
                <w:sz w:val="24"/>
                <w:szCs w:val="24"/>
              </w:rPr>
            </w:pPr>
          </w:p>
        </w:tc>
        <w:tc>
          <w:tcPr>
            <w:tcW w:w="2021" w:type="dxa"/>
            <w:noWrap w:val="0"/>
            <w:vAlign w:val="center"/>
          </w:tcPr>
          <w:p w14:paraId="6E1538C5">
            <w:pPr>
              <w:rPr>
                <w:rFonts w:hAnsi="宋体" w:eastAsia="宋体" w:cs="宋体"/>
                <w:b/>
                <w:sz w:val="24"/>
                <w:szCs w:val="24"/>
              </w:rPr>
            </w:pPr>
          </w:p>
        </w:tc>
      </w:tr>
      <w:tr w14:paraId="19A13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802" w:type="dxa"/>
            <w:noWrap w:val="0"/>
            <w:vAlign w:val="center"/>
          </w:tcPr>
          <w:p w14:paraId="28821CF4">
            <w:pPr>
              <w:spacing w:line="240" w:lineRule="auto"/>
              <w:jc w:val="center"/>
              <w:rPr>
                <w:rFonts w:hint="eastAsia" w:hAnsi="宋体" w:eastAsia="宋体" w:cs="宋体"/>
                <w:iCs/>
                <w:sz w:val="24"/>
                <w:szCs w:val="24"/>
                <w:lang w:val="en-US" w:eastAsia="zh-CN"/>
              </w:rPr>
            </w:pPr>
            <w:r>
              <w:rPr>
                <w:rFonts w:hint="eastAsia" w:hAnsi="宋体" w:eastAsia="宋体" w:cs="宋体"/>
                <w:iCs/>
                <w:sz w:val="24"/>
                <w:szCs w:val="24"/>
                <w:lang w:val="en-US" w:eastAsia="zh-CN"/>
              </w:rPr>
              <w:t>2</w:t>
            </w:r>
          </w:p>
        </w:tc>
        <w:tc>
          <w:tcPr>
            <w:tcW w:w="4650" w:type="dxa"/>
            <w:noWrap w:val="0"/>
            <w:vAlign w:val="center"/>
          </w:tcPr>
          <w:p w14:paraId="582E126B">
            <w:pPr>
              <w:spacing w:line="240" w:lineRule="auto"/>
              <w:jc w:val="left"/>
              <w:rPr>
                <w:rFonts w:hAnsi="宋体" w:eastAsia="宋体" w:cs="宋体"/>
                <w:iCs/>
                <w:sz w:val="24"/>
                <w:szCs w:val="24"/>
              </w:rPr>
            </w:pPr>
            <w:r>
              <w:rPr>
                <w:rFonts w:hint="eastAsia" w:hAnsi="宋体" w:eastAsia="宋体" w:cs="宋体"/>
                <w:iCs/>
                <w:sz w:val="24"/>
                <w:szCs w:val="24"/>
              </w:rPr>
              <w:t>合同履行期限</w:t>
            </w:r>
          </w:p>
        </w:tc>
        <w:tc>
          <w:tcPr>
            <w:tcW w:w="2085" w:type="dxa"/>
            <w:noWrap w:val="0"/>
            <w:vAlign w:val="center"/>
          </w:tcPr>
          <w:p w14:paraId="12436BD9">
            <w:pPr>
              <w:rPr>
                <w:rFonts w:hAnsi="宋体" w:eastAsia="宋体" w:cs="宋体"/>
                <w:b/>
                <w:sz w:val="24"/>
                <w:szCs w:val="24"/>
              </w:rPr>
            </w:pPr>
          </w:p>
        </w:tc>
        <w:tc>
          <w:tcPr>
            <w:tcW w:w="2021" w:type="dxa"/>
            <w:noWrap w:val="0"/>
            <w:vAlign w:val="center"/>
          </w:tcPr>
          <w:p w14:paraId="182C38D8">
            <w:pPr>
              <w:rPr>
                <w:rFonts w:hAnsi="宋体" w:eastAsia="宋体" w:cs="宋体"/>
                <w:b/>
                <w:sz w:val="24"/>
                <w:szCs w:val="24"/>
              </w:rPr>
            </w:pPr>
          </w:p>
        </w:tc>
      </w:tr>
      <w:tr w14:paraId="309EF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802" w:type="dxa"/>
            <w:noWrap w:val="0"/>
            <w:vAlign w:val="center"/>
          </w:tcPr>
          <w:p w14:paraId="52493EE4">
            <w:pPr>
              <w:spacing w:line="240" w:lineRule="auto"/>
              <w:jc w:val="center"/>
              <w:rPr>
                <w:rFonts w:hint="eastAsia" w:hAnsi="宋体" w:eastAsia="宋体" w:cs="宋体"/>
                <w:iCs/>
                <w:sz w:val="24"/>
                <w:szCs w:val="24"/>
                <w:lang w:val="en-US" w:eastAsia="zh-CN"/>
              </w:rPr>
            </w:pPr>
            <w:r>
              <w:rPr>
                <w:rFonts w:hint="eastAsia" w:hAnsi="宋体" w:eastAsia="宋体" w:cs="宋体"/>
                <w:iCs/>
                <w:sz w:val="24"/>
                <w:szCs w:val="24"/>
                <w:lang w:val="en-US" w:eastAsia="zh-CN"/>
              </w:rPr>
              <w:t>3</w:t>
            </w:r>
          </w:p>
        </w:tc>
        <w:tc>
          <w:tcPr>
            <w:tcW w:w="4650" w:type="dxa"/>
            <w:noWrap w:val="0"/>
            <w:vAlign w:val="center"/>
          </w:tcPr>
          <w:p w14:paraId="68C68E48">
            <w:pPr>
              <w:spacing w:line="240" w:lineRule="auto"/>
              <w:jc w:val="left"/>
              <w:rPr>
                <w:rFonts w:hAnsi="宋体" w:eastAsia="宋体" w:cs="宋体"/>
                <w:iCs/>
                <w:sz w:val="24"/>
                <w:szCs w:val="24"/>
              </w:rPr>
            </w:pPr>
            <w:r>
              <w:rPr>
                <w:rFonts w:hint="eastAsia" w:hAnsi="宋体" w:eastAsia="宋体" w:cs="宋体"/>
                <w:iCs/>
                <w:sz w:val="24"/>
                <w:szCs w:val="24"/>
              </w:rPr>
              <w:t>付款方式</w:t>
            </w:r>
          </w:p>
        </w:tc>
        <w:tc>
          <w:tcPr>
            <w:tcW w:w="2085" w:type="dxa"/>
            <w:noWrap w:val="0"/>
            <w:vAlign w:val="center"/>
          </w:tcPr>
          <w:p w14:paraId="5AAC2C88">
            <w:pPr>
              <w:rPr>
                <w:rFonts w:hAnsi="宋体" w:eastAsia="宋体" w:cs="宋体"/>
                <w:sz w:val="24"/>
                <w:szCs w:val="24"/>
              </w:rPr>
            </w:pPr>
          </w:p>
        </w:tc>
        <w:tc>
          <w:tcPr>
            <w:tcW w:w="2021" w:type="dxa"/>
            <w:noWrap w:val="0"/>
            <w:vAlign w:val="center"/>
          </w:tcPr>
          <w:p w14:paraId="51E3DAB1">
            <w:pPr>
              <w:rPr>
                <w:rFonts w:hAnsi="宋体" w:eastAsia="宋体" w:cs="宋体"/>
                <w:sz w:val="24"/>
                <w:szCs w:val="24"/>
              </w:rPr>
            </w:pPr>
          </w:p>
        </w:tc>
      </w:tr>
      <w:tr w14:paraId="60BCB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802" w:type="dxa"/>
            <w:noWrap w:val="0"/>
            <w:vAlign w:val="center"/>
          </w:tcPr>
          <w:p w14:paraId="7FE72DB7">
            <w:pPr>
              <w:spacing w:line="240" w:lineRule="auto"/>
              <w:jc w:val="center"/>
              <w:rPr>
                <w:rFonts w:hint="eastAsia" w:hAnsi="宋体" w:eastAsia="宋体" w:cs="宋体"/>
                <w:iCs/>
                <w:sz w:val="24"/>
                <w:szCs w:val="24"/>
                <w:lang w:val="en-US" w:eastAsia="zh-CN"/>
              </w:rPr>
            </w:pPr>
            <w:r>
              <w:rPr>
                <w:rFonts w:hint="eastAsia" w:hAnsi="宋体" w:eastAsia="宋体" w:cs="宋体"/>
                <w:iCs/>
                <w:sz w:val="24"/>
                <w:szCs w:val="24"/>
                <w:lang w:val="en-US" w:eastAsia="zh-CN"/>
              </w:rPr>
              <w:t>4</w:t>
            </w:r>
          </w:p>
        </w:tc>
        <w:tc>
          <w:tcPr>
            <w:tcW w:w="4650" w:type="dxa"/>
            <w:noWrap w:val="0"/>
            <w:vAlign w:val="center"/>
          </w:tcPr>
          <w:p w14:paraId="72DDB48B">
            <w:pPr>
              <w:spacing w:line="240" w:lineRule="auto"/>
              <w:jc w:val="left"/>
              <w:rPr>
                <w:rFonts w:hAnsi="宋体" w:eastAsia="宋体" w:cs="宋体"/>
                <w:iCs/>
                <w:sz w:val="24"/>
                <w:szCs w:val="24"/>
              </w:rPr>
            </w:pPr>
            <w:r>
              <w:rPr>
                <w:rFonts w:hint="eastAsia" w:hAnsi="宋体" w:eastAsia="宋体" w:cs="宋体"/>
                <w:iCs/>
                <w:sz w:val="24"/>
                <w:szCs w:val="24"/>
                <w:lang w:val="en-US" w:eastAsia="zh-CN"/>
              </w:rPr>
              <w:t>实质性响应内容（附件1）</w:t>
            </w:r>
          </w:p>
        </w:tc>
        <w:tc>
          <w:tcPr>
            <w:tcW w:w="2085" w:type="dxa"/>
            <w:noWrap w:val="0"/>
            <w:vAlign w:val="center"/>
          </w:tcPr>
          <w:p w14:paraId="211B6F7B">
            <w:pPr>
              <w:rPr>
                <w:rFonts w:hAnsi="宋体" w:eastAsia="宋体" w:cs="宋体"/>
                <w:sz w:val="24"/>
                <w:szCs w:val="24"/>
              </w:rPr>
            </w:pPr>
          </w:p>
        </w:tc>
        <w:tc>
          <w:tcPr>
            <w:tcW w:w="2021" w:type="dxa"/>
            <w:noWrap w:val="0"/>
            <w:vAlign w:val="center"/>
          </w:tcPr>
          <w:p w14:paraId="796FD3CA">
            <w:pPr>
              <w:rPr>
                <w:rFonts w:hAnsi="宋体" w:eastAsia="宋体" w:cs="宋体"/>
                <w:sz w:val="24"/>
                <w:szCs w:val="24"/>
              </w:rPr>
            </w:pPr>
          </w:p>
        </w:tc>
      </w:tr>
      <w:tr w14:paraId="5D1F6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802" w:type="dxa"/>
            <w:noWrap w:val="0"/>
            <w:vAlign w:val="center"/>
          </w:tcPr>
          <w:p w14:paraId="0E537638">
            <w:pPr>
              <w:jc w:val="center"/>
              <w:rPr>
                <w:rFonts w:hint="eastAsia" w:hAnsi="宋体" w:eastAsia="宋体" w:cs="宋体"/>
                <w:sz w:val="24"/>
                <w:szCs w:val="24"/>
                <w:lang w:val="en-US" w:eastAsia="zh-CN"/>
              </w:rPr>
            </w:pPr>
            <w:r>
              <w:rPr>
                <w:rFonts w:hint="eastAsia" w:hAnsi="宋体" w:eastAsia="宋体" w:cs="宋体"/>
                <w:sz w:val="24"/>
                <w:szCs w:val="24"/>
                <w:lang w:val="en-US" w:eastAsia="zh-CN"/>
              </w:rPr>
              <w:t>5</w:t>
            </w:r>
          </w:p>
        </w:tc>
        <w:tc>
          <w:tcPr>
            <w:tcW w:w="4650" w:type="dxa"/>
            <w:noWrap w:val="0"/>
            <w:vAlign w:val="center"/>
          </w:tcPr>
          <w:p w14:paraId="78F304DD">
            <w:pPr>
              <w:spacing w:line="590" w:lineRule="atLeast"/>
              <w:rPr>
                <w:rFonts w:hAnsi="宋体" w:eastAsia="宋体" w:cs="宋体"/>
                <w:iCs/>
                <w:sz w:val="24"/>
                <w:szCs w:val="24"/>
              </w:rPr>
            </w:pPr>
          </w:p>
        </w:tc>
        <w:tc>
          <w:tcPr>
            <w:tcW w:w="2085" w:type="dxa"/>
            <w:noWrap w:val="0"/>
            <w:vAlign w:val="center"/>
          </w:tcPr>
          <w:p w14:paraId="5B991617">
            <w:pPr>
              <w:rPr>
                <w:rFonts w:hAnsi="宋体" w:eastAsia="宋体" w:cs="宋体"/>
                <w:sz w:val="24"/>
                <w:szCs w:val="24"/>
              </w:rPr>
            </w:pPr>
          </w:p>
        </w:tc>
        <w:tc>
          <w:tcPr>
            <w:tcW w:w="2021" w:type="dxa"/>
            <w:noWrap w:val="0"/>
            <w:vAlign w:val="center"/>
          </w:tcPr>
          <w:p w14:paraId="12CC1FF0">
            <w:pPr>
              <w:rPr>
                <w:rFonts w:hAnsi="宋体" w:eastAsia="宋体" w:cs="宋体"/>
                <w:sz w:val="24"/>
                <w:szCs w:val="24"/>
              </w:rPr>
            </w:pPr>
          </w:p>
        </w:tc>
      </w:tr>
      <w:tr w14:paraId="78418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802" w:type="dxa"/>
            <w:noWrap w:val="0"/>
            <w:vAlign w:val="center"/>
          </w:tcPr>
          <w:p w14:paraId="507A68FB">
            <w:pPr>
              <w:jc w:val="center"/>
              <w:rPr>
                <w:rFonts w:hint="eastAsia" w:hAnsi="宋体" w:eastAsia="宋体" w:cs="宋体"/>
                <w:sz w:val="24"/>
                <w:szCs w:val="24"/>
                <w:lang w:val="en-US" w:eastAsia="zh-CN"/>
              </w:rPr>
            </w:pPr>
            <w:r>
              <w:rPr>
                <w:rFonts w:hint="eastAsia" w:hAnsi="宋体" w:eastAsia="宋体" w:cs="宋体"/>
                <w:sz w:val="24"/>
                <w:szCs w:val="24"/>
                <w:lang w:val="en-US" w:eastAsia="zh-CN"/>
              </w:rPr>
              <w:t>6</w:t>
            </w:r>
          </w:p>
        </w:tc>
        <w:tc>
          <w:tcPr>
            <w:tcW w:w="4650" w:type="dxa"/>
            <w:noWrap w:val="0"/>
            <w:vAlign w:val="center"/>
          </w:tcPr>
          <w:p w14:paraId="2E843F47">
            <w:pPr>
              <w:spacing w:line="590" w:lineRule="atLeast"/>
              <w:rPr>
                <w:rFonts w:hAnsi="宋体" w:eastAsia="宋体" w:cs="宋体"/>
                <w:iCs/>
                <w:sz w:val="24"/>
                <w:szCs w:val="24"/>
              </w:rPr>
            </w:pPr>
          </w:p>
        </w:tc>
        <w:tc>
          <w:tcPr>
            <w:tcW w:w="2085" w:type="dxa"/>
            <w:noWrap w:val="0"/>
            <w:vAlign w:val="center"/>
          </w:tcPr>
          <w:p w14:paraId="75054BFA">
            <w:pPr>
              <w:rPr>
                <w:rFonts w:hAnsi="宋体" w:eastAsia="宋体" w:cs="宋体"/>
                <w:sz w:val="24"/>
                <w:szCs w:val="24"/>
              </w:rPr>
            </w:pPr>
          </w:p>
        </w:tc>
        <w:tc>
          <w:tcPr>
            <w:tcW w:w="2021" w:type="dxa"/>
            <w:noWrap w:val="0"/>
            <w:vAlign w:val="center"/>
          </w:tcPr>
          <w:p w14:paraId="3BEFF04E">
            <w:pPr>
              <w:rPr>
                <w:rFonts w:hAnsi="宋体" w:eastAsia="宋体" w:cs="宋体"/>
                <w:sz w:val="24"/>
                <w:szCs w:val="24"/>
              </w:rPr>
            </w:pPr>
          </w:p>
        </w:tc>
      </w:tr>
    </w:tbl>
    <w:p w14:paraId="32078105">
      <w:pPr>
        <w:ind w:firstLine="210"/>
        <w:rPr>
          <w:rFonts w:hAnsi="宋体" w:eastAsia="宋体" w:cs="宋体"/>
          <w:sz w:val="24"/>
          <w:szCs w:val="24"/>
          <w:lang w:val="zh-CN"/>
        </w:rPr>
      </w:pPr>
    </w:p>
    <w:p w14:paraId="60A4D9CD">
      <w:pPr>
        <w:ind w:firstLine="210"/>
        <w:rPr>
          <w:rFonts w:hAnsi="宋体" w:eastAsia="宋体" w:cs="宋体"/>
          <w:color w:val="000000"/>
          <w:sz w:val="24"/>
          <w:szCs w:val="22"/>
          <w:lang w:val="zh-CN"/>
        </w:rPr>
      </w:pPr>
      <w:r>
        <w:rPr>
          <w:rFonts w:hint="eastAsia" w:hAnsi="宋体" w:eastAsia="宋体" w:cs="宋体"/>
          <w:color w:val="000000"/>
          <w:sz w:val="24"/>
          <w:szCs w:val="22"/>
          <w:lang w:val="zh-CN"/>
        </w:rPr>
        <w:t>注：本表须明确填写并按招标文件要求提供材料，否则符合性检查无法通过。</w:t>
      </w:r>
    </w:p>
    <w:p w14:paraId="467B0107">
      <w:pPr>
        <w:ind w:firstLine="210"/>
        <w:rPr>
          <w:rFonts w:hAnsi="宋体" w:eastAsia="宋体" w:cs="宋体"/>
          <w:color w:val="000000"/>
          <w:sz w:val="24"/>
          <w:szCs w:val="22"/>
          <w:lang w:val="zh-CN"/>
        </w:rPr>
      </w:pPr>
    </w:p>
    <w:p w14:paraId="6666C20A">
      <w:pPr>
        <w:ind w:firstLine="210"/>
        <w:rPr>
          <w:rFonts w:cs="宋体"/>
          <w:szCs w:val="28"/>
          <w:lang w:val="zh-CN"/>
        </w:rPr>
      </w:pPr>
    </w:p>
    <w:p w14:paraId="6B639E81">
      <w:pPr>
        <w:pStyle w:val="17"/>
        <w:tabs>
          <w:tab w:val="left" w:pos="4864"/>
        </w:tabs>
        <w:spacing w:line="0" w:lineRule="atLeast"/>
        <w:ind w:right="1560" w:firstLine="624"/>
        <w:jc w:val="right"/>
        <w:rPr>
          <w:rFonts w:ascii="宋体" w:hAnsi="宋体" w:eastAsia="宋体" w:cs="宋体"/>
          <w:color w:val="000000"/>
        </w:rPr>
      </w:pPr>
      <w:r>
        <w:rPr>
          <w:rFonts w:hint="eastAsia" w:ascii="宋体" w:hAnsi="宋体" w:eastAsia="宋体" w:cs="宋体"/>
          <w:color w:val="000000"/>
        </w:rPr>
        <w:t xml:space="preserve">             </w:t>
      </w:r>
    </w:p>
    <w:p w14:paraId="03A4223E">
      <w:pPr>
        <w:pStyle w:val="17"/>
        <w:tabs>
          <w:tab w:val="left" w:pos="4864"/>
        </w:tabs>
        <w:spacing w:line="0" w:lineRule="atLeast"/>
        <w:ind w:right="1560" w:firstLine="624"/>
        <w:jc w:val="right"/>
        <w:rPr>
          <w:rFonts w:ascii="宋体" w:hAnsi="宋体" w:eastAsia="宋体" w:cs="宋体"/>
          <w:color w:val="000000"/>
        </w:rPr>
      </w:pPr>
    </w:p>
    <w:p w14:paraId="1CF97020">
      <w:pPr>
        <w:pStyle w:val="17"/>
        <w:tabs>
          <w:tab w:val="left" w:pos="4864"/>
        </w:tabs>
        <w:spacing w:line="0" w:lineRule="atLeast"/>
        <w:ind w:right="1560" w:firstLine="624"/>
        <w:jc w:val="right"/>
      </w:pPr>
      <w:r>
        <w:rPr>
          <w:rFonts w:hint="eastAsia" w:ascii="宋体" w:hAnsi="宋体" w:eastAsia="宋体" w:cs="宋体"/>
          <w:color w:val="000000"/>
        </w:rPr>
        <w:t xml:space="preserve"> 投标人全称（加盖CA电子公章）：</w:t>
      </w:r>
    </w:p>
    <w:p w14:paraId="128C3EA1">
      <w:pPr>
        <w:pStyle w:val="17"/>
        <w:tabs>
          <w:tab w:val="left" w:pos="4864"/>
        </w:tabs>
        <w:spacing w:line="0" w:lineRule="atLeast"/>
        <w:ind w:right="1560" w:firstLine="480"/>
        <w:jc w:val="right"/>
      </w:pPr>
      <w:r>
        <w:rPr>
          <w:rFonts w:hint="eastAsia" w:ascii="宋体" w:hAnsi="宋体" w:eastAsia="宋体" w:cs="宋体"/>
          <w:color w:val="000000"/>
        </w:rPr>
        <w:t>        日  期：</w:t>
      </w:r>
    </w:p>
    <w:p w14:paraId="3EDA1B67">
      <w:pPr>
        <w:pStyle w:val="17"/>
        <w:spacing w:beforeAutospacing="0" w:afterAutospacing="0"/>
        <w:jc w:val="both"/>
        <w:rPr>
          <w:highlight w:val="none"/>
        </w:rPr>
      </w:pPr>
    </w:p>
    <w:p w14:paraId="15AA5ABF">
      <w:pPr>
        <w:pStyle w:val="17"/>
        <w:spacing w:beforeAutospacing="0" w:afterAutospacing="0"/>
        <w:jc w:val="center"/>
        <w:rPr>
          <w:highlight w:val="none"/>
        </w:rPr>
      </w:pPr>
      <w:r>
        <w:rPr>
          <w:highlight w:val="none"/>
        </w:rPr>
        <w:t> </w:t>
      </w:r>
    </w:p>
    <w:p w14:paraId="3DE57A72">
      <w:pPr>
        <w:pStyle w:val="17"/>
        <w:spacing w:beforeAutospacing="0" w:afterAutospacing="0"/>
        <w:jc w:val="center"/>
        <w:rPr>
          <w:highlight w:val="none"/>
        </w:rPr>
      </w:pPr>
      <w:r>
        <w:rPr>
          <w:highlight w:val="none"/>
        </w:rPr>
        <w:t> </w:t>
      </w:r>
    </w:p>
    <w:p w14:paraId="5D8A6DEA">
      <w:pPr>
        <w:pStyle w:val="17"/>
        <w:spacing w:beforeAutospacing="0" w:afterAutospacing="0"/>
        <w:jc w:val="center"/>
        <w:rPr>
          <w:highlight w:val="none"/>
        </w:rPr>
      </w:pPr>
      <w:r>
        <w:rPr>
          <w:highlight w:val="none"/>
        </w:rPr>
        <w:t> </w:t>
      </w:r>
    </w:p>
    <w:p w14:paraId="4F7E03C8">
      <w:pPr>
        <w:pStyle w:val="17"/>
        <w:spacing w:beforeAutospacing="0" w:afterAutospacing="0"/>
        <w:jc w:val="center"/>
        <w:rPr>
          <w:highlight w:val="none"/>
        </w:rPr>
      </w:pPr>
      <w:r>
        <w:rPr>
          <w:highlight w:val="none"/>
        </w:rPr>
        <w:t> </w:t>
      </w:r>
    </w:p>
    <w:p w14:paraId="068A4565">
      <w:pPr>
        <w:pStyle w:val="17"/>
        <w:spacing w:beforeAutospacing="0" w:afterAutospacing="0"/>
        <w:jc w:val="both"/>
        <w:rPr>
          <w:highlight w:val="none"/>
        </w:rPr>
      </w:pPr>
      <w:r>
        <w:rPr>
          <w:highlight w:val="none"/>
        </w:rPr>
        <w:t> </w:t>
      </w:r>
    </w:p>
    <w:p w14:paraId="6EC5A847">
      <w:pPr>
        <w:pStyle w:val="17"/>
        <w:spacing w:beforeAutospacing="0" w:afterAutospacing="0"/>
        <w:jc w:val="both"/>
        <w:rPr>
          <w:highlight w:val="none"/>
        </w:rPr>
      </w:pPr>
      <w:r>
        <w:rPr>
          <w:highlight w:val="none"/>
        </w:rPr>
        <w:t> </w:t>
      </w:r>
    </w:p>
    <w:p w14:paraId="78FCBE0B">
      <w:pPr>
        <w:pStyle w:val="17"/>
        <w:spacing w:beforeAutospacing="0" w:afterAutospacing="0"/>
        <w:jc w:val="both"/>
        <w:rPr>
          <w:highlight w:val="none"/>
        </w:rPr>
      </w:pPr>
      <w:r>
        <w:rPr>
          <w:highlight w:val="none"/>
        </w:rPr>
        <w:t> </w:t>
      </w:r>
    </w:p>
    <w:p w14:paraId="174ABED4">
      <w:pPr>
        <w:pStyle w:val="17"/>
        <w:spacing w:beforeAutospacing="0" w:afterAutospacing="0"/>
        <w:jc w:val="both"/>
        <w:rPr>
          <w:highlight w:val="none"/>
        </w:rPr>
      </w:pPr>
      <w:r>
        <w:rPr>
          <w:highlight w:val="none"/>
        </w:rPr>
        <w:t> </w:t>
      </w:r>
    </w:p>
    <w:p w14:paraId="79285A37">
      <w:pPr>
        <w:pStyle w:val="17"/>
        <w:spacing w:beforeAutospacing="0" w:afterAutospacing="0"/>
        <w:jc w:val="both"/>
        <w:rPr>
          <w:highlight w:val="none"/>
        </w:rPr>
      </w:pPr>
    </w:p>
    <w:p w14:paraId="1F8896A9">
      <w:pPr>
        <w:pStyle w:val="17"/>
        <w:spacing w:beforeAutospacing="0" w:afterAutospacing="0"/>
        <w:jc w:val="both"/>
        <w:rPr>
          <w:highlight w:val="none"/>
        </w:rPr>
      </w:pPr>
    </w:p>
    <w:p w14:paraId="33FE263D">
      <w:pPr>
        <w:pStyle w:val="17"/>
        <w:spacing w:beforeAutospacing="0" w:afterAutospacing="0"/>
        <w:jc w:val="both"/>
        <w:rPr>
          <w:highlight w:val="none"/>
        </w:rPr>
      </w:pPr>
    </w:p>
    <w:p w14:paraId="6377BA79">
      <w:pPr>
        <w:pStyle w:val="17"/>
        <w:spacing w:beforeAutospacing="0" w:afterAutospacing="0"/>
        <w:jc w:val="both"/>
        <w:rPr>
          <w:highlight w:val="none"/>
        </w:rPr>
      </w:pPr>
    </w:p>
    <w:p w14:paraId="7251072B">
      <w:pPr>
        <w:pStyle w:val="17"/>
        <w:spacing w:beforeAutospacing="0" w:afterAutospacing="0"/>
        <w:jc w:val="both"/>
        <w:rPr>
          <w:highlight w:val="none"/>
        </w:rPr>
      </w:pPr>
    </w:p>
    <w:p w14:paraId="1B25334D">
      <w:pPr>
        <w:pStyle w:val="17"/>
        <w:spacing w:beforeAutospacing="0" w:afterAutospacing="0"/>
        <w:jc w:val="both"/>
        <w:rPr>
          <w:highlight w:val="none"/>
        </w:rPr>
      </w:pPr>
    </w:p>
    <w:p w14:paraId="5D154BA8">
      <w:pPr>
        <w:pStyle w:val="17"/>
        <w:spacing w:beforeAutospacing="0" w:afterAutospacing="0"/>
        <w:jc w:val="both"/>
        <w:rPr>
          <w:highlight w:val="none"/>
        </w:rPr>
      </w:pPr>
    </w:p>
    <w:p w14:paraId="24D0B32D">
      <w:pPr>
        <w:pStyle w:val="2"/>
        <w:spacing w:line="360" w:lineRule="auto"/>
        <w:jc w:val="left"/>
        <w:rPr>
          <w:rFonts w:hint="eastAsia" w:hAnsi="宋体" w:eastAsia="宋体"/>
          <w:b/>
          <w:bCs/>
          <w:sz w:val="32"/>
          <w:szCs w:val="32"/>
        </w:rPr>
      </w:pPr>
      <w:r>
        <w:rPr>
          <w:rFonts w:hint="eastAsia" w:hAnsi="宋体" w:eastAsia="宋体"/>
          <w:b/>
          <w:bCs/>
          <w:sz w:val="32"/>
          <w:szCs w:val="32"/>
        </w:rPr>
        <w:t xml:space="preserve">附件1、            </w:t>
      </w:r>
    </w:p>
    <w:p w14:paraId="0FC44C85">
      <w:pPr>
        <w:pStyle w:val="2"/>
        <w:spacing w:line="360" w:lineRule="auto"/>
        <w:jc w:val="center"/>
        <w:outlineLvl w:val="9"/>
        <w:rPr>
          <w:rFonts w:hAnsi="宋体" w:eastAsia="宋体"/>
          <w:b/>
          <w:bCs/>
          <w:sz w:val="32"/>
          <w:szCs w:val="32"/>
        </w:rPr>
      </w:pPr>
      <w:r>
        <w:rPr>
          <w:rFonts w:hint="eastAsia" w:hAnsi="宋体" w:eastAsia="宋体"/>
          <w:b/>
          <w:bCs/>
          <w:sz w:val="32"/>
          <w:szCs w:val="32"/>
        </w:rPr>
        <w:t>实质性响应内容</w:t>
      </w:r>
    </w:p>
    <w:p w14:paraId="115C4FD3">
      <w:pPr>
        <w:pStyle w:val="32"/>
        <w:ind w:firstLine="560"/>
        <w:rPr>
          <w:rFonts w:hint="eastAsia" w:hAnsi="宋体" w:cs="Times New Roman"/>
          <w:sz w:val="28"/>
          <w:szCs w:val="28"/>
        </w:rPr>
      </w:pPr>
    </w:p>
    <w:p w14:paraId="34527ED5">
      <w:pPr>
        <w:pStyle w:val="32"/>
        <w:ind w:firstLine="560"/>
        <w:rPr>
          <w:rFonts w:hAnsi="宋体" w:cs="Times New Roman"/>
          <w:sz w:val="28"/>
          <w:szCs w:val="28"/>
        </w:rPr>
      </w:pPr>
      <w:r>
        <w:rPr>
          <w:rFonts w:hint="eastAsia" w:hAnsi="宋体" w:cs="Times New Roman"/>
          <w:sz w:val="28"/>
          <w:szCs w:val="28"/>
        </w:rPr>
        <w:t>我公司承诺响应</w:t>
      </w:r>
      <w:r>
        <w:rPr>
          <w:rFonts w:hint="eastAsia" w:hAnsi="宋体" w:cs="Times New Roman"/>
          <w:sz w:val="28"/>
          <w:szCs w:val="28"/>
          <w:lang w:val="en-US" w:eastAsia="zh-CN"/>
        </w:rPr>
        <w:t>招标文件</w:t>
      </w:r>
      <w:r>
        <w:rPr>
          <w:rFonts w:hint="eastAsia" w:hAnsi="宋体" w:cs="Times New Roman"/>
          <w:sz w:val="28"/>
          <w:szCs w:val="28"/>
        </w:rPr>
        <w:t>采购需求中的全部内容。</w:t>
      </w:r>
    </w:p>
    <w:p w14:paraId="62E27A50">
      <w:pPr>
        <w:autoSpaceDE w:val="0"/>
        <w:autoSpaceDN w:val="0"/>
        <w:spacing w:line="560" w:lineRule="exact"/>
        <w:ind w:firstLine="3080" w:firstLineChars="1100"/>
        <w:rPr>
          <w:rFonts w:hint="eastAsia" w:hAnsi="宋体" w:cs="Times New Roman"/>
          <w:kern w:val="2"/>
          <w:sz w:val="28"/>
          <w:szCs w:val="28"/>
          <w:lang w:val="en-US" w:eastAsia="zh-CN" w:bidi="ar-SA"/>
        </w:rPr>
      </w:pPr>
    </w:p>
    <w:p w14:paraId="3906F3E1">
      <w:pPr>
        <w:autoSpaceDE w:val="0"/>
        <w:autoSpaceDN w:val="0"/>
        <w:spacing w:line="560" w:lineRule="exact"/>
        <w:ind w:firstLine="3080" w:firstLineChars="1100"/>
        <w:rPr>
          <w:rFonts w:hint="eastAsia" w:hAnsi="宋体" w:cs="Times New Roman"/>
          <w:kern w:val="2"/>
          <w:sz w:val="28"/>
          <w:szCs w:val="28"/>
          <w:lang w:val="en-US" w:eastAsia="zh-CN" w:bidi="ar-SA"/>
        </w:rPr>
      </w:pPr>
    </w:p>
    <w:p w14:paraId="5D1F170C">
      <w:pPr>
        <w:autoSpaceDE w:val="0"/>
        <w:autoSpaceDN w:val="0"/>
        <w:spacing w:line="560" w:lineRule="exact"/>
        <w:ind w:firstLine="3080" w:firstLineChars="1100"/>
        <w:rPr>
          <w:rFonts w:hint="eastAsia" w:hAnsi="宋体" w:cs="Times New Roman" w:asciiTheme="minorHAnsi" w:eastAsiaTheme="minorEastAsia"/>
          <w:kern w:val="2"/>
          <w:sz w:val="28"/>
          <w:szCs w:val="28"/>
          <w:lang w:val="en-US" w:eastAsia="zh-CN" w:bidi="ar-SA"/>
        </w:rPr>
      </w:pPr>
      <w:r>
        <w:rPr>
          <w:rFonts w:hint="eastAsia" w:hAnsi="宋体" w:cs="Times New Roman"/>
          <w:kern w:val="2"/>
          <w:sz w:val="28"/>
          <w:szCs w:val="28"/>
          <w:lang w:val="en-US" w:eastAsia="zh-CN" w:bidi="ar-SA"/>
        </w:rPr>
        <w:t>投标人全称（加盖CA电子公章）</w:t>
      </w:r>
      <w:r>
        <w:rPr>
          <w:rFonts w:hint="eastAsia" w:hAnsi="宋体" w:cs="Times New Roman" w:asciiTheme="minorHAnsi" w:eastAsiaTheme="minorEastAsia"/>
          <w:kern w:val="2"/>
          <w:sz w:val="28"/>
          <w:szCs w:val="28"/>
          <w:lang w:val="en-US" w:eastAsia="zh-CN" w:bidi="ar-SA"/>
        </w:rPr>
        <w:t>：</w:t>
      </w:r>
    </w:p>
    <w:p w14:paraId="7AA25ABC">
      <w:pPr>
        <w:pStyle w:val="13"/>
        <w:spacing w:line="560" w:lineRule="exact"/>
        <w:ind w:right="0" w:firstLine="4746" w:firstLineChars="1695"/>
        <w:rPr>
          <w:rFonts w:hint="eastAsia" w:hAnsi="宋体" w:cs="Times New Roman" w:asciiTheme="minorHAnsi" w:eastAsiaTheme="minorEastAsia"/>
          <w:kern w:val="2"/>
          <w:sz w:val="28"/>
          <w:szCs w:val="28"/>
          <w:lang w:val="en-US" w:eastAsia="zh-CN" w:bidi="ar-SA"/>
        </w:rPr>
      </w:pPr>
      <w:r>
        <w:rPr>
          <w:rFonts w:hint="eastAsia" w:hAnsi="宋体" w:cs="Times New Roman" w:asciiTheme="minorHAnsi" w:eastAsiaTheme="minorEastAsia"/>
          <w:kern w:val="2"/>
          <w:sz w:val="28"/>
          <w:szCs w:val="28"/>
          <w:lang w:val="en-US" w:eastAsia="zh-CN" w:bidi="ar-SA"/>
        </w:rPr>
        <w:t>日期：      年     月     日</w:t>
      </w:r>
    </w:p>
    <w:p w14:paraId="2B9BEEE7">
      <w:pPr>
        <w:pStyle w:val="17"/>
        <w:spacing w:beforeAutospacing="0" w:afterAutospacing="0"/>
        <w:jc w:val="both"/>
        <w:rPr>
          <w:highlight w:val="none"/>
        </w:rPr>
      </w:pPr>
    </w:p>
    <w:p w14:paraId="388B35FD">
      <w:pPr>
        <w:pStyle w:val="17"/>
        <w:spacing w:beforeAutospacing="0" w:afterAutospacing="0"/>
        <w:jc w:val="both"/>
        <w:rPr>
          <w:highlight w:val="none"/>
        </w:rPr>
      </w:pPr>
    </w:p>
    <w:p w14:paraId="07E2D191">
      <w:pPr>
        <w:pStyle w:val="17"/>
        <w:spacing w:beforeAutospacing="0" w:afterAutospacing="0"/>
        <w:jc w:val="both"/>
        <w:rPr>
          <w:highlight w:val="none"/>
        </w:rPr>
      </w:pPr>
    </w:p>
    <w:p w14:paraId="40F74D23">
      <w:pPr>
        <w:pStyle w:val="17"/>
        <w:spacing w:beforeAutospacing="0" w:afterAutospacing="0"/>
        <w:jc w:val="both"/>
        <w:rPr>
          <w:highlight w:val="none"/>
        </w:rPr>
      </w:pPr>
    </w:p>
    <w:p w14:paraId="22A00EBC">
      <w:pPr>
        <w:pStyle w:val="17"/>
        <w:spacing w:beforeAutospacing="0" w:afterAutospacing="0"/>
        <w:jc w:val="both"/>
        <w:rPr>
          <w:highlight w:val="none"/>
        </w:rPr>
      </w:pPr>
      <w:r>
        <w:rPr>
          <w:highlight w:val="none"/>
        </w:rPr>
        <w:t> </w:t>
      </w:r>
    </w:p>
    <w:p w14:paraId="450607F9">
      <w:pPr>
        <w:pStyle w:val="17"/>
        <w:spacing w:beforeAutospacing="0" w:afterAutospacing="0"/>
        <w:jc w:val="both"/>
        <w:rPr>
          <w:highlight w:val="none"/>
        </w:rPr>
      </w:pPr>
      <w:r>
        <w:rPr>
          <w:highlight w:val="none"/>
        </w:rPr>
        <w:t> </w:t>
      </w:r>
    </w:p>
    <w:p w14:paraId="00820570">
      <w:pPr>
        <w:pStyle w:val="17"/>
        <w:spacing w:beforeAutospacing="0" w:afterAutospacing="0"/>
        <w:jc w:val="both"/>
        <w:rPr>
          <w:highlight w:val="none"/>
        </w:rPr>
      </w:pPr>
    </w:p>
    <w:p w14:paraId="5A08D839">
      <w:pPr>
        <w:pStyle w:val="17"/>
        <w:spacing w:beforeAutospacing="0" w:afterAutospacing="0"/>
        <w:jc w:val="both"/>
        <w:rPr>
          <w:highlight w:val="none"/>
        </w:rPr>
      </w:pPr>
    </w:p>
    <w:p w14:paraId="50F0A3D2">
      <w:pPr>
        <w:pStyle w:val="17"/>
        <w:spacing w:beforeAutospacing="0" w:afterAutospacing="0"/>
        <w:jc w:val="both"/>
        <w:rPr>
          <w:highlight w:val="none"/>
        </w:rPr>
      </w:pPr>
    </w:p>
    <w:p w14:paraId="50F1BEB3">
      <w:pPr>
        <w:pStyle w:val="17"/>
        <w:spacing w:beforeAutospacing="0" w:afterAutospacing="0"/>
        <w:jc w:val="both"/>
        <w:rPr>
          <w:highlight w:val="none"/>
        </w:rPr>
      </w:pPr>
    </w:p>
    <w:p w14:paraId="0A1491B3">
      <w:pPr>
        <w:pStyle w:val="17"/>
        <w:spacing w:beforeAutospacing="0" w:afterAutospacing="0"/>
        <w:jc w:val="both"/>
        <w:rPr>
          <w:highlight w:val="none"/>
        </w:rPr>
      </w:pPr>
    </w:p>
    <w:p w14:paraId="428DE3A5">
      <w:pPr>
        <w:pStyle w:val="17"/>
        <w:spacing w:beforeAutospacing="0" w:afterAutospacing="0"/>
        <w:jc w:val="both"/>
        <w:rPr>
          <w:highlight w:val="none"/>
        </w:rPr>
      </w:pPr>
    </w:p>
    <w:p w14:paraId="55366069">
      <w:pPr>
        <w:pStyle w:val="17"/>
        <w:spacing w:beforeAutospacing="0" w:afterAutospacing="0"/>
        <w:jc w:val="both"/>
        <w:rPr>
          <w:highlight w:val="none"/>
        </w:rPr>
      </w:pPr>
    </w:p>
    <w:p w14:paraId="27944A61">
      <w:pPr>
        <w:pStyle w:val="17"/>
        <w:spacing w:beforeAutospacing="0" w:afterAutospacing="0"/>
        <w:jc w:val="both"/>
        <w:rPr>
          <w:highlight w:val="none"/>
        </w:rPr>
      </w:pPr>
    </w:p>
    <w:p w14:paraId="76BB0A8D">
      <w:pPr>
        <w:pStyle w:val="17"/>
        <w:spacing w:beforeAutospacing="0" w:afterAutospacing="0"/>
        <w:jc w:val="both"/>
        <w:rPr>
          <w:highlight w:val="none"/>
        </w:rPr>
      </w:pPr>
    </w:p>
    <w:p w14:paraId="34172ADA">
      <w:pPr>
        <w:pStyle w:val="17"/>
        <w:spacing w:beforeAutospacing="0" w:afterAutospacing="0"/>
        <w:jc w:val="both"/>
        <w:rPr>
          <w:highlight w:val="none"/>
        </w:rPr>
      </w:pPr>
    </w:p>
    <w:p w14:paraId="2E037E97">
      <w:pPr>
        <w:pStyle w:val="17"/>
        <w:spacing w:beforeAutospacing="0" w:afterAutospacing="0"/>
        <w:jc w:val="both"/>
        <w:rPr>
          <w:highlight w:val="none"/>
        </w:rPr>
      </w:pPr>
    </w:p>
    <w:p w14:paraId="613DD79D">
      <w:pPr>
        <w:pStyle w:val="17"/>
        <w:spacing w:beforeAutospacing="0" w:afterAutospacing="0"/>
        <w:jc w:val="both"/>
        <w:rPr>
          <w:highlight w:val="none"/>
        </w:rPr>
      </w:pPr>
    </w:p>
    <w:p w14:paraId="26D04056">
      <w:pPr>
        <w:pStyle w:val="17"/>
        <w:spacing w:beforeAutospacing="0" w:afterAutospacing="0"/>
        <w:jc w:val="both"/>
        <w:rPr>
          <w:highlight w:val="none"/>
        </w:rPr>
      </w:pPr>
    </w:p>
    <w:p w14:paraId="34EEED4B">
      <w:pPr>
        <w:pStyle w:val="17"/>
        <w:spacing w:beforeAutospacing="0" w:afterAutospacing="0"/>
        <w:jc w:val="both"/>
        <w:rPr>
          <w:highlight w:val="none"/>
        </w:rPr>
      </w:pPr>
    </w:p>
    <w:p w14:paraId="7E306FE7">
      <w:pPr>
        <w:pStyle w:val="17"/>
        <w:spacing w:beforeAutospacing="0" w:afterAutospacing="0"/>
        <w:jc w:val="both"/>
        <w:rPr>
          <w:highlight w:val="none"/>
        </w:rPr>
      </w:pPr>
    </w:p>
    <w:p w14:paraId="62E73EC0">
      <w:pPr>
        <w:pStyle w:val="17"/>
        <w:spacing w:beforeAutospacing="0" w:afterAutospacing="0"/>
        <w:jc w:val="both"/>
        <w:rPr>
          <w:highlight w:val="none"/>
        </w:rPr>
      </w:pPr>
    </w:p>
    <w:p w14:paraId="2CE327AB">
      <w:pPr>
        <w:pStyle w:val="17"/>
        <w:spacing w:beforeAutospacing="0" w:afterAutospacing="0"/>
        <w:jc w:val="both"/>
        <w:rPr>
          <w:highlight w:val="none"/>
        </w:rPr>
      </w:pPr>
    </w:p>
    <w:p w14:paraId="3C3BCA2B">
      <w:pPr>
        <w:pStyle w:val="17"/>
        <w:spacing w:beforeAutospacing="0" w:afterAutospacing="0"/>
        <w:jc w:val="both"/>
        <w:rPr>
          <w:highlight w:val="none"/>
        </w:rPr>
      </w:pPr>
    </w:p>
    <w:p w14:paraId="20AFEDCB">
      <w:pPr>
        <w:pStyle w:val="17"/>
        <w:spacing w:beforeAutospacing="0" w:afterAutospacing="0"/>
        <w:jc w:val="both"/>
        <w:rPr>
          <w:highlight w:val="none"/>
        </w:rPr>
      </w:pPr>
    </w:p>
    <w:p w14:paraId="13364CEF">
      <w:pPr>
        <w:pStyle w:val="17"/>
        <w:spacing w:beforeAutospacing="0" w:afterAutospacing="0"/>
        <w:jc w:val="both"/>
        <w:rPr>
          <w:highlight w:val="none"/>
        </w:rPr>
      </w:pPr>
    </w:p>
    <w:p w14:paraId="21D30330">
      <w:pPr>
        <w:pStyle w:val="17"/>
        <w:spacing w:beforeAutospacing="0" w:afterAutospacing="0"/>
        <w:jc w:val="both"/>
        <w:rPr>
          <w:highlight w:val="none"/>
        </w:rPr>
      </w:pPr>
    </w:p>
    <w:p w14:paraId="7A12E613">
      <w:pPr>
        <w:pStyle w:val="17"/>
        <w:spacing w:beforeAutospacing="0" w:afterAutospacing="0"/>
        <w:jc w:val="both"/>
        <w:rPr>
          <w:highlight w:val="none"/>
        </w:rPr>
      </w:pPr>
    </w:p>
    <w:p w14:paraId="26FC86CA">
      <w:pPr>
        <w:pStyle w:val="17"/>
        <w:spacing w:beforeAutospacing="0" w:afterAutospacing="0"/>
        <w:jc w:val="both"/>
        <w:rPr>
          <w:highlight w:val="none"/>
        </w:rPr>
      </w:pPr>
    </w:p>
    <w:p w14:paraId="381810A7">
      <w:pPr>
        <w:jc w:val="center"/>
        <w:outlineLvl w:val="0"/>
        <w:rPr>
          <w:rFonts w:ascii="Times New Roman" w:hAnsi="Times New Roman" w:eastAsia="仿宋_GB2312"/>
          <w:color w:val="000000"/>
          <w:sz w:val="24"/>
          <w:szCs w:val="20"/>
        </w:rPr>
      </w:pPr>
      <w:bookmarkStart w:id="200" w:name="_Hlt26955066"/>
      <w:bookmarkStart w:id="201" w:name="_格式2__法定代表人授权书"/>
      <w:bookmarkStart w:id="202" w:name="_Hlt26955054"/>
      <w:bookmarkStart w:id="203" w:name="_Toc462564146"/>
      <w:bookmarkStart w:id="204" w:name="_Hlt26671374"/>
      <w:bookmarkStart w:id="205" w:name="_Hlt26609389"/>
      <w:r>
        <w:rPr>
          <w:rFonts w:hint="eastAsia" w:ascii="黑体" w:hAnsi="宋体" w:eastAsia="黑体" w:cs="黑体"/>
          <w:b/>
          <w:i/>
          <w:color w:val="auto"/>
          <w:sz w:val="32"/>
          <w:szCs w:val="32"/>
          <w:highlight w:val="none"/>
          <w:u w:val="single"/>
        </w:rPr>
        <w:t>十</w:t>
      </w:r>
      <w:r>
        <w:rPr>
          <w:rFonts w:hint="eastAsia" w:ascii="黑体" w:hAnsi="宋体" w:eastAsia="黑体" w:cs="黑体"/>
          <w:b/>
          <w:i/>
          <w:color w:val="auto"/>
          <w:sz w:val="32"/>
          <w:szCs w:val="32"/>
          <w:highlight w:val="none"/>
          <w:u w:val="single"/>
          <w:lang w:val="en-US" w:eastAsia="zh-CN"/>
        </w:rPr>
        <w:t>四</w:t>
      </w:r>
      <w:r>
        <w:rPr>
          <w:rFonts w:hint="eastAsia" w:ascii="黑体" w:hAnsi="宋体" w:eastAsia="黑体" w:cs="黑体"/>
          <w:b/>
          <w:i/>
          <w:color w:val="auto"/>
          <w:sz w:val="32"/>
          <w:szCs w:val="32"/>
          <w:highlight w:val="none"/>
          <w:u w:val="single"/>
        </w:rPr>
        <w:t>、</w:t>
      </w:r>
      <w:r>
        <w:rPr>
          <w:rFonts w:hint="eastAsia" w:ascii="黑体" w:hAnsi="黑体" w:eastAsia="黑体"/>
          <w:b/>
          <w:i/>
          <w:color w:val="000000"/>
          <w:sz w:val="32"/>
          <w:szCs w:val="32"/>
          <w:u w:val="single"/>
        </w:rPr>
        <w:t>开标一览表</w:t>
      </w:r>
    </w:p>
    <w:tbl>
      <w:tblPr>
        <w:tblStyle w:val="19"/>
        <w:tblW w:w="931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06"/>
        <w:gridCol w:w="7812"/>
      </w:tblGrid>
      <w:tr w14:paraId="01BDE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trPr>
        <w:tc>
          <w:tcPr>
            <w:tcW w:w="1506" w:type="dxa"/>
            <w:noWrap w:val="0"/>
            <w:vAlign w:val="center"/>
          </w:tcPr>
          <w:p w14:paraId="60CD22F1">
            <w:pPr>
              <w:spacing w:line="240" w:lineRule="auto"/>
              <w:rPr>
                <w:rFonts w:hAnsi="宋体" w:eastAsia="宋体" w:cs="宋体"/>
                <w:sz w:val="24"/>
                <w:szCs w:val="24"/>
              </w:rPr>
            </w:pPr>
            <w:r>
              <w:rPr>
                <w:rFonts w:hint="eastAsia" w:hAnsi="宋体" w:eastAsia="宋体" w:cs="宋体"/>
                <w:sz w:val="24"/>
                <w:szCs w:val="24"/>
              </w:rPr>
              <w:t>项目编号</w:t>
            </w:r>
          </w:p>
        </w:tc>
        <w:tc>
          <w:tcPr>
            <w:tcW w:w="7812" w:type="dxa"/>
            <w:noWrap w:val="0"/>
            <w:vAlign w:val="center"/>
          </w:tcPr>
          <w:p w14:paraId="4ED33172">
            <w:pPr>
              <w:pStyle w:val="17"/>
              <w:spacing w:beforeAutospacing="0" w:afterAutospacing="0"/>
              <w:jc w:val="both"/>
              <w:rPr>
                <w:rFonts w:hint="eastAsia" w:hAnsi="宋体" w:eastAsia="宋体" w:cs="宋体"/>
                <w:sz w:val="24"/>
                <w:szCs w:val="24"/>
                <w:lang w:eastAsia="zh-CN"/>
              </w:rPr>
            </w:pPr>
            <w:r>
              <w:rPr>
                <w:rFonts w:hint="eastAsia" w:asciiTheme="minorEastAsia" w:hAnsiTheme="minorEastAsia" w:eastAsiaTheme="minorEastAsia" w:cstheme="minorEastAsia"/>
                <w:kern w:val="2"/>
                <w:sz w:val="24"/>
                <w:szCs w:val="24"/>
                <w:highlight w:val="none"/>
                <w:lang w:val="en-US" w:eastAsia="zh-CN" w:bidi="ar-SA"/>
              </w:rPr>
              <w:t>JSZC-320924-SYHY-G2026-0007</w:t>
            </w:r>
          </w:p>
        </w:tc>
      </w:tr>
      <w:tr w14:paraId="707F0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6" w:hRule="atLeast"/>
        </w:trPr>
        <w:tc>
          <w:tcPr>
            <w:tcW w:w="1506" w:type="dxa"/>
            <w:noWrap w:val="0"/>
            <w:vAlign w:val="center"/>
          </w:tcPr>
          <w:p w14:paraId="4FCE5DB2">
            <w:pPr>
              <w:spacing w:line="240" w:lineRule="auto"/>
              <w:rPr>
                <w:rFonts w:hAnsi="宋体" w:eastAsia="宋体" w:cs="宋体"/>
                <w:sz w:val="24"/>
                <w:szCs w:val="24"/>
              </w:rPr>
            </w:pPr>
            <w:r>
              <w:rPr>
                <w:rFonts w:hint="eastAsia" w:hAnsi="宋体" w:eastAsia="宋体" w:cs="宋体"/>
                <w:sz w:val="24"/>
                <w:szCs w:val="24"/>
              </w:rPr>
              <w:t>项目名称</w:t>
            </w:r>
          </w:p>
        </w:tc>
        <w:tc>
          <w:tcPr>
            <w:tcW w:w="7812" w:type="dxa"/>
            <w:noWrap w:val="0"/>
            <w:vAlign w:val="center"/>
          </w:tcPr>
          <w:p w14:paraId="229F8D28">
            <w:pPr>
              <w:spacing w:line="240" w:lineRule="auto"/>
              <w:rPr>
                <w:rFonts w:hAnsi="宋体" w:eastAsia="宋体" w:cs="宋体"/>
                <w:sz w:val="24"/>
                <w:szCs w:val="24"/>
              </w:rPr>
            </w:pPr>
            <w:r>
              <w:rPr>
                <w:rFonts w:hint="eastAsia" w:hAnsi="宋体" w:eastAsia="宋体" w:cs="宋体"/>
                <w:sz w:val="24"/>
                <w:szCs w:val="24"/>
              </w:rPr>
              <w:t>射阳县退役军人事务局2026-2027年度优抚对象及困难企业军转干健康体检合作医院采购项目</w:t>
            </w:r>
          </w:p>
        </w:tc>
      </w:tr>
      <w:tr w14:paraId="45A81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15" w:hRule="atLeast"/>
        </w:trPr>
        <w:tc>
          <w:tcPr>
            <w:tcW w:w="9318" w:type="dxa"/>
            <w:gridSpan w:val="2"/>
            <w:noWrap w:val="0"/>
            <w:vAlign w:val="center"/>
          </w:tcPr>
          <w:p w14:paraId="3460EE59">
            <w:pPr>
              <w:spacing w:line="240" w:lineRule="auto"/>
              <w:rPr>
                <w:rFonts w:hAnsi="宋体" w:eastAsia="宋体" w:cs="宋体"/>
                <w:sz w:val="24"/>
                <w:szCs w:val="24"/>
              </w:rPr>
            </w:pPr>
            <w:r>
              <w:rPr>
                <w:rFonts w:hint="eastAsia" w:ascii="宋体" w:hAnsi="宋体" w:eastAsia="宋体" w:cs="宋体"/>
                <w:color w:val="000000"/>
                <w:sz w:val="24"/>
                <w:szCs w:val="24"/>
                <w:highlight w:val="none"/>
                <w:lang w:val="en-US" w:eastAsia="zh-CN"/>
              </w:rPr>
              <w:t>固</w:t>
            </w:r>
            <w:r>
              <w:rPr>
                <w:rFonts w:hint="eastAsia" w:asciiTheme="minorEastAsia" w:hAnsiTheme="minorEastAsia" w:eastAsiaTheme="minorEastAsia" w:cstheme="minorEastAsia"/>
                <w:color w:val="000000"/>
                <w:sz w:val="24"/>
                <w:szCs w:val="24"/>
                <w:highlight w:val="none"/>
                <w:lang w:val="en-US" w:eastAsia="zh-CN"/>
              </w:rPr>
              <w:t>定</w:t>
            </w:r>
            <w:r>
              <w:rPr>
                <w:rFonts w:hint="eastAsia" w:asciiTheme="minorEastAsia" w:hAnsiTheme="minorEastAsia" w:eastAsiaTheme="minorEastAsia" w:cstheme="minorEastAsia"/>
                <w:color w:val="000000"/>
                <w:sz w:val="24"/>
                <w:szCs w:val="24"/>
                <w:highlight w:val="none"/>
              </w:rPr>
              <w:t>单价</w:t>
            </w:r>
            <w:r>
              <w:rPr>
                <w:rFonts w:hint="eastAsia" w:asciiTheme="minorEastAsia" w:hAnsiTheme="minorEastAsia" w:eastAsiaTheme="minorEastAsia" w:cstheme="minorEastAsia"/>
                <w:sz w:val="24"/>
                <w:szCs w:val="24"/>
              </w:rPr>
              <w:t xml:space="preserve">（大写）： </w:t>
            </w:r>
            <w:r>
              <w:rPr>
                <w:rFonts w:hint="eastAsia" w:asciiTheme="minorEastAsia" w:hAnsiTheme="minorEastAsia" w:eastAsiaTheme="minorEastAsia" w:cstheme="minorEastAsia"/>
                <w:sz w:val="24"/>
                <w:szCs w:val="24"/>
                <w:u w:val="single"/>
                <w:lang w:val="en-US" w:eastAsia="zh-CN"/>
              </w:rPr>
              <w:t>叁佰陆拾</w:t>
            </w:r>
            <w:r>
              <w:rPr>
                <w:rFonts w:hint="eastAsia" w:asciiTheme="minorEastAsia" w:hAnsiTheme="minorEastAsia" w:eastAsiaTheme="minorEastAsia" w:cstheme="minorEastAsia"/>
                <w:sz w:val="24"/>
                <w:szCs w:val="24"/>
              </w:rPr>
              <w:t>元</w:t>
            </w:r>
            <w:r>
              <w:rPr>
                <w:rFonts w:hint="eastAsia" w:asciiTheme="minorEastAsia" w:hAnsiTheme="minorEastAsia" w:eastAsiaTheme="minorEastAsia" w:cstheme="minorEastAsia"/>
                <w:sz w:val="24"/>
                <w:szCs w:val="24"/>
                <w:lang w:val="en-US" w:eastAsia="zh-CN"/>
              </w:rPr>
              <w:t>/次</w:t>
            </w:r>
            <w:r>
              <w:rPr>
                <w:rFonts w:hint="eastAsia" w:asciiTheme="minorEastAsia" w:hAnsiTheme="minorEastAsia" w:eastAsiaTheme="minorEastAsia" w:cstheme="minorEastAsia"/>
                <w:sz w:val="24"/>
                <w:szCs w:val="24"/>
              </w:rPr>
              <w:t>，小写：</w:t>
            </w:r>
            <w:r>
              <w:rPr>
                <w:rFonts w:hint="eastAsia" w:asciiTheme="minorEastAsia" w:hAnsiTheme="minorEastAsia" w:eastAsiaTheme="minorEastAsia" w:cstheme="minorEastAsia"/>
                <w:sz w:val="24"/>
                <w:szCs w:val="24"/>
                <w:u w:val="single"/>
                <w:lang w:val="en-US" w:eastAsia="zh-CN"/>
              </w:rPr>
              <w:t>360.00</w:t>
            </w:r>
            <w:r>
              <w:rPr>
                <w:rFonts w:hint="eastAsia" w:asciiTheme="minorEastAsia" w:hAnsiTheme="minorEastAsia" w:eastAsiaTheme="minorEastAsia" w:cstheme="minorEastAsia"/>
                <w:sz w:val="24"/>
                <w:szCs w:val="24"/>
              </w:rPr>
              <w:t>元</w:t>
            </w:r>
            <w:r>
              <w:rPr>
                <w:rFonts w:hint="eastAsia" w:asciiTheme="minorEastAsia" w:hAnsiTheme="minorEastAsia" w:eastAsiaTheme="minorEastAsia" w:cstheme="minorEastAsia"/>
                <w:sz w:val="24"/>
                <w:szCs w:val="24"/>
                <w:lang w:val="en-US" w:eastAsia="zh-CN"/>
              </w:rPr>
              <w:t>/次</w:t>
            </w:r>
            <w:r>
              <w:rPr>
                <w:rFonts w:hint="eastAsia" w:asciiTheme="minorEastAsia" w:hAnsiTheme="minorEastAsia" w:eastAsiaTheme="minorEastAsia" w:cstheme="minorEastAsia"/>
                <w:sz w:val="24"/>
                <w:szCs w:val="24"/>
              </w:rPr>
              <w:t xml:space="preserve"> </w:t>
            </w:r>
            <w:r>
              <w:rPr>
                <w:rFonts w:hint="eastAsia" w:hAnsi="宋体" w:eastAsia="宋体" w:cs="宋体"/>
                <w:sz w:val="24"/>
                <w:szCs w:val="24"/>
              </w:rPr>
              <w:t xml:space="preserve">   </w:t>
            </w:r>
          </w:p>
        </w:tc>
      </w:tr>
      <w:tr w14:paraId="31CF0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1" w:hRule="atLeast"/>
        </w:trPr>
        <w:tc>
          <w:tcPr>
            <w:tcW w:w="9318" w:type="dxa"/>
            <w:gridSpan w:val="2"/>
            <w:noWrap w:val="0"/>
            <w:vAlign w:val="center"/>
          </w:tcPr>
          <w:p w14:paraId="5A59DF7B">
            <w:pPr>
              <w:keepNext w:val="0"/>
              <w:keepLines w:val="0"/>
              <w:pageBreakBefore w:val="0"/>
              <w:widowControl w:val="0"/>
              <w:kinsoku/>
              <w:wordWrap/>
              <w:overflowPunct/>
              <w:topLinePunct w:val="0"/>
              <w:autoSpaceDE/>
              <w:autoSpaceDN/>
              <w:bidi w:val="0"/>
              <w:adjustRightInd/>
              <w:snapToGrid/>
              <w:spacing w:line="360" w:lineRule="exact"/>
              <w:textAlignment w:val="auto"/>
              <w:rPr>
                <w:rFonts w:hAnsi="宋体" w:eastAsia="宋体" w:cs="宋体"/>
                <w:sz w:val="24"/>
                <w:szCs w:val="24"/>
              </w:rPr>
            </w:pPr>
            <w:r>
              <w:rPr>
                <w:rFonts w:hint="eastAsia" w:hAnsi="宋体" w:eastAsia="宋体" w:cs="宋体"/>
                <w:sz w:val="24"/>
                <w:szCs w:val="24"/>
              </w:rPr>
              <w:t>合同履约期限：</w:t>
            </w:r>
            <w:r>
              <w:rPr>
                <w:rFonts w:hint="eastAsia" w:ascii="宋体" w:hAnsi="宋体" w:eastAsia="宋体" w:cs="宋体"/>
                <w:color w:val="000000"/>
                <w:sz w:val="24"/>
                <w:szCs w:val="24"/>
                <w:highlight w:val="none"/>
              </w:rPr>
              <w:t>合同期2年，自签订合同之日起至2027年12月31日。</w:t>
            </w:r>
          </w:p>
        </w:tc>
      </w:tr>
      <w:tr w14:paraId="7440B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0" w:hRule="atLeast"/>
        </w:trPr>
        <w:tc>
          <w:tcPr>
            <w:tcW w:w="9318" w:type="dxa"/>
            <w:gridSpan w:val="2"/>
            <w:noWrap w:val="0"/>
            <w:vAlign w:val="center"/>
          </w:tcPr>
          <w:p w14:paraId="012D40A6">
            <w:pPr>
              <w:spacing w:line="240" w:lineRule="auto"/>
              <w:rPr>
                <w:rFonts w:hAnsi="宋体" w:eastAsia="宋体" w:cs="宋体"/>
                <w:sz w:val="24"/>
                <w:szCs w:val="24"/>
              </w:rPr>
            </w:pPr>
            <w:r>
              <w:rPr>
                <w:rFonts w:hint="eastAsia" w:hAnsi="宋体" w:eastAsia="宋体" w:cs="宋体"/>
                <w:sz w:val="24"/>
                <w:szCs w:val="24"/>
              </w:rPr>
              <w:t>小微企业：     □是      □否         详见      页 《中小企业声明函》</w:t>
            </w:r>
          </w:p>
        </w:tc>
      </w:tr>
    </w:tbl>
    <w:p w14:paraId="4E28B2C0">
      <w:pPr>
        <w:ind w:firstLine="480"/>
        <w:rPr>
          <w:rFonts w:hint="eastAsia" w:ascii="宋体" w:hAnsi="宋体"/>
          <w:color w:val="000000"/>
          <w:sz w:val="24"/>
          <w:szCs w:val="24"/>
        </w:rPr>
      </w:pPr>
      <w:r>
        <w:rPr>
          <w:rFonts w:hint="eastAsia" w:ascii="宋体" w:hAnsi="宋体"/>
          <w:color w:val="000000"/>
          <w:sz w:val="24"/>
          <w:szCs w:val="24"/>
        </w:rPr>
        <w:t xml:space="preserve">                                            </w:t>
      </w:r>
    </w:p>
    <w:p w14:paraId="2D2ADD70">
      <w:pPr>
        <w:ind w:firstLine="480"/>
        <w:rPr>
          <w:rFonts w:hint="eastAsia" w:ascii="宋体" w:hAnsi="宋体"/>
          <w:color w:val="000000"/>
          <w:sz w:val="24"/>
          <w:szCs w:val="24"/>
          <w:lang w:val="en-US" w:eastAsia="zh-CN"/>
        </w:rPr>
      </w:pP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                                       投标人全称（加盖CA电子签章）：</w:t>
      </w:r>
    </w:p>
    <w:p w14:paraId="51A2B549">
      <w:pPr>
        <w:ind w:firstLine="5582" w:firstLineChars="2326"/>
        <w:rPr>
          <w:rFonts w:hint="eastAsia" w:ascii="宋体" w:hAnsi="宋体"/>
          <w:color w:val="000000"/>
          <w:sz w:val="24"/>
          <w:szCs w:val="24"/>
        </w:rPr>
      </w:pPr>
    </w:p>
    <w:p w14:paraId="7C8C47A9">
      <w:pPr>
        <w:ind w:firstLine="5582" w:firstLineChars="2326"/>
        <w:rPr>
          <w:rFonts w:ascii="宋体" w:hAnsi="宋体"/>
          <w:color w:val="000000"/>
          <w:sz w:val="24"/>
          <w:szCs w:val="24"/>
        </w:rPr>
      </w:pPr>
      <w:r>
        <w:rPr>
          <w:rFonts w:hint="eastAsia" w:ascii="宋体" w:hAnsi="宋体"/>
          <w:color w:val="000000"/>
          <w:sz w:val="24"/>
          <w:szCs w:val="24"/>
        </w:rPr>
        <w:t xml:space="preserve">日期：  </w:t>
      </w:r>
      <w:r>
        <w:rPr>
          <w:rFonts w:hint="eastAsia" w:ascii="宋体" w:hAnsi="宋体"/>
          <w:color w:val="000000"/>
          <w:sz w:val="24"/>
          <w:szCs w:val="24"/>
          <w:u w:val="single"/>
        </w:rPr>
        <w:t xml:space="preserve">     </w:t>
      </w:r>
      <w:r>
        <w:rPr>
          <w:rFonts w:hint="eastAsia" w:ascii="宋体" w:hAnsi="宋体"/>
          <w:color w:val="000000"/>
          <w:sz w:val="24"/>
          <w:szCs w:val="24"/>
        </w:rPr>
        <w:t>年</w:t>
      </w:r>
      <w:r>
        <w:rPr>
          <w:rFonts w:hint="eastAsia" w:ascii="宋体" w:hAnsi="宋体"/>
          <w:color w:val="000000"/>
          <w:sz w:val="24"/>
          <w:szCs w:val="24"/>
          <w:u w:val="single"/>
        </w:rPr>
        <w:t xml:space="preserve">   </w:t>
      </w:r>
      <w:r>
        <w:rPr>
          <w:rFonts w:hint="eastAsia" w:ascii="宋体" w:hAnsi="宋体"/>
          <w:color w:val="000000"/>
          <w:sz w:val="24"/>
          <w:szCs w:val="24"/>
        </w:rPr>
        <w:t>月</w:t>
      </w:r>
      <w:r>
        <w:rPr>
          <w:rFonts w:hint="eastAsia" w:ascii="宋体" w:hAnsi="宋体"/>
          <w:color w:val="000000"/>
          <w:sz w:val="24"/>
          <w:szCs w:val="24"/>
          <w:u w:val="single"/>
        </w:rPr>
        <w:t xml:space="preserve">   </w:t>
      </w:r>
      <w:r>
        <w:rPr>
          <w:rFonts w:hint="eastAsia" w:ascii="宋体" w:hAnsi="宋体"/>
          <w:color w:val="000000"/>
          <w:sz w:val="24"/>
          <w:szCs w:val="24"/>
        </w:rPr>
        <w:t>日</w:t>
      </w:r>
    </w:p>
    <w:p w14:paraId="0C447260">
      <w:pPr>
        <w:pStyle w:val="17"/>
        <w:spacing w:beforeAutospacing="0" w:afterAutospacing="0" w:line="0" w:lineRule="atLeast"/>
        <w:ind w:firstLine="480"/>
        <w:jc w:val="both"/>
        <w:rPr>
          <w:rFonts w:hint="eastAsia" w:ascii="宋体" w:hAnsi="宋体" w:eastAsia="宋体" w:cs="宋体"/>
          <w:color w:val="000000"/>
          <w:highlight w:val="none"/>
          <w:lang w:val="en-US" w:eastAsia="zh-CN"/>
        </w:rPr>
      </w:pPr>
    </w:p>
    <w:p w14:paraId="7EDBB936">
      <w:pPr>
        <w:pStyle w:val="17"/>
        <w:spacing w:beforeAutospacing="0" w:afterAutospacing="0" w:line="0" w:lineRule="atLeast"/>
        <w:ind w:firstLine="480"/>
        <w:jc w:val="both"/>
        <w:rPr>
          <w:rFonts w:hint="eastAsia" w:ascii="宋体" w:hAnsi="宋体" w:eastAsia="宋体" w:cs="宋体"/>
          <w:color w:val="000000"/>
          <w:highlight w:val="none"/>
          <w:lang w:val="en-US" w:eastAsia="zh-CN"/>
        </w:rPr>
      </w:pPr>
    </w:p>
    <w:p w14:paraId="29D1AF51">
      <w:pPr>
        <w:widowControl/>
        <w:spacing w:before="50" w:after="50"/>
        <w:jc w:val="center"/>
        <w:rPr>
          <w:highlight w:val="none"/>
        </w:rPr>
      </w:pPr>
      <w:r>
        <w:rPr>
          <w:highlight w:val="none"/>
        </w:rPr>
        <w:tab/>
      </w:r>
    </w:p>
    <w:p w14:paraId="0C1E89E2">
      <w:pPr>
        <w:widowControl/>
        <w:spacing w:before="50" w:after="50"/>
        <w:jc w:val="center"/>
        <w:rPr>
          <w:highlight w:val="none"/>
        </w:rPr>
      </w:pPr>
    </w:p>
    <w:p w14:paraId="05D2FFD8">
      <w:pPr>
        <w:widowControl/>
        <w:spacing w:before="50" w:after="50"/>
        <w:jc w:val="center"/>
        <w:rPr>
          <w:highlight w:val="none"/>
        </w:rPr>
      </w:pPr>
    </w:p>
    <w:p w14:paraId="1A2AFD28">
      <w:pPr>
        <w:widowControl/>
        <w:spacing w:before="50" w:after="50"/>
        <w:jc w:val="center"/>
        <w:rPr>
          <w:highlight w:val="none"/>
        </w:rPr>
      </w:pPr>
    </w:p>
    <w:p w14:paraId="5E5337A9">
      <w:pPr>
        <w:pStyle w:val="23"/>
        <w:rPr>
          <w:highlight w:val="none"/>
        </w:rPr>
      </w:pPr>
    </w:p>
    <w:p w14:paraId="2FF69F76">
      <w:pPr>
        <w:pStyle w:val="23"/>
        <w:rPr>
          <w:highlight w:val="none"/>
        </w:rPr>
      </w:pPr>
    </w:p>
    <w:p w14:paraId="2743A357">
      <w:pPr>
        <w:pStyle w:val="23"/>
        <w:rPr>
          <w:highlight w:val="none"/>
        </w:rPr>
      </w:pPr>
    </w:p>
    <w:p w14:paraId="5F92FAE4">
      <w:pPr>
        <w:widowControl/>
        <w:spacing w:before="50" w:after="50"/>
        <w:jc w:val="center"/>
        <w:rPr>
          <w:highlight w:val="none"/>
        </w:rPr>
      </w:pPr>
    </w:p>
    <w:p w14:paraId="4CAB2D88">
      <w:pPr>
        <w:pStyle w:val="18"/>
        <w:rPr>
          <w:highlight w:val="none"/>
        </w:rPr>
      </w:pPr>
    </w:p>
    <w:p w14:paraId="33289953">
      <w:pPr>
        <w:pStyle w:val="16"/>
        <w:rPr>
          <w:highlight w:val="none"/>
        </w:rPr>
      </w:pPr>
    </w:p>
    <w:p w14:paraId="215333CE">
      <w:pPr>
        <w:rPr>
          <w:highlight w:val="none"/>
        </w:rPr>
      </w:pPr>
    </w:p>
    <w:p w14:paraId="42753FCF">
      <w:pPr>
        <w:pStyle w:val="18"/>
        <w:rPr>
          <w:highlight w:val="none"/>
        </w:rPr>
      </w:pPr>
    </w:p>
    <w:p w14:paraId="25335FBE">
      <w:pPr>
        <w:pStyle w:val="16"/>
        <w:rPr>
          <w:highlight w:val="none"/>
        </w:rPr>
      </w:pPr>
    </w:p>
    <w:p w14:paraId="76E78B95">
      <w:pPr>
        <w:rPr>
          <w:highlight w:val="none"/>
        </w:rPr>
      </w:pPr>
    </w:p>
    <w:p w14:paraId="2E2BB214">
      <w:pPr>
        <w:pStyle w:val="18"/>
        <w:rPr>
          <w:highlight w:val="none"/>
        </w:rPr>
      </w:pPr>
    </w:p>
    <w:p w14:paraId="2BBAEB7D">
      <w:pPr>
        <w:pStyle w:val="16"/>
      </w:pPr>
    </w:p>
    <w:p w14:paraId="74EF0818">
      <w:pPr>
        <w:widowControl/>
        <w:spacing w:before="50" w:after="50"/>
        <w:jc w:val="center"/>
        <w:rPr>
          <w:highlight w:val="none"/>
        </w:rPr>
      </w:pPr>
    </w:p>
    <w:p w14:paraId="04B573BD">
      <w:pPr>
        <w:widowControl/>
        <w:spacing w:before="50" w:after="50"/>
        <w:jc w:val="center"/>
        <w:rPr>
          <w:highlight w:val="none"/>
        </w:rPr>
      </w:pPr>
    </w:p>
    <w:p w14:paraId="7004870A">
      <w:pPr>
        <w:widowControl/>
        <w:spacing w:before="50" w:after="50"/>
        <w:jc w:val="center"/>
        <w:outlineLvl w:val="0"/>
        <w:rPr>
          <w:rFonts w:ascii="宋体" w:hAnsi="宋体" w:eastAsia="宋体" w:cs="宋体"/>
          <w:b/>
          <w:bCs/>
          <w:sz w:val="24"/>
          <w:highlight w:val="none"/>
        </w:rPr>
      </w:pPr>
      <w:r>
        <w:rPr>
          <w:rFonts w:hint="eastAsia" w:ascii="宋体" w:hAnsi="宋体" w:eastAsia="宋体" w:cs="宋体"/>
          <w:b/>
          <w:bCs/>
          <w:color w:val="000000"/>
          <w:sz w:val="32"/>
          <w:szCs w:val="32"/>
          <w:highlight w:val="none"/>
        </w:rPr>
        <w:t>十</w:t>
      </w:r>
      <w:r>
        <w:rPr>
          <w:rFonts w:hint="eastAsia" w:ascii="宋体" w:hAnsi="宋体" w:eastAsia="宋体" w:cs="宋体"/>
          <w:b/>
          <w:bCs/>
          <w:color w:val="000000"/>
          <w:sz w:val="32"/>
          <w:szCs w:val="32"/>
          <w:highlight w:val="none"/>
          <w:lang w:val="en-US" w:eastAsia="zh-CN"/>
        </w:rPr>
        <w:t>五</w:t>
      </w:r>
      <w:r>
        <w:rPr>
          <w:rFonts w:hint="eastAsia" w:ascii="宋体" w:hAnsi="宋体" w:eastAsia="宋体" w:cs="宋体"/>
          <w:b/>
          <w:bCs/>
          <w:color w:val="000000"/>
          <w:sz w:val="32"/>
          <w:szCs w:val="32"/>
          <w:highlight w:val="none"/>
        </w:rPr>
        <w:t>、技术方案、服务承诺、培训承诺等</w:t>
      </w:r>
    </w:p>
    <w:p w14:paraId="7B35C616">
      <w:pPr>
        <w:pStyle w:val="17"/>
        <w:tabs>
          <w:tab w:val="left" w:pos="2160"/>
        </w:tabs>
        <w:spacing w:beforeAutospacing="0" w:afterAutospacing="0"/>
        <w:jc w:val="both"/>
        <w:rPr>
          <w:highlight w:val="none"/>
        </w:rPr>
      </w:pPr>
    </w:p>
    <w:p w14:paraId="2E05F151">
      <w:pPr>
        <w:widowControl/>
        <w:spacing w:line="499" w:lineRule="atLeast"/>
        <w:ind w:firstLine="1600"/>
        <w:rPr>
          <w:rFonts w:ascii="宋体" w:hAnsi="宋体" w:eastAsia="宋体" w:cs="宋体"/>
          <w:color w:val="000000"/>
          <w:sz w:val="32"/>
          <w:szCs w:val="32"/>
          <w:highlight w:val="none"/>
        </w:rPr>
      </w:pPr>
    </w:p>
    <w:p w14:paraId="4A600B49">
      <w:pPr>
        <w:widowControl/>
        <w:spacing w:line="499" w:lineRule="atLeast"/>
        <w:ind w:firstLine="1600"/>
        <w:rPr>
          <w:rFonts w:ascii="宋体" w:hAnsi="宋体" w:eastAsia="宋体" w:cs="宋体"/>
          <w:color w:val="000000"/>
          <w:sz w:val="32"/>
          <w:szCs w:val="32"/>
          <w:highlight w:val="none"/>
        </w:rPr>
      </w:pPr>
    </w:p>
    <w:p w14:paraId="0BD27D1B">
      <w:pPr>
        <w:widowControl/>
        <w:spacing w:line="499" w:lineRule="atLeast"/>
        <w:ind w:firstLine="1600"/>
        <w:rPr>
          <w:rFonts w:ascii="宋体" w:hAnsi="宋体" w:eastAsia="宋体" w:cs="宋体"/>
          <w:color w:val="000000"/>
          <w:sz w:val="32"/>
          <w:szCs w:val="32"/>
          <w:highlight w:val="none"/>
        </w:rPr>
      </w:pPr>
    </w:p>
    <w:p w14:paraId="26590AC4">
      <w:pPr>
        <w:widowControl/>
        <w:spacing w:line="499" w:lineRule="atLeast"/>
        <w:ind w:firstLine="1600"/>
        <w:rPr>
          <w:rFonts w:ascii="宋体" w:hAnsi="宋体" w:eastAsia="宋体" w:cs="宋体"/>
          <w:color w:val="000000"/>
          <w:sz w:val="32"/>
          <w:szCs w:val="32"/>
          <w:highlight w:val="none"/>
        </w:rPr>
      </w:pPr>
    </w:p>
    <w:p w14:paraId="2AA4ACEE">
      <w:pPr>
        <w:widowControl/>
        <w:spacing w:line="499" w:lineRule="atLeast"/>
        <w:ind w:firstLine="1600"/>
        <w:rPr>
          <w:rFonts w:ascii="宋体" w:hAnsi="宋体" w:eastAsia="宋体" w:cs="宋体"/>
          <w:color w:val="000000"/>
          <w:sz w:val="32"/>
          <w:szCs w:val="32"/>
          <w:highlight w:val="none"/>
        </w:rPr>
      </w:pPr>
    </w:p>
    <w:p w14:paraId="3941763E">
      <w:pPr>
        <w:widowControl/>
        <w:spacing w:line="499" w:lineRule="atLeast"/>
        <w:ind w:firstLine="1600"/>
        <w:rPr>
          <w:rFonts w:ascii="宋体" w:hAnsi="宋体" w:eastAsia="宋体" w:cs="宋体"/>
          <w:color w:val="000000"/>
          <w:sz w:val="32"/>
          <w:szCs w:val="32"/>
          <w:highlight w:val="none"/>
        </w:rPr>
      </w:pPr>
    </w:p>
    <w:p w14:paraId="7BDE8637">
      <w:pPr>
        <w:widowControl/>
        <w:spacing w:line="499" w:lineRule="atLeast"/>
        <w:ind w:firstLine="1600"/>
        <w:rPr>
          <w:rFonts w:ascii="宋体" w:hAnsi="宋体" w:eastAsia="宋体" w:cs="宋体"/>
          <w:color w:val="000000"/>
          <w:sz w:val="32"/>
          <w:szCs w:val="32"/>
          <w:highlight w:val="none"/>
        </w:rPr>
      </w:pPr>
    </w:p>
    <w:p w14:paraId="28C20E5A">
      <w:pPr>
        <w:widowControl/>
        <w:spacing w:line="499" w:lineRule="atLeast"/>
        <w:ind w:firstLine="1600"/>
        <w:rPr>
          <w:rFonts w:ascii="宋体" w:hAnsi="宋体" w:eastAsia="宋体" w:cs="宋体"/>
          <w:color w:val="000000"/>
          <w:sz w:val="32"/>
          <w:szCs w:val="32"/>
          <w:highlight w:val="none"/>
        </w:rPr>
      </w:pPr>
    </w:p>
    <w:p w14:paraId="68A65AD9">
      <w:pPr>
        <w:widowControl/>
        <w:spacing w:line="499" w:lineRule="atLeast"/>
        <w:ind w:firstLine="1600"/>
        <w:rPr>
          <w:rFonts w:ascii="宋体" w:hAnsi="宋体" w:eastAsia="宋体" w:cs="宋体"/>
          <w:color w:val="000000"/>
          <w:sz w:val="32"/>
          <w:szCs w:val="32"/>
          <w:highlight w:val="none"/>
        </w:rPr>
      </w:pPr>
    </w:p>
    <w:p w14:paraId="3102B3C3">
      <w:pPr>
        <w:widowControl/>
        <w:spacing w:line="499" w:lineRule="atLeast"/>
        <w:ind w:firstLine="1600"/>
        <w:rPr>
          <w:rFonts w:ascii="宋体" w:hAnsi="宋体" w:eastAsia="宋体" w:cs="宋体"/>
          <w:color w:val="000000"/>
          <w:sz w:val="32"/>
          <w:szCs w:val="32"/>
          <w:highlight w:val="none"/>
        </w:rPr>
      </w:pPr>
    </w:p>
    <w:p w14:paraId="61F78CD7">
      <w:pPr>
        <w:widowControl/>
        <w:spacing w:line="499" w:lineRule="atLeast"/>
        <w:ind w:firstLine="1600"/>
        <w:rPr>
          <w:rFonts w:ascii="宋体" w:hAnsi="宋体" w:eastAsia="宋体" w:cs="宋体"/>
          <w:color w:val="000000"/>
          <w:sz w:val="32"/>
          <w:szCs w:val="32"/>
          <w:highlight w:val="none"/>
        </w:rPr>
      </w:pPr>
    </w:p>
    <w:p w14:paraId="40ABC58B">
      <w:pPr>
        <w:widowControl/>
        <w:spacing w:line="499" w:lineRule="atLeast"/>
        <w:ind w:firstLine="1600"/>
        <w:rPr>
          <w:rFonts w:ascii="宋体" w:hAnsi="宋体" w:eastAsia="宋体" w:cs="宋体"/>
          <w:color w:val="000000"/>
          <w:sz w:val="32"/>
          <w:szCs w:val="32"/>
          <w:highlight w:val="none"/>
        </w:rPr>
      </w:pPr>
    </w:p>
    <w:p w14:paraId="38DB44D6">
      <w:pPr>
        <w:widowControl/>
        <w:spacing w:line="499" w:lineRule="atLeast"/>
        <w:ind w:firstLine="1600"/>
        <w:rPr>
          <w:rFonts w:ascii="宋体" w:hAnsi="宋体" w:eastAsia="宋体" w:cs="宋体"/>
          <w:color w:val="000000"/>
          <w:sz w:val="32"/>
          <w:szCs w:val="32"/>
          <w:highlight w:val="none"/>
        </w:rPr>
      </w:pPr>
    </w:p>
    <w:p w14:paraId="1FF3DE71">
      <w:pPr>
        <w:widowControl/>
        <w:spacing w:line="499" w:lineRule="atLeast"/>
        <w:ind w:firstLine="1600"/>
        <w:rPr>
          <w:rFonts w:ascii="宋体" w:hAnsi="宋体" w:eastAsia="宋体" w:cs="宋体"/>
          <w:color w:val="000000"/>
          <w:sz w:val="32"/>
          <w:szCs w:val="32"/>
          <w:highlight w:val="none"/>
        </w:rPr>
      </w:pPr>
    </w:p>
    <w:p w14:paraId="5078FCFC">
      <w:pPr>
        <w:widowControl/>
        <w:spacing w:line="499" w:lineRule="atLeast"/>
        <w:ind w:firstLine="1600"/>
        <w:rPr>
          <w:rFonts w:ascii="宋体" w:hAnsi="宋体" w:eastAsia="宋体" w:cs="宋体"/>
          <w:color w:val="000000"/>
          <w:sz w:val="32"/>
          <w:szCs w:val="32"/>
          <w:highlight w:val="none"/>
        </w:rPr>
      </w:pPr>
    </w:p>
    <w:p w14:paraId="685824D5">
      <w:pPr>
        <w:widowControl/>
        <w:spacing w:line="499" w:lineRule="atLeast"/>
        <w:ind w:firstLine="1600"/>
        <w:rPr>
          <w:rFonts w:ascii="宋体" w:hAnsi="宋体" w:eastAsia="宋体" w:cs="宋体"/>
          <w:color w:val="000000"/>
          <w:sz w:val="32"/>
          <w:szCs w:val="32"/>
          <w:highlight w:val="none"/>
        </w:rPr>
      </w:pPr>
    </w:p>
    <w:p w14:paraId="6075A9B9">
      <w:pPr>
        <w:widowControl/>
        <w:spacing w:line="499" w:lineRule="atLeast"/>
        <w:ind w:firstLine="1600"/>
        <w:rPr>
          <w:rFonts w:ascii="宋体" w:hAnsi="宋体" w:eastAsia="宋体" w:cs="宋体"/>
          <w:color w:val="000000"/>
          <w:sz w:val="32"/>
          <w:szCs w:val="32"/>
          <w:highlight w:val="none"/>
        </w:rPr>
      </w:pPr>
    </w:p>
    <w:p w14:paraId="2947B088">
      <w:pPr>
        <w:widowControl/>
        <w:spacing w:line="499" w:lineRule="atLeast"/>
        <w:ind w:firstLine="1600"/>
        <w:rPr>
          <w:rFonts w:ascii="宋体" w:hAnsi="宋体" w:eastAsia="宋体" w:cs="宋体"/>
          <w:color w:val="000000"/>
          <w:sz w:val="32"/>
          <w:szCs w:val="32"/>
          <w:highlight w:val="none"/>
        </w:rPr>
      </w:pPr>
    </w:p>
    <w:p w14:paraId="391DFE35">
      <w:pPr>
        <w:widowControl/>
        <w:spacing w:line="499" w:lineRule="atLeast"/>
        <w:ind w:firstLine="1600"/>
        <w:rPr>
          <w:rFonts w:ascii="宋体" w:hAnsi="宋体" w:eastAsia="宋体" w:cs="宋体"/>
          <w:color w:val="000000"/>
          <w:sz w:val="32"/>
          <w:szCs w:val="32"/>
          <w:highlight w:val="none"/>
        </w:rPr>
      </w:pPr>
    </w:p>
    <w:p w14:paraId="44D85E4E">
      <w:pPr>
        <w:widowControl/>
        <w:spacing w:line="499" w:lineRule="atLeast"/>
        <w:ind w:firstLine="1600"/>
        <w:rPr>
          <w:rFonts w:ascii="宋体" w:hAnsi="宋体" w:eastAsia="宋体" w:cs="宋体"/>
          <w:color w:val="000000"/>
          <w:sz w:val="32"/>
          <w:szCs w:val="32"/>
          <w:highlight w:val="none"/>
        </w:rPr>
      </w:pPr>
    </w:p>
    <w:p w14:paraId="0D888008">
      <w:pPr>
        <w:pStyle w:val="18"/>
      </w:pPr>
    </w:p>
    <w:p w14:paraId="4CFD966F">
      <w:pPr>
        <w:widowControl/>
        <w:spacing w:line="499" w:lineRule="atLeast"/>
        <w:ind w:firstLine="1600" w:firstLineChars="0"/>
        <w:outlineLvl w:val="0"/>
        <w:rPr>
          <w:rFonts w:ascii="宋体" w:hAnsi="宋体" w:eastAsia="宋体" w:cs="宋体"/>
          <w:b/>
          <w:bCs/>
          <w:sz w:val="24"/>
          <w:highlight w:val="none"/>
        </w:rPr>
      </w:pPr>
      <w:r>
        <w:rPr>
          <w:rFonts w:hint="eastAsia" w:ascii="宋体" w:hAnsi="宋体" w:eastAsia="宋体" w:cs="宋体"/>
          <w:b/>
          <w:bCs/>
          <w:color w:val="000000"/>
          <w:sz w:val="32"/>
          <w:szCs w:val="32"/>
          <w:highlight w:val="none"/>
        </w:rPr>
        <w:t>十</w:t>
      </w:r>
      <w:r>
        <w:rPr>
          <w:rFonts w:hint="eastAsia" w:ascii="宋体" w:hAnsi="宋体" w:eastAsia="宋体" w:cs="宋体"/>
          <w:b/>
          <w:bCs/>
          <w:color w:val="000000"/>
          <w:sz w:val="32"/>
          <w:szCs w:val="32"/>
          <w:highlight w:val="none"/>
          <w:lang w:val="en-US" w:eastAsia="zh-CN"/>
        </w:rPr>
        <w:t>六</w:t>
      </w:r>
      <w:r>
        <w:rPr>
          <w:rFonts w:hint="eastAsia" w:ascii="宋体" w:hAnsi="宋体" w:eastAsia="宋体" w:cs="宋体"/>
          <w:b/>
          <w:bCs/>
          <w:color w:val="000000"/>
          <w:sz w:val="32"/>
          <w:szCs w:val="32"/>
          <w:highlight w:val="none"/>
        </w:rPr>
        <w:t>、盐城市政府采购事前信用承诺书</w:t>
      </w:r>
    </w:p>
    <w:p w14:paraId="12DBF935">
      <w:pPr>
        <w:widowControl/>
        <w:spacing w:line="499" w:lineRule="atLeast"/>
        <w:ind w:firstLine="640"/>
        <w:jc w:val="left"/>
        <w:rPr>
          <w:rFonts w:ascii="宋体" w:hAnsi="宋体" w:eastAsia="宋体" w:cs="宋体"/>
          <w:sz w:val="24"/>
          <w:highlight w:val="none"/>
        </w:rPr>
      </w:pPr>
      <w:r>
        <w:rPr>
          <w:rFonts w:hint="eastAsia" w:ascii="宋体" w:hAnsi="宋体" w:eastAsia="宋体" w:cs="宋体"/>
          <w:color w:val="000000"/>
          <w:sz w:val="32"/>
          <w:szCs w:val="32"/>
          <w:highlight w:val="none"/>
        </w:rPr>
        <w:t> </w:t>
      </w:r>
    </w:p>
    <w:p w14:paraId="518FF601">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为营造我市公开、公平、公正、诚实守信的政府采购交易环境，树立诚信守法的投标人形象，本人代表本单位作出以下承诺：</w:t>
      </w:r>
    </w:p>
    <w:p w14:paraId="41DD4ED3">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虚假成分</w:t>
      </w:r>
      <w:r>
        <w:rPr>
          <w:rFonts w:hint="eastAsia" w:ascii="宋体" w:hAnsi="宋体" w:eastAsia="宋体" w:cs="宋体"/>
          <w:color w:val="000000"/>
          <w:sz w:val="24"/>
          <w:highlight w:val="none"/>
        </w:rPr>
        <w:t>，并对所提供资料的真实性负责；</w:t>
      </w:r>
    </w:p>
    <w:p w14:paraId="2646A310">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5024D90">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p>
    <w:p w14:paraId="46DCE0D7">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（四）严格遵守即时信息公示规定，及时</w:t>
      </w:r>
      <w:r>
        <w:rPr>
          <w:rFonts w:hint="eastAsia" w:ascii="宋体" w:hAnsi="宋体" w:eastAsia="宋体" w:cs="宋体"/>
          <w:color w:val="000000"/>
          <w:sz w:val="24"/>
          <w:highlight w:val="none"/>
          <w:lang w:eastAsia="zh-CN"/>
        </w:rPr>
        <w:t>维护和更新</w:t>
      </w:r>
      <w:r>
        <w:rPr>
          <w:rFonts w:hint="eastAsia" w:ascii="宋体" w:hAnsi="宋体" w:eastAsia="宋体" w:cs="宋体"/>
          <w:color w:val="000000"/>
          <w:sz w:val="24"/>
          <w:highlight w:val="none"/>
        </w:rPr>
        <w:t>盐城市政府采购网中与本单位相关的信息；</w:t>
      </w:r>
    </w:p>
    <w:p w14:paraId="5BFC43D2">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5E0062C9">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（六）自觉接受政府、行业组织、社会公众、新闻舆论的监督；</w:t>
      </w:r>
    </w:p>
    <w:p w14:paraId="7B51C052">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7E8A388">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（八）本人已认真阅读了上述承诺，并向本单位员工作了宣传教育。</w:t>
      </w:r>
    </w:p>
    <w:p w14:paraId="413A0F2D">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法定代表人签名：</w:t>
      </w:r>
    </w:p>
    <w:p w14:paraId="3C5185D7">
      <w:pPr>
        <w:widowControl/>
        <w:spacing w:line="499" w:lineRule="atLeast"/>
        <w:jc w:val="center"/>
        <w:rPr>
          <w:rFonts w:ascii="宋体" w:hAnsi="宋体" w:eastAsia="宋体" w:cs="宋体"/>
          <w:sz w:val="24"/>
          <w:highlight w:val="none"/>
        </w:rPr>
      </w:pPr>
      <w:r>
        <w:rPr>
          <w:rFonts w:hint="eastAsia" w:ascii="宋体" w:hAnsi="宋体" w:eastAsia="宋体" w:cs="宋体"/>
          <w:color w:val="000000"/>
          <w:sz w:val="24"/>
          <w:highlight w:val="none"/>
        </w:rPr>
        <w:t>                   单位名称（盖章）：</w:t>
      </w:r>
    </w:p>
    <w:p w14:paraId="031CFD2D">
      <w:pPr>
        <w:widowControl/>
        <w:spacing w:line="499" w:lineRule="atLeast"/>
        <w:jc w:val="center"/>
        <w:rPr>
          <w:rFonts w:ascii="宋体" w:hAnsi="宋体" w:eastAsia="宋体" w:cs="宋体"/>
          <w:sz w:val="24"/>
          <w:highlight w:val="none"/>
        </w:rPr>
      </w:pPr>
      <w:r>
        <w:rPr>
          <w:rFonts w:hint="eastAsia" w:ascii="宋体" w:hAnsi="宋体" w:eastAsia="宋体" w:cs="宋体"/>
          <w:color w:val="000000"/>
          <w:sz w:val="24"/>
          <w:highlight w:val="none"/>
        </w:rPr>
        <w:t>                      年月日</w:t>
      </w:r>
    </w:p>
    <w:p w14:paraId="5D8529CE">
      <w:pPr>
        <w:pStyle w:val="17"/>
        <w:spacing w:beforeAutospacing="0" w:afterAutospacing="0"/>
        <w:jc w:val="center"/>
        <w:rPr>
          <w:highlight w:val="none"/>
        </w:rPr>
      </w:pPr>
    </w:p>
    <w:p w14:paraId="1674F8DD">
      <w:pPr>
        <w:pStyle w:val="17"/>
        <w:spacing w:beforeAutospacing="0" w:afterAutospacing="0"/>
        <w:jc w:val="center"/>
        <w:rPr>
          <w:highlight w:val="none"/>
        </w:rPr>
      </w:pPr>
    </w:p>
    <w:p w14:paraId="2160F89B">
      <w:pPr>
        <w:pStyle w:val="17"/>
        <w:spacing w:beforeAutospacing="0" w:afterAutospacing="0"/>
        <w:jc w:val="center"/>
        <w:rPr>
          <w:highlight w:val="none"/>
        </w:rPr>
      </w:pPr>
    </w:p>
    <w:p w14:paraId="6E09C5E7">
      <w:pPr>
        <w:pStyle w:val="17"/>
        <w:spacing w:beforeAutospacing="0" w:afterAutospacing="0"/>
        <w:jc w:val="center"/>
        <w:rPr>
          <w:highlight w:val="none"/>
        </w:rPr>
      </w:pPr>
    </w:p>
    <w:bookmarkEnd w:id="33"/>
    <w:bookmarkEnd w:id="50"/>
    <w:bookmarkEnd w:id="95"/>
    <w:bookmarkEnd w:id="96"/>
    <w:bookmarkEnd w:id="97"/>
    <w:bookmarkEnd w:id="100"/>
    <w:bookmarkEnd w:id="101"/>
    <w:bookmarkEnd w:id="102"/>
    <w:bookmarkEnd w:id="103"/>
    <w:bookmarkEnd w:id="104"/>
    <w:bookmarkEnd w:id="105"/>
    <w:bookmarkEnd w:id="106"/>
    <w:bookmarkEnd w:id="107"/>
    <w:bookmarkEnd w:id="108"/>
    <w:bookmarkEnd w:id="109"/>
    <w:bookmarkEnd w:id="110"/>
    <w:bookmarkEnd w:id="111"/>
    <w:bookmarkEnd w:id="112"/>
    <w:bookmarkEnd w:id="117"/>
    <w:bookmarkEnd w:id="118"/>
    <w:bookmarkEnd w:id="119"/>
    <w:bookmarkEnd w:id="124"/>
    <w:bookmarkEnd w:id="125"/>
    <w:bookmarkEnd w:id="132"/>
    <w:bookmarkEnd w:id="182"/>
    <w:bookmarkEnd w:id="189"/>
    <w:bookmarkEnd w:id="194"/>
    <w:bookmarkEnd w:id="195"/>
    <w:bookmarkEnd w:id="197"/>
    <w:bookmarkEnd w:id="198"/>
    <w:bookmarkEnd w:id="199"/>
    <w:bookmarkEnd w:id="200"/>
    <w:bookmarkEnd w:id="201"/>
    <w:bookmarkEnd w:id="202"/>
    <w:bookmarkEnd w:id="203"/>
    <w:bookmarkEnd w:id="204"/>
    <w:bookmarkEnd w:id="205"/>
    <w:p w14:paraId="3D2A7919">
      <w:pPr>
        <w:rPr>
          <w:highlight w:val="none"/>
        </w:rPr>
      </w:pPr>
    </w:p>
    <w:p w14:paraId="4D3B41D8">
      <w:pPr>
        <w:pStyle w:val="17"/>
        <w:spacing w:beforeAutospacing="0" w:afterAutospacing="0"/>
        <w:jc w:val="center"/>
        <w:outlineLvl w:val="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质疑函范本</w:t>
      </w:r>
    </w:p>
    <w:p w14:paraId="09EC660E">
      <w:pPr>
        <w:pStyle w:val="17"/>
        <w:spacing w:before="290" w:beforeAutospacing="0" w:afterAutospacing="0" w:line="360" w:lineRule="auto"/>
        <w:jc w:val="both"/>
        <w:outlineLvl w:val="1"/>
        <w:rPr>
          <w:rFonts w:ascii="宋体" w:hAnsi="宋体" w:eastAsia="宋体" w:cs="宋体"/>
          <w:highlight w:val="none"/>
        </w:rPr>
      </w:pPr>
      <w:r>
        <w:rPr>
          <w:rFonts w:hint="eastAsia" w:ascii="宋体" w:hAnsi="宋体" w:eastAsia="宋体" w:cs="宋体"/>
          <w:color w:val="000000"/>
          <w:highlight w:val="none"/>
        </w:rPr>
        <w:t>一、质疑供应商基本信息</w:t>
      </w:r>
    </w:p>
    <w:p w14:paraId="1BBEA404">
      <w:pPr>
        <w:pStyle w:val="17"/>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质疑供应商：</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0683C323">
      <w:pPr>
        <w:pStyle w:val="17"/>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p>
    <w:p w14:paraId="4FD10787">
      <w:pPr>
        <w:pStyle w:val="17"/>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51269EB1">
      <w:pPr>
        <w:pStyle w:val="17"/>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联系人：</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68A79C72">
      <w:pPr>
        <w:pStyle w:val="17"/>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xml:space="preserve">                                           </w:t>
      </w:r>
    </w:p>
    <w:p w14:paraId="5B63D208">
      <w:pPr>
        <w:pStyle w:val="17"/>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授权代表：</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3C1857D9">
      <w:pPr>
        <w:pStyle w:val="17"/>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28C266A2">
      <w:pPr>
        <w:pStyle w:val="17"/>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地址： </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3855B596">
      <w:pPr>
        <w:pStyle w:val="17"/>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xml:space="preserve">                                </w:t>
      </w:r>
    </w:p>
    <w:p w14:paraId="25856014">
      <w:pPr>
        <w:pStyle w:val="17"/>
        <w:spacing w:beforeAutospacing="0" w:afterAutospacing="0" w:line="360" w:lineRule="auto"/>
        <w:jc w:val="both"/>
        <w:outlineLvl w:val="1"/>
        <w:rPr>
          <w:rFonts w:ascii="宋体" w:hAnsi="宋体" w:eastAsia="宋体" w:cs="宋体"/>
          <w:highlight w:val="none"/>
        </w:rPr>
      </w:pPr>
      <w:r>
        <w:rPr>
          <w:rFonts w:hint="eastAsia" w:ascii="宋体" w:hAnsi="宋体" w:eastAsia="宋体" w:cs="宋体"/>
          <w:color w:val="000000"/>
          <w:highlight w:val="none"/>
        </w:rPr>
        <w:t>二、质疑项目基本情况</w:t>
      </w:r>
    </w:p>
    <w:p w14:paraId="3DF26DCD">
      <w:pPr>
        <w:pStyle w:val="17"/>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质疑项目的名称：</w:t>
      </w:r>
      <w:r>
        <w:rPr>
          <w:rFonts w:hint="eastAsia" w:ascii="宋体" w:hAnsi="宋体" w:eastAsia="宋体" w:cs="宋体"/>
          <w:color w:val="000000"/>
          <w:highlight w:val="none"/>
          <w:u w:val="single"/>
        </w:rPr>
        <w:t xml:space="preserve">                            </w:t>
      </w:r>
    </w:p>
    <w:p w14:paraId="05D9AAAA">
      <w:pPr>
        <w:pStyle w:val="17"/>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质疑项目的编号：</w:t>
      </w:r>
      <w:r>
        <w:rPr>
          <w:rFonts w:hint="eastAsia" w:ascii="宋体" w:hAnsi="宋体" w:eastAsia="宋体" w:cs="宋体"/>
          <w:color w:val="000000"/>
          <w:highlight w:val="none"/>
          <w:u w:val="single"/>
        </w:rPr>
        <w:t xml:space="preserve">                          </w:t>
      </w:r>
    </w:p>
    <w:p w14:paraId="6C45C6E4">
      <w:pPr>
        <w:pStyle w:val="17"/>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002EE101">
      <w:pPr>
        <w:pStyle w:val="17"/>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采购人名称：</w:t>
      </w:r>
      <w:r>
        <w:rPr>
          <w:rFonts w:hint="eastAsia" w:ascii="宋体" w:hAnsi="宋体" w:eastAsia="宋体" w:cs="宋体"/>
          <w:color w:val="000000"/>
          <w:highlight w:val="none"/>
          <w:u w:val="single"/>
        </w:rPr>
        <w:t xml:space="preserve">                            </w:t>
      </w:r>
    </w:p>
    <w:p w14:paraId="0C3EA93A">
      <w:pPr>
        <w:pStyle w:val="17"/>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采购文件获取日期：</w:t>
      </w:r>
      <w:r>
        <w:rPr>
          <w:rFonts w:hint="eastAsia" w:ascii="宋体" w:hAnsi="宋体" w:eastAsia="宋体" w:cs="宋体"/>
          <w:color w:val="000000"/>
          <w:highlight w:val="none"/>
          <w:u w:val="single"/>
        </w:rPr>
        <w:t xml:space="preserve">                             </w:t>
      </w:r>
    </w:p>
    <w:p w14:paraId="454C489F">
      <w:pPr>
        <w:pStyle w:val="17"/>
        <w:spacing w:beforeAutospacing="0" w:afterAutospacing="0" w:line="360" w:lineRule="auto"/>
        <w:jc w:val="both"/>
        <w:outlineLvl w:val="1"/>
        <w:rPr>
          <w:rFonts w:ascii="宋体" w:hAnsi="宋体" w:eastAsia="宋体" w:cs="宋体"/>
          <w:highlight w:val="none"/>
        </w:rPr>
      </w:pPr>
      <w:r>
        <w:rPr>
          <w:rFonts w:hint="eastAsia" w:ascii="宋体" w:hAnsi="宋体" w:eastAsia="宋体" w:cs="宋体"/>
          <w:color w:val="000000"/>
          <w:highlight w:val="none"/>
        </w:rPr>
        <w:t>三、质疑事项具体内容</w:t>
      </w:r>
    </w:p>
    <w:p w14:paraId="5B0C3A09">
      <w:pPr>
        <w:pStyle w:val="17"/>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质疑事项1：</w:t>
      </w:r>
      <w:r>
        <w:rPr>
          <w:rFonts w:hint="eastAsia" w:ascii="宋体" w:hAnsi="宋体" w:eastAsia="宋体" w:cs="宋体"/>
          <w:color w:val="000000"/>
          <w:highlight w:val="none"/>
          <w:u w:val="single"/>
        </w:rPr>
        <w:t xml:space="preserve">                             </w:t>
      </w:r>
    </w:p>
    <w:p w14:paraId="65F6B2B9">
      <w:pPr>
        <w:pStyle w:val="17"/>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事实依据：</w:t>
      </w:r>
      <w:r>
        <w:rPr>
          <w:rFonts w:hint="eastAsia" w:ascii="宋体" w:hAnsi="宋体" w:eastAsia="宋体" w:cs="宋体"/>
          <w:color w:val="000000"/>
          <w:highlight w:val="none"/>
          <w:u w:val="single"/>
        </w:rPr>
        <w:t xml:space="preserve">                                                   </w:t>
      </w:r>
    </w:p>
    <w:p w14:paraId="78A4C18D">
      <w:pPr>
        <w:pStyle w:val="17"/>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法律依据：</w:t>
      </w:r>
      <w:r>
        <w:rPr>
          <w:rFonts w:hint="eastAsia" w:ascii="宋体" w:hAnsi="宋体" w:eastAsia="宋体" w:cs="宋体"/>
          <w:color w:val="000000"/>
          <w:highlight w:val="none"/>
          <w:u w:val="single"/>
        </w:rPr>
        <w:t xml:space="preserve">                                                    </w:t>
      </w:r>
    </w:p>
    <w:p w14:paraId="32398CFA">
      <w:pPr>
        <w:pStyle w:val="17"/>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质疑事项2</w:t>
      </w:r>
    </w:p>
    <w:p w14:paraId="7481B690">
      <w:pPr>
        <w:pStyle w:val="17"/>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w:t>
      </w:r>
    </w:p>
    <w:p w14:paraId="4BFC85F6">
      <w:pPr>
        <w:pStyle w:val="17"/>
        <w:spacing w:beforeAutospacing="0" w:afterAutospacing="0" w:line="360" w:lineRule="auto"/>
        <w:jc w:val="both"/>
        <w:outlineLvl w:val="1"/>
        <w:rPr>
          <w:rFonts w:ascii="宋体" w:hAnsi="宋体" w:eastAsia="宋体" w:cs="宋体"/>
          <w:highlight w:val="none"/>
        </w:rPr>
      </w:pPr>
      <w:r>
        <w:rPr>
          <w:rFonts w:hint="eastAsia" w:ascii="宋体" w:hAnsi="宋体" w:eastAsia="宋体" w:cs="宋体"/>
          <w:color w:val="000000"/>
          <w:highlight w:val="none"/>
        </w:rPr>
        <w:t>四、与质疑事项相关的质疑请求</w:t>
      </w:r>
    </w:p>
    <w:p w14:paraId="4142A576">
      <w:pPr>
        <w:pStyle w:val="17"/>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请求：</w:t>
      </w:r>
      <w:r>
        <w:rPr>
          <w:rFonts w:hint="eastAsia" w:ascii="宋体" w:hAnsi="宋体" w:eastAsia="宋体" w:cs="宋体"/>
          <w:color w:val="000000"/>
          <w:highlight w:val="none"/>
          <w:u w:val="single"/>
        </w:rPr>
        <w:t xml:space="preserve">                                                          </w:t>
      </w:r>
    </w:p>
    <w:p w14:paraId="0E62018D">
      <w:pPr>
        <w:pStyle w:val="17"/>
        <w:spacing w:beforeAutospacing="0" w:afterAutospacing="0"/>
        <w:jc w:val="both"/>
        <w:rPr>
          <w:rFonts w:ascii="宋体" w:hAnsi="宋体" w:eastAsia="宋体" w:cs="宋体"/>
          <w:highlight w:val="none"/>
        </w:rPr>
      </w:pPr>
      <w:r>
        <w:rPr>
          <w:rFonts w:hint="eastAsia" w:ascii="宋体" w:hAnsi="宋体" w:eastAsia="宋体" w:cs="宋体"/>
          <w:color w:val="000000"/>
          <w:highlight w:val="none"/>
        </w:rPr>
        <w:t xml:space="preserve">签字(签章)：                 公章：               日期：    </w:t>
      </w:r>
    </w:p>
    <w:p w14:paraId="2BD1128B">
      <w:pPr>
        <w:pStyle w:val="17"/>
        <w:spacing w:beforeAutospacing="0" w:afterAutospacing="0" w:line="0" w:lineRule="atLeast"/>
        <w:jc w:val="both"/>
        <w:rPr>
          <w:rFonts w:ascii="宋体" w:hAnsi="宋体" w:eastAsia="宋体" w:cs="宋体"/>
          <w:highlight w:val="none"/>
        </w:rPr>
      </w:pPr>
      <w:r>
        <w:rPr>
          <w:rFonts w:hint="eastAsia" w:ascii="宋体" w:hAnsi="宋体" w:eastAsia="宋体" w:cs="宋体"/>
          <w:b/>
          <w:color w:val="000000"/>
          <w:highlight w:val="none"/>
        </w:rPr>
        <w:t>质疑函制作说明：</w:t>
      </w:r>
    </w:p>
    <w:p w14:paraId="366B4F23">
      <w:pPr>
        <w:pStyle w:val="17"/>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1.供应商提出质疑时，应提交质疑函和必要的证明材料。</w:t>
      </w:r>
    </w:p>
    <w:p w14:paraId="4477C1A6">
      <w:pPr>
        <w:pStyle w:val="17"/>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B40952D">
      <w:pPr>
        <w:pStyle w:val="17"/>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3.质疑供应商若对项目的某一分包进行质疑，质疑函中应列明具体分包号。</w:t>
      </w:r>
    </w:p>
    <w:p w14:paraId="61B2EC12">
      <w:pPr>
        <w:pStyle w:val="17"/>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4.质疑函的质疑事项应具体、明确，并有必要的事实依据和法律依据。</w:t>
      </w:r>
    </w:p>
    <w:p w14:paraId="00DA2770">
      <w:pPr>
        <w:pStyle w:val="17"/>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5.质疑函的质疑请求应与质疑事项相关。</w:t>
      </w:r>
    </w:p>
    <w:p w14:paraId="7B96CA49">
      <w:pPr>
        <w:pStyle w:val="17"/>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6.质疑供应商为自然人的，质疑函应由本人签字；质疑供应商为法人或者其他组织的，质疑函应由法定代表人、主要负责人，或者其授权代表签字或者盖章，并加盖公章。</w:t>
      </w:r>
    </w:p>
    <w:p w14:paraId="2A8F5BDA">
      <w:pPr>
        <w:pStyle w:val="17"/>
        <w:spacing w:beforeAutospacing="0" w:afterAutospacing="0"/>
        <w:ind w:firstLine="420"/>
        <w:jc w:val="both"/>
        <w:rPr>
          <w:rFonts w:ascii="宋体" w:hAnsi="宋体" w:eastAsia="宋体" w:cs="宋体"/>
          <w:highlight w:val="none"/>
        </w:rPr>
      </w:pPr>
      <w:r>
        <w:rPr>
          <w:rFonts w:hint="eastAsia" w:ascii="宋体" w:hAnsi="宋体" w:eastAsia="宋体" w:cs="宋体"/>
          <w:highlight w:val="none"/>
        </w:rPr>
        <w:t> </w:t>
      </w:r>
    </w:p>
    <w:p w14:paraId="5C2BD028">
      <w:pPr>
        <w:rPr>
          <w:highlight w:val="none"/>
        </w:rPr>
      </w:pPr>
    </w:p>
    <w:sectPr>
      <w:footerReference r:id="rId4" w:type="default"/>
      <w:pgSz w:w="11906" w:h="16838"/>
      <w:pgMar w:top="1134" w:right="1134" w:bottom="1134" w:left="1134"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方正魏碑_GBK">
    <w:altName w:val="宋体"/>
    <w:panose1 w:val="02000000000000000000"/>
    <w:charset w:val="86"/>
    <w:family w:val="script"/>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B83377">
    <w:pPr>
      <w:pStyle w:val="14"/>
      <w:tabs>
        <w:tab w:val="left" w:pos="4288"/>
        <w:tab w:val="clear" w:pos="4153"/>
      </w:tabs>
      <w:rPr>
        <w:rFonts w:hint="eastAsia" w:eastAsiaTheme="minorEastAsia"/>
        <w:lang w:eastAsia="zh-CN"/>
      </w:rPr>
    </w:pPr>
    <w:r>
      <w:rPr>
        <w:rFonts w:hint="eastAsia"/>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03B961">
    <w:pPr>
      <w:pStyle w:val="14"/>
      <w:tabs>
        <w:tab w:val="left" w:pos="4288"/>
        <w:tab w:val="clear" w:pos="4153"/>
      </w:tabs>
      <w:rPr>
        <w:rFonts w:hint="eastAsia" w:eastAsiaTheme="minorEastAsia"/>
        <w:lang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05B6D7">
                          <w:pPr>
                            <w:pStyle w:val="14"/>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A05B6D7">
                    <w:pPr>
                      <w:pStyle w:val="14"/>
                    </w:pPr>
                    <w:r>
                      <w:fldChar w:fldCharType="begin"/>
                    </w:r>
                    <w:r>
                      <w:instrText xml:space="preserve"> PAGE  \* MERGEFORMAT </w:instrText>
                    </w:r>
                    <w:r>
                      <w:fldChar w:fldCharType="separate"/>
                    </w:r>
                    <w:r>
                      <w:t>3</w:t>
                    </w:r>
                    <w:r>
                      <w:fldChar w:fldCharType="end"/>
                    </w:r>
                  </w:p>
                </w:txbxContent>
              </v:textbox>
            </v:shape>
          </w:pict>
        </mc:Fallback>
      </mc:AlternateContent>
    </w:r>
    <w:r>
      <w:rPr>
        <w:rFonts w:hint="eastAsia"/>
        <w:lang w:eastAsia="zh-CN"/>
      </w:rPr>
      <w:tab/>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5NjQ4MDViNzI1OGY2YzE4MzhiZmY5ZTY1YTkxNGYifQ=="/>
  </w:docVars>
  <w:rsids>
    <w:rsidRoot w:val="00172A27"/>
    <w:rsid w:val="0004021C"/>
    <w:rsid w:val="00075369"/>
    <w:rsid w:val="00077137"/>
    <w:rsid w:val="00093DD2"/>
    <w:rsid w:val="00100CC0"/>
    <w:rsid w:val="00131CB1"/>
    <w:rsid w:val="00172A27"/>
    <w:rsid w:val="00177F0B"/>
    <w:rsid w:val="001A3225"/>
    <w:rsid w:val="001F4115"/>
    <w:rsid w:val="00215AA4"/>
    <w:rsid w:val="00251125"/>
    <w:rsid w:val="002E61F3"/>
    <w:rsid w:val="002F12F8"/>
    <w:rsid w:val="003C1A89"/>
    <w:rsid w:val="003C6894"/>
    <w:rsid w:val="0043276E"/>
    <w:rsid w:val="004529E6"/>
    <w:rsid w:val="00455E51"/>
    <w:rsid w:val="004670D5"/>
    <w:rsid w:val="00474047"/>
    <w:rsid w:val="00491F6E"/>
    <w:rsid w:val="004D3110"/>
    <w:rsid w:val="00502ACB"/>
    <w:rsid w:val="00520AC5"/>
    <w:rsid w:val="00552DFB"/>
    <w:rsid w:val="005E57E9"/>
    <w:rsid w:val="006932C0"/>
    <w:rsid w:val="006B6F15"/>
    <w:rsid w:val="007871B9"/>
    <w:rsid w:val="007A220C"/>
    <w:rsid w:val="007A7B98"/>
    <w:rsid w:val="007B1CF4"/>
    <w:rsid w:val="00817A96"/>
    <w:rsid w:val="0088127E"/>
    <w:rsid w:val="008B090D"/>
    <w:rsid w:val="008E4636"/>
    <w:rsid w:val="009320F9"/>
    <w:rsid w:val="00935693"/>
    <w:rsid w:val="00A4304F"/>
    <w:rsid w:val="00A62079"/>
    <w:rsid w:val="00A70028"/>
    <w:rsid w:val="00A80AB0"/>
    <w:rsid w:val="00AA2A8E"/>
    <w:rsid w:val="00B07FD4"/>
    <w:rsid w:val="00B454C4"/>
    <w:rsid w:val="00BE692E"/>
    <w:rsid w:val="00BE787D"/>
    <w:rsid w:val="00C30C78"/>
    <w:rsid w:val="00C36D58"/>
    <w:rsid w:val="00C83D22"/>
    <w:rsid w:val="00C86C58"/>
    <w:rsid w:val="00CB578B"/>
    <w:rsid w:val="00D1282F"/>
    <w:rsid w:val="00D550E3"/>
    <w:rsid w:val="00D63F4B"/>
    <w:rsid w:val="00D93FCD"/>
    <w:rsid w:val="00E57898"/>
    <w:rsid w:val="00E6087B"/>
    <w:rsid w:val="00F130C8"/>
    <w:rsid w:val="00F264FD"/>
    <w:rsid w:val="00F33192"/>
    <w:rsid w:val="00F50207"/>
    <w:rsid w:val="00F8669E"/>
    <w:rsid w:val="00F957B2"/>
    <w:rsid w:val="00FC6132"/>
    <w:rsid w:val="00FE3C91"/>
    <w:rsid w:val="014036E0"/>
    <w:rsid w:val="01416DF2"/>
    <w:rsid w:val="01527C8C"/>
    <w:rsid w:val="015C3D17"/>
    <w:rsid w:val="01B35B1C"/>
    <w:rsid w:val="01C209CB"/>
    <w:rsid w:val="01E87F1A"/>
    <w:rsid w:val="020D7B48"/>
    <w:rsid w:val="021556FA"/>
    <w:rsid w:val="02357688"/>
    <w:rsid w:val="02851591"/>
    <w:rsid w:val="02BD5381"/>
    <w:rsid w:val="02D505AD"/>
    <w:rsid w:val="02F2074D"/>
    <w:rsid w:val="03365B5E"/>
    <w:rsid w:val="034E4AD1"/>
    <w:rsid w:val="037E0789"/>
    <w:rsid w:val="03913FFC"/>
    <w:rsid w:val="039234F5"/>
    <w:rsid w:val="040925D5"/>
    <w:rsid w:val="047200E5"/>
    <w:rsid w:val="049715A9"/>
    <w:rsid w:val="04CF1FA6"/>
    <w:rsid w:val="04FF777C"/>
    <w:rsid w:val="05157BA2"/>
    <w:rsid w:val="056C4670"/>
    <w:rsid w:val="056E5657"/>
    <w:rsid w:val="05AD05DE"/>
    <w:rsid w:val="05BD3D79"/>
    <w:rsid w:val="05D1541D"/>
    <w:rsid w:val="05F35A67"/>
    <w:rsid w:val="0621639E"/>
    <w:rsid w:val="062C42CE"/>
    <w:rsid w:val="06764670"/>
    <w:rsid w:val="067B57E2"/>
    <w:rsid w:val="06867FD2"/>
    <w:rsid w:val="068A6E34"/>
    <w:rsid w:val="06B12B65"/>
    <w:rsid w:val="06BD3726"/>
    <w:rsid w:val="070B0AB9"/>
    <w:rsid w:val="071D689A"/>
    <w:rsid w:val="07887E6F"/>
    <w:rsid w:val="07904287"/>
    <w:rsid w:val="07994E3B"/>
    <w:rsid w:val="07A02A3F"/>
    <w:rsid w:val="07A40F48"/>
    <w:rsid w:val="07B11DE9"/>
    <w:rsid w:val="07D223B6"/>
    <w:rsid w:val="07F651C7"/>
    <w:rsid w:val="08055CE2"/>
    <w:rsid w:val="080A468F"/>
    <w:rsid w:val="0854758E"/>
    <w:rsid w:val="08992D34"/>
    <w:rsid w:val="08A4722D"/>
    <w:rsid w:val="08C86899"/>
    <w:rsid w:val="090917CB"/>
    <w:rsid w:val="09132265"/>
    <w:rsid w:val="09D92A42"/>
    <w:rsid w:val="09E50F61"/>
    <w:rsid w:val="09FE79EC"/>
    <w:rsid w:val="0A075AE9"/>
    <w:rsid w:val="0A9D1CF9"/>
    <w:rsid w:val="0AB319EF"/>
    <w:rsid w:val="0ABC363A"/>
    <w:rsid w:val="0AD8294B"/>
    <w:rsid w:val="0B4B3B00"/>
    <w:rsid w:val="0B674BE6"/>
    <w:rsid w:val="0B8A23C1"/>
    <w:rsid w:val="0BA111B6"/>
    <w:rsid w:val="0BAE3813"/>
    <w:rsid w:val="0BDD1EBD"/>
    <w:rsid w:val="0BFF003E"/>
    <w:rsid w:val="0C9413AC"/>
    <w:rsid w:val="0CFF0F1B"/>
    <w:rsid w:val="0D4D2FC1"/>
    <w:rsid w:val="0E0362D5"/>
    <w:rsid w:val="0E966A8C"/>
    <w:rsid w:val="0E9C279A"/>
    <w:rsid w:val="0EA16002"/>
    <w:rsid w:val="0EB36461"/>
    <w:rsid w:val="0EE61CD2"/>
    <w:rsid w:val="0F0A004B"/>
    <w:rsid w:val="0F103D39"/>
    <w:rsid w:val="0F655282"/>
    <w:rsid w:val="0F6D24BC"/>
    <w:rsid w:val="0F7D537E"/>
    <w:rsid w:val="0FBC4A1F"/>
    <w:rsid w:val="0FE97C61"/>
    <w:rsid w:val="10007707"/>
    <w:rsid w:val="10B2533E"/>
    <w:rsid w:val="10C24BB0"/>
    <w:rsid w:val="11072A94"/>
    <w:rsid w:val="11766346"/>
    <w:rsid w:val="117C2C8C"/>
    <w:rsid w:val="11A264BB"/>
    <w:rsid w:val="11AB711C"/>
    <w:rsid w:val="11C646FD"/>
    <w:rsid w:val="11D84879"/>
    <w:rsid w:val="11EB7CC0"/>
    <w:rsid w:val="12086AC4"/>
    <w:rsid w:val="12274A70"/>
    <w:rsid w:val="1255619C"/>
    <w:rsid w:val="12A21019"/>
    <w:rsid w:val="12D9220E"/>
    <w:rsid w:val="12F015A0"/>
    <w:rsid w:val="1301050F"/>
    <w:rsid w:val="132711CC"/>
    <w:rsid w:val="13D157F4"/>
    <w:rsid w:val="143E4A1F"/>
    <w:rsid w:val="14462F92"/>
    <w:rsid w:val="14477BA7"/>
    <w:rsid w:val="14AD4E8A"/>
    <w:rsid w:val="14EA5803"/>
    <w:rsid w:val="150D257F"/>
    <w:rsid w:val="156B7B78"/>
    <w:rsid w:val="157923E7"/>
    <w:rsid w:val="162C6AF9"/>
    <w:rsid w:val="163E3563"/>
    <w:rsid w:val="169263C8"/>
    <w:rsid w:val="16A61788"/>
    <w:rsid w:val="16AF4856"/>
    <w:rsid w:val="16FC471D"/>
    <w:rsid w:val="170045BA"/>
    <w:rsid w:val="171A224F"/>
    <w:rsid w:val="17255A73"/>
    <w:rsid w:val="174D6D27"/>
    <w:rsid w:val="174D7871"/>
    <w:rsid w:val="17610ABD"/>
    <w:rsid w:val="17666D47"/>
    <w:rsid w:val="176F0FD8"/>
    <w:rsid w:val="17732C32"/>
    <w:rsid w:val="178521C3"/>
    <w:rsid w:val="17884203"/>
    <w:rsid w:val="17DF606D"/>
    <w:rsid w:val="18B92634"/>
    <w:rsid w:val="18BC4109"/>
    <w:rsid w:val="18D23988"/>
    <w:rsid w:val="193260E4"/>
    <w:rsid w:val="195758F9"/>
    <w:rsid w:val="19835197"/>
    <w:rsid w:val="19A11C2E"/>
    <w:rsid w:val="19C21346"/>
    <w:rsid w:val="19EC47A6"/>
    <w:rsid w:val="1A0F193E"/>
    <w:rsid w:val="1A1C3150"/>
    <w:rsid w:val="1A4F2C83"/>
    <w:rsid w:val="1A793495"/>
    <w:rsid w:val="1AA839EE"/>
    <w:rsid w:val="1AD2708F"/>
    <w:rsid w:val="1AD75285"/>
    <w:rsid w:val="1AE6196C"/>
    <w:rsid w:val="1B193AF0"/>
    <w:rsid w:val="1B26620D"/>
    <w:rsid w:val="1B5508A0"/>
    <w:rsid w:val="1B5F5046"/>
    <w:rsid w:val="1B9509DF"/>
    <w:rsid w:val="1BA002D8"/>
    <w:rsid w:val="1C493F61"/>
    <w:rsid w:val="1CAC4347"/>
    <w:rsid w:val="1CEC2B3E"/>
    <w:rsid w:val="1D1502E7"/>
    <w:rsid w:val="1D1C1092"/>
    <w:rsid w:val="1D53288B"/>
    <w:rsid w:val="1D605A5A"/>
    <w:rsid w:val="1D812873"/>
    <w:rsid w:val="1D8A4831"/>
    <w:rsid w:val="1DC6360C"/>
    <w:rsid w:val="1DDF4451"/>
    <w:rsid w:val="1DE2466D"/>
    <w:rsid w:val="1DFD1285"/>
    <w:rsid w:val="1E4E1D03"/>
    <w:rsid w:val="1E7456E8"/>
    <w:rsid w:val="1EC70509"/>
    <w:rsid w:val="1EE6018D"/>
    <w:rsid w:val="1F1101CF"/>
    <w:rsid w:val="1F191F1B"/>
    <w:rsid w:val="1F4A0271"/>
    <w:rsid w:val="1F662C35"/>
    <w:rsid w:val="1F7E6617"/>
    <w:rsid w:val="1F9630F2"/>
    <w:rsid w:val="1FA5245A"/>
    <w:rsid w:val="1FB03E54"/>
    <w:rsid w:val="1FC7762D"/>
    <w:rsid w:val="2000702C"/>
    <w:rsid w:val="205C376D"/>
    <w:rsid w:val="20607ACB"/>
    <w:rsid w:val="20677E3C"/>
    <w:rsid w:val="20680B39"/>
    <w:rsid w:val="20733730"/>
    <w:rsid w:val="209429D0"/>
    <w:rsid w:val="20A83FAF"/>
    <w:rsid w:val="20CE42A1"/>
    <w:rsid w:val="215025DE"/>
    <w:rsid w:val="216A2F14"/>
    <w:rsid w:val="21827A71"/>
    <w:rsid w:val="21CC717D"/>
    <w:rsid w:val="22055B57"/>
    <w:rsid w:val="22424AA4"/>
    <w:rsid w:val="228C104B"/>
    <w:rsid w:val="22934188"/>
    <w:rsid w:val="22CA3922"/>
    <w:rsid w:val="22F62B8A"/>
    <w:rsid w:val="23151041"/>
    <w:rsid w:val="23254D08"/>
    <w:rsid w:val="23534E2B"/>
    <w:rsid w:val="23751061"/>
    <w:rsid w:val="23A14683"/>
    <w:rsid w:val="23F81D29"/>
    <w:rsid w:val="242C02D7"/>
    <w:rsid w:val="24533DC2"/>
    <w:rsid w:val="24AE6653"/>
    <w:rsid w:val="24BE643D"/>
    <w:rsid w:val="2532334D"/>
    <w:rsid w:val="25775AA7"/>
    <w:rsid w:val="2579251C"/>
    <w:rsid w:val="258B2DDD"/>
    <w:rsid w:val="259B3353"/>
    <w:rsid w:val="26750FF7"/>
    <w:rsid w:val="26EE1644"/>
    <w:rsid w:val="27194423"/>
    <w:rsid w:val="27206206"/>
    <w:rsid w:val="27241A05"/>
    <w:rsid w:val="27290FC5"/>
    <w:rsid w:val="27331ADC"/>
    <w:rsid w:val="27480D4C"/>
    <w:rsid w:val="280F2F92"/>
    <w:rsid w:val="283B40D1"/>
    <w:rsid w:val="287C62B9"/>
    <w:rsid w:val="28BC3D0D"/>
    <w:rsid w:val="28FE41FC"/>
    <w:rsid w:val="29345C52"/>
    <w:rsid w:val="2996274E"/>
    <w:rsid w:val="29AE5D4B"/>
    <w:rsid w:val="29BD7D3C"/>
    <w:rsid w:val="2A4648B7"/>
    <w:rsid w:val="2A636B36"/>
    <w:rsid w:val="2A7A2C6A"/>
    <w:rsid w:val="2A9A62D0"/>
    <w:rsid w:val="2B005440"/>
    <w:rsid w:val="2BCA6741"/>
    <w:rsid w:val="2C03574A"/>
    <w:rsid w:val="2C0544E0"/>
    <w:rsid w:val="2C0A4EA8"/>
    <w:rsid w:val="2C1125C1"/>
    <w:rsid w:val="2C3D6F12"/>
    <w:rsid w:val="2C5A7BC2"/>
    <w:rsid w:val="2C6D55AF"/>
    <w:rsid w:val="2C7B3B05"/>
    <w:rsid w:val="2CC277F5"/>
    <w:rsid w:val="2CEA709A"/>
    <w:rsid w:val="2CED2D01"/>
    <w:rsid w:val="2CF41E45"/>
    <w:rsid w:val="2D39592C"/>
    <w:rsid w:val="2D432AAC"/>
    <w:rsid w:val="2D905451"/>
    <w:rsid w:val="2DC41EB4"/>
    <w:rsid w:val="2E0C4DEE"/>
    <w:rsid w:val="2E5E7AF7"/>
    <w:rsid w:val="2E6A071F"/>
    <w:rsid w:val="2E9F2106"/>
    <w:rsid w:val="2EC375B5"/>
    <w:rsid w:val="2EE26E5C"/>
    <w:rsid w:val="2EE73822"/>
    <w:rsid w:val="2FA80D19"/>
    <w:rsid w:val="2FAD4FD9"/>
    <w:rsid w:val="2FB346FB"/>
    <w:rsid w:val="2FFA5778"/>
    <w:rsid w:val="30330D58"/>
    <w:rsid w:val="30495C84"/>
    <w:rsid w:val="30650005"/>
    <w:rsid w:val="310333AD"/>
    <w:rsid w:val="311F752F"/>
    <w:rsid w:val="3126266B"/>
    <w:rsid w:val="31522189"/>
    <w:rsid w:val="317205DD"/>
    <w:rsid w:val="318E0F10"/>
    <w:rsid w:val="31DB0550"/>
    <w:rsid w:val="32290839"/>
    <w:rsid w:val="32531113"/>
    <w:rsid w:val="328533C1"/>
    <w:rsid w:val="329E6CD8"/>
    <w:rsid w:val="32AE0B6A"/>
    <w:rsid w:val="32CE0B8D"/>
    <w:rsid w:val="32E26A50"/>
    <w:rsid w:val="32E77BD8"/>
    <w:rsid w:val="33440753"/>
    <w:rsid w:val="334B4AB3"/>
    <w:rsid w:val="334D3EDF"/>
    <w:rsid w:val="33773E42"/>
    <w:rsid w:val="33A75243"/>
    <w:rsid w:val="33BB353F"/>
    <w:rsid w:val="34367069"/>
    <w:rsid w:val="34E14EA2"/>
    <w:rsid w:val="34E346A0"/>
    <w:rsid w:val="34F565DC"/>
    <w:rsid w:val="350B4C3A"/>
    <w:rsid w:val="359B1151"/>
    <w:rsid w:val="35A41DB0"/>
    <w:rsid w:val="35AD49A2"/>
    <w:rsid w:val="35BC534C"/>
    <w:rsid w:val="35FB784C"/>
    <w:rsid w:val="36172BC3"/>
    <w:rsid w:val="362F76B8"/>
    <w:rsid w:val="36721EAF"/>
    <w:rsid w:val="36CC7C95"/>
    <w:rsid w:val="36E076F0"/>
    <w:rsid w:val="36EB650A"/>
    <w:rsid w:val="375B1FDF"/>
    <w:rsid w:val="37763455"/>
    <w:rsid w:val="378133A9"/>
    <w:rsid w:val="37863E63"/>
    <w:rsid w:val="383A233E"/>
    <w:rsid w:val="38871D94"/>
    <w:rsid w:val="38897C33"/>
    <w:rsid w:val="39101F1B"/>
    <w:rsid w:val="392D7EB3"/>
    <w:rsid w:val="39643D30"/>
    <w:rsid w:val="39720FC7"/>
    <w:rsid w:val="39987E7E"/>
    <w:rsid w:val="399C70CE"/>
    <w:rsid w:val="39A75FF1"/>
    <w:rsid w:val="39A84137"/>
    <w:rsid w:val="39B73DB0"/>
    <w:rsid w:val="39CD52E9"/>
    <w:rsid w:val="3A1C0AAF"/>
    <w:rsid w:val="3A323E2F"/>
    <w:rsid w:val="3A575643"/>
    <w:rsid w:val="3A64388F"/>
    <w:rsid w:val="3A663242"/>
    <w:rsid w:val="3AA64A0C"/>
    <w:rsid w:val="3AB02FA5"/>
    <w:rsid w:val="3B0B043D"/>
    <w:rsid w:val="3B491430"/>
    <w:rsid w:val="3B5F23C7"/>
    <w:rsid w:val="3B702E61"/>
    <w:rsid w:val="3B8F0229"/>
    <w:rsid w:val="3B9710EF"/>
    <w:rsid w:val="3BDF2457"/>
    <w:rsid w:val="3BDF7FE6"/>
    <w:rsid w:val="3C0C0822"/>
    <w:rsid w:val="3CC36DCD"/>
    <w:rsid w:val="3CCF1553"/>
    <w:rsid w:val="3D23372C"/>
    <w:rsid w:val="3D2823FA"/>
    <w:rsid w:val="3D581DFE"/>
    <w:rsid w:val="3D6A4AAA"/>
    <w:rsid w:val="3DC278DB"/>
    <w:rsid w:val="3DF80C94"/>
    <w:rsid w:val="3DFD4754"/>
    <w:rsid w:val="3E06046B"/>
    <w:rsid w:val="3E064F5A"/>
    <w:rsid w:val="3E161B6B"/>
    <w:rsid w:val="3E496B6B"/>
    <w:rsid w:val="3E7F5998"/>
    <w:rsid w:val="3E8E35FE"/>
    <w:rsid w:val="3EED6576"/>
    <w:rsid w:val="3F0056DB"/>
    <w:rsid w:val="3F0156C1"/>
    <w:rsid w:val="3F1A3023"/>
    <w:rsid w:val="3F243A9D"/>
    <w:rsid w:val="3F281CA4"/>
    <w:rsid w:val="3F6530F9"/>
    <w:rsid w:val="3FC26720"/>
    <w:rsid w:val="40260F22"/>
    <w:rsid w:val="402B33C8"/>
    <w:rsid w:val="40350295"/>
    <w:rsid w:val="406E1D8D"/>
    <w:rsid w:val="40744D39"/>
    <w:rsid w:val="418A3F1C"/>
    <w:rsid w:val="42053C57"/>
    <w:rsid w:val="42084379"/>
    <w:rsid w:val="42214BD9"/>
    <w:rsid w:val="42324DFA"/>
    <w:rsid w:val="42621029"/>
    <w:rsid w:val="42AF59D8"/>
    <w:rsid w:val="431353F3"/>
    <w:rsid w:val="431649C6"/>
    <w:rsid w:val="43455446"/>
    <w:rsid w:val="43EF4B3E"/>
    <w:rsid w:val="4450382F"/>
    <w:rsid w:val="44944F45"/>
    <w:rsid w:val="44B65387"/>
    <w:rsid w:val="44CB5A0E"/>
    <w:rsid w:val="44DA072F"/>
    <w:rsid w:val="454D0F8E"/>
    <w:rsid w:val="45890E3A"/>
    <w:rsid w:val="45A45181"/>
    <w:rsid w:val="45AA28B2"/>
    <w:rsid w:val="45FC0A54"/>
    <w:rsid w:val="461D469A"/>
    <w:rsid w:val="465B51A4"/>
    <w:rsid w:val="466976E6"/>
    <w:rsid w:val="46D32596"/>
    <w:rsid w:val="46EA0CE7"/>
    <w:rsid w:val="47046AD7"/>
    <w:rsid w:val="470D4256"/>
    <w:rsid w:val="472208AE"/>
    <w:rsid w:val="473C5A42"/>
    <w:rsid w:val="47704C41"/>
    <w:rsid w:val="47755C7D"/>
    <w:rsid w:val="477F6C5D"/>
    <w:rsid w:val="47B925F3"/>
    <w:rsid w:val="48771F96"/>
    <w:rsid w:val="48910AEC"/>
    <w:rsid w:val="48913E27"/>
    <w:rsid w:val="4897425D"/>
    <w:rsid w:val="489D725F"/>
    <w:rsid w:val="48B3170D"/>
    <w:rsid w:val="48D37B48"/>
    <w:rsid w:val="493C7DE9"/>
    <w:rsid w:val="49C724F6"/>
    <w:rsid w:val="49D62B33"/>
    <w:rsid w:val="4A1E13B4"/>
    <w:rsid w:val="4A2C49B0"/>
    <w:rsid w:val="4A7D1B0F"/>
    <w:rsid w:val="4AAC50D1"/>
    <w:rsid w:val="4AF64A04"/>
    <w:rsid w:val="4AFA44F5"/>
    <w:rsid w:val="4B0C37B9"/>
    <w:rsid w:val="4B944949"/>
    <w:rsid w:val="4B951644"/>
    <w:rsid w:val="4BC33B49"/>
    <w:rsid w:val="4BD12EAB"/>
    <w:rsid w:val="4C0C6ECB"/>
    <w:rsid w:val="4C0D6EDD"/>
    <w:rsid w:val="4C5A2B74"/>
    <w:rsid w:val="4D2D20D9"/>
    <w:rsid w:val="4D317F76"/>
    <w:rsid w:val="4D3C69F8"/>
    <w:rsid w:val="4D784E5B"/>
    <w:rsid w:val="4DA074F7"/>
    <w:rsid w:val="4DA33F07"/>
    <w:rsid w:val="4DDE52C0"/>
    <w:rsid w:val="4DF72F6D"/>
    <w:rsid w:val="4E04570C"/>
    <w:rsid w:val="4E0631B0"/>
    <w:rsid w:val="4EDC6E33"/>
    <w:rsid w:val="4EDD03B5"/>
    <w:rsid w:val="4F2B14B1"/>
    <w:rsid w:val="4F337FD5"/>
    <w:rsid w:val="4F526BF1"/>
    <w:rsid w:val="4FC2427A"/>
    <w:rsid w:val="50616DC4"/>
    <w:rsid w:val="50A0169A"/>
    <w:rsid w:val="50A1397F"/>
    <w:rsid w:val="50FC442C"/>
    <w:rsid w:val="51C75DFE"/>
    <w:rsid w:val="52741FCB"/>
    <w:rsid w:val="52CA1464"/>
    <w:rsid w:val="52D06B10"/>
    <w:rsid w:val="52D52291"/>
    <w:rsid w:val="53112879"/>
    <w:rsid w:val="533D58C6"/>
    <w:rsid w:val="53536515"/>
    <w:rsid w:val="536B21BA"/>
    <w:rsid w:val="53A862CC"/>
    <w:rsid w:val="53CF7BFA"/>
    <w:rsid w:val="54260518"/>
    <w:rsid w:val="542645AC"/>
    <w:rsid w:val="542A0FDA"/>
    <w:rsid w:val="545729B8"/>
    <w:rsid w:val="546C11F4"/>
    <w:rsid w:val="546E1AAF"/>
    <w:rsid w:val="54857525"/>
    <w:rsid w:val="549D01C5"/>
    <w:rsid w:val="54ED53D0"/>
    <w:rsid w:val="55091CCC"/>
    <w:rsid w:val="558003CE"/>
    <w:rsid w:val="55C67DF5"/>
    <w:rsid w:val="55FA184D"/>
    <w:rsid w:val="56057D5F"/>
    <w:rsid w:val="56292132"/>
    <w:rsid w:val="56307253"/>
    <w:rsid w:val="56453199"/>
    <w:rsid w:val="56487BA0"/>
    <w:rsid w:val="56EB4EC3"/>
    <w:rsid w:val="574719FA"/>
    <w:rsid w:val="579C2D2C"/>
    <w:rsid w:val="582F6DAB"/>
    <w:rsid w:val="58366D88"/>
    <w:rsid w:val="588910E4"/>
    <w:rsid w:val="58937CF7"/>
    <w:rsid w:val="58977827"/>
    <w:rsid w:val="58AD45AF"/>
    <w:rsid w:val="58D4718C"/>
    <w:rsid w:val="58D806D5"/>
    <w:rsid w:val="59274DA4"/>
    <w:rsid w:val="5946024A"/>
    <w:rsid w:val="594A7ADA"/>
    <w:rsid w:val="597131E7"/>
    <w:rsid w:val="597D466F"/>
    <w:rsid w:val="599211F9"/>
    <w:rsid w:val="59A82CA5"/>
    <w:rsid w:val="59BD32BD"/>
    <w:rsid w:val="5A594151"/>
    <w:rsid w:val="5ABD109B"/>
    <w:rsid w:val="5AD514E8"/>
    <w:rsid w:val="5AD536B4"/>
    <w:rsid w:val="5AEA4CCC"/>
    <w:rsid w:val="5B031B11"/>
    <w:rsid w:val="5B2C4517"/>
    <w:rsid w:val="5B96574B"/>
    <w:rsid w:val="5C2A4141"/>
    <w:rsid w:val="5C4874B6"/>
    <w:rsid w:val="5C5A652B"/>
    <w:rsid w:val="5C693FA3"/>
    <w:rsid w:val="5CA34088"/>
    <w:rsid w:val="5CB0535B"/>
    <w:rsid w:val="5CE305DA"/>
    <w:rsid w:val="5D3E5EBD"/>
    <w:rsid w:val="5D4611A7"/>
    <w:rsid w:val="5D7672ED"/>
    <w:rsid w:val="5DDD75C3"/>
    <w:rsid w:val="5DE138D8"/>
    <w:rsid w:val="5E1921ED"/>
    <w:rsid w:val="5E2A413A"/>
    <w:rsid w:val="5E6C2A93"/>
    <w:rsid w:val="5E9A2821"/>
    <w:rsid w:val="5EBB3B43"/>
    <w:rsid w:val="5EF07A1A"/>
    <w:rsid w:val="5F6B5569"/>
    <w:rsid w:val="5F6F45FF"/>
    <w:rsid w:val="5F7D5E8E"/>
    <w:rsid w:val="5F7F522A"/>
    <w:rsid w:val="5FD72BFF"/>
    <w:rsid w:val="5FE61094"/>
    <w:rsid w:val="5FFC4413"/>
    <w:rsid w:val="5FFDAE42"/>
    <w:rsid w:val="601337BB"/>
    <w:rsid w:val="60332F6A"/>
    <w:rsid w:val="60762DC3"/>
    <w:rsid w:val="60B92797"/>
    <w:rsid w:val="60D51B2B"/>
    <w:rsid w:val="61380253"/>
    <w:rsid w:val="617F2D1C"/>
    <w:rsid w:val="61891CD7"/>
    <w:rsid w:val="61BC3E5A"/>
    <w:rsid w:val="62312A9A"/>
    <w:rsid w:val="6248538A"/>
    <w:rsid w:val="625E7607"/>
    <w:rsid w:val="62647D43"/>
    <w:rsid w:val="6283706E"/>
    <w:rsid w:val="62A87E16"/>
    <w:rsid w:val="62C43294"/>
    <w:rsid w:val="62CA561A"/>
    <w:rsid w:val="62D84082"/>
    <w:rsid w:val="6313315F"/>
    <w:rsid w:val="637172BE"/>
    <w:rsid w:val="63AE197D"/>
    <w:rsid w:val="63CD6C1F"/>
    <w:rsid w:val="64301C69"/>
    <w:rsid w:val="64785C72"/>
    <w:rsid w:val="64813139"/>
    <w:rsid w:val="64A56430"/>
    <w:rsid w:val="65BB2793"/>
    <w:rsid w:val="65DD5A8E"/>
    <w:rsid w:val="65FB46E7"/>
    <w:rsid w:val="661D6B6F"/>
    <w:rsid w:val="66221E27"/>
    <w:rsid w:val="667027CF"/>
    <w:rsid w:val="6688694C"/>
    <w:rsid w:val="66B22301"/>
    <w:rsid w:val="66D41C46"/>
    <w:rsid w:val="66F03B9D"/>
    <w:rsid w:val="670D4A21"/>
    <w:rsid w:val="67A41618"/>
    <w:rsid w:val="67B6759E"/>
    <w:rsid w:val="68076E78"/>
    <w:rsid w:val="68245589"/>
    <w:rsid w:val="68777DD2"/>
    <w:rsid w:val="68B76AE5"/>
    <w:rsid w:val="68BD0BEB"/>
    <w:rsid w:val="68CF442F"/>
    <w:rsid w:val="68DD30D5"/>
    <w:rsid w:val="69605A13"/>
    <w:rsid w:val="697E5441"/>
    <w:rsid w:val="69983CE0"/>
    <w:rsid w:val="6A170C9A"/>
    <w:rsid w:val="6A1C1694"/>
    <w:rsid w:val="6A303461"/>
    <w:rsid w:val="6A751DB0"/>
    <w:rsid w:val="6A84029F"/>
    <w:rsid w:val="6AB95533"/>
    <w:rsid w:val="6AEB755E"/>
    <w:rsid w:val="6B037E0E"/>
    <w:rsid w:val="6B405CD9"/>
    <w:rsid w:val="6B6F4633"/>
    <w:rsid w:val="6B881251"/>
    <w:rsid w:val="6BA54610"/>
    <w:rsid w:val="6BDD2B0A"/>
    <w:rsid w:val="6BDE41BB"/>
    <w:rsid w:val="6BE7725D"/>
    <w:rsid w:val="6BF40AC7"/>
    <w:rsid w:val="6C5462A8"/>
    <w:rsid w:val="6C700348"/>
    <w:rsid w:val="6C7041BF"/>
    <w:rsid w:val="6C917FD7"/>
    <w:rsid w:val="6D922AA9"/>
    <w:rsid w:val="6DB304B6"/>
    <w:rsid w:val="6DEE183F"/>
    <w:rsid w:val="6E401402"/>
    <w:rsid w:val="6F3574FF"/>
    <w:rsid w:val="6F6618A9"/>
    <w:rsid w:val="6F6F7A6D"/>
    <w:rsid w:val="6F711F0A"/>
    <w:rsid w:val="6F9779A3"/>
    <w:rsid w:val="6FBB0862"/>
    <w:rsid w:val="70106954"/>
    <w:rsid w:val="702B124D"/>
    <w:rsid w:val="704B5D09"/>
    <w:rsid w:val="70657DB3"/>
    <w:rsid w:val="70753FA4"/>
    <w:rsid w:val="70A21E30"/>
    <w:rsid w:val="71BB7860"/>
    <w:rsid w:val="71C1726B"/>
    <w:rsid w:val="71CD5C10"/>
    <w:rsid w:val="71F87130"/>
    <w:rsid w:val="72440385"/>
    <w:rsid w:val="72661113"/>
    <w:rsid w:val="728926EB"/>
    <w:rsid w:val="72AA278E"/>
    <w:rsid w:val="72BE189F"/>
    <w:rsid w:val="72CC236B"/>
    <w:rsid w:val="73761484"/>
    <w:rsid w:val="73E55492"/>
    <w:rsid w:val="73EA0CFB"/>
    <w:rsid w:val="743F3C99"/>
    <w:rsid w:val="74451B25"/>
    <w:rsid w:val="74835482"/>
    <w:rsid w:val="7484100E"/>
    <w:rsid w:val="74877DC7"/>
    <w:rsid w:val="74DB35C2"/>
    <w:rsid w:val="75130903"/>
    <w:rsid w:val="757E4C5F"/>
    <w:rsid w:val="75890D8F"/>
    <w:rsid w:val="75B043EA"/>
    <w:rsid w:val="75CD5DE2"/>
    <w:rsid w:val="768A2321"/>
    <w:rsid w:val="76D90F68"/>
    <w:rsid w:val="77004391"/>
    <w:rsid w:val="77280C7C"/>
    <w:rsid w:val="77660E93"/>
    <w:rsid w:val="77A613DD"/>
    <w:rsid w:val="77B74817"/>
    <w:rsid w:val="77BB58EB"/>
    <w:rsid w:val="77C1540B"/>
    <w:rsid w:val="783E7320"/>
    <w:rsid w:val="784251DF"/>
    <w:rsid w:val="78C43643"/>
    <w:rsid w:val="78CB19C0"/>
    <w:rsid w:val="78E236CB"/>
    <w:rsid w:val="78F35EFE"/>
    <w:rsid w:val="78FF5669"/>
    <w:rsid w:val="793275BA"/>
    <w:rsid w:val="799463FA"/>
    <w:rsid w:val="79A724F1"/>
    <w:rsid w:val="79A77710"/>
    <w:rsid w:val="79A92E6E"/>
    <w:rsid w:val="79AC25AE"/>
    <w:rsid w:val="79B53B59"/>
    <w:rsid w:val="79BC0732"/>
    <w:rsid w:val="79C1605A"/>
    <w:rsid w:val="7A4B7878"/>
    <w:rsid w:val="7A6D100D"/>
    <w:rsid w:val="7AA65250"/>
    <w:rsid w:val="7B0408F4"/>
    <w:rsid w:val="7B27C178"/>
    <w:rsid w:val="7B4231CA"/>
    <w:rsid w:val="7B825670"/>
    <w:rsid w:val="7B946370"/>
    <w:rsid w:val="7C3F1529"/>
    <w:rsid w:val="7C5F16F8"/>
    <w:rsid w:val="7C6929D9"/>
    <w:rsid w:val="7C9D3E10"/>
    <w:rsid w:val="7CA82FB1"/>
    <w:rsid w:val="7CAF2E48"/>
    <w:rsid w:val="7CB05869"/>
    <w:rsid w:val="7CB122FF"/>
    <w:rsid w:val="7D1E5AD5"/>
    <w:rsid w:val="7D5F593E"/>
    <w:rsid w:val="7DA05FAF"/>
    <w:rsid w:val="7DBA67DE"/>
    <w:rsid w:val="7DF53ACA"/>
    <w:rsid w:val="7DF54C23"/>
    <w:rsid w:val="7DF7159A"/>
    <w:rsid w:val="7E5E2768"/>
    <w:rsid w:val="7E5FD3E5"/>
    <w:rsid w:val="7E7C50A3"/>
    <w:rsid w:val="7F0E4C61"/>
    <w:rsid w:val="7F494EC2"/>
    <w:rsid w:val="7F546548"/>
    <w:rsid w:val="7F7F4C0B"/>
    <w:rsid w:val="7FD50AB1"/>
    <w:rsid w:val="7FEC5DFB"/>
    <w:rsid w:val="CFE705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iPriority="39"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99"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jc w:val="center"/>
      <w:outlineLvl w:val="0"/>
    </w:pPr>
    <w:rPr>
      <w:rFonts w:ascii="楷体_GB2312" w:eastAsia="楷体_GB2312"/>
      <w:szCs w:val="28"/>
    </w:rPr>
  </w:style>
  <w:style w:type="paragraph" w:styleId="3">
    <w:name w:val="heading 2"/>
    <w:basedOn w:val="1"/>
    <w:next w:val="4"/>
    <w:autoRedefine/>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21">
    <w:name w:val="Default Paragraph Font"/>
    <w:autoRedefine/>
    <w:semiHidden/>
    <w:unhideWhenUsed/>
    <w:qFormat/>
    <w:uiPriority w:val="1"/>
  </w:style>
  <w:style w:type="table" w:default="1" w:styleId="19">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pPr>
    <w:rPr>
      <w:rFonts w:ascii="Times New Roman" w:eastAsia="宋体"/>
      <w:szCs w:val="20"/>
    </w:rPr>
  </w:style>
  <w:style w:type="paragraph" w:styleId="5">
    <w:name w:val="annotation text"/>
    <w:basedOn w:val="1"/>
    <w:autoRedefine/>
    <w:qFormat/>
    <w:uiPriority w:val="0"/>
    <w:pPr>
      <w:jc w:val="left"/>
    </w:pPr>
  </w:style>
  <w:style w:type="paragraph" w:styleId="6">
    <w:name w:val="Body Text"/>
    <w:basedOn w:val="1"/>
    <w:next w:val="7"/>
    <w:semiHidden/>
    <w:qFormat/>
    <w:uiPriority w:val="0"/>
    <w:rPr>
      <w:rFonts w:ascii="仿宋" w:hAnsi="仿宋" w:eastAsia="仿宋" w:cs="仿宋"/>
      <w:sz w:val="31"/>
      <w:szCs w:val="31"/>
      <w:lang w:val="en-US" w:eastAsia="en-US" w:bidi="ar-SA"/>
    </w:rPr>
  </w:style>
  <w:style w:type="paragraph" w:customStyle="1" w:styleId="7">
    <w:name w:val="一级条标题"/>
    <w:basedOn w:val="8"/>
    <w:next w:val="9"/>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8">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rPr>
  </w:style>
  <w:style w:type="paragraph" w:customStyle="1" w:styleId="9">
    <w:name w:val="段"/>
    <w:next w:val="10"/>
    <w:qFormat/>
    <w:uiPriority w:val="0"/>
    <w:pPr>
      <w:widowControl w:val="0"/>
      <w:ind w:firstLine="200"/>
      <w:jc w:val="both"/>
    </w:pPr>
    <w:rPr>
      <w:rFonts w:hint="default" w:ascii="宋体" w:hAnsi="宋体" w:eastAsia="宋体" w:cs="宋体"/>
      <w:color w:val="000000"/>
      <w:sz w:val="21"/>
      <w:szCs w:val="21"/>
    </w:rPr>
  </w:style>
  <w:style w:type="paragraph" w:customStyle="1" w:styleId="10">
    <w:name w:val="正文 A"/>
    <w:next w:val="9"/>
    <w:qFormat/>
    <w:uiPriority w:val="0"/>
    <w:pPr>
      <w:widowControl w:val="0"/>
      <w:jc w:val="both"/>
    </w:pPr>
    <w:rPr>
      <w:rFonts w:hint="default" w:ascii="Calibri" w:hAnsi="Calibri" w:eastAsia="Calibri" w:cs="Calibri"/>
      <w:color w:val="000000"/>
      <w:sz w:val="21"/>
      <w:szCs w:val="21"/>
    </w:rPr>
  </w:style>
  <w:style w:type="paragraph" w:styleId="11">
    <w:name w:val="Body Text Indent"/>
    <w:basedOn w:val="1"/>
    <w:next w:val="12"/>
    <w:unhideWhenUsed/>
    <w:qFormat/>
    <w:uiPriority w:val="0"/>
    <w:pPr>
      <w:spacing w:after="120"/>
      <w:ind w:left="420" w:leftChars="200"/>
    </w:pPr>
  </w:style>
  <w:style w:type="paragraph" w:styleId="12">
    <w:name w:val="envelope return"/>
    <w:basedOn w:val="1"/>
    <w:qFormat/>
    <w:uiPriority w:val="0"/>
    <w:rPr>
      <w:rFonts w:ascii="Arial" w:hAnsi="Arial"/>
    </w:rPr>
  </w:style>
  <w:style w:type="paragraph" w:styleId="13">
    <w:name w:val="Block Text"/>
    <w:basedOn w:val="1"/>
    <w:unhideWhenUsed/>
    <w:qFormat/>
    <w:uiPriority w:val="99"/>
    <w:pPr>
      <w:spacing w:before="100" w:beforeAutospacing="1" w:after="100" w:afterAutospacing="1"/>
      <w:ind w:left="256" w:right="6" w:firstLine="624"/>
    </w:pPr>
    <w:rPr>
      <w:rFonts w:ascii="Times New Roman" w:hAnsi="Times New Roman" w:eastAsia="仿宋"/>
      <w:szCs w:val="28"/>
    </w:rPr>
  </w:style>
  <w:style w:type="paragraph" w:styleId="14">
    <w:name w:val="footer"/>
    <w:basedOn w:val="1"/>
    <w:link w:val="25"/>
    <w:autoRedefine/>
    <w:qFormat/>
    <w:uiPriority w:val="0"/>
    <w:pPr>
      <w:tabs>
        <w:tab w:val="center" w:pos="4153"/>
        <w:tab w:val="right" w:pos="8306"/>
      </w:tabs>
      <w:snapToGrid w:val="0"/>
      <w:jc w:val="left"/>
    </w:pPr>
    <w:rPr>
      <w:sz w:val="18"/>
      <w:szCs w:val="18"/>
    </w:rPr>
  </w:style>
  <w:style w:type="paragraph" w:styleId="15">
    <w:name w:val="header"/>
    <w:basedOn w:val="1"/>
    <w:link w:val="24"/>
    <w:autoRedefine/>
    <w:qFormat/>
    <w:uiPriority w:val="0"/>
    <w:pPr>
      <w:pBdr>
        <w:bottom w:val="single" w:color="auto" w:sz="6" w:space="1"/>
      </w:pBdr>
      <w:tabs>
        <w:tab w:val="center" w:pos="4153"/>
        <w:tab w:val="right" w:pos="8306"/>
      </w:tabs>
      <w:snapToGrid w:val="0"/>
      <w:jc w:val="center"/>
    </w:pPr>
    <w:rPr>
      <w:sz w:val="18"/>
      <w:szCs w:val="18"/>
    </w:rPr>
  </w:style>
  <w:style w:type="paragraph" w:styleId="16">
    <w:name w:val="toc 6"/>
    <w:basedOn w:val="1"/>
    <w:next w:val="1"/>
    <w:unhideWhenUsed/>
    <w:qFormat/>
    <w:uiPriority w:val="39"/>
    <w:pPr>
      <w:spacing w:after="57"/>
      <w:ind w:left="1417"/>
    </w:pPr>
  </w:style>
  <w:style w:type="paragraph" w:styleId="17">
    <w:name w:val="Normal (Web)"/>
    <w:basedOn w:val="1"/>
    <w:autoRedefine/>
    <w:qFormat/>
    <w:uiPriority w:val="0"/>
    <w:pPr>
      <w:spacing w:beforeAutospacing="1" w:afterAutospacing="1"/>
      <w:jc w:val="left"/>
    </w:pPr>
    <w:rPr>
      <w:rFonts w:cs="Times New Roman"/>
      <w:kern w:val="0"/>
      <w:sz w:val="24"/>
    </w:rPr>
  </w:style>
  <w:style w:type="paragraph" w:styleId="18">
    <w:name w:val="Body Text First Indent"/>
    <w:basedOn w:val="1"/>
    <w:next w:val="16"/>
    <w:qFormat/>
    <w:uiPriority w:val="0"/>
    <w:pPr>
      <w:spacing w:line="360" w:lineRule="auto"/>
      <w:ind w:firstLine="200"/>
    </w:pPr>
    <w:rPr>
      <w:rFonts w:ascii="仿宋_GB2312" w:hAnsi="Times New Roman" w:eastAsia="仿宋_GB2312"/>
      <w:sz w:val="30"/>
      <w:szCs w:val="30"/>
    </w:rPr>
  </w:style>
  <w:style w:type="table" w:styleId="20">
    <w:name w:val="Table Grid"/>
    <w:basedOn w:val="19"/>
    <w:qFormat/>
    <w:uiPriority w:val="39"/>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
    <w:name w:val="Emphasis"/>
    <w:qFormat/>
    <w:uiPriority w:val="0"/>
    <w:rPr>
      <w:i/>
    </w:rPr>
  </w:style>
  <w:style w:type="paragraph" w:customStyle="1" w:styleId="23">
    <w:name w:val="Default"/>
    <w:basedOn w:val="1"/>
    <w:semiHidden/>
    <w:qFormat/>
    <w:uiPriority w:val="0"/>
    <w:pPr>
      <w:autoSpaceDE w:val="0"/>
      <w:autoSpaceDN w:val="0"/>
      <w:adjustRightInd w:val="0"/>
      <w:jc w:val="left"/>
    </w:pPr>
    <w:rPr>
      <w:rFonts w:ascii="宋体" w:hAnsi="Calibri" w:cs="宋体"/>
      <w:color w:val="000000"/>
      <w:kern w:val="0"/>
      <w:sz w:val="24"/>
    </w:rPr>
  </w:style>
  <w:style w:type="character" w:customStyle="1" w:styleId="24">
    <w:name w:val="页眉 Char"/>
    <w:basedOn w:val="21"/>
    <w:link w:val="15"/>
    <w:autoRedefine/>
    <w:qFormat/>
    <w:uiPriority w:val="0"/>
    <w:rPr>
      <w:rFonts w:asciiTheme="minorHAnsi" w:hAnsiTheme="minorHAnsi" w:eastAsiaTheme="minorEastAsia" w:cstheme="minorBidi"/>
      <w:kern w:val="2"/>
      <w:sz w:val="18"/>
      <w:szCs w:val="18"/>
    </w:rPr>
  </w:style>
  <w:style w:type="character" w:customStyle="1" w:styleId="25">
    <w:name w:val="页脚 Char"/>
    <w:basedOn w:val="21"/>
    <w:link w:val="14"/>
    <w:autoRedefine/>
    <w:qFormat/>
    <w:uiPriority w:val="0"/>
    <w:rPr>
      <w:rFonts w:asciiTheme="minorHAnsi" w:hAnsiTheme="minorHAnsi" w:eastAsiaTheme="minorEastAsia" w:cstheme="minorBidi"/>
      <w:kern w:val="2"/>
      <w:sz w:val="18"/>
      <w:szCs w:val="18"/>
    </w:rPr>
  </w:style>
  <w:style w:type="paragraph" w:customStyle="1" w:styleId="26">
    <w:name w:val="普通正文"/>
    <w:basedOn w:val="1"/>
    <w:autoRedefine/>
    <w:qFormat/>
    <w:uiPriority w:val="0"/>
    <w:pPr>
      <w:adjustRightInd w:val="0"/>
      <w:spacing w:before="120" w:after="120" w:line="360" w:lineRule="auto"/>
      <w:ind w:firstLine="480"/>
      <w:jc w:val="left"/>
    </w:pPr>
    <w:rPr>
      <w:rFonts w:ascii="Arial" w:hAnsi="Arial" w:eastAsia="等线" w:cs="Arial"/>
      <w:sz w:val="24"/>
      <w:szCs w:val="24"/>
    </w:rPr>
  </w:style>
  <w:style w:type="paragraph" w:customStyle="1" w:styleId="27">
    <w:name w:val="正文首行缩进 21"/>
    <w:basedOn w:val="28"/>
    <w:qFormat/>
    <w:uiPriority w:val="0"/>
    <w:pPr>
      <w:ind w:firstLine="420"/>
    </w:pPr>
  </w:style>
  <w:style w:type="paragraph" w:customStyle="1" w:styleId="28">
    <w:name w:val="正文文本缩进1"/>
    <w:basedOn w:val="1"/>
    <w:qFormat/>
    <w:uiPriority w:val="0"/>
    <w:pPr>
      <w:spacing w:after="120"/>
      <w:ind w:left="420"/>
    </w:pPr>
  </w:style>
  <w:style w:type="paragraph" w:customStyle="1" w:styleId="29">
    <w:name w:val="表格文字"/>
    <w:basedOn w:val="1"/>
    <w:qFormat/>
    <w:uiPriority w:val="0"/>
    <w:pPr>
      <w:ind w:firstLine="0" w:firstLineChars="0"/>
    </w:pPr>
    <w:rPr>
      <w:rFonts w:ascii="宋体" w:hAnsi="宋体" w:cs="宋体"/>
    </w:rPr>
  </w:style>
  <w:style w:type="paragraph" w:customStyle="1" w:styleId="30">
    <w:name w:val="Table Paragraph"/>
    <w:basedOn w:val="1"/>
    <w:autoRedefine/>
    <w:qFormat/>
    <w:uiPriority w:val="0"/>
    <w:pPr>
      <w:autoSpaceDE w:val="0"/>
      <w:autoSpaceDN w:val="0"/>
      <w:jc w:val="left"/>
    </w:pPr>
    <w:rPr>
      <w:rFonts w:ascii="宋体" w:hAnsi="宋体" w:cs="宋体"/>
      <w:kern w:val="0"/>
      <w:sz w:val="22"/>
      <w:szCs w:val="22"/>
      <w:lang w:val="zh-CN" w:bidi="zh-CN"/>
    </w:rPr>
  </w:style>
  <w:style w:type="paragraph" w:styleId="31">
    <w:name w:val="List Paragraph"/>
    <w:basedOn w:val="1"/>
    <w:qFormat/>
    <w:uiPriority w:val="34"/>
    <w:pPr>
      <w:ind w:left="720"/>
      <w:contextualSpacing/>
    </w:pPr>
  </w:style>
  <w:style w:type="paragraph" w:customStyle="1" w:styleId="32">
    <w:name w:val="正文空2格  1."/>
    <w:basedOn w:val="1"/>
    <w:qFormat/>
    <w:uiPriority w:val="0"/>
    <w:pPr>
      <w:ind w:firstLine="480" w:firstLineChars="200"/>
    </w:pPr>
    <w:rPr>
      <w:rFonts w:cs="宋体"/>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44</Pages>
  <Words>27595</Words>
  <Characters>29185</Characters>
  <Lines>167</Lines>
  <Paragraphs>47</Paragraphs>
  <TotalTime>39</TotalTime>
  <ScaleCrop>false</ScaleCrop>
  <LinksUpToDate>false</LinksUpToDate>
  <CharactersWithSpaces>31011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2014-10-29T20:08:00Z</dcterms:created>
  <dc:creator>正式环境陈艳测试账号</dc:creator>
  <cp:lastModifiedBy>Lee-BoxeR</cp:lastModifiedBy>
  <cp:lastPrinted>2026-06-04T07:33:00Z</cp:lastPrinted>
  <dcterms:modified xsi:type="dcterms:W3CDTF">2026-06-11T09:20:23Z</dcterms:modified>
  <cp:revision>272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65759699444F44BBBFCCC89CEABA8F49_13</vt:lpwstr>
  </property>
  <property fmtid="{D5CDD505-2E9C-101B-9397-08002B2CF9AE}" pid="4" name="KSOTemplateDocerSaveRecord">
    <vt:lpwstr>eyJoZGlkIjoiM2Y0ODFmNDM2NTVkMTc3MGRiOTY0ZTRmZWY1ZjUyY2IiLCJ1c2VySWQiOiI2NzEzMjE2OTMifQ==</vt:lpwstr>
  </property>
</Properties>
</file>