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3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637"/>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项目名称：2026年江苏省学生常见病和健康影响因素监测与干预系统升级</w:t>
      </w:r>
      <w:r>
        <w:rPr>
          <w:rFonts w:hint="eastAsia" w:ascii="Arial" w:hAnsi="Arial"/>
          <w:b/>
          <w:bCs/>
          <w:sz w:val="32"/>
          <w:szCs w:val="24"/>
        </w:rPr>
      </w:r>
      <w:r/>
    </w:p>
    <w:p>
      <w:pPr>
        <w:pStyle w:val="637"/>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eastAsia="宋体" w:cs="Times New Roman"/>
          <w:b/>
          <w:bCs/>
          <w:sz w:val="32"/>
          <w:szCs w:val="24"/>
        </w:rPr>
        <w:t xml:space="preserve">JSZC-320000-SCZX-D2026-0305</w:t>
      </w:r>
      <w:r>
        <w:rPr>
          <w:rFonts w:ascii="Arial" w:hAnsi="Arial"/>
          <w:b/>
          <w:bCs/>
          <w:sz w:val="32"/>
          <w:szCs w:val="24"/>
        </w:rPr>
      </w:r>
      <w:r/>
    </w:p>
    <w:p>
      <w:pPr>
        <w:pStyle w:val="637"/>
        <w:jc w:val="left"/>
        <w:spacing w:line="360" w:lineRule="auto"/>
        <w:rPr>
          <w:rFonts w:hint="eastAsia" w:ascii="宋体" w:hAnsi="宋体"/>
          <w:sz w:val="24"/>
          <w:szCs w:val="24"/>
        </w:rPr>
      </w:pPr>
      <w:r>
        <w:rPr>
          <w:rFonts w:hint="eastAsia" w:ascii="宋体" w:hAnsi="宋体"/>
          <w:sz w:val="24"/>
          <w:szCs w:val="24"/>
        </w:rPr>
      </w:r>
      <w:r/>
    </w:p>
    <w:p>
      <w:pPr>
        <w:pStyle w:val="637"/>
        <w:jc w:val="left"/>
        <w:spacing w:line="360" w:lineRule="auto"/>
        <w:rPr>
          <w:rFonts w:hint="eastAsia" w:ascii="宋体" w:hAnsi="宋体"/>
          <w:sz w:val="24"/>
          <w:szCs w:val="24"/>
        </w:rPr>
      </w:pPr>
      <w:r>
        <w:rPr>
          <w:rFonts w:hint="eastAsia" w:ascii="宋体" w:hAnsi="宋体"/>
          <w:sz w:val="24"/>
          <w:szCs w:val="24"/>
        </w:rPr>
      </w:r>
      <w:r/>
    </w:p>
    <w:p>
      <w:pPr>
        <w:pStyle w:val="637"/>
        <w:jc w:val="left"/>
        <w:spacing w:line="360" w:lineRule="auto"/>
        <w:rPr>
          <w:rFonts w:hint="eastAsia" w:ascii="宋体" w:hAnsi="宋体"/>
          <w:sz w:val="24"/>
          <w:szCs w:val="24"/>
        </w:rPr>
      </w:pPr>
      <w:r>
        <w:rPr>
          <w:rFonts w:hint="eastAsia" w:ascii="宋体" w:hAnsi="宋体"/>
          <w:sz w:val="24"/>
          <w:szCs w:val="24"/>
        </w:rPr>
      </w:r>
      <w:r/>
    </w:p>
    <w:p>
      <w:pPr>
        <w:pStyle w:val="637"/>
        <w:jc w:val="left"/>
        <w:spacing w:line="360" w:lineRule="auto"/>
        <w:rPr>
          <w:rFonts w:hint="eastAsia" w:ascii="宋体" w:hAnsi="宋体"/>
          <w:sz w:val="24"/>
          <w:szCs w:val="24"/>
        </w:rPr>
      </w:pPr>
      <w:r>
        <w:rPr>
          <w:rFonts w:hint="eastAsia" w:ascii="宋体" w:hAnsi="宋体"/>
          <w:sz w:val="24"/>
          <w:szCs w:val="24"/>
        </w:rPr>
      </w:r>
      <w:r/>
    </w:p>
    <w:p>
      <w:pPr>
        <w:pStyle w:val="637"/>
        <w:jc w:val="left"/>
        <w:spacing w:line="360" w:lineRule="auto"/>
        <w:rPr>
          <w:rFonts w:hint="eastAsia" w:ascii="宋体" w:hAnsi="宋体"/>
          <w:sz w:val="24"/>
          <w:szCs w:val="24"/>
        </w:rPr>
      </w:pPr>
      <w:r>
        <w:rPr>
          <w:rFonts w:hint="eastAsia" w:ascii="宋体" w:hAnsi="宋体"/>
          <w:sz w:val="24"/>
          <w:szCs w:val="24"/>
        </w:rPr>
      </w:r>
      <w:r/>
    </w:p>
    <w:p>
      <w:pPr>
        <w:pStyle w:val="637"/>
        <w:jc w:val="left"/>
        <w:spacing w:line="360" w:lineRule="auto"/>
        <w:rPr>
          <w:rFonts w:hint="eastAsia" w:ascii="宋体" w:hAnsi="宋体"/>
          <w:sz w:val="24"/>
          <w:szCs w:val="24"/>
        </w:rPr>
      </w:pPr>
      <w:r>
        <w:rPr>
          <w:rFonts w:hint="eastAsia" w:ascii="宋体" w:hAnsi="宋体"/>
          <w:sz w:val="24"/>
          <w:szCs w:val="24"/>
        </w:rPr>
      </w:r>
      <w:r/>
    </w:p>
    <w:p>
      <w:pPr>
        <w:pStyle w:val="637"/>
        <w:jc w:val="left"/>
        <w:spacing w:line="360" w:lineRule="auto"/>
        <w:rPr>
          <w:rFonts w:hint="eastAsia" w:ascii="宋体" w:hAnsi="宋体"/>
          <w:sz w:val="24"/>
          <w:szCs w:val="24"/>
        </w:rPr>
      </w:pPr>
      <w:r>
        <w:rPr>
          <w:rFonts w:hint="eastAsia" w:ascii="宋体" w:hAnsi="宋体"/>
          <w:sz w:val="24"/>
          <w:szCs w:val="24"/>
        </w:rPr>
      </w:r>
      <w:r/>
    </w:p>
    <w:p>
      <w:pPr>
        <w:pStyle w:val="637"/>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637"/>
        <w:jc w:val="center"/>
        <w:spacing w:before="120" w:after="120" w:line="360" w:lineRule="auto"/>
        <w:rPr>
          <w:rFonts w:hint="eastAsia" w:ascii="Arial" w:hAnsi="Arial"/>
          <w:b/>
          <w:bCs/>
          <w:sz w:val="32"/>
          <w:szCs w:val="24"/>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rPr>
      </w:r>
      <w:r/>
    </w:p>
    <w:p>
      <w:pPr>
        <w:pStyle w:val="63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37"/>
        <w:jc w:val="center"/>
        <w:spacing w:before="120" w:after="120" w:line="360" w:lineRule="auto"/>
        <w:rPr>
          <w:rFonts w:hint="eastAsia" w:ascii="Arial" w:hAnsi="Arial"/>
          <w:sz w:val="24"/>
          <w:szCs w:val="24"/>
        </w:rPr>
      </w:pPr>
      <w:r>
        <w:rPr>
          <w:rFonts w:hint="eastAsia" w:ascii="Arial" w:hAnsi="Arial"/>
          <w:sz w:val="24"/>
          <w:szCs w:val="24"/>
        </w:rPr>
      </w:r>
      <w:r/>
    </w:p>
    <w:p>
      <w:pPr>
        <w:pStyle w:val="637"/>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63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3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w:t>
      </w:r>
      <w:r>
        <w:rPr>
          <w:rFonts w:hint="eastAsia" w:ascii="黑体" w:hAnsi="Showcard Gothic" w:eastAsia="黑体"/>
          <w:sz w:val="32"/>
          <w:szCs w:val="21"/>
        </w:rPr>
      </w:r>
      <w:r/>
    </w:p>
    <w:p>
      <w:pPr>
        <w:pStyle w:val="63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3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16</w:t>
      </w:r>
      <w:r>
        <w:rPr>
          <w:rFonts w:hint="eastAsia" w:ascii="黑体" w:hAnsi="Showcard Gothic" w:eastAsia="黑体"/>
          <w:sz w:val="36"/>
          <w:szCs w:val="21"/>
        </w:rPr>
      </w:r>
      <w:r/>
    </w:p>
    <w:p>
      <w:pPr>
        <w:pStyle w:val="63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19</w:t>
      </w:r>
      <w:r>
        <w:rPr>
          <w:rFonts w:hint="eastAsia" w:ascii="黑体" w:hAnsi="Showcard Gothic" w:eastAsia="黑体"/>
          <w:sz w:val="36"/>
          <w:szCs w:val="21"/>
        </w:rPr>
      </w:r>
      <w:r/>
    </w:p>
    <w:p>
      <w:pPr>
        <w:pStyle w:val="63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100</w:t>
      </w:r>
      <w:r>
        <w:rPr>
          <w:rFonts w:hint="eastAsia" w:ascii="黑体" w:hAnsi="Showcard Gothic" w:eastAsia="黑体"/>
          <w:sz w:val="36"/>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rPr>
          <w:rFonts w:hint="eastAsia" w:ascii="Times New Roman" w:hAnsi="Times New Roman"/>
          <w:szCs w:val="21"/>
        </w:rPr>
      </w:pPr>
      <w:r>
        <w:rPr>
          <w:rFonts w:hint="eastAsia" w:ascii="Times New Roman" w:hAnsi="Times New Roman"/>
          <w:szCs w:val="21"/>
        </w:rPr>
      </w:r>
      <w:r/>
    </w:p>
    <w:p>
      <w:pPr>
        <w:pStyle w:val="637"/>
        <w:jc w:val="center"/>
        <w:keepNext/>
        <w:rPr>
          <w:rFonts w:ascii="黑体" w:hAnsi="Times New Roman" w:eastAsia="黑体"/>
          <w:sz w:val="44"/>
          <w:szCs w:val="44"/>
        </w:rPr>
        <w:outlineLvl w:val="0"/>
      </w:pPr>
      <w:r>
        <w:rPr>
          <w:rFonts w:ascii="黑体" w:hAnsi="Times New Roman" w:eastAsia="黑体"/>
          <w:sz w:val="44"/>
          <w:szCs w:val="44"/>
        </w:rPr>
      </w:r>
      <w:r/>
    </w:p>
    <w:p>
      <w:pPr>
        <w:pStyle w:val="637"/>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637"/>
        <w:ind w:firstLine="480"/>
        <w:rPr>
          <w:rFonts w:ascii="宋体" w:hAnsi="宋体"/>
          <w:sz w:val="24"/>
          <w:szCs w:val="24"/>
        </w:rPr>
      </w:pPr>
      <w:r>
        <w:rPr>
          <w:rFonts w:hint="eastAsia" w:ascii="宋体" w:hAnsi="宋体"/>
          <w:sz w:val="24"/>
          <w:szCs w:val="24"/>
        </w:rPr>
        <w:t xml:space="preserve">受[江苏省疾病预防控制中心]的委托，江苏省政府采购中心就[2026年江苏省学生常见病和健康影响因素监测与干预系统升级](JSZC-320000-SCZX-D2026-0305)项目进行单一来源采购，</w:t>
      </w:r>
      <w:r>
        <w:rPr>
          <w:rFonts w:hint="eastAsia" w:ascii="宋体" w:hAnsi="宋体"/>
          <w:bCs/>
          <w:sz w:val="24"/>
        </w:rPr>
        <w:t xml:space="preserve">欢迎符合相关条件的合格供应商参加采购活动。</w:t>
      </w:r>
      <w:r>
        <w:rPr>
          <w:rFonts w:ascii="宋体" w:hAnsi="宋体"/>
          <w:sz w:val="24"/>
          <w:szCs w:val="24"/>
        </w:rPr>
      </w:r>
      <w:r/>
    </w:p>
    <w:p>
      <w:pPr>
        <w:pStyle w:val="637"/>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37"/>
        <w:ind w:firstLine="480"/>
        <w:rPr>
          <w:rFonts w:ascii="宋体" w:hAnsi="宋体"/>
          <w:sz w:val="24"/>
          <w:szCs w:val="24"/>
        </w:rPr>
      </w:pPr>
      <w:r>
        <w:rPr>
          <w:rFonts w:hint="eastAsia" w:ascii="宋体" w:hAnsi="宋体"/>
          <w:sz w:val="24"/>
          <w:szCs w:val="24"/>
        </w:rPr>
        <w:t xml:space="preserve">1.项目编号：JSZC-320000-SCZX-D2026-0305</w:t>
      </w:r>
      <w:r>
        <w:rPr>
          <w:rFonts w:ascii="宋体" w:hAnsi="宋体"/>
          <w:sz w:val="24"/>
          <w:szCs w:val="24"/>
        </w:rPr>
      </w:r>
      <w:r/>
    </w:p>
    <w:p>
      <w:pPr>
        <w:pStyle w:val="637"/>
        <w:ind w:firstLine="480"/>
        <w:rPr>
          <w:rFonts w:ascii="宋体" w:hAnsi="宋体"/>
          <w:sz w:val="24"/>
          <w:szCs w:val="24"/>
        </w:rPr>
      </w:pPr>
      <w:r>
        <w:rPr>
          <w:rFonts w:hint="eastAsia" w:ascii="宋体" w:hAnsi="宋体"/>
          <w:sz w:val="24"/>
          <w:szCs w:val="24"/>
        </w:rPr>
        <w:t xml:space="preserve">2.项目名称：2026年江苏省学生常见病和健康影响因素监测与干预系统升级</w:t>
      </w:r>
      <w:r>
        <w:rPr>
          <w:rFonts w:ascii="宋体" w:hAnsi="宋体"/>
          <w:sz w:val="24"/>
          <w:szCs w:val="24"/>
        </w:rPr>
      </w:r>
      <w:r/>
    </w:p>
    <w:p>
      <w:pPr>
        <w:pStyle w:val="637"/>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37"/>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800" w:type="dxa"/>
            <w:vAlign w:val="top"/>
            <w:textDirection w:val="lrTb"/>
            <w:noWrap w:val="false"/>
          </w:tcPr>
          <w:p>
            <w:pPr>
              <w:pStyle w:val="637"/>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637"/>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637"/>
              <w:jc w:val="center"/>
              <w:rPr>
                <w:rFonts w:ascii="宋体" w:hAnsi="宋体" w:eastAsia="宋体"/>
                <w:szCs w:val="21"/>
                <w:lang w:val="en-US" w:eastAsia="zh-CN"/>
              </w:rPr>
            </w:pPr>
            <w:r>
              <w:rPr>
                <w:rFonts w:hint="eastAsia" w:ascii="宋体" w:hAnsi="宋体"/>
                <w:szCs w:val="21"/>
                <w:lang w:val="en-US" w:eastAsia="zh-CN"/>
              </w:rPr>
              <w:t xml:space="preserve">38.5</w:t>
            </w:r>
            <w:r>
              <w:rPr>
                <w:rFonts w:ascii="宋体" w:hAnsi="宋体" w:eastAsia="宋体"/>
                <w:szCs w:val="21"/>
                <w:lang w:val="en-US" w:eastAsia="zh-CN"/>
              </w:rPr>
            </w:r>
            <w:r/>
          </w:p>
        </w:tc>
      </w:tr>
    </w:tbl>
    <w:p>
      <w:pPr>
        <w:pStyle w:val="637"/>
        <w:ind w:firstLine="480"/>
        <w:rPr>
          <w:rFonts w:ascii="宋体" w:hAnsi="宋体"/>
          <w:sz w:val="24"/>
          <w:szCs w:val="24"/>
          <w:u w:val="single"/>
        </w:rPr>
      </w:pPr>
      <w:r>
        <w:rPr>
          <w:rFonts w:hint="eastAsia" w:ascii="宋体" w:hAnsi="宋体"/>
          <w:sz w:val="24"/>
          <w:szCs w:val="24"/>
        </w:rPr>
        <w:t xml:space="preserve">4.采购需求（简介）：</w:t>
      </w:r>
      <w:r>
        <w:rPr>
          <w:rFonts w:hint="eastAsia" w:ascii="宋体" w:hAnsi="宋体" w:cs="宋体"/>
          <w:sz w:val="24"/>
          <w:szCs w:val="24"/>
        </w:rPr>
        <w:t xml:space="preserve">详细内容见本采购文件第四章</w:t>
      </w:r>
      <w:r>
        <w:rPr>
          <w:rFonts w:ascii="宋体" w:hAnsi="宋体"/>
          <w:sz w:val="24"/>
          <w:szCs w:val="24"/>
          <w:u w:val="single"/>
        </w:rPr>
      </w:r>
      <w:r/>
    </w:p>
    <w:p>
      <w:pPr>
        <w:pStyle w:val="637"/>
        <w:ind w:firstLine="480"/>
        <w:rPr>
          <w:rFonts w:ascii="宋体" w:hAnsi="宋体"/>
          <w:sz w:val="24"/>
          <w:szCs w:val="24"/>
          <w:u w:val="single"/>
        </w:rPr>
      </w:pPr>
      <w:r>
        <w:rPr>
          <w:rFonts w:hint="eastAsia" w:ascii="宋体" w:hAnsi="宋体"/>
          <w:sz w:val="24"/>
          <w:szCs w:val="24"/>
        </w:rPr>
        <w:t xml:space="preserve">5.合同履行期限：</w:t>
      </w:r>
      <w:r>
        <w:rPr>
          <w:rFonts w:hint="eastAsia" w:ascii="宋体" w:hAnsi="宋体" w:cs="宋体"/>
          <w:sz w:val="24"/>
          <w:szCs w:val="24"/>
        </w:rPr>
        <w:t xml:space="preserve">详细内容见本采购文件第四章</w:t>
      </w:r>
      <w:r>
        <w:rPr>
          <w:rFonts w:ascii="宋体" w:hAnsi="宋体"/>
          <w:sz w:val="24"/>
          <w:szCs w:val="24"/>
          <w:u w:val="single"/>
        </w:rPr>
      </w:r>
      <w:r/>
    </w:p>
    <w:p>
      <w:pPr>
        <w:pStyle w:val="637"/>
        <w:ind w:firstLine="498"/>
        <w:keepLines/>
        <w:keepNext/>
        <w:spacing w:before="156" w:after="156" w:line="360" w:lineRule="auto"/>
        <w:rPr>
          <w:rFonts w:ascii="Times New Roman" w:hAnsi="Times New Roman"/>
          <w:b/>
          <w:bCs/>
          <w:sz w:val="32"/>
          <w:szCs w:val="32"/>
        </w:rPr>
        <w:outlineLvl w:val="2"/>
      </w:pPr>
      <w:r/>
      <w:bookmarkStart w:id="12" w:name="_Toc38985264"/>
      <w:r/>
      <w:bookmarkStart w:id="13" w:name="_Toc35393791"/>
      <w:r/>
      <w:bookmarkStart w:id="14" w:name="_Toc28359003"/>
      <w:r/>
      <w:bookmarkStart w:id="15" w:name="_Toc28359080"/>
      <w:r/>
      <w:bookmarkStart w:id="16" w:name="_Toc35393622"/>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rPr>
          <w:rFonts w:ascii="Times New Roman" w:hAnsi="Times New Roman"/>
          <w:b/>
          <w:bCs/>
          <w:sz w:val="32"/>
          <w:szCs w:val="32"/>
        </w:rPr>
      </w:r>
      <w:r/>
    </w:p>
    <w:p>
      <w:pPr>
        <w:pStyle w:val="637"/>
        <w:ind w:firstLine="480"/>
        <w:rPr>
          <w:rFonts w:hint="eastAsia" w:ascii="宋体" w:hAnsi="宋体"/>
          <w:sz w:val="24"/>
          <w:szCs w:val="24"/>
        </w:rPr>
      </w:pPr>
      <w:r/>
      <w:bookmarkStart w:id="17" w:name="_Toc28359081"/>
      <w:r/>
      <w:bookmarkStart w:id="18" w:name="_Toc35393623"/>
      <w:r/>
      <w:bookmarkStart w:id="19" w:name="_Toc35393792"/>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37"/>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37"/>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37"/>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37"/>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637"/>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37"/>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37"/>
        <w:ind w:firstLine="480"/>
        <w:rPr>
          <w:rFonts w:hint="eastAsia" w:ascii="华文新魏" w:hAnsi="宋体" w:eastAsia="华文新魏"/>
          <w:sz w:val="36"/>
          <w:szCs w:val="36"/>
        </w:rPr>
      </w:pPr>
      <w:r>
        <w:rPr>
          <w:rFonts w:hint="eastAsia" w:ascii="宋体" w:hAnsi="宋体"/>
          <w:sz w:val="24"/>
          <w:szCs w:val="24"/>
        </w:rPr>
        <w:t xml:space="preserve">2. 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华文新魏" w:hAnsi="宋体" w:eastAsia="华文新魏"/>
          <w:sz w:val="36"/>
          <w:szCs w:val="36"/>
        </w:rPr>
      </w:r>
      <w:r/>
    </w:p>
    <w:p>
      <w:pPr>
        <w:pStyle w:val="637"/>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t xml:space="preserve"> </w:t>
      </w:r>
      <w:r>
        <w:rPr>
          <w:rFonts w:ascii="宋体" w:hAnsi="宋体" w:cs="宋体"/>
          <w:sz w:val="24"/>
          <w:szCs w:val="24"/>
        </w:rPr>
      </w:r>
      <w:r/>
    </w:p>
    <w:p>
      <w:pPr>
        <w:pStyle w:val="637"/>
        <w:ind w:firstLine="480"/>
        <w:spacing w:line="360" w:lineRule="auto"/>
        <w:rPr>
          <w:rFonts w:hint="eastAsia" w:ascii="宋体" w:hAnsi="宋体"/>
          <w:color w:val="000000"/>
          <w:sz w:val="24"/>
          <w:szCs w:val="24"/>
        </w:rPr>
      </w:pPr>
      <w:r>
        <w:rPr>
          <w:rFonts w:hint="eastAsia" w:ascii="宋体" w:hAnsi="宋体"/>
          <w:sz w:val="24"/>
          <w:szCs w:val="24"/>
        </w:rPr>
        <w:t xml:space="preserve">4.</w:t>
      </w:r>
      <w:r>
        <w:rPr>
          <w:rFonts w:hint="eastAsia" w:ascii="宋体" w:hAnsi="宋体"/>
          <w:color w:val="000000"/>
          <w:sz w:val="24"/>
          <w:szCs w:val="24"/>
        </w:rPr>
        <w:t xml:space="preserve">联合</w:t>
      </w:r>
      <w:r>
        <w:rPr>
          <w:rFonts w:ascii="宋体" w:hAnsi="宋体"/>
          <w:color w:val="000000"/>
          <w:sz w:val="24"/>
          <w:szCs w:val="24"/>
        </w:rPr>
        <w:t xml:space="preserve">体</w:t>
      </w:r>
      <w:r>
        <w:rPr>
          <w:rFonts w:hint="eastAsia" w:ascii="宋体" w:hAnsi="宋体"/>
          <w:color w:val="000000"/>
          <w:sz w:val="24"/>
          <w:szCs w:val="24"/>
        </w:rPr>
        <w:t xml:space="preserve">参与单一来源采购活动</w:t>
      </w:r>
      <w:r>
        <w:rPr>
          <w:rFonts w:hint="eastAsia"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37"/>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968" w:type="dxa"/>
            <w:vAlign w:val="top"/>
            <w:textDirection w:val="lrTb"/>
            <w:noWrap w:val="false"/>
          </w:tcPr>
          <w:p>
            <w:pPr>
              <w:pStyle w:val="637"/>
              <w:jc w:val="center"/>
              <w:rPr>
                <w:rFonts w:hint="eastAsia" w:ascii="宋体" w:hAnsi="宋体"/>
                <w:szCs w:val="21"/>
              </w:rPr>
            </w:pPr>
            <w:r>
              <w:rPr>
                <w:rFonts w:hint="eastAsia" w:ascii="宋体" w:hAnsi="宋体"/>
                <w:szCs w:val="21"/>
              </w:rPr>
              <w:t xml:space="preserve">是否接受联合体参与单一来源采购活动</w:t>
            </w: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rPr>
                <w:rFonts w:hint="eastAsia" w:ascii="宋体" w:hAnsi="宋体"/>
                <w:szCs w:val="21"/>
              </w:rPr>
            </w:r>
            <w:r/>
          </w:p>
        </w:tc>
        <w:tc>
          <w:tcPr>
            <w:tcW w:w="2967" w:type="dxa"/>
            <w:vAlign w:val="top"/>
            <w:textDirection w:val="lrTb"/>
            <w:noWrap w:val="false"/>
          </w:tcPr>
          <w:p>
            <w:pPr>
              <w:pStyle w:val="637"/>
              <w:jc w:val="center"/>
              <w:rPr>
                <w:rFonts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w:t>
            </w:r>
            <w:r>
              <w:rPr>
                <w:rFonts w:ascii="宋体" w:hAnsi="宋体"/>
                <w:szCs w:val="21"/>
              </w:rPr>
            </w:r>
            <w:r/>
          </w:p>
          <w:p>
            <w:pPr>
              <w:pStyle w:val="637"/>
              <w:jc w:val="center"/>
              <w:rPr>
                <w:rFonts w:hint="eastAsia" w:ascii="宋体" w:hAnsi="宋体"/>
                <w:szCs w:val="21"/>
              </w:rPr>
            </w:pPr>
            <w:r>
              <w:rPr>
                <w:rFonts w:ascii="宋体" w:hAnsi="宋体"/>
                <w:szCs w:val="21"/>
              </w:rPr>
              <w:t xml:space="preserve">成员数量</w:t>
            </w:r>
            <w:r>
              <w:rPr>
                <w:rFonts w:hint="eastAsia" w:ascii="宋体" w:hAnsi="宋体"/>
                <w:szCs w:val="21"/>
              </w:rPr>
              <w:t xml:space="preserve">上限</w:t>
            </w:r>
            <w:r>
              <w:rPr>
                <w:rFonts w:hint="eastAsia" w:ascii="宋体" w:hAnsi="宋体"/>
                <w:szCs w:val="21"/>
              </w:rPr>
            </w:r>
            <w:r/>
          </w:p>
        </w:tc>
      </w:tr>
      <w:tr>
        <w:trPr/>
        <w:tc>
          <w:tcPr>
            <w:tcW w:w="1148" w:type="dxa"/>
            <w:vAlign w:val="top"/>
            <w:textDirection w:val="lrTb"/>
            <w:noWrap w:val="false"/>
          </w:tcPr>
          <w:p>
            <w:pPr>
              <w:pStyle w:val="637"/>
              <w:jc w:val="center"/>
              <w:rPr>
                <w:rFonts w:ascii="宋体" w:hAnsi="宋体"/>
                <w:szCs w:val="21"/>
              </w:rPr>
            </w:pPr>
            <w:r>
              <w:rPr>
                <w:rFonts w:hint="eastAsia" w:ascii="宋体" w:hAnsi="宋体"/>
                <w:szCs w:val="21"/>
              </w:rPr>
              <w:t xml:space="preserve">1</w:t>
            </w:r>
            <w:r>
              <w:rPr>
                <w:rFonts w:ascii="宋体" w:hAnsi="宋体"/>
                <w:szCs w:val="21"/>
              </w:rPr>
            </w:r>
            <w:r/>
          </w:p>
        </w:tc>
        <w:tc>
          <w:tcPr>
            <w:tcW w:w="2968" w:type="dxa"/>
            <w:vAlign w:val="top"/>
            <w:textDirection w:val="lrTb"/>
            <w:noWrap w:val="false"/>
          </w:tcPr>
          <w:p>
            <w:pPr>
              <w:pStyle w:val="637"/>
              <w:jc w:val="center"/>
              <w:rPr>
                <w:rFonts w:hint="eastAsia" w:ascii="宋体" w:hAnsi="宋体" w:eastAsia="宋体"/>
                <w:szCs w:val="21"/>
                <w:lang w:eastAsia="zh-CN"/>
              </w:rPr>
            </w:pPr>
            <w:r>
              <w:rPr>
                <w:rFonts w:hint="eastAsia" w:ascii="宋体" w:hAnsi="宋体"/>
                <w:szCs w:val="21"/>
                <w:lang w:val="en-US" w:eastAsia="zh-CN"/>
              </w:rPr>
              <w:t xml:space="preserve">否</w:t>
            </w:r>
            <w:r>
              <w:rPr>
                <w:rFonts w:hint="eastAsia" w:ascii="宋体" w:hAnsi="宋体" w:eastAsia="宋体"/>
                <w:szCs w:val="21"/>
                <w:lang w:eastAsia="zh-CN"/>
              </w:rPr>
            </w:r>
            <w:r/>
          </w:p>
        </w:tc>
        <w:tc>
          <w:tcPr>
            <w:tcW w:w="2967" w:type="dxa"/>
            <w:vAlign w:val="top"/>
            <w:textDirection w:val="lrTb"/>
            <w:noWrap w:val="false"/>
          </w:tcPr>
          <w:p>
            <w:pPr>
              <w:pStyle w:val="637"/>
              <w:jc w:val="center"/>
              <w:rPr>
                <w:rFonts w:hint="eastAsia" w:ascii="宋体" w:hAnsi="宋体" w:eastAsia="宋体"/>
                <w:szCs w:val="21"/>
                <w:lang w:eastAsia="zh-CN"/>
              </w:rPr>
            </w:pPr>
            <w:r>
              <w:rPr>
                <w:rFonts w:hint="eastAsia" w:ascii="宋体" w:hAnsi="宋体"/>
                <w:szCs w:val="21"/>
                <w:lang w:val="en-US" w:eastAsia="zh-CN"/>
              </w:rPr>
              <w:t xml:space="preserve">/</w:t>
            </w:r>
            <w:r>
              <w:rPr>
                <w:rFonts w:hint="eastAsia" w:ascii="宋体" w:hAnsi="宋体" w:eastAsia="宋体"/>
                <w:szCs w:val="21"/>
                <w:lang w:eastAsia="zh-CN"/>
              </w:rPr>
            </w:r>
            <w:r/>
          </w:p>
        </w:tc>
      </w:tr>
    </w:tbl>
    <w:p>
      <w:pPr>
        <w:pStyle w:val="63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82"/>
      </w:tblGrid>
      <w:tr>
        <w:trPr/>
        <w:tc>
          <w:tcPr>
            <w:tcW w:w="1148" w:type="dxa"/>
            <w:vAlign w:val="top"/>
            <w:textDirection w:val="lrTb"/>
            <w:noWrap w:val="false"/>
          </w:tcPr>
          <w:p>
            <w:pPr>
              <w:pStyle w:val="637"/>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982" w:type="dxa"/>
            <w:vAlign w:val="top"/>
            <w:textDirection w:val="lrTb"/>
            <w:noWrap w:val="false"/>
          </w:tcPr>
          <w:p>
            <w:pPr>
              <w:pStyle w:val="637"/>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rPr>
                <w:rFonts w:hint="eastAsia" w:ascii="宋体" w:hAnsi="宋体"/>
                <w:szCs w:val="21"/>
              </w:rPr>
            </w:r>
            <w:r/>
          </w:p>
        </w:tc>
      </w:tr>
      <w:tr>
        <w:trPr/>
        <w:tc>
          <w:tcPr>
            <w:tcW w:w="1148" w:type="dxa"/>
            <w:vAlign w:val="top"/>
            <w:textDirection w:val="lrTb"/>
            <w:noWrap w:val="false"/>
          </w:tcPr>
          <w:p>
            <w:pPr>
              <w:pStyle w:val="637"/>
              <w:jc w:val="center"/>
              <w:rPr>
                <w:rFonts w:ascii="宋体" w:hAnsi="宋体"/>
                <w:szCs w:val="21"/>
              </w:rPr>
            </w:pPr>
            <w:r>
              <w:rPr>
                <w:rFonts w:hint="eastAsia" w:ascii="宋体" w:hAnsi="宋体"/>
                <w:szCs w:val="21"/>
              </w:rPr>
              <w:t xml:space="preserve">1</w:t>
            </w:r>
            <w:r>
              <w:rPr>
                <w:rFonts w:ascii="宋体" w:hAnsi="宋体"/>
                <w:szCs w:val="21"/>
              </w:rPr>
            </w:r>
            <w:r/>
          </w:p>
        </w:tc>
        <w:tc>
          <w:tcPr>
            <w:tcW w:w="2982" w:type="dxa"/>
            <w:vAlign w:val="top"/>
            <w:textDirection w:val="lrTb"/>
            <w:noWrap w:val="false"/>
          </w:tcPr>
          <w:p>
            <w:pPr>
              <w:pStyle w:val="637"/>
              <w:jc w:val="center"/>
              <w:rPr>
                <w:rFonts w:hint="eastAsia" w:ascii="宋体" w:hAnsi="宋体" w:eastAsia="宋体"/>
                <w:szCs w:val="21"/>
                <w:lang w:eastAsia="zh-CN"/>
              </w:rPr>
            </w:pPr>
            <w:r>
              <w:rPr>
                <w:rFonts w:hint="eastAsia" w:ascii="宋体" w:hAnsi="宋体"/>
                <w:szCs w:val="21"/>
                <w:lang w:val="en-US" w:eastAsia="zh-CN"/>
              </w:rPr>
              <w:t xml:space="preserve">/</w:t>
            </w:r>
            <w:r>
              <w:rPr>
                <w:rFonts w:hint="eastAsia" w:ascii="宋体" w:hAnsi="宋体" w:eastAsia="宋体"/>
                <w:szCs w:val="21"/>
                <w:lang w:eastAsia="zh-CN"/>
              </w:rPr>
            </w:r>
            <w:r/>
          </w:p>
        </w:tc>
      </w:tr>
    </w:tbl>
    <w:p>
      <w:pPr>
        <w:pStyle w:val="637"/>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637"/>
        <w:ind w:firstLine="480"/>
        <w:rPr>
          <w:rFonts w:ascii="宋体" w:hAnsi="宋体"/>
          <w:bCs/>
          <w:sz w:val="24"/>
          <w:szCs w:val="24"/>
          <w:u w:val="single"/>
        </w:rPr>
      </w:pP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 月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637"/>
        <w:ind w:firstLine="498"/>
        <w:keepLines/>
        <w:keepNext/>
        <w:spacing w:before="156" w:after="156" w:line="360" w:lineRule="auto"/>
        <w:rPr>
          <w:rFonts w:ascii="Times New Roman" w:hAnsi="Times New Roman"/>
          <w:b/>
          <w:bCs/>
          <w:sz w:val="32"/>
          <w:szCs w:val="32"/>
        </w:rPr>
        <w:outlineLvl w:val="2"/>
      </w:pPr>
      <w:r/>
      <w:bookmarkStart w:id="27" w:name="_Toc28359085"/>
      <w:r/>
      <w:bookmarkStart w:id="28" w:name="_Toc38985269"/>
      <w:r/>
      <w:bookmarkStart w:id="29" w:name="_Toc28359008"/>
      <w:r/>
      <w:bookmarkStart w:id="30" w:name="_Toc35393796"/>
      <w:r/>
      <w:bookmarkStart w:id="31" w:name="_Toc35393627"/>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Pr>
          <w:rFonts w:ascii="Times New Roman" w:hAnsi="Times New Roman"/>
          <w:b/>
          <w:bCs/>
          <w:sz w:val="32"/>
          <w:szCs w:val="32"/>
        </w:rPr>
      </w:r>
      <w:r/>
    </w:p>
    <w:p>
      <w:pPr>
        <w:pStyle w:val="637"/>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37"/>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江苏省疾病预防控制中心　</w:t>
      </w:r>
      <w:r>
        <w:rPr>
          <w:rFonts w:ascii="宋体" w:hAnsi="宋体"/>
          <w:sz w:val="24"/>
          <w:szCs w:val="24"/>
        </w:rPr>
      </w:r>
      <w:r/>
    </w:p>
    <w:p>
      <w:pPr>
        <w:pStyle w:val="637"/>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南京市鼓楼区江苏路172号</w:t>
      </w:r>
      <w:r>
        <w:rPr>
          <w:rFonts w:hint="eastAsia" w:ascii="宋体" w:hAnsi="宋体"/>
          <w:sz w:val="24"/>
          <w:szCs w:val="24"/>
          <w:u w:val="single"/>
        </w:rPr>
        <w:t xml:space="preserve">　　</w:t>
      </w:r>
      <w:r>
        <w:rPr>
          <w:rFonts w:ascii="宋体" w:hAnsi="宋体"/>
          <w:sz w:val="24"/>
          <w:szCs w:val="24"/>
        </w:rPr>
      </w:r>
      <w:r/>
    </w:p>
    <w:p>
      <w:pPr>
        <w:pStyle w:val="637"/>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朱荫东</w:t>
      </w:r>
      <w:r>
        <w:rPr>
          <w:rFonts w:hint="eastAsia" w:ascii="宋体" w:hAnsi="宋体"/>
          <w:sz w:val="24"/>
          <w:szCs w:val="24"/>
          <w:u w:val="single"/>
        </w:rPr>
        <w:t xml:space="preserve">       </w:t>
      </w:r>
      <w:r>
        <w:rPr>
          <w:rFonts w:ascii="宋体" w:hAnsi="宋体"/>
          <w:sz w:val="24"/>
          <w:szCs w:val="24"/>
        </w:rPr>
      </w:r>
      <w:r/>
    </w:p>
    <w:p>
      <w:pPr>
        <w:pStyle w:val="637"/>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13770788450</w:t>
      </w:r>
      <w:r>
        <w:rPr>
          <w:rFonts w:hint="eastAsia" w:ascii="宋体" w:hAnsi="宋体"/>
          <w:sz w:val="24"/>
          <w:szCs w:val="24"/>
          <w:u w:val="single"/>
        </w:rPr>
        <w:t xml:space="preserve">　　　 </w:t>
      </w:r>
      <w:bookmarkStart w:id="32" w:name="_Toc28359086"/>
      <w:r/>
      <w:bookmarkStart w:id="33" w:name="_Toc28359009"/>
      <w:r>
        <w:rPr>
          <w:rFonts w:ascii="宋体" w:hAnsi="宋体"/>
          <w:sz w:val="24"/>
          <w:szCs w:val="24"/>
          <w:u w:val="single"/>
        </w:rPr>
      </w:r>
      <w:r/>
    </w:p>
    <w:p>
      <w:pPr>
        <w:pStyle w:val="637"/>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32"/>
      <w:r/>
      <w:bookmarkEnd w:id="33"/>
      <w:r>
        <w:rPr>
          <w:rFonts w:ascii="宋体" w:hAnsi="宋体"/>
          <w:sz w:val="24"/>
          <w:szCs w:val="24"/>
        </w:rPr>
      </w:r>
      <w:r/>
    </w:p>
    <w:p>
      <w:pPr>
        <w:pStyle w:val="750"/>
        <w:ind w:firstLine="720"/>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地 址：</w:t>
      </w:r>
      <w:r>
        <w:rPr>
          <w:rFonts w:ascii="宋体" w:hAnsi="宋体" w:eastAsia="宋体" w:cs="宋体"/>
          <w:color w:val="000000"/>
          <w:sz w:val="24"/>
          <w:szCs w:val="24"/>
          <w:u w:val="single"/>
        </w:rPr>
        <w:t xml:space="preserve">江苏省南京市汉中门大街145号 </w:t>
      </w:r>
      <w:r/>
    </w:p>
    <w:p>
      <w:pPr>
        <w:pStyle w:val="750"/>
        <w:ind w:firstLine="787"/>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时富荣、许滢</w:t>
      </w:r>
      <w:r/>
    </w:p>
    <w:p>
      <w:pPr>
        <w:pStyle w:val="750"/>
        <w:ind w:firstLine="787"/>
        <w:jc w:val="both"/>
        <w:keepLines w:val="0"/>
        <w:keepNext w:val="0"/>
        <w:spacing w:before="0" w:beforeAutospacing="0" w:after="0" w:afterAutospacing="0" w:line="40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联系方式：</w:t>
      </w:r>
      <w:r>
        <w:rPr>
          <w:rFonts w:ascii="宋体" w:hAnsi="宋体" w:eastAsia="宋体" w:cs="宋体"/>
          <w:color w:val="000000"/>
          <w:sz w:val="24"/>
          <w:szCs w:val="24"/>
          <w:u w:val="single"/>
        </w:rPr>
        <w:t xml:space="preserve">025-83668559 </w:t>
      </w:r>
      <w:r/>
    </w:p>
    <w:p>
      <w:pPr>
        <w:pStyle w:val="637"/>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637"/>
        <w:ind w:firstLine="480"/>
        <w:spacing w:line="0" w:lineRule="atLeast"/>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637"/>
        <w:ind w:firstLine="480"/>
        <w:spacing w:line="0" w:lineRule="atLeas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37"/>
        <w:ind w:firstLine="480"/>
        <w:spacing w:line="0" w:lineRule="atLeas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37"/>
        <w:ind w:firstLine="480"/>
        <w:spacing w:line="0" w:lineRule="atLeas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.本次单一来源采购不收取保证金。</w:t>
      </w:r>
      <w:r>
        <w:rPr>
          <w:rFonts w:hint="eastAsia" w:ascii="宋体" w:hAnsi="宋体"/>
          <w:bCs/>
          <w:sz w:val="24"/>
          <w:szCs w:val="24"/>
        </w:rPr>
      </w:r>
      <w:r/>
    </w:p>
    <w:p>
      <w:pPr>
        <w:pStyle w:val="637"/>
        <w:ind w:right="840"/>
        <w:rPr>
          <w:rFonts w:hint="eastAsia" w:ascii="宋体" w:hAnsi="宋体"/>
          <w:sz w:val="24"/>
          <w:szCs w:val="24"/>
        </w:rPr>
      </w:pPr>
      <w:r>
        <w:rPr>
          <w:rFonts w:hint="eastAsia" w:ascii="宋体" w:hAnsi="宋体"/>
          <w:sz w:val="24"/>
          <w:szCs w:val="24"/>
        </w:rPr>
      </w:r>
      <w:r/>
    </w:p>
    <w:p>
      <w:pPr>
        <w:pStyle w:val="637"/>
        <w:ind w:right="840"/>
        <w:rPr>
          <w:rFonts w:hint="eastAsia" w:ascii="宋体" w:hAnsi="宋体"/>
          <w:sz w:val="24"/>
          <w:szCs w:val="24"/>
        </w:rPr>
      </w:pPr>
      <w:r>
        <w:rPr>
          <w:rFonts w:hint="eastAsia" w:ascii="宋体" w:hAnsi="宋体"/>
          <w:sz w:val="24"/>
          <w:szCs w:val="24"/>
        </w:rPr>
      </w:r>
      <w:r/>
    </w:p>
    <w:p>
      <w:pPr>
        <w:pStyle w:val="637"/>
        <w:ind w:right="840"/>
        <w:rPr>
          <w:rFonts w:hint="eastAsia" w:ascii="宋体" w:hAnsi="宋体"/>
          <w:sz w:val="24"/>
          <w:szCs w:val="24"/>
        </w:rPr>
      </w:pPr>
      <w:r>
        <w:rPr>
          <w:rFonts w:hint="eastAsia" w:ascii="宋体" w:hAnsi="宋体"/>
          <w:sz w:val="24"/>
          <w:szCs w:val="24"/>
        </w:rPr>
      </w:r>
      <w:r/>
    </w:p>
    <w:p>
      <w:pPr>
        <w:pStyle w:val="637"/>
        <w:ind w:right="840"/>
        <w:rPr>
          <w:rFonts w:ascii="宋体" w:hAnsi="宋体"/>
          <w:sz w:val="24"/>
          <w:szCs w:val="24"/>
        </w:rPr>
      </w:pPr>
      <w:r>
        <w:rPr>
          <w:rFonts w:ascii="宋体" w:hAnsi="宋体"/>
          <w:sz w:val="24"/>
          <w:szCs w:val="24"/>
        </w:rPr>
      </w:r>
      <w:r/>
    </w:p>
    <w:p>
      <w:pPr>
        <w:pStyle w:val="637"/>
        <w:ind w:right="840"/>
        <w:rPr>
          <w:rFonts w:ascii="宋体" w:hAnsi="宋体"/>
          <w:sz w:val="24"/>
          <w:szCs w:val="24"/>
        </w:rPr>
      </w:pPr>
      <w:r>
        <w:rPr>
          <w:rFonts w:ascii="宋体" w:hAnsi="宋体"/>
          <w:sz w:val="24"/>
          <w:szCs w:val="24"/>
        </w:rPr>
      </w:r>
      <w:r/>
    </w:p>
    <w:p>
      <w:pPr>
        <w:pStyle w:val="637"/>
        <w:ind w:right="840"/>
        <w:rPr>
          <w:rFonts w:ascii="宋体" w:hAnsi="宋体"/>
          <w:sz w:val="24"/>
          <w:szCs w:val="24"/>
        </w:rPr>
      </w:pPr>
      <w:r>
        <w:rPr>
          <w:rFonts w:ascii="宋体" w:hAnsi="宋体"/>
          <w:sz w:val="24"/>
          <w:szCs w:val="24"/>
        </w:rPr>
      </w:r>
      <w:r/>
    </w:p>
    <w:p>
      <w:pPr>
        <w:pStyle w:val="637"/>
        <w:ind w:right="840"/>
        <w:rPr>
          <w:rFonts w:ascii="宋体" w:hAnsi="宋体"/>
          <w:sz w:val="24"/>
          <w:szCs w:val="24"/>
        </w:rPr>
      </w:pPr>
      <w:r>
        <w:rPr>
          <w:rFonts w:ascii="宋体" w:hAnsi="宋体"/>
          <w:sz w:val="24"/>
          <w:szCs w:val="24"/>
        </w:rPr>
      </w:r>
      <w:r/>
    </w:p>
    <w:p>
      <w:pPr>
        <w:pStyle w:val="637"/>
        <w:ind w:right="840"/>
        <w:rPr>
          <w:rFonts w:hint="eastAsia" w:ascii="宋体" w:hAnsi="宋体"/>
          <w:sz w:val="24"/>
          <w:szCs w:val="24"/>
        </w:rPr>
      </w:pPr>
      <w:r>
        <w:rPr>
          <w:rFonts w:hint="eastAsia" w:ascii="宋体" w:hAnsi="宋体"/>
          <w:sz w:val="24"/>
          <w:szCs w:val="24"/>
        </w:rPr>
      </w:r>
      <w:r/>
    </w:p>
    <w:p>
      <w:pPr>
        <w:pStyle w:val="637"/>
        <w:jc w:val="center"/>
        <w:keepLines/>
        <w:keepNext/>
        <w:spacing w:before="260" w:after="260" w:line="416" w:lineRule="auto"/>
        <w:rPr>
          <w:rFonts w:hint="eastAsia" w:ascii="黑体" w:hAnsi="Arial" w:eastAsia="黑体" w:cs="Arial"/>
          <w:sz w:val="44"/>
          <w:szCs w:val="44"/>
        </w:rPr>
        <w:outlineLvl w:val="1"/>
      </w:pPr>
      <w:r/>
      <w:bookmarkStart w:id="3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37"/>
        <w:ind w:firstLine="498"/>
        <w:keepLines/>
        <w:keepNext/>
        <w:spacing w:before="156" w:after="156" w:line="360" w:lineRule="auto"/>
        <w:rPr>
          <w:rFonts w:hint="eastAsia" w:ascii="Times New Roman" w:hAnsi="Times New Roman"/>
          <w:b/>
          <w:bCs/>
          <w:sz w:val="32"/>
          <w:szCs w:val="32"/>
        </w:rPr>
        <w:outlineLvl w:val="2"/>
      </w:pPr>
      <w:r/>
      <w:bookmarkStart w:id="35" w:name="_Toc16938519"/>
      <w:r/>
      <w:bookmarkStart w:id="36" w:name="_Toc120614214"/>
      <w:r/>
      <w:bookmarkStart w:id="37" w:name="_Toc513029203"/>
      <w:r/>
      <w:bookmarkStart w:id="38" w:name="_Toc20823275"/>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637"/>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16938520"/>
      <w:r/>
      <w:bookmarkStart w:id="42" w:name="_Toc20823276"/>
      <w:r/>
      <w:bookmarkStart w:id="43" w:name="_Toc513029204"/>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637"/>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637"/>
        <w:ind w:firstLine="420"/>
        <w:keepLines/>
        <w:keepNext/>
        <w:rPr>
          <w:rFonts w:hint="eastAsia" w:ascii="Arial" w:hAnsi="Arial" w:eastAsia="黑体" w:cs="Arial"/>
          <w:sz w:val="28"/>
          <w:szCs w:val="28"/>
        </w:rPr>
        <w:outlineLvl w:val="3"/>
      </w:pPr>
      <w:r/>
      <w:bookmarkStart w:id="44" w:name="_Toc20823277"/>
      <w:r/>
      <w:bookmarkStart w:id="45" w:name="_Toc513029205"/>
      <w:r/>
      <w:bookmarkStart w:id="46" w:name="_Toc16938521"/>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37"/>
        <w:ind w:firstLine="480"/>
        <w:spacing w:line="400" w:lineRule="exact"/>
        <w:rPr>
          <w:rFonts w:hint="eastAsia" w:ascii="Times New Roman" w:hAnsi="Times New Roman"/>
          <w:sz w:val="24"/>
          <w:szCs w:val="24"/>
        </w:rPr>
      </w:pPr>
      <w:r/>
      <w:bookmarkStart w:id="47" w:name="_Toc16938522"/>
      <w:r/>
      <w:bookmarkStart w:id="48" w:name="_Toc20823278"/>
      <w:r/>
      <w:bookmarkStart w:id="49" w:name="_Toc513029206"/>
      <w:r>
        <w:rPr>
          <w:rFonts w:hint="eastAsia" w:ascii="Times New Roman" w:hAnsi="Times New Roman"/>
          <w:sz w:val="24"/>
          <w:szCs w:val="24"/>
        </w:rPr>
        <w:t xml:space="preserve">2. 1 满足采购文件中合格单一来源供应商资格要求的规定。</w:t>
      </w:r>
      <w:r>
        <w:rPr>
          <w:rFonts w:hint="eastAsia" w:ascii="Times New Roman" w:hAnsi="Times New Roman"/>
          <w:sz w:val="24"/>
          <w:szCs w:val="24"/>
        </w:rPr>
      </w:r>
      <w:r/>
    </w:p>
    <w:p>
      <w:pPr>
        <w:pStyle w:val="637"/>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满足本采购文件实质性要求的规定。</w:t>
      </w:r>
      <w:r>
        <w:rPr>
          <w:rFonts w:hint="eastAsia" w:ascii="宋体" w:hAnsi="宋体"/>
          <w:sz w:val="28"/>
          <w:szCs w:val="28"/>
        </w:rPr>
      </w:r>
      <w:r/>
    </w:p>
    <w:p>
      <w:pPr>
        <w:pStyle w:val="63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637"/>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37"/>
        <w:ind w:firstLine="420"/>
        <w:keepLines/>
        <w:keepNext/>
        <w:rPr>
          <w:rFonts w:hint="eastAsia" w:ascii="Arial" w:hAnsi="Arial" w:eastAsia="黑体" w:cs="Arial"/>
          <w:sz w:val="28"/>
          <w:szCs w:val="28"/>
        </w:rPr>
        <w:outlineLvl w:val="3"/>
      </w:pPr>
      <w:r/>
      <w:bookmarkStart w:id="50" w:name="_Toc513029207"/>
      <w:r/>
      <w:bookmarkStart w:id="51" w:name="_Toc20823279"/>
      <w:r/>
      <w:bookmarkStart w:id="52" w:name="_Toc16938523"/>
      <w:r/>
      <w:bookmarkStart w:id="53" w:name="_Toc462564067"/>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637"/>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供应商应自行承担所有与参加本次采购有关的费用，无论采购过程中的做法和结果如何，江苏省政府采购中心（以下简称“采购中心”）在任何情况下均无义务和责任承担这些费用。</w:t>
      </w:r>
      <w:r>
        <w:rPr>
          <w:rFonts w:hint="eastAsia" w:ascii="宋体" w:hAnsi="宋体"/>
          <w:sz w:val="24"/>
          <w:szCs w:val="21"/>
        </w:rPr>
      </w:r>
      <w:r/>
    </w:p>
    <w:p>
      <w:pPr>
        <w:pStyle w:val="637"/>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rPr>
          <w:rFonts w:hint="eastAsia" w:ascii="宋体" w:hAnsi="宋体"/>
          <w:sz w:val="24"/>
          <w:szCs w:val="21"/>
        </w:rPr>
      </w:r>
      <w:r/>
    </w:p>
    <w:p>
      <w:pPr>
        <w:pStyle w:val="637"/>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63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637"/>
        <w:ind w:firstLine="321"/>
        <w:keepLines/>
        <w:keepNext/>
        <w:spacing w:before="156" w:after="156" w:line="360" w:lineRule="auto"/>
        <w:rPr>
          <w:rFonts w:hint="eastAsia" w:ascii="Times New Roman" w:hAnsi="Times New Roman"/>
          <w:b/>
          <w:bCs/>
          <w:sz w:val="32"/>
          <w:szCs w:val="32"/>
        </w:rPr>
        <w:outlineLvl w:val="2"/>
      </w:pPr>
      <w:r/>
      <w:bookmarkStart w:id="54" w:name="_Toc16938525"/>
      <w:r/>
      <w:bookmarkStart w:id="55" w:name="_Toc513029209"/>
      <w:r/>
      <w:bookmarkStart w:id="56" w:name="_Toc20823281"/>
      <w:r/>
      <w:bookmarkStart w:id="57" w:name="_Toc120614215"/>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rPr>
          <w:rFonts w:hint="eastAsia" w:ascii="Times New Roman" w:hAnsi="Times New Roman"/>
          <w:b/>
          <w:bCs/>
          <w:sz w:val="32"/>
          <w:szCs w:val="32"/>
        </w:rPr>
      </w:r>
      <w:r/>
    </w:p>
    <w:p>
      <w:pPr>
        <w:pStyle w:val="637"/>
        <w:ind w:firstLine="420"/>
        <w:keepLines/>
        <w:keepNext/>
        <w:rPr>
          <w:rFonts w:hint="eastAsia" w:ascii="Arial" w:hAnsi="Arial" w:eastAsia="黑体" w:cs="Arial"/>
          <w:sz w:val="28"/>
          <w:szCs w:val="28"/>
        </w:rPr>
        <w:outlineLvl w:val="3"/>
      </w:pPr>
      <w:r/>
      <w:bookmarkStart w:id="58" w:name="_Toc16938526"/>
      <w:r/>
      <w:bookmarkStart w:id="59" w:name="_Toc20823282"/>
      <w:r/>
      <w:bookmarkStart w:id="60" w:name="_Toc513029210"/>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637"/>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637"/>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37"/>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3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3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37"/>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37"/>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rPr>
          <w:rFonts w:hint="eastAsia" w:ascii="宋体" w:hAnsi="宋体"/>
          <w:sz w:val="24"/>
          <w:szCs w:val="21"/>
        </w:rPr>
      </w:r>
      <w:r/>
    </w:p>
    <w:p>
      <w:pPr>
        <w:pStyle w:val="637"/>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37"/>
        <w:ind w:firstLine="560"/>
        <w:keepLines/>
        <w:keepNext/>
        <w:rPr>
          <w:rFonts w:hint="eastAsia" w:ascii="Arial" w:hAnsi="Arial" w:eastAsia="黑体" w:cs="Arial"/>
          <w:sz w:val="28"/>
          <w:szCs w:val="28"/>
        </w:rPr>
        <w:outlineLvl w:val="3"/>
      </w:pPr>
      <w:r/>
      <w:bookmarkStart w:id="61" w:name="_Toc120614216"/>
      <w:r/>
      <w:bookmarkStart w:id="62" w:name="_Toc462564072"/>
      <w:r/>
      <w:bookmarkStart w:id="63" w:name="_Toc16938529"/>
      <w:r/>
      <w:bookmarkStart w:id="64" w:name="_Toc513029213"/>
      <w:r/>
      <w:bookmarkStart w:id="65" w:name="_Toc20823285"/>
      <w:r>
        <w:rPr>
          <w:rFonts w:ascii="Arial" w:hAnsi="Arial" w:eastAsia="黑体" w:cs="Arial"/>
          <w:sz w:val="28"/>
          <w:szCs w:val="28"/>
        </w:rPr>
        <w:t xml:space="preserve">7</w:t>
      </w:r>
      <w:r>
        <w:rPr>
          <w:rFonts w:hint="eastAsia" w:ascii="Arial" w:hAnsi="Arial" w:eastAsia="黑体" w:cs="Arial"/>
          <w:sz w:val="28"/>
          <w:szCs w:val="28"/>
        </w:rPr>
        <w:t xml:space="preserve">、采购文件的修改</w:t>
      </w:r>
      <w:r>
        <w:rPr>
          <w:rFonts w:hint="eastAsia" w:ascii="Arial" w:hAnsi="Arial" w:eastAsia="黑体" w:cs="Arial"/>
          <w:sz w:val="28"/>
          <w:szCs w:val="28"/>
        </w:rPr>
      </w:r>
      <w:r/>
    </w:p>
    <w:p>
      <w:pPr>
        <w:pStyle w:val="637"/>
        <w:ind w:firstLine="480"/>
        <w:spacing w:line="50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rPr>
          <w:rFonts w:hint="eastAsia" w:ascii="宋体" w:hAnsi="宋体"/>
          <w:sz w:val="24"/>
          <w:szCs w:val="21"/>
        </w:rPr>
      </w:r>
      <w:r/>
    </w:p>
    <w:p>
      <w:pPr>
        <w:pStyle w:val="637"/>
        <w:ind w:firstLine="480"/>
        <w:spacing w:line="500" w:lineRule="exact"/>
        <w:rPr>
          <w:rFonts w:hint="eastAsia" w:ascii="宋体" w:hAnsi="Arial"/>
          <w:sz w:val="28"/>
          <w:szCs w:val="21"/>
        </w:rPr>
      </w:pPr>
      <w:r>
        <w:rPr>
          <w:rFonts w:hint="eastAsia" w:ascii="宋体" w:hAnsi="宋体"/>
          <w:bCs/>
          <w:sz w:val="24"/>
          <w:szCs w:val="21"/>
        </w:rPr>
        <w:t xml:space="preserve">7.2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637"/>
        <w:ind w:firstLine="480"/>
        <w:spacing w:line="500" w:lineRule="exact"/>
        <w:rPr>
          <w:rFonts w:hint="eastAsia" w:ascii="宋体" w:hAnsi="宋体"/>
          <w:sz w:val="24"/>
          <w:szCs w:val="21"/>
        </w:rPr>
      </w:pPr>
      <w:r>
        <w:rPr>
          <w:rFonts w:hint="eastAsia" w:ascii="宋体" w:hAnsi="宋体"/>
          <w:bCs/>
          <w:sz w:val="24"/>
          <w:szCs w:val="21"/>
        </w:rPr>
        <w:t xml:space="preserve">7.3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rPr>
          <w:rFonts w:hint="eastAsia" w:ascii="宋体" w:hAnsi="宋体"/>
          <w:sz w:val="24"/>
          <w:szCs w:val="21"/>
        </w:rPr>
      </w:r>
      <w:r/>
    </w:p>
    <w:p>
      <w:pPr>
        <w:pStyle w:val="637"/>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1"/>
      <w:r/>
      <w:bookmarkEnd w:id="62"/>
      <w:r/>
      <w:bookmarkEnd w:id="63"/>
      <w:r/>
      <w:bookmarkEnd w:id="64"/>
      <w:r/>
      <w:bookmarkEnd w:id="65"/>
      <w:r>
        <w:rPr>
          <w:rFonts w:hint="eastAsia" w:ascii="Times New Roman" w:hAnsi="Times New Roman"/>
          <w:b/>
          <w:bCs/>
          <w:sz w:val="32"/>
          <w:szCs w:val="32"/>
        </w:rPr>
      </w:r>
      <w:r/>
    </w:p>
    <w:p>
      <w:pPr>
        <w:pStyle w:val="637"/>
        <w:ind w:firstLine="560"/>
        <w:keepLines/>
        <w:keepNext/>
        <w:rPr>
          <w:rFonts w:hint="eastAsia" w:ascii="Arial" w:hAnsi="Arial" w:eastAsia="黑体" w:cs="Arial"/>
          <w:b/>
          <w:sz w:val="28"/>
          <w:szCs w:val="28"/>
        </w:rPr>
        <w:outlineLvl w:val="3"/>
      </w:pPr>
      <w:r/>
      <w:bookmarkStart w:id="66" w:name="_Toc513029214"/>
      <w:r/>
      <w:bookmarkStart w:id="67" w:name="_Toc16938530"/>
      <w:r/>
      <w:bookmarkStart w:id="68" w:name="_Toc462564073"/>
      <w:r/>
      <w:bookmarkStart w:id="69" w:name="_Toc20823286"/>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66"/>
      <w:r/>
      <w:bookmarkEnd w:id="67"/>
      <w:r/>
      <w:bookmarkEnd w:id="68"/>
      <w:r/>
      <w:bookmarkEnd w:id="69"/>
      <w:r>
        <w:rPr>
          <w:rFonts w:hint="eastAsia" w:ascii="Arial" w:hAnsi="Arial" w:eastAsia="黑体" w:cs="Arial"/>
          <w:b/>
          <w:sz w:val="28"/>
          <w:szCs w:val="28"/>
        </w:rPr>
      </w:r>
      <w:r/>
    </w:p>
    <w:p>
      <w:pPr>
        <w:pStyle w:val="637"/>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供应商提交的响应文件以及供应商与采购中心就有关采购活动的所有来往通知、函件和文件均应使用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37"/>
        <w:ind w:firstLine="480"/>
        <w:spacing w:line="500" w:lineRule="exact"/>
        <w:rPr>
          <w:rFonts w:hint="eastAsia"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37"/>
        <w:ind w:firstLine="420"/>
        <w:keepLines/>
        <w:keepNext/>
        <w:rPr>
          <w:rFonts w:hint="eastAsia" w:ascii="Arial" w:hAnsi="Arial" w:eastAsia="黑体" w:cs="Arial"/>
          <w:sz w:val="28"/>
          <w:szCs w:val="28"/>
        </w:rPr>
        <w:outlineLvl w:val="3"/>
      </w:pPr>
      <w:r/>
      <w:bookmarkStart w:id="70" w:name="_Toc462564074"/>
      <w:r/>
      <w:bookmarkStart w:id="71" w:name="_Toc20823287"/>
      <w:r/>
      <w:bookmarkStart w:id="72" w:name="_Toc513029215"/>
      <w:r/>
      <w:bookmarkStart w:id="73" w:name="_Toc16938531"/>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70"/>
      <w:r/>
      <w:bookmarkEnd w:id="71"/>
      <w:r/>
      <w:bookmarkEnd w:id="72"/>
      <w:r/>
      <w:bookmarkEnd w:id="73"/>
      <w:r>
        <w:rPr>
          <w:rFonts w:hint="eastAsia" w:ascii="Arial" w:hAnsi="Arial" w:eastAsia="黑体" w:cs="Arial"/>
          <w:sz w:val="28"/>
          <w:szCs w:val="28"/>
        </w:rPr>
      </w:r>
      <w:r/>
    </w:p>
    <w:p>
      <w:pPr>
        <w:pStyle w:val="637"/>
        <w:ind w:firstLine="480"/>
        <w:spacing w:line="440" w:lineRule="exact"/>
        <w:rPr>
          <w:rFonts w:hint="eastAsia" w:ascii="宋体" w:hAnsi="宋体"/>
          <w:sz w:val="24"/>
          <w:szCs w:val="21"/>
        </w:rPr>
      </w:pPr>
      <w:r/>
      <w:bookmarkStart w:id="74" w:name="_Hlt26670360"/>
      <w:r/>
      <w:bookmarkEnd w:id="74"/>
      <w:r/>
      <w:bookmarkStart w:id="75" w:name="_Hlt26954838"/>
      <w:r/>
      <w:bookmarkEnd w:id="75"/>
      <w:r/>
      <w:bookmarkStart w:id="76" w:name="_Hlt26668975"/>
      <w:r/>
      <w:bookmarkEnd w:id="76"/>
      <w:r/>
      <w:bookmarkStart w:id="77" w:name="_Toc14577354"/>
      <w:r/>
      <w:bookmarkStart w:id="78" w:name="_Toc513029216"/>
      <w:r/>
      <w:bookmarkStart w:id="79" w:name="_Toc49090507"/>
      <w:r/>
      <w:bookmarkStart w:id="80" w:name="_Toc49090509"/>
      <w:r/>
      <w:bookmarkStart w:id="81" w:name="_Toc513029219"/>
      <w:r/>
      <w:bookmarkStart w:id="82" w:name="_Toc14577355"/>
      <w:r/>
      <w:bookmarkStart w:id="83" w:name="_Toc14577357"/>
      <w:r/>
      <w:bookmarkStart w:id="84" w:name="_Toc49090508"/>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供应商编写的响应文件应包括资格证明文件、实质性要求响应及偏离表、分项报价表、技术要求响应及偏离表、商务要求响应及偏离表、其他证明文件、单一来源响应函等部分。</w:t>
      </w:r>
      <w:r>
        <w:rPr>
          <w:rFonts w:hint="eastAsia" w:ascii="宋体" w:hAnsi="宋体"/>
          <w:sz w:val="24"/>
          <w:szCs w:val="21"/>
        </w:rPr>
      </w:r>
      <w:r/>
    </w:p>
    <w:p>
      <w:pPr>
        <w:pStyle w:val="641"/>
        <w:ind w:firstLine="420"/>
        <w:spacing w:before="0" w:after="0" w:line="240" w:lineRule="auto"/>
        <w:rPr>
          <w:rFonts w:hint="eastAsia"/>
          <w:b w:val="0"/>
          <w:bCs w:val="0"/>
        </w:rPr>
      </w:pPr>
      <w:r/>
      <w:bookmarkEnd w:id="77"/>
      <w:r/>
      <w:bookmarkEnd w:id="78"/>
      <w:r/>
      <w:bookmarkEnd w:id="79"/>
      <w:r/>
      <w:bookmarkEnd w:id="80"/>
      <w:r/>
      <w:bookmarkEnd w:id="81"/>
      <w:r/>
      <w:bookmarkEnd w:id="82"/>
      <w:r/>
      <w:bookmarkEnd w:id="83"/>
      <w:r/>
      <w:bookmarkEnd w:id="84"/>
      <w:r>
        <w:rPr>
          <w:rFonts w:hint="eastAsia"/>
          <w:b w:val="0"/>
          <w:bCs w:val="0"/>
        </w:rPr>
        <w:t xml:space="preserve">1</w:t>
      </w:r>
      <w:r>
        <w:rPr>
          <w:b w:val="0"/>
          <w:bCs w:val="0"/>
        </w:rPr>
        <w:t xml:space="preserve">0</w:t>
      </w:r>
      <w:r>
        <w:rPr>
          <w:rFonts w:hint="eastAsia"/>
          <w:b w:val="0"/>
          <w:bCs w:val="0"/>
        </w:rPr>
        <w:t xml:space="preserve">、证明供应商及响应标的符合采购文件规定的文件</w:t>
      </w:r>
      <w:r>
        <w:rPr>
          <w:rFonts w:hint="eastAsia"/>
          <w:b w:val="0"/>
          <w:bCs w:val="0"/>
        </w:rPr>
      </w:r>
      <w:r/>
    </w:p>
    <w:p>
      <w:pPr>
        <w:pStyle w:val="637"/>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供应商应按照法律、法规、规章和规范性文件以及采购文件要求提交证明文件，证明其及响应标的符合采购文件规定。</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.2采购文件对证明文件无明确形式要求的，证明文件可以以文字资料、图纸和数据等形式提交。</w:t>
      </w:r>
      <w:r>
        <w:rPr>
          <w:rFonts w:hint="eastAsia" w:ascii="宋体" w:hAnsi="宋体"/>
          <w:sz w:val="24"/>
          <w:szCs w:val="24"/>
        </w:rPr>
      </w:r>
      <w:r/>
    </w:p>
    <w:p>
      <w:pPr>
        <w:pStyle w:val="63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637"/>
        <w:ind w:firstLine="480"/>
        <w:spacing w:line="500" w:lineRule="exact"/>
        <w:rPr>
          <w:rFonts w:hint="eastAsia" w:ascii="宋体" w:hAnsi="宋体"/>
          <w:bCs/>
          <w:sz w:val="24"/>
        </w:rPr>
      </w:pPr>
      <w:r/>
      <w:bookmarkStart w:id="85" w:name="_Hlt26670486"/>
      <w:r/>
      <w:bookmarkEnd w:id="85"/>
      <w:r/>
      <w:bookmarkStart w:id="86" w:name="_Hlt26954731"/>
      <w:r/>
      <w:bookmarkEnd w:id="86"/>
      <w:r/>
      <w:bookmarkStart w:id="87" w:name="_Hlt26670482"/>
      <w:r/>
      <w:bookmarkEnd w:id="87"/>
      <w:r/>
      <w:bookmarkStart w:id="88" w:name="_Hlt26954848"/>
      <w:r/>
      <w:bookmarkEnd w:id="88"/>
      <w:r/>
      <w:bookmarkStart w:id="89" w:name="_Hlt26954846"/>
      <w:r/>
      <w:bookmarkEnd w:id="89"/>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供应商应按照采购文件规定格式填报分项报价表。</w:t>
      </w:r>
      <w:r>
        <w:rPr>
          <w:rFonts w:hint="eastAsia" w:ascii="宋体" w:hAnsi="宋体"/>
          <w:bCs/>
          <w:sz w:val="24"/>
        </w:rPr>
      </w:r>
      <w:r/>
    </w:p>
    <w:p>
      <w:pPr>
        <w:pStyle w:val="637"/>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63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637"/>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637"/>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12.2供应商需按照采购文件要求，在响应文件中提供与技术要求和商务要求相关的证明材料。</w:t>
      </w:r>
      <w:r>
        <w:rPr>
          <w:rFonts w:hint="eastAsia" w:ascii="宋体" w:hAnsi="Arial" w:cs="宋体"/>
          <w:sz w:val="24"/>
          <w:szCs w:val="21"/>
          <w:lang w:val="zh-CN"/>
        </w:rPr>
      </w:r>
      <w:r/>
    </w:p>
    <w:p>
      <w:pPr>
        <w:pStyle w:val="641"/>
        <w:ind w:firstLine="420"/>
        <w:spacing w:before="0" w:after="0" w:line="240" w:lineRule="auto"/>
        <w:rPr>
          <w:rFonts w:hint="eastAsia"/>
          <w:b w:val="0"/>
          <w:bCs w:val="0"/>
        </w:rPr>
      </w:pPr>
      <w:r/>
      <w:bookmarkStart w:id="90" w:name="_Toc14577359"/>
      <w:r/>
      <w:bookmarkStart w:id="91" w:name="_Toc49090510"/>
      <w:r>
        <w:rPr>
          <w:rFonts w:hint="eastAsia"/>
          <w:b w:val="0"/>
          <w:bCs w:val="0"/>
        </w:rPr>
        <w:t xml:space="preserve">1</w:t>
      </w:r>
      <w:r>
        <w:rPr>
          <w:b w:val="0"/>
          <w:bCs w:val="0"/>
        </w:rPr>
        <w:t xml:space="preserve">3</w:t>
      </w:r>
      <w:r>
        <w:rPr>
          <w:rFonts w:hint="eastAsia"/>
          <w:b w:val="0"/>
          <w:bCs w:val="0"/>
        </w:rPr>
        <w:t xml:space="preserve">、服务承诺、培训计划、人员安排及其他</w:t>
      </w:r>
      <w:r>
        <w:rPr>
          <w:rFonts w:hint="eastAsia"/>
          <w:b w:val="0"/>
          <w:bCs w:val="0"/>
        </w:rPr>
      </w:r>
      <w:r/>
    </w:p>
    <w:p>
      <w:pPr>
        <w:pStyle w:val="637"/>
        <w:ind w:firstLine="480"/>
        <w:spacing w:line="480" w:lineRule="exact"/>
        <w:rPr>
          <w:rFonts w:hint="eastAsia" w:ascii="宋体" w:hAnsi="宋体"/>
          <w:sz w:val="24"/>
          <w:szCs w:val="24"/>
        </w:rPr>
      </w:pPr>
      <w:r>
        <w:rPr>
          <w:rFonts w:hint="eastAsia" w:ascii="宋体" w:hAnsi="宋体"/>
          <w:bCs/>
          <w:sz w:val="24"/>
          <w:szCs w:val="24"/>
        </w:rPr>
        <w:t xml:space="preserve">13.1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13.2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13.3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641"/>
        <w:ind w:firstLine="420"/>
        <w:spacing w:before="0" w:after="0" w:line="240" w:lineRule="auto"/>
        <w:rPr>
          <w:rFonts w:hint="eastAsia"/>
          <w:b w:val="0"/>
          <w:bCs w:val="0"/>
        </w:rPr>
      </w:pPr>
      <w:r/>
      <w:bookmarkEnd w:id="90"/>
      <w:r/>
      <w:bookmarkEnd w:id="91"/>
      <w:r/>
      <w:bookmarkStart w:id="92" w:name="_Toc14577360"/>
      <w:r/>
      <w:bookmarkStart w:id="93" w:name="_Toc49090511"/>
      <w:r>
        <w:rPr>
          <w:rFonts w:hint="eastAsia"/>
          <w:b w:val="0"/>
          <w:bCs w:val="0"/>
        </w:rPr>
        <w:t xml:space="preserve">1</w:t>
      </w:r>
      <w:r>
        <w:rPr>
          <w:b w:val="0"/>
          <w:bCs w:val="0"/>
        </w:rPr>
        <w:t xml:space="preserve">4</w:t>
      </w:r>
      <w:r>
        <w:rPr>
          <w:rFonts w:hint="eastAsia"/>
          <w:b w:val="0"/>
          <w:bCs w:val="0"/>
        </w:rPr>
        <w:t xml:space="preserve">、单一来源响应函</w:t>
      </w:r>
      <w:r>
        <w:rPr>
          <w:rFonts w:hint="eastAsia"/>
          <w:b w:val="0"/>
          <w:bCs w:val="0"/>
        </w:rPr>
      </w:r>
      <w:r/>
    </w:p>
    <w:p>
      <w:pPr>
        <w:pStyle w:val="637"/>
        <w:ind w:firstLine="480"/>
        <w:spacing w:line="5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63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、单一来源采购有效期</w:t>
      </w:r>
      <w:bookmarkEnd w:id="92"/>
      <w:r/>
      <w:bookmarkEnd w:id="93"/>
      <w:r>
        <w:rPr>
          <w:rFonts w:hint="eastAsia" w:ascii="Arial" w:hAnsi="Arial" w:eastAsia="黑体" w:cs="Arial"/>
          <w:sz w:val="28"/>
          <w:szCs w:val="28"/>
        </w:rPr>
      </w:r>
      <w:r/>
    </w:p>
    <w:p>
      <w:pPr>
        <w:pStyle w:val="637"/>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63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63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37"/>
        <w:ind w:firstLine="482"/>
        <w:keepLines/>
        <w:keepNext/>
        <w:spacing w:before="156" w:after="156" w:line="360" w:lineRule="auto"/>
        <w:rPr>
          <w:rFonts w:hint="eastAsia" w:ascii="Times New Roman" w:hAnsi="Times New Roman"/>
          <w:b/>
          <w:bCs/>
          <w:sz w:val="32"/>
          <w:szCs w:val="32"/>
        </w:rPr>
        <w:outlineLvl w:val="2"/>
      </w:pPr>
      <w:r/>
      <w:bookmarkStart w:id="94" w:name="_Hlt26954852"/>
      <w:r/>
      <w:bookmarkEnd w:id="94"/>
      <w:r/>
      <w:bookmarkStart w:id="95" w:name="_Hlt26954739"/>
      <w:r/>
      <w:bookmarkEnd w:id="95"/>
      <w:r/>
      <w:bookmarkStart w:id="96" w:name="_Toc16938540"/>
      <w:r/>
      <w:bookmarkStart w:id="97" w:name="_Toc513029224"/>
      <w:r/>
      <w:bookmarkStart w:id="98" w:name="_Toc120614217"/>
      <w:r/>
      <w:bookmarkStart w:id="99" w:name="_Toc20823296"/>
      <w:r>
        <w:rPr>
          <w:rFonts w:hint="eastAsia" w:ascii="Times New Roman" w:hAnsi="Times New Roman"/>
          <w:b/>
          <w:bCs/>
          <w:sz w:val="32"/>
          <w:szCs w:val="32"/>
        </w:rPr>
        <w:t xml:space="preserve">四、响应文件的递交</w:t>
      </w:r>
      <w:bookmarkEnd w:id="96"/>
      <w:r/>
      <w:bookmarkEnd w:id="97"/>
      <w:r/>
      <w:bookmarkEnd w:id="98"/>
      <w:r/>
      <w:bookmarkEnd w:id="99"/>
      <w:r>
        <w:rPr>
          <w:rFonts w:hint="eastAsia" w:ascii="Times New Roman" w:hAnsi="Times New Roman"/>
          <w:b/>
          <w:bCs/>
          <w:sz w:val="32"/>
          <w:szCs w:val="32"/>
        </w:rPr>
      </w:r>
      <w:r/>
    </w:p>
    <w:p>
      <w:pPr>
        <w:pStyle w:val="637"/>
        <w:ind w:firstLine="560"/>
        <w:keepLines/>
        <w:keepNext/>
        <w:rPr>
          <w:rFonts w:hint="eastAsia" w:ascii="黑体" w:hAnsi="Arial" w:eastAsia="黑体" w:cs="Arial"/>
          <w:sz w:val="28"/>
          <w:szCs w:val="28"/>
        </w:rPr>
        <w:outlineLvl w:val="3"/>
      </w:pPr>
      <w:r/>
      <w:bookmarkStart w:id="100" w:name="_Toc513029225"/>
      <w:r/>
      <w:bookmarkStart w:id="101" w:name="_Toc20823297"/>
      <w:r/>
      <w:bookmarkStart w:id="102" w:name="_Toc462564084"/>
      <w:r/>
      <w:bookmarkStart w:id="103"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bookmarkEnd w:id="100"/>
      <w:r/>
      <w:bookmarkEnd w:id="101"/>
      <w:r/>
      <w:bookmarkEnd w:id="102"/>
      <w:r/>
      <w:bookmarkEnd w:id="103"/>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37"/>
        <w:ind w:firstLine="600"/>
        <w:rPr>
          <w:rFonts w:ascii="宋体" w:hAnsi="宋体"/>
          <w:bCs/>
          <w:sz w:val="24"/>
          <w:szCs w:val="21"/>
        </w:rPr>
      </w:pPr>
      <w:r>
        <w:rPr>
          <w:rFonts w:hint="eastAsia" w:ascii="宋体" w:hAnsi="宋体"/>
          <w:bCs/>
          <w:sz w:val="24"/>
          <w:szCs w:val="21"/>
        </w:rPr>
        <w:t xml:space="preserve">17.1供应商应当按照《操作手册》规定，在截止时间前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04" w:name="_Toc16938542"/>
      <w:r/>
      <w:bookmarkStart w:id="105" w:name="_Toc513029226"/>
      <w:r/>
      <w:bookmarkStart w:id="106" w:name="_Toc20823298"/>
      <w:r>
        <w:rPr>
          <w:rFonts w:ascii="宋体" w:hAnsi="宋体"/>
          <w:bCs/>
          <w:sz w:val="24"/>
          <w:szCs w:val="21"/>
        </w:rPr>
      </w:r>
      <w:r/>
    </w:p>
    <w:p>
      <w:pPr>
        <w:pStyle w:val="637"/>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04"/>
      <w:r/>
      <w:bookmarkEnd w:id="105"/>
      <w:r/>
      <w:bookmarkEnd w:id="106"/>
      <w:r>
        <w:rPr>
          <w:rFonts w:hint="eastAsia" w:ascii="宋体" w:hAnsi="宋体" w:eastAsia="黑体" w:cs="Arial"/>
          <w:bCs/>
          <w:sz w:val="24"/>
          <w:szCs w:val="28"/>
        </w:rPr>
      </w:r>
      <w:r/>
    </w:p>
    <w:p>
      <w:pPr>
        <w:pStyle w:val="63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rPr>
        <w:t xml:space="preserve">供应商上传电子响应文件的时间不得迟于单一来源采购邀请中规定的截止时间。</w:t>
      </w:r>
      <w:r>
        <w:rPr>
          <w:rFonts w:hint="eastAsia" w:ascii="宋体" w:hAnsi="宋体"/>
          <w:bCs/>
          <w:sz w:val="24"/>
          <w:szCs w:val="21"/>
        </w:rPr>
      </w:r>
      <w:r/>
    </w:p>
    <w:p>
      <w:pPr>
        <w:pStyle w:val="637"/>
        <w:ind w:firstLine="480"/>
        <w:spacing w:line="500" w:lineRule="exact"/>
        <w:rPr>
          <w:rFonts w:hint="eastAsia" w:ascii="宋体" w:hAnsi="宋体"/>
          <w:bCs/>
          <w:sz w:val="24"/>
          <w:szCs w:val="21"/>
        </w:rPr>
      </w:pPr>
      <w:r/>
      <w:bookmarkStart w:id="107" w:name="_Toc20823299"/>
      <w:r/>
      <w:bookmarkStart w:id="108" w:name="_Toc513029227"/>
      <w:r/>
      <w:bookmarkStart w:id="109"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637"/>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8.</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637"/>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7"/>
      <w:r/>
      <w:bookmarkEnd w:id="108"/>
      <w:r/>
      <w:bookmarkEnd w:id="109"/>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37"/>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采购中心拒绝接收在其规定的截止时间后上传的任何电子响应文件。</w:t>
      </w:r>
      <w:r>
        <w:rPr>
          <w:rFonts w:hint="eastAsia" w:ascii="宋体" w:hAnsi="宋体"/>
          <w:bCs/>
          <w:sz w:val="24"/>
          <w:szCs w:val="21"/>
        </w:rPr>
      </w:r>
      <w:r/>
    </w:p>
    <w:p>
      <w:pPr>
        <w:pStyle w:val="637"/>
        <w:ind w:firstLine="420"/>
        <w:keepLines/>
        <w:keepNext/>
        <w:rPr>
          <w:rFonts w:hint="eastAsia" w:ascii="Arial" w:hAnsi="Arial" w:eastAsia="黑体" w:cs="Arial"/>
          <w:sz w:val="28"/>
          <w:szCs w:val="28"/>
        </w:rPr>
        <w:outlineLvl w:val="3"/>
      </w:pPr>
      <w:r/>
      <w:bookmarkStart w:id="110" w:name="_Toc16938544"/>
      <w:r/>
      <w:bookmarkStart w:id="111" w:name="_Toc20823300"/>
      <w:r/>
      <w:bookmarkStart w:id="112"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10"/>
      <w:r/>
      <w:bookmarkEnd w:id="111"/>
      <w:r/>
      <w:bookmarkEnd w:id="112"/>
      <w:r>
        <w:rPr>
          <w:rFonts w:hint="eastAsia" w:ascii="Arial" w:hAnsi="Arial" w:eastAsia="黑体" w:cs="Arial"/>
          <w:sz w:val="28"/>
          <w:szCs w:val="28"/>
        </w:rPr>
      </w:r>
      <w:r/>
    </w:p>
    <w:p>
      <w:pPr>
        <w:pStyle w:val="637"/>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637"/>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637"/>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637"/>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637"/>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637"/>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637"/>
        <w:ind w:firstLine="482"/>
        <w:keepLines/>
        <w:keepNext/>
        <w:spacing w:before="156" w:after="156" w:line="360" w:lineRule="auto"/>
        <w:rPr>
          <w:rFonts w:hint="eastAsia" w:ascii="Times New Roman" w:hAnsi="Times New Roman"/>
          <w:b/>
          <w:bCs/>
          <w:sz w:val="32"/>
          <w:szCs w:val="32"/>
        </w:rPr>
        <w:outlineLvl w:val="2"/>
      </w:pPr>
      <w:r/>
      <w:bookmarkStart w:id="113" w:name="_Toc120614218"/>
      <w:r/>
      <w:bookmarkStart w:id="114" w:name="_Toc513029229"/>
      <w:r/>
      <w:bookmarkStart w:id="115" w:name="_Toc20823301"/>
      <w:r/>
      <w:bookmarkStart w:id="116" w:name="_Toc16938545"/>
      <w:r>
        <w:rPr>
          <w:rFonts w:hint="eastAsia" w:ascii="Times New Roman" w:hAnsi="Times New Roman"/>
          <w:b/>
          <w:bCs/>
          <w:sz w:val="32"/>
          <w:szCs w:val="32"/>
        </w:rPr>
        <w:t xml:space="preserve">五、响应文件的解密与评审</w:t>
      </w:r>
      <w:bookmarkEnd w:id="113"/>
      <w:r/>
      <w:bookmarkEnd w:id="114"/>
      <w:r/>
      <w:bookmarkEnd w:id="115"/>
      <w:r/>
      <w:bookmarkEnd w:id="116"/>
      <w:r>
        <w:rPr>
          <w:rFonts w:hint="eastAsia" w:ascii="Times New Roman" w:hAnsi="Times New Roman"/>
          <w:b/>
          <w:bCs/>
          <w:sz w:val="32"/>
          <w:szCs w:val="32"/>
        </w:rPr>
      </w:r>
      <w:r/>
    </w:p>
    <w:p>
      <w:pPr>
        <w:pStyle w:val="637"/>
        <w:ind w:firstLine="420"/>
        <w:keepLines/>
        <w:keepNext/>
        <w:rPr>
          <w:rFonts w:hint="eastAsia" w:ascii="Arial" w:hAnsi="Arial" w:eastAsia="黑体" w:cs="Arial"/>
          <w:sz w:val="28"/>
          <w:szCs w:val="28"/>
        </w:rPr>
        <w:outlineLvl w:val="3"/>
      </w:pPr>
      <w:r/>
      <w:bookmarkStart w:id="117" w:name="_Toc20823302"/>
      <w:r/>
      <w:bookmarkStart w:id="118" w:name="_Toc16938546"/>
      <w:r/>
      <w:bookmarkStart w:id="119"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17"/>
      <w:r/>
      <w:bookmarkEnd w:id="118"/>
      <w:r/>
      <w:bookmarkEnd w:id="119"/>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37"/>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ascii="Times New Roman" w:hAnsi="Times New Roman"/>
          <w:szCs w:val="21"/>
        </w:rPr>
      </w:r>
      <w:r/>
    </w:p>
    <w:p>
      <w:pPr>
        <w:pStyle w:val="637"/>
        <w:ind w:firstLine="420"/>
        <w:keepLines/>
        <w:keepNext/>
        <w:rPr>
          <w:rFonts w:hint="eastAsia" w:ascii="Arial" w:hAnsi="Arial" w:eastAsia="黑体" w:cs="Arial"/>
          <w:sz w:val="28"/>
          <w:szCs w:val="28"/>
        </w:rPr>
        <w:outlineLvl w:val="3"/>
      </w:pPr>
      <w:r/>
      <w:bookmarkStart w:id="120" w:name="_Toc513029231"/>
      <w:r/>
      <w:bookmarkStart w:id="121" w:name="_Toc20823303"/>
      <w:r/>
      <w:bookmarkStart w:id="122"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、单一来源采购小组</w:t>
      </w:r>
      <w:r>
        <w:rPr>
          <w:rFonts w:hint="eastAsia" w:ascii="Arial" w:hAnsi="Arial" w:eastAsia="黑体" w:cs="Arial"/>
          <w:sz w:val="28"/>
          <w:szCs w:val="28"/>
        </w:rPr>
      </w:r>
      <w:r/>
    </w:p>
    <w:p>
      <w:pPr>
        <w:pStyle w:val="63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.1单一来源采购小组（以下简称“采购小组”）由政府采购评审专家、采购人代表组成，且人员构成符合政府采购有关规定。</w:t>
      </w:r>
      <w:r>
        <w:rPr>
          <w:rFonts w:hint="eastAsia" w:ascii="宋体" w:hAnsi="宋体"/>
          <w:sz w:val="24"/>
          <w:szCs w:val="24"/>
        </w:rPr>
      </w:r>
      <w:r/>
    </w:p>
    <w:p>
      <w:pPr>
        <w:pStyle w:val="63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.2采购小组应当按照客观、公正、审慎的原则评审供应商的响应文件，并与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637"/>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、单一来源采购过程的保密与公正</w:t>
      </w:r>
      <w:r>
        <w:rPr>
          <w:rFonts w:hint="eastAsia" w:ascii="黑体" w:hAnsi="Arial" w:eastAsia="黑体" w:cs="Arial"/>
          <w:sz w:val="28"/>
          <w:szCs w:val="28"/>
        </w:rPr>
      </w:r>
      <w:r/>
    </w:p>
    <w:p>
      <w:pPr>
        <w:pStyle w:val="637"/>
        <w:ind w:firstLine="480"/>
        <w:spacing w:line="500" w:lineRule="exact"/>
        <w:rPr>
          <w:rFonts w:hint="eastAsia" w:ascii="宋体" w:hAnsi="宋体"/>
          <w:bCs/>
          <w:sz w:val="24"/>
          <w:szCs w:val="21"/>
        </w:rPr>
      </w:pPr>
      <w:r/>
      <w:bookmarkEnd w:id="120"/>
      <w:r/>
      <w:bookmarkEnd w:id="121"/>
      <w:r/>
      <w:bookmarkEnd w:id="122"/>
      <w:r/>
      <w:bookmarkStart w:id="123" w:name="_Toc20823304"/>
      <w:r/>
      <w:bookmarkStart w:id="124" w:name="_Toc16938548"/>
      <w:r/>
      <w:bookmarkStart w:id="125" w:name="_Toc513029232"/>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.1采购小组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、单一来源采购</w:t>
      </w:r>
      <w:r>
        <w:rPr>
          <w:rFonts w:ascii="宋体" w:hAnsi="宋体"/>
          <w:bCs/>
          <w:sz w:val="24"/>
          <w:szCs w:val="21"/>
        </w:rPr>
        <w:t xml:space="preserve">情况以及在评审</w:t>
      </w:r>
      <w:r>
        <w:rPr>
          <w:rFonts w:hint="eastAsia" w:ascii="宋体" w:hAnsi="宋体"/>
          <w:bCs/>
          <w:sz w:val="24"/>
          <w:szCs w:val="21"/>
        </w:rPr>
        <w:t xml:space="preserve">、单一来源采购</w:t>
      </w:r>
      <w:r>
        <w:rPr>
          <w:rFonts w:ascii="宋体" w:hAnsi="宋体"/>
          <w:bCs/>
          <w:sz w:val="24"/>
          <w:szCs w:val="21"/>
        </w:rPr>
        <w:t xml:space="preserve">过程</w:t>
      </w:r>
      <w:r>
        <w:rPr>
          <w:rFonts w:hint="eastAsia" w:ascii="宋体" w:hAnsi="宋体"/>
          <w:bCs/>
          <w:sz w:val="24"/>
          <w:szCs w:val="21"/>
        </w:rPr>
        <w:t xml:space="preserve">（以下简称“采购过程”）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3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.2在</w:t>
      </w:r>
      <w:r>
        <w:rPr>
          <w:rFonts w:hint="eastAsia" w:ascii="宋体" w:hAnsi="宋体"/>
          <w:sz w:val="24"/>
          <w:szCs w:val="24"/>
        </w:rPr>
        <w:t xml:space="preserve">采购过程中，供应商不得以任何行为影响评审及采购过程，否则将会导致其响应文件被拒绝。</w:t>
      </w:r>
      <w:r>
        <w:rPr>
          <w:rFonts w:hint="eastAsia" w:ascii="宋体" w:hAnsi="宋体"/>
          <w:sz w:val="24"/>
          <w:szCs w:val="24"/>
        </w:rPr>
      </w:r>
      <w:r/>
    </w:p>
    <w:p>
      <w:pPr>
        <w:pStyle w:val="63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、评审及采购过程中的澄清</w:t>
      </w:r>
      <w:bookmarkEnd w:id="123"/>
      <w:r/>
      <w:bookmarkEnd w:id="124"/>
      <w:r/>
      <w:bookmarkEnd w:id="125"/>
      <w:r>
        <w:rPr>
          <w:rFonts w:hint="eastAsia" w:ascii="Arial" w:hAnsi="Arial" w:eastAsia="黑体" w:cs="Arial"/>
          <w:sz w:val="28"/>
          <w:szCs w:val="28"/>
        </w:rPr>
      </w:r>
      <w:r/>
    </w:p>
    <w:p>
      <w:pPr>
        <w:pStyle w:val="637"/>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.1项目评审及采购过程中，采购小组有权要求供应商对响应文件中含义不明确、同类问题表述不一致或者有明显文字和计算错误的内容等作出必要的澄清、说明或者更正。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637"/>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4</w:t>
      </w:r>
      <w:r>
        <w:rPr>
          <w:rFonts w:hint="eastAsia" w:ascii="宋体" w:hAnsi="宋体" w:cs="宋体"/>
          <w:sz w:val="24"/>
          <w:szCs w:val="24"/>
        </w:rPr>
        <w:t xml:space="preserve">.2需要供应商进行澄清、说明和更正的，采购小组将通过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37"/>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4</w:t>
      </w:r>
      <w:r>
        <w:rPr>
          <w:rFonts w:hint="eastAsia" w:ascii="宋体" w:hAnsi="宋体"/>
          <w:sz w:val="24"/>
          <w:szCs w:val="24"/>
        </w:rPr>
        <w:t xml:space="preserve">.3 接到采购小组澄清、说明和更正要求的供应商如未按规定做出澄清、说明和 更正，其风险由供应商自行承担。</w:t>
      </w:r>
      <w:r>
        <w:rPr>
          <w:rFonts w:hint="eastAsia" w:ascii="宋体" w:hAnsi="宋体"/>
          <w:sz w:val="24"/>
          <w:szCs w:val="24"/>
        </w:rPr>
      </w:r>
      <w:r/>
    </w:p>
    <w:p>
      <w:pPr>
        <w:pStyle w:val="637"/>
        <w:ind w:firstLine="420"/>
        <w:keepLines/>
        <w:keepNext/>
        <w:rPr>
          <w:rFonts w:hint="eastAsia" w:ascii="Arial" w:hAnsi="Arial" w:eastAsia="黑体" w:cs="Arial"/>
          <w:sz w:val="28"/>
          <w:szCs w:val="28"/>
        </w:rPr>
        <w:outlineLvl w:val="3"/>
      </w:pPr>
      <w:r/>
      <w:bookmarkStart w:id="126" w:name="_Toc16938549"/>
      <w:r/>
      <w:bookmarkStart w:id="127" w:name="_Toc513029233"/>
      <w:r/>
      <w:bookmarkStart w:id="128" w:name="_Toc20823305"/>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26"/>
      <w:r/>
      <w:bookmarkEnd w:id="127"/>
      <w:r/>
      <w:bookmarkEnd w:id="128"/>
      <w:r>
        <w:rPr>
          <w:rFonts w:hint="eastAsia" w:ascii="Arial" w:hAnsi="Arial" w:eastAsia="黑体" w:cs="Arial"/>
          <w:sz w:val="28"/>
          <w:szCs w:val="28"/>
        </w:rPr>
        <w:t xml:space="preserve">查</w:t>
      </w:r>
      <w:r>
        <w:rPr>
          <w:rFonts w:hint="eastAsia" w:ascii="Arial" w:hAnsi="Arial" w:eastAsia="黑体" w:cs="Arial"/>
          <w:sz w:val="28"/>
          <w:szCs w:val="28"/>
        </w:rPr>
      </w:r>
      <w:r/>
    </w:p>
    <w:p>
      <w:pPr>
        <w:pStyle w:val="637"/>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25.1.1 资格审查：由采购小组依据法律法规和单一</w:t>
      </w:r>
      <w:r>
        <w:rPr>
          <w:rFonts w:ascii="宋体" w:hAnsi="宋体"/>
          <w:bCs/>
          <w:sz w:val="24"/>
          <w:szCs w:val="21"/>
        </w:rPr>
        <w:t xml:space="preserve">来源</w:t>
      </w:r>
      <w:r>
        <w:rPr>
          <w:rFonts w:hint="eastAsia" w:ascii="宋体" w:hAnsi="宋体"/>
          <w:bCs/>
          <w:sz w:val="24"/>
          <w:szCs w:val="21"/>
        </w:rPr>
        <w:t xml:space="preserve">文件的规定，对响应文件中的资格证明文件进行审查，以确定供应商是否具备参加单一来源的资格。</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采购小组在进行资格审查的同时，将在“信用中国”网站（www.creditchina.gov.cn）查询供应商的信用记录，以确定供应商是否具备参加单一来源采购</w:t>
      </w:r>
      <w:r>
        <w:rPr>
          <w:rFonts w:ascii="宋体" w:hAnsi="宋体"/>
          <w:bCs/>
          <w:sz w:val="24"/>
          <w:szCs w:val="21"/>
        </w:rPr>
        <w:t xml:space="preserve">活动的</w:t>
      </w:r>
      <w:r>
        <w:rPr>
          <w:rFonts w:hint="eastAsia" w:ascii="宋体" w:hAnsi="宋体"/>
          <w:bCs/>
          <w:sz w:val="24"/>
          <w:szCs w:val="21"/>
        </w:rPr>
        <w:t xml:space="preserve">资格,查询结果留存并归档。</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符合性审查：依据采购文件的规定，由采购小组从响应文件的有效性、完整性和对采购文件的响应程度进行审查，以确定是否对单一来源文件的实质性要求作出响应。</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未通过资格审查或符合性审查的供应商，采购小组将在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中告知未通过资格审查或符合性审查的原因，评审结束后，采购小组将不再告知未通过资格审查或符合性审查的原因。</w:t>
      </w:r>
      <w:r>
        <w:rPr>
          <w:rFonts w:hint="eastAsia" w:ascii="宋体" w:hAnsi="宋体"/>
          <w:bCs/>
          <w:sz w:val="24"/>
          <w:szCs w:val="21"/>
        </w:rPr>
      </w:r>
      <w:r/>
    </w:p>
    <w:p>
      <w:pPr>
        <w:pStyle w:val="637"/>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在正式进行评审之前，采购小组将首先审查每份响应文件是否实质性响应了采购文件的要求。实质性响应的响应文件应该是与采购文件要求的条款、条件和规格相符，没有重大偏离或保留。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采购小组按照少数服从多数的原则认定。采购小组决定响应文件的响应性只根据响应文件本身的内容，而不寻求外部的证据。</w:t>
      </w:r>
      <w:r>
        <w:rPr>
          <w:rFonts w:hint="eastAsia" w:ascii="宋体" w:hAnsi="宋体"/>
          <w:sz w:val="24"/>
          <w:szCs w:val="24"/>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25.3未实质性响应采购文件的情形</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25.3.2供应商未按照采购文件要求上传电子响应文件的。</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25.3.4供应商不具备采购文件中规定资格要求的。</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25.3.6不符合采购文件中规定的实质性要求的</w:t>
      </w:r>
      <w:r>
        <w:rPr>
          <w:rFonts w:hint="eastAsia" w:ascii="宋体" w:hAnsi="宋体"/>
          <w:b/>
          <w:bCs/>
          <w:sz w:val="24"/>
          <w:szCs w:val="21"/>
        </w:rPr>
        <w:t xml:space="preserve">（本单一来源文件中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25.3.9 如本项目采购产品被财政部、国家发改委、生态环境部等列入“节能产品品目清单”、“环境标志产品品目清单”强制采购范围，而单一</w:t>
      </w:r>
      <w:r>
        <w:rPr>
          <w:rFonts w:ascii="宋体" w:hAnsi="宋体"/>
          <w:bCs/>
          <w:sz w:val="24"/>
          <w:szCs w:val="21"/>
        </w:rPr>
        <w:t xml:space="preserve">来源</w:t>
      </w:r>
      <w:r>
        <w:rPr>
          <w:rFonts w:hint="eastAsia" w:ascii="宋体" w:hAnsi="宋体"/>
          <w:bCs/>
          <w:sz w:val="24"/>
          <w:szCs w:val="21"/>
        </w:rPr>
        <w:t xml:space="preserve">供应商所响应产品不在强制采购范围内的。（采购的产品如属于政府强制采购节能产品品目清单范围内，响应文件中必须提供国家确定的认证机构出具的、处于有效期之内的该节能产品认证证书图片）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25.3.10响应文件未按照单一来源文件要求加盖CA电子公章的。</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bCs/>
          <w:sz w:val="24"/>
          <w:szCs w:val="21"/>
        </w:rPr>
        <w:t xml:space="preserve">25.4未实质性响应采购文件的响应文件按无效响应处理。</w:t>
      </w:r>
      <w:r>
        <w:rPr>
          <w:rFonts w:hint="eastAsia" w:ascii="宋体" w:hAnsi="宋体"/>
          <w:bCs/>
          <w:sz w:val="24"/>
          <w:szCs w:val="21"/>
        </w:rPr>
      </w:r>
      <w:r/>
    </w:p>
    <w:p>
      <w:pPr>
        <w:pStyle w:val="637"/>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如果响应文件实质上没有响应采购文件的要求，采购小组将予以拒绝。</w:t>
      </w:r>
      <w:r>
        <w:rPr>
          <w:rFonts w:hint="eastAsia" w:ascii="宋体" w:hAnsi="宋体"/>
          <w:bCs/>
          <w:sz w:val="24"/>
          <w:szCs w:val="21"/>
        </w:rPr>
      </w:r>
      <w:r/>
    </w:p>
    <w:p>
      <w:pPr>
        <w:pStyle w:val="637"/>
        <w:ind w:firstLine="480"/>
        <w:spacing w:line="460" w:lineRule="exact"/>
        <w:rPr>
          <w:rFonts w:hint="eastAsia" w:ascii="宋体" w:hAnsi="宋体"/>
          <w:sz w:val="24"/>
          <w:szCs w:val="21"/>
        </w:rPr>
      </w:pPr>
      <w:r/>
      <w:bookmarkStart w:id="129" w:name="_Toc20823306"/>
      <w:r/>
      <w:bookmarkStart w:id="130" w:name="_Toc16938550"/>
      <w:r/>
      <w:bookmarkStart w:id="131" w:name="_Toc513029234"/>
      <w:r>
        <w:rPr>
          <w:rFonts w:hint="eastAsia" w:ascii="宋体" w:hAnsi="宋体"/>
          <w:sz w:val="24"/>
          <w:szCs w:val="21"/>
        </w:rPr>
        <w:t xml:space="preserve">25.6供应商在项目评审及单一</w:t>
      </w:r>
      <w:r>
        <w:rPr>
          <w:rFonts w:ascii="宋体" w:hAnsi="宋体"/>
          <w:sz w:val="24"/>
          <w:szCs w:val="21"/>
        </w:rPr>
        <w:t xml:space="preserve">来源</w:t>
      </w:r>
      <w:r>
        <w:rPr>
          <w:rFonts w:hint="eastAsia" w:ascii="宋体" w:hAnsi="宋体"/>
          <w:sz w:val="24"/>
          <w:szCs w:val="21"/>
        </w:rPr>
        <w:t xml:space="preserve">采购活动全过程中应保持通讯畅通，并安排专人与采购中心及采购小组联系。</w:t>
      </w:r>
      <w:r>
        <w:rPr>
          <w:rFonts w:hint="eastAsia" w:ascii="宋体" w:hAnsi="宋体"/>
          <w:sz w:val="24"/>
          <w:szCs w:val="21"/>
        </w:rPr>
      </w:r>
      <w:r/>
    </w:p>
    <w:p>
      <w:pPr>
        <w:pStyle w:val="63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29"/>
      <w:r/>
      <w:bookmarkEnd w:id="130"/>
      <w:r/>
      <w:bookmarkEnd w:id="131"/>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637"/>
        <w:ind w:left="479"/>
        <w:spacing w:line="440" w:lineRule="exact"/>
        <w:rPr>
          <w:rFonts w:hint="eastAsia" w:ascii="宋体" w:hAnsi="宋体"/>
          <w:bCs/>
          <w:sz w:val="24"/>
          <w:szCs w:val="21"/>
        </w:rPr>
      </w:pPr>
      <w:r>
        <w:rPr>
          <w:rFonts w:hint="eastAsia" w:ascii="宋体" w:hAnsi="宋体"/>
          <w:bCs/>
          <w:sz w:val="24"/>
          <w:szCs w:val="21"/>
        </w:rPr>
        <w:t xml:space="preserve">26.1单一来源谈判</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26.1.1 对于通过资格审查和符合性审查的供应商，采购小组将通过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rPr>
          <w:rFonts w:hint="eastAsia" w:ascii="宋体" w:hAnsi="宋体"/>
          <w:bCs/>
          <w:sz w:val="24"/>
          <w:szCs w:val="21"/>
        </w:rPr>
      </w:r>
      <w:r/>
    </w:p>
    <w:p>
      <w:pPr>
        <w:pStyle w:val="637"/>
        <w:ind w:firstLine="477"/>
        <w:spacing w:line="440" w:lineRule="exact"/>
        <w:rPr>
          <w:rFonts w:hint="eastAsia" w:ascii="宋体" w:hAnsi="宋体"/>
          <w:bCs/>
          <w:sz w:val="24"/>
          <w:szCs w:val="21"/>
        </w:rPr>
      </w:pPr>
      <w:r>
        <w:rPr>
          <w:rFonts w:hint="eastAsia" w:ascii="宋体" w:hAnsi="宋体"/>
          <w:bCs/>
          <w:sz w:val="24"/>
          <w:szCs w:val="21"/>
        </w:rPr>
        <w:t xml:space="preserve">26.1.2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以书面形式对采购过程中做出的承诺与澄清进行确认，并在采购小组规定的时间内完成最后报价。</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26.1.3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报价）。否则，采购小组有权拒绝该最后报价并不再给予报价补救机会。</w:t>
      </w:r>
      <w:r>
        <w:rPr>
          <w:rFonts w:hint="eastAsia" w:ascii="宋体" w:hAnsi="宋体"/>
          <w:bCs/>
          <w:sz w:val="24"/>
          <w:szCs w:val="21"/>
        </w:rPr>
      </w:r>
      <w:r/>
    </w:p>
    <w:p>
      <w:pPr>
        <w:pStyle w:val="637"/>
        <w:ind w:firstLine="360"/>
        <w:spacing w:line="440" w:lineRule="exact"/>
        <w:rPr>
          <w:rFonts w:hint="eastAsia" w:ascii="宋体" w:hAnsi="宋体"/>
          <w:bCs/>
          <w:sz w:val="24"/>
          <w:szCs w:val="21"/>
        </w:rPr>
      </w:pPr>
      <w:r>
        <w:rPr>
          <w:rFonts w:hint="eastAsia" w:ascii="宋体" w:hAnsi="宋体"/>
          <w:bCs/>
          <w:sz w:val="24"/>
          <w:szCs w:val="21"/>
        </w:rPr>
        <w:t xml:space="preserve"> 26.2成交原则</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采购小组根据政府采购相关法律、规章的规定，在供应商的响应情况能保证采购项目质量且最后报价合理的基础上确定其为成交供应商。</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w:t>
      </w:r>
      <w:r>
        <w:rPr>
          <w:rFonts w:hint="eastAsia" w:ascii="宋体" w:hAnsi="宋体"/>
          <w:bCs/>
          <w:sz w:val="24"/>
          <w:szCs w:val="21"/>
        </w:rPr>
        <w:t xml:space="preserve">单一来源谈判终止情形处理</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3.2 </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3.3</w:t>
      </w:r>
      <w:r>
        <w:rPr>
          <w:rFonts w:hint="eastAsia" w:ascii="宋体" w:hAnsi="宋体"/>
          <w:bCs/>
          <w:sz w:val="24"/>
          <w:szCs w:val="21"/>
        </w:rPr>
        <w:t xml:space="preserve">供应商最后报价超过采购预算的；</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供应商的技术方案、服务承诺、商务条款等不能满足采购人或采购小组的要求；</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637"/>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3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27、确定成交供应商</w:t>
      </w:r>
      <w:r>
        <w:rPr>
          <w:rFonts w:hint="eastAsia" w:ascii="Arial" w:hAnsi="Arial" w:eastAsia="黑体" w:cs="Arial"/>
          <w:sz w:val="28"/>
          <w:szCs w:val="28"/>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.1采购小组根据单一</w:t>
      </w:r>
      <w:r>
        <w:rPr>
          <w:rFonts w:ascii="宋体" w:hAnsi="宋体"/>
          <w:bCs/>
          <w:sz w:val="24"/>
          <w:szCs w:val="21"/>
        </w:rPr>
        <w:t xml:space="preserve">来源</w:t>
      </w:r>
      <w:r>
        <w:rPr>
          <w:rFonts w:hint="eastAsia" w:ascii="宋体" w:hAnsi="宋体"/>
          <w:bCs/>
          <w:sz w:val="24"/>
          <w:szCs w:val="21"/>
        </w:rPr>
        <w:t xml:space="preserve">谈判情况编写单一来源评审报告，推荐成交候选供应商。</w:t>
      </w:r>
      <w:r>
        <w:rPr>
          <w:rFonts w:hint="eastAsia" w:ascii="宋体" w:hAnsi="宋体"/>
          <w:bCs/>
          <w:sz w:val="24"/>
          <w:szCs w:val="21"/>
        </w:rPr>
      </w:r>
      <w:r/>
    </w:p>
    <w:p>
      <w:pPr>
        <w:pStyle w:val="637"/>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 采购人根据采购小组推荐的成交候选供应商确定成交供应商。</w:t>
      </w:r>
      <w:r>
        <w:rPr>
          <w:rFonts w:ascii="宋体" w:hAnsi="宋体"/>
          <w:bCs/>
          <w:sz w:val="24"/>
          <w:szCs w:val="21"/>
        </w:rPr>
      </w:r>
      <w:r/>
    </w:p>
    <w:p>
      <w:pPr>
        <w:pStyle w:val="637"/>
        <w:ind w:firstLine="480"/>
        <w:spacing w:line="440" w:lineRule="exact"/>
        <w:rPr>
          <w:rFonts w:hint="eastAsia" w:ascii="宋体" w:hAnsi="宋体"/>
          <w:bCs/>
          <w:sz w:val="24"/>
          <w:szCs w:val="21"/>
        </w:rPr>
      </w:pPr>
      <w:r>
        <w:rPr>
          <w:rFonts w:ascii="宋体" w:hAnsi="宋体"/>
          <w:bCs/>
          <w:sz w:val="24"/>
          <w:szCs w:val="21"/>
        </w:rPr>
        <w:t xml:space="preserve">27.3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5不满足本采购文件规定的实质性要求，但在评审过程中又未被采购小组发现的。</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637"/>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rPr>
          <w:rFonts w:hint="eastAsia" w:ascii="宋体" w:hAnsi="宋体"/>
          <w:bCs/>
          <w:sz w:val="24"/>
          <w:szCs w:val="21"/>
        </w:rPr>
      </w:r>
      <w:r/>
    </w:p>
    <w:p>
      <w:pPr>
        <w:pStyle w:val="637"/>
        <w:ind w:firstLine="600"/>
        <w:keepLines/>
        <w:keepNext/>
        <w:rPr>
          <w:rFonts w:hint="eastAsia" w:ascii="黑体" w:hAnsi="宋体" w:eastAsia="黑体"/>
          <w:bCs/>
          <w:sz w:val="30"/>
          <w:szCs w:val="30"/>
        </w:rPr>
        <w:outlineLvl w:val="3"/>
      </w:pPr>
      <w:r/>
      <w:bookmarkStart w:id="132"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32"/>
      <w:r>
        <w:rPr>
          <w:rFonts w:hint="eastAsia" w:ascii="黑体" w:hAnsi="宋体" w:eastAsia="黑体"/>
          <w:bCs/>
          <w:sz w:val="30"/>
          <w:szCs w:val="30"/>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28.1供应商认为采购过程和采购结果使自己的权益受到损害的，可以从采购结果公布之日起七个工作日内，以书面形式向采购中心提出质疑。</w:t>
      </w:r>
      <w:r>
        <w:rPr>
          <w:rFonts w:hint="eastAsia" w:ascii="宋体" w:hAnsi="宋体"/>
          <w:sz w:val="24"/>
          <w:szCs w:val="24"/>
        </w:rPr>
      </w:r>
      <w:r/>
    </w:p>
    <w:p>
      <w:pPr>
        <w:pStyle w:val="637"/>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3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3质疑函必须按照本采购文件中《质疑函范本》要求的格式和内容进行填写。供应商如组成联合体参加单一</w:t>
      </w:r>
      <w:r>
        <w:rPr>
          <w:rFonts w:ascii="宋体" w:hAnsi="宋体"/>
          <w:sz w:val="24"/>
          <w:szCs w:val="24"/>
        </w:rPr>
        <w:t xml:space="preserve">来源</w:t>
      </w:r>
      <w:r>
        <w:rPr>
          <w:rFonts w:hint="eastAsia" w:ascii="宋体" w:hAnsi="宋体"/>
          <w:sz w:val="24"/>
          <w:szCs w:val="24"/>
        </w:rPr>
        <w:t xml:space="preserve">谈判，则《质疑函范本》中要求签字、盖章、加盖公章之处，联合体各方均须按要求签字、盖章、加盖公章。</w:t>
      </w:r>
      <w:r>
        <w:rPr>
          <w:rFonts w:hint="eastAsia" w:ascii="宋体" w:hAnsi="宋体"/>
          <w:sz w:val="24"/>
          <w:szCs w:val="24"/>
        </w:rPr>
      </w:r>
      <w:r/>
    </w:p>
    <w:p>
      <w:pPr>
        <w:pStyle w:val="637"/>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b/>
          <w:sz w:val="24"/>
          <w:szCs w:val="24"/>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63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5.5供应商组成联合体参加单一</w:t>
      </w:r>
      <w:r>
        <w:rPr>
          <w:rFonts w:ascii="宋体" w:hAnsi="宋体"/>
          <w:sz w:val="24"/>
          <w:szCs w:val="24"/>
        </w:rPr>
        <w:t xml:space="preserve">来源</w:t>
      </w:r>
      <w:r>
        <w:rPr>
          <w:rFonts w:hint="eastAsia" w:ascii="宋体" w:hAnsi="宋体"/>
          <w:sz w:val="24"/>
          <w:szCs w:val="24"/>
        </w:rPr>
        <w:t xml:space="preserve">谈判，联合体中任何一方或多方未按要求签字、盖章、加盖公章的质疑。</w:t>
      </w:r>
      <w:r>
        <w:rPr>
          <w:rFonts w:hint="eastAsia" w:ascii="宋体" w:hAnsi="宋体"/>
          <w:sz w:val="24"/>
          <w:szCs w:val="24"/>
        </w:rPr>
      </w:r>
      <w:r/>
    </w:p>
    <w:p>
      <w:pPr>
        <w:pStyle w:val="637"/>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37"/>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37"/>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37"/>
        <w:ind w:firstLine="60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37"/>
        <w:keepLines/>
        <w:keepNext/>
        <w:spacing w:before="156" w:after="156" w:line="360" w:lineRule="auto"/>
        <w:rPr>
          <w:rFonts w:hint="eastAsia" w:ascii="Times New Roman" w:hAnsi="Times New Roman"/>
          <w:b/>
          <w:bCs/>
          <w:sz w:val="32"/>
          <w:szCs w:val="32"/>
        </w:rPr>
        <w:outlineLvl w:val="2"/>
      </w:pPr>
      <w:r/>
      <w:bookmarkStart w:id="133" w:name="_Toc120614220"/>
      <w:r/>
      <w:bookmarkStart w:id="134" w:name="_Toc20823308"/>
      <w:r/>
      <w:bookmarkStart w:id="135" w:name="_Toc513029236"/>
      <w:r/>
      <w:bookmarkStart w:id="136" w:name="_Toc16938552"/>
      <w:r>
        <w:rPr>
          <w:rFonts w:hint="eastAsia" w:ascii="Times New Roman" w:hAnsi="Times New Roman"/>
          <w:b/>
          <w:bCs/>
          <w:sz w:val="32"/>
          <w:szCs w:val="32"/>
        </w:rPr>
        <w:t xml:space="preserve">七、授予合同</w:t>
      </w:r>
      <w:bookmarkEnd w:id="133"/>
      <w:r>
        <w:rPr>
          <w:rFonts w:hint="eastAsia" w:ascii="Times New Roman" w:hAnsi="Times New Roman"/>
          <w:b/>
          <w:bCs/>
          <w:sz w:val="32"/>
          <w:szCs w:val="32"/>
        </w:rPr>
      </w:r>
      <w:r/>
    </w:p>
    <w:p>
      <w:pPr>
        <w:pStyle w:val="637"/>
        <w:ind w:firstLine="600"/>
        <w:keepLines/>
        <w:keepNext/>
        <w:rPr>
          <w:rFonts w:hint="eastAsia" w:ascii="黑体" w:hAnsi="宋体" w:eastAsia="黑体"/>
          <w:bCs/>
          <w:sz w:val="30"/>
          <w:szCs w:val="30"/>
        </w:rPr>
        <w:outlineLvl w:val="3"/>
      </w:pPr>
      <w:r/>
      <w:bookmarkEnd w:id="134"/>
      <w:r/>
      <w:bookmarkEnd w:id="135"/>
      <w:r/>
      <w:bookmarkEnd w:id="136"/>
      <w:r/>
      <w:bookmarkStart w:id="137" w:name="_Toc20823309"/>
      <w:r/>
      <w:bookmarkStart w:id="138" w:name="_Toc16938553"/>
      <w:r/>
      <w:bookmarkStart w:id="139"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3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637"/>
        <w:ind w:firstLine="600"/>
        <w:spacing w:line="480" w:lineRule="exact"/>
        <w:rPr>
          <w:rFonts w:hint="eastAsia" w:ascii="宋体" w:hAnsi="宋体"/>
          <w:sz w:val="24"/>
          <w:szCs w:val="24"/>
        </w:rPr>
      </w:pPr>
      <w:r>
        <w:rPr>
          <w:rFonts w:hint="eastAsia" w:ascii="宋体" w:hAnsi="宋体"/>
          <w:sz w:val="24"/>
          <w:szCs w:val="24"/>
        </w:rPr>
        <w:t xml:space="preserve">30.2采购文件、成交供应商的响应文件及采购过程中有关澄清、承诺文件均应作为合同附件。</w:t>
      </w:r>
      <w:r>
        <w:rPr>
          <w:rFonts w:hint="eastAsia" w:ascii="宋体" w:hAnsi="宋体"/>
          <w:sz w:val="24"/>
          <w:szCs w:val="24"/>
        </w:rPr>
      </w:r>
      <w:r/>
    </w:p>
    <w:p>
      <w:pPr>
        <w:pStyle w:val="637"/>
        <w:ind w:firstLine="600"/>
        <w:spacing w:line="480" w:lineRule="exact"/>
        <w:rPr>
          <w:rFonts w:hint="eastAsia"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签订合同后，成交供应商不得将合同标的进行转包。未经采购人同意，成交供应商也不得采用采购包形式履行合同,否则采购人有权终止合同。转包或采购包造成采购人损失的，成交供应商应承担相应赔偿责任。</w:t>
      </w:r>
      <w:r>
        <w:rPr>
          <w:rFonts w:hint="eastAsia" w:ascii="宋体" w:hAnsi="宋体"/>
          <w:sz w:val="24"/>
          <w:szCs w:val="24"/>
        </w:rPr>
      </w:r>
      <w:r/>
    </w:p>
    <w:p>
      <w:pPr>
        <w:pStyle w:val="63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37"/>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37"/>
        <w:ind w:firstLine="600"/>
        <w:keepLines/>
        <w:keepNext/>
        <w:rPr>
          <w:rFonts w:ascii="黑体" w:hAnsi="宋体" w:eastAsia="黑体"/>
          <w:bCs/>
          <w:sz w:val="30"/>
          <w:szCs w:val="30"/>
        </w:rPr>
        <w:outlineLvl w:val="3"/>
      </w:pPr>
      <w:r/>
      <w:bookmarkEnd w:id="137"/>
      <w:r/>
      <w:bookmarkEnd w:id="138"/>
      <w:r/>
      <w:bookmarkEnd w:id="139"/>
      <w:r/>
      <w:bookmarkStart w:id="140" w:name="_Toc120614221"/>
      <w:r/>
      <w:bookmarkStart w:id="141" w:name="_Toc479757207"/>
      <w:r/>
      <w:bookmarkStart w:id="142" w:name="_Toc16938558"/>
      <w:r/>
      <w:bookmarkStart w:id="143" w:name="_Toc20823314"/>
      <w:r/>
      <w:bookmarkStart w:id="144" w:name="_Toc513029242"/>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37"/>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637"/>
        <w:keepNext/>
        <w:rPr>
          <w:rFonts w:ascii="黑体" w:hAnsi="Times New Roman" w:eastAsia="黑体"/>
          <w:bCs/>
          <w:sz w:val="44"/>
          <w:szCs w:val="28"/>
        </w:rPr>
        <w:outlineLvl w:val="0"/>
      </w:pPr>
      <w:r>
        <w:rPr>
          <w:rFonts w:ascii="黑体" w:hAnsi="Times New Roman" w:eastAsia="黑体"/>
          <w:bCs/>
          <w:sz w:val="44"/>
          <w:szCs w:val="28"/>
        </w:rPr>
      </w:r>
      <w:r/>
    </w:p>
    <w:p>
      <w:pPr>
        <w:pStyle w:val="637"/>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37"/>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37"/>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0"/>
      <w:r/>
      <w:bookmarkEnd w:id="141"/>
      <w:r/>
      <w:bookmarkEnd w:id="142"/>
      <w:r/>
      <w:bookmarkEnd w:id="143"/>
      <w:r/>
      <w:bookmarkEnd w:id="144"/>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637"/>
        <w:jc w:val="center"/>
        <w:spacing w:before="156" w:after="156"/>
        <w:rPr>
          <w:rFonts w:hint="eastAsia" w:ascii="宋体" w:hAnsi="宋体"/>
          <w:b/>
          <w:sz w:val="30"/>
          <w:szCs w:val="21"/>
        </w:rPr>
        <w:outlineLvl w:val="0"/>
      </w:pPr>
      <w:r/>
      <w:bookmarkStart w:id="145" w:name="_Toc513029243"/>
      <w:r/>
      <w:bookmarkStart w:id="146" w:name="_Toc16938559"/>
      <w:r/>
      <w:bookmarkStart w:id="147" w:name="_Toc20823315"/>
      <w:r>
        <w:rPr>
          <w:rFonts w:hint="eastAsia" w:ascii="宋体" w:hAnsi="宋体"/>
          <w:b/>
          <w:sz w:val="30"/>
          <w:szCs w:val="21"/>
        </w:rPr>
      </w:r>
      <w:r/>
    </w:p>
    <w:p>
      <w:pPr>
        <w:pStyle w:val="637"/>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637"/>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637"/>
        <w:jc w:val="center"/>
        <w:spacing w:before="156" w:after="156"/>
        <w:rPr>
          <w:rFonts w:hint="eastAsia" w:ascii="宋体" w:hAnsi="宋体"/>
          <w:b/>
          <w:bCs/>
          <w:sz w:val="30"/>
          <w:szCs w:val="20"/>
        </w:rPr>
        <w:outlineLvl w:val="0"/>
      </w:pPr>
      <w:r>
        <w:rPr>
          <w:rFonts w:hint="eastAsia" w:ascii="宋体" w:hAnsi="宋体"/>
          <w:b/>
          <w:bCs/>
          <w:sz w:val="30"/>
          <w:szCs w:val="20"/>
        </w:rPr>
      </w:r>
      <w:r/>
    </w:p>
    <w:p>
      <w:pPr>
        <w:pStyle w:val="637"/>
        <w:spacing w:before="120" w:after="120"/>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r>
      <w:r/>
    </w:p>
    <w:p>
      <w:pPr>
        <w:pStyle w:val="637"/>
        <w:spacing w:before="120" w:after="120"/>
        <w:rPr>
          <w:rFonts w:ascii="宋体" w:hAnsi="宋体" w:cs="Courier New"/>
          <w:sz w:val="24"/>
          <w:szCs w:val="24"/>
        </w:rPr>
      </w:pPr>
      <w:r>
        <w:rPr>
          <w:rFonts w:ascii="宋体" w:hAnsi="宋体" w:cs="Courier New"/>
          <w:sz w:val="24"/>
          <w:szCs w:val="24"/>
        </w:rPr>
        <w:t xml:space="preserve">项目编号：</w:t>
      </w:r>
      <w:r>
        <w:rPr>
          <w:rFonts w:ascii="宋体" w:hAnsi="宋体" w:cs="Courier New"/>
          <w:sz w:val="24"/>
          <w:szCs w:val="24"/>
        </w:rPr>
      </w:r>
      <w:r/>
    </w:p>
    <w:p>
      <w:pPr>
        <w:pStyle w:val="63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637"/>
        <w:spacing w:before="120" w:after="120"/>
        <w:rPr>
          <w:rFonts w:hint="eastAsia" w:ascii="宋体" w:hAnsi="宋体" w:cs="Courier New"/>
          <w:sz w:val="24"/>
          <w:szCs w:val="24"/>
        </w:rPr>
      </w:pPr>
      <w:r>
        <w:rPr>
          <w:rFonts w:hint="eastAsia" w:ascii="宋体" w:hAnsi="宋体" w:cs="Courier New"/>
          <w:sz w:val="24"/>
          <w:szCs w:val="24"/>
        </w:rPr>
      </w:r>
      <w:r/>
    </w:p>
    <w:p>
      <w:pPr>
        <w:pStyle w:val="637"/>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637"/>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637"/>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37"/>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rPr>
      </w:r>
      <w:r/>
    </w:p>
    <w:p>
      <w:pPr>
        <w:pStyle w:val="637"/>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637"/>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637"/>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3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ascii="宋体" w:hAnsi="宋体" w:cs="Courier New"/>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637"/>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637"/>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37"/>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37"/>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637"/>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37"/>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37"/>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37"/>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637"/>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rPr>
          <w:rFonts w:hint="eastAsia" w:ascii="宋体" w:hAnsi="宋体" w:cs="Courier New"/>
          <w:sz w:val="24"/>
          <w:szCs w:val="24"/>
        </w:rPr>
      </w:r>
      <w:r/>
    </w:p>
    <w:p>
      <w:pPr>
        <w:pStyle w:val="63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63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63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63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637"/>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rPr>
          <w:rFonts w:ascii="宋体" w:hAnsi="宋体" w:cs="Courier New"/>
          <w:sz w:val="24"/>
          <w:szCs w:val="24"/>
        </w:rPr>
      </w:r>
      <w:r/>
    </w:p>
    <w:p>
      <w:pPr>
        <w:pStyle w:val="63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3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37"/>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63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37"/>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637"/>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hint="eastAsia" w:ascii="宋体" w:hAnsi="宋体" w:cs="Courier New"/>
          <w:bCs/>
          <w:sz w:val="24"/>
          <w:szCs w:val="24"/>
        </w:rPr>
      </w:r>
      <w:r/>
    </w:p>
    <w:p>
      <w:pPr>
        <w:pStyle w:val="637"/>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.1.1 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637"/>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.1.2 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63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37"/>
        <w:spacing w:before="156" w:after="156"/>
        <w:rPr>
          <w:rFonts w:ascii="宋体" w:hAnsi="宋体" w:eastAsia="仿宋_GB2312"/>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63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3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63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3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63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63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63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63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63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3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63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63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63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37"/>
        <w:spacing w:before="120" w:after="120"/>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3</w:t>
      </w:r>
      <w:r>
        <w:rPr>
          <w:rFonts w:hint="eastAsia" w:ascii="宋体" w:hAnsi="宋体" w:cs="Courier New"/>
          <w:sz w:val="24"/>
          <w:szCs w:val="24"/>
        </w:rPr>
        <w:t xml:space="preserve">.1双方在签订、履行合同中所发生的一切争议，应通过友好协商解决。如协商不成，由甲方住所地人民法院管辖。</w:t>
      </w:r>
      <w:r>
        <w:rPr>
          <w:rFonts w:hint="eastAsia" w:ascii="宋体" w:hAnsi="宋体" w:cs="Courier New"/>
          <w:sz w:val="24"/>
          <w:szCs w:val="24"/>
        </w:rPr>
      </w:r>
      <w:r/>
    </w:p>
    <w:p>
      <w:pPr>
        <w:pStyle w:val="63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637"/>
        <w:spacing w:before="120" w:after="120"/>
        <w:rPr>
          <w:rFonts w:ascii="宋体" w:hAnsi="宋体" w:cs="Courier New"/>
          <w:sz w:val="24"/>
          <w:szCs w:val="24"/>
        </w:rPr>
      </w:pPr>
      <w:r>
        <w:rPr>
          <w:rFonts w:ascii="宋体" w:hAnsi="宋体" w:cs="Courier New"/>
          <w:sz w:val="24"/>
          <w:szCs w:val="24"/>
        </w:rPr>
        <w:t xml:space="preserve">14.1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37"/>
        <w:spacing w:before="120" w:after="120"/>
        <w:rPr>
          <w:rFonts w:ascii="宋体" w:hAnsi="宋体" w:cs="Courier New"/>
          <w:sz w:val="24"/>
          <w:szCs w:val="24"/>
        </w:rPr>
      </w:pPr>
      <w:r>
        <w:rPr>
          <w:rFonts w:ascii="宋体" w:hAnsi="宋体" w:cs="Courier New"/>
          <w:sz w:val="24"/>
          <w:szCs w:val="24"/>
        </w:rPr>
        <w:t xml:space="preserve">14.2本合同未尽事宜，遵照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637"/>
        <w:ind w:left="480" w:hanging="480"/>
        <w:spacing w:before="120" w:after="120"/>
        <w:rPr>
          <w:rFonts w:ascii="宋体" w:hAnsi="宋体" w:cs="Courier New"/>
          <w:sz w:val="24"/>
          <w:szCs w:val="24"/>
        </w:rPr>
      </w:pPr>
      <w:r>
        <w:rPr>
          <w:rFonts w:ascii="宋体" w:hAnsi="宋体" w:cs="Courier New"/>
          <w:sz w:val="24"/>
          <w:szCs w:val="24"/>
        </w:rPr>
        <w:t xml:space="preserve">14.</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cs="Courier New"/>
          <w:sz w:val="24"/>
          <w:szCs w:val="24"/>
        </w:rPr>
      </w:r>
      <w:r/>
    </w:p>
    <w:p>
      <w:pPr>
        <w:pStyle w:val="637"/>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637"/>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37"/>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37"/>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37"/>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637"/>
        <w:jc w:val="center"/>
        <w:spacing w:before="120" w:after="120" w:line="0" w:lineRule="atLeast"/>
        <w:rPr>
          <w:rFonts w:ascii="黑体" w:hAnsi="Courier New" w:eastAsia="黑体" w:cs="Courier New"/>
          <w:bCs/>
          <w:sz w:val="44"/>
          <w:szCs w:val="21"/>
        </w:rPr>
      </w:pPr>
      <w:r/>
      <w:bookmarkEnd w:id="145"/>
      <w:r/>
      <w:bookmarkEnd w:id="146"/>
      <w:r/>
      <w:bookmarkEnd w:id="147"/>
      <w:r/>
      <w:bookmarkStart w:id="148" w:name="_Hlt16619369"/>
      <w:r/>
      <w:bookmarkEnd w:id="148"/>
      <w:r/>
      <w:bookmarkStart w:id="149" w:name="_Hlt16619350"/>
      <w:r/>
      <w:bookmarkStart w:id="150" w:name="_Toc20823346"/>
      <w:r/>
      <w:bookmarkStart w:id="151" w:name="_Toc120614244"/>
      <w:r/>
      <w:bookmarkStart w:id="152" w:name="_Toc16938590"/>
      <w:r/>
      <w:bookmarkStart w:id="153" w:name="_Toc462564139"/>
      <w:r/>
      <w:bookmarkStart w:id="154" w:name="_Toc479757211"/>
      <w:r>
        <w:rPr>
          <w:rFonts w:ascii="黑体" w:hAnsi="Courier New" w:eastAsia="黑体" w:cs="Courier New"/>
          <w:bCs/>
          <w:sz w:val="44"/>
          <w:szCs w:val="21"/>
        </w:rPr>
        <w:br w:type="page" w:clear="all"/>
      </w:r>
      <w:r>
        <w:rPr>
          <w:rFonts w:ascii="黑体" w:hAnsi="Courier New" w:eastAsia="黑体" w:cs="Courier New"/>
          <w:bCs/>
          <w:sz w:val="44"/>
          <w:szCs w:val="21"/>
        </w:rPr>
      </w:r>
      <w:r/>
    </w:p>
    <w:p>
      <w:pPr>
        <w:pStyle w:val="63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49"/>
      <w:r>
        <w:rPr>
          <w:rFonts w:hint="eastAsia" w:ascii="黑体" w:hAnsi="Courier New" w:eastAsia="黑体" w:cs="Courier New"/>
          <w:bCs/>
          <w:sz w:val="44"/>
          <w:szCs w:val="21"/>
        </w:rPr>
        <w:t xml:space="preserve">四章 采购需求</w:t>
      </w:r>
      <w:bookmarkEnd w:id="150"/>
      <w:r/>
      <w:bookmarkEnd w:id="151"/>
      <w:r/>
      <w:bookmarkEnd w:id="152"/>
      <w:r/>
      <w:bookmarkStart w:id="155" w:name="_Toc49090575"/>
      <w:r/>
      <w:bookmarkStart w:id="156" w:name="_Toc26554093"/>
      <w:r>
        <w:rPr>
          <w:rFonts w:hint="eastAsia" w:ascii="黑体" w:hAnsi="Courier New" w:eastAsia="黑体" w:cs="Courier New"/>
          <w:bCs/>
          <w:sz w:val="44"/>
          <w:szCs w:val="21"/>
        </w:rPr>
      </w:r>
      <w:r/>
    </w:p>
    <w:p>
      <w:pPr>
        <w:pStyle w:val="637"/>
        <w:spacing w:line="0" w:lineRule="atLeast"/>
        <w:rPr>
          <w:rFonts w:ascii="宋体" w:hAnsi="宋体"/>
          <w:bCs/>
          <w:sz w:val="24"/>
          <w:szCs w:val="24"/>
        </w:rPr>
      </w:pPr>
      <w:r>
        <w:rPr>
          <w:rFonts w:ascii="宋体" w:hAnsi="宋体"/>
          <w:bCs/>
          <w:sz w:val="24"/>
          <w:szCs w:val="24"/>
        </w:rPr>
      </w:r>
      <w:r/>
    </w:p>
    <w:p>
      <w:pPr>
        <w:pStyle w:val="637"/>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37"/>
        <w:numPr>
          <w:ilvl w:val="1"/>
          <w:numId w:val="5"/>
        </w:numPr>
        <w:ind w:left="567" w:hanging="567"/>
        <w:jc w:val="left"/>
        <w:spacing w:line="360" w:lineRule="auto"/>
        <w:tabs>
          <w:tab w:val="left" w:pos="0" w:leader="none"/>
        </w:tabs>
        <w:rPr>
          <w:rFonts w:ascii="宋体" w:hAnsi="宋体" w:eastAsia="宋体" w:cs="宋体"/>
          <w:b/>
          <w:bCs/>
          <w:color w:val="000000"/>
          <w:sz w:val="28"/>
          <w:szCs w:val="28"/>
          <w:lang w:val="en-US" w:eastAsia="zh-CN" w:bidi="ar-SA"/>
        </w:rPr>
        <w:outlineLvl w:val="1"/>
      </w:pPr>
      <w:r/>
      <w:bookmarkStart w:id="157" w:name="_Toc20198"/>
      <w:r/>
      <w:bookmarkStart w:id="158" w:name="_Toc30982"/>
      <w:r>
        <w:rPr>
          <w:rFonts w:hint="eastAsia" w:ascii="宋体" w:hAnsi="宋体" w:eastAsia="宋体" w:cs="宋体"/>
          <w:b/>
          <w:bCs/>
          <w:color w:val="000000"/>
          <w:sz w:val="28"/>
          <w:szCs w:val="28"/>
          <w:lang w:val="en-US" w:eastAsia="zh-CN" w:bidi="ar-SA"/>
        </w:rPr>
        <w:t xml:space="preserve">项目名称</w:t>
      </w:r>
      <w:bookmarkEnd w:id="157"/>
      <w:r/>
      <w:bookmarkEnd w:id="158"/>
      <w:r>
        <w:rPr>
          <w:rFonts w:ascii="宋体" w:hAnsi="宋体" w:eastAsia="宋体" w:cs="宋体"/>
          <w:b/>
          <w:bCs/>
          <w:color w:val="000000"/>
          <w:sz w:val="28"/>
          <w:szCs w:val="28"/>
          <w:lang w:val="en-US" w:eastAsia="zh-CN" w:bidi="ar-SA"/>
        </w:rPr>
      </w:r>
      <w:r/>
    </w:p>
    <w:p>
      <w:pPr>
        <w:pStyle w:val="637"/>
        <w:ind w:firstLine="480"/>
        <w:jc w:val="left"/>
        <w:spacing w:line="36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rPr>
        <w:t xml:space="preserve">江苏省学生常见病和健康影响因素监测与干预系统升级</w:t>
      </w:r>
      <w:r>
        <w:rPr>
          <w:rFonts w:ascii="宋体" w:hAnsi="宋体" w:eastAsia="宋体" w:cs="宋体"/>
          <w:color w:val="000000"/>
          <w:sz w:val="24"/>
          <w:szCs w:val="24"/>
          <w:lang w:eastAsia="en-US"/>
        </w:rPr>
      </w:r>
      <w:r/>
    </w:p>
    <w:p>
      <w:pPr>
        <w:pStyle w:val="637"/>
        <w:numPr>
          <w:ilvl w:val="1"/>
          <w:numId w:val="5"/>
        </w:numPr>
        <w:ind w:left="567" w:hanging="567"/>
        <w:jc w:val="left"/>
        <w:spacing w:line="360" w:lineRule="auto"/>
        <w:tabs>
          <w:tab w:val="left" w:pos="0" w:leader="none"/>
        </w:tabs>
        <w:rPr>
          <w:rFonts w:ascii="宋体" w:hAnsi="宋体" w:eastAsia="宋体" w:cs="宋体"/>
          <w:b/>
          <w:bCs/>
          <w:color w:val="000000"/>
          <w:sz w:val="28"/>
          <w:szCs w:val="28"/>
          <w:lang w:val="en-US" w:eastAsia="zh-CN" w:bidi="ar-SA"/>
        </w:rPr>
        <w:outlineLvl w:val="1"/>
      </w:pPr>
      <w:r/>
      <w:bookmarkStart w:id="159" w:name="_bookmark2"/>
      <w:r/>
      <w:bookmarkEnd w:id="159"/>
      <w:r/>
      <w:bookmarkStart w:id="160" w:name="_Toc17971"/>
      <w:r/>
      <w:bookmarkStart w:id="161" w:name="_Toc22240"/>
      <w:r>
        <w:rPr>
          <w:rFonts w:hint="eastAsia" w:ascii="宋体" w:hAnsi="宋体" w:eastAsia="宋体" w:cs="宋体"/>
          <w:b/>
          <w:bCs/>
          <w:color w:val="000000"/>
          <w:sz w:val="28"/>
          <w:szCs w:val="28"/>
          <w:lang w:val="en-US" w:eastAsia="zh-CN" w:bidi="ar-SA"/>
        </w:rPr>
        <w:t xml:space="preserve">项目建设科所及负责人</w:t>
      </w:r>
      <w:bookmarkEnd w:id="160"/>
      <w:r/>
      <w:bookmarkEnd w:id="161"/>
      <w:r>
        <w:rPr>
          <w:rFonts w:ascii="宋体" w:hAnsi="宋体" w:eastAsia="宋体" w:cs="宋体"/>
          <w:b/>
          <w:bCs/>
          <w:color w:val="000000"/>
          <w:sz w:val="28"/>
          <w:szCs w:val="28"/>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项目建设科所：</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项目负责人：</w:t>
      </w:r>
      <w:r>
        <w:rPr>
          <w:rFonts w:ascii="宋体" w:hAnsi="宋体" w:eastAsia="宋体" w:cs="宋体"/>
          <w:color w:val="000000"/>
          <w:sz w:val="24"/>
          <w:szCs w:val="24"/>
          <w:lang w:eastAsia="zh-CN"/>
        </w:rPr>
      </w:r>
      <w:r/>
    </w:p>
    <w:p>
      <w:pPr>
        <w:pStyle w:val="637"/>
        <w:numPr>
          <w:ilvl w:val="1"/>
          <w:numId w:val="5"/>
        </w:numPr>
        <w:ind w:left="567" w:hanging="567"/>
        <w:jc w:val="left"/>
        <w:spacing w:line="360" w:lineRule="auto"/>
        <w:tabs>
          <w:tab w:val="left" w:pos="0" w:leader="none"/>
        </w:tabs>
        <w:rPr>
          <w:rFonts w:ascii="宋体" w:hAnsi="宋体" w:eastAsia="宋体" w:cs="宋体"/>
          <w:b/>
          <w:bCs/>
          <w:color w:val="000000"/>
          <w:sz w:val="28"/>
          <w:szCs w:val="28"/>
          <w:lang w:val="en-US" w:eastAsia="zh-CN" w:bidi="ar-SA"/>
        </w:rPr>
        <w:outlineLvl w:val="1"/>
      </w:pPr>
      <w:r/>
      <w:bookmarkStart w:id="162" w:name="_Toc23375"/>
      <w:r/>
      <w:bookmarkStart w:id="163" w:name="_Toc21870"/>
      <w:r>
        <w:rPr>
          <w:rFonts w:hint="eastAsia" w:ascii="宋体" w:hAnsi="宋体" w:eastAsia="宋体" w:cs="宋体"/>
          <w:b/>
          <w:bCs/>
          <w:color w:val="000000"/>
          <w:sz w:val="28"/>
          <w:szCs w:val="28"/>
          <w:lang w:val="en-US" w:eastAsia="zh-CN" w:bidi="ar-SA"/>
        </w:rPr>
        <w:t xml:space="preserve">项目类别</w:t>
      </w:r>
      <w:bookmarkEnd w:id="162"/>
      <w:r/>
      <w:bookmarkEnd w:id="163"/>
      <w:r>
        <w:rPr>
          <w:rFonts w:ascii="宋体" w:hAnsi="宋体" w:eastAsia="宋体" w:cs="宋体"/>
          <w:b/>
          <w:bCs/>
          <w:color w:val="000000"/>
          <w:sz w:val="28"/>
          <w:szCs w:val="28"/>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□新软件研发☑原软件升级改造□成品软件购置□其它</w:t>
      </w:r>
      <w:r>
        <w:rPr>
          <w:rFonts w:ascii="宋体" w:hAnsi="宋体" w:eastAsia="宋体" w:cs="宋体"/>
          <w:color w:val="000000"/>
          <w:sz w:val="24"/>
          <w:szCs w:val="24"/>
          <w:lang w:eastAsia="zh-CN"/>
        </w:rPr>
      </w:r>
      <w:r/>
    </w:p>
    <w:p>
      <w:pPr>
        <w:pStyle w:val="637"/>
        <w:numPr>
          <w:ilvl w:val="1"/>
          <w:numId w:val="5"/>
        </w:numPr>
        <w:ind w:left="567" w:hanging="567"/>
        <w:jc w:val="left"/>
        <w:spacing w:line="360" w:lineRule="auto"/>
        <w:tabs>
          <w:tab w:val="left" w:pos="0" w:leader="none"/>
        </w:tabs>
        <w:rPr>
          <w:rFonts w:ascii="宋体" w:hAnsi="宋体" w:eastAsia="宋体" w:cs="宋体"/>
          <w:b/>
          <w:bCs/>
          <w:color w:val="000000"/>
          <w:sz w:val="28"/>
          <w:szCs w:val="28"/>
          <w:lang w:val="en-US" w:eastAsia="zh-CN" w:bidi="ar-SA"/>
        </w:rPr>
        <w:outlineLvl w:val="1"/>
      </w:pPr>
      <w:r/>
      <w:bookmarkStart w:id="164" w:name="_bookmark4"/>
      <w:r/>
      <w:bookmarkEnd w:id="164"/>
      <w:r/>
      <w:bookmarkStart w:id="165" w:name="_Toc31336"/>
      <w:r/>
      <w:bookmarkStart w:id="166" w:name="_Toc13471"/>
      <w:r>
        <w:rPr>
          <w:rFonts w:hint="eastAsia" w:ascii="宋体" w:hAnsi="宋体" w:eastAsia="宋体" w:cs="宋体"/>
          <w:b/>
          <w:bCs/>
          <w:color w:val="000000"/>
          <w:sz w:val="28"/>
          <w:szCs w:val="28"/>
          <w:lang w:val="en-US" w:eastAsia="zh-CN" w:bidi="ar-SA"/>
        </w:rPr>
        <w:t xml:space="preserve">初设及概算编制依据</w:t>
      </w:r>
      <w:bookmarkEnd w:id="165"/>
      <w:r/>
      <w:bookmarkEnd w:id="166"/>
      <w:r>
        <w:rPr>
          <w:rFonts w:ascii="宋体" w:hAnsi="宋体" w:eastAsia="宋体" w:cs="宋体"/>
          <w:b/>
          <w:bCs/>
          <w:color w:val="000000"/>
          <w:sz w:val="28"/>
          <w:szCs w:val="28"/>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依据国家及江苏省关于学生常见病监测与干预工作的统一部署，结合省内相关工作实际，围绕《全国学生常见病干预工作手册》中评估表相关要点，明确系统升级的本地化功能方向与建设优先级。</w:t>
      </w:r>
      <w:r>
        <w:rPr>
          <w:rFonts w:ascii="宋体" w:hAnsi="宋体" w:eastAsia="宋体" w:cs="宋体"/>
          <w:color w:val="000000"/>
          <w:sz w:val="24"/>
          <w:szCs w:val="24"/>
          <w:lang w:eastAsia="zh-CN"/>
        </w:rPr>
      </w:r>
      <w:r/>
    </w:p>
    <w:p>
      <w:pPr>
        <w:pStyle w:val="637"/>
        <w:numPr>
          <w:ilvl w:val="1"/>
          <w:numId w:val="5"/>
        </w:numPr>
        <w:ind w:left="567" w:hanging="567"/>
        <w:jc w:val="left"/>
        <w:spacing w:line="360" w:lineRule="auto"/>
        <w:tabs>
          <w:tab w:val="left" w:pos="0" w:leader="none"/>
        </w:tabs>
        <w:rPr>
          <w:rFonts w:ascii="宋体" w:hAnsi="宋体" w:eastAsia="宋体" w:cs="宋体"/>
          <w:b/>
          <w:bCs/>
          <w:color w:val="000000"/>
          <w:sz w:val="28"/>
          <w:szCs w:val="28"/>
          <w:lang w:val="en-US" w:eastAsia="zh-CN" w:bidi="ar-SA"/>
        </w:rPr>
        <w:outlineLvl w:val="1"/>
      </w:pPr>
      <w:r/>
      <w:bookmarkStart w:id="167" w:name="_bookmark5"/>
      <w:r/>
      <w:bookmarkEnd w:id="167"/>
      <w:r/>
      <w:bookmarkStart w:id="168" w:name="_Toc11940"/>
      <w:r/>
      <w:bookmarkStart w:id="169" w:name="_Toc453"/>
      <w:r>
        <w:rPr>
          <w:rFonts w:hint="eastAsia" w:ascii="宋体" w:hAnsi="宋体" w:eastAsia="宋体" w:cs="宋体"/>
          <w:b/>
          <w:bCs/>
          <w:color w:val="000000"/>
          <w:sz w:val="28"/>
          <w:szCs w:val="28"/>
          <w:lang w:val="en-US" w:eastAsia="zh-CN" w:bidi="ar-SA"/>
        </w:rPr>
        <w:t xml:space="preserve">项目建设目标、规模、内容、建设期</w:t>
      </w:r>
      <w:bookmarkEnd w:id="168"/>
      <w:r/>
      <w:bookmarkEnd w:id="169"/>
      <w:r>
        <w:rPr>
          <w:rFonts w:ascii="宋体" w:hAnsi="宋体" w:eastAsia="宋体" w:cs="宋体"/>
          <w:b/>
          <w:bCs/>
          <w:color w:val="000000"/>
          <w:sz w:val="28"/>
          <w:szCs w:val="28"/>
          <w:lang w:val="en-US" w:eastAsia="zh-CN" w:bidi="ar-SA"/>
        </w:rPr>
      </w:r>
      <w:r/>
    </w:p>
    <w:p>
      <w:pPr>
        <w:pStyle w:val="637"/>
        <w:numPr>
          <w:ilvl w:val="2"/>
          <w:numId w:val="5"/>
        </w:numPr>
        <w:ind w:left="709" w:firstLine="482"/>
        <w:jc w:val="left"/>
        <w:keepNext/>
        <w:spacing w:before="0" w:line="360" w:lineRule="auto"/>
        <w:rPr>
          <w:rFonts w:ascii="宋体" w:hAnsi="宋体" w:eastAsia="宋体" w:cs="宋体"/>
          <w:b/>
          <w:i/>
          <w:color w:val="000000"/>
          <w:sz w:val="24"/>
          <w:szCs w:val="21"/>
          <w:lang w:val="en-US" w:eastAsia="zh-CN" w:bidi="ar-SA"/>
        </w:rPr>
        <w:outlineLvl w:val="2"/>
      </w:pPr>
      <w:r/>
      <w:bookmarkStart w:id="170" w:name="_bookmark6"/>
      <w:r/>
      <w:bookmarkEnd w:id="170"/>
      <w:r/>
      <w:bookmarkStart w:id="171" w:name="_Toc5861"/>
      <w:r>
        <w:rPr>
          <w:rFonts w:hint="eastAsia" w:ascii="宋体" w:hAnsi="宋体" w:eastAsia="宋体" w:cs="宋体"/>
          <w:b/>
          <w:i/>
          <w:color w:val="000000"/>
          <w:sz w:val="24"/>
          <w:szCs w:val="21"/>
          <w:lang w:val="en-US" w:eastAsia="zh-CN" w:bidi="ar-SA"/>
        </w:rPr>
        <w:t xml:space="preserve">建设目标</w:t>
      </w:r>
      <w:bookmarkEnd w:id="171"/>
      <w:r>
        <w:rPr>
          <w:rFonts w:ascii="宋体" w:hAnsi="宋体" w:eastAsia="宋体" w:cs="宋体"/>
          <w:b/>
          <w:i/>
          <w:color w:val="000000"/>
          <w:sz w:val="24"/>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次系统升级以适配国家与地方政策要求、优化现有系统功能为核心，立足全省13个设区市、99个区县（95个行政区县基础上增加4个功能区）、820所学校及近26万师生家长的服务需求，围绕五大核心维度实现系统功能升级优化。</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在系统架构上，构建“省-市-区-学校-学生”五级分层管理框架与分布式存储体系，兼容主流及国产化数据库，搭配全维度网络安全防护机制，筑牢技术与安全底座；在数据治理上，建立覆盖</w:t>
      </w:r>
      <w:r>
        <w:rPr>
          <w:rFonts w:hint="eastAsia" w:ascii="宋体" w:hAnsi="宋体" w:eastAsia="宋体" w:cs="宋体"/>
          <w:color w:val="000000"/>
          <w:sz w:val="24"/>
          <w:szCs w:val="24"/>
          <w:lang w:eastAsia="zh-CN"/>
        </w:rPr>
        <w:t xml:space="preserve">采集、校验、清洗、质控、分析、应用的全生命周期体系，通过多级质控机制与异常预警，保障数据标准化与高质量；在大数据应用上，打通历年数据壁垒，建立统一数据资源库与学生健康档案，通过趋势化分析模型为决策提供数据支撑；在数据处理上，实现多源数据一体化采集与高效流转，搭建多维度统计模型，自动化生成省市县三级工作报告与个性化学生体检报告，满足多样化数据使用需求；在功能拓展上，完善多终端应用体系，新增核心功能、优化既有功能，实现与外部平台无缝对接及公众号服务入口拓展，打造全场景覆盖、高效协同的学生健康监测与干预管理体系。</w:t>
      </w:r>
      <w:r>
        <w:rPr>
          <w:rFonts w:ascii="宋体" w:hAnsi="宋体" w:eastAsia="宋体" w:cs="宋体"/>
          <w:color w:val="000000"/>
          <w:sz w:val="24"/>
          <w:szCs w:val="24"/>
          <w:lang w:eastAsia="zh-CN"/>
        </w:rPr>
      </w:r>
      <w:r/>
    </w:p>
    <w:p>
      <w:pPr>
        <w:pStyle w:val="637"/>
        <w:numPr>
          <w:ilvl w:val="2"/>
          <w:numId w:val="5"/>
        </w:numPr>
        <w:ind w:left="709" w:firstLine="482"/>
        <w:jc w:val="left"/>
        <w:keepNext/>
        <w:spacing w:before="0" w:line="360" w:lineRule="auto"/>
        <w:rPr>
          <w:rFonts w:ascii="宋体" w:hAnsi="宋体" w:eastAsia="宋体" w:cs="宋体"/>
          <w:b/>
          <w:i/>
          <w:color w:val="000000"/>
          <w:sz w:val="24"/>
          <w:szCs w:val="21"/>
          <w:lang w:val="en-US" w:eastAsia="zh-CN" w:bidi="ar-SA"/>
        </w:rPr>
        <w:outlineLvl w:val="2"/>
      </w:pPr>
      <w:r/>
      <w:bookmarkStart w:id="172" w:name="_bookmark7"/>
      <w:r/>
      <w:bookmarkEnd w:id="172"/>
      <w:r/>
      <w:bookmarkStart w:id="173" w:name="_Toc17393"/>
      <w:r>
        <w:rPr>
          <w:rFonts w:hint="eastAsia" w:ascii="宋体" w:hAnsi="宋体" w:eastAsia="宋体" w:cs="宋体"/>
          <w:b/>
          <w:i/>
          <w:color w:val="000000"/>
          <w:sz w:val="24"/>
          <w:szCs w:val="21"/>
          <w:lang w:val="en-US" w:eastAsia="zh-CN" w:bidi="ar-SA"/>
        </w:rPr>
        <w:t xml:space="preserve">建设规模及内容</w:t>
      </w:r>
      <w:bookmarkEnd w:id="173"/>
      <w:r>
        <w:rPr>
          <w:rFonts w:ascii="宋体" w:hAnsi="宋体" w:eastAsia="宋体" w:cs="宋体"/>
          <w:b/>
          <w:i/>
          <w:color w:val="000000"/>
          <w:sz w:val="24"/>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次系统升级围绕学生常见病和健康影响因素监测、学生常见病和健康影响因素干预及效果评估、学生近视追踪队列建立及干预效果评估、中小学生超重肥胖监测调查与干预四大核心业务，结合专家进校园、学校卫生标准普及、中小学生健康月、学校教学生活环境改善、健康父母、重点人群关爱6大干预行动，优化系统功能以满足不同干预行动的需求。</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bookmarkStart w:id="174" w:name="_bookmark9"/>
      <w:r/>
      <w:bookmarkEnd w:id="174"/>
      <w:r/>
      <w:bookmarkStart w:id="175" w:name="_Toc27983"/>
      <w:r>
        <w:rPr>
          <w:rFonts w:hint="eastAsia" w:ascii="宋体" w:hAnsi="宋体" w:eastAsia="宋体" w:cs="宋体"/>
          <w:b w:val="0"/>
          <w:color w:val="000000"/>
          <w:sz w:val="21"/>
          <w:szCs w:val="21"/>
          <w:lang w:val="en-US" w:eastAsia="zh-CN" w:bidi="ar-SA"/>
        </w:rPr>
        <w:t xml:space="preserve">学生常见病和健康影响因素监测模块</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以全省学生健康基础数据标准化采集与高质量治理为核心，打通多终端数据录入通道，通过差异化校验规则配置、跨场景交互适配、全流程质量管控，实现体检数据、环境数据、健康影响因素数据的精准采集与智能处理；构建多维度统计分析模型与自动化报告生成机制，支撑省、市、区三级管理决策，为6大干预行动提供靶向数据支撑，业务覆盖从数据采集、校验、治理到统计、应用的全生命周期，涉及海量数据的实时处理与跨年度关联分析。</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学生常见病和健康影响因素干预及效果评估模块</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围绕6大干预行动构建规范化管理体系，打造干预内容填报、专项材料上传、多级审核流转、量化效果评估的全流程功能，支持多类型数据填报与多文件并行处理，实现干预过程可追溯、干预效果可量化；通过层级化权限管控与跨区域数据汇总，满足省、市、区三级协同管理需求，涉及多主体、多环节的业务联动与数据交互，对系统的流程适配性与数据一致性提出高要求。</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学生近视追踪队列建立及干预效果评估模块</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聚焦近视专项防控，构建从监测数据采集、屈光档案建立、干预计划实施到效果评估的全周期管理功能，适配多终端录入场景与差异化业务需求；通过学生队列精准管理、用眼行为跟踪分析、跨平台数据对接，实现近视防控的精细化与个性化，涉及专项数据的长期追溯、多维度关联分析及干预效果的科学评估，技术上需满足大规模队列数据的高效存储与快速查询。</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中小学生超重肥胖监测调查与干预管理模块</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针对超重肥胖问题构建家校协同干预体系，整合监测调查、健康打卡、随访体检、健康教育等核心功能，实现学生健康数据的持续采集与干预效果的动态追踪；通过多角色权限配置、多终端功能适配、多维度数据统计，支撑学校、家长、管理部门的协同联动，涉及高频数据交互、实时统计分析及个性化干预方案推送，对系统的并发处理能力与交互响应速度要求较高。</w:t>
      </w:r>
      <w:r>
        <w:rPr>
          <w:rFonts w:ascii="宋体" w:hAnsi="宋体" w:eastAsia="宋体" w:cs="宋体"/>
          <w:color w:val="000000"/>
          <w:sz w:val="24"/>
          <w:szCs w:val="24"/>
          <w:lang w:eastAsia="zh-CN"/>
        </w:rPr>
      </w:r>
      <w:r/>
    </w:p>
    <w:p>
      <w:pPr>
        <w:pStyle w:val="637"/>
        <w:numPr>
          <w:ilvl w:val="2"/>
          <w:numId w:val="5"/>
        </w:numPr>
        <w:ind w:left="709" w:firstLine="482"/>
        <w:jc w:val="left"/>
        <w:keepNext/>
        <w:spacing w:before="0" w:line="360" w:lineRule="auto"/>
        <w:rPr>
          <w:rFonts w:ascii="宋体" w:hAnsi="宋体" w:eastAsia="宋体" w:cs="宋体"/>
          <w:b/>
          <w:i/>
          <w:color w:val="000000"/>
          <w:sz w:val="24"/>
          <w:szCs w:val="21"/>
          <w:lang w:val="en-US" w:eastAsia="zh-CN" w:bidi="ar-SA"/>
        </w:rPr>
        <w:outlineLvl w:val="2"/>
      </w:pPr>
      <w:r>
        <w:rPr>
          <w:rFonts w:hint="eastAsia" w:ascii="宋体" w:hAnsi="宋体" w:eastAsia="宋体" w:cs="宋体"/>
          <w:b/>
          <w:i/>
          <w:color w:val="000000"/>
          <w:sz w:val="24"/>
          <w:szCs w:val="21"/>
          <w:lang w:val="en-US" w:eastAsia="zh-CN" w:bidi="ar-SA"/>
        </w:rPr>
        <w:t xml:space="preserve">建设期</w:t>
      </w:r>
      <w:bookmarkEnd w:id="175"/>
      <w:r>
        <w:rPr>
          <w:rFonts w:ascii="宋体" w:hAnsi="宋体" w:eastAsia="宋体" w:cs="宋体"/>
          <w:b/>
          <w:i/>
          <w:color w:val="000000"/>
          <w:sz w:val="24"/>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bookmarkStart w:id="176" w:name="_bookmark19"/>
      <w:r/>
      <w:bookmarkEnd w:id="176"/>
      <w:r>
        <w:rPr>
          <w:rFonts w:hint="eastAsia" w:ascii="宋体" w:hAnsi="宋体" w:eastAsia="宋体" w:cs="宋体"/>
          <w:color w:val="000000"/>
          <w:sz w:val="24"/>
          <w:szCs w:val="24"/>
          <w:lang w:eastAsia="zh-CN"/>
        </w:rPr>
        <w:t xml:space="preserve">本项目建设期共</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个月，预计2026年</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月开始，2026年</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月建成，2026年</w:t>
      </w:r>
      <w:r>
        <w:rPr>
          <w:rFonts w:hint="eastAsia" w:ascii="宋体" w:hAnsi="宋体" w:eastAsia="宋体" w:cs="宋体"/>
          <w:color w:val="000000"/>
          <w:sz w:val="24"/>
          <w:szCs w:val="24"/>
          <w:lang w:val="en-US" w:eastAsia="zh-CN"/>
        </w:rPr>
        <w:t xml:space="preserve">10—12</w:t>
      </w:r>
      <w:r>
        <w:rPr>
          <w:rFonts w:hint="eastAsia" w:ascii="宋体" w:hAnsi="宋体" w:eastAsia="宋体" w:cs="宋体"/>
          <w:color w:val="000000"/>
          <w:sz w:val="24"/>
          <w:szCs w:val="24"/>
          <w:lang w:eastAsia="zh-CN"/>
        </w:rPr>
        <w:t xml:space="preserve">月全面推广应用。</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第一阶段（202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月至2026年</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月）：初步完成系统设计、开发；</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第二阶段（2026年</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月至2026年</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月）完成系统试运行，并根据试运行过程中的应用情况进行改进。</w:t>
      </w:r>
      <w:r>
        <w:rPr>
          <w:rFonts w:ascii="宋体" w:hAnsi="宋体" w:eastAsia="宋体" w:cs="宋体"/>
          <w:color w:val="000000"/>
          <w:sz w:val="24"/>
          <w:szCs w:val="24"/>
          <w:lang w:eastAsia="zh-CN"/>
        </w:rPr>
      </w:r>
      <w:r/>
    </w:p>
    <w:p>
      <w:pPr>
        <w:pStyle w:val="637"/>
        <w:jc w:val="left"/>
        <w:spacing w:line="360" w:lineRule="auto"/>
        <w:widowControl/>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br w:type="page" w:clear="all"/>
      </w:r>
      <w:r>
        <w:rPr>
          <w:rFonts w:ascii="宋体" w:hAnsi="宋体" w:eastAsia="宋体" w:cs="宋体"/>
          <w:color w:val="000000"/>
          <w:sz w:val="32"/>
          <w:szCs w:val="32"/>
          <w:lang w:eastAsia="zh-CN"/>
        </w:rPr>
      </w:r>
      <w:r/>
    </w:p>
    <w:p>
      <w:pPr>
        <w:pStyle w:val="637"/>
        <w:numPr>
          <w:ilvl w:val="0"/>
          <w:numId w:val="5"/>
        </w:numPr>
        <w:ind w:left="425" w:hanging="425"/>
        <w:jc w:val="center"/>
        <w:keepNext/>
        <w:spacing w:before="120" w:line="360" w:lineRule="auto"/>
        <w:tabs>
          <w:tab w:val="left" w:pos="0" w:leader="none"/>
        </w:tabs>
        <w:rPr>
          <w:rFonts w:ascii="宋体" w:hAnsi="宋体" w:eastAsia="宋体" w:cs="宋体"/>
          <w:b/>
          <w:bCs w:val="0"/>
          <w:color w:val="000000"/>
          <w:sz w:val="21"/>
          <w:szCs w:val="21"/>
          <w:lang w:val="en-US" w:eastAsia="zh-CN" w:bidi="ar-SA"/>
        </w:rPr>
        <w:outlineLvl w:val="0"/>
      </w:pPr>
      <w:r/>
      <w:bookmarkStart w:id="177" w:name="_Toc31203"/>
      <w:r/>
      <w:bookmarkStart w:id="178" w:name="_Toc10307"/>
      <w:r>
        <w:rPr>
          <w:rFonts w:hint="eastAsia" w:ascii="宋体" w:hAnsi="宋体" w:eastAsia="宋体" w:cs="宋体"/>
          <w:b/>
          <w:bCs w:val="0"/>
          <w:color w:val="000000"/>
          <w:sz w:val="21"/>
          <w:szCs w:val="21"/>
          <w:lang w:val="en-US" w:eastAsia="zh-CN" w:bidi="ar-SA"/>
        </w:rPr>
        <w:t xml:space="preserve">需求分析</w:t>
      </w:r>
      <w:bookmarkEnd w:id="177"/>
      <w:r/>
      <w:bookmarkEnd w:id="178"/>
      <w:r>
        <w:rPr>
          <w:rFonts w:ascii="宋体" w:hAnsi="宋体" w:eastAsia="宋体" w:cs="宋体"/>
          <w:b/>
          <w:bCs w:val="0"/>
          <w:color w:val="000000"/>
          <w:sz w:val="21"/>
          <w:szCs w:val="21"/>
          <w:lang w:val="en-US" w:eastAsia="zh-CN" w:bidi="ar-SA"/>
        </w:rPr>
      </w:r>
      <w:r/>
    </w:p>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bookmarkStart w:id="179" w:name="_Toc14500"/>
      <w:r/>
      <w:bookmarkStart w:id="180" w:name="_Toc11149"/>
      <w:r/>
      <w:bookmarkStart w:id="181" w:name="_Toc32610"/>
      <w:r/>
      <w:bookmarkStart w:id="182" w:name="_Toc12859"/>
      <w:r>
        <w:rPr>
          <w:rFonts w:hint="eastAsia" w:ascii="宋体" w:hAnsi="宋体" w:eastAsia="宋体" w:cs="宋体"/>
          <w:b/>
          <w:bCs/>
          <w:color w:val="000000"/>
          <w:sz w:val="24"/>
          <w:szCs w:val="24"/>
          <w:lang w:val="en-US" w:eastAsia="zh-CN" w:bidi="ar-SA"/>
        </w:rPr>
        <w:t xml:space="preserve">项目背景</w:t>
      </w:r>
      <w:bookmarkEnd w:id="179"/>
      <w:r/>
      <w:bookmarkEnd w:id="180"/>
      <w:r/>
      <w:bookmarkEnd w:id="181"/>
      <w:r/>
      <w:bookmarkEnd w:id="182"/>
      <w:r>
        <w:rPr>
          <w:rFonts w:ascii="宋体" w:hAnsi="宋体" w:eastAsia="宋体" w:cs="宋体"/>
          <w:b/>
          <w:b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响应国家学生常见病监测方案调整要求，满足全省各级疾控机构、教育行政部门、学校的多端业务扩展需求，解决现有系统存在的统计分析能力有限、干预行动管理缺失等问题，特开展本次系统升级项目。项目聚焦学生常见病监测与干预全业务流程优化，覆盖数据录入、传输、存储、分析及展示全环节，打造“省-市-区-学校-学生”五级协同管理体系，实现各角色用户高效协作，全面提升江苏省学生健康监测与干预工作的规范化、智能化、精细化水平。</w:t>
      </w:r>
      <w:r>
        <w:rPr>
          <w:rFonts w:ascii="宋体" w:hAnsi="宋体" w:eastAsia="宋体" w:cs="宋体"/>
          <w:color w:val="000000"/>
          <w:sz w:val="24"/>
          <w:szCs w:val="24"/>
          <w:lang w:eastAsia="zh-CN"/>
        </w:rPr>
      </w:r>
      <w:r/>
    </w:p>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bookmarkStart w:id="183" w:name="_Toc31979"/>
      <w:r/>
      <w:bookmarkStart w:id="184" w:name="_Toc31754"/>
      <w:r/>
      <w:bookmarkStart w:id="185" w:name="_Toc28225"/>
      <w:r/>
      <w:bookmarkStart w:id="186" w:name="_Toc7765"/>
      <w:r>
        <w:rPr>
          <w:rFonts w:hint="eastAsia" w:ascii="宋体" w:hAnsi="宋体" w:eastAsia="宋体" w:cs="宋体"/>
          <w:b/>
          <w:bCs/>
          <w:color w:val="000000"/>
          <w:sz w:val="24"/>
          <w:szCs w:val="24"/>
          <w:lang w:val="en-US" w:eastAsia="zh-CN" w:bidi="ar-SA"/>
        </w:rPr>
        <w:t xml:space="preserve">业务功能及业务流程分析</w:t>
      </w:r>
      <w:bookmarkEnd w:id="183"/>
      <w:r/>
      <w:bookmarkEnd w:id="184"/>
      <w:r/>
      <w:bookmarkEnd w:id="185"/>
      <w:r/>
      <w:bookmarkEnd w:id="186"/>
      <w:r>
        <w:rPr>
          <w:rFonts w:ascii="宋体" w:hAnsi="宋体" w:eastAsia="宋体" w:cs="宋体"/>
          <w:b/>
          <w:bCs/>
          <w:color w:val="000000"/>
          <w:sz w:val="24"/>
          <w:szCs w:val="24"/>
          <w:lang w:val="en-US" w:eastAsia="zh-CN" w:bidi="ar-SA"/>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bookmarkStart w:id="187" w:name="_Toc22291"/>
      <w:r>
        <w:rPr>
          <w:rFonts w:hint="eastAsia" w:ascii="宋体" w:hAnsi="宋体" w:eastAsia="宋体" w:cs="宋体"/>
          <w:b/>
          <w:i/>
          <w:iCs/>
          <w:color w:val="000000"/>
          <w:sz w:val="24"/>
          <w:szCs w:val="24"/>
          <w:lang w:val="en-US" w:eastAsia="zh-CN" w:bidi="ar-SA"/>
        </w:rPr>
        <w:t xml:space="preserve">业务功能</w:t>
      </w:r>
      <w:bookmarkEnd w:id="187"/>
      <w:r>
        <w:rPr>
          <w:rFonts w:ascii="宋体" w:hAnsi="宋体" w:eastAsia="宋体" w:cs="宋体"/>
          <w:b/>
          <w:i/>
          <w:i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由学生常见病和健康影响因素监测、学生常见病和健康影响因素干预及效果评估、学生近视追踪队列建立及干预效果评估、中小学生超重肥胖监测调查与干预四个部分组成，四大核心业务围绕专家进校园、学校卫生标准普及、中小学生健康月、学校教学生活环境改善、健康父母、重点人群关爱6大干预行动展开，各业务模块对应提供专属功能，同时覆盖录入端、学生端、家长端、老师端、管理后台多端业务功能，具体如下：</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学生常见病和健康影响因素监测</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实现监测点、监测对象的统一管理，支持体检设备与系统的对接，实现体检数据实时采集、传输，完成监测表单在线填写、提交，体检报告自动生成与反馈，健康教育内容在线学习；实现提交的数据通过学生编码一一对应，支持按地区、学段、学校类型等维度对提交数据进行汇总统计、多维度分析，自动生成全省、市、区各级单位监测工作报告；同时为6大干预行动提供基础数据支撑，通过监测数据精准定位学生健康问题，为干预行动的开展提供靶向方向。</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学生常见病和健康影响因素干预及效果评估</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围绕6大干预行动打造全流程管理功能，实现干预行动方案制定、实施过程记录、材料上报、效果评估的一体化管理；支持区疾控、市疾控按要求上报6大干预行动的实施材料、开展情况、参与人数等数据，上级管理员可在线对上报数据进行审核、汇总、统计；开发干预效果评估模型，基于干预行动开展前后的学生健康监测数据，自动分析干预行动对学生健康指标的改善效果，形成干预效果评估报告。</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学生近视追踪队列建立及干预效果评估</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针对学生近视这一重点常见病，建立近视追踪队列，实现监测点、监测对象、干预对象的精细化管理；完成视力体检、监测表数据在线提交，视力报告自动生成并反馈给家长；基于“江苏数智疾控”公众号，实现干预组学生医院进一步检查的在线预约，医院体检结果同步回传至系统；同时结合6大干预行动，开展近视防控专项干预，如在“专家进校园”中安排近视防控讲座、在“中小学生健康月”开展近视防控主题活动，系统记录专项干预行动开展情况，并评估干预对学生视力的改善效果。</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中小学生超重肥胖监测调查与干预</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针对中小学生超重肥胖问题，开展专项监测调查，完成调查表在线填写及现场体检数据采集；干预阶段实现学生健康教育内容在线学习、每日健康打卡，支持学生记录运动、饮食、睡眠情况及身高体重变化，系统自动生成BMI趋势报告；学校可在线安排随访体检，体检数据汇总后系统进行集中分析；结合6大干预行动，在“健康父母”板块推送超重肥胖防控育儿知识、在“重点人群关爱”中对超重肥胖学生进行专项随访，实现超重肥胖防控的家校协同干预。</w:t>
      </w:r>
      <w:r>
        <w:rPr>
          <w:rFonts w:ascii="宋体" w:hAnsi="宋体" w:eastAsia="宋体" w:cs="宋体"/>
          <w:color w:val="000000"/>
          <w:sz w:val="24"/>
          <w:szCs w:val="24"/>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bookmarkStart w:id="188" w:name="_Toc10663"/>
      <w:r>
        <w:rPr>
          <w:rFonts w:hint="eastAsia" w:ascii="宋体" w:hAnsi="宋体" w:eastAsia="宋体" w:cs="宋体"/>
          <w:b/>
          <w:i/>
          <w:iCs/>
          <w:color w:val="000000"/>
          <w:sz w:val="24"/>
          <w:szCs w:val="24"/>
          <w:lang w:val="en-US" w:eastAsia="zh-CN" w:bidi="ar-SA"/>
        </w:rPr>
        <w:t xml:space="preserve">业务流程</w:t>
      </w:r>
      <w:bookmarkEnd w:id="188"/>
      <w:r>
        <w:rPr>
          <w:rFonts w:ascii="宋体" w:hAnsi="宋体" w:eastAsia="宋体" w:cs="宋体"/>
          <w:b/>
          <w:i/>
          <w:i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由学生常见病和健康影响因素监测、学生常见病和健康影响因素干预及效果评估、学生近视追踪队列建立及干预效果评估、中小学生超重肥胖监测调查与干预四个部分组成，四大业务流程围绕6大干预行动实现闭环管理，同时各终端对应专属操作流程，确保业务高效流转，具体如下：</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学生常见病和健康影响因素监测流程</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省级管理员统一维护全省监测点、监测学校、监测学生等基础信息，为每位学生生成唯一编码并批量打印学生条码；学校、疾控机构通过录入端完成现场体检、校园教学生活环境监测、监测表内容填写与提交，数据实时同步至管理后台；系统基于采集数据自动为学生生成个性化体检报告，并通过家长端、学生端反馈给学生家长与学生；家长根据孩子的体检结果，在家长端学习对应的健康教育内容；监测工作结束后，系统自动对常见病与健康影响因素各指标进行统计分析，生成各地区监测工作报告，同时基于监测数据梳理学生主要健康问题，为6大干预行动的开展提供依据。</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学生常见病和健康影响因素干预及效果评估流程</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省级管理员根据全省学生健康监测结果，制定6大干预行动的总体方案与实施要求；区疾控、市疾控根据省级要求，结合本地区学生健康问题，开展6大干预行动，并通过系统上报干预行动实施材料、开展情况、参与人数等数据；提交后上级管理员在线对上报数据进行审核，审核不通过的退回修改，审核通过的数据汇总至省级系统；省级系统对全省6大干预行动数据进行汇总统计，结合干预前后的学生健康监测数据，自动分析干预行动效果，形成全省学生常见病干预效果评估报告。</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学生近视追踪队列建立及干预效果评估流程</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省级管理员统一维护近视追踪队列的监测点、监测学校、监测学生等信息，批量打印学生条码；学校通过录入端完成现场视力检查、教学环境监测、监测表内容填写与提交，数据实时同步至管理后台；系统将学生当前与历史视力报告反馈给家长，对视力异常的学生纳入近视干预队列；干预组学生通过“江苏数智疾控”公众号，预约前往合作医院进行进一步检查，医院将体检结果同步回传至系统；同时结合6大干预行动，开展近视防控专项干预，系统记录专项干预行动开展情况，定期对干预组学生进行视力复测，评估近视防控干预效果。</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中小学生超重肥胖监测调查与干预流程</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省级管理员维护超重肥胖监测调查的监测点、监测学校、监测学生等信息，学</w:t>
      </w:r>
      <w:r>
        <w:rPr>
          <w:rFonts w:hint="eastAsia" w:ascii="宋体" w:hAnsi="宋体" w:eastAsia="宋体" w:cs="宋体"/>
          <w:color w:val="000000"/>
          <w:sz w:val="24"/>
          <w:szCs w:val="24"/>
          <w:lang w:eastAsia="zh-CN"/>
        </w:rPr>
        <w:t xml:space="preserve">校完成现场体检、调查表填写与提交，数据同步至管理后台；系统对体检数据进行分析，筛选出超重肥胖学生并纳入干预队列；校医通过系统完成每月的随访体检，记录学生每月的身高体重变化；干预队列学生通过家长端/学生端完成每日健康打卡，记录每日运动、饮食、睡眠情况，每周手动记录身高、体重，系统自动生成并展示BMI变化趋势；学生可在系统中阅读超重肥胖防控科普内容；同时结合6大干预行动，为超重肥胖学生制定专项干预计划，如在“重点人群关爱”中安排专人随访、在“健康父母”中推送专属育儿知识，系统跟踪干预计划实施情况并评估干预效果。</w:t>
      </w:r>
      <w:r>
        <w:rPr>
          <w:rFonts w:ascii="宋体" w:hAnsi="宋体" w:eastAsia="宋体" w:cs="宋体"/>
          <w:color w:val="000000"/>
          <w:sz w:val="24"/>
          <w:szCs w:val="24"/>
          <w:lang w:eastAsia="zh-CN"/>
        </w:rPr>
      </w:r>
      <w:r/>
    </w:p>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bookmarkStart w:id="189" w:name="_Toc5008"/>
      <w:r/>
      <w:bookmarkStart w:id="190" w:name="_Toc701"/>
      <w:r/>
      <w:bookmarkStart w:id="191" w:name="_Toc27474"/>
      <w:r/>
      <w:bookmarkStart w:id="192" w:name="_Toc10139"/>
      <w:r/>
      <w:bookmarkStart w:id="193" w:name="_Toc23902"/>
      <w:r>
        <w:rPr>
          <w:rFonts w:hint="eastAsia" w:ascii="宋体" w:hAnsi="宋体" w:eastAsia="宋体" w:cs="宋体"/>
          <w:b/>
          <w:bCs/>
          <w:color w:val="000000"/>
          <w:sz w:val="24"/>
          <w:szCs w:val="24"/>
          <w:lang w:val="en-US" w:eastAsia="zh-CN" w:bidi="ar-SA"/>
        </w:rPr>
        <w:t xml:space="preserve">系统组成</w:t>
      </w:r>
      <w:bookmarkEnd w:id="189"/>
      <w:r/>
      <w:bookmarkEnd w:id="190"/>
      <w:r/>
      <w:bookmarkEnd w:id="191"/>
      <w:r>
        <w:rPr>
          <w:rFonts w:ascii="宋体" w:hAnsi="宋体" w:eastAsia="宋体" w:cs="宋体"/>
          <w:b/>
          <w:b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由学生常见病和健康影响因素监测、学生常见病和健康影响因素干预及效果评估、学生近视追踪队列建立及干预效果评估、中小学生超重肥胖监测调查与干预四个核心业务部分组成，四大业务均围绕6大干预行动实现功能适配，同时系统按终端功能划分为录入端、学生端、家长端、老师端及管理后台五部分。</w:t>
      </w:r>
      <w:r>
        <w:rPr>
          <w:rFonts w:ascii="宋体" w:hAnsi="宋体" w:eastAsia="宋体" w:cs="宋体"/>
          <w:color w:val="000000"/>
          <w:sz w:val="24"/>
          <w:szCs w:val="24"/>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业务组成</w:t>
      </w:r>
      <w:r>
        <w:rPr>
          <w:rFonts w:ascii="宋体" w:hAnsi="宋体" w:eastAsia="宋体" w:cs="宋体"/>
          <w:b/>
          <w:i/>
          <w:iCs/>
          <w:color w:val="000000"/>
          <w:sz w:val="24"/>
          <w:szCs w:val="24"/>
          <w:lang w:val="en-US" w:eastAsia="zh-CN" w:bidi="ar-SA"/>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学生常见病和健康影响因素监测</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涵盖监测全流程管理功能，核心包括学校管理、监测学生管理、监测表管理、学生体检数据采集与反馈、数据汇总统计、各级工作报告自动生成；同时为6大干预行动提供基础数据支撑，包含干预人群筛选、干预基础指标统计等功能，实现监测数据与干预行动的深度联动。</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学生常见病和健康影响因素干预及效果评估</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围绕专家进校园、学校卫生标准普及、中小学生健康月、学校教学生活环境改善、健康父母、重点人群关爱6大行动，打造全流程功能体系，核心完成干预及效果评估材料上报、多级审核、数据汇总，同时开发干预行动方案管理、实施过程记录、效果量化评估功能，实现6大干预行动的闭环管理。</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学生近视追踪队列建立及干预效果评估</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针对学生近视专项调查与干预，实现干预学生管理、现场监测数据收集、学生历年视力结果反馈、用眼行为评价反馈、医院体检预约、医院体检结果反馈等核心功能；同时结合6大干预行动，开发近视防控专项干预模块，包含近视防控讲座记录、主题活动开展、干预效果跟踪等功能，实现近视追踪与专项干预的一体化管理。</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中小学生超重肥胖监测调查与干预</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针对中小学生超重肥胖专项调查与干预，实现学生管理、现场监测数据收集、随访体检数据收集等核心功能；同时打造完善的干预管理体系，包含健康打卡、身高体重记录、健康教育科普、自测评估等功能，结合6大干预行动开发家校协同干预模块，实现超重肥胖学生的精细化、个性化干预。</w:t>
      </w:r>
      <w:r>
        <w:rPr>
          <w:rFonts w:ascii="宋体" w:hAnsi="宋体" w:eastAsia="宋体" w:cs="宋体"/>
          <w:color w:val="000000"/>
          <w:sz w:val="24"/>
          <w:szCs w:val="24"/>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系统组成</w:t>
      </w:r>
      <w:r>
        <w:rPr>
          <w:rFonts w:ascii="宋体" w:hAnsi="宋体" w:eastAsia="宋体" w:cs="宋体"/>
          <w:b/>
          <w:i/>
          <w:iCs/>
          <w:color w:val="000000"/>
          <w:sz w:val="24"/>
          <w:szCs w:val="24"/>
          <w:lang w:val="en-US" w:eastAsia="zh-CN" w:bidi="ar-SA"/>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录入端（PC版/微信小程序版）</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工作人员数据采集终端，包含体检数据采集、监测表录入、环境数据采集、数据提交与智能校验功能；同时支持6大干预行动相关材料的批量上传、分类存储，适配PC端录入与小程序端移动化录入的不同场景需求。</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学生端（PC版/手机H5版）</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学生专属操作终端，包括监测表关联、监测表填写、题目交互、数据提交功能，适配学生PC端与移动端的操作习惯。</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家长端（手机H5版）</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家长专属轻量化服务终端，涵盖微信授权登录、学生绑定、健康打卡、体检报告查询、健康教育内容浏览功能，推送6大干预行动相关知识与活动信息，支持家长在线参与家校协同干预，实现家长与学校的高效联动。</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老师端（PC版/手机H5版）</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学校健康管理工作人员专属终端，包含监测表填写、随访体检记录录入功能。</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管理后台</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管理终端，包括用户五级权限管理、监测表配置管理、6大干预行动表单配置管理、数据多维度统计分析、数据导出管理、全流程质量控制管理功能；实现对全省学生健康监测与干预工作的统筹管控、6大干预行动的全流程监管与效果评估，是各级管理员的核心操作平台。</w:t>
      </w:r>
      <w:r>
        <w:rPr>
          <w:rFonts w:ascii="宋体" w:hAnsi="宋体" w:eastAsia="宋体" w:cs="宋体"/>
          <w:color w:val="000000"/>
          <w:sz w:val="24"/>
          <w:szCs w:val="24"/>
          <w:lang w:eastAsia="zh-CN"/>
        </w:rPr>
      </w:r>
      <w:r/>
    </w:p>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bookmarkStart w:id="194" w:name="_Toc3282"/>
      <w:r/>
      <w:bookmarkStart w:id="195" w:name="_Toc6674"/>
      <w:r>
        <w:rPr>
          <w:rFonts w:hint="eastAsia" w:ascii="宋体" w:hAnsi="宋体" w:eastAsia="宋体" w:cs="宋体"/>
          <w:b/>
          <w:bCs/>
          <w:color w:val="000000"/>
          <w:sz w:val="24"/>
          <w:szCs w:val="24"/>
          <w:lang w:val="en-US" w:eastAsia="zh-CN" w:bidi="ar-SA"/>
        </w:rPr>
        <w:t xml:space="preserve">系统功能指标</w:t>
      </w:r>
      <w:bookmarkEnd w:id="192"/>
      <w:r/>
      <w:bookmarkEnd w:id="193"/>
      <w:r/>
      <w:bookmarkEnd w:id="194"/>
      <w:r/>
      <w:bookmarkEnd w:id="195"/>
      <w:r>
        <w:rPr>
          <w:rFonts w:ascii="宋体" w:hAnsi="宋体" w:eastAsia="宋体" w:cs="宋体"/>
          <w:b/>
          <w:bCs/>
          <w:color w:val="000000"/>
          <w:sz w:val="24"/>
          <w:szCs w:val="24"/>
          <w:lang w:val="en-US" w:eastAsia="zh-CN" w:bidi="ar-SA"/>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学生常见病和健康影响因素监测</w:t>
      </w:r>
      <w:r>
        <w:rPr>
          <w:rFonts w:ascii="宋体" w:hAnsi="宋体" w:eastAsia="宋体" w:cs="宋体"/>
          <w:b/>
          <w:i/>
          <w:iCs/>
          <w:color w:val="000000"/>
          <w:sz w:val="24"/>
          <w:szCs w:val="24"/>
          <w:lang w:val="en-US" w:eastAsia="zh-CN" w:bidi="ar-SA"/>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学生端（手机H5版）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监测表关联</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建立监测表与年级的映射关系，支持多监测表按年级批量分配；优化登录流程中年级信息获取逻辑，自动查询当前学生所属年级对应的监测表列表，实现精准适配。</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监测表题目</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新增单选/多选题型题干图片配置功能，提升交互体验；支持填空题范围外特殊值填写（需后台提前配置）；优化题目跳转逻辑，后台根据提交答案自动判断跳转方向，无跳转时按顺序展示下一题。</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家长端（手机H5版）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当前体检报告</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重新设计报告页面布局与PDF模板，适配不同屏幕分辨率；优化备注文字表述与展示位置；支持单份报告PDF全内容下载，优化文件生成与传输性能；新增“报告已阅”状态记录，默认展示基础信息（姓名、体检时间、结论），点击“查看完整报告”后触发状态记录并加载全部内容。</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健康教育内容</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优化列表页图文卡片展示（含标题、封面图、摘要、发布时间），支持分页加载、关键词搜索与分类筛选；详情页支持图文混排与主流格式视频播放（含进度条控制、倍速调节），优化图片懒加载与视频加载失败备用提示；新增体检结论与健康教育内容关联逻辑，精准推送匹配内容；记录内容已阅状态，支持点赞、收藏及取消操作；在个人中心设置点赞与收藏内容专区。</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历史体检报告</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Arial" w:hAnsi="Arial" w:eastAsia="Arial" w:cs="Arial"/>
          <w:color w:val="000000"/>
          <w:szCs w:val="21"/>
          <w:lang w:eastAsia="zh-CN"/>
        </w:rPr>
      </w:pPr>
      <w:r>
        <w:rPr>
          <w:rFonts w:hint="eastAsia" w:ascii="宋体" w:hAnsi="宋体" w:eastAsia="宋体" w:cs="宋体"/>
          <w:color w:val="000000"/>
          <w:sz w:val="24"/>
          <w:szCs w:val="24"/>
          <w:lang w:eastAsia="zh-CN"/>
        </w:rPr>
        <w:t xml:space="preserve">通过学生证件号匹配查询历史体检记录，建立同一证件号多条记录的合并策略；新增历史记录列表（按时间倒序排列）与详情页，复用现有报告展示组件；开发兼容型展示模板，处理字段缺失与格式不一致问题，避免渲染异常。</w:t>
      </w:r>
      <w:r>
        <w:rPr>
          <w:rFonts w:ascii="Arial" w:hAnsi="Arial" w:eastAsia="Arial" w:cs="Arial"/>
          <w:color w:val="000000"/>
          <w:szCs w:val="21"/>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录入端（微信小程序版）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体检项调整</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眼生物（仅中小学）、臀围（中小学+大学）、步态无感监测（四年级以上）体检项，包含眼轴长度、角膜曲率等细分指标录入表单；按学段配置展示逻辑，四年级以上显示步态监测项、中小学显示眼生物项；新增地区差异化校验，仅南通地区展示并校验眼生物项、仅苏州地区展示并校验臀围项，如皋市、海安市、如东市不勾选眼生物时筛查项自动流转为完成；调整脊柱弯曲关联校验规则，优化前端校验提示文案与错误状态展示；删除疾病史中“新型冠状病毒感染”选项。</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体检复测</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将视力复测拆分为远视力、屈光两个独立模块，支持单独保存提交；新增腰围复测项及±1cm误差允许范围校验；调整形态复测与视力复测项次统计规则；按地市维度拆分筛查项状态数据表，设计分表路由策略，优化查询性能。</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录入端（PC版）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监测表录入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优化体检项疾病史展示，删除“新型冠状病毒感染”相关选项及关联校验；新增龋齿同一牙位乳牙与恒</w:t>
      </w:r>
      <w:r>
        <w:rPr>
          <w:rFonts w:hint="eastAsia" w:ascii="宋体" w:hAnsi="宋体" w:eastAsia="宋体" w:cs="宋体"/>
          <w:color w:val="000000"/>
          <w:sz w:val="24"/>
          <w:szCs w:val="24"/>
          <w:lang w:eastAsia="zh-CN"/>
        </w:rPr>
        <w:t xml:space="preserve">牙互斥校验规则，避免数据冲突；调整脊柱弯曲检测结果关联校验逻辑，通过一般检查与初筛结果综合判定阳性情况；新增教室照明数据录入表格，支持色温、主波长等6项指标及三次数值填写，配置非必填校验与数据格式限制；将黑板面照度填写点位从4个调整为16个，新增缺失值自动判定（填写0视为缺失）及适配16点位的平均照度与均匀度计算规则；删除环境表“厕所坑位数达标”题目及后端校验，优化跳转题答案修改逻辑，自动置空跳过题目答案以保证数据准确性；优化环境表指标标签样式，按“已保存（红色）、已提交（黄色）、未完成（灰色）”区分状态。</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体检报告</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同步疾病史选项删除调整，重新设计报告排版布局，校验生成逻辑，避免模板错位与数据缺失。</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环境报告</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更新噪声填写说明文字，将标准范围从“50”调整为“55（A）”，同步更新后端达标判断阈值与前端状态标识；新增“学生数÷坑位数”达标计算逻辑，替换原有直接获取监测表选项的展示方式，实现实时关联计算。</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文件上报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新增单题目多文件并行上传功能，支持批量选择、一键上传、删除、重传及排序，配置文件大小与数量限制；开发上传失败重传机制，已上传成功文件可跳过，上传完成后支持继续添加文件。</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管理后台</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学生管理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更新证件类型编码体系与Excel导入模板，补充编码示例说明；拆分“龋（失、补）”字段为“乳牙龋（失、</w:t>
      </w:r>
      <w:r>
        <w:rPr>
          <w:rFonts w:hint="eastAsia" w:ascii="宋体" w:hAnsi="宋体" w:eastAsia="宋体" w:cs="宋体"/>
          <w:color w:val="000000"/>
          <w:sz w:val="24"/>
          <w:szCs w:val="24"/>
          <w:lang w:eastAsia="zh-CN"/>
        </w:rPr>
        <w:t xml:space="preserve">补）”“恒牙龋（失、补）”“乳牙正常”“恒牙正常”4个独立字段，新增对应筛选条件；拆分“肺活量（及格/不及格）”为“优秀”“良好”“及格”“不及格”4个字段，支持按等级筛选；调整13.0岁以上女生超重肥胖标准（超重BMI≥22.2、肥胖BMI≥25.0）；新增体检异常值阈值配置（按性别、年龄段差异化设置），列表页中异常值自动标记为红色；开发体检数据删除联动逻辑，单条或批量删除体检信息时自动清除对应体检结论，实时刷新状态；新增学生干预信息管理列表，展示营养状况评估、打卡情况、随访体检等数据，支持关联记录查看。</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健康教育内容管理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支持图文视频内容编辑与全流程管理（新增-编辑-审核-发布），上传时校验封面图、视频格式与大小，正文支持图文混排、表格与链接；建立体检结论与健康教育内容的一对多映射关系，提供关联配置界面。</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学生复测管理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在学生复测详情预览页面新增“腰围”字段展示，完善形态复测数据呈现。</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导出管理：根据最新监测表结构调整原始数据导出字段；新增标准导出模板（符合国家数据库规范）与进行中监测表特殊导出（仅导出完成视力调查的体检表，标注未完成项）；优化导出机制，监测表删除、修改或重新提交时自动删除已生成的导出数据；实现导出数据定时更新（当日新提交/修改数据夜间同步）。</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质量控制管理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非有效样本判定规则（非夜戴角膜塑形镜者单眼或裸眼视力缺失视为非有效数据），并添加特殊标识；建立区县近视率异常判定规则（同一区县各年级近视率从小到大排序，高年级低于低年级则判定为异常），提供异常提醒功能。</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统计表入口页管理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统计功能总入口页，按模块分类展示统计项（含体检指标统计、监测表统计等），配置图标、名称与更新时间；新增统计分类tab页切换（全部、监测表完成情况统计等8类）；根据用户角色控制统计项访问权限，隐藏无权限内容。</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家长反馈情况统计管理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汇总学生体检表完成状态、报告阅读状态、推荐内容阅读状态等数据，支持按学生编码、年级等条件筛选，实时刷新；按地市/区县维度计算反馈率（已反馈家长数÷总家长数×100%），生成分级统计表格（省级→市级→区级），支持Excel导出（可选中区域导出）。</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体检指标统计管理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肺活量优良率统计，按学段、年级、监测点类型、性别统计优秀/良好/及格/不及格人数及占比，支持Excel导出；调整龋齿统计规则，拆分乳牙与恒牙龋患率统计；优化统计逻辑，排除已删除的学生与学校数据；调整10张常见病统计报表表头（新增“（%）”符号），表格内容与导出时去除“%”；优化导出文件命名（增加地区名称）；限制提交表数据异常时不生成体检指标。</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复测统计管理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在形态复测项次统计中新增腰围复测维度，计算总次数、各学段次数及完成率。</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环境统计管理：将噪声统计标准更新为55db（A），修改后端达标判断逻辑；优化环境表统计规则，排除已删除学校；调整4张环境统计报表表头（新增“（%）”符号），表格内容与导出时去除“%”。</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完成情况统计管理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新增按学校类型（小学/中学/幼儿园/大学）、调查表类型统计完成情况，实时计算完成数、完成率，支持Excel导出；新增疾控调查表完成进度统计（表1-1、干预工作量化评估表），支持Excel导出。</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健康影响因素统计管理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含糖饮料、油炸食物、新鲜水果等饮食类统计，工作日/周末中高强度运动、体育课情况等运动类统计，抑郁、焦虑、压力等心理类统计；按学段、年级、监测点类型、性别统计人数及比例，支持Excel导出；心理类统计按量表分值判定状态（如抑郁情绪0≤得分≤19为无抑郁，20≤得分≤60为存在抑郁）。</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工作报告（区级/市级）</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自动生成全省99个区县、13个市级工作报告，涵盖监测工作总体情况、管理部门及学校基本情况、学生常见病监测、健康影响因素监测等核心内容；支持报告在线预览、PDF下载与在线打印；区级报告统计7类学校数量、11类学生数量等核心指标，市级报告新增城区/郊县分类统计、监测覆盖区县数量等指标；工作报告查看权限按层级控制（区级仅看本级、市级看本级及下属区级），生成时可勾选地区范围，未勾选地区不参与统计。</w:t>
      </w:r>
      <w:r>
        <w:rPr>
          <w:rFonts w:ascii="宋体" w:hAnsi="宋体" w:eastAsia="宋体" w:cs="宋体"/>
          <w:color w:val="000000"/>
          <w:sz w:val="24"/>
          <w:szCs w:val="24"/>
          <w:lang w:eastAsia="zh-CN"/>
        </w:rPr>
      </w:r>
      <w:r/>
    </w:p>
    <w:p>
      <w:pPr>
        <w:pStyle w:val="637"/>
        <w:jc w:val="center"/>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表1学生常见病和健康影响因素监测升级优化工作量清单</w:t>
      </w:r>
      <w:r>
        <w:rPr>
          <w:rFonts w:ascii="宋体" w:hAnsi="宋体" w:eastAsia="宋体" w:cs="宋体"/>
          <w:color w:val="000000"/>
          <w:sz w:val="24"/>
          <w:szCs w:val="24"/>
          <w:lang w:eastAsia="zh-CN"/>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298"/>
        <w:gridCol w:w="1013"/>
        <w:gridCol w:w="938"/>
        <w:gridCol w:w="1616"/>
        <w:gridCol w:w="3998"/>
        <w:gridCol w:w="660"/>
      </w:tblGrid>
      <w:tr>
        <w:trPr>
          <w:trHeight w:val="270"/>
          <w:tblHeader/>
        </w:trPr>
        <w:tc>
          <w:tcPr>
            <w:shd w:val="clear" w:color="auto" w:fill="c6d9f0"/>
            <w:tcBorders>
              <w:top w:val="single" w:color="000000" w:sz="4" w:space="0"/>
              <w:left w:val="single" w:color="000000" w:sz="4" w:space="0"/>
              <w:bottom w:val="single" w:color="000000" w:sz="4" w:space="0"/>
              <w:right w:val="single" w:color="000000" w:sz="4" w:space="0"/>
            </w:tcBorders>
            <w:tcW w:w="174"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序号</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一级功能模块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二级功能模块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功能点</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功能描述</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功能备注</w:t>
            </w:r>
            <w:r>
              <w:rPr>
                <w:rFonts w:ascii="宋体" w:hAnsi="宋体" w:eastAsia="宋体" w:cs="宋体"/>
                <w:b/>
                <w:bCs/>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录入端（PC版）</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监测表录入</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体检项疾病史内容及展示调整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体检项疾病史内容调整，去除体检表2-1和体检表2-2中的“疾病史”中的“新型冠状病毒感染”体检选项，同步去除相关的逻辑校验和页面展示。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龋齿题目校验调整</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新增同一牙位不能同时选择乳牙和恒牙的逻辑限制。</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脊柱弯曲关联校验逻辑调整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根据国家监测方案，将学生体检表2-1中的，“脊柱弯曲体项”检测结果规则调整，即，对一般检查中的阳性结果与初筛的检测结果进行关联校验，用于综合对“脊柱弯曲”阳性结果的判断。</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新增前端校验提示文案及错误状态展示，涉及体检数据提交、编辑、详情页等多页面的校验逻辑联动调整。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环境表厕所坑位数达标题目及校验删除</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删除环境表1-3-2中"厕所坑位数达标"题目，去除后端关联的坑位数达标校验规则。</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环境表黑板面平均照度填写数量调整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调整黑板面照度从4个点位改为16个点位的测量值填写。</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新增黑板面照度缺失值的填写，实现填写0时自动判断为缺失值。</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调整黑板面平均照度与均匀度计算规则，根据16个点位数进行计算，同时增加缺失值的判断，缺失值不参与计算。</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环境表教室照明模块开发及非必填校验</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新增教室照明数据表格组件，包含"色温、主波长、显色指数、闪烁指数、波动深度"6项数据录入列。</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为表格中各数据项配置非必填校验规则，同时保留数据格式校验（如数值范围、小数位数限制）。</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跳转题答案修改提交逻辑优化</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优化修改答案时，涉及题目跳转，自动置空跳过的题目答案，避免数据导出存在题目跳过但答案有值。</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体检报告</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体检报告疾病史展示同步调整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根据疾病史选项删除后的内容，重新设计体检报告中疾病史模块的排版布局，确保剩余选项展示整齐，同时校验报告生成逻辑，避免因选项减少导致的报告模板错位、数据缺失等问题。</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环境报告（学校教学生活环</w:t>
            </w:r>
            <w:r>
              <w:rPr>
                <w:rFonts w:ascii="宋体" w:hAnsi="宋体" w:eastAsia="宋体" w:cs="宋体"/>
                <w:color w:val="000000"/>
                <w:sz w:val="24"/>
                <w:szCs w:val="24"/>
                <w:lang w:eastAsia="zh-CN" w:bidi="ar"/>
              </w:rPr>
              <w:t xml:space="preserve">  </w:t>
            </w:r>
            <w:r>
              <w:rPr>
                <w:rFonts w:hint="eastAsia" w:ascii="宋体" w:hAnsi="宋体" w:eastAsia="宋体" w:cs="宋体"/>
                <w:color w:val="000000"/>
                <w:sz w:val="24"/>
                <w:szCs w:val="24"/>
                <w:lang w:eastAsia="zh-CN" w:bidi="ar"/>
              </w:rPr>
              <w:t xml:space="preserve">境改善行动）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噪声填写说明及标准范围调整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新增文案调整，修改噪声填写页面的说明文字，将标准范围由"50"更新为"55（A）"。</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新增后端噪声数值的达标判断阈值同步更新，前端调整达标状态标识逻辑（如绿色达标/红色未达标）。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新增环境报告中噪声模块的标准范围说明及达标判断结果展示更新。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环境报告厕所坑位数达标标准计算</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新增根据"学生数÷坑位数"的计算逻辑开发达标判断算法，计算出是否达标。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调整环境报告厕所坑位数达标标准，替换原有直接获取环境监测表选项的展示方式，调整为与环境表中学生数字段与厕所坑位数字段关联，实时计算达标结果。</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录入端（微信小程序版）</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体检项调整</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新增体检项（眼生物、臀围、步态无感监测）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新增眼生物（仅中小学）、臀围（中小学+大学）、步态无感监测（四年级以上）体检项，包括眼生物细分指标（如眼轴长度、角膜曲率等）录入表单。</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新增学段判断逻辑，实现四年级以上展示步态监测项、中小学展示眼生物项。</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地区差异化体检项校验</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地区标识识别逻辑（基于用户所属地市或机构配置），新增仅南通地区展示并校验眼生物项、仅苏州地区展示并校验臀围项，其他地区跳过对应项校验。</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脊柱弯曲关联校验逻辑调整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新增脊柱弯曲关联校验逻辑调整，依据最新监测方案梳理脊柱弯曲相关体检项的校验规则，修改后端校验算法。</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新增前端校验提示文案及错误状态展示，涉及体检数据提交、编辑、详情页等多页面的校验逻辑联动调整。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体检项疾病史内容及展示调整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体检项疾病史内容调整，去掉疾病史选项列表中删除"新型冠状病毒感染"选项。</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体检复测</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视力复测项拆分及分别提交</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新增将视力复测中的远视力、屈光复测项拆分为两个独立功能模块，分别开发录入表单、提交按钮、数据暂存与校验逻辑，实现两项可单独保存提交。</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形态复测腰围项新增及误差校验</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新增形态复测模块中新增腰围复测项录入控件，新增±1cm误差允许范围的校验规则。</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形态复测项次统计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增加复测统计中，形态复测项次计算。</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视力复测项次统计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调整复测统计中，视力复测项次计算。</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小程序筛查项状态分表存储及查询优化</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新增按地市维度拆分小程序筛查项状态数据表，建立地市编码与分表的映射关系，设计分表路由策略。</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学生端（手机H5版）</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监测表关联</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学生监测表年级移动端适配展示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新增后台监测表分配数据与学生年级信息的关联逻辑，建立监测表-年级映射关系表，实现多个监测表按年级批量分配。</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新增学生移动端登录流程中年级信息获取逻辑，调用监测表分配接口查询当前学生所属年级对应的监测表列表。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监测表题目</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单选题/多选题实现图片配置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新增单选/多选题型题干图片配置功能，实现单选/多选题目题干中图片展示。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填空范围外特殊值配置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新增填空题实现范围外特殊值配置，允许填写后台配置的“范围外的特殊值”。</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题目跳转优化</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后台根据提交的题目答案，自动判断是否有跳转，如果有，则返回跳转的下一题；否则，按顺序返回下一题。</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家长端（手机H5版）</w:t>
            </w: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当前体检报告（健康父母行动干预要点：体重等监测结果及时告知家长，每所学校家长告知单签收率</w:t>
            </w:r>
            <w:r>
              <w:rPr>
                <w:rFonts w:ascii="宋体" w:hAnsi="宋体" w:eastAsia="宋体" w:cs="宋体"/>
                <w:color w:val="000000"/>
                <w:sz w:val="24"/>
                <w:szCs w:val="24"/>
                <w:lang w:eastAsia="zh-CN" w:bidi="ar"/>
              </w:rPr>
              <w:t xml:space="preserve"> 95%</w:t>
            </w:r>
            <w:r>
              <w:rPr>
                <w:rFonts w:hint="eastAsia" w:ascii="宋体" w:hAnsi="宋体" w:eastAsia="宋体" w:cs="宋体"/>
                <w:color w:val="000000"/>
                <w:sz w:val="24"/>
                <w:szCs w:val="24"/>
                <w:lang w:eastAsia="zh-CN" w:bidi="ar"/>
              </w:rPr>
              <w:t xml:space="preserve">及以上）</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学生体检报告样式及备注文字调整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重新设计体检报告页面布局（含字体、间距、表格样式、图表配色等），适配不同屏幕分辨率。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梳理报告中所有备注文字，按业务要求更新内容表述，同时优化备注展示位置。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学生体检报告PDF全内容下载</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设计PDF报告模板，包含封面、封底、详情页（所有体检项数据、结论、建议等），确保模板内容与在线展示一致。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新增单份报告下载，优化文件生成与传输性能，避免大文件下载超时。</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学生体检报告已阅状态记录</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新增默认展示报告基本信息（含姓名、体检时间、体检结论），增加"查看完整报告"按钮，点击后触发已阅状态记录接口（写入当前时间与用户信息），同时加载展示完整报告内容。</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健康教育内容（中小学生健康月活动干预）</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健康教育内容列表与详情展示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优化健康教育内容列表页面，采用图文卡片展示（含标题、封面图、摘要、发布时间），并实现分页加载、关键词搜索及分类筛选功能。</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优化健康教育内容详情页面，实现图文混排展示与主流格式视频播放，视频功能包含进度条控制、倍速调节，同时优化图片懒加载机制与视频加载失败备用提示。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体检结论与健康教育内容关联展示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新增健康教育内容与学生体检结论关联展示，实现前端获取学生体检结论后，调用关联接口查询匹配的健康教育内容，在报告页展示，确保不同结论对应内容精准匹配。</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健康教育内容已阅状态记录</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新增"健康教育内容已阅"数据表（含内容ID、学生ID、已阅时间），实现单条内容多次阅读仅记录首次或最新时间。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新增在点击图文卡片、视频播放按钮进入详情页时，自动调用已阅状态记录接口，同步更新前端列表页已阅标识。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历史体检报告（重点人群关爱行动）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历史学生体检信息关联绑定</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新增学生登录验证后证件号匹配逻辑，通过学生证件号（如身份证号）查询历史体检数据库，建立当前账号与历史体检记录的关联。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增加证件号唯一性校验规则，制定同一证件号多条历史记录的合并策略，并向用户反馈关联结果。</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历史学生体检信息列表及详情查看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新增历史体检信息列表页面，展示每条记录的体检名称（如“2023学年常见病监测结果”）与体检时间，实现按时间倒序排列。</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新增历史体检报告详情页，点击列表项可跳转至详情页，复用现有报告展示组件以保持样式统一。</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处理历史体检数据字段缺失、格式不一致问题，开发兼容型展示模板，避免详情页渲染异常。</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管理后台</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学生管理</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学生导入证件类型编码及模板调整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根据方案更新证件类型编码体系，调整不同证件类型对应的编码。</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调整学生导入Excel模板，修改证件类型说明文字（含编码示例），更新导入模版，确保用户下载为最新模板。</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学生龋齿状态标记与筛选条件拆分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将原有"龋（失、补）"字段拆分为"乳牙龋（失、补）"、"恒牙龋（失、补）”、“乳牙正常”、“恒牙正常"4个独立字段。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新增筛选功能中乳牙/恒牙龋齿的独立筛选条件及组合筛选逻辑。</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超重肥胖标准修改</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调整13.0岁以上女生超重肥胖标准，超重标准改为BMI达到22.2，肥胖标准改为BMI达到25.0</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学生肺活量状态标记与筛选条件拆分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将原有的“肺活量（及格/不及格）”拆分为“优秀”、“良好”、“及格”、“不及格”4个独立字段。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新增肺活量状态查询根据“优秀”、“良好”、“及格”、“不及格”进行查询筛选。</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学生体检项异常值颜色标记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新增体检异常值逻辑规则，实现按体检项设置正常范围阈值（可按性别、年龄段差异化配置）。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新增学生数据列表页中，对体检测量结果超出阈值的数值按规则标记颜色为红色。</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体检信息删除后结论同步清除</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新增体检数据删除联动逻辑，实现在学生体检信息删除时自动清除体检结论，实现单条删除、批量删除两种场景。</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删除操作后实时刷新学生列表结论展示区域，状态变更为未完成，结论为空。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实现学生体检信息删除后，学生体检结论同步清除的功能。</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健康教育内容管理（中小学生健康月活动）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图文视频内容发布</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新增健康教育内容编辑，实现上传封面图、视频封面、视频文件（实现格式校验、大小限制），编辑正文（实现图文混排、表格、链接）。</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新增健康教育内容“新增-编辑-审核-发布”的全流程管理。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体检结论与健康教育内容映射配置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新增体检结论与健康教育内容的映射关系表（实现一对多关联，如"视力低下"对应多篇护眼文章）</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新增体检结论与健康教育内容关联配置界面。</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学生复测管理</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复测学生腰围原测值与复测值展示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新增腰围复测详情查看，实现学生复测详情预览页面增加“腰围”字段展示。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数据导出管理</w:t>
            </w: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监测表数据导出</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调整原始数据导出，根据最新监测表结构调整导出字段（新增/删除问题项），确保字段与监测表一一对应。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新增标准导出，实现按国家数据库规范设计导出模板（含字段名、类型、长度），开发数据格式转换逻辑（如日期格式化、编码映射）。</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新增进行中监测表特殊导出，实现仅完成视力调查的学生体检表导出，标注未完成项。</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新增监测表导出信息生成机制，实现监测表删除、取消完成、修改或重新提交时，删除已生成的监测表数据，限制导出。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监测表导出数据实现定时更新，新提交/修改的监测表会在当天晚上更新监测表数据。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质量控制管理</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非有效样本量质控</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新增非有效样本判定规则，实现非夜戴角膜塑形镜者单眼或裸眼视力缺失等无法判定近视的情况判定为非有效数据。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新增在数据列表中为非有效样本添加特殊标识。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区县调查人数与近视率异常提醒</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新增各县区近视率异常判定规则，实现同一个县区各年级近视率从小到大排序，若高年级低于低年级，判定为异常。</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增加各区县调查人数与近视率是否存在异常的提醒。</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统计表入口页管理</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统计表入口页及权限管理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新增统计功能总入口页，按模块分类展示统计项（如体检指标统计、监测表统计、反馈统计等），每个统计项配图标、名称、更新时间。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统计分类切换功能，根据统计分类，通过tab页切换，类型包括：全部、监测表完成情况统计、复测质控统计、重点常见病监测统计、家长反馈情况统计、近视监测统计、学生健康影响因素统计、学校环境调查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新增根据用户角色显示可访问的统计项，隐藏无权限内容。</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家长反馈情况统计管理（健康父母行动）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家长反馈情况统计表</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新增家长反馈情况数据汇聚展示，实现多表关联查询逻辑，汇总学生体检表完成状态（已完成/未完成）、体检报告阅读状态（已阅/未阅）、推荐内容阅读状态（已阅/未阅），实现按更新时间实时刷新。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新增按照学生编码、年级、体检表、体检报告阅读状态、推荐阅读状态筛选查询。</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家长反馈率统计及Excel导出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新增家长反馈率统计规则，按地市/区县维度计算反馈率（反馈率=已反馈家长数÷总家长数×100%）。</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新增家长反馈率统计表展示，设计分级统计表格（省级→市级→区级），展示地区名称、总人数、已反馈数、反馈率。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新增统计表Excel导出，包含多级地区统计数据，实现选中区域导出。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体检指标统计管理</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肺活量统计分析及导出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新增“肺活量优良率统计”统计生成处理，定时更新统计；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新增肺活量等级划分规则，根据男女生肺活量单项评分表，设置不同年级、不同性别的优秀、良好、及格、不及格的标准；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肺活量优良率统计，按照学段（小学、初中、高中、职高、大学）、每个学段中不同年级、监测点类型（城区、郊县）、性别（男、女），统计检测人数、优秀人数、优秀率（%）、良好人数、良好率（%）、及格人数、及格率（%）、不及格人数、不及格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肺活量优良率统计表导出功能，按照学段（小学、初中、高中、职高、大学）、每个学段中不同年级、监测点类型（城区、郊县）、性别（男、女），以Excel表格导出检测人数、优秀人数、优秀率（%）、良好人数、良好率（%）、及格人数、及格率（%）、不及格人数、不及格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龋齿统计表拆分及导出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调整“龋齿统计”中乳牙、恒牙统计生成处理，定时更新统计；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龋齿率统计，按照学段（小学、初中、高中、职高、大学）、每个学段中不同年级、监测点类型（城区、郊县）、性别（男、女），统计检测人数、乳牙龋患（失、补）人数、乳牙龋患（失、补）率（%）、恒牙龋患（失、补）人数、恒牙龋患（失、补）率（%）、龋患（失、补）人数、龋患（失、补）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龋齿率统计表导出功能，按照学段（小学、初中、高中、职高、大学）、每个学段中不同年级、监测点类型（城区、郊县）、性别（男、女），以Excel表格导出检测人数、乳牙龋患（失、补）人数、乳牙龋患（失、补）率（%）、恒牙龋患（失、补）人数、恒牙龋患（失、补）率（%）、龋患（失、补）人数、龋患（失、补）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体检指标统计查询优化</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优化体检指标统计规则，排除已删除的学生、学校（不参与统计）。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统计表百分比样式调整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统计报表表头，表头增加百分比符号“（%）”，表格内容展示与导出时去除百分比符号“%”，涉及到以下10张统计表：近视率统计、近视程度统计、龋齿率统计、脊柱弯曲检出率统计、肥胖率统计、超重率统计、消瘦率统计、生长迟缓率统计、营养不足率统计、血压偏高率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优化导出表文件命名</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优化体检指标统计导出文件命名规则，命名增加地区名称。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体检指标生成优化</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优化体检指标生成规则，实现限制提交表存在数据异常时，不生成体检指标。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复测统计管理</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形态复测统计腰围项次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在原有形态复测项次统计中新增腰围复测维度统计，计算腰围复测总次数、各学段次数、完成率。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环境统计管理</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噪声统计标准调整</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调整噪声统计，将噪声统计标准由原标准更新为55db（A），修改后端达标判断逻辑（如"＜55db为达标"）。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环境表统计查询优化</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优化环境表统计查询规则，实现统计时排除已删除的学校。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统计表百分比样式调整</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优化统计报表表头，表头增加百分比符号“（%）”，表格内容展示与导出时去除百分比符号“%”，涉及到以下4张统计表：教室人均面积统计、课桌椅分配符合率统计、黑板和课桌统计、噪声统计；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完成情况统计管理</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学校调查表完成进度统计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新增按学校类型（小学、中学）统计调查表学校数、完成数、完成进度、学校完成数和总体完成进度。</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新增学校调查表完成进度表导出，实现按照Excle格式导出。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新增统计表实时生成机制。</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学生调查表完成进度统计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新增按学校类型（幼儿园、小学、中学、大学）统计调查表任务数、完成数、完成进度、完成学生数和总体完成进度。</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新增学校调查表完成进度表导出，实现按照Excle格式导出。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新增完成数量、总人数、完成率的实时计算逻辑，实现按学校、地区聚合。</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疾控调查表完成进度统计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新增按调查表（表1-1、干预工作量化评估表）统计调查表疾控数、完成数和完成进度。</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新增疾控调查表完成进度表导出，实现按照Excel格式导出。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健康影响因素统计管理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新增含糖饮料摄入情况统计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新增“含糖饮料摄入情况”统计生成处理，定时更新统计；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含糖饮料摄入情况统计，按照学段（小学、初中、高中、职高、大学）、每个学段中不同年级、监测点类型（城区、郊县）、性别（男、女），统计检测人数、0次人数、0次比例、1~2次人数、1~2次比例、3~4次人数、3~4次比例、5~6次人数、5~6次比例、每天1次人数、每天1次比例、每天2次及以上人数、每天2次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含糖饮料摄入情况统计表导出功能，按照学段（小学、初中、高中、职高、大学）、每个学段中不同年级、监测点类型（城区、郊县）、性别（男、女），以Excel表格导出检测人数、0次人数、0次比例、1~2次人数、1~2次比例、3~4次人数、3~4次比例、5~6次人数、5~6次比例、每天1次人数、每天1次比例、每天2次及以上人数、每天2次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新增油炸食物摄入情况统计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新增“油炸食物摄入情况”统计生成处理，定时更新统计；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油炸食物摄入情况统计，按照学段（小学、初中、高中、职高、大学）、每个学段中不同年级、监测点类型（城区、郊县）、性别（男、女），统计检测人数、0次人数、0次比例、1~2次人数、1~2次比例、3~4次人数、3~4次比例、5~6次人数、5~6次比例、每天1次人数、每天1次比例、每天2次及以上人数、每天2次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油炸食物摄入情况统计表导出功能，按照学段（小学、初中、高中、职高、大学）、每个学段中不同年级、监测点类型（城区、郊县）、性别（男、女），以Excel表格导出检测人数、0次人数、0次比例、1~2次人数、1~2次比例、3~4次人数、3~4次比例、5~6次人数、5~6次比例、每天1次人数、每天1次比例、每天2次及以上人数、每天2次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新增新鲜水果摄入情况统计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新增“新鲜水果摄入情况”统计生成处理，定时更新统计；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新鲜水果摄入情况统计，按照学段（小学、初中、高中、职高、大学）、每个学段中不同年级、监测点类型（城区、郊县）、性别（男、女），统计检测人数、0次人数、0次比例、1~2次人数、1~2次比例、3~4次人数、3~4次比例、5~6次人数、5~6次比例、每天1次人数、每天1次比例、每天2次及以上人数、每天2次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新鲜水果摄入情况统计表导出功能，按照学段（小学、初中、高中、职高、大学）、每个学段中不同年级、监测点类型（城区、郊县）、性别（男、女），以Excel表格导出检测人数、0次人数、0次比例、1~2次人数、1~2次比例、3~4次人数、3~4次比例、5~6次人数、5~6次比例、每天1次人数、每天1次比例、每天2次及以上人数、每天2次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新增蔬菜摄入情况统计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新增“蔬菜摄入情况”统计生成处理，定时更新统计；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蔬菜摄入情况统计，按照学段（小学、初中、高中、职高、大学）、每个学段中不同年级、监测点类型（城区、郊县）、性别（男、女），统计检测人数、0次人数、0次比例、1~2次人数、1~2次比例、3~4次人数、3~4次比例、5~6次人数、5~6次比例、每天1次人数、每天1次比例、每天2次及以上人数、每天2次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蔬菜摄入情况统计表导出功能，按照学段（小学、初中、高中、职高、大学）、每个学段中不同年级、监测点类型（城区、郊县）、性别（男、女），以Excel表格导出检测人数、0次人数、0次比例、1~2次人数、1~2次比例、3~4次人数、3~4次比例、5~6次人数、5~6次比例、每天1次人数、每天1次比例、每天2次及以上人数、每天2次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新增牛奶、酸奶、豆浆和豆奶摄入情况统计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新增“牛奶、酸奶、豆浆和豆奶摄入情况”统计生成处理，定时更新统计；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牛奶、酸奶、豆浆和豆奶摄入情况统计，按照学段（小学、初中、高中、职高、大学）、每个学段中不同年级、监测点类型（城区、郊县）、性别（男、女），统计检测人数、0天人数、0天比例、1~2天人数、1~2天比例、3~4天人数、3~4天比例、5~6天人数、5~6天比例、7天人数、7天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牛奶、酸奶、豆浆和豆奶摄入情况统计表导出功能，按照学段（小学、初中、高中、职高、大学）、每个学段中不同年级、监测点类型（城区、郊县）、性别（男、女），以Excel表格导出检测人数、0天人数、0天比例、1~2天人数、1~2天比例、3~4天人数、3~4天比例、5~6天人数、5~6天比例、7天人数、7天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新增早餐摄入情况统计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新增“早餐摄入情况”统计生成处理，定时更新统计；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早餐摄入情况统计，按照学段（小学、初中、高中、职高、大学）、每个学段中不同年级、监测点类型（城区、郊县）、性别（男、女），统计检测人数、0天人数、0天比例、1~2天人数、1~2天比例、3~4天人数、3~4天比例、5~6天人数、5~6天比例、7天人数、7天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早餐摄入情况统计表导出功能，按照学段（小学、初中、高中、职高、大学）、每个学段中不同年级、监测点类型（城区、郊县）、性别（男、女），以Excel表格导出检测人数、0天人数、0天比例、1~2天人数、1~2天比例、3~4天人数、3~4天比例、5~6天人数、5~6天比例、7天人数、7天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新增工作日中高强度运动情况统计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新增“工作日中高强度运动情况”统计生成处理，定时更新统计；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工作日中高强度运动情况统计，按照学段（小学、初中、高中、职高、大学）、每个学段中不同年级、监测点类型（城区、郊县）、性别（男、女），统计检测人数、0天人数、0天比例、1天人数、1天比例、2天人数、2天比例、3天人数、3天比例、4天人数、4天比例、5天人数、5天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工作日中高强度运动情况统计表导出功能，按照学段（小学、初中、高中、职高、大学）、每个学段中不同年级、监测点类型（城区、郊县）、性别（男、女），以Excel表格导出检测人数、0天人数、0天比例、1天人数、1天比例、2天人数、2天比例、3天人数、3天比例、4天人数、4天比例、5天人数、5天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新增体育课情况统计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新增“体育课情况”统计生成处理，定时更新统计；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体育课情况统计，按照学段（小学、初中、高中、职高、大学）、每个学段中不同年级、监测点类型（城区、郊县）、性别（男、女），统计检测人数、0节人数、0节比例、1节人数、1节比例、2节人数、2节比例、3节人数、3节比例、4节人数、4节比例、5节及以上人数、5节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体育课情况统计表导出功能，按照学段（小学、初中、高中、职高、大学）、每个学段中不同年级、监测点类型（城区、郊县）、性别（男、女），以Excel表格导出检测人数、0节人数、0节比例、1节人数、1节比例、2节人数、2节比例、3节人数、3节比例、4节人数、4节比例、5节及以上人数、5节及以上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新增周末中高强度运动情况统计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新增“周末中高强度运动情况”统计生成处理，定时更新统计；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周末中高强度运动情况统计，按照学段（小学、初中、高中、职高、大学）、每个学段中不同年级、监测点类型（城区、郊县）、性别（男、女），统计检测人数、0天人数、0天比例、1天人数、1天比例、2天人数、2天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周末中高强度运动情况统计表导出功能，按照学段（小学、初中、高中、职高、大学）、每个学段中不同年级、监测点类型（城区、郊县）、性别（男、女），以Excel表格导出检测人数、0天人数、0天比例、1天人数、1天比例、2天人数、2天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新增抑郁情绪统计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新增“抑郁情绪”统计生成处理，定时更新统计；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6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新增抑郁情绪判定，根据I01中20个条目的选项分值计算，第4、8、12、16题是反向计分，即1（没有或偶尔）=3分</w:t>
            </w:r>
            <w:r>
              <w:rPr>
                <w:rFonts w:hint="eastAsia" w:ascii="宋体" w:hAnsi="宋体" w:eastAsia="宋体" w:cs="宋体"/>
                <w:color w:val="000000"/>
                <w:sz w:val="24"/>
                <w:szCs w:val="24"/>
                <w:lang w:eastAsia="zh-CN" w:bidi="ar"/>
              </w:rPr>
              <w:t xml:space="preserve">，2（有时）=2分，3（时常或一半时间）=1分，4（多数时间或持续）=0分；其他题为正向计分，即1（没有或偶尔）=0分，2（有时）=1分，3（时常或一半时间）=2分，4（多数时间或持续）=3分；根据i101+i102+i103+4-i104+i105+i106+i107+4-i108+i109+i110+i111+4-i112+i113+i114+i115+4-i116+i117+i118+i119+i121-16计算出抑郁情绪得分，0≤得分≤19，判定为没有抑郁情绪，20≤得分≤60，判定为存在抑郁情绪；</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抑郁情绪统计，按照学段（小学、初中、高中、职高、大学）、每个学段中不同年级、监测点类型（城区、郊县）、性别（男、女），统计检测人数、没有抑郁情绪人数、没有抑郁情绪比例、存在抑郁情绪人数、存在抑郁情绪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抑郁情绪统计表导出功能，按照学段（小学、初中、高中、职高、大学）、每个学段中不同年级、监测点类型（城区、郊县）、性别（男、女），以Excel表格导出检测人数、没有抑郁情绪人数、没有抑郁情绪比例、存在抑郁情绪人数、存在抑郁情绪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新增焦虑情绪统计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新增“焦虑情绪”统计生成处理，定时更新统计；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焦虑情绪判定，根据I12中7个条目的选项分值计算，0分=完全不会，1分=有几天，2分=一半以上天数，3分=几乎每天；根据i122+i123+i124+i125+i126+i127+i128-7计算出焦虑情绪得分，0≤得分≤4，判定为没有焦虑情绪，5≤得分≤21，判定为存在焦虑情绪；</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焦虑情绪统计，按照学段（小学、初中、高中、职高、大学）、每个学段中不同年级、监测点类型（城区、郊县）、性别（男、女），统计检测人数、没有焦虑情绪人数、没有焦虑情绪比例、存在焦虑情绪人数、存在焦虑情绪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焦虑情绪统计表导出功能，按照学段（小学、初中、高中、职高、大学）、每个学段中不同年级、监测点类型（城区、郊县）、性别（男、女），以Excel表格导出检测人数、没有焦虑情绪人数、没有焦虑情绪比例、存在焦虑情绪人数、存在焦虑情绪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新增压力情绪统计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新增“压力情绪”统计生成处理，定时更新统计；</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压力情绪判定，根据WF01中7个条目的选项分值计算，0（不符合）=0分，1（有时符合）=1分，2（常常符合）=2分，3（总是符合）=3分；根据（WF011+WF012+WF013+WF014+WF015+WF016+WF017-7）*2计算出压力情绪得分，0≤得分≤14，判定为没有压力情绪；15≤得分≤42，判定为存在压力情绪；</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压力情绪统计，按照学段（小学、初中、高中、职高）、每个学段中不同年级、监测点类型（城区、郊县）、性别（男、女），统计检测人数、没有压力情绪人数、没有压力情绪比例、存在压力情绪人数、存在压力情绪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压力情绪统计表导出功能，按照学段（小学、初中、高中、职高）、每个学段中不同年级、监测点类型（城区、郊县）、性别（男、女），以Excel表格导出检测人数、没有压力情绪人数、没有压力情绪比例、存在压力情绪人数、存在压力情绪比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工作报告（区级）</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区级工作报告生成功能</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新增区级工作报告生成功能，根据区级工作报告模板与各区提交的疾控、学校、学生监测表，自动生成全省99个区县的工作报告内容；</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新增区级工作报告在线预览功能，实现区级工作报告内容生成后，分区预览各区的工作报告；</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新增区级工作报告下载功能，实现区级报告预览页面生成后，将工作报告在线以pdf格式下载保存；</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新增区级工作报告在线打印功能，实现区级报告点击“打印”，自动生成打印预览、在线打印；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4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新增区级报告统计内容：</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一、监测工作总体情况</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二、监测结果</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（一）管理部门及监测学校基本情况（管理部门学校卫生工作情况；监测中小学校开展学校卫生工作情况；学校教学生活环境卫生监测）</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（二）学生常见病监测（近视检出情况；龋患情况；超重肥胖情况；营养不良情况；血压偏高情况；脊柱弯曲异常情况）；</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三）学生健康影响因素监测（基本情况；饮食、运动行为；伤害与欺凌行为；青春期健康教育；近视相关因素调查；读写姿势；电子屏幕使用时间；近距离用眼习惯；户外活动及睡眠情况；近视情况检查及矫治情况；心理健康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监测工作总体情况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常见病监测学校数量统计（共7项）：根据监测学校所属地区、监测学校类型，统计学生常见病监测覆盖中小学校总数量、小学数量、初中数量、普通高中数量、职业高中数量、幼儿园数量、大学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常见病监测学生数量统计（共11项）：根据监测学生所属地区、监测学生所在年级、体检表完成情况，计算并统计学生常见病监测覆盖幼儿园大班至大学三年级在校学生总人数、男生人数、男生人数占比、女生人数、女生人数占比、幼儿园大班人数，小学生人数，初中生人数，普通高中生人数、职业高中生人数、大学生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学生健康状况及影响因素监测学生数量统计（共6项）：根据监测学生所属地区、监测学生所在年级、学生监测表完成情况，计算并统计学生健康状况及影响因素监测覆盖小学四年级及以上至大学三年级学生总人数、小学生人数，初中生人数，普通高中生人数、职业高中生人数、大学生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新增区级工作报告中学校环境监测数量统计（共2项）：根据学校环境监测表完成情况，统计环境监测覆盖的学校数量、教室数量；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管理部门学校卫生工作情况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新增区级工作报告中分管学校卫生的部门情况统计（共5项）：从事学校卫生工作总人数、专职人员人数、兼职人员人数、学生常见病项目经费金额、县（市、区）级儿童青少年近视防控专项配套经费金额；</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新增区级工作报告中疾控中心学校卫生科室的设置情况统计（共6项）：疾控中心学校卫生科室的设置、从事学校卫生工作总人数、专职人员人数、兼职人员人数、学生常见病项目经费金额、配套经费金额；</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教育部门分管学校卫生的部门设置情况统计（共6项）：从事学校卫生工作总人数、专职人员人数、兼职人员人数、上一年度总业务专项经费金额、学校卫生业务专项经费金额、近视防控专项经费金额；</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6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辖区内学校信息统计（共17项）：辖区内学校总数量、中小学数量、大学数量、小学生人数、初中生人数、高中生人数、设有卫生室或保健室的中小学数量、按照《学校卫生工作条例》600:1的比例配备专职卫生技术人员的中小学校数量、设校医院（或卫生科）的大学数量、辖区中小学校校医总人数、专职卫生技术人员/保健老师人数、兼职卫生技术人员/保健老师人数、专职心理健康教育老师人数、兼职心理健康教育老师人数、所有大学中校医总人数、专职心理健康教育老师人数、兼职心理健康教育老师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监测中小学校开展学校卫生工作情况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新增区级工作报告中中小学校基本情况统计（共3项）：本次调查中小学校总数、公办学校数量、上一学年学校卫生工作相关经费投入金额；</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中小学校卫生室情况统计（共6项）：设卫生室（有《医疗机构执业许可证》）学校数量、设保健室（无《医疗机构执业许可证》）学校数量、卫生服务外包学校数量、没有卫生室或保健室学校数量、专职卫生技术人员总人数，保健老师（专/兼职）总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体检和健康教育情况统计（共4项）：按照《健康体检管理办法》规定每学年组织一次全校学生体检学校数量、上一学年开设健康教育课或讲座学校数量、开展针对学生心理咨询服务学校数量、开展学生常见病防控工作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新增区级工作报告中学校体育课情况统计（共4项）：小学一至二年级体育课每周平均次数、三至六年级体育课每周平均次数、初中体育课每周平均次数、高中体育课每周平均次数；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新增区级工作报告中学校食堂情况统计（共2项）：午餐无配餐学校数量、学校食堂或配餐公司每周制定学生午餐营养素的带量食谱并予以公示学校数量；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学校近视防控情况统计（共3项）：按照GB40070—2021《儿童青少年学习用品近视防控卫生要求》采购普通教室照明灯具学校数量、采购书籍、教辅材料和学习用杂志学校数量、购买或自制考卷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学校教学生活环境卫生监测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新增区级工作报告中，参与环境监测的学校数量；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新增区级工作报告中学校饮水卫生情况统计（共5项）：提供开水学校数量、提供桶装水学校数量、使用净水器学校数量、学生自带水学校数量、使用直饮水学校数量；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学校食堂卫生情况统计（共5项）：设立学生食堂的学校数量、食堂持食品经营许可证学校数量、食堂从业人员持有效健康合格证明学校数量、食堂从业人员在上一学年中参加过食品安全知识培训学校数量、食堂建立各项规章制度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学校环境影响因素统计（共8项）：水冲式厕所学校数量、旱厕学校数量、二者都有学校数量、厕所没有配备肥皂或洗手液学校数量、部分厕所配备肥皂或洗手液学校数量、全部厕所配备肥皂或洗手液学校数量、学校垃圾集中存放地距离食堂或自备水源≤25米学校数量、＞25米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宿舍卫生情况统计（共7项）：本次调查中寄宿制数量、有地下或半地下宿舍数量、宿舍人均使用面积≥3平方米的学校数量、存在宿舍床铺并床现象的学校数量、男女生宿舍分开或分单元布置的学校数量、宿舍有通风窗户的学校数量、宿舍建立卫生管理规章制度的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教学环境情况统计（共10项）：学校教室环境卫生监测教室数量、人均面积合格率、课桌椅分配符合率、黑板尺寸合格率、黑板反射比合格率、黑板面平均照度合格率、黑板面照度均匀度合格率、课桌面平均照度合格率、课桌面照度均匀度合格率、噪声合格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近视检出情况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新增区级工作报告中近视监测范围统计（共7项）：近视调查覆盖的中小学校总数量、小学数量、初中数量、普通高中数量、职业高中数量、幼儿园数量、有效样本人数；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近视检出情况统计（共8项）：青少年近视检出率、男生近视检出率、女生近视检出率、幼儿园大班近视检出率、小学生近视检出率、初中生近视检出率、普通高中生近视检出率、职业高中生近视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新增区级工作报告中近视检出情况统计表，按照学段（幼儿园大班、小学、初中、普通高中、职业高中）、性别（男、女），统计筛查人数、近视人数、近视率；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龋患情况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龋患情况统计（共10项）：学生龋齿检出率、乳龋检出率、恒龋检出率、男生龋齿检出率、女生龋齿检出率、小学生龋齿检出率、初中生龋齿检出率、普通高中生龋齿检出率、职业高中生龋齿检出率、大学生龋齿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新增区级工作报告中龋齿检出率统计表，按照学段（小学、初中、普通高中、职业高中、大学）、性别（男、女），统计龋齿人数、检出率；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超重肥胖情况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超重肥胖情况统计（共10项）：超重肥胖检出率、超重检出率、肥胖检出率、男生超重肥胖检出率、女生超重肥胖检出率、小学生超重肥胖检出率、初中生超重肥胖检出率、普通高中生超重肥胖检出率、职业高中生超重肥胖检出率、大学生超重肥胖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新增区级工作报告中超重肥胖检出率统计表，按照学段（小学、初中、普通高中、职业高中、大学）、性别（男、女），统计超重肥胖人数、检出率；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营养不良情况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营养不良情况统计（共9项）：中小学生营养不良检出率、生长迟缓检出率、消瘦检出率、男生营养不良检出率、女生营养不良检出率、小学生营养不良出率、初中生营养不良检出率、普通高中生营养不良检出率、职业高中生营养不良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新增区级工作报告中营养不良检出率统计表，按照学段（小学、初中、普通高中、职业高中）、性别（男、女），统计营养不良人数、检出率；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血压偏高情况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血压偏高情况统计（共7项）：7~18岁中小学生血压偏高检出率、男生血压偏高检出率、女生血压偏高检出率、小学生血压偏高检出率、初中生血压偏高检出率、普通高中生血压偏高检出率、职业高中生血压偏高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新增区级工作报告中血压偏高检出率统计表，按照学段（小学、初中、普通高中、职业高中）、性别（男、女），统计血压偏高人数、检出率；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脊柱弯曲异常情况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脊柱弯曲异常情况统计（共10项）：中小学生脊柱弯曲异常检出率、脊柱侧弯检出率、脊柱前凸检出率、脊柱后凸检出率、男生脊柱弯曲异常检出率、女生脊柱弯曲异常检出率、小学生脊柱弯曲异常检出率、初中生脊柱弯曲异常检出率、普通高中生脊柱弯曲异常检出率、职业高中生脊柱弯曲异常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新增区级工作报告中脊柱弯曲异常检出率统计表，按照学段（小学、初中、普通高中、职业高中）、性别（男、女），统计脊柱弯曲异常人数、检出率；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学生健康影响因素监测基本情况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新增区级工作报告中小学四年级及以上至大学三年级的学生健康影响因素监测人数；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饮食、运动行为</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饮食行为统计（共8项）：未喝含糖饮料的学生占比、每天喝含糖饮料1次及以上的学生占比、未吃油炸食品的学生占比、每天吃油炸食物1次及以上的学生占占比、每天吃1次新鲜水果的学生占比、每天吃1次蔬菜学生占比、每天喝牛奶、酸奶、豆浆或豆奶的学生占比、每天吃早餐的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运动行为统计（共3项）：周一至周五有5天能做到每天至少60分钟及以上中高强度运动的学生占比、周六周日有2天能做到每天至少60分钟及以上中高强度运动的学生占比、上5节及以上体育课的中小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伤害与欺凌行为</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伤害与欺凌行为统计（共7项）：有1次并不想自杀却有伤害过自己的中小学生占比、经常恶意取笑的中小学生占比、经常被索要财务的中小学生占比、经常被有意排斥在集体活动外或被孤立的中小学生占比、经常被威胁恐吓的中小学生占比、经常被打踢推挤或关在屋里的中小学生占比、经常因为身体缺陷或长相而被取笑的中小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青春期健康教育</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新增区级工作报告中青春期健康教育统计（共2项）：中学生接受过艾滋病预防教育的学生占比、在学校接受过青春期知识教育的占比；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44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近视相关因素调查</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校内用眼环境统计（共11项）：从不调换座位的中小学生占比、一学期调换座位一次占比、一个月调换座位一次占比、课桌椅从不根据身高调整或课桌椅不可调的中小学生占比、一学年调整一次课桌椅的学生占比、一学期调整一次课桌椅占比、在校从不做眼保健操的中小学生占比、每天1次眼保健操占比、2次眼保健操占比、3次及以上眼保健操占比、在课间休息时在户外（如操场等）活动的中小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校外用眼环境统计（共5项）：平均每天放学后做作业/读书时间不到1小时的中小学生占比、1-2（不含2）小时占比、2-3（不含3）小时学生占比占比、3小时及以上占比、经常会减少孩子运动时间的家长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读写姿势</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读写姿势统计（共10项）：在读写时胸口离桌子边沿从不超过一拳的中小学生占比、总是保持占比；眼睛距离书本从不超过一尺（33厘米）的中小学生占比、总是保持占比；手指距离笔尖从不保持一寸左右（3.3厘米）左右的中小学生占比、总是保持占比；从不提醒学生读写姿势不正确的老师占比、总是提醒占比；从不提醒学生读写姿势不正确的父母占比、总是提醒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电子屏幕使用时间</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电子屏幕使用时间统计（共8项）：过去一周没有看过电视的学生占比、平均每天看电视不到1小时占比、4小时及以上占比；没有使用过电脑的学生占比、平均每天使用电脑时间不到1小时占比、4小时及以上占比；平均每天使用移动电子设备（包括手机、平板等）4小时及以上的学生占比、限制中小学生看电视玩电脑或电子游戏时间的家长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近距离用眼习惯</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近距离用眼习惯统计（共7项）：经常在阳光直射下看书或电子屏幕的中小学生占比、经常在天黑后看电子屏幕时关灯的中小学生占比、经常躺着或趴着看书或电子屏幕的中小学生占比、经常走路或乘车时看书或电子屏幕的中小学生占比、天黑后在家读书写字同时使用台灯和屋顶灯的中小学生占比、仅使用台灯占比、仅使用屋顶灯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用眼距离与时间统计（共3项）：眼睛距离电脑显示屏的距离从不超过66厘米的中小学生占比、看电视/玩电视游戏时眼睛距离电视显示屏的距离从不超过3m的中小学生占比、；能做到近距离用眼后不到0.5小时休息一次眼睛的中小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户外活动及睡眠情况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新增学生睡眠达标的判断，根据睡眠达标时间（小学、初中、高中每天睡眠达标时间分别为10、9、8小时）判断学生睡眠时间是否达标；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户外活动情况统计（共4项）：每天白天户外运动情况不到1小时的中小学生占比、1-2（不含2）小时的中小学生占比、2-3（不含3）小时的中小学生占比；在过去一周内，周一到周五中小学生平均每天坐着的时长；</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新增区级工作报告中睡眠情况统计（共4项）：中小学生平均睡眠时长、睡眠达标的小学生占比、睡眠达标的初中生占比、睡眠达标的高中生占比；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近视情况检查及矫治情况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近视情况检查统计（共10项）：父母双方仅有一方近视的中小学生占比、父母都近视占比、过去1年内从未做过视力检查的中小学生占比、做到2次视力检查占比、在不戴眼镜的情况下中小学生有一只或两只眼睛视力低于5.0占比、这些学生中医生告知近视问题占比、被医生告知远视问题占比、被医生告知斜视问题占比、被医生告知弱视问题占比、未去看过医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近视矫治情况统计（共5项）：裸眼视力低于5.0的中小学生中，做过眼部手术占比、接受过药物治疗（如阿托品滴眼液等）占比、使用过角膜塑形镜占比、佩戴框架眼镜占比、从未接受任何矫正治疗措施的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眼镜佩戴情况统计（共5项）：裸眼视力低于5.0且接受过矫正治疗措施的中小学生中，一直佩戴框架眼镜或隐形眼镜的学生占比、平均开始佩戴的年龄；有时佩戴框架眼镜或隐形眼镜的学生占占比、平均开始佩戴的年龄；从未佩戴框架眼镜或隐形眼镜的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配置眼镜前检查情况统计（共4项）：裸眼视力低于5.0且接受过矫正治疗措施的中小学生中，配制现在的眼镜前接受过验光和散瞳检查的中小学生占比、只接受验光检查占比、只接受散瞳检查占比、没有接受过任何检查配镜的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心理健康情况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新增区级工作报告中抑郁情况标记，根据抑郁量表选择的答案计算出得分，0~19分为无抑郁情绪，20~60分为存在抑郁情绪；</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抑郁情况统计（共7项）：中小学生抑郁情绪检出率、男生抑郁情绪检出率、女生抑郁情绪检出率、小学生抑郁情绪检出率、初中生抑郁情绪检出率、普通高中生抑郁情绪检出率、职业高中生抑郁情绪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新增区级工作报告中焦虑情况标记，根据焦虑量表选择的答案计算出得分，0~4分为无焦虑情绪，5~21分为存在焦虑情绪；</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焦虑情况统计（共7项）：中小学生焦虑情绪检出率、男生焦虑情绪检出率、女生焦虑情绪检出率、小学生焦虑情绪检出率、初中生焦虑情绪检出率、普通高中生焦虑情绪检出率、职业高中生焦虑情绪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新增区级工作报告中压力情况标记，根据压力量表选择的答案计算出得分，0~14分为无压力情绪，15～42分为存在压力情绪；</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工作报告中压力情况统计（共7项）：中小学生压力情绪检出率、男生压力情绪检出率、女生压力情绪检出率、小学生压力情绪检出率、初中生压力情绪检出率、普通高中生压力情绪检出率、职业高中生压力情绪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新增区级报告中压力情绪检出率统计表，按照学段（小学、初中、普通高中、职业高中、大学）、性别（男、女），筛查人数、存在压力情绪人数、压力情绪检出率；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工作报告（市级）（监测质量评估）</w:t>
            </w:r>
            <w:r>
              <w:rPr>
                <w:rFonts w:ascii="宋体" w:hAnsi="宋体" w:eastAsia="宋体" w:cs="宋体"/>
                <w:color w:val="000000"/>
                <w:sz w:val="24"/>
                <w:szCs w:val="24"/>
                <w:lang w:eastAsia="zh-CN"/>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市级工作报告生成功能</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新增市级工作报告生成功能，根据市级工作报告模板与各市提交的疾控、学校、学生监测表，自动生成全省13个地市的工作报告内容；</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新增市级工作报告在线预览功能，实现市级工作报告内容生成后，分市预览各市的工作报告；</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新增市级工作报告下载功能，实现市级报告预览页面生成后，将工作报告在线以pdf格式下载保存；</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新增市级工作报告在线打印功能，实现市级报告点击“打印”，自动生成打印预览、在线打印；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4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新增市级报告统计内容：</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一、监测工作总体情况</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二、监测结果</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（一）管理部门及监测学校基本情况（管理部门学校卫生工作情况；监测中小学校开展学校卫生工作情况；学校教学生活环境卫生监测）</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（二）学生常见病监测（近视检出情况；龋患情况；超重肥胖情况；营养不良情况；血压偏高情况；脊柱弯曲异常情况）；</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三）学生健康影响因素监测（基本情况；饮食、运动行为；伤害与欺凌行为；青春期健康教育；近视相关因素调查；读写姿势；电子屏幕使用时间；近距离用眼习惯；户外活动及睡眠情况；近视情况检查及矫治情况；心理健康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监测工作总体情况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新增市级工作报告中常见病监测学校数量统计（共4项）：监测覆盖区县数量、城区数量、郊县数量、监测大学的地区；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常见病监测学生数量统计（共11项）：根据监测学生所属地区、监测学生所在年级、体检表完成情况，计算并统计学生常见病监测覆盖幼儿园大班至大学三年级在校学生总人数、男生人数、男生人数占比、女生人数、女生人数占比、幼儿园大班人数，小学生人数，初中生人数，普通高中生人数、职业高中生人数、大学生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学生健康状况及影响因素监测学生数量统计（共10项）：根据监测学生所属地区、监测学生所在年级、学生监测表完成情况，计算并统计学生健康状况及影响因素监测覆盖小学四年级及以上至大学三年级学生总人数、男生人数、男生人数占比、女生人数、女生人数占比、小学生人数，初中生人数，普通高中生人数、职业高中生人数、大学生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新增市级工作报告中学校环境监测数量统计（共2项）：根据学校环境监测表完成情况，统计环境监测覆盖的学校数量、教室数量；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管理部门学校卫生工作情况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分管学校卫生的部门情况统计（共11项）：从事学校卫生工作总人数、专职人员人数、兼职人员人数、设有分管学校卫生部门的区县疾控部门数量、区县从事学校卫生工作总人数、区县专职人员人数、区县兼职人员人数、市级学生常见病项目经费金额、市级儿童青少年近视防控专项配套经费金额、区级学生常见病项目经费金额、区级儿童青少年近视防控专项配套经费金额；</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6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疾控中心学校卫生科室的设置情况统计（共14项）：疾控中心学校卫生科室的设置、从事学校卫生工作总人数、专职人员人数、兼职人员人数、独立设置学校卫生科室的区县疾控中心数量、学校卫生科室合并在其他科室的区县疾控中心数量、没有学校卫生科室的区县疾控中心数量、区级从事学校卫生工作总人数、区级专职人员人数、区级兼职人员人数、市级学生常见病项目经费金额、市级配套经费金额、区级学生常见病项目经费金额、区级配套经费金额；</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6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新增市级工作报告中教育部门分管学校卫生的部门设置情况统计（共13项）：从事学校卫生工作总人数、专职人员人数、兼职人员人数、</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教育部门设有分管学校卫生的部门的区级数量、区级从事学校卫生工作总人数、区级专职人员人数、区级兼职人员人数、</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上一年度总业务专项经费金额、学校卫生业务专项经费金额、近视防控专项经费金额、区级上一年度总业务专项经费金额、区级学校卫生业务专项经费金额、区级近视防控专项经费金额；</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6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辖区内学校信息统计（共17项）：辖区内学校总数量、中小学数量、大学数量、小学生人数、初中生人数、高中生人数、设有卫生室或保健室的中小学数量、按照《学校卫生工作条例》600:1的比例配备专职卫生技术人员的中小学校数量、设校医院（或卫生科）的大学数量、辖区中小学校校医总人数、专职卫生技术人员/保健老师人数、兼职卫生技术人员/保健老师人数、专职心理健康教育老师人数、兼职心理健康教育老师人数、所有大学中校医总人数、专职心理健康教育老师人数、兼职心理健康教育老师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监测中小学校开展学校卫生工作情况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新增市级工作报告中中小学校基本情况统计（共3项）：本次调查中小学校总数、公办学校数量、上一学年学校卫生工作相关经费投入金额；</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中小学校卫生室情况统计（共6项）：设卫生室（有《医疗机构执业许可证》）学校数量、设保健室（无《医疗机构执业许可证》）学校数量、卫生服务外包学校数量、没有卫生室或保健室学校数量、专职卫生技术人员总人数，保健老师（专/兼职）总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体检和健康教育情况统计（共4项）：按照《健康体检管理办法》规定每学年组织一次全校学生体检学校数量、上一学年开设健康教育课或讲座学校数量、开展针对学生心理咨询服务学校数量、开展学生常见病防控工作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新增市级工作报告中学校体育课情况统计（共4项）：小学一至二年级体育课每周平均次数、三至六年级体育课每周平均次数、初中体育课每周平均次数、高中体育课每周平均次数；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新增市级工作报告中学校食堂情况统计（共2项）：午餐无配餐学校数量、学校食堂或配餐公司每周制定学生午餐营养素的带量食谱并予以公示学校数量；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学校近视防控情况统计（共3项）：按照GB40070—2021《儿童青少年学习用品近视防控卫生要求》采购普通教室照明灯具学校数量、采购书籍、教辅材料和学习用杂志学校数量、购买或自制考卷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学校教学生活环境卫生监测</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新增市级工作报告中，参与环境监测的学校数量；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新增市级工作报告中学校饮水卫生情况统计（共5项）：提供开水学校数量、提供桶装水学校数量、使用净水器学校数量、学生自带水学校数量、使用直饮水学校数量；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229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学校食堂卫生情况统计（共5项）：设立学生食堂的学校数量、食堂持食品经营许可证学校数量、食堂从业人员持有效健康合格证明学校数量、食堂从业人员在上一学年中参加过食品安全知识培训学校数量、食堂建立各项规章制度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学校环境影响因素统计（共8项）：水冲式厕所学校数量、旱厕学校数量、二者都有学校数量、厕所没有配备肥皂或洗手液学校数量、部分厕所配备肥皂或洗手液学校数量、全部厕所配备肥皂或洗手液学校数量、学校垃圾集中存放地距离食堂或自备水源≤25米学校数量、＞25米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宿舍卫生情况统计（共7项）：本次调查中寄宿制数量、有地下或半地下宿舍数量、宿舍人均使用面积≥3平方米的学校数量、存在宿舍床铺并床现象的学校数量、男女生宿舍分开或分单元布置的学校数量、宿舍有通风窗户的学校数量、宿舍建立卫生管理规章制度的学校数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教学环境情况统计（共10项）：学校教室环境卫生监测教室数量、人均面积合格率、课桌椅分配符合率、黑板尺寸合格率、黑板反射比合格率、黑板面平均照度合格率、黑板面照度均匀度合格率、课桌面平均照度合格率、课桌面照度均匀度合格率、噪声合格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近视检出情况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新增市级工作报告中近视监测范围统计（共12项）：近视调查覆盖的城区及郊县的中小学校总数量、小学数量、初中数量、普通高中数量、职业高中数量、幼儿园数量、有效样本人数；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新增市级工作报告中近视调查人数统计表，按照学段（幼儿园大班、小学、初中、普通高中、职业高中）、监测点类型（城区、郊县），统计调查人数；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近视检出情况统计（共10项）：青少年近视检出率、男生近视检出率、女生近视检出率、城区近视检出率、郊县近视检出率、幼儿园大班近视检出率、小学生近视检出率、初中生近视检出率、普通高中生近视检出率、职业高中生近视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新增市级工作报告中近视检出情况统计表，按照学段（幼儿园大班、小学、初中、普通高中、职业高中）、监测点类型（城区、郊县）、性别（男、女），统计筛查人数、近视人数、近视率；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龋患情况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龋患情况统计（共12项）：学生龋齿检出率、乳龋检出率、恒龋检出率、男生龋齿检出率、女生龋齿检出率、城区龋齿检出率、郊县龋齿检出率、小学生龋齿检出率、初中生龋齿检出率、普通高中生龋齿检出率、职业高中生龋齿检出率、大学生龋齿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新增市级工作报告中龋齿检出率统计表，按照学段（小学、初中、普通高中、职业高中、大学）、监测点类型（城区、郊县）、性别（男、女），统计龋齿人数、检出率；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239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超重肥胖情况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超重肥胖情况统计（共12项）：超重肥胖检出率、超重检出率、肥胖检出率、男生超重肥胖检出率、女生超重肥胖检出率、城区超重肥胖检出率、郊县超重肥胖检出率、小学生超重肥胖检出率、初中生超重肥胖检出率、普通高中生超重肥胖检出率、职业高中生超重肥胖检出率、大学生超重肥胖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新增市级工作报告中超重肥胖检出率统计表，按照学段（小学、初中、普通高中、职业高中、大学）、监测点类型（城区、郊县）、性别（男、女），统计超重肥胖人数、检出率；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营养不良情况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营养不良情况统计（共11项）：中小学生营养不良检出率、生长迟缓检出率、消瘦检出率、男生营养不良检出率、女生营养不良检出率、城区营养不良检出率、郊县营养不良检出率、小学生营养不良出率、初中生营养不良检出率、普通高中生营养不良检出率、职业高中生营养不良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新增市级工作报告中营养不良检出率统计表，按照学段（小学、初中、普通高中、职业高中）、监测点类型（城区、郊县）、性别（男、女），统计营养不良人数、检出率；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血压偏高情况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血压偏高情况统计（共9项）：7~18岁中小学生血压偏高检出率、男生血压偏高检出率、女生血压偏高检出率、城区血压偏高检出率、郊县血压偏高检出率、小学生血压偏高检出率、初中生血压偏高检出率、普通高中生血压偏高检出率、职业高中生血压偏高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新增市级工作报告中血压偏高检出率统计表，按照学段（小学、初中、普通高中、职业高中）、监测点类型（城区、郊县）、性别（男、女），统计血压偏高人数、检出率；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脊柱弯曲异常情况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脊柱弯曲异常情况统计（共12项）：中小学生脊柱弯曲异常检出率、脊柱侧弯检出率、脊柱前凸检出率、脊柱后凸检出率、男生脊柱弯曲异常检出率、女生脊柱弯曲异常检出率、城区脊柱弯曲异常检出率、郊县脊柱弯曲异常检出率、小学生脊柱弯曲异常检出率、初中生脊柱弯曲异常检出率、普通高中生脊柱弯曲异常检出率、职业高中生脊柱弯曲异常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新增市级工作报告中脊柱弯曲异常检出率统计表，按照学段（小学、初中、普通高中、职业高中）、监测点类型（城区、郊县）、性别（男、女），统计脊柱弯曲异常人数、检出率；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学生健康影响因素监测基本情况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新增市级工作报告中小学四年级及以上至大学三年级的学生健康影响因素监测人数；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饮食、运动行为</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饮食行为统计（共8项）：未喝含糖饮料的学生占比、每天喝含糖饮料1次及以上的学生占比、未吃油炸食品的学生占比、每天吃油炸食物1次及以上的学生占占比、每天吃1次新鲜水果的学生占比、每天吃1次蔬菜学生占比、每天喝牛奶、酸奶、豆浆或豆奶的学生占比、每天吃早餐的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249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运动行为统计（共3项）：周一至周五有5天能做到每天至少60分钟及以上中高强度运动的学生占比、周六周日有2天能做到每天至少60分钟及以上中高强度运动的学生占比、上5节及以上体育课的中小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伤害与欺凌行为</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伤害与欺凌行为统计（共7项）：有1次并不想自杀却有伤害过自己的中小学生占比、经常恶意取笑的中小学生占比、经常被索要财务的中小学生占比、经常被有意排斥在集体活动外或被孤立的中小学生占比、经常被威胁恐吓的中小学生占比、经常被打踢推挤或关在屋里的中小学生占比、经常因为身体缺陷或长相而被取笑的中小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青春期健康教育</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新增市级工作报告中青春期健康教育统计（共2项）：中学生接受过艾滋病预防教育的学生占比、在学校接受过青春期知识教育的占比；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44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近视相关因素调查</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校内用眼环境统计（共11项）：从不调换座位的中小学生占比、一学期调换座位一次占比、一个月调换座位一次占比、课桌椅从不根据身高调整或课桌椅不可调的中小学生占比、一学年调整一次课桌椅的学生占比、一学期调整一次课桌椅占比、在校从不做眼保健操的中小学生占比、每天1次眼保健操占比、2次眼保健操占比、3次及以上眼保健操占比、在课间休息时在户外（如操场等）活动的中小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校外用眼环境统计（共5项）：平均每天放学后做作业/读书时间不到1小时的中小学生占比、1-2（不含2）小时占比、2-3（不含3）小时学生占比占比、3小时及以上占比、经常会减少孩子运动时间的家长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读写姿势</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读写姿势统计（共10项）：在读写时胸口离桌子边沿从不超过一拳的中小学生占比、总是保持占比；眼睛距离书本从不超过一尺（33厘米）的中小学生占比、总是保持占比；手指距离笔尖从不保持一寸左右（3.3厘米）左右的中小学生占比、总是保持占比；从不提醒学生读写姿势不正确的老师占比、总是提醒占比；从不提醒学生读写姿势不正确的父母占比、总是提醒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电子屏幕使用时间</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电子屏幕使用时间统计（共8项）：过去一周没有看过电视的学生占比、平均每天看电视不到1小时占比、4小时及以上占比；没有使用过电脑的学生占比、平均每天使用电脑时间不到1小时占比、4小时及以上占比；平均每天使用移动电子设备（包括手机、平板等）4小时及以上的学生占比、限制中小学生看电视玩电脑或电子游戏时间的家长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近距离用眼习惯</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近距离用眼习惯统计（共7项）：经常在阳光直射下看书或电子屏幕的中小学生占比、经常在天黑后看电子屏幕时关灯的中小学生占比、经常躺着或趴着看书或电子屏幕的中小学生占比、经常走路或乘车时看书或电子屏幕的中小学生占比、天黑后在家读书写字同时使用台灯和屋顶灯的中小学生占比、仅使用台灯占比、仅使用屋顶灯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用眼距离与时间统计（共3项）：眼睛距离电脑显示屏的距离从不超过66厘米的中小学生占比、看电视/玩电视游戏时眼睛距离电视显示屏的距离从不超过3m的中小学生占比、；能做到近距离用眼后不到0.5小时休息一次眼睛的中小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户外活动及睡眠情况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新增学生睡眠达标的判断，根据睡眠达标时间（小学、初中、高中每天睡眠达标时间分别为10、9、8小时）判断学生睡眠时间是否达标；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259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户外活动情况统计（共4项）：每天白天户外运动情况不到1小时的中小学生占比、1-2（不含2）小时的中小学生占比、2-3（不含3）小时的中小学生占比；在过去一周内，周一到周五中小学生平均每天坐着的时长；</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新增市级工作报告中睡眠情况统计（共4项）：中小学生平均睡眠时长、睡眠达标的小学生占比、睡眠达标的初中生占比、睡眠达标的高中生占比；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120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近视情况检查及矫治情况</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近视情况检查统计（共10项）：父母双方仅有一方近视的中小学生占比、父母都近视占比、过去1年内从未做过视力检查的中小学生占比、做到2次视力检查占比、在不戴眼镜的情况下中小学生有一只或两只眼睛视力低于5.0占比、这些学生中医生告知近视问题占比、被医生告知远视问题占比、被医生告知斜视问题占比、被医生告知弱视问题占比、未去看过医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近视矫治情况统计（共5项）：裸眼视力低于5.0的中小学生中，做过眼部手术占比、接受过药物治疗（如阿托品滴眼液等）占比、使用过角膜塑形镜占比、佩戴框架眼镜占比、从未接受任何矫正治疗措施的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眼镜佩戴情况统计（共5项）：裸眼视力低于5.0且接受过矫正治疗措施的中小学生中，一直佩戴框架眼镜或隐形眼镜的学生占比、平均开始佩戴的年龄；有时佩戴框架眼镜或隐形眼镜的学生占占比、平均开始佩戴的年龄；从未佩戴框架眼镜或隐形眼镜的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配置眼镜前检查情况统计（共4项）：裸眼视力低于5.0且接受过矫正治疗措施的中小学生中，配制现在的眼镜前接受过验光和散瞳检查的中小学生占比、只接受验光检查占比、只接受散瞳检查占比、没有接受过任何检查配镜的学生占比；</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心理健康情况</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新增市级工作报告中抑郁情况标记，根据抑郁量表选择的答案计算出得分，0~19分为无抑郁情绪，20~60分为存在抑郁情绪；</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抑郁情况统计（共9项）：中小学生抑郁情绪检出率、男生抑郁情绪检出率、女生抑郁情绪检出率、城区学生抑郁情绪检出率、郊县学生抑郁情绪检出率、小学生抑郁情绪检出率、初中生抑郁情绪检出率、普通高中生抑郁情绪检出率、职业高中生抑郁情绪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新增市级工作报告中焦虑情况标记，根据焦虑量表选择的答案计算出得分，0~4分为无焦虑情绪，5~21分为存在焦虑情绪；</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焦虑情况统计（共9项）：中小学生焦虑情绪检出率、男生焦虑情绪检出率、女生焦虑情绪检出率、城区学生焦虑情绪检出率、郊县学生焦虑情绪检出率、小学生焦虑情绪检出率、初中生焦虑情绪检出率、普通高中生焦虑情绪检出率、职业高中生焦虑情绪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269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新增市级工作报告中压力情况标记，根据压力量表选择的答案计算出得分，0~14分为无压力情绪，15～42分为存在压力情绪；</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96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270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工作报告中压力情况统计（共9项）：中小学生压力情绪检出率、男生压力情绪检出率、女生压力情绪检出率、城区学生压力情绪检出率、郊县学生压力情绪检出率、小学生压力情绪检出率、初中生压力情绪检出率、普通高中生压力情绪检出率、职业高中生压力情绪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72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271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none" w:color="000000" w:sz="4" w:space="0"/>
              <w:right w:val="single" w:color="000000" w:sz="4" w:space="0"/>
            </w:tcBorders>
            <w:tcW w:w="947"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新增市级报告中压力情绪检出率统计表，按照学段（小学、初中、普通高中、职业高中、大学）、监测点类型（城区、郊县）、性别（男、女），筛查人数、存在压力情绪人数、压力情绪检出率；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272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工作报告</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查看权限</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新增工作报告查看权限，区级账号仅查看本区级报告，市级账号查看本市级报告和下属区级报告。</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480"/>
        </w:trPr>
        <w:tc>
          <w:tcPr>
            <w:tcBorders>
              <w:top w:val="single" w:color="000000" w:sz="4" w:space="0"/>
              <w:left w:val="single" w:color="000000" w:sz="4" w:space="0"/>
              <w:bottom w:val="single" w:color="000000" w:sz="4" w:space="0"/>
              <w:right w:val="single" w:color="000000" w:sz="4" w:space="0"/>
            </w:tcBorders>
            <w:tcW w:w="174"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273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生成</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新增生成范围设置，生成时可勾选地区范围，未勾选的地区不参与报告中疾控、学校、学生相关统计项的生成与展示。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bl>
    <w:p>
      <w:pPr>
        <w:pStyle w:val="637"/>
        <w:jc w:val="left"/>
        <w:spacing w:line="240" w:lineRule="auto"/>
        <w:widowControl/>
        <w:rPr>
          <w:rFonts w:ascii="Arial" w:hAnsi="Arial" w:eastAsia="Arial" w:cs="Arial"/>
          <w:color w:val="000000"/>
          <w:szCs w:val="21"/>
          <w:lang w:eastAsia="zh-CN"/>
        </w:rPr>
      </w:pPr>
      <w:r>
        <w:rPr>
          <w:rFonts w:ascii="Arial" w:hAnsi="Arial" w:eastAsia="Arial" w:cs="Arial"/>
          <w:color w:val="000000"/>
          <w:szCs w:val="21"/>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学生常见病和健康影响因素干预及效果评估</w:t>
      </w:r>
      <w:r>
        <w:rPr>
          <w:rFonts w:ascii="宋体" w:hAnsi="宋体" w:eastAsia="宋体" w:cs="宋体"/>
          <w:b/>
          <w:i/>
          <w:iCs/>
          <w:color w:val="000000"/>
          <w:sz w:val="24"/>
          <w:szCs w:val="24"/>
          <w:lang w:val="en-US" w:eastAsia="zh-CN" w:bidi="ar-SA"/>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上报端（PC版）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干预内容填写</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新增干预评估表填写功能，支持单项选择、多项选择（部分选项互斥）、填空、文本等题型；适配6大干预行动的差异化填报需求，确保内容全面覆盖行动实施细节。</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干预材料上传：为6大干预行动分别配置文件上传入口，支持单题目下多文件并行上传、批量选择与一键上传；实现文件排序、删除、重传功能，按上传顺序记录排序序列，删除中间文件后自动重排；配置文件大小与数量限制，开发上传失败重传机制（已成功文件跳过），支持上传完成后继续添加文件。</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干预内容提交</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建立多文件存储机制，上传文件重新提交时，以最新一次保存/提交的文件为准，确保数据准确性。</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管理后台</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干预内容审核</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省级管理员可查阅全省所有市级、区级提交的干预内容，市级管理员可查阅全市所有区级提交的内容；按文件上传顺序展示文件列表（含名称、大小）；支持各级管理员驳回本级及下级单位提交的内容，驳回后可修改重新提交。</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干预内容下载</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Arial" w:hAnsi="Arial" w:eastAsia="Arial" w:cs="Arial"/>
          <w:color w:val="000000"/>
          <w:szCs w:val="21"/>
          <w:lang w:eastAsia="zh-CN"/>
        </w:rPr>
      </w:pPr>
      <w:r>
        <w:rPr>
          <w:rFonts w:hint="eastAsia" w:ascii="宋体" w:hAnsi="宋体" w:eastAsia="宋体" w:cs="宋体"/>
          <w:color w:val="000000"/>
          <w:sz w:val="24"/>
          <w:szCs w:val="24"/>
          <w:lang w:eastAsia="zh-CN"/>
        </w:rPr>
        <w:t xml:space="preserve">支持干预表单分地区Excel导出；优化文件批量导出功能，按地区打包导出上传文件。</w:t>
      </w:r>
      <w:r>
        <w:rPr>
          <w:rFonts w:ascii="Arial" w:hAnsi="Arial" w:eastAsia="Arial" w:cs="Arial"/>
          <w:color w:val="000000"/>
          <w:szCs w:val="21"/>
          <w:lang w:eastAsia="zh-CN"/>
        </w:rPr>
      </w:r>
      <w:r/>
    </w:p>
    <w:p>
      <w:pPr>
        <w:pStyle w:val="637"/>
        <w:jc w:val="center"/>
        <w:spacing w:line="360" w:lineRule="auto"/>
        <w:widowControl/>
        <w:rPr>
          <w:rFonts w:ascii="Arial" w:hAnsi="Arial" w:eastAsia="Arial" w:cs="Arial"/>
          <w:color w:val="000000"/>
          <w:szCs w:val="21"/>
          <w:lang w:eastAsia="zh-CN"/>
        </w:rPr>
      </w:pPr>
      <w:r>
        <w:rPr>
          <w:rFonts w:hint="eastAsia" w:ascii="宋体" w:hAnsi="宋体" w:eastAsia="宋体" w:cs="宋体"/>
          <w:color w:val="000000"/>
          <w:sz w:val="24"/>
          <w:szCs w:val="24"/>
          <w:lang w:eastAsia="zh-CN"/>
        </w:rPr>
        <w:t xml:space="preserve">表2学生常见病和健康影响因素监测升级优化工作量清单</w:t>
      </w:r>
      <w:r>
        <w:rPr>
          <w:rFonts w:ascii="Arial" w:hAnsi="Arial" w:eastAsia="Arial" w:cs="Arial"/>
          <w:color w:val="000000"/>
          <w:szCs w:val="21"/>
          <w:lang w:eastAsia="zh-CN"/>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57"/>
        <w:gridCol w:w="1896"/>
        <w:gridCol w:w="1656"/>
        <w:gridCol w:w="2616"/>
        <w:gridCol w:w="1196"/>
        <w:gridCol w:w="696"/>
      </w:tblGrid>
      <w:tr>
        <w:trPr>
          <w:trHeight w:val="570"/>
          <w:tblHeader/>
        </w:trPr>
        <w:tc>
          <w:tcPr>
            <w:shd w:val="clear" w:color="auto" w:fill="c6d9f0"/>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序号</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一级功能模块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二级功能模块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功能点</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功能描述</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373"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功能备注</w:t>
            </w:r>
            <w:r>
              <w:rPr>
                <w:rFonts w:ascii="宋体" w:hAnsi="宋体" w:eastAsia="宋体" w:cs="宋体"/>
                <w:b/>
                <w:bCs/>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上报端（PC版）</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干预内容填写</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新增干预内容填写</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新增干预行动填写功能，实现全省区级、市级干预评估表单项选择、多项选择、填空、文本内容的填写；</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新增多项选择的选项互斥，根据内容设置，部分选项间不能同时选择；</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干预材料上传</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文件题多文件上传</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新增六大干预模块文件上传功能，包括：专家进校园行动、学校卫生标准普及行动、中小学生健康月活动、学校教学生活环境改善行动、健康父母行动、重点人群关爱行动；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新增单个题目下多文件并行上传能力，实现文件批量选择、一键上传。</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新增后端接口，实现多文件表单提交及文件关联题目的批量存储。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调整</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新增已上传文件删除功能，实现已上传的文件可以删除，删除后可重新上传。</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文件题上传组件</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新增多文件上传组件，可以进行多文件选择，一键上传，删除所选文件。</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按选择顺序记录文件排序序列，上传文件列表展示文件名称、大小、上传状态和删除按钮。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新增上传文件删除后排序序列自动重排逻辑，确保删除中间文件后剩余文件仍按原上传顺序连贯展示。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新增文件上传校验规则，实现上传文件的大小和数量限制。</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新增文件上传失败重传机制，实现重新上传时上传成功的文件跳过，上传完成也可以继续添加文件上传。</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干预内容提交</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文件内容的保存与提交</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新增单个题目下多文件存储机制，上传的文件存在部分或全部重新上传时，文件存储以最新一次保存、提交时的文件为准。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管理后台</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干预内容审核</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干预内容审核</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新增干预内容审核功能，实现省级、市级管理员查阅下级提交的干预内容，即省级管理员可查阅全省所有市级、区级提交的干预内容，市级管理员可查阅全市所有区级提交的干预内容；</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多文件展示</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新增按文件上传顺序展示上传的文件列表，展示文件名称、大小。</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驳回干预内容</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新增干预内容驳回功能，实现省级、市级、区级管理员驳回本级、下级单位提交的干预内容，驳回后，单位可修改干预内容、重新提交；</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干预内容下载</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表单填写内容下载</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新增干预表单分地区下载功能，实现以Excel表格形式导出提交的表单；</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新增</w:t>
            </w:r>
            <w:r>
              <w:rPr>
                <w:rFonts w:ascii="宋体" w:hAnsi="宋体" w:eastAsia="宋体" w:cs="宋体"/>
                <w:color w:val="000000"/>
                <w:sz w:val="24"/>
                <w:szCs w:val="24"/>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干预文件批量导出</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优化文件题已上传文件批量导出功能，实现上传的文件按地区批量导出；</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bl>
    <w:p>
      <w:pPr>
        <w:pStyle w:val="637"/>
        <w:jc w:val="left"/>
        <w:spacing w:line="240" w:lineRule="auto"/>
        <w:widowControl/>
        <w:rPr>
          <w:rFonts w:ascii="Arial" w:hAnsi="Arial" w:eastAsia="Arial" w:cs="Arial"/>
          <w:color w:val="000000"/>
          <w:szCs w:val="21"/>
          <w:lang w:eastAsia="zh-CN"/>
        </w:rPr>
      </w:pPr>
      <w:r>
        <w:rPr>
          <w:rFonts w:ascii="Arial" w:hAnsi="Arial" w:eastAsia="Arial" w:cs="Arial"/>
          <w:color w:val="000000"/>
          <w:szCs w:val="21"/>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学生近视追踪队列建立及干预效果评估</w:t>
      </w:r>
      <w:r>
        <w:rPr>
          <w:rFonts w:ascii="宋体" w:hAnsi="宋体" w:eastAsia="宋体" w:cs="宋体"/>
          <w:b/>
          <w:i/>
          <w:iCs/>
          <w:color w:val="000000"/>
          <w:sz w:val="24"/>
          <w:szCs w:val="24"/>
          <w:lang w:val="en-US" w:eastAsia="zh-CN" w:bidi="ar-SA"/>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学生端（PC版）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环境表录入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教室照明数据表格组件，包含色温CCT、峰值波长LP等10项指标；配置数据格式校验（数值范围、小数位数限制）；支持同一教室3组照明数据录入存储；删除教室灯光模块填写内容及相关校验；优化环境表指标标签样式，按完成状态区分颜色。</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体检表录入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学生姓名、证件类型、证件号展示与手动修改功能；从身份证号中自动提取性别与出生日期，非身份证类型支持手动修改；隐藏体检表打印报告功能与打印状态；新增图片上传功能，部分体检项强制上传图片，未上传时提交校验提示。</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数据对接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优化与视力平台的数据对接逻辑，确保数据同步准确性。</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家长端（手机H5版）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评价表关联</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建立评价表与年级的映射关系，支持多评价表按年级批量分配；优化手机端登录流程中年级信息获取逻辑，自动查询所属年级对应的评价表列表。</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报告查询</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报告内容</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新增当前年度体检报告内容展示，根据原始编码关联展示上一年度屈光信息。</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报告结论</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新增用眼行为评价表结果展示，包含“用眼行为不良”“一般”“良好”“未完成评价表”四种结果；建立得分与评价结果的关联（总分≤19分为不良、20-27分为一般、≥28分为良好）。</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报告查阅</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新增“报告已阅”状态记录，设计数据库表存储已阅时间与学生ID关联信息。</w:t>
      </w:r>
      <w:r>
        <w:rPr>
          <w:rFonts w:ascii="宋体" w:hAnsi="宋体" w:eastAsia="宋体" w:cs="宋体"/>
          <w:b/>
          <w:bCs/>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录入端（PC版）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环境表录入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教室照明数据表格组件，包含色温CCT、峰值波长LP等10项指标；配置数据格式校验（数值范围、小数位数限制）；支持同一教室3组照明数据录入存储；删除教室灯光模块填写内容及相关校验；优化环境表指标标签样式，按完成状态区分颜色。</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体检表录入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学生姓名、证件类型、证件号展示与手动修改功能；从身份证号中自动提取性别与出生日期，非身份证类型支持手动修改；隐藏体检表打印报告功能与打印状态；新增图片上传功能，部分体检项强制上传图片，未上传时提交校验提示。</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数据对接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优化与视力平台的数据对接逻辑，确保数据同步准确性。</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管理后台</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学生导入</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新增学生名单导入证件号正则校验（按18位身份证标准），校验不通过时提示并拒绝入库；学生名单导入后自动生成条形码（含编码、姓名、学校、年级班级、登录码、随机码），支持在线查看。</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学生列表</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新增学生条码在线查看功能，单条预览时展示条形码及核心信息；支持按班级批量导出条码（PDF格式），勾选多个班级时以压缩包形式导出。</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班级管理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根据学生导入的编码自动生成班级信息；新增班级列表（含归属学校、年级、班级、编码、学生数量），支持年级、班级筛选搜索；提供条码批量导出功能。</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评价表配置管理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新增评价表“适用年级”字段，支持年级多选；建立“评价表-年级关联表”，记录关联关系。</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评价表复核管理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评价表分配后自动标记“应完成”状态，支持按类型筛选查询完成情况；优化复核列表页，展示学生基本信息与应完成评价表清单，未完成项标红提示，汇总展示最终完成状态（全部完成/部分完成/未完成）；优化Excel导出功能，新增单份评价表完成状态字段。</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评价表完成信息</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评价表提交时自动计算得分（按选项配置分数），列表页展示得分情况。</w:t>
      </w:r>
      <w:r>
        <w:rPr>
          <w:rFonts w:ascii="宋体" w:hAnsi="宋体" w:eastAsia="宋体" w:cs="宋体"/>
          <w:color w:val="000000"/>
          <w:sz w:val="24"/>
          <w:szCs w:val="24"/>
          <w:lang w:eastAsia="zh-CN"/>
        </w:rPr>
      </w:r>
      <w:r/>
    </w:p>
    <w:p>
      <w:pPr>
        <w:pStyle w:val="637"/>
        <w:jc w:val="center"/>
        <w:spacing w:line="360" w:lineRule="auto"/>
        <w:widowControl/>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表3学生近视追踪队列建立及干预效果评估升级优化工作量清单</w:t>
      </w:r>
      <w:r>
        <w:rPr>
          <w:rFonts w:ascii="宋体" w:hAnsi="宋体" w:eastAsia="宋体" w:cs="宋体"/>
          <w:b/>
          <w:bCs/>
          <w:color w:val="000000"/>
          <w:sz w:val="24"/>
          <w:szCs w:val="24"/>
          <w:lang w:eastAsia="zh-CN"/>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403"/>
        <w:gridCol w:w="1991"/>
        <w:gridCol w:w="1515"/>
        <w:gridCol w:w="1872"/>
        <w:gridCol w:w="2090"/>
        <w:gridCol w:w="644"/>
      </w:tblGrid>
      <w:tr>
        <w:trPr>
          <w:trHeight w:val="570"/>
          <w:tblHeader/>
        </w:trPr>
        <w:tc>
          <w:tcPr>
            <w:shd w:val="clear" w:color="auto" w:fill="c6d9f0"/>
            <w:tcBorders>
              <w:top w:val="single" w:color="000000" w:sz="4" w:space="0"/>
              <w:left w:val="single" w:color="000000" w:sz="4" w:space="0"/>
              <w:bottom w:val="single" w:color="000000" w:sz="4" w:space="0"/>
              <w:right w:val="single" w:color="000000" w:sz="4" w:space="0"/>
            </w:tcBorders>
            <w:tcW w:w="237"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序号</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一级功能模块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二级功能模块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功能点</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功能描述</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功能备注</w:t>
            </w:r>
            <w:r>
              <w:rPr>
                <w:rFonts w:ascii="宋体" w:hAnsi="宋体" w:eastAsia="宋体" w:cs="宋体"/>
                <w:b/>
                <w:bCs/>
                <w:color w:val="000000"/>
                <w:sz w:val="24"/>
                <w:szCs w:val="24"/>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录入端（PC版）</w:t>
            </w:r>
            <w:r>
              <w:rPr>
                <w:rFonts w:ascii="宋体" w:hAnsi="宋体" w:eastAsia="宋体" w:cs="宋体"/>
                <w:color w:val="000000"/>
                <w:szCs w:val="21"/>
                <w:lang w:eastAsia="en-US"/>
              </w:rPr>
            </w:r>
            <w:r/>
          </w:p>
        </w:tc>
        <w:tc>
          <w:tcPr>
            <w:tcBorders>
              <w:top w:val="single" w:color="000000" w:sz="4" w:space="0"/>
              <w:left w:val="single" w:color="000000" w:sz="4" w:space="0"/>
              <w:bottom w:val="non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环境表录入</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环境表教室照明模块开发及非必填校验</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新增教室照明数据表格组件，包括“色温CCT、峰值波长LP、主波长LD、显色指数Ra、显色指数R9、闪烁指数、闪烁百分比、频率、红色比Rratio、蓝色比Bratio”</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non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新增教室照明模块数据格式校验（如数值范围、小数位数限制）。</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non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教室照明数据三次数值填写</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新增同一教室对应3组照明数据的录入存储。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non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教室灯光删除</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删除教室灯光模块填写内容，取消教室灯光填写、暂存、提交时的校验。</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non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环境表标签样式优化</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优化环境表不同指标标签样式，实现根据测量指标的完成状态更新标签的样式，已保存为红色，已提交为黄色，未完成为灰色。</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体检表录入</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基本信息自动填充</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增加学生姓名、证件类型、证件号展示，可手动修改</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增加学生性别、出生日期自动填充功能，性别和出生日期从学生身份证号中提取；证件类型非身份证，性别和出生日期可以手动修改</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打印报告功能隐藏</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隐藏体检表打印报告功能、打印状态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图片上传</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增加图片上传功能，选择本地图片上传</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增加图片上传校验，必须上传图片的体检项未上传，提交时会有校验提示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none" w:color="000000" w:sz="4" w:space="0"/>
              <w:left w:val="single" w:color="000000" w:sz="4" w:space="0"/>
              <w:bottom w:val="single" w:color="000000" w:sz="4" w:space="0"/>
              <w:right w:val="single" w:color="000000" w:sz="4" w:space="0"/>
            </w:tcBorders>
            <w:tcW w:w="109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数据对接</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视力平台数据对接调整</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报告查询</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报告内容</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当前年度的视力数据</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增加当前年度体检报告内容</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根据原始编码，展示学生上一年度屈光信息</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报告结论</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用眼行为情况结果</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增加用眼行为评价表评价结果展示，展示“用眼行为不良”、“用眼行为一般”、“用眼行为良好”、“未完成用眼行为评价表”四种评价结果</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增加用眼行为评价表得分与评价结果的关联，总分≤19分，用眼行为不良；总分20-27分，用眼行为一般；总分≥28分，用眼行为良好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报告查阅</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报告已阅功能</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新增"报告已阅"状态字段（含已阅时间、学生ID关联），设计数据库表结构存储状态数据。</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学生端（PC版）</w:t>
            </w:r>
            <w:r>
              <w:rPr>
                <w:rFonts w:ascii="宋体" w:hAnsi="宋体" w:eastAsia="宋体" w:cs="宋体"/>
                <w:color w:val="000000"/>
                <w:szCs w:val="21"/>
                <w:lang w:eastAsia="en-US"/>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学生端入口</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增加学生端入口</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增加学生端入口，实现学生登录、评价表填写、提交功能，同时增加学生登录校验失败的提示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non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评价表关联</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学生评价表年级电脑端适配展示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新增后台评价表分配数据与学生年级信息的关联逻辑，建立评价表-年级映射关系表，实现多个评价表按年级批量分配。</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non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新增学生电脑端登录流程中新增年级信息获取逻辑，调用评价表分配接口查询当前学生所属年级对应的评价表列表。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non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评价表题目</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单选题/多选题实现图片配置</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新增单选/多选题型题干图片配置功能，实现单选/多选题目题干中图片展示。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non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填空范围外特殊值配置</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新增填空题实现范围外特殊值配置，允许填写后台配置的“范围外的特殊值”。</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non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题目跳转优化</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后台根据提交的题目答案，自动判断是否有跳转，如果有，则返回跳转的下一题；否则，按顺序返回下一题。</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家长端（手机H5版）</w:t>
            </w:r>
            <w:r>
              <w:rPr>
                <w:rFonts w:ascii="宋体" w:hAnsi="宋体" w:eastAsia="宋体" w:cs="宋体"/>
                <w:color w:val="000000"/>
                <w:szCs w:val="21"/>
                <w:lang w:eastAsia="en-US"/>
              </w:rPr>
            </w:r>
            <w:r/>
          </w:p>
        </w:tc>
        <w:tc>
          <w:tcPr>
            <w:tcBorders>
              <w:top w:val="single" w:color="000000" w:sz="4" w:space="0"/>
              <w:left w:val="non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评价表关联</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家长评价表年级电脑端适配展示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新增后台评价表分配数据与学生年级信息的关联逻辑，建立评价表-年级映射关系表，实现多个评价表按年级批量分配。</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non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新增家长手机端登录流程中新增年级信息获取逻辑，调用评价表分配接口查询当前学生所属年级对应的评价表列表。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管理后台</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学生导入</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证件号校验</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增加学生名单导入证件号正则校验，证件号导入时按照18位身份证标准规则校验</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增加学生名单校验不通过时页面提示信息，此时名单不入库</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条码在线生成</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学生名单导入系统，自动生成条形码，并实现条形码在线查看，条形码中包含学生的编码、姓名、学校、年级班级、登录码、随机码信息。</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学生列表</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条码在线查看</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增加学生条码在线查看功能，实现单条预览学生条码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学生条码展示条形码、学校、年级、班级、学生姓名、登录码、随机码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班级管理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班级列表</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增加班级记录功能，根据学生导入的编码自动生成班级信息</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增加班级列表，展示归属学校、年级、班级、班级编码、学生数量</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班级列表增加年级、班级筛选搜索查询功能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增加条码批量导出功能，实现条码以班级为单位导出pdf文件；实现勾选多个班级可批量下载条码，以压缩包形式批量导出各班的条码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评价表配置管理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评价表适用年级分配</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新增评价表“适用年级”字段，实现不同评价表可以自定义选择使用的年级，并实现年级多选。</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新增"评价表-年级关联表"，记录关联关系。</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评价表复核管理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学生应完成评价表标记</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新增评价表分配后自动标记"应完成"状态，列表展示各评价表的完成状态。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实现对不同类型评价表（学生评价表，体检表）完成情况筛选查询</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学生评价表复核及Excel导出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优化学生评价表复核列表页，展示学生基本信息及应完成评价表清单，单份评价表基于提交记录自动标记"已完成"/"未完成"（未完成项标红提示），汇总展示学生最终完成状态（全部完成/部分完成/未完成）</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增加学生评价表最终完成状态展示，根据需完成的评价表的完成状态判断最终完成状态。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优化学生复核列表导出功能，增加单份评价表完成状态的字段导出。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评价表完成信息</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评价表得分计算与展示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增加评价表得分计算功能，评价表提交时，系统根据选项配置的分数自动计算评价表得分。</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37"/>
              <w:jc w:val="left"/>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增加列表得分展示功能。</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bl>
    <w:p>
      <w:pPr>
        <w:pStyle w:val="637"/>
        <w:jc w:val="left"/>
        <w:spacing w:line="240" w:lineRule="auto"/>
        <w:widowControl/>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中小学生超重肥胖监测调查与干预管理</w:t>
      </w:r>
      <w:r>
        <w:rPr>
          <w:rFonts w:ascii="宋体" w:hAnsi="宋体" w:eastAsia="宋体" w:cs="宋体"/>
          <w:b/>
          <w:i/>
          <w:iCs/>
          <w:color w:val="000000"/>
          <w:sz w:val="24"/>
          <w:szCs w:val="24"/>
          <w:lang w:val="en-US" w:eastAsia="zh-CN" w:bidi="ar-SA"/>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老师端（手机H5版）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监测表填写</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支持老师使用登录码、随机码登录并填写、提交监测表。</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老师端（PC版）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学生随访体检记录</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新增随访体检记录在线登记功能，支持按月份切换登记；填写完成后同步至管理后台，确保数据实时流转。</w:t>
      </w:r>
      <w:r>
        <w:rPr>
          <w:rFonts w:ascii="宋体" w:hAnsi="宋体" w:eastAsia="宋体" w:cs="宋体"/>
          <w:color w:val="000000"/>
          <w:sz w:val="24"/>
          <w:szCs w:val="24"/>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家长端（手机H5版）</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家长授权与登录</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知情同意书展示与确认功能，用户进入H5时需完成确认；对接微信授权体系，获取用户openId、昵称、头像；优化学生绑定管理，支持通过登录码与随机码绑定，校验匹配性并反馈精准错误提示（如“登录码错误”）；展示已绑定学生信息列表，支持多学生切换。</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家长端主页</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展示当前绑定学生信息，支持切换；提供功能入口（健康教育内容、健康打卡、随访体检查询等）；推荐健康教育内容（含标题、封面、阅读人数、收藏数、点赞数）。</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监测表填写</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支持家长使用登录码、随机码登录并填写、提交监测表。</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学生健康打卡</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以日历形式展示当月打卡情况，已打卡日期特殊标记；支持当日打卡、前一天补卡；打卡内容支持单选、多选、填空等题型，完成后随机显示健康小贴士；支持历史打卡记录查看（列表展示日期，点击查看详情）；新增每周日身高体重记录弹窗提示，完成记录后可完成当日打卡。</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随访体检结果查询</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展示随访体检结果列表（含体检日期、BMI评价）与详情（含学生信息、体检日期、各项指标详细结果）。</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健康教育内容</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优化点赞与收藏交互，详情页底部设置对应按钮，支持实时撤销操作与状态更新。</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家长个人中心</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Arial" w:hAnsi="Arial" w:eastAsia="Arial" w:cs="Arial"/>
          <w:color w:val="000000"/>
          <w:szCs w:val="21"/>
          <w:lang w:eastAsia="zh-CN"/>
        </w:rPr>
      </w:pPr>
      <w:r>
        <w:rPr>
          <w:rFonts w:hint="eastAsia" w:ascii="宋体" w:hAnsi="宋体" w:eastAsia="宋体" w:cs="宋体"/>
          <w:color w:val="000000"/>
          <w:sz w:val="24"/>
          <w:szCs w:val="24"/>
          <w:lang w:eastAsia="zh-CN"/>
        </w:rPr>
        <w:t xml:space="preserve">展示当前绑定学生基本信息（姓名、性别、编码）与详细信息（出生日期、学校、年级、班级）；支持打卡记录查看，自动计算BMI并以折线图展示近4次体重与BMI变化趋势，展示历史记录（日期、身高、体重、BMI）；设置点赞与收藏内容专区；支持多学生切换。</w:t>
      </w:r>
      <w:r>
        <w:rPr>
          <w:rFonts w:ascii="Arial" w:hAnsi="Arial" w:eastAsia="Arial" w:cs="Arial"/>
          <w:color w:val="000000"/>
          <w:szCs w:val="21"/>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管理后台</w:t>
      </w:r>
      <w:r>
        <w:rPr>
          <w:rFonts w:ascii="宋体" w:hAnsi="宋体" w:eastAsia="宋体" w:cs="宋体"/>
          <w:b w:val="0"/>
          <w:color w:val="000000"/>
          <w:sz w:val="21"/>
          <w:szCs w:val="21"/>
          <w:lang w:val="en-US" w:eastAsia="zh-CN" w:bidi="ar-SA"/>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学生管理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新增学生干预信息管理列表，展示基本信息、营养状况评估结果、打卡情况、身高体重记录、随访体检、学习情况统计，支持关联记录查看。</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家长管理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新增家长信息列表，展示openId、昵称、头像、绑定状态、绑定数量、授权时间；支持查看家长绑定的学生信息，提供解绑操作入口。</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老师管理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新增老师信息列表，展示所属学校、年级、状态，支持查看登录码、随机码；支持根据学校、学段、年级、设置数量生成老师信息。</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监测表配置管理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新增监测表适用对象分配功能，可选择答题对象为学生、家长或老师；新增打卡监测表与随访体检登记表配置，支持同一用户多次填写。</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健康教育内容管理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新增健康教育内容列表，展示分类、标题、权重、阅读量、收藏数、创建时间等信息。</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健康贴士管理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新增健康贴士信息列表（含内容、阅读次数、创建时间等），支持内容编辑与发布管理。</w:t>
      </w:r>
      <w:r>
        <w:rPr>
          <w:rFonts w:ascii="宋体" w:hAnsi="宋体" w:eastAsia="宋体" w:cs="宋体"/>
          <w:color w:val="000000"/>
          <w:sz w:val="24"/>
          <w:szCs w:val="24"/>
          <w:lang w:eastAsia="zh-CN"/>
        </w:rPr>
      </w:r>
      <w:r/>
    </w:p>
    <w:p>
      <w:pPr>
        <w:pStyle w:val="637"/>
        <w:numPr>
          <w:ilvl w:val="4"/>
          <w:numId w:val="5"/>
        </w:numPr>
        <w:ind w:left="0" w:firstLine="482"/>
        <w:jc w:val="left"/>
        <w:keepLines/>
        <w:keepNext/>
        <w:spacing w:before="0" w:after="0" w:line="360" w:lineRule="auto"/>
        <w:rPr>
          <w:rFonts w:ascii="宋体" w:hAnsi="宋体" w:eastAsia="宋体" w:cs="宋体"/>
          <w:b/>
          <w:color w:val="000000"/>
          <w:sz w:val="24"/>
          <w:szCs w:val="24"/>
          <w:lang w:val="en-US" w:eastAsia="zh-CN" w:bidi="ar-SA"/>
        </w:rPr>
        <w:outlineLvl w:val="4"/>
      </w:pPr>
      <w:r>
        <w:rPr>
          <w:rFonts w:hint="eastAsia" w:ascii="宋体" w:hAnsi="宋体" w:eastAsia="宋体" w:cs="宋体"/>
          <w:b/>
          <w:color w:val="000000"/>
          <w:sz w:val="24"/>
          <w:szCs w:val="24"/>
          <w:lang w:val="en-US" w:eastAsia="zh-CN" w:bidi="ar-SA"/>
        </w:rPr>
        <w:t xml:space="preserve">干预结果管理</w:t>
      </w:r>
      <w:r>
        <w:rPr>
          <w:rFonts w:ascii="宋体" w:hAnsi="宋体" w:eastAsia="宋体" w:cs="宋体"/>
          <w:b/>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增学生随访体检记录列表，支持详情查看；新增微信端打卡记录列表（含学生姓名、编码、打卡内容、时间）、身高体重记录列表（含记录时间、BMI）、学习记录列表（按时间倒序排列，含健康教育内容标题）。</w:t>
      </w:r>
      <w:r>
        <w:rPr>
          <w:rFonts w:ascii="宋体" w:hAnsi="宋体" w:eastAsia="宋体" w:cs="宋体"/>
          <w:color w:val="000000"/>
          <w:sz w:val="24"/>
          <w:szCs w:val="24"/>
          <w:lang w:eastAsia="zh-CN"/>
        </w:rPr>
      </w:r>
      <w:r/>
    </w:p>
    <w:p>
      <w:pPr>
        <w:pStyle w:val="637"/>
        <w:jc w:val="center"/>
        <w:spacing w:line="360" w:lineRule="auto"/>
        <w:widowControl/>
        <w:rPr>
          <w:rFonts w:ascii="Arial" w:hAnsi="Arial" w:eastAsia="Arial" w:cs="Arial"/>
          <w:color w:val="000000"/>
          <w:szCs w:val="21"/>
          <w:lang w:eastAsia="zh-CN"/>
        </w:rPr>
      </w:pPr>
      <w:r>
        <w:rPr>
          <w:rFonts w:hint="eastAsia" w:ascii="宋体" w:hAnsi="宋体" w:eastAsia="宋体" w:cs="宋体"/>
          <w:color w:val="000000"/>
          <w:sz w:val="24"/>
          <w:szCs w:val="24"/>
          <w:lang w:eastAsia="zh-CN"/>
        </w:rPr>
        <w:t xml:space="preserve">表4中小学生超重肥胖监测调查与干预管理升级优化工作量清单</w:t>
      </w:r>
      <w:r>
        <w:rPr>
          <w:rFonts w:ascii="Arial" w:hAnsi="Arial" w:eastAsia="Arial" w:cs="Arial"/>
          <w:color w:val="000000"/>
          <w:szCs w:val="21"/>
          <w:lang w:eastAsia="zh-CN"/>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394"/>
        <w:gridCol w:w="1990"/>
        <w:gridCol w:w="1707"/>
        <w:gridCol w:w="1678"/>
        <w:gridCol w:w="2078"/>
        <w:gridCol w:w="669"/>
      </w:tblGrid>
      <w:tr>
        <w:trPr>
          <w:trHeight w:val="570"/>
          <w:tblHeader/>
        </w:trPr>
        <w:tc>
          <w:tcPr>
            <w:shd w:val="clear" w:color="auto" w:fill="c6d9f0"/>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序号</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一级功能模块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二级功能模块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功能点</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功能描述</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功能备注</w:t>
            </w:r>
            <w:r>
              <w:rPr>
                <w:rFonts w:ascii="宋体" w:hAnsi="宋体" w:eastAsia="宋体" w:cs="宋体"/>
                <w:b/>
                <w:bCs/>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家长端（手机H5版）</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家长授权与登录</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微信授权</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新增知情同意书展示与确认功能，实现家长进入H5时知情同意书的展示与确认。</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新增与微信授权体系对接，用户进入H5时需进行微信授权。</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家长登录与授权绑定</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优化微信与学生绑定管理，新增已绑定学生信息列表展示功能。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新增微信绑定学生操作入口，实现通过录入登录码与随机码完成绑定流程。</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补充绑定校验机制，校验登录码与随机码的匹配性，绑定失败时反馈精准错误提示（如“登录码错误”）。</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家长端主页</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当前绑定学生展示</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新增绑定学生信息展示，实现当前绑定学生信息展示，实现学生信息切换。</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主页功能入口</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新增家长端主页功能，实现主页提供功能入口，功能菜单包括健康教育内容、学生健康打卡、随访体检结果查询、身高体重记录、个人中心。</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新增家长端主页推荐健康教育内容展示，包括标题、封面、阅读人数、收藏数、点赞数。</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监测表填写</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家长监测表填写与提交</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新增家长监测表填写，实现家长使用登录码、随机码登录并填写、提交监测表。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学生健康打卡</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学生健康打卡</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新增健康打卡日历展示，实现以日历形式展示当月打卡情况，已打卡日期特殊标记。</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新增健康打卡功能，实现当日点击“去打卡”，可完成今日打卡。</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新增补卡功能，点击前一天日期，点击“去补卡”，可完成前一天的补卡。</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新增打卡内容填写提交功能，点击“去打卡”，进入打卡填写页面，实现单选、多选、填空等多种题型填写，填写后确认打卡，提交打卡内容。</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新增打卡小贴士功能，完成打卡后，系统随机显示健康小贴士。</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新增历史打卡查看功能，点击“历史打卡”，列表展示历史打卡日期，点击查看详情可查看当前日期打卡内容。</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学生身高体重记录</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新增每周日身高体重记录功能，周日打卡弹窗提示身高体重记录，完成身高体重记录后，可完成当日打卡。</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随访体检结果查询</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随访体检结果列表与详情</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新增随访体检结果列表展示，包括体检日期、BMI评价结果。</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新增随访体检结果详情展示，包括学生信息、体检日期，体检指标详细结果。</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家长个人中心</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家长个人中心</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新增个人中心当前绑定学生基本信息展示功能，包括学生姓名、性别、编码。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新增个人信息详情查看，点击“个人信息”可查看当前学生信息，包括学生姓名、性别、出生日期、学校、年级、班级。</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打卡记录管理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新增打卡记录查看功能，列表展示历史打卡记录。</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新增BMI自动计算。</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新增体重、BMI变化趋势图展示，以折线图展示近4次体重与BMI变化趋势。</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新增历史记录的展示，包括日期、身高、体重、BMI数据。</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点赞记录管理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新增学生个人点赞内容专区，以列表形式呈现相关健康教育内容，包含标题、封面、阅读量、收藏量及点赞量信息。</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收藏记录管理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新增学生个人收藏内容专区，列表展示对应健康教育内容，同步呈现标题、封面、阅读量、收藏量及点赞量。</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绑定学生切换</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实现多学生信息切换，列表展示当前微信号绑定的全部学生，提供切换选择功能。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健康教育内容</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健康教育内容点赞与收藏</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优化健康教育内容点赞与收藏交互，在详情页底部设置对应按钮，实现用户点击操作。</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优化点赞/收藏取消功能，已点赞或收藏的内容再次点击可撤销操作，实时更新状态显示。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老师端（手机H5版）</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监测表填写</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老师监测表填写与提交</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新增老师监测表填写，实现家长使用登录码、随机码登录并填写、提交监测表。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老师端（PC版）</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学生随访体检记录</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学生随访体检结果录入与提交</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新增随访体检记录的在线登记功能，老师可以按月，在线填写并提交体检结果。</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新增随访体检切换月份记录功能，可以选择不同的月份，登记学生随访体检。</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108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管理后台</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学生干预信息管理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新增学生干预信息管理，列表展示学生的基本信息、营养状况评估结果、打卡情况、身高体重记录情况、随访体检情况、学习情况统计，实现打卡记录、身高体重记录、随访体检记录、学习记录的关联查看。</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家长管理</w:t>
            </w:r>
            <w:r>
              <w:rPr>
                <w:rFonts w:ascii="宋体" w:hAnsi="宋体" w:eastAsia="宋体" w:cs="宋体"/>
                <w:color w:val="000000"/>
                <w:szCs w:val="21"/>
                <w:lang w:eastAsia="en-US"/>
              </w:rPr>
            </w:r>
            <w:r/>
          </w:p>
        </w:tc>
        <w:tc>
          <w:tcPr>
            <w:tcBorders>
              <w:top w:val="single" w:color="000000" w:sz="4" w:space="0"/>
              <w:left w:val="single" w:color="000000" w:sz="4" w:space="0"/>
              <w:bottom w:val="non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家长信息管理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新增家长信息管理，列表展示家长信息，包括openid、昵称、头像、绑定状态、绑定数量、授权时间。</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家长与学生绑定管理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新增家长与学生绑定管理，实现家长绑定的学生信息查看，对已绑定的学生进行解绑操作。</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老师管理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老师信息管理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新增老师信息管理，列表展示所属学校、年级、状态，可查看登录码、随机码。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新增老师信息生成，实现根据学校、学段、年级、设置的数量生成老师信息。</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监测表配置管理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监测表适用对象分配</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新增监测表适用对象分配，可以选择监测表的答题对象是学生、家长、老师。</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不同类型监测表配置</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新增不同类型打卡内容配置，用于微信端打卡内容填写，实现同一用户填写多次打卡内容。</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新增随访体检登记表配置，用于学校管理员后台填写登记，实现随访体检登记表填写多次。</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健康教育内容管理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图文视频内容发布</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新增健康教育内容列表，包括分类、科普知识标题、权重、阅读量、收藏数、创建时间、更新时间、创建人。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健康贴士管理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健康贴士内容编辑与发布管理</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新增健康贴士信息列表，包括健康贴士内容，阅读次数、创建时间、更新时间、创建人。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新增健康贴士内容编辑、发布管理功能。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干预结果管理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学生随访体检管理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新增列表展示学生随访体检记录，包括学生信息、体检日期，体检指标，实现详情页面展示查看。</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学生干预结果管理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新增微信端打卡记录列表，包括学生姓名、学生编码、打卡内容、打卡时间。</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新增微信端身高体重记录列表，包括学生姓名、学生编码、记录时间、身高、体重、BMI。</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新增按照学习时间倒序展示该学生学习记录，包括学生姓名、学习时间、健康教育内容标题。</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用户管理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用户权限与分配管理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新增省-市-区-学校-学生5级管理模式，实现不同用户的角色与权限配置。</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新增关联学校分配功能，用于控制各级管理员及校医数据操作范围。</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bl>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bookmarkStart w:id="196" w:name="_Toc32429"/>
      <w:r/>
      <w:bookmarkStart w:id="197" w:name="_Toc856"/>
      <w:r/>
      <w:bookmarkStart w:id="198" w:name="_Toc827"/>
      <w:r/>
      <w:bookmarkStart w:id="199" w:name="_Toc7274"/>
      <w:r>
        <w:rPr>
          <w:rFonts w:hint="eastAsia" w:ascii="宋体" w:hAnsi="宋体" w:eastAsia="宋体" w:cs="宋体"/>
          <w:b/>
          <w:bCs/>
          <w:color w:val="000000"/>
          <w:sz w:val="24"/>
          <w:szCs w:val="24"/>
          <w:lang w:val="en-US" w:eastAsia="zh-CN" w:bidi="ar-SA"/>
        </w:rPr>
        <w:t xml:space="preserve">系统层面升级</w:t>
      </w:r>
      <w:bookmarkEnd w:id="196"/>
      <w:r>
        <w:rPr>
          <w:rFonts w:ascii="宋体" w:hAnsi="宋体" w:eastAsia="宋体" w:cs="宋体"/>
          <w:b/>
          <w:b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支撑全省13个设区市、99个区县、820所学校及近26万师生家长的高并发访问需求，保障系统全流程数字化、管理智能化的核心建设目标落地，本次系统层面从系统架构、网络支撑、安全防护、运维保障、数据库优化方面进行深度改造，构建高适配、高可靠、高安全、易运维的技术支撑体系，全面提升系统运行效能与稳定性。</w:t>
      </w:r>
      <w:r>
        <w:rPr>
          <w:rFonts w:ascii="宋体" w:hAnsi="宋体" w:eastAsia="宋体" w:cs="宋体"/>
          <w:color w:val="000000"/>
          <w:sz w:val="24"/>
          <w:szCs w:val="24"/>
          <w:lang w:eastAsia="zh-CN"/>
        </w:rPr>
      </w:r>
      <w:r/>
    </w:p>
    <w:p>
      <w:pPr>
        <w:pStyle w:val="637"/>
        <w:jc w:val="center"/>
        <w:spacing w:line="360" w:lineRule="auto"/>
        <w:widowControl/>
        <w:rPr>
          <w:rFonts w:ascii="Arial" w:hAnsi="Arial" w:eastAsia="Arial" w:cs="Arial"/>
          <w:color w:val="000000"/>
          <w:szCs w:val="21"/>
          <w:lang w:eastAsia="zh-CN"/>
        </w:rPr>
      </w:pPr>
      <w:r>
        <w:rPr>
          <w:rFonts w:hint="eastAsia" w:ascii="宋体" w:hAnsi="宋体" w:eastAsia="宋体" w:cs="宋体"/>
          <w:color w:val="000000"/>
          <w:sz w:val="24"/>
          <w:szCs w:val="24"/>
          <w:lang w:eastAsia="zh-CN"/>
        </w:rPr>
        <w:t xml:space="preserve">表5中小学生超重肥胖监测调查与干预管理升级优化工作量清单</w:t>
      </w:r>
      <w:r>
        <w:rPr>
          <w:rFonts w:ascii="Arial" w:hAnsi="Arial" w:eastAsia="Arial" w:cs="Arial"/>
          <w:color w:val="000000"/>
          <w:szCs w:val="21"/>
          <w:lang w:eastAsia="zh-CN"/>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57"/>
        <w:gridCol w:w="804"/>
        <w:gridCol w:w="1116"/>
        <w:gridCol w:w="5509"/>
        <w:gridCol w:w="636"/>
      </w:tblGrid>
      <w:tr>
        <w:trPr>
          <w:trHeight w:val="540"/>
          <w:tblHeader/>
        </w:trPr>
        <w:tc>
          <w:tcPr>
            <w:shd w:val="clear" w:color="auto" w:fill="c6d9f0"/>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序号</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功能模块</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功能点</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功能描述</w:t>
            </w:r>
            <w:r>
              <w:rPr>
                <w:rFonts w:ascii="宋体" w:hAnsi="宋体" w:eastAsia="宋体" w:cs="宋体"/>
                <w:b/>
                <w:bCs/>
                <w:color w:val="000000"/>
                <w:sz w:val="24"/>
                <w:szCs w:val="24"/>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zh-CN" w:bidi="ar"/>
              </w:rPr>
              <w:t xml:space="preserve">功能备注</w:t>
            </w:r>
            <w:r>
              <w:rPr>
                <w:rFonts w:ascii="宋体" w:hAnsi="宋体" w:eastAsia="宋体" w:cs="宋体"/>
                <w:b/>
                <w:bCs/>
                <w:color w:val="000000"/>
                <w:sz w:val="24"/>
                <w:szCs w:val="24"/>
                <w:lang w:eastAsia="en-US"/>
              </w:rPr>
            </w:r>
            <w:r/>
          </w:p>
        </w:tc>
      </w:tr>
      <w:tr>
        <w:trPr>
          <w:trHeight w:val="3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系统架构</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信创适配</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服务器环境：全面适配国产芯片（如华为鲲鹏920、海光x86）及操作系统（如麒麟V10、统信UOS）；</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3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数据库：适配神通、达梦、人大金仓、TDSQL等国产数据库；</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3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JDK环境：适配国产发行版JDK（如华为毕昇JDK、阿里Dragonwell）或OpenJDK长期支持版，确保指令集优化与安全补丁及时更新；</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3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中间件：支持东方通TongWeb、宝兰德等国产应用服务中间件的适配与部署。</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负载均衡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集成SSL/TLS全链路加密网关，兼顾数据隐私保护与系统高吞吐性能，内置轮询、加权最小连接数及IPHash等请求分发算法，在实现后端资源负载均衡的同时，提供毫秒级故障自动转移能力，确保持续稳定的业务连续性。</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热点数据缓存</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通过EhCache将热点数据存储在应用服务器的内存中，请求可直接从本地内存响应，从而极大减少数据库访问次数，降低磁盘I/O压力，有效提升系统的并发处理能力和响应速度。</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数据聚合</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对同类业务数据进行整合，将多次请求才能完成业务查询的接口整合为通过一个接口API返回。前端只需请求一次，即可获取完整数据，从而降低网络延迟，提升页面加载速度与用户体验。</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性能优化</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实时监控CPU负载，通过服务器线程及日志定位具体业务模块，针对瓶颈代码进行逻辑简化与算法升级，优化后同等硬件条件下支持更高并发，提升系统响应效率。</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前端防抖</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用户在短时间内多次触发同一功能（如连续点击提交按钮、快速输入搜索关键词）时，系统只响应最后一次有效的操作。前端防抖机制能有效防止表单重复提交、减少无效请求数，提升系统的响应效率和数据准确性。</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3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数据完整性双重校验</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通过前端+后端双重校验机制，确保业务数据进入系统后准确性、一致性和合法性。</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网络</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CDN全站加速</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实现资源动静分离、智能缓存、路由优化、传输优化等核心技术，有效提升动静内容混合站点访问速度，为用户提供快速、可靠和流畅的访问体验，而不受浏览器、位置、设备或网络的限制。</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3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12</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网络策略保障</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提前与应用服务器网络安全团队做好策略对接，报备系统访问特征，避免集中式访问导致用户请求被安全策略拦截，确保业务高峰期用户访问一路畅通。</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13</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安全</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WAF安全防护</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部署Web应用防火墙，基于规则引擎+行为分析对HTTP/HTTPS流量进行深度检测。防护涵盖SQL注入、XSS、CSRF、恶意爬虫、CC攻击及0day漏洞利用。支持自定义防护策略，实现攻击实时阻断、访问日志审计、告警联动，全面保障Web应用安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14</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漏洞修复</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实时跟踪国家信息安全漏洞库（CNNVD）及官方安全公告建立常态化的漏洞监测与修复机制，针对Java应用及其依赖的第三方组件（如Spring框架、ApacheLog4j等）进行持续安全扫描。发现漏洞，第一时间评估影响，并通过升级版本、打补丁、代码改造等方式进行修复，确保系统的安全性。</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3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15</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日志审计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全量记录系统中关键业务指令、数据访问及权限变更日志，确保所有用户行为可视、可控、可查，实现从操作发起者到具体执行动作的精准责任定位。</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16</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数据脱敏</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基于国密算法（SM2/SM3/SM4）的深度数据安全防护体系。在存储层，采用SM4高强度对称加密对敏感字段进行密文落库，杜绝拖库泄露风险；在应用层，实施严格的前端动态脱敏策略，仅向终端用户展示处理后的非敏感信息。通过“数据库国密存储”与“客户端脱敏展示”的双重防线，实现敏感数据存储不可读、展示不可见、传输不可窃，全面满足国家密码管理局及等保2.0的合规要求。</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17</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运维服务</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服务器巡检（CPU、内存、磁盘）</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每日对服务器的CPU利用率、内存占用率、磁盘空间核心指标进行人工监测与记录，重点排查资源异常飙升、内存泄漏风险及磁盘容量预警，确保系统运行负载始终处于安全阈值内。通过持续的主动巡检，提前发现潜在隐患、及时介入处理，避免因资源耗尽导致的系统卡顿或宕机，保障业务稳定运行。</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3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18</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系统更新、部署</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提供全生命周期的软件交付支持，涵盖从版本构建、环境配置到生产部署的全流程，建立备份机制，支持版本回溯，确保交付过程安全可控。</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19</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数据库</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慢SQL监控与优化</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通过对数据库执行日志的持续分析，自动抓取执行时间超过阈值的慢SQL语句，并结合执行计划（EXPLAIN）进行深度诊断。针对索引缺失、表扫描、关联不当等性能瓶颈，提供具体的优化建议（如索引创建、SQL重写、分页优化），并在测试验证后协助实施。通过持续迭代优化，逐步提升数据库响应速度，保障系统整体性能的稳定高效。</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20</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权限隔离</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严格遵循最小权限原则，构建多层级的数据库访问控制体系。实施基于角色的访问控制（RBAC），将应用、开发人员、运维人员及审计人员的权限进行逻辑与物理隔离，杜绝账号共用与越权访问。</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21</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数据备份</w:t>
            </w:r>
            <w:r>
              <w:rPr>
                <w:rFonts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pStyle w:val="637"/>
              <w:jc w:val="left"/>
              <w:spacing w:line="24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建立全量+增量的自动化备份机制，定期全量备份数据库，并实时捕获binlog增量数据变更，支持任意时间点恢复。确保数据在误删、故障等场景下可快速恢复，为数据安全提供兜底保障。</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7"/>
              <w:jc w:val="center"/>
              <w:spacing w:line="240" w:lineRule="auto"/>
              <w:widowControl/>
              <w:rPr>
                <w:rFonts w:ascii="宋体" w:hAnsi="宋体" w:eastAsia="宋体" w:cs="宋体"/>
                <w:color w:val="000000"/>
                <w:sz w:val="24"/>
                <w:szCs w:val="24"/>
                <w:lang w:eastAsia="en-US"/>
              </w:rPr>
            </w:pPr>
            <w:r>
              <w:rPr>
                <w:rFonts w:hint="eastAsia" w:ascii="宋体" w:hAnsi="宋体" w:eastAsia="宋体" w:cs="宋体"/>
                <w:color w:val="000000"/>
                <w:sz w:val="24"/>
                <w:szCs w:val="24"/>
                <w:lang w:eastAsia="zh-CN" w:bidi="ar"/>
              </w:rPr>
              <w:t xml:space="preserve">优化</w:t>
            </w:r>
            <w:r>
              <w:rPr>
                <w:rFonts w:ascii="宋体" w:hAnsi="宋体" w:eastAsia="宋体" w:cs="宋体"/>
                <w:color w:val="000000"/>
                <w:sz w:val="24"/>
                <w:szCs w:val="24"/>
                <w:lang w:eastAsia="en-US"/>
              </w:rPr>
            </w:r>
            <w:r/>
          </w:p>
        </w:tc>
      </w:tr>
    </w:tbl>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bookmarkStart w:id="200" w:name="_Toc8739"/>
      <w:r>
        <w:rPr>
          <w:rFonts w:hint="eastAsia" w:ascii="宋体" w:hAnsi="宋体" w:eastAsia="宋体" w:cs="宋体"/>
          <w:b/>
          <w:bCs/>
          <w:color w:val="000000"/>
          <w:sz w:val="24"/>
          <w:szCs w:val="24"/>
          <w:lang w:val="en-US" w:eastAsia="zh-CN" w:bidi="ar-SA"/>
        </w:rPr>
        <w:t xml:space="preserve">接口功能指标</w:t>
      </w:r>
      <w:bookmarkEnd w:id="197"/>
      <w:r/>
      <w:bookmarkEnd w:id="198"/>
      <w:r/>
      <w:bookmarkEnd w:id="199"/>
      <w:r/>
      <w:bookmarkEnd w:id="200"/>
      <w:r>
        <w:rPr>
          <w:rFonts w:ascii="宋体" w:hAnsi="宋体" w:eastAsia="宋体" w:cs="宋体"/>
          <w:b/>
          <w:bCs/>
          <w:color w:val="000000"/>
          <w:sz w:val="24"/>
          <w:szCs w:val="24"/>
          <w:lang w:val="en-US" w:eastAsia="zh-CN" w:bidi="ar-SA"/>
        </w:rPr>
      </w:r>
      <w:r/>
    </w:p>
    <w:p>
      <w:pPr>
        <w:pStyle w:val="637"/>
        <w:numPr>
          <w:ilvl w:val="2"/>
          <w:numId w:val="5"/>
        </w:numPr>
        <w:ind w:left="0" w:firstLine="482"/>
        <w:jc w:val="left"/>
        <w:keepNext/>
        <w:spacing w:before="0" w:line="360" w:lineRule="auto"/>
        <w:rPr>
          <w:rFonts w:ascii="宋体" w:hAnsi="宋体" w:eastAsia="宋体" w:cs="宋体"/>
          <w:b/>
          <w:i/>
          <w:color w:val="000000"/>
          <w:sz w:val="24"/>
          <w:szCs w:val="24"/>
          <w:lang w:val="en-US" w:eastAsia="zh-CN" w:bidi="ar-SA"/>
        </w:rPr>
        <w:outlineLvl w:val="2"/>
      </w:pPr>
      <w:r>
        <w:rPr>
          <w:rFonts w:hint="eastAsia" w:ascii="宋体" w:hAnsi="宋体" w:eastAsia="宋体" w:cs="宋体"/>
          <w:b/>
          <w:i/>
          <w:color w:val="000000"/>
          <w:sz w:val="24"/>
          <w:szCs w:val="24"/>
          <w:lang w:val="en-US" w:eastAsia="zh-CN" w:bidi="ar-SA"/>
        </w:rPr>
        <w:t xml:space="preserve">内部接口</w:t>
      </w:r>
      <w:r>
        <w:rPr>
          <w:rFonts w:ascii="宋体" w:hAnsi="宋体" w:eastAsia="宋体" w:cs="宋体"/>
          <w:b/>
          <w:i/>
          <w:color w:val="000000"/>
          <w:sz w:val="24"/>
          <w:szCs w:val="24"/>
          <w:lang w:val="en-US" w:eastAsia="zh-CN" w:bidi="ar-SA"/>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家长端（手机H5版）</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学生信息接口：展示用户姓名、性别、年级、所属学校，支持通过登录码/随机码绑定学生；</w:t>
      </w:r>
      <w:r>
        <w:rPr>
          <w:rFonts w:ascii="宋体" w:hAnsi="宋体" w:eastAsia="宋体" w:cs="宋体"/>
          <w:color w:val="000000"/>
          <w:sz w:val="24"/>
          <w:szCs w:val="24"/>
          <w:shd w:val="clear" w:color="auto" w:fill="f9fafb"/>
          <w:lang w:eastAsia="zh-CN"/>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健康教育接口：展示内容列表（标题、阅读量、发布日期、封面图）及详情（含视频播放），记录浏览行为，支持上传、点赞、取消点赞、收藏、取消收藏操作，展示点赞/收藏列表；</w:t>
      </w:r>
      <w:r>
        <w:rPr>
          <w:rFonts w:ascii="宋体" w:hAnsi="宋体" w:eastAsia="宋体" w:cs="宋体"/>
          <w:color w:val="000000"/>
          <w:sz w:val="24"/>
          <w:szCs w:val="24"/>
          <w:shd w:val="clear" w:color="auto" w:fill="f9fafb"/>
          <w:lang w:eastAsia="zh-CN"/>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健康打卡接口：展示各月份打卡/缺卡情况，记录身高体重、运动打卡数据；</w:t>
      </w:r>
      <w:r>
        <w:rPr>
          <w:rFonts w:ascii="宋体" w:hAnsi="宋体" w:eastAsia="宋体" w:cs="宋体"/>
          <w:color w:val="000000"/>
          <w:sz w:val="24"/>
          <w:szCs w:val="24"/>
          <w:shd w:val="clear" w:color="auto" w:fill="f9fafb"/>
          <w:lang w:eastAsia="zh-CN"/>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报告接口：调整当前体检报告接口，展示体检结果与筛查结论，新增PDF生成接口；</w:t>
      </w:r>
      <w:r>
        <w:rPr>
          <w:rFonts w:ascii="宋体" w:hAnsi="宋体" w:eastAsia="宋体" w:cs="宋体"/>
          <w:color w:val="000000"/>
          <w:sz w:val="24"/>
          <w:szCs w:val="24"/>
          <w:shd w:val="clear" w:color="auto" w:fill="f9fafb"/>
          <w:lang w:eastAsia="zh-CN"/>
        </w:rPr>
      </w:r>
      <w:r/>
    </w:p>
    <w:p>
      <w:pPr>
        <w:pStyle w:val="637"/>
        <w:numPr>
          <w:ilvl w:val="3"/>
          <w:numId w:val="5"/>
        </w:numPr>
        <w:ind w:left="0" w:firstLine="420"/>
        <w:jc w:val="left"/>
        <w:keepNext/>
        <w:spacing w:before="0" w:line="360" w:lineRule="auto"/>
        <w:rPr>
          <w:rFonts w:ascii="宋体" w:hAnsi="宋体" w:eastAsia="宋体" w:cs="宋体"/>
          <w:b w:val="0"/>
          <w:color w:val="000000"/>
          <w:sz w:val="21"/>
          <w:szCs w:val="21"/>
          <w:lang w:val="en-US" w:eastAsia="zh-CN" w:bidi="ar-SA"/>
        </w:rPr>
        <w:outlineLvl w:val="3"/>
      </w:pPr>
      <w:r>
        <w:rPr>
          <w:rFonts w:hint="eastAsia" w:ascii="宋体" w:hAnsi="宋体" w:eastAsia="宋体" w:cs="宋体"/>
          <w:b w:val="0"/>
          <w:color w:val="000000"/>
          <w:sz w:val="21"/>
          <w:szCs w:val="21"/>
          <w:lang w:val="en-US" w:eastAsia="zh-CN" w:bidi="ar-SA"/>
        </w:rPr>
        <w:t xml:space="preserve">多端数据交互接口</w:t>
      </w:r>
      <w:r>
        <w:rPr>
          <w:rFonts w:ascii="宋体" w:hAnsi="宋体" w:eastAsia="宋体" w:cs="宋体"/>
          <w:b w:val="0"/>
          <w:color w:val="000000"/>
          <w:sz w:val="21"/>
          <w:szCs w:val="21"/>
          <w:lang w:val="en-US" w:eastAsia="zh-CN" w:bidi="ar-SA"/>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数据校验接口：查询学生需完成的监测表与体检项，校验监测表年级权限；</w:t>
      </w:r>
      <w:r>
        <w:rPr>
          <w:rFonts w:ascii="宋体" w:hAnsi="宋体" w:eastAsia="宋体" w:cs="宋体"/>
          <w:color w:val="000000"/>
          <w:sz w:val="24"/>
          <w:szCs w:val="24"/>
          <w:shd w:val="clear" w:color="auto" w:fill="f9fafb"/>
          <w:lang w:eastAsia="zh-CN"/>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录入端提交接口：支持教室照明、眼生物、步态无感监测、臀围数据提交/修改，按地市分表存储优化查询性能，调整腰围复测误差标准，重置监测表导出与统计状态；</w:t>
      </w:r>
      <w:r>
        <w:rPr>
          <w:rFonts w:ascii="宋体" w:hAnsi="宋体" w:eastAsia="宋体" w:cs="宋体"/>
          <w:color w:val="000000"/>
          <w:sz w:val="24"/>
          <w:szCs w:val="24"/>
          <w:shd w:val="clear" w:color="auto" w:fill="f9fafb"/>
          <w:lang w:eastAsia="zh-CN"/>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数据转换接口：将小程序端录入数据（基础信息、疾病史、视力、龋齿）转换为管理后台可预览格式，处理特殊场景数据清空逻辑；</w:t>
      </w:r>
      <w:r>
        <w:rPr>
          <w:rFonts w:ascii="宋体" w:hAnsi="宋体" w:eastAsia="宋体" w:cs="宋体"/>
          <w:color w:val="000000"/>
          <w:sz w:val="24"/>
          <w:szCs w:val="24"/>
          <w:shd w:val="clear" w:color="auto" w:fill="f9fafb"/>
          <w:lang w:eastAsia="zh-CN"/>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管理后台接口：支持随访体检结果列表与详情展示，家长/老师列表查询与编辑，打卡计划/健康小贴士增删改查。</w:t>
      </w:r>
      <w:r>
        <w:rPr>
          <w:rFonts w:ascii="宋体" w:hAnsi="宋体" w:eastAsia="宋体" w:cs="宋体"/>
          <w:color w:val="000000"/>
          <w:sz w:val="24"/>
          <w:szCs w:val="24"/>
          <w:shd w:val="clear" w:color="auto" w:fill="f9fafb"/>
          <w:lang w:eastAsia="zh-CN"/>
        </w:rPr>
      </w:r>
      <w:r/>
    </w:p>
    <w:p>
      <w:pPr>
        <w:pStyle w:val="637"/>
        <w:numPr>
          <w:ilvl w:val="2"/>
          <w:numId w:val="5"/>
        </w:numPr>
        <w:ind w:left="0" w:firstLine="482"/>
        <w:jc w:val="left"/>
        <w:keepNext/>
        <w:spacing w:before="0" w:line="360" w:lineRule="auto"/>
        <w:rPr>
          <w:rFonts w:ascii="宋体" w:hAnsi="宋体" w:eastAsia="宋体" w:cs="宋体"/>
          <w:b/>
          <w:i/>
          <w:color w:val="000000"/>
          <w:sz w:val="24"/>
          <w:szCs w:val="24"/>
          <w:lang w:val="en-US" w:eastAsia="zh-CN" w:bidi="ar-SA"/>
        </w:rPr>
        <w:outlineLvl w:val="2"/>
      </w:pPr>
      <w:r>
        <w:rPr>
          <w:rFonts w:hint="eastAsia" w:ascii="宋体" w:hAnsi="宋体" w:eastAsia="宋体" w:cs="宋体"/>
          <w:b/>
          <w:i/>
          <w:color w:val="000000"/>
          <w:sz w:val="24"/>
          <w:szCs w:val="24"/>
          <w:lang w:val="en-US" w:eastAsia="zh-CN" w:bidi="ar-SA"/>
        </w:rPr>
        <w:t xml:space="preserve">外部接口</w:t>
      </w:r>
      <w:r>
        <w:rPr>
          <w:rFonts w:ascii="宋体" w:hAnsi="宋体" w:eastAsia="宋体" w:cs="宋体"/>
          <w:b/>
          <w:i/>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shd w:val="clear" w:color="auto" w:fill="f9fafb"/>
          <w:lang w:eastAsia="zh-CN"/>
        </w:rPr>
        <w:t xml:space="preserve">微信授权接口：对接微信开放平台，获取用户openId、昵称、头像信息</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637"/>
        <w:jc w:val="center"/>
        <w:spacing w:line="360" w:lineRule="auto"/>
        <w:widowControl/>
        <w:rPr>
          <w:rFonts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表9接口工作量</w:t>
      </w:r>
      <w:r>
        <w:rPr>
          <w:rFonts w:ascii="宋体" w:hAnsi="宋体" w:eastAsia="宋体" w:cs="宋体"/>
          <w:color w:val="000000"/>
          <w:sz w:val="24"/>
          <w:szCs w:val="24"/>
          <w:lang w:eastAsia="zh-CN"/>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438"/>
        <w:gridCol w:w="2526"/>
        <w:gridCol w:w="2106"/>
        <w:gridCol w:w="2702"/>
        <w:gridCol w:w="657"/>
      </w:tblGrid>
      <w:tr>
        <w:trPr>
          <w:trHeight w:val="270"/>
          <w:tblHeader/>
        </w:trPr>
        <w:tc>
          <w:tcPr>
            <w:shd w:val="clear" w:color="auto" w:fill="c6d9f0"/>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37"/>
              <w:jc w:val="center"/>
              <w:spacing w:line="240" w:lineRule="auto"/>
              <w:widowControl/>
              <w:rPr>
                <w:rFonts w:ascii="宋体" w:hAnsi="宋体" w:eastAsia="宋体" w:cs="宋体"/>
                <w:b/>
                <w:bCs/>
                <w:color w:val="000000"/>
                <w:szCs w:val="21"/>
                <w:lang w:eastAsia="en-US"/>
              </w:rPr>
            </w:pPr>
            <w:r>
              <w:rPr>
                <w:rFonts w:hint="eastAsia" w:ascii="宋体" w:hAnsi="宋体" w:eastAsia="宋体" w:cs="宋体"/>
                <w:b/>
                <w:bCs/>
                <w:color w:val="000000"/>
                <w:szCs w:val="21"/>
                <w:lang w:eastAsia="zh-CN" w:bidi="ar"/>
              </w:rPr>
              <w:t xml:space="preserve">序号</w:t>
            </w:r>
            <w:r>
              <w:rPr>
                <w:rFonts w:ascii="宋体" w:hAnsi="宋体" w:eastAsia="宋体" w:cs="宋体"/>
                <w:b/>
                <w:bCs/>
                <w:color w:val="000000"/>
                <w:szCs w:val="21"/>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637"/>
              <w:jc w:val="center"/>
              <w:spacing w:line="240" w:lineRule="auto"/>
              <w:widowControl/>
              <w:rPr>
                <w:rFonts w:ascii="宋体" w:hAnsi="宋体" w:eastAsia="宋体" w:cs="宋体"/>
                <w:b/>
                <w:bCs/>
                <w:color w:val="000000"/>
                <w:szCs w:val="21"/>
                <w:lang w:eastAsia="en-US"/>
              </w:rPr>
            </w:pPr>
            <w:r>
              <w:rPr>
                <w:rFonts w:hint="eastAsia" w:ascii="宋体" w:hAnsi="宋体" w:eastAsia="宋体" w:cs="宋体"/>
                <w:b/>
                <w:bCs/>
                <w:color w:val="000000"/>
                <w:szCs w:val="21"/>
                <w:lang w:eastAsia="zh-CN" w:bidi="ar"/>
              </w:rPr>
              <w:t xml:space="preserve">功能模块</w:t>
            </w:r>
            <w:r>
              <w:rPr>
                <w:rFonts w:ascii="宋体" w:hAnsi="宋体" w:eastAsia="宋体" w:cs="宋体"/>
                <w:b/>
                <w:bCs/>
                <w:color w:val="000000"/>
                <w:szCs w:val="21"/>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637"/>
              <w:jc w:val="center"/>
              <w:spacing w:line="240" w:lineRule="auto"/>
              <w:widowControl/>
              <w:rPr>
                <w:rFonts w:ascii="宋体" w:hAnsi="宋体" w:eastAsia="宋体" w:cs="宋体"/>
                <w:b/>
                <w:bCs/>
                <w:color w:val="000000"/>
                <w:szCs w:val="21"/>
                <w:lang w:eastAsia="en-US"/>
              </w:rPr>
            </w:pPr>
            <w:r>
              <w:rPr>
                <w:rFonts w:hint="eastAsia" w:ascii="宋体" w:hAnsi="宋体" w:eastAsia="宋体" w:cs="宋体"/>
                <w:b/>
                <w:bCs/>
                <w:color w:val="000000"/>
                <w:szCs w:val="21"/>
                <w:lang w:eastAsia="zh-CN" w:bidi="ar"/>
              </w:rPr>
              <w:t xml:space="preserve">功能点</w:t>
            </w:r>
            <w:r>
              <w:rPr>
                <w:rFonts w:ascii="宋体" w:hAnsi="宋体" w:eastAsia="宋体" w:cs="宋体"/>
                <w:b/>
                <w:bCs/>
                <w:color w:val="000000"/>
                <w:szCs w:val="21"/>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center"/>
              <w:spacing w:line="240" w:lineRule="auto"/>
              <w:widowControl/>
              <w:rPr>
                <w:rFonts w:ascii="宋体" w:hAnsi="宋体" w:eastAsia="宋体" w:cs="宋体"/>
                <w:b/>
                <w:bCs/>
                <w:color w:val="000000"/>
                <w:szCs w:val="21"/>
                <w:lang w:eastAsia="en-US"/>
              </w:rPr>
            </w:pPr>
            <w:r>
              <w:rPr>
                <w:rFonts w:hint="eastAsia" w:ascii="宋体" w:hAnsi="宋体" w:eastAsia="宋体" w:cs="宋体"/>
                <w:b/>
                <w:bCs/>
                <w:color w:val="000000"/>
                <w:szCs w:val="21"/>
                <w:lang w:eastAsia="zh-CN" w:bidi="ar"/>
              </w:rPr>
              <w:t xml:space="preserve">功能描述</w:t>
            </w:r>
            <w:r>
              <w:rPr>
                <w:rFonts w:ascii="宋体" w:hAnsi="宋体" w:eastAsia="宋体" w:cs="宋体"/>
                <w:b/>
                <w:bCs/>
                <w:color w:val="000000"/>
                <w:szCs w:val="21"/>
                <w:lang w:eastAsia="en-US"/>
              </w:rPr>
            </w:r>
            <w:r/>
          </w:p>
        </w:tc>
        <w:tc>
          <w:tcPr>
            <w:shd w:val="clear" w:color="auto" w:fill="c6d9f0"/>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637"/>
              <w:jc w:val="center"/>
              <w:spacing w:line="240" w:lineRule="auto"/>
              <w:widowControl/>
              <w:rPr>
                <w:rFonts w:ascii="宋体" w:hAnsi="宋体" w:eastAsia="宋体" w:cs="宋体"/>
                <w:b/>
                <w:bCs/>
                <w:color w:val="000000"/>
                <w:szCs w:val="21"/>
                <w:lang w:eastAsia="en-US"/>
              </w:rPr>
            </w:pPr>
            <w:r>
              <w:rPr>
                <w:rFonts w:hint="eastAsia" w:ascii="宋体" w:hAnsi="宋体" w:eastAsia="宋体" w:cs="宋体"/>
                <w:b/>
                <w:bCs/>
                <w:color w:val="000000"/>
                <w:szCs w:val="21"/>
                <w:lang w:eastAsia="zh-CN" w:bidi="ar"/>
              </w:rPr>
              <w:t xml:space="preserve">功能备注</w:t>
            </w:r>
            <w:r>
              <w:rPr>
                <w:rFonts w:ascii="宋体" w:hAnsi="宋体" w:eastAsia="宋体" w:cs="宋体"/>
                <w:b/>
                <w:bCs/>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家长端（手机H5版）</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学生信息查询与绑定</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个人信息接口，实现用户姓名、性别、年级、所属学校的信息展示。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添加学生接口，实现通过登录码、随机码绑定学生的功能。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健康教育内容</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新增健康教育列表接口，实现健康教育内容的标题、阅读量、发布日期、封面图展示。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新增健康教育详情接口，实现健康教育内容的标题、阅读量、发布日期、正文内容展示，同时支持视频内容的播放。</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新增健康教育详情接口，自动记录家长浏览行为，用于家长反馈情况统计。</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新增健康教育内容上传接口，支持图文、视频资源的存储与关联。</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点赞接口，实现用户健康教育内容点赞的功能。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取消点赞接口，实现用户健康教育内容取消点赞的功能。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收藏接口，实现用户健康教育内容收藏的功能。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取消收藏接口，实现用户健康教育内容取消收藏的功能。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点赞列表接口，实现用户点赞列表封面图、标题、点赞量的查看。</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收藏列表接口，实现用户收藏列表封面图、标题、收藏量的查看。</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健康打卡记录</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打卡记录接口，实现用户各月份打卡、缺卡情况的展示。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身高体重打卡记录接口，实现用户身高、体重数据的打卡记录。</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运动打卡记录接口，实现用户每日运动情况的打卡记录。</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报告查询</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调整当前体检报告接口，展示学生的体检时间、学校、班级、姓名、性别、民族、出生日期、身高、体重、血压、肺活量、心率、裸眼视力、球镜、柱镜、轴位、效球镜、乳牙龋患、乳牙龋失、乳牙龋补、恒牙龋患、恒牙龋失、恒牙龋补、脊柱弯曲侧弯胸段、脊柱侧弯腰胸段、脊柱弯曲侧弯腰段、脊柱弯曲前后弯曲体检结果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调整当前体检报告接口，根据学生各项体检数据生成体检筛查结论并展示。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报告下载</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新增体检报告PDF生成接口，支持封面、封底、详情页的完整拼接，处理图片、表格复杂元素的PDF渲染兼容。</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19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录入端（微信小程序版）</w:t>
            </w:r>
            <w:r>
              <w:rPr>
                <w:rFonts w:hint="eastAsia" w:ascii="宋体" w:hAnsi="宋体" w:eastAsia="宋体" w:cs="宋体"/>
                <w:color w:val="000000"/>
                <w:szCs w:val="21"/>
                <w:lang w:eastAsia="zh-CN" w:bidi="ar"/>
              </w:rPr>
              <w:br w:type="textWrapping" w:clear="all"/>
            </w:r>
            <w:r>
              <w:rPr>
                <w:rFonts w:hint="eastAsia" w:ascii="宋体" w:hAnsi="宋体" w:eastAsia="宋体" w:cs="宋体"/>
                <w:color w:val="000000"/>
                <w:szCs w:val="21"/>
                <w:lang w:eastAsia="zh-CN" w:bidi="ar"/>
              </w:rPr>
              <w:t xml:space="preserve">录入端（PC版）</w:t>
            </w:r>
            <w:r>
              <w:rPr>
                <w:rFonts w:hint="eastAsia" w:ascii="宋体" w:hAnsi="宋体" w:eastAsia="宋体" w:cs="宋体"/>
                <w:color w:val="000000"/>
                <w:szCs w:val="21"/>
                <w:lang w:eastAsia="zh-CN" w:bidi="ar"/>
              </w:rPr>
              <w:br w:type="textWrapping" w:clear="all"/>
            </w:r>
            <w:r>
              <w:rPr>
                <w:rFonts w:hint="eastAsia" w:ascii="宋体" w:hAnsi="宋体" w:eastAsia="宋体" w:cs="宋体"/>
                <w:color w:val="000000"/>
                <w:szCs w:val="21"/>
                <w:lang w:eastAsia="zh-CN" w:bidi="ar"/>
              </w:rPr>
              <w:t xml:space="preserve">学生端（手机H5版）</w:t>
            </w:r>
            <w:r>
              <w:rPr>
                <w:rFonts w:hint="eastAsia" w:ascii="宋体" w:hAnsi="宋体" w:eastAsia="宋体" w:cs="宋体"/>
                <w:color w:val="000000"/>
                <w:szCs w:val="21"/>
                <w:lang w:eastAsia="zh-CN" w:bidi="ar"/>
              </w:rPr>
              <w:br w:type="textWrapping" w:clear="all"/>
            </w:r>
            <w:r>
              <w:rPr>
                <w:rFonts w:hint="eastAsia" w:ascii="宋体" w:hAnsi="宋体" w:eastAsia="宋体" w:cs="宋体"/>
                <w:color w:val="000000"/>
                <w:szCs w:val="21"/>
                <w:lang w:eastAsia="zh-CN" w:bidi="ar"/>
              </w:rPr>
              <w:t xml:space="preserve">学生端（PC版）</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数据逻辑校验</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新增学生关联监测表查询接口，根据监测表适用年级、地区分配，判断每一位学生需要完成的监测表。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新增学生关联体检项查询接口，根据体检项的地区、学校、年级设置，判断每一位学生需要完成的体检项。</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新增学生监测表年级权限校验接口，防止学生通过URL参数篡改方式访问非分配监测表，确保数据安全性与展示准确性。</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录入端（微信小程序版）</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数据提交</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新增教室照明数据的新增/修改接口，支持表格数据的整体提交。</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新增原测眼生物筛查项的新增/修改接口，支持眼生物数据的提交。</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新增原测步态无感监测筛查项的新增/修改接口，支持步态无感监测数据的提交。</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新增原测臀围筛查项的新增/修改接口，支持臀围数据的提交。</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新增原测眼生物测量筛查项图片上传，支持非必填校验。</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新增原测眼生物提交/修改接口规则，南通市下所有学校不勾选眼生物时，筛查项状态自动流转为完成。</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新增原测臀围提交/修改接口规则，苏州市下所有学校不勾选臀围时，筛查项状态自动流转为完成。</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29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修改原测眼生物提交/修改接口规则，如皋市、海安市、如东市不勾选眼生物筛查项时，筛查项状态自动流转为完成。</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新增原测脊柱弯曲异常筛查前屈试验（Adam’s实验）采集项的填写。</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新增原测腰围项次统计，支持身体形态统计接口将腰围项次纳入统计计算。</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原测数据提交、学生列表接口的查询性能，支持基础信息、疾病史、远视力、屈光度、眼科其他特殊情况、乳牙、龋齿、身高、体重、腰围、肺活量、血压、心率、脊柱弯曲异常、眼生物测量、臀围、步态无感监测筛查项状态按学校所归属的13地市分表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优化复测数据提交、学生列表接口的查询性能，支持远视力、屈光度、身高、体重、腰围筛查项状态按学校所归属的13地市分表存储。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新增监测表状态重置接口规则，支持监测表修改的场景下，重置监测表的普通导出状态、标准导出状态、统计生成状态。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优化学生详情接口，支持学生证件号码填写错误的情况下不影响该学生及其他调查对象的监测数据处理。</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优化学生列表接口，支持学生证件号码填写错误的情况下不影响该学生及其他调查对象的监测数据处理。</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优化</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修改复测体检数据新增/修改接口，腰围筛查项误差差值标准由0.5cm调整为1cm。</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val="false"/>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数据转换</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原测基础信息：年级和编码4位、性别、民族、出生日期、体检日期，将小程序数据格式转换为管理后台监测表可预览的形式存储。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39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原测疾病史筛查项，去除新型冠状病毒感染选项值的转换。</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原测疾病史筛查项，将小程序数据格式转换为管理后台监测表可预览的形式存储。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原测远视力筛查项：戴镜类型、裸眼视力、戴镜视力、填表医生，将小程序数据格式转换为管理后台监测表可预览的形式存储。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原测远视力筛查项，如果二次提交选择夜戴角膜塑形镜，清空历史提交的屈光度筛查项的数据和完成状态。</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原测屈光度筛查项：自动电脑验光结果、填表人/医生签名，将小程序数据格式转换为管理后台监测表可预览的形式存储。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原测眼科其他特殊情况筛查项，将小程序数据格式转换为管理后台监测表可预览的形式存储。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原测乳牙筛查项，将小程序数据格式转换为管理后台监测表可预览的形式存储。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原测龋齿筛查项：龋齿检查、填表人/体检人签名，将小程序数据格式转换为管理后台监测表可预览的形式存储。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原测身高筛查项，将小程序数据格式转换为管理后台监测表可预览的形式存储。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原测体重筛查项，将小程序数据格式转换为管理后台监测表可预览的形式存储。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49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原测腰围筛查项，将小程序数据格式转换为管理后台监测表可预览的形式存储。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原测肺活量筛查项，将小程序数据格式转换为管理后台监测表可预览的形式存储。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原测血压筛查项，将小程序数据格式转换为管理后台监测表可预览的形式存储。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原测心率筛查项：心率、填表人/体检人签名，将小程序数据格式转换为管理后台监测表可预览的形式存储。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原测脊柱弯曲异常筛查项：脊柱侧弯筛查一般检查、前驱试验胸段、胸段度数、腰胸段、腰胸段度数、腰段、腰段度数、是否进行脊柱运动试验、脊柱前后弯曲异常检查（一般检查）、俯卧试验、脊柱病史、初筛结果、填表人/筛查人签名、填表日期、前屈试验（Adam’s实验），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新增原测眼生物测量筛查项的数据转换逻辑，支持眼轴、平均角膜曲率半径、眼生物填表人/填表医生的数据格式转换，转换后支持在管理后台预览该监测表。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新增原测臀围筛查项的数据转换逻辑，将小程序数据格式转换为管理后台监测表可预览的形式存储。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新增原测步态无感监测筛查项的数据转换逻辑，转换后支持在管理后台预览该监测表。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复测远视力筛查项：戴镜类型、裸眼视力、戴镜视力、填表医生，将小程序数据格式转换为管理后台监测表可预览的形式存储。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复测屈光度筛查项：自动电脑验光结果、填表人/医生签名，将小程序数据格式转换为管理后台监测表可预览的形式存储。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59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复测身高筛查项，将小程序数据格式转换为管理后台监测表可预览的形式存储。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复测体重筛查项，将小程序数据格式转换为管理后台监测表可预览的形式存储。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复测腰围筛查项，将小程序数据格式转换为管理后台监测表可预览的形式存储。</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调整</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管理后台</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随访体检结果管理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随访体检结果列表接口，实现随访年月、体检日期、阅读状态、BMI的展示。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81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随访体检结果报告详情接口，实现随访年月、体检日期、学生姓名、性别、出生日期、身高、体重、腰围、臀围、颈围、大腿围、上臂皮褶厚度、体成分、握力、立定跳远、五十米跑、一分钟跳绳、收缩压、舒张压、安静心率的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家长列表接口，实现openId、昵称、头像、绑定状态、绑定数量、授权时间的展示，支持学生编码、微信openId精确查找、昵称模糊搜索、绑定状态筛选。</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查看已绑定学生接口，实现学校、姓名、证件类型、证件号码、学生编码、登录码、随机码、年级、绑定时间的展示，支持学生姓名模糊搜索、学生编码精确查找。</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老师管理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肥胖干预账号列表接口，实现监测点、登录名、姓名、电话、手机、角色的展示。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肥胖干预账号编辑接口，实现监测点（只读）、登录名、姓名、密码、确认密码、备注的展示与编辑功能。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肥胖干预账号删除接口，实现肥胖干预账号的删除功能。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69</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肥胖干预账号学校分配接口，实现肥胖干预账号学校权限的查看与分配功能。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70</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打卡计划管理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打卡计划列表接口，实现计划名称、开始日期、结束日期、关联监测表、创建时间、更新时间的展示。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71</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打卡计划添加接口，实现计划名称、开始日期、结束日期、关联监测表的添加功能。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72</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打卡计划编辑接口，实现计划名称、开始日期、结束日期、关联监测表的编辑功能。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73</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打卡计划删除接口，实现打卡计划的删除功能。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74</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健康小贴士管理</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健康小贴士列表接口，实现标题、内容、创建时间、更新时间、查阅时间的展示。</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75</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健康小贴士添加接口，实现标题、内容的添加功能。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76</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健康小贴士编辑接口，实现标题、内容的编辑功能。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77</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tcPr>
          <w:p>
            <w:pPr>
              <w:pStyle w:val="637"/>
              <w:jc w:val="center"/>
              <w:spacing w:line="240" w:lineRule="auto"/>
              <w:widowControl/>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健康小贴士删除接口，实现健康小贴士的编辑功能。</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r>
        <w:trPr>
          <w:trHeight w:val="27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78</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家长端（手机H5版）</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微信授权接口对接</w:t>
            </w: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637"/>
              <w:jc w:val="left"/>
              <w:spacing w:line="240" w:lineRule="auto"/>
              <w:widowControl/>
              <w:rPr>
                <w:rFonts w:ascii="宋体" w:hAnsi="宋体" w:eastAsia="宋体" w:cs="宋体"/>
                <w:color w:val="000000"/>
                <w:szCs w:val="21"/>
                <w:lang w:eastAsia="zh-CN"/>
              </w:rPr>
            </w:pPr>
            <w:r>
              <w:rPr>
                <w:rFonts w:hint="eastAsia" w:ascii="宋体" w:hAnsi="宋体" w:eastAsia="宋体" w:cs="宋体"/>
                <w:color w:val="000000"/>
                <w:szCs w:val="21"/>
                <w:lang w:eastAsia="zh-CN" w:bidi="ar"/>
              </w:rPr>
              <w:t xml:space="preserve">微信用户授权接口，对接了微信开放平台，实现在用户同意授权的情况下获取用户的微信openId、昵称、头像信息。</w:t>
            </w:r>
            <w:r>
              <w:rPr>
                <w:rFonts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pStyle w:val="637"/>
              <w:jc w:val="center"/>
              <w:spacing w:line="240" w:lineRule="auto"/>
              <w:widowControl/>
              <w:rPr>
                <w:rFonts w:ascii="宋体" w:hAnsi="宋体" w:eastAsia="宋体" w:cs="宋体"/>
                <w:color w:val="000000"/>
                <w:szCs w:val="21"/>
                <w:lang w:eastAsia="en-US"/>
              </w:rPr>
            </w:pPr>
            <w:r>
              <w:rPr>
                <w:rFonts w:hint="eastAsia" w:ascii="宋体" w:hAnsi="宋体" w:eastAsia="宋体" w:cs="宋体"/>
                <w:color w:val="000000"/>
                <w:szCs w:val="21"/>
                <w:lang w:eastAsia="zh-CN" w:bidi="ar"/>
              </w:rPr>
              <w:t xml:space="preserve">新增</w:t>
            </w:r>
            <w:r>
              <w:rPr>
                <w:rFonts w:ascii="宋体" w:hAnsi="宋体" w:eastAsia="宋体" w:cs="宋体"/>
                <w:color w:val="000000"/>
                <w:szCs w:val="21"/>
                <w:lang w:eastAsia="en-US"/>
              </w:rPr>
            </w:r>
            <w:r/>
          </w:p>
        </w:tc>
      </w:tr>
    </w:tbl>
    <w:p>
      <w:pPr>
        <w:pStyle w:val="637"/>
        <w:jc w:val="left"/>
        <w:spacing w:line="240" w:lineRule="auto"/>
        <w:widowControl/>
        <w:rPr>
          <w:rFonts w:ascii="Arial" w:hAnsi="Arial" w:eastAsia="Arial" w:cs="Arial"/>
          <w:color w:val="000000"/>
          <w:szCs w:val="21"/>
          <w:lang w:eastAsia="zh-CN"/>
        </w:rPr>
      </w:pPr>
      <w:r/>
      <w:bookmarkStart w:id="201" w:name="_Toc25282"/>
      <w:r/>
      <w:bookmarkStart w:id="202" w:name="_Toc11816"/>
      <w:r/>
      <w:bookmarkStart w:id="203" w:name="_Toc6384"/>
      <w:r>
        <w:rPr>
          <w:rFonts w:ascii="Arial" w:hAnsi="Arial" w:eastAsia="Arial" w:cs="Arial"/>
          <w:color w:val="000000"/>
          <w:szCs w:val="21"/>
          <w:lang w:eastAsia="zh-CN"/>
        </w:rPr>
      </w:r>
      <w:r/>
    </w:p>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bookmarkStart w:id="204" w:name="_Toc22234"/>
      <w:r>
        <w:rPr>
          <w:rFonts w:hint="eastAsia" w:ascii="宋体" w:hAnsi="宋体" w:eastAsia="宋体" w:cs="宋体"/>
          <w:b/>
          <w:bCs/>
          <w:color w:val="000000"/>
          <w:sz w:val="24"/>
          <w:szCs w:val="24"/>
          <w:lang w:val="en-US" w:eastAsia="zh-CN" w:bidi="ar-SA"/>
        </w:rPr>
        <w:t xml:space="preserve">系统性能指标</w:t>
      </w:r>
      <w:bookmarkEnd w:id="201"/>
      <w:r/>
      <w:bookmarkEnd w:id="202"/>
      <w:r/>
      <w:bookmarkEnd w:id="203"/>
      <w:r/>
      <w:bookmarkEnd w:id="204"/>
      <w:r>
        <w:rPr>
          <w:rFonts w:ascii="宋体" w:hAnsi="宋体" w:eastAsia="宋体" w:cs="宋体"/>
          <w:b/>
          <w:bCs/>
          <w:color w:val="000000"/>
          <w:sz w:val="24"/>
          <w:szCs w:val="24"/>
          <w:lang w:val="en-US" w:eastAsia="zh-CN" w:bidi="ar-SA"/>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bookmarkStart w:id="205" w:name="_Toc13650"/>
      <w:r/>
      <w:bookmarkStart w:id="206" w:name="_Toc5328"/>
      <w:r>
        <w:rPr>
          <w:rFonts w:hint="eastAsia" w:ascii="宋体" w:hAnsi="宋体" w:eastAsia="宋体" w:cs="宋体"/>
          <w:b/>
          <w:i/>
          <w:iCs/>
          <w:color w:val="000000"/>
          <w:sz w:val="24"/>
          <w:szCs w:val="24"/>
          <w:lang w:val="en-US" w:eastAsia="zh-CN" w:bidi="ar-SA"/>
        </w:rPr>
        <w:t xml:space="preserve">系统可靠性要求</w:t>
      </w:r>
      <w:bookmarkEnd w:id="205"/>
      <w:r/>
      <w:bookmarkEnd w:id="206"/>
      <w:r>
        <w:rPr>
          <w:rFonts w:ascii="宋体" w:hAnsi="宋体" w:eastAsia="宋体" w:cs="宋体"/>
          <w:b/>
          <w:i/>
          <w:i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系统需支持7×24小时不间断稳定运行，保障服务持续可用。</w:t>
      </w:r>
      <w:r>
        <w:rPr>
          <w:rFonts w:ascii="宋体" w:hAnsi="宋体" w:eastAsia="宋体" w:cs="宋体"/>
          <w:color w:val="000000"/>
          <w:sz w:val="24"/>
          <w:szCs w:val="24"/>
          <w:shd w:val="clear" w:color="auto" w:fill="f9fafb"/>
          <w:lang w:eastAsia="zh-CN"/>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单个功能模块的启动、关闭或异常崩溃不得影响其他功能的正常运行，确保业务连续性。</w:t>
      </w:r>
      <w:r>
        <w:rPr>
          <w:rFonts w:ascii="宋体" w:hAnsi="宋体" w:eastAsia="宋体" w:cs="宋体"/>
          <w:color w:val="000000"/>
          <w:sz w:val="24"/>
          <w:szCs w:val="24"/>
          <w:shd w:val="clear" w:color="auto" w:fill="f9fafb"/>
          <w:lang w:eastAsia="zh-CN"/>
        </w:rPr>
      </w:r>
      <w:r/>
    </w:p>
    <w:p>
      <w:pPr>
        <w:pStyle w:val="637"/>
        <w:ind w:firstLine="480"/>
        <w:jc w:val="left"/>
        <w:spacing w:line="360" w:lineRule="auto"/>
        <w:widowControl/>
        <w:rPr>
          <w:rFonts w:ascii="宋体" w:hAnsi="宋体" w:eastAsia="宋体" w:cs="宋体"/>
          <w:color w:val="000000"/>
          <w:sz w:val="24"/>
          <w:szCs w:val="24"/>
          <w:shd w:val="clear" w:color="auto" w:fill="f9fafb"/>
          <w:lang w:eastAsia="zh-CN"/>
        </w:rPr>
      </w:pPr>
      <w:r>
        <w:rPr>
          <w:rFonts w:hint="eastAsia" w:ascii="宋体" w:hAnsi="宋体" w:eastAsia="宋体" w:cs="宋体"/>
          <w:color w:val="000000"/>
          <w:sz w:val="24"/>
          <w:szCs w:val="24"/>
          <w:shd w:val="clear" w:color="auto" w:fill="f9fafb"/>
          <w:lang w:eastAsia="zh-CN"/>
        </w:rPr>
        <w:t xml:space="preserve">若用户界面发生异常退出，服务器端系统及其他用户会话需保持不受影响，以保障数据一致性和服务稳定性。</w:t>
      </w:r>
      <w:r>
        <w:rPr>
          <w:rFonts w:ascii="宋体" w:hAnsi="宋体" w:eastAsia="宋体" w:cs="宋体"/>
          <w:color w:val="000000"/>
          <w:sz w:val="24"/>
          <w:szCs w:val="24"/>
          <w:shd w:val="clear" w:color="auto" w:fill="f9fafb"/>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bookmarkStart w:id="207" w:name="_Toc1192"/>
      <w:r/>
      <w:bookmarkStart w:id="208" w:name="_Toc2693"/>
      <w:r>
        <w:rPr>
          <w:rFonts w:hint="eastAsia" w:ascii="宋体" w:hAnsi="宋体" w:eastAsia="宋体" w:cs="宋体"/>
          <w:b/>
          <w:i/>
          <w:iCs/>
          <w:color w:val="000000"/>
          <w:sz w:val="24"/>
          <w:szCs w:val="24"/>
          <w:lang w:val="en-US" w:eastAsia="zh-CN" w:bidi="ar-SA"/>
        </w:rPr>
        <w:t xml:space="preserve">系统支撑能力要求</w:t>
      </w:r>
      <w:bookmarkEnd w:id="207"/>
      <w:r/>
      <w:bookmarkEnd w:id="208"/>
      <w:r>
        <w:rPr>
          <w:rFonts w:ascii="宋体" w:hAnsi="宋体" w:eastAsia="宋体" w:cs="宋体"/>
          <w:b/>
          <w:i/>
          <w:i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常规操作（如页面加载、数据查询）的平均响应时间需≤3秒。</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系统需支持200用户并发访问，服务端平均响应时间≤2秒，且在峰值情况下不得出现服务阻塞或崩溃。</w:t>
      </w:r>
      <w:r>
        <w:rPr>
          <w:rFonts w:ascii="宋体" w:hAnsi="宋体" w:eastAsia="宋体" w:cs="宋体"/>
          <w:color w:val="000000"/>
          <w:sz w:val="24"/>
          <w:szCs w:val="24"/>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bookmarkStart w:id="209" w:name="_Toc12871"/>
      <w:r/>
      <w:bookmarkStart w:id="210" w:name="_Toc29783"/>
      <w:r>
        <w:rPr>
          <w:rFonts w:hint="eastAsia" w:ascii="宋体" w:hAnsi="宋体" w:eastAsia="宋体" w:cs="宋体"/>
          <w:b/>
          <w:i/>
          <w:iCs/>
          <w:color w:val="000000"/>
          <w:sz w:val="24"/>
          <w:szCs w:val="24"/>
          <w:lang w:val="en-US" w:eastAsia="zh-CN" w:bidi="ar-SA"/>
        </w:rPr>
        <w:t xml:space="preserve">适应性要求</w:t>
      </w:r>
      <w:bookmarkEnd w:id="209"/>
      <w:r/>
      <w:bookmarkEnd w:id="210"/>
      <w:r>
        <w:rPr>
          <w:rFonts w:ascii="宋体" w:hAnsi="宋体" w:eastAsia="宋体" w:cs="宋体"/>
          <w:b/>
          <w:i/>
          <w:i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需适配主流浏览器（如Chrome、Edge、Firefox），并确保在Windows各版本操作系统中能够流畅运行。</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移动端需适配主流手机型号与屏幕尺寸，保证操作流畅性。界面设计需简洁直观，菜单层级清晰，操作流程符合用户习惯，以降低使用门槛。</w:t>
      </w:r>
      <w:r>
        <w:rPr>
          <w:rFonts w:ascii="宋体" w:hAnsi="宋体" w:eastAsia="宋体" w:cs="宋体"/>
          <w:color w:val="000000"/>
          <w:sz w:val="24"/>
          <w:szCs w:val="24"/>
          <w:lang w:eastAsia="zh-CN"/>
        </w:rPr>
      </w:r>
      <w:r/>
    </w:p>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bookmarkStart w:id="211" w:name="_Toc7810"/>
      <w:r/>
      <w:bookmarkStart w:id="212" w:name="_Toc318"/>
      <w:r/>
      <w:bookmarkStart w:id="213" w:name="_Toc17523"/>
      <w:r/>
      <w:bookmarkStart w:id="214" w:name="_Toc25247"/>
      <w:r>
        <w:rPr>
          <w:rFonts w:hint="eastAsia" w:ascii="宋体" w:hAnsi="宋体" w:eastAsia="宋体" w:cs="宋体"/>
          <w:b/>
          <w:bCs/>
          <w:color w:val="000000"/>
          <w:sz w:val="24"/>
          <w:szCs w:val="24"/>
          <w:lang w:val="en-US" w:eastAsia="zh-CN" w:bidi="ar-SA"/>
        </w:rPr>
        <w:t xml:space="preserve">安全及其他需求</w:t>
      </w:r>
      <w:bookmarkEnd w:id="211"/>
      <w:r/>
      <w:bookmarkEnd w:id="212"/>
      <w:r/>
      <w:bookmarkEnd w:id="213"/>
      <w:r/>
      <w:bookmarkEnd w:id="214"/>
      <w:r>
        <w:rPr>
          <w:rFonts w:ascii="宋体" w:hAnsi="宋体" w:eastAsia="宋体" w:cs="宋体"/>
          <w:b/>
          <w:bCs/>
          <w:color w:val="000000"/>
          <w:sz w:val="24"/>
          <w:szCs w:val="24"/>
          <w:lang w:val="en-US" w:eastAsia="zh-CN" w:bidi="ar-SA"/>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bookmarkStart w:id="215" w:name="_Toc14818"/>
      <w:r/>
      <w:bookmarkStart w:id="216" w:name="_Toc13064"/>
      <w:r>
        <w:rPr>
          <w:rFonts w:hint="eastAsia" w:ascii="宋体" w:hAnsi="宋体" w:eastAsia="宋体" w:cs="宋体"/>
          <w:b/>
          <w:i/>
          <w:iCs/>
          <w:color w:val="000000"/>
          <w:sz w:val="24"/>
          <w:szCs w:val="24"/>
          <w:lang w:val="en-US" w:eastAsia="zh-CN" w:bidi="ar-SA"/>
        </w:rPr>
        <w:t xml:space="preserve">安全性要求</w:t>
      </w:r>
      <w:bookmarkEnd w:id="215"/>
      <w:r/>
      <w:bookmarkEnd w:id="216"/>
      <w:r>
        <w:rPr>
          <w:rFonts w:ascii="宋体" w:hAnsi="宋体" w:eastAsia="宋体" w:cs="宋体"/>
          <w:b/>
          <w:i/>
          <w:i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需保障平台安全运行，防止非法入侵及未授权用户的非法访问，确保系统正常运转。通过防火墙技术手段，对外部用户的访问请求、用户身份及连接方式进行管控，防止对与本平台相连的其他系统进行非法访问、攻击或破坏。</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通过多种方式保障项目应用与数据安全，防止项目相关信息泄露；建立定期备份机制，确保在突发情况下能够快速响应并完成系统恢复。</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强化用户权限管控，防止越权操作，保障数据修改与访问安全。</w:t>
      </w:r>
      <w:r>
        <w:rPr>
          <w:rFonts w:ascii="宋体" w:hAnsi="宋体" w:eastAsia="宋体" w:cs="宋体"/>
          <w:color w:val="000000"/>
          <w:sz w:val="24"/>
          <w:szCs w:val="24"/>
          <w:lang w:eastAsia="zh-CN"/>
        </w:rPr>
      </w:r>
      <w:r/>
    </w:p>
    <w:p>
      <w:pPr>
        <w:pStyle w:val="637"/>
        <w:numPr>
          <w:ilvl w:val="2"/>
          <w:numId w:val="5"/>
        </w:numPr>
        <w:ind w:left="0" w:firstLine="482"/>
        <w:jc w:val="left"/>
        <w:keepNext/>
        <w:spacing w:before="0" w:line="360" w:lineRule="auto"/>
        <w:rPr>
          <w:rFonts w:ascii="宋体" w:hAnsi="宋体" w:eastAsia="宋体" w:cs="宋体"/>
          <w:b/>
          <w:i/>
          <w:iCs/>
          <w:color w:val="000000"/>
          <w:sz w:val="24"/>
          <w:szCs w:val="24"/>
          <w:lang w:val="en-US" w:eastAsia="zh-CN" w:bidi="ar-SA"/>
        </w:rPr>
        <w:outlineLvl w:val="2"/>
      </w:pPr>
      <w:r/>
      <w:bookmarkStart w:id="217" w:name="_Toc21871"/>
      <w:r/>
      <w:bookmarkStart w:id="218" w:name="_Toc30363"/>
      <w:r>
        <w:rPr>
          <w:rFonts w:hint="eastAsia" w:ascii="宋体" w:hAnsi="宋体" w:eastAsia="宋体" w:cs="宋体"/>
          <w:b/>
          <w:i/>
          <w:iCs/>
          <w:color w:val="000000"/>
          <w:sz w:val="24"/>
          <w:szCs w:val="24"/>
          <w:lang w:val="en-US" w:eastAsia="zh-CN" w:bidi="ar-SA"/>
        </w:rPr>
        <w:t xml:space="preserve">可扩展性与兼容性要求</w:t>
      </w:r>
      <w:bookmarkEnd w:id="217"/>
      <w:r/>
      <w:bookmarkEnd w:id="218"/>
      <w:r>
        <w:rPr>
          <w:rFonts w:ascii="宋体" w:hAnsi="宋体" w:eastAsia="宋体" w:cs="宋体"/>
          <w:b/>
          <w:i/>
          <w:i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平台需考虑结构、功能设计、管理对象及软硬件系统的可扩展性，以及软硬件的负载平衡机制，具备平滑的扩展能力和灵活便捷的二次开发能力。</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服务器端需兼容主流Linux操作系统（如CentOS）及国产化系统（如麒麟、欧拉）。</w:t>
      </w:r>
      <w:r>
        <w:rPr>
          <w:rFonts w:ascii="宋体" w:hAnsi="宋体" w:eastAsia="宋体" w:cs="宋体"/>
          <w:color w:val="000000"/>
          <w:sz w:val="24"/>
          <w:szCs w:val="24"/>
          <w:lang w:eastAsia="zh-CN"/>
        </w:rPr>
      </w:r>
      <w:r/>
    </w:p>
    <w:p>
      <w:pPr>
        <w:pStyle w:val="637"/>
        <w:ind w:firstLine="480"/>
        <w:jc w:val="left"/>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支持主流中间件（如Nginx、Tomcat）及数据库（如MySQL、海量数据库）。</w:t>
      </w:r>
      <w:r>
        <w:rPr>
          <w:rFonts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lang w:eastAsia="zh-CN"/>
        </w:rPr>
        <w:t xml:space="preserve">接口设计遵循高内聚、低耦合原则，支持后续新增模块无缝对接。</w:t>
      </w:r>
      <w:r>
        <w:rPr>
          <w:rFonts w:hint="eastAsia" w:ascii="宋体" w:hAnsi="宋体" w:eastAsia="宋体" w:cs="宋体"/>
          <w:color w:val="000000"/>
          <w:sz w:val="24"/>
          <w:szCs w:val="24"/>
          <w:lang w:eastAsia="zh-CN"/>
        </w:rPr>
      </w:r>
      <w:r/>
    </w:p>
    <w:p>
      <w:pPr>
        <w:pStyle w:val="637"/>
        <w:numPr>
          <w:ilvl w:val="1"/>
          <w:numId w:val="5"/>
        </w:numPr>
        <w:ind w:left="0" w:firstLine="482"/>
        <w:jc w:val="left"/>
        <w:spacing w:line="360" w:lineRule="auto"/>
        <w:rPr>
          <w:rFonts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商务条款</w:t>
      </w:r>
      <w:r>
        <w:rPr>
          <w:rFonts w:ascii="宋体" w:hAnsi="宋体" w:eastAsia="宋体" w:cs="宋体"/>
          <w:b/>
          <w:bCs/>
          <w:color w:val="000000"/>
          <w:sz w:val="24"/>
          <w:szCs w:val="24"/>
          <w:lang w:val="en-US" w:eastAsia="zh-CN" w:bidi="ar-SA"/>
        </w:rPr>
      </w:r>
      <w:r/>
    </w:p>
    <w:p>
      <w:pPr>
        <w:pStyle w:val="637"/>
        <w:numPr>
          <w:ilvl w:val="2"/>
          <w:numId w:val="5"/>
        </w:numPr>
        <w:ind w:left="0" w:firstLine="482"/>
        <w:jc w:val="left"/>
        <w:keepNext/>
        <w:spacing w:before="0" w:line="360" w:lineRule="auto"/>
        <w:rPr>
          <w:rFonts w:hint="eastAsia"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支付或结算方式</w:t>
      </w:r>
      <w:r>
        <w:rPr>
          <w:rFonts w:hint="eastAsia" w:ascii="宋体" w:hAnsi="宋体" w:eastAsia="宋体" w:cs="宋体"/>
          <w:b/>
          <w:i/>
          <w:iCs/>
          <w:color w:val="000000"/>
          <w:sz w:val="24"/>
          <w:szCs w:val="24"/>
          <w:lang w:val="en-US" w:eastAsia="zh-CN" w:bidi="ar-SA"/>
        </w:rPr>
      </w:r>
      <w:r/>
    </w:p>
    <w:p>
      <w:pPr>
        <w:pStyle w:val="637"/>
        <w:ind w:firstLine="480"/>
        <w:jc w:val="left"/>
        <w:spacing w:line="36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本合同总额:人民币</w:t>
      </w:r>
      <w:r>
        <w:rPr>
          <w:rFonts w:hint="eastAsia" w:ascii="宋体" w:hAnsi="宋体" w:eastAsia="宋体" w:cs="宋体"/>
          <w:color w:val="000000"/>
          <w:sz w:val="24"/>
          <w:szCs w:val="24"/>
          <w:u w:val="single"/>
          <w:lang w:eastAsia="zh-CN"/>
        </w:rPr>
        <w:t xml:space="preserve">3</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lang w:eastAsia="zh-CN"/>
        </w:rPr>
        <w:t xml:space="preserve">500</w:t>
      </w:r>
      <w:r>
        <w:rPr>
          <w:rFonts w:hint="eastAsia" w:ascii="宋体" w:hAnsi="宋体" w:eastAsia="宋体" w:cs="宋体"/>
          <w:color w:val="000000"/>
          <w:sz w:val="24"/>
          <w:szCs w:val="24"/>
          <w:u w:val="single"/>
          <w:lang w:val="en-US" w:eastAsia="zh-CN"/>
        </w:rPr>
        <w:t xml:space="preserve">0</w:t>
      </w:r>
      <w:r>
        <w:rPr>
          <w:rFonts w:hint="eastAsia" w:ascii="宋体" w:hAnsi="宋体" w:eastAsia="宋体" w:cs="宋体"/>
          <w:color w:val="000000"/>
          <w:sz w:val="24"/>
          <w:szCs w:val="24"/>
          <w:u w:val="single"/>
          <w:lang w:eastAsia="zh-CN"/>
        </w:rPr>
        <w:t xml:space="preserve">.00</w:t>
      </w:r>
      <w:r>
        <w:rPr>
          <w:rFonts w:hint="eastAsia" w:ascii="宋体" w:hAnsi="宋体" w:eastAsia="宋体" w:cs="宋体"/>
          <w:color w:val="000000"/>
          <w:sz w:val="24"/>
          <w:szCs w:val="24"/>
          <w:lang w:eastAsia="zh-CN"/>
        </w:rPr>
        <w:t xml:space="preserve">元（大写:</w:t>
      </w:r>
      <w:r>
        <w:rPr>
          <w:rFonts w:hint="eastAsia" w:ascii="宋体" w:hAnsi="宋体" w:eastAsia="宋体" w:cs="宋体"/>
          <w:color w:val="000000"/>
          <w:sz w:val="24"/>
          <w:szCs w:val="24"/>
          <w:u w:val="single"/>
          <w:lang w:val="en-US" w:eastAsia="zh-CN"/>
        </w:rPr>
        <w:t xml:space="preserve">叁</w:t>
      </w:r>
      <w:r>
        <w:rPr>
          <w:rFonts w:hint="eastAsia" w:ascii="宋体" w:hAnsi="宋体" w:eastAsia="宋体" w:cs="宋体"/>
          <w:color w:val="000000"/>
          <w:sz w:val="24"/>
          <w:szCs w:val="24"/>
          <w:u w:val="single"/>
          <w:lang w:eastAsia="zh-CN"/>
        </w:rPr>
        <w:t xml:space="preserve">拾</w:t>
      </w:r>
      <w:r>
        <w:rPr>
          <w:rFonts w:hint="eastAsia" w:ascii="宋体" w:hAnsi="宋体" w:eastAsia="宋体" w:cs="宋体"/>
          <w:color w:val="000000"/>
          <w:sz w:val="24"/>
          <w:szCs w:val="24"/>
          <w:u w:val="single"/>
          <w:lang w:val="en-US" w:eastAsia="zh-CN"/>
        </w:rPr>
        <w:t xml:space="preserve">捌</w:t>
      </w:r>
      <w:r>
        <w:rPr>
          <w:rFonts w:hint="eastAsia" w:ascii="宋体" w:hAnsi="宋体" w:eastAsia="宋体" w:cs="宋体"/>
          <w:color w:val="000000"/>
          <w:sz w:val="24"/>
          <w:szCs w:val="24"/>
          <w:u w:val="single"/>
          <w:lang w:eastAsia="zh-CN"/>
        </w:rPr>
        <w:t xml:space="preserve">万伍</w:t>
      </w:r>
      <w:r>
        <w:rPr>
          <w:rFonts w:hint="eastAsia" w:ascii="宋体" w:hAnsi="宋体" w:eastAsia="宋体" w:cs="宋体"/>
          <w:color w:val="000000"/>
          <w:sz w:val="24"/>
          <w:szCs w:val="24"/>
          <w:u w:val="single"/>
          <w:lang w:val="en-US" w:eastAsia="zh-CN"/>
        </w:rPr>
        <w:t xml:space="preserve">仟圆</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val="en-US"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合同金额支付方式及时限(由双方协商确认)</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(1)产品验收合格后的三十个工作日内,甲方向乙方付清合同总额的</w:t>
      </w:r>
      <w:r>
        <w:rPr>
          <w:rFonts w:hint="eastAsia" w:ascii="宋体" w:hAnsi="宋体" w:eastAsia="宋体" w:cs="宋体"/>
          <w:color w:val="000000"/>
          <w:sz w:val="24"/>
          <w:szCs w:val="24"/>
          <w:lang w:val="en-US" w:eastAsia="zh-CN"/>
        </w:rPr>
        <w:t xml:space="preserve">90%</w:t>
      </w:r>
      <w:r>
        <w:rPr>
          <w:rFonts w:hint="eastAsia" w:ascii="宋体" w:hAnsi="宋体" w:eastAsia="宋体" w:cs="宋体"/>
          <w:color w:val="000000"/>
          <w:sz w:val="24"/>
          <w:szCs w:val="24"/>
          <w:lang w:eastAsia="zh-CN"/>
        </w:rPr>
        <w:t xml:space="preserve">，即人民币</w:t>
      </w:r>
      <w:r>
        <w:rPr>
          <w:rFonts w:hint="eastAsia" w:ascii="宋体" w:hAnsi="宋体" w:eastAsia="宋体" w:cs="宋体"/>
          <w:color w:val="000000"/>
          <w:sz w:val="24"/>
          <w:szCs w:val="24"/>
          <w:u w:val="single"/>
          <w:lang w:val="en-US" w:eastAsia="zh-CN"/>
        </w:rPr>
        <w:t xml:space="preserve">346500</w:t>
      </w:r>
      <w:r>
        <w:rPr>
          <w:rFonts w:hint="eastAsia" w:ascii="宋体" w:hAnsi="宋体" w:eastAsia="宋体" w:cs="宋体"/>
          <w:color w:val="000000"/>
          <w:sz w:val="24"/>
          <w:szCs w:val="24"/>
          <w:u w:val="single"/>
          <w:lang w:eastAsia="zh-CN"/>
        </w:rPr>
        <w:t xml:space="preserve">.00</w:t>
      </w:r>
      <w:r>
        <w:rPr>
          <w:rFonts w:hint="eastAsia" w:ascii="宋体" w:hAnsi="宋体" w:eastAsia="宋体" w:cs="宋体"/>
          <w:color w:val="000000"/>
          <w:sz w:val="24"/>
          <w:szCs w:val="24"/>
          <w:lang w:eastAsia="zh-CN"/>
        </w:rPr>
        <w:t xml:space="preserve">元（大写:</w:t>
      </w:r>
      <w:r>
        <w:rPr>
          <w:rFonts w:hint="eastAsia" w:ascii="宋体" w:hAnsi="宋体" w:eastAsia="宋体" w:cs="宋体"/>
          <w:color w:val="000000"/>
          <w:sz w:val="24"/>
          <w:szCs w:val="24"/>
          <w:u w:val="single"/>
          <w:lang w:val="en-US" w:eastAsia="zh-CN"/>
        </w:rPr>
        <w:t xml:space="preserve">叁</w:t>
      </w:r>
      <w:r>
        <w:rPr>
          <w:rFonts w:hint="eastAsia" w:ascii="宋体" w:hAnsi="宋体" w:eastAsia="宋体" w:cs="宋体"/>
          <w:color w:val="000000"/>
          <w:sz w:val="24"/>
          <w:szCs w:val="24"/>
          <w:u w:val="single"/>
          <w:lang w:eastAsia="zh-CN"/>
        </w:rPr>
        <w:t xml:space="preserve">拾</w:t>
      </w:r>
      <w:r>
        <w:rPr>
          <w:rFonts w:hint="eastAsia" w:ascii="宋体" w:hAnsi="宋体" w:eastAsia="宋体" w:cs="宋体"/>
          <w:color w:val="000000"/>
          <w:sz w:val="24"/>
          <w:szCs w:val="24"/>
          <w:u w:val="single"/>
          <w:lang w:val="en-US" w:eastAsia="zh-CN"/>
        </w:rPr>
        <w:t xml:space="preserve">肆</w:t>
      </w:r>
      <w:r>
        <w:rPr>
          <w:rFonts w:hint="eastAsia" w:ascii="宋体" w:hAnsi="宋体" w:eastAsia="宋体" w:cs="宋体"/>
          <w:color w:val="000000"/>
          <w:sz w:val="24"/>
          <w:szCs w:val="24"/>
          <w:u w:val="single"/>
          <w:lang w:eastAsia="zh-CN"/>
        </w:rPr>
        <w:t xml:space="preserve">万</w:t>
      </w:r>
      <w:r>
        <w:rPr>
          <w:rFonts w:hint="eastAsia" w:ascii="宋体" w:hAnsi="宋体" w:eastAsia="宋体" w:cs="宋体"/>
          <w:color w:val="000000"/>
          <w:sz w:val="24"/>
          <w:szCs w:val="24"/>
          <w:u w:val="single"/>
          <w:lang w:val="en-US" w:eastAsia="zh-CN"/>
        </w:rPr>
        <w:t xml:space="preserve">陆仟</w:t>
      </w:r>
      <w:r>
        <w:rPr>
          <w:rFonts w:hint="eastAsia" w:ascii="宋体" w:hAnsi="宋体" w:eastAsia="宋体" w:cs="宋体"/>
          <w:color w:val="000000"/>
          <w:sz w:val="24"/>
          <w:szCs w:val="24"/>
          <w:u w:val="single"/>
          <w:lang w:eastAsia="zh-CN"/>
        </w:rPr>
        <w:t xml:space="preserve">伍</w:t>
      </w:r>
      <w:r>
        <w:rPr>
          <w:rFonts w:hint="eastAsia" w:ascii="宋体" w:hAnsi="宋体" w:eastAsia="宋体" w:cs="宋体"/>
          <w:color w:val="000000"/>
          <w:sz w:val="24"/>
          <w:szCs w:val="24"/>
          <w:u w:val="single"/>
          <w:lang w:val="en-US" w:eastAsia="zh-CN"/>
        </w:rPr>
        <w:t xml:space="preserve">佰</w:t>
      </w:r>
      <w:r>
        <w:rPr>
          <w:rFonts w:hint="eastAsia" w:ascii="宋体" w:hAnsi="宋体" w:eastAsia="宋体" w:cs="宋体"/>
          <w:color w:val="000000"/>
          <w:sz w:val="24"/>
          <w:szCs w:val="24"/>
          <w:u w:val="single"/>
          <w:lang w:eastAsia="zh-CN"/>
        </w:rPr>
        <w:t xml:space="preserve">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(2)产品质保期满后的三十个工作日内,甲方向乙方付清合同总额的10%，即人民币</w:t>
      </w:r>
      <w:r>
        <w:rPr>
          <w:rFonts w:hint="eastAsia" w:ascii="宋体" w:hAnsi="宋体" w:eastAsia="宋体" w:cs="宋体"/>
          <w:color w:val="000000"/>
          <w:sz w:val="24"/>
          <w:szCs w:val="24"/>
          <w:u w:val="single"/>
          <w:lang w:val="en-US" w:eastAsia="zh-CN"/>
        </w:rPr>
        <w:t xml:space="preserve">38500</w:t>
      </w:r>
      <w:r>
        <w:rPr>
          <w:rFonts w:hint="eastAsia" w:ascii="宋体" w:hAnsi="宋体" w:eastAsia="宋体" w:cs="宋体"/>
          <w:color w:val="000000"/>
          <w:sz w:val="24"/>
          <w:szCs w:val="24"/>
          <w:u w:val="single"/>
          <w:lang w:eastAsia="zh-CN"/>
        </w:rPr>
        <w:t xml:space="preserve">.00</w:t>
      </w:r>
      <w:r>
        <w:rPr>
          <w:rFonts w:hint="eastAsia" w:ascii="宋体" w:hAnsi="宋体" w:eastAsia="宋体" w:cs="宋体"/>
          <w:color w:val="000000"/>
          <w:sz w:val="24"/>
          <w:szCs w:val="24"/>
          <w:lang w:eastAsia="zh-CN"/>
        </w:rPr>
        <w:t xml:space="preserve">元（大写:</w:t>
      </w:r>
      <w:r>
        <w:rPr>
          <w:rFonts w:hint="eastAsia" w:ascii="宋体" w:hAnsi="宋体" w:eastAsia="宋体" w:cs="宋体"/>
          <w:color w:val="000000"/>
          <w:sz w:val="24"/>
          <w:szCs w:val="24"/>
          <w:u w:val="single"/>
          <w:lang w:val="en-US" w:eastAsia="zh-CN"/>
        </w:rPr>
        <w:t xml:space="preserve">叁</w:t>
      </w:r>
      <w:r>
        <w:rPr>
          <w:rFonts w:hint="eastAsia" w:ascii="宋体" w:hAnsi="宋体" w:eastAsia="宋体" w:cs="宋体"/>
          <w:color w:val="000000"/>
          <w:sz w:val="24"/>
          <w:szCs w:val="24"/>
          <w:u w:val="single"/>
          <w:lang w:eastAsia="zh-CN"/>
        </w:rPr>
        <w:t xml:space="preserve">万</w:t>
      </w:r>
      <w:r>
        <w:rPr>
          <w:rFonts w:hint="eastAsia" w:ascii="宋体" w:hAnsi="宋体" w:eastAsia="宋体" w:cs="宋体"/>
          <w:color w:val="000000"/>
          <w:sz w:val="24"/>
          <w:szCs w:val="24"/>
          <w:u w:val="single"/>
          <w:lang w:val="en-US" w:eastAsia="zh-CN"/>
        </w:rPr>
        <w:t xml:space="preserve">捌仟</w:t>
      </w:r>
      <w:r>
        <w:rPr>
          <w:rFonts w:hint="eastAsia" w:ascii="宋体" w:hAnsi="宋体" w:eastAsia="宋体" w:cs="宋体"/>
          <w:color w:val="000000"/>
          <w:sz w:val="24"/>
          <w:szCs w:val="24"/>
          <w:u w:val="single"/>
          <w:lang w:eastAsia="zh-CN"/>
        </w:rPr>
        <w:t xml:space="preserve">伍</w:t>
      </w:r>
      <w:r>
        <w:rPr>
          <w:rFonts w:hint="eastAsia" w:ascii="宋体" w:hAnsi="宋体" w:eastAsia="宋体" w:cs="宋体"/>
          <w:color w:val="000000"/>
          <w:sz w:val="24"/>
          <w:szCs w:val="24"/>
          <w:u w:val="single"/>
          <w:lang w:val="en-US" w:eastAsia="zh-CN"/>
        </w:rPr>
        <w:t xml:space="preserve">佰</w:t>
      </w:r>
      <w:r>
        <w:rPr>
          <w:rFonts w:hint="eastAsia" w:ascii="宋体" w:hAnsi="宋体" w:eastAsia="宋体" w:cs="宋体"/>
          <w:color w:val="000000"/>
          <w:sz w:val="24"/>
          <w:szCs w:val="24"/>
          <w:u w:val="single"/>
          <w:lang w:eastAsia="zh-CN"/>
        </w:rPr>
        <w:t xml:space="preserve">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达到付款条件时，乙方出具合法合规的等额发票，甲方收到发票后将款项支付到乙方在本合同中指定账户。如乙方未及时出具相应发票或出具的发票不符合合同约定，甲方有权迟延支付相应合同金额。</w:t>
      </w:r>
      <w:r>
        <w:rPr>
          <w:rFonts w:hint="eastAsia" w:ascii="宋体" w:hAnsi="宋体" w:eastAsia="宋体" w:cs="宋体"/>
          <w:color w:val="000000"/>
          <w:sz w:val="24"/>
          <w:szCs w:val="24"/>
          <w:lang w:eastAsia="zh-CN"/>
        </w:rPr>
      </w:r>
      <w:r/>
    </w:p>
    <w:p>
      <w:pPr>
        <w:pStyle w:val="637"/>
        <w:numPr>
          <w:ilvl w:val="2"/>
          <w:numId w:val="5"/>
        </w:numPr>
        <w:ind w:left="0" w:firstLine="482"/>
        <w:jc w:val="left"/>
        <w:keepNext/>
        <w:spacing w:before="0" w:line="360" w:lineRule="auto"/>
        <w:rPr>
          <w:rFonts w:hint="eastAsia"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履行的地点和方式</w:t>
      </w:r>
      <w:r>
        <w:rPr>
          <w:rFonts w:hint="eastAsia" w:ascii="宋体" w:hAnsi="宋体" w:eastAsia="宋体" w:cs="宋体"/>
          <w:b/>
          <w:i/>
          <w:iCs/>
          <w:color w:val="000000"/>
          <w:sz w:val="24"/>
          <w:szCs w:val="24"/>
          <w:lang w:val="en-US" w:eastAsia="zh-CN" w:bidi="ar-SA"/>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履行地点:南京市</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履行方式:在甲方确保乙方满足合同的要求后，乙方进入软件开发流程,按照双方约定的时间进度完成工作。</w:t>
      </w:r>
      <w:r>
        <w:rPr>
          <w:rFonts w:hint="eastAsia" w:ascii="宋体" w:hAnsi="宋体" w:eastAsia="宋体" w:cs="宋体"/>
          <w:color w:val="000000"/>
          <w:sz w:val="24"/>
          <w:szCs w:val="24"/>
          <w:lang w:eastAsia="zh-CN"/>
        </w:rPr>
      </w:r>
      <w:r/>
    </w:p>
    <w:p>
      <w:pPr>
        <w:pStyle w:val="637"/>
        <w:numPr>
          <w:ilvl w:val="2"/>
          <w:numId w:val="5"/>
        </w:numPr>
        <w:ind w:left="0" w:firstLine="482"/>
        <w:jc w:val="left"/>
        <w:keepNext/>
        <w:spacing w:before="0" w:line="360" w:lineRule="auto"/>
        <w:rPr>
          <w:rFonts w:hint="eastAsia"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验收</w:t>
      </w:r>
      <w:r>
        <w:rPr>
          <w:rFonts w:hint="eastAsia" w:ascii="宋体" w:hAnsi="宋体" w:eastAsia="宋体" w:cs="宋体"/>
          <w:b/>
          <w:i/>
          <w:iCs/>
          <w:color w:val="000000"/>
          <w:sz w:val="24"/>
          <w:szCs w:val="24"/>
          <w:lang w:val="en-US" w:eastAsia="zh-CN" w:bidi="ar-SA"/>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验收标准：甲方根据合同约定内容进行项目验收，验收时间由双方约定。</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验收方式：乙方向甲方提出书面验收申请之后，根据合同约定的验收标准，甲方组织双方以现场测试方式进行验收，验收合格的，由甲方签字或盖章确认;验收不合格的，由甲方在5个工作日内向乙方反馈修改意见，若乙方修改后仍不符合要求的，按照合同第十一条承担违约责任。甲方逾期未反馈意见的，视为甲方认可乙方提交的成果。</w:t>
      </w:r>
      <w:r>
        <w:rPr>
          <w:rFonts w:hint="eastAsia" w:ascii="宋体" w:hAnsi="宋体" w:eastAsia="宋体" w:cs="宋体"/>
          <w:color w:val="000000"/>
          <w:sz w:val="24"/>
          <w:szCs w:val="24"/>
          <w:lang w:eastAsia="zh-CN"/>
        </w:rPr>
      </w:r>
      <w:r/>
    </w:p>
    <w:p>
      <w:pPr>
        <w:pStyle w:val="637"/>
        <w:numPr>
          <w:ilvl w:val="2"/>
          <w:numId w:val="5"/>
        </w:numPr>
        <w:ind w:left="0" w:firstLine="482"/>
        <w:jc w:val="left"/>
        <w:keepNext/>
        <w:spacing w:before="0" w:line="360" w:lineRule="auto"/>
        <w:rPr>
          <w:rFonts w:hint="eastAsia" w:ascii="宋体" w:hAnsi="宋体" w:eastAsia="宋体" w:cs="宋体"/>
          <w:b/>
          <w:i/>
          <w:iCs/>
          <w:color w:val="000000"/>
          <w:sz w:val="24"/>
          <w:szCs w:val="24"/>
          <w:lang w:val="en-US" w:eastAsia="zh-CN" w:bidi="ar-SA"/>
        </w:rPr>
        <w:outlineLvl w:val="2"/>
      </w:pPr>
      <w:r>
        <w:rPr>
          <w:rFonts w:hint="eastAsia" w:ascii="宋体" w:hAnsi="宋体" w:eastAsia="宋体" w:cs="宋体"/>
          <w:b/>
          <w:i/>
          <w:iCs/>
          <w:color w:val="000000"/>
          <w:sz w:val="24"/>
          <w:szCs w:val="24"/>
          <w:lang w:val="en-US" w:eastAsia="zh-CN" w:bidi="ar-SA"/>
        </w:rPr>
        <w:t xml:space="preserve">产品维护及升级</w:t>
      </w:r>
      <w:r>
        <w:rPr>
          <w:rFonts w:hint="eastAsia" w:ascii="宋体" w:hAnsi="宋体" w:eastAsia="宋体" w:cs="宋体"/>
          <w:b/>
          <w:i/>
          <w:iCs/>
          <w:color w:val="000000"/>
          <w:sz w:val="24"/>
          <w:szCs w:val="24"/>
          <w:lang w:val="en-US" w:eastAsia="zh-CN" w:bidi="ar-SA"/>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在系统安装、调试完、上线且经甲方验收合格后即进入免费质保期。乙方提供</w:t>
      </w:r>
      <w:r>
        <w:rPr>
          <w:rFonts w:hint="eastAsia" w:ascii="宋体" w:hAnsi="宋体" w:eastAsia="宋体" w:cs="宋体"/>
          <w:color w:val="000000"/>
          <w:sz w:val="24"/>
          <w:szCs w:val="24"/>
          <w:u w:val="single"/>
          <w:lang w:eastAsia="zh-CN"/>
        </w:rPr>
        <w:t xml:space="preserve">12</w:t>
      </w:r>
      <w:r>
        <w:rPr>
          <w:rFonts w:hint="eastAsia" w:ascii="宋体" w:hAnsi="宋体" w:eastAsia="宋体" w:cs="宋体"/>
          <w:color w:val="000000"/>
          <w:sz w:val="24"/>
          <w:szCs w:val="24"/>
          <w:u w:val="single"/>
          <w:lang w:val="en-US" w:eastAsia="zh-CN"/>
        </w:rPr>
        <w:t xml:space="preserve">个</w:t>
      </w:r>
      <w:r>
        <w:rPr>
          <w:rFonts w:hint="eastAsia" w:ascii="宋体" w:hAnsi="宋体" w:eastAsia="宋体" w:cs="宋体"/>
          <w:color w:val="000000"/>
          <w:sz w:val="24"/>
          <w:szCs w:val="24"/>
          <w:u w:val="single"/>
          <w:lang w:eastAsia="zh-CN"/>
        </w:rPr>
        <w:t xml:space="preserve">月</w:t>
      </w:r>
      <w:r>
        <w:rPr>
          <w:rFonts w:hint="eastAsia" w:ascii="宋体" w:hAnsi="宋体" w:eastAsia="宋体" w:cs="宋体"/>
          <w:color w:val="000000"/>
          <w:sz w:val="24"/>
          <w:szCs w:val="24"/>
          <w:lang w:eastAsia="zh-CN"/>
        </w:rPr>
        <w:t xml:space="preserve">的免费质保期，在免费质保期内，乙方应对其提供的产品出现的质量及安全问题负责处理解决并承担一切费用。质保期满后，如需乙方继续提供维护服务，甲方应在质保期满前1个月，就该系统的维护与乙方签订技术保障协议，收费标准：</w:t>
      </w:r>
      <w:r>
        <w:rPr>
          <w:rFonts w:hint="eastAsia" w:ascii="宋体" w:hAnsi="宋体" w:eastAsia="宋体" w:cs="宋体"/>
          <w:color w:val="000000"/>
          <w:sz w:val="24"/>
          <w:szCs w:val="24"/>
          <w:u w:val="single"/>
          <w:lang w:eastAsia="zh-CN"/>
        </w:rPr>
        <w:t xml:space="preserve">本合同产品总价的10%</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在免费质保期内，如系统发生故障，乙方应在故障发生2小时内安排工程师应及时排除并解决故障，若问题在3个小时后仍无法解决，乙方应在10个小时内免费提供服务的补偿、替换方案，保证直至服务恢复正常。</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若乙方产品在结构、平台、功能上有重大变化的升级，其升级费用由双方协商，乙方承诺提供优惠的升级费用和良好的服务。</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乙方总部提供7*24小时不间断的电话咨询及远程登录服务。</w:t>
      </w:r>
      <w:r>
        <w:rPr>
          <w:rFonts w:hint="eastAsia" w:ascii="宋体" w:hAnsi="宋体" w:eastAsia="宋体" w:cs="宋体"/>
          <w:color w:val="000000"/>
          <w:sz w:val="24"/>
          <w:szCs w:val="24"/>
          <w:lang w:eastAsia="zh-CN"/>
        </w:rPr>
      </w:r>
      <w:r/>
    </w:p>
    <w:p>
      <w:pPr>
        <w:pStyle w:val="637"/>
        <w:ind w:firstLine="480"/>
        <w:jc w:val="left"/>
        <w:spacing w:line="360" w:lineRule="auto"/>
        <w:widowControl/>
        <w:rPr>
          <w:rFonts w:hint="eastAsia" w:ascii="宋体" w:hAnsi="宋体" w:eastAsia="宋体" w:cs="宋体"/>
          <w:color w:val="000000"/>
          <w:sz w:val="24"/>
          <w:szCs w:val="24"/>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lang w:eastAsia="zh-CN"/>
        </w:rPr>
      </w:r>
      <w:r/>
    </w:p>
    <w:p>
      <w:pPr>
        <w:pStyle w:val="637"/>
        <w:jc w:val="center"/>
        <w:keepNext/>
        <w:rPr>
          <w:rFonts w:hint="eastAsia" w:ascii="黑体" w:hAnsi="Times New Roman" w:eastAsia="黑体"/>
          <w:bCs/>
          <w:sz w:val="44"/>
          <w:szCs w:val="28"/>
        </w:rPr>
        <w:outlineLvl w:val="0"/>
      </w:pPr>
      <w:r/>
      <w:bookmarkStart w:id="219" w:name="_Toc120614281"/>
      <w:r>
        <w:rPr>
          <w:rFonts w:hint="eastAsia" w:ascii="黑体" w:hAnsi="Times New Roman" w:eastAsia="黑体"/>
          <w:bCs/>
          <w:sz w:val="44"/>
          <w:szCs w:val="28"/>
        </w:rPr>
        <w:t xml:space="preserve">第五章  </w:t>
      </w:r>
      <w:bookmarkEnd w:id="155"/>
      <w:r/>
      <w:bookmarkEnd w:id="156"/>
      <w:r/>
      <w:bookmarkEnd w:id="219"/>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37"/>
        <w:jc w:val="center"/>
        <w:rPr>
          <w:rFonts w:hint="eastAsia" w:ascii="宋体" w:hAnsi="宋体"/>
          <w:b/>
          <w:sz w:val="72"/>
          <w:szCs w:val="21"/>
        </w:rPr>
      </w:pPr>
      <w:r/>
      <w:bookmarkStart w:id="220" w:name="_Hlt26955039"/>
      <w:r/>
      <w:bookmarkEnd w:id="220"/>
      <w:r/>
      <w:bookmarkStart w:id="221" w:name="_Hlt26671244"/>
      <w:r/>
      <w:bookmarkEnd w:id="221"/>
      <w:r/>
      <w:bookmarkStart w:id="222" w:name="_Toc26554094"/>
      <w:r/>
      <w:bookmarkStart w:id="223" w:name="_Toc120614282"/>
      <w:r/>
      <w:bookmarkStart w:id="224" w:name="_Toc49090576"/>
      <w:r>
        <w:rPr>
          <w:rFonts w:hint="eastAsia" w:ascii="宋体" w:hAnsi="宋体"/>
          <w:b/>
          <w:sz w:val="72"/>
          <w:szCs w:val="21"/>
        </w:rPr>
      </w:r>
      <w:r/>
    </w:p>
    <w:p>
      <w:pPr>
        <w:pStyle w:val="63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37"/>
        <w:jc w:val="center"/>
        <w:rPr>
          <w:rFonts w:hint="eastAsia" w:ascii="宋体" w:hAnsi="宋体"/>
          <w:b/>
          <w:sz w:val="72"/>
          <w:szCs w:val="21"/>
        </w:rPr>
      </w:pPr>
      <w:r>
        <w:rPr>
          <w:rFonts w:hint="eastAsia" w:ascii="宋体" w:hAnsi="宋体"/>
          <w:b/>
          <w:sz w:val="72"/>
          <w:szCs w:val="21"/>
        </w:rPr>
      </w:r>
      <w:r/>
    </w:p>
    <w:p>
      <w:pPr>
        <w:pStyle w:val="637"/>
        <w:jc w:val="center"/>
        <w:rPr>
          <w:rFonts w:hint="eastAsia" w:ascii="宋体" w:hAnsi="宋体"/>
          <w:b/>
          <w:sz w:val="72"/>
          <w:szCs w:val="21"/>
        </w:rPr>
      </w:pPr>
      <w:r>
        <w:rPr>
          <w:rFonts w:hint="eastAsia" w:ascii="宋体" w:hAnsi="宋体"/>
          <w:b/>
          <w:sz w:val="72"/>
          <w:szCs w:val="21"/>
        </w:rPr>
      </w:r>
      <w:r/>
    </w:p>
    <w:p>
      <w:pPr>
        <w:pStyle w:val="637"/>
        <w:jc w:val="center"/>
        <w:rPr>
          <w:rFonts w:hint="eastAsia" w:ascii="宋体" w:hAnsi="宋体"/>
          <w:b/>
          <w:sz w:val="36"/>
          <w:szCs w:val="21"/>
        </w:rPr>
      </w:pPr>
      <w:r>
        <w:rPr>
          <w:rFonts w:hint="eastAsia" w:ascii="宋体" w:hAnsi="宋体"/>
          <w:b/>
          <w:sz w:val="36"/>
          <w:szCs w:val="21"/>
        </w:rPr>
      </w:r>
      <w:r/>
    </w:p>
    <w:p>
      <w:pPr>
        <w:pStyle w:val="637"/>
        <w:rPr>
          <w:rFonts w:hint="eastAsia" w:ascii="宋体" w:hAnsi="宋体"/>
          <w:b/>
          <w:sz w:val="36"/>
          <w:szCs w:val="21"/>
        </w:rPr>
      </w:pPr>
      <w:r>
        <w:rPr>
          <w:rFonts w:hint="eastAsia" w:ascii="宋体" w:hAnsi="宋体"/>
          <w:b/>
          <w:sz w:val="36"/>
          <w:szCs w:val="21"/>
        </w:rPr>
      </w:r>
      <w:r/>
    </w:p>
    <w:p>
      <w:pPr>
        <w:pStyle w:val="63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37"/>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63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3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37"/>
        <w:spacing w:line="440" w:lineRule="exact"/>
        <w:rPr>
          <w:rFonts w:hint="eastAsia" w:ascii="宋体" w:hAnsi="宋体"/>
          <w:b/>
          <w:bCs/>
          <w:sz w:val="32"/>
          <w:szCs w:val="32"/>
        </w:rPr>
      </w:pPr>
      <w:r>
        <w:rPr>
          <w:rFonts w:hint="eastAsia" w:ascii="宋体" w:hAnsi="宋体"/>
          <w:b/>
          <w:bCs/>
          <w:sz w:val="32"/>
          <w:szCs w:val="32"/>
        </w:rPr>
      </w:r>
      <w:r/>
    </w:p>
    <w:p>
      <w:pPr>
        <w:pStyle w:val="637"/>
        <w:jc w:val="center"/>
        <w:spacing w:line="440" w:lineRule="exact"/>
        <w:rPr>
          <w:rFonts w:ascii="宋体" w:hAnsi="宋体"/>
          <w:b/>
          <w:bCs/>
          <w:sz w:val="32"/>
          <w:szCs w:val="32"/>
        </w:rPr>
      </w:pPr>
      <w:r>
        <w:rPr>
          <w:rFonts w:ascii="宋体" w:hAnsi="宋体"/>
          <w:b/>
          <w:bCs/>
          <w:sz w:val="32"/>
          <w:szCs w:val="32"/>
        </w:rPr>
      </w:r>
      <w:r/>
    </w:p>
    <w:p>
      <w:pPr>
        <w:pStyle w:val="637"/>
        <w:jc w:val="center"/>
        <w:spacing w:line="440" w:lineRule="exact"/>
        <w:rPr>
          <w:rFonts w:ascii="宋体" w:hAnsi="宋体"/>
          <w:b/>
          <w:bCs/>
          <w:sz w:val="32"/>
          <w:szCs w:val="32"/>
        </w:rPr>
      </w:pPr>
      <w:r>
        <w:rPr>
          <w:rFonts w:ascii="宋体" w:hAnsi="宋体"/>
          <w:b/>
          <w:bCs/>
          <w:sz w:val="32"/>
          <w:szCs w:val="32"/>
        </w:rPr>
      </w:r>
      <w:r/>
    </w:p>
    <w:p>
      <w:pPr>
        <w:pStyle w:val="637"/>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63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37"/>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63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3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37"/>
        <w:ind w:firstLine="480"/>
        <w:spacing w:line="400" w:lineRule="exact"/>
        <w:rPr>
          <w:rFonts w:ascii="宋体" w:hAnsi="宋体"/>
          <w:sz w:val="24"/>
          <w:szCs w:val="21"/>
        </w:rPr>
      </w:pPr>
      <w:r>
        <w:rPr>
          <w:rFonts w:hint="eastAsia" w:ascii="宋体" w:hAnsi="宋体"/>
          <w:sz w:val="24"/>
          <w:szCs w:val="21"/>
        </w:rPr>
        <w:t xml:space="preserve">4.***（格式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63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3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63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rPr>
          <w:rFonts w:hint="eastAsia" w:ascii="宋体" w:hAnsi="宋体"/>
          <w:sz w:val="24"/>
          <w:szCs w:val="21"/>
        </w:rPr>
      </w:r>
      <w:r/>
    </w:p>
    <w:p>
      <w:pPr>
        <w:pStyle w:val="63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w:t>
      </w:r>
      <w:r>
        <w:rPr>
          <w:rFonts w:ascii="宋体" w:hAnsi="宋体"/>
          <w:sz w:val="24"/>
          <w:szCs w:val="21"/>
        </w:rPr>
      </w:r>
      <w:r/>
    </w:p>
    <w:p>
      <w:pPr>
        <w:pStyle w:val="637"/>
        <w:spacing w:line="400" w:lineRule="exact"/>
        <w:rPr>
          <w:rFonts w:hint="eastAsia" w:ascii="宋体" w:hAnsi="宋体"/>
          <w:sz w:val="24"/>
          <w:szCs w:val="21"/>
        </w:rPr>
      </w:pPr>
      <w:r>
        <w:rPr>
          <w:rFonts w:hint="eastAsia" w:ascii="宋体" w:hAnsi="宋体"/>
          <w:sz w:val="24"/>
          <w:szCs w:val="21"/>
        </w:rPr>
        <w:t xml:space="preserve">内至少一个月依法缴纳税收及缴纳社会保障资金的证明材料。供应商依法享受缓缴、免缴税收、社会保障资金的提供证明材料。）</w:t>
      </w:r>
      <w:r>
        <w:rPr>
          <w:rFonts w:hint="eastAsia" w:ascii="宋体" w:hAnsi="宋体"/>
          <w:sz w:val="24"/>
          <w:szCs w:val="21"/>
        </w:rPr>
      </w:r>
      <w:r/>
    </w:p>
    <w:p>
      <w:pPr>
        <w:pStyle w:val="63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3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w:t>
      </w:r>
      <w:r>
        <w:rPr>
          <w:rFonts w:ascii="宋体" w:hAnsi="宋体"/>
          <w:sz w:val="24"/>
          <w:szCs w:val="21"/>
        </w:rPr>
      </w:r>
      <w:r/>
    </w:p>
    <w:p>
      <w:pPr>
        <w:pStyle w:val="637"/>
        <w:spacing w:line="400" w:lineRule="exact"/>
        <w:rPr>
          <w:rFonts w:hint="eastAsia" w:ascii="宋体" w:hAnsi="宋体"/>
          <w:sz w:val="24"/>
          <w:szCs w:val="21"/>
        </w:rPr>
      </w:pPr>
      <w:r>
        <w:rPr>
          <w:rFonts w:hint="eastAsia" w:ascii="宋体" w:hAnsi="宋体"/>
          <w:sz w:val="24"/>
          <w:szCs w:val="21"/>
        </w:rPr>
        <w:t xml:space="preserve">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637"/>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sz w:val="24"/>
          <w:szCs w:val="21"/>
        </w:rPr>
      </w:r>
      <w:r/>
    </w:p>
    <w:p>
      <w:pPr>
        <w:pStyle w:val="637"/>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sz w:val="24"/>
          <w:szCs w:val="21"/>
        </w:rPr>
      </w:r>
      <w:r/>
    </w:p>
    <w:p>
      <w:pPr>
        <w:pStyle w:val="637"/>
        <w:ind w:firstLine="480"/>
        <w:spacing w:line="4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63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63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37"/>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color w:val="ff0000"/>
          <w:sz w:val="24"/>
          <w:szCs w:val="21"/>
        </w:rPr>
        <w:t xml:space="preserve">采购文件（含技术</w:t>
      </w:r>
      <w:r>
        <w:rPr>
          <w:rFonts w:ascii="宋体" w:hAnsi="宋体"/>
          <w:color w:val="ff0000"/>
          <w:sz w:val="24"/>
          <w:szCs w:val="21"/>
        </w:rPr>
        <w:t xml:space="preserve">要求和商务</w:t>
      </w:r>
      <w:r>
        <w:rPr>
          <w:rFonts w:hint="eastAsia" w:ascii="宋体" w:hAnsi="宋体"/>
          <w:color w:val="ff0000"/>
          <w:sz w:val="24"/>
          <w:szCs w:val="21"/>
        </w:rPr>
        <w:t xml:space="preserve">要求）</w:t>
      </w:r>
      <w:r>
        <w:rPr>
          <w:rFonts w:ascii="宋体" w:hAnsi="宋体"/>
          <w:color w:val="ff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采购文件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，否则视为未实质性响应采购文件</w:t>
      </w:r>
      <w:r>
        <w:rPr>
          <w:rFonts w:ascii="宋体" w:hAnsi="宋体"/>
          <w:sz w:val="24"/>
          <w:szCs w:val="21"/>
        </w:rPr>
        <w:t xml:space="preserve">。</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37"/>
        <w:spacing w:line="440" w:lineRule="exact"/>
        <w:rPr>
          <w:rFonts w:hint="eastAsia" w:ascii="宋体" w:hAnsi="宋体"/>
          <w:sz w:val="24"/>
          <w:szCs w:val="21"/>
        </w:rPr>
      </w:pPr>
      <w:r>
        <w:rPr>
          <w:rFonts w:hint="eastAsia" w:ascii="宋体" w:hAnsi="宋体"/>
          <w:sz w:val="24"/>
          <w:szCs w:val="21"/>
        </w:rPr>
      </w:r>
      <w:r/>
    </w:p>
    <w:p>
      <w:pPr>
        <w:pStyle w:val="637"/>
        <w:ind w:left="480"/>
        <w:rPr>
          <w:rFonts w:hint="eastAsia" w:ascii="宋体" w:hAnsi="宋体"/>
          <w:b/>
          <w:i/>
          <w:sz w:val="24"/>
          <w:szCs w:val="21"/>
          <w:u w:val="single"/>
        </w:rPr>
      </w:pPr>
      <w:r>
        <w:rPr>
          <w:rFonts w:hint="eastAsia" w:ascii="宋体" w:hAnsi="宋体"/>
          <w:b/>
          <w:sz w:val="24"/>
          <w:szCs w:val="21"/>
        </w:rPr>
        <w:t xml:space="preserve">附件1 分项报价表（货物类项目）</w:t>
      </w:r>
      <w:r>
        <w:rPr>
          <w:rFonts w:hint="eastAsia" w:ascii="宋体" w:hAnsi="宋体"/>
          <w:b/>
          <w:i/>
          <w:sz w:val="24"/>
          <w:szCs w:val="21"/>
          <w:u w:val="single"/>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637"/>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37"/>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37"/>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63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3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63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3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37"/>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3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3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637"/>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966" w:type="dxa"/>
            <w:vAlign w:val="top"/>
            <w:textDirection w:val="lrTb"/>
            <w:noWrap w:val="false"/>
          </w:tcPr>
          <w:p>
            <w:pPr>
              <w:pStyle w:val="637"/>
              <w:rPr>
                <w:rFonts w:hint="eastAsia" w:ascii="宋体" w:hAnsi="宋体"/>
                <w:sz w:val="24"/>
                <w:szCs w:val="24"/>
              </w:rPr>
            </w:pPr>
            <w:r>
              <w:rPr>
                <w:rFonts w:hint="eastAsia" w:ascii="宋体" w:hAnsi="宋体"/>
                <w:sz w:val="24"/>
                <w:szCs w:val="24"/>
              </w:rPr>
            </w:r>
            <w:r/>
          </w:p>
        </w:tc>
      </w:tr>
    </w:tbl>
    <w:p>
      <w:pPr>
        <w:pStyle w:val="63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37"/>
        <w:spacing w:line="400" w:lineRule="exact"/>
        <w:rPr>
          <w:rFonts w:hint="eastAsia" w:ascii="宋体" w:hAnsi="宋体"/>
          <w:sz w:val="24"/>
          <w:szCs w:val="24"/>
        </w:rPr>
      </w:pPr>
      <w:r>
        <w:rPr>
          <w:rFonts w:hint="eastAsia" w:ascii="宋体" w:hAnsi="宋体"/>
          <w:sz w:val="24"/>
          <w:szCs w:val="24"/>
        </w:rPr>
        <w:t xml:space="preserve">1.采购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采购文件中另有规定的除外。</w:t>
      </w:r>
      <w:r>
        <w:rPr>
          <w:rFonts w:hint="eastAsia" w:ascii="宋体" w:hAnsi="宋体"/>
          <w:sz w:val="24"/>
          <w:szCs w:val="24"/>
        </w:rPr>
      </w:r>
      <w:r/>
    </w:p>
    <w:p>
      <w:pPr>
        <w:pStyle w:val="637"/>
        <w:spacing w:line="400" w:lineRule="exact"/>
        <w:rPr>
          <w:rFonts w:ascii="宋体" w:hAnsi="宋体"/>
          <w:sz w:val="24"/>
          <w:szCs w:val="21"/>
        </w:rPr>
      </w:pPr>
      <w:r>
        <w:rPr>
          <w:rFonts w:ascii="方正黑体_GBK" w:hAnsi="宋体" w:eastAsia="方正黑体_GBK"/>
          <w:b/>
          <w:sz w:val="32"/>
          <w:szCs w:val="32"/>
        </w:rPr>
        <w:t xml:space="preserve">2</w:t>
      </w:r>
      <w:r>
        <w:rPr>
          <w:rFonts w:hint="eastAsia" w:ascii="方正黑体_GBK" w:hAnsi="宋体" w:eastAsia="方正黑体_GBK"/>
          <w:b/>
          <w:sz w:val="32"/>
          <w:szCs w:val="32"/>
        </w:rPr>
        <w:t xml:space="preserve">.供应商需认真填写本报价表，尤其注意规格型号的准确填写。</w:t>
      </w:r>
      <w:r>
        <w:rPr>
          <w:rFonts w:ascii="宋体" w:hAnsi="宋体"/>
          <w:sz w:val="24"/>
          <w:szCs w:val="21"/>
        </w:rPr>
        <w:t xml:space="preserve">3</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ascii="宋体" w:hAnsi="宋体"/>
          <w:sz w:val="24"/>
          <w:szCs w:val="21"/>
        </w:rPr>
      </w:r>
      <w:r/>
    </w:p>
    <w:p>
      <w:pPr>
        <w:pStyle w:val="637"/>
        <w:spacing w:line="400" w:lineRule="exact"/>
        <w:rPr>
          <w:rFonts w:ascii="宋体" w:hAnsi="宋体"/>
          <w:sz w:val="24"/>
          <w:szCs w:val="24"/>
          <w:highlight w:val="yellow"/>
        </w:rPr>
      </w:pPr>
      <w:r>
        <w:rPr>
          <w:rFonts w:ascii="宋体" w:hAnsi="宋体"/>
          <w:sz w:val="24"/>
          <w:szCs w:val="24"/>
          <w:highlight w:val="yellow"/>
        </w:rPr>
      </w:r>
      <w:r/>
    </w:p>
    <w:p>
      <w:pPr>
        <w:pStyle w:val="637"/>
        <w:spacing w:line="400" w:lineRule="exact"/>
        <w:rPr>
          <w:rFonts w:hint="eastAsia" w:ascii="宋体" w:hAnsi="宋体"/>
          <w:color w:val="ff0000"/>
          <w:sz w:val="24"/>
          <w:szCs w:val="24"/>
        </w:rPr>
      </w:pPr>
      <w:r>
        <w:rPr>
          <w:rFonts w:hint="eastAsia" w:ascii="宋体" w:hAnsi="宋体"/>
          <w:color w:val="ff0000"/>
          <w:sz w:val="24"/>
          <w:szCs w:val="24"/>
        </w:rPr>
      </w:r>
      <w:r/>
    </w:p>
    <w:p>
      <w:pPr>
        <w:pStyle w:val="637"/>
        <w:rPr>
          <w:rFonts w:hint="eastAsia" w:ascii="宋体" w:hAnsi="宋体"/>
          <w:b/>
          <w:sz w:val="24"/>
          <w:szCs w:val="21"/>
        </w:rPr>
      </w:pPr>
      <w:r>
        <w:rPr>
          <w:rFonts w:hint="eastAsia" w:ascii="宋体" w:hAnsi="宋体"/>
          <w:b/>
          <w:sz w:val="24"/>
          <w:szCs w:val="21"/>
        </w:rPr>
      </w:r>
      <w:r/>
    </w:p>
    <w:p>
      <w:pPr>
        <w:pStyle w:val="637"/>
        <w:ind w:left="480"/>
        <w:rPr>
          <w:rFonts w:ascii="宋体" w:hAnsi="宋体"/>
          <w:b/>
          <w:sz w:val="24"/>
          <w:szCs w:val="21"/>
        </w:rPr>
      </w:pPr>
      <w:r>
        <w:rPr>
          <w:rFonts w:hint="eastAsia" w:ascii="宋体" w:hAnsi="宋体"/>
          <w:b/>
          <w:sz w:val="24"/>
          <w:szCs w:val="21"/>
        </w:rPr>
        <w:t xml:space="preserve">附件1 分项报价表（服务类项目）</w:t>
      </w:r>
      <w:r>
        <w:rPr>
          <w:rFonts w:ascii="宋体" w:hAnsi="宋体"/>
          <w:b/>
          <w:sz w:val="24"/>
          <w:szCs w:val="21"/>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9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59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1"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72"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35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69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59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811"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3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35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3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37"/>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637"/>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3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3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358" w:type="dxa"/>
            <w:vAlign w:val="top"/>
            <w:textDirection w:val="lrTb"/>
            <w:noWrap w:val="false"/>
          </w:tcPr>
          <w:p>
            <w:pPr>
              <w:pStyle w:val="637"/>
              <w:spacing w:line="0" w:lineRule="atLeast"/>
              <w:rPr>
                <w:rFonts w:hint="eastAsia" w:ascii="宋体" w:hAnsi="宋体"/>
                <w:sz w:val="24"/>
                <w:szCs w:val="24"/>
              </w:rPr>
            </w:pPr>
            <w:r>
              <w:rPr>
                <w:rFonts w:hint="eastAsia" w:ascii="宋体" w:hAnsi="宋体"/>
                <w:sz w:val="24"/>
                <w:szCs w:val="24"/>
              </w:rPr>
            </w:r>
            <w:r/>
          </w:p>
        </w:tc>
      </w:tr>
    </w:tbl>
    <w:p>
      <w:pPr>
        <w:pStyle w:val="637"/>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637"/>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r>
        <w:rPr>
          <w:rFonts w:ascii="宋体" w:hAnsi="宋体"/>
          <w:sz w:val="24"/>
          <w:szCs w:val="24"/>
        </w:rPr>
      </w:r>
      <w:r/>
    </w:p>
    <w:p>
      <w:pPr>
        <w:pStyle w:val="637"/>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637"/>
        <w:spacing w:line="400" w:lineRule="exact"/>
        <w:rPr>
          <w:rFonts w:ascii="宋体" w:hAnsi="宋体"/>
          <w:color w:val="ff0000"/>
          <w:sz w:val="24"/>
          <w:szCs w:val="24"/>
          <w:highlight w:val="yellow"/>
        </w:rPr>
      </w:pPr>
      <w:r>
        <w:rPr>
          <w:rFonts w:ascii="宋体" w:hAnsi="宋体"/>
          <w:color w:val="ff0000"/>
          <w:sz w:val="24"/>
          <w:szCs w:val="24"/>
          <w:highlight w:val="yellow"/>
        </w:rPr>
      </w:r>
      <w:r/>
    </w:p>
    <w:p>
      <w:pPr>
        <w:pStyle w:val="637"/>
      </w:pPr>
      <w:r/>
      <w:r/>
    </w:p>
    <w:p>
      <w:pPr>
        <w:pStyle w:val="637"/>
        <w:spacing w:line="400" w:lineRule="exact"/>
        <w:rPr>
          <w:rFonts w:hint="eastAsia" w:ascii="宋体" w:hAnsi="宋体"/>
          <w:sz w:val="24"/>
          <w:szCs w:val="24"/>
          <w:highlight w:val="yellow"/>
        </w:rPr>
      </w:pPr>
      <w:r>
        <w:rPr>
          <w:rFonts w:hint="eastAsia" w:ascii="宋体" w:hAnsi="宋体"/>
          <w:sz w:val="24"/>
          <w:szCs w:val="24"/>
          <w:highlight w:val="yellow"/>
        </w:rPr>
      </w:r>
      <w:r/>
    </w:p>
    <w:p>
      <w:pPr>
        <w:pStyle w:val="637"/>
        <w:spacing w:line="400" w:lineRule="exact"/>
        <w:rPr>
          <w:rFonts w:hint="eastAsia" w:ascii="宋体" w:hAnsi="宋体"/>
          <w:sz w:val="24"/>
          <w:szCs w:val="24"/>
          <w:highlight w:val="yellow"/>
        </w:rPr>
      </w:pPr>
      <w:r>
        <w:rPr>
          <w:rFonts w:hint="eastAsia" w:ascii="宋体" w:hAnsi="宋体"/>
          <w:sz w:val="24"/>
          <w:szCs w:val="24"/>
          <w:highlight w:val="yellow"/>
        </w:rPr>
      </w:r>
      <w:r/>
    </w:p>
    <w:p>
      <w:pPr>
        <w:pStyle w:val="637"/>
        <w:ind w:firstLine="480"/>
        <w:spacing w:line="440" w:lineRule="exact"/>
        <w:rPr>
          <w:rFonts w:ascii="宋体" w:hAnsi="宋体"/>
          <w:sz w:val="24"/>
          <w:szCs w:val="21"/>
        </w:rPr>
      </w:pPr>
      <w:r>
        <w:rPr>
          <w:rFonts w:ascii="宋体" w:hAnsi="宋体"/>
          <w:sz w:val="24"/>
          <w:szCs w:val="21"/>
        </w:rPr>
      </w:r>
      <w:r/>
    </w:p>
    <w:p>
      <w:pPr>
        <w:pStyle w:val="63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3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r>
    </w:tbl>
    <w:p>
      <w:pPr>
        <w:pStyle w:val="63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3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37"/>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w:t>
      </w:r>
      <w:r>
        <w:rPr>
          <w:rFonts w:ascii="宋体" w:hAnsi="宋体"/>
          <w:sz w:val="24"/>
          <w:szCs w:val="24"/>
        </w:rPr>
        <w:t xml:space="preserve">技术</w:t>
      </w:r>
      <w:r>
        <w:rPr>
          <w:rFonts w:hint="eastAsia" w:ascii="宋体" w:hAnsi="宋体"/>
          <w:sz w:val="24"/>
          <w:szCs w:val="24"/>
        </w:rPr>
        <w:t xml:space="preserve">要求中</w:t>
      </w:r>
      <w:r>
        <w:rPr>
          <w:rFonts w:ascii="宋体" w:hAnsi="宋体"/>
          <w:color w:val="ff0000"/>
          <w:sz w:val="24"/>
          <w:szCs w:val="24"/>
        </w:rPr>
        <w:t xml:space="preserve">的</w:t>
      </w:r>
      <w:r>
        <w:rPr>
          <w:rFonts w:hint="eastAsia" w:ascii="宋体" w:hAnsi="宋体"/>
          <w:color w:val="ff0000"/>
          <w:sz w:val="24"/>
          <w:szCs w:val="24"/>
        </w:rPr>
        <w:t xml:space="preserve">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37"/>
        <w:spacing w:line="400" w:lineRule="exact"/>
        <w:rPr>
          <w:rFonts w:ascii="宋体" w:hAnsi="宋体"/>
          <w:sz w:val="24"/>
          <w:szCs w:val="24"/>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37"/>
        <w:rPr>
          <w:rFonts w:ascii="宋体" w:hAnsi="宋体"/>
          <w:b/>
          <w:color w:val="ff0000"/>
          <w:sz w:val="24"/>
          <w:szCs w:val="24"/>
        </w:rPr>
      </w:pPr>
      <w:r>
        <w:rPr>
          <w:rFonts w:ascii="宋体" w:hAnsi="宋体"/>
          <w:b/>
          <w:color w:val="ff0000"/>
          <w:sz w:val="24"/>
          <w:szCs w:val="24"/>
        </w:rPr>
      </w:r>
      <w:r/>
    </w:p>
    <w:p>
      <w:pPr>
        <w:pStyle w:val="637"/>
        <w:jc w:val="center"/>
        <w:rPr>
          <w:rFonts w:ascii="宋体" w:hAnsi="宋体"/>
          <w:b/>
          <w:color w:val="ff0000"/>
          <w:sz w:val="24"/>
          <w:szCs w:val="24"/>
        </w:rPr>
      </w:pPr>
      <w:r>
        <w:rPr>
          <w:rFonts w:ascii="宋体" w:hAnsi="宋体"/>
          <w:b/>
          <w:color w:val="ff0000"/>
          <w:sz w:val="24"/>
          <w:szCs w:val="24"/>
        </w:rPr>
      </w:r>
      <w:r/>
    </w:p>
    <w:p>
      <w:pPr>
        <w:pStyle w:val="63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3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37"/>
              <w:jc w:val="center"/>
              <w:spacing w:line="400" w:lineRule="exact"/>
              <w:rPr>
                <w:rFonts w:hint="eastAsia" w:ascii="宋体" w:hAnsi="宋体"/>
                <w:sz w:val="24"/>
                <w:szCs w:val="24"/>
              </w:rPr>
            </w:pPr>
            <w:r>
              <w:rPr>
                <w:rFonts w:hint="eastAsia" w:ascii="宋体" w:hAnsi="宋体"/>
                <w:sz w:val="24"/>
                <w:szCs w:val="24"/>
              </w:rPr>
            </w:r>
            <w:r/>
          </w:p>
        </w:tc>
      </w:tr>
    </w:tbl>
    <w:p>
      <w:pPr>
        <w:pStyle w:val="63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3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37"/>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采购文件商务要求中</w:t>
      </w:r>
      <w:r>
        <w:rPr>
          <w:rFonts w:ascii="宋体" w:hAnsi="宋体"/>
          <w:color w:val="ff0000"/>
          <w:sz w:val="24"/>
          <w:szCs w:val="24"/>
        </w:rPr>
        <w:t xml:space="preserve">的</w:t>
      </w:r>
      <w:r>
        <w:rPr>
          <w:rFonts w:hint="eastAsia" w:ascii="宋体" w:hAnsi="宋体"/>
          <w:color w:val="ff0000"/>
          <w:sz w:val="24"/>
          <w:szCs w:val="24"/>
        </w:rPr>
        <w:t xml:space="preserve">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37"/>
        <w:spacing w:line="440" w:lineRule="exact"/>
        <w:rPr>
          <w:rFonts w:ascii="宋体" w:hAnsi="宋体"/>
          <w:sz w:val="24"/>
          <w:szCs w:val="21"/>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1"/>
        </w:rPr>
      </w:r>
      <w:r/>
    </w:p>
    <w:p>
      <w:pPr>
        <w:pStyle w:val="637"/>
        <w:ind w:firstLine="480"/>
        <w:spacing w:line="440" w:lineRule="exact"/>
        <w:rPr>
          <w:rFonts w:ascii="宋体" w:hAnsi="宋体"/>
          <w:sz w:val="24"/>
          <w:szCs w:val="21"/>
        </w:rPr>
      </w:pPr>
      <w:r>
        <w:rPr>
          <w:rFonts w:ascii="宋体" w:hAnsi="宋体"/>
          <w:sz w:val="24"/>
          <w:szCs w:val="21"/>
        </w:rPr>
      </w:r>
      <w:r/>
    </w:p>
    <w:p>
      <w:pPr>
        <w:pStyle w:val="63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63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63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37"/>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37"/>
        <w:ind w:firstLine="492"/>
        <w:spacing w:line="460" w:lineRule="exact"/>
        <w:rPr>
          <w:rFonts w:ascii="宋体" w:hAnsi="宋体"/>
          <w:bCs/>
          <w:color w:val="000000"/>
          <w:sz w:val="24"/>
          <w:szCs w:val="21"/>
        </w:rPr>
      </w:pPr>
      <w:r>
        <w:rPr>
          <w:rFonts w:ascii="宋体" w:hAnsi="宋体"/>
          <w:bCs/>
          <w:color w:val="000000"/>
          <w:sz w:val="24"/>
          <w:szCs w:val="21"/>
        </w:rPr>
      </w:r>
      <w:r/>
    </w:p>
    <w:p>
      <w:pPr>
        <w:pStyle w:val="63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637"/>
        <w:jc w:val="center"/>
        <w:spacing w:line="460" w:lineRule="exact"/>
        <w:rPr>
          <w:rFonts w:ascii="宋体" w:hAnsi="宋体"/>
          <w:b/>
          <w:bCs/>
          <w:color w:val="000000"/>
          <w:sz w:val="24"/>
          <w:szCs w:val="21"/>
        </w:rPr>
      </w:pPr>
      <w:r>
        <w:rPr>
          <w:rFonts w:ascii="宋体" w:hAnsi="宋体"/>
          <w:b/>
          <w:bCs/>
          <w:color w:val="000000"/>
          <w:sz w:val="24"/>
          <w:szCs w:val="21"/>
        </w:rPr>
      </w:r>
      <w:r/>
    </w:p>
    <w:p>
      <w:pPr>
        <w:pStyle w:val="63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637"/>
        <w:ind w:firstLine="480"/>
        <w:spacing w:line="440" w:lineRule="exact"/>
        <w:rPr>
          <w:rFonts w:ascii="宋体" w:hAnsi="宋体"/>
          <w:sz w:val="24"/>
          <w:szCs w:val="21"/>
        </w:rPr>
      </w:pPr>
      <w:r>
        <w:rPr>
          <w:rFonts w:ascii="宋体" w:hAnsi="宋体"/>
          <w:sz w:val="24"/>
          <w:szCs w:val="21"/>
        </w:rPr>
      </w:r>
      <w:r/>
    </w:p>
    <w:p>
      <w:pPr>
        <w:pStyle w:val="637"/>
        <w:spacing w:line="460" w:lineRule="exact"/>
        <w:rPr>
          <w:rFonts w:hint="eastAsia" w:ascii="宋体" w:hAnsi="宋体"/>
          <w:bCs/>
          <w:sz w:val="24"/>
          <w:szCs w:val="21"/>
        </w:rPr>
      </w:pPr>
      <w:r/>
      <w:bookmarkEnd w:id="222"/>
      <w:r/>
      <w:bookmarkEnd w:id="223"/>
      <w:r/>
      <w:bookmarkEnd w:id="224"/>
      <w:r/>
      <w:bookmarkStart w:id="225" w:name="_Toc120614284"/>
      <w:r>
        <w:rPr>
          <w:rFonts w:hint="eastAsia" w:ascii="宋体" w:hAnsi="宋体"/>
          <w:bCs/>
          <w:sz w:val="24"/>
          <w:szCs w:val="21"/>
        </w:rPr>
      </w:r>
      <w:r/>
    </w:p>
    <w:p>
      <w:pPr>
        <w:pStyle w:val="637"/>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63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63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637"/>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3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63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3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63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3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226" w:name="_Hlt26671380"/>
      <w:r/>
      <w:bookmarkEnd w:id="226"/>
      <w:r/>
      <w:bookmarkStart w:id="227" w:name="_格式3__银行出具的资信证明"/>
      <w:r/>
      <w:bookmarkEnd w:id="227"/>
      <w:r/>
      <w:bookmarkStart w:id="228" w:name="_Hlt26955070"/>
      <w:r/>
      <w:bookmarkEnd w:id="228"/>
      <w:r>
        <w:rPr>
          <w:rFonts w:hint="eastAsia" w:ascii="Times New Roman" w:hAnsi="Times New Roman"/>
          <w:sz w:val="24"/>
          <w:szCs w:val="24"/>
          <w:u w:val="single"/>
        </w:rPr>
        <w:t xml:space="preserve">                                         </w:t>
      </w:r>
      <w:r>
        <w:rPr>
          <w:rFonts w:ascii="Times New Roman" w:hAnsi="Times New Roman"/>
          <w:sz w:val="24"/>
          <w:szCs w:val="24"/>
          <w:u w:val="single"/>
        </w:rPr>
      </w:r>
      <w:r/>
    </w:p>
    <w:p>
      <w:pPr>
        <w:pStyle w:val="637"/>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637"/>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637"/>
        <w:jc w:val="center"/>
        <w:rPr>
          <w:rFonts w:ascii="宋体" w:hAnsi="宋体"/>
          <w:b/>
          <w:color w:val="000000"/>
          <w:sz w:val="24"/>
          <w:szCs w:val="21"/>
        </w:rPr>
      </w:pPr>
      <w:r>
        <w:rPr>
          <w:rFonts w:ascii="宋体" w:hAnsi="宋体"/>
          <w:b/>
          <w:color w:val="000000"/>
          <w:sz w:val="24"/>
          <w:szCs w:val="21"/>
        </w:rPr>
      </w:r>
      <w:r/>
    </w:p>
    <w:p>
      <w:pPr>
        <w:pStyle w:val="637"/>
        <w:jc w:val="center"/>
        <w:rPr>
          <w:rFonts w:ascii="黑体" w:hAnsi="黑体" w:eastAsia="黑体"/>
          <w:b/>
          <w:sz w:val="32"/>
          <w:szCs w:val="32"/>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单一来源响应函</w:t>
      </w:r>
      <w:r>
        <w:rPr>
          <w:rFonts w:ascii="黑体" w:hAnsi="黑体" w:eastAsia="黑体"/>
          <w:b/>
          <w:sz w:val="32"/>
          <w:szCs w:val="32"/>
        </w:rPr>
      </w:r>
      <w:r/>
    </w:p>
    <w:p>
      <w:pPr>
        <w:pStyle w:val="637"/>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637"/>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号采购文件，正式授权下述签字人______(姓名)代表我方______________（供应商的名称），全权处理本次项目单一来源采购的有关事宜。</w:t>
      </w:r>
      <w:r>
        <w:rPr>
          <w:rFonts w:hint="eastAsia" w:ascii="宋体" w:hAnsi="宋体"/>
          <w:sz w:val="24"/>
          <w:szCs w:val="21"/>
        </w:rPr>
      </w:r>
      <w:r/>
    </w:p>
    <w:p>
      <w:pPr>
        <w:pStyle w:val="637"/>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37"/>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637"/>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637"/>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637"/>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63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637"/>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63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3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3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3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37"/>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3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3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3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37"/>
        <w:ind w:firstLine="321"/>
        <w:jc w:val="center"/>
        <w:spacing w:line="560" w:lineRule="exact"/>
        <w:rPr>
          <w:rFonts w:ascii="黑体" w:hAnsi="黑体" w:eastAsia="黑体"/>
          <w:b/>
          <w:sz w:val="32"/>
          <w:szCs w:val="32"/>
        </w:rPr>
      </w:pPr>
      <w:r>
        <w:rPr>
          <w:rFonts w:ascii="黑体" w:hAnsi="黑体" w:eastAsia="黑体"/>
          <w:b/>
          <w:sz w:val="32"/>
          <w:szCs w:val="32"/>
        </w:rPr>
      </w:r>
      <w:r/>
    </w:p>
    <w:p>
      <w:pPr>
        <w:pStyle w:val="637"/>
        <w:jc w:val="center"/>
        <w:spacing w:line="0" w:lineRule="atLeast"/>
        <w:rPr>
          <w:rFonts w:ascii="宋体" w:hAnsi="宋体"/>
          <w:b/>
          <w:sz w:val="24"/>
          <w:szCs w:val="24"/>
        </w:rPr>
      </w:pPr>
      <w:r/>
      <w:bookmarkEnd w:id="153"/>
      <w:r/>
      <w:bookmarkEnd w:id="154"/>
      <w:r/>
      <w:bookmarkEnd w:id="225"/>
      <w:r>
        <w:rPr>
          <w:rFonts w:ascii="宋体" w:hAnsi="宋体"/>
          <w:b/>
          <w:sz w:val="24"/>
          <w:szCs w:val="24"/>
        </w:rPr>
      </w:r>
      <w:r/>
    </w:p>
    <w:p>
      <w:pPr>
        <w:pStyle w:val="637"/>
        <w:jc w:val="center"/>
        <w:spacing w:line="0" w:lineRule="atLeast"/>
        <w:rPr>
          <w:rFonts w:ascii="宋体" w:hAnsi="宋体"/>
          <w:b/>
          <w:sz w:val="24"/>
          <w:szCs w:val="24"/>
        </w:rPr>
      </w:pPr>
      <w:r>
        <w:rPr>
          <w:rFonts w:ascii="宋体" w:hAnsi="宋体"/>
          <w:b/>
          <w:sz w:val="24"/>
          <w:szCs w:val="24"/>
        </w:rPr>
      </w:r>
      <w:r/>
    </w:p>
    <w:p>
      <w:pPr>
        <w:pStyle w:val="637"/>
        <w:jc w:val="center"/>
        <w:spacing w:line="0" w:lineRule="atLeas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8</w:t>
      </w:r>
      <w:r>
        <w:rPr>
          <w:rFonts w:hint="eastAsia" w:ascii="宋体" w:hAnsi="宋体"/>
          <w:b/>
          <w:sz w:val="24"/>
          <w:szCs w:val="24"/>
        </w:rPr>
        <w:t xml:space="preserve">联合体协议（参考格式）（采购包号：**）</w:t>
      </w:r>
      <w:r>
        <w:rPr>
          <w:rFonts w:ascii="宋体" w:hAnsi="宋体"/>
          <w:b/>
          <w:sz w:val="24"/>
          <w:szCs w:val="24"/>
        </w:rPr>
      </w:r>
      <w:r/>
    </w:p>
    <w:p>
      <w:pPr>
        <w:pStyle w:val="637"/>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37"/>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37"/>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37"/>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37"/>
        <w:ind w:firstLine="645"/>
        <w:spacing w:line="0" w:lineRule="atLeast"/>
        <w:rPr>
          <w:rFonts w:hint="eastAsia" w:ascii="宋体" w:hAnsi="宋体"/>
          <w:sz w:val="24"/>
          <w:szCs w:val="21"/>
        </w:rPr>
      </w:pPr>
      <w:r>
        <w:rPr>
          <w:rFonts w:hint="eastAsia" w:ascii="宋体" w:hAnsi="宋体"/>
          <w:sz w:val="24"/>
          <w:szCs w:val="21"/>
        </w:rPr>
      </w:r>
      <w:r/>
    </w:p>
    <w:p>
      <w:pPr>
        <w:pStyle w:val="637"/>
        <w:ind w:firstLine="645"/>
        <w:spacing w:line="0" w:lineRule="atLeast"/>
        <w:rPr>
          <w:rFonts w:ascii="宋体" w:hAnsi="宋体"/>
          <w:sz w:val="24"/>
          <w:szCs w:val="21"/>
        </w:rPr>
      </w:pPr>
      <w:r>
        <w:rPr>
          <w:rFonts w:hint="eastAsia" w:ascii="宋体" w:hAnsi="宋体"/>
          <w:sz w:val="24"/>
          <w:szCs w:val="21"/>
        </w:rPr>
        <w:t xml:space="preserve">备注：本采购文件中要求加盖CA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37"/>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37"/>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637"/>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37"/>
        <w:ind w:firstLine="645"/>
        <w:spacing w:line="560" w:lineRule="exact"/>
        <w:rPr>
          <w:rFonts w:hint="eastAsia" w:ascii="宋体" w:hAnsi="宋体"/>
          <w:sz w:val="24"/>
          <w:szCs w:val="21"/>
        </w:rPr>
      </w:pPr>
      <w:r>
        <w:rPr>
          <w:rFonts w:hint="eastAsia" w:ascii="宋体" w:hAnsi="宋体"/>
          <w:sz w:val="24"/>
          <w:szCs w:val="21"/>
        </w:rPr>
      </w:r>
      <w:r/>
    </w:p>
    <w:p>
      <w:pPr>
        <w:pStyle w:val="637"/>
        <w:jc w:val="center"/>
        <w:rPr>
          <w:rFonts w:ascii="宋体" w:hAnsi="宋体"/>
          <w:b/>
          <w:color w:val="ff0000"/>
          <w:sz w:val="24"/>
          <w:szCs w:val="24"/>
        </w:rPr>
      </w:pPr>
      <w:r>
        <w:rPr>
          <w:rFonts w:ascii="宋体" w:hAnsi="宋体"/>
          <w:b/>
          <w:color w:val="ff0000"/>
          <w:sz w:val="24"/>
          <w:szCs w:val="24"/>
        </w:rPr>
      </w:r>
      <w:r/>
    </w:p>
    <w:p>
      <w:pPr>
        <w:pStyle w:val="63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 </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color w:val="ff0000"/>
                <w:sz w:val="24"/>
                <w:szCs w:val="24"/>
              </w:rPr>
              <w:t xml:space="preserve">采购文件（含技术</w:t>
            </w:r>
            <w:r>
              <w:rPr>
                <w:rFonts w:ascii="宋体" w:hAnsi="宋体"/>
                <w:color w:val="ff0000"/>
                <w:sz w:val="24"/>
                <w:szCs w:val="24"/>
              </w:rPr>
              <w:t xml:space="preserve">要求和商务要求</w:t>
            </w:r>
            <w:r>
              <w:rPr>
                <w:rFonts w:hint="eastAsia" w:ascii="宋体" w:hAnsi="宋体"/>
                <w:color w:val="ff0000"/>
                <w:sz w:val="24"/>
                <w:szCs w:val="24"/>
              </w:rPr>
              <w:t xml:space="preserve">）</w:t>
            </w:r>
            <w:r>
              <w:rPr>
                <w:rFonts w:ascii="宋体" w:hAnsi="宋体"/>
                <w:color w:val="ff0000"/>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526" w:type="dxa"/>
            <w:vAlign w:val="center"/>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3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37"/>
              <w:jc w:val="center"/>
              <w:spacing w:line="0" w:lineRule="atLeast"/>
              <w:rPr>
                <w:rFonts w:hint="eastAsia" w:ascii="宋体" w:hAnsi="宋体"/>
                <w:sz w:val="24"/>
                <w:szCs w:val="24"/>
              </w:rPr>
            </w:pPr>
            <w:r>
              <w:rPr>
                <w:rFonts w:hint="eastAsia" w:ascii="宋体" w:hAnsi="宋体"/>
                <w:sz w:val="24"/>
                <w:szCs w:val="24"/>
              </w:rPr>
            </w:r>
            <w:r/>
          </w:p>
        </w:tc>
      </w:tr>
    </w:tbl>
    <w:p>
      <w:pPr>
        <w:pStyle w:val="63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9-1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37"/>
        <w:spacing w:line="400" w:lineRule="exact"/>
        <w:rPr>
          <w:rFonts w:ascii="宋体" w:hAnsi="宋体"/>
          <w:sz w:val="24"/>
          <w:szCs w:val="24"/>
        </w:rPr>
      </w:pPr>
      <w:r>
        <w:rPr>
          <w:rFonts w:ascii="宋体" w:hAnsi="宋体"/>
          <w:sz w:val="24"/>
          <w:szCs w:val="24"/>
        </w:rPr>
      </w:r>
      <w:r/>
    </w:p>
    <w:p>
      <w:pPr>
        <w:pStyle w:val="63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37"/>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w:t>
      </w:r>
      <w:r>
        <w:rPr>
          <w:rFonts w:hint="eastAsia" w:ascii="宋体" w:hAnsi="宋体"/>
          <w:color w:val="ff0000"/>
          <w:sz w:val="24"/>
          <w:szCs w:val="24"/>
        </w:rPr>
        <w:t xml:space="preserve">采购文件（含技术</w:t>
      </w:r>
      <w:r>
        <w:rPr>
          <w:rFonts w:ascii="宋体" w:hAnsi="宋体"/>
          <w:color w:val="ff0000"/>
          <w:sz w:val="24"/>
          <w:szCs w:val="24"/>
        </w:rPr>
        <w:t xml:space="preserve">要求和商务要求</w:t>
      </w:r>
      <w:r>
        <w:rPr>
          <w:rFonts w:hint="eastAsia" w:ascii="宋体" w:hAnsi="宋体"/>
          <w:color w:val="ff0000"/>
          <w:sz w:val="24"/>
          <w:szCs w:val="24"/>
        </w:rPr>
        <w:t xml:space="preserve">）</w:t>
      </w:r>
      <w:r>
        <w:rPr>
          <w:rFonts w:ascii="宋体" w:hAnsi="宋体"/>
          <w:color w:val="ff0000"/>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1"/>
        </w:rPr>
        <w:t xml:space="preserve">否则视为未实质性响应采购文件</w:t>
      </w:r>
      <w:r>
        <w:rPr>
          <w:rFonts w:hint="eastAsia" w:ascii="宋体" w:hAnsi="宋体"/>
          <w:sz w:val="24"/>
          <w:szCs w:val="24"/>
        </w:rPr>
        <w:t xml:space="preserve">。</w:t>
      </w:r>
      <w:r>
        <w:rPr>
          <w:rFonts w:ascii="宋体" w:hAnsi="宋体"/>
          <w:sz w:val="24"/>
          <w:szCs w:val="24"/>
        </w:rPr>
      </w:r>
      <w:r/>
    </w:p>
    <w:p>
      <w:pPr>
        <w:pStyle w:val="637"/>
        <w:spacing w:line="400" w:lineRule="exact"/>
        <w:rPr>
          <w:rFonts w:ascii="宋体" w:hAnsi="宋体"/>
          <w:sz w:val="24"/>
          <w:szCs w:val="24"/>
        </w:rPr>
      </w:pPr>
      <w:r>
        <w:rPr>
          <w:rFonts w:hint="eastAsia" w:ascii="宋体" w:hAnsi="宋体"/>
          <w:sz w:val="24"/>
          <w:szCs w:val="24"/>
        </w:rPr>
        <w:t xml:space="preserve">2.如果采购文件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637"/>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3.供应商未对实质性要求逐条作出明确响应的，或未按采购文件要求提供证明材料的，该采购包作无效响应处理。</w:t>
      </w:r>
      <w:r>
        <w:rPr>
          <w:rFonts w:hint="eastAsia" w:ascii="宋体" w:hAnsi="宋体"/>
          <w:sz w:val="24"/>
          <w:szCs w:val="24"/>
        </w:rPr>
      </w:r>
      <w:r/>
    </w:p>
    <w:p>
      <w:pPr>
        <w:pStyle w:val="637"/>
        <w:rPr>
          <w:rFonts w:ascii="宋体" w:hAnsi="宋体" w:cs="仿宋"/>
          <w:b/>
          <w:bCs/>
          <w:sz w:val="32"/>
          <w:szCs w:val="32"/>
        </w:rPr>
      </w:pPr>
      <w:r>
        <w:rPr>
          <w:rFonts w:ascii="宋体" w:hAnsi="宋体" w:cs="仿宋"/>
          <w:b/>
          <w:bCs/>
          <w:sz w:val="32"/>
          <w:szCs w:val="32"/>
        </w:rPr>
      </w:r>
      <w:r/>
    </w:p>
    <w:p>
      <w:pPr>
        <w:pStyle w:val="637"/>
        <w:rPr>
          <w:rFonts w:ascii="宋体" w:hAnsi="宋体" w:cs="仿宋"/>
          <w:b/>
          <w:bCs/>
          <w:sz w:val="32"/>
          <w:szCs w:val="32"/>
        </w:rPr>
      </w:pPr>
      <w:r>
        <w:rPr>
          <w:rFonts w:ascii="宋体" w:hAnsi="宋体" w:cs="仿宋"/>
          <w:b/>
          <w:bCs/>
          <w:sz w:val="32"/>
          <w:szCs w:val="32"/>
        </w:rPr>
      </w:r>
      <w:r/>
    </w:p>
    <w:p>
      <w:pPr>
        <w:pStyle w:val="637"/>
        <w:rPr>
          <w:rFonts w:ascii="宋体" w:hAnsi="宋体" w:cs="仿宋"/>
          <w:b/>
          <w:bCs/>
          <w:sz w:val="32"/>
          <w:szCs w:val="32"/>
        </w:rPr>
      </w:pPr>
      <w:r>
        <w:rPr>
          <w:rFonts w:ascii="宋体" w:hAnsi="宋体" w:cs="仿宋"/>
          <w:b/>
          <w:bCs/>
          <w:sz w:val="32"/>
          <w:szCs w:val="32"/>
        </w:rPr>
      </w:r>
      <w:r/>
    </w:p>
    <w:p>
      <w:pPr>
        <w:pStyle w:val="637"/>
        <w:rPr>
          <w:rFonts w:ascii="宋体" w:hAnsi="宋体" w:cs="仿宋"/>
          <w:b/>
          <w:bCs/>
          <w:sz w:val="32"/>
          <w:szCs w:val="32"/>
        </w:rPr>
      </w:pPr>
      <w:r>
        <w:rPr>
          <w:rFonts w:ascii="宋体" w:hAnsi="宋体" w:cs="仿宋"/>
          <w:b/>
          <w:bCs/>
          <w:sz w:val="32"/>
          <w:szCs w:val="32"/>
        </w:rPr>
      </w:r>
      <w:r/>
    </w:p>
    <w:p>
      <w:pPr>
        <w:pStyle w:val="637"/>
        <w:rPr>
          <w:rFonts w:ascii="宋体" w:hAnsi="宋体" w:cs="仿宋"/>
          <w:b/>
          <w:bCs/>
          <w:sz w:val="32"/>
          <w:szCs w:val="32"/>
        </w:rPr>
      </w:pPr>
      <w:r>
        <w:rPr>
          <w:rFonts w:ascii="宋体" w:hAnsi="宋体" w:cs="仿宋"/>
          <w:b/>
          <w:bCs/>
          <w:sz w:val="32"/>
          <w:szCs w:val="32"/>
        </w:rPr>
      </w:r>
      <w:r/>
    </w:p>
    <w:p>
      <w:pPr>
        <w:pStyle w:val="637"/>
        <w:rPr>
          <w:rFonts w:hint="eastAsia" w:ascii="宋体" w:hAnsi="宋体" w:cs="仿宋"/>
          <w:b/>
          <w:bCs/>
          <w:sz w:val="32"/>
          <w:szCs w:val="32"/>
        </w:rPr>
      </w:pPr>
      <w:r>
        <w:rPr>
          <w:rFonts w:hint="eastAsia" w:ascii="宋体" w:hAnsi="宋体" w:cs="仿宋"/>
          <w:b/>
          <w:bCs/>
          <w:sz w:val="32"/>
          <w:szCs w:val="32"/>
        </w:rPr>
      </w:r>
      <w:r/>
    </w:p>
    <w:p>
      <w:pPr>
        <w:pStyle w:val="637"/>
        <w:jc w:val="center"/>
        <w:rPr>
          <w:rFonts w:ascii="宋体" w:hAnsi="宋体" w:cs="仿宋"/>
          <w:b/>
          <w:bCs/>
          <w:sz w:val="32"/>
          <w:szCs w:val="32"/>
        </w:rPr>
      </w:pPr>
      <w:r>
        <w:rPr>
          <w:rFonts w:ascii="宋体" w:hAnsi="宋体" w:cs="仿宋"/>
          <w:b/>
          <w:bCs/>
          <w:sz w:val="32"/>
          <w:szCs w:val="32"/>
        </w:rPr>
      </w:r>
      <w:r/>
    </w:p>
    <w:p>
      <w:pPr>
        <w:pStyle w:val="63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37"/>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3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3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3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3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3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3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3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3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3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3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3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3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3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3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3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3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3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3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3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3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3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3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3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3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3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3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3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3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3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3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37"/>
        <w:ind w:firstLine="420"/>
        <w:rPr>
          <w:rFonts w:hint="eastAsia" w:ascii="Times New Roman" w:hAnsi="Times New Roman"/>
          <w:sz w:val="24"/>
          <w:szCs w:val="24"/>
        </w:rPr>
      </w:pPr>
      <w:r>
        <w:rPr>
          <w:rFonts w:hint="eastAsia"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p>
      <w:pPr>
        <w:pStyle w:val="637"/>
        <w:ind w:firstLine="420"/>
        <w:rPr>
          <w:rFonts w:ascii="Times New Roman" w:hAnsi="Times New Roman"/>
          <w:sz w:val="24"/>
          <w:szCs w:val="24"/>
        </w:rPr>
      </w:pPr>
      <w:r>
        <w:rPr>
          <w:rFonts w:ascii="Times New Roman" w:hAnsi="Times New Roman"/>
          <w:sz w:val="24"/>
          <w:szCs w:val="24"/>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tabs>
        <w:tab w:val="center" w:pos="4153" w:leader="none"/>
        <w:tab w:val="right" w:pos="8306" w:leader="none"/>
      </w:tabs>
      <w:rPr>
        <w:rStyle w:val="709"/>
        <w:rFonts w:ascii="宋体" w:hAnsi="宋体"/>
      </w:rPr>
      <w:framePr w:wrap="around" w:vAnchor="text" w:hAnchor="margin" w:xAlign="center" w:y="1"/>
    </w:pPr>
    <w:r>
      <w:rPr>
        <w:rFonts w:ascii="宋体" w:hAnsi="宋体"/>
      </w:rPr>
      <w:fldChar w:fldCharType="begin"/>
    </w:r>
    <w:r>
      <w:rPr>
        <w:rStyle w:val="709"/>
        <w:rFonts w:ascii="宋体" w:hAnsi="宋体"/>
      </w:rPr>
      <w:instrText xml:space="preserve">PAGE  </w:instrText>
    </w:r>
    <w:r>
      <w:rPr>
        <w:rFonts w:ascii="宋体" w:hAnsi="宋体"/>
      </w:rPr>
      <w:fldChar w:fldCharType="separate"/>
    </w:r>
    <w:r>
      <w:rPr>
        <w:rStyle w:val="709"/>
        <w:rFonts w:ascii="宋体" w:hAnsi="宋体"/>
      </w:rPr>
      <w:t xml:space="preserve">48</w:t>
    </w:r>
    <w:r>
      <w:rPr>
        <w:rFonts w:ascii="宋体" w:hAnsi="宋体"/>
      </w:rPr>
      <w:fldChar w:fldCharType="end"/>
    </w:r>
    <w:r>
      <w:rPr>
        <w:rStyle w:val="709"/>
        <w:rFonts w:ascii="宋体" w:hAnsi="宋体"/>
      </w:rPr>
    </w:r>
    <w:r/>
  </w:p>
  <w:p>
    <w:pPr>
      <w:pStyle w:val="684"/>
      <w:jc w:val="center"/>
      <w:tabs>
        <w:tab w:val="center" w:pos="4153" w:leader="none"/>
        <w:tab w:val="right" w:pos="8306" w:leader="none"/>
      </w:tabs>
      <w:rPr>
        <w:rFonts w:hint="eastAsia"/>
        <w:b/>
        <w:i/>
      </w:rPr>
    </w:pP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15"/>
      <w:isLgl w:val="false"/>
      <w:suff w:val="tab"/>
      <w:lvlText w:val="附录%1."/>
      <w:lvlJc w:val="left"/>
      <w:pPr>
        <w:pStyle w:val="63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32"/>
      <w:isLgl w:val="false"/>
      <w:suff w:val="tab"/>
      <w:lvlText w:val="%1."/>
      <w:lvlJc w:val="left"/>
      <w:pPr>
        <w:pStyle w:val="637"/>
        <w:ind w:left="709" w:hanging="709"/>
        <w:tabs>
          <w:tab w:val="num" w:pos="709" w:leader="none"/>
        </w:tabs>
      </w:pPr>
      <w:rPr>
        <w:rFonts w:hint="eastAsia"/>
      </w:rPr>
    </w:lvl>
    <w:lvl w:ilvl="1">
      <w:start w:val="1"/>
      <w:numFmt w:val="decimal"/>
      <w:isLgl w:val="false"/>
      <w:suff w:val="tab"/>
      <w:lvlText w:val="%1.%2"/>
      <w:lvlJc w:val="left"/>
      <w:pPr>
        <w:pStyle w:val="637"/>
        <w:ind w:left="709" w:hanging="709"/>
        <w:tabs>
          <w:tab w:val="num" w:pos="709" w:leader="none"/>
        </w:tabs>
      </w:pPr>
      <w:rPr>
        <w:rFonts w:hint="eastAsia"/>
      </w:rPr>
    </w:lvl>
    <w:lvl w:ilvl="2">
      <w:start w:val="1"/>
      <w:numFmt w:val="decimal"/>
      <w:isLgl w:val="false"/>
      <w:suff w:val="tab"/>
      <w:lvlText w:val="%1.%2.%3."/>
      <w:lvlJc w:val="left"/>
      <w:pPr>
        <w:pStyle w:val="637"/>
        <w:ind w:left="425" w:hanging="425"/>
        <w:tabs>
          <w:tab w:val="num" w:pos="425" w:leader="none"/>
        </w:tabs>
      </w:pPr>
      <w:rPr>
        <w:rFonts w:hint="eastAsia"/>
      </w:rPr>
    </w:lvl>
    <w:lvl w:ilvl="3">
      <w:start w:val="1"/>
      <w:numFmt w:val="decimal"/>
      <w:isLgl w:val="false"/>
      <w:suff w:val="tab"/>
      <w:lvlText w:val="%1.%2.%3.%4."/>
      <w:lvlJc w:val="left"/>
      <w:pPr>
        <w:pStyle w:val="637"/>
        <w:ind w:left="851" w:hanging="851"/>
        <w:tabs>
          <w:tab w:val="num" w:pos="851" w:leader="none"/>
        </w:tabs>
      </w:pPr>
      <w:rPr>
        <w:rFonts w:hint="eastAsia"/>
      </w:rPr>
    </w:lvl>
    <w:lvl w:ilvl="4">
      <w:start w:val="1"/>
      <w:numFmt w:val="decimal"/>
      <w:isLgl w:val="false"/>
      <w:suff w:val="tab"/>
      <w:lvlText w:val="%1.%2.%3.%4.%5."/>
      <w:lvlJc w:val="left"/>
      <w:pPr>
        <w:pStyle w:val="637"/>
        <w:ind w:left="992" w:hanging="992"/>
        <w:tabs>
          <w:tab w:val="num" w:pos="992" w:leader="none"/>
        </w:tabs>
      </w:pPr>
      <w:rPr>
        <w:rFonts w:hint="eastAsia"/>
      </w:rPr>
    </w:lvl>
    <w:lvl w:ilvl="5">
      <w:start w:val="1"/>
      <w:numFmt w:val="decimal"/>
      <w:isLgl w:val="false"/>
      <w:suff w:val="tab"/>
      <w:lvlText w:val="%1.%2.%3.%4.%5.%6."/>
      <w:lvlJc w:val="left"/>
      <w:pPr>
        <w:pStyle w:val="637"/>
        <w:ind w:left="1134" w:hanging="1134"/>
        <w:tabs>
          <w:tab w:val="num" w:pos="1134" w:leader="none"/>
        </w:tabs>
      </w:pPr>
      <w:rPr>
        <w:rFonts w:hint="eastAsia"/>
      </w:rPr>
    </w:lvl>
    <w:lvl w:ilvl="6">
      <w:start w:val="1"/>
      <w:numFmt w:val="decimal"/>
      <w:isLgl w:val="false"/>
      <w:suff w:val="tab"/>
      <w:lvlText w:val="%1.%2.%3.%4.%5.%6.%7."/>
      <w:lvlJc w:val="left"/>
      <w:pPr>
        <w:pStyle w:val="637"/>
        <w:ind w:left="1276" w:hanging="1276"/>
        <w:tabs>
          <w:tab w:val="num" w:pos="1276" w:leader="none"/>
        </w:tabs>
      </w:pPr>
      <w:rPr>
        <w:rFonts w:hint="eastAsia"/>
      </w:rPr>
    </w:lvl>
    <w:lvl w:ilvl="7">
      <w:start w:val="1"/>
      <w:numFmt w:val="decimal"/>
      <w:isLgl w:val="false"/>
      <w:suff w:val="tab"/>
      <w:lvlText w:val="%1.%2.%3.%4.%5.%6.%7.%8."/>
      <w:lvlJc w:val="left"/>
      <w:pPr>
        <w:pStyle w:val="637"/>
        <w:ind w:left="1418" w:hanging="1418"/>
        <w:tabs>
          <w:tab w:val="num" w:pos="1418" w:leader="none"/>
        </w:tabs>
      </w:pPr>
      <w:rPr>
        <w:rFonts w:hint="eastAsia"/>
      </w:rPr>
    </w:lvl>
    <w:lvl w:ilvl="8">
      <w:start w:val="1"/>
      <w:numFmt w:val="decimal"/>
      <w:isLgl w:val="false"/>
      <w:suff w:val="tab"/>
      <w:lvlText w:val="%1.%2.%3.%4.%5.%6.%7.%8.%9."/>
      <w:lvlJc w:val="left"/>
      <w:pPr>
        <w:pStyle w:val="63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37"/>
        <w:ind w:left="0" w:firstLine="0"/>
      </w:pPr>
      <w:rPr>
        <w:rFonts w:hint="eastAsia"/>
      </w:rPr>
    </w:lvl>
    <w:lvl w:ilvl="1">
      <w:start w:val="1"/>
      <w:numFmt w:val="decimal"/>
      <w:isLgl w:val="false"/>
      <w:suff w:val="nothing"/>
      <w:lvlText w:val="%2、"/>
      <w:lvlJc w:val="left"/>
      <w:pPr>
        <w:pStyle w:val="637"/>
        <w:ind w:left="0" w:firstLine="0"/>
      </w:pPr>
      <w:rPr>
        <w:rFonts w:hint="eastAsia"/>
      </w:rPr>
    </w:lvl>
    <w:lvl w:ilvl="2">
      <w:start w:val="1"/>
      <w:numFmt w:val="decimal"/>
      <w:isLgl w:val="false"/>
      <w:suff w:val="nothing"/>
      <w:lvlText w:val="%2.%3 "/>
      <w:lvlJc w:val="left"/>
      <w:pPr>
        <w:pStyle w:val="637"/>
        <w:ind w:left="0" w:firstLine="0"/>
      </w:pPr>
      <w:rPr>
        <w:rFonts w:hint="eastAsia"/>
      </w:rPr>
    </w:lvl>
    <w:lvl w:ilvl="3">
      <w:start w:val="1"/>
      <w:numFmt w:val="decimal"/>
      <w:isLgl w:val="false"/>
      <w:suff w:val="nothing"/>
      <w:lvlText w:val="%2.%3.%4 "/>
      <w:lvlJc w:val="left"/>
      <w:pPr>
        <w:pStyle w:val="637"/>
        <w:ind w:left="0" w:firstLine="0"/>
      </w:pPr>
      <w:rPr>
        <w:rFonts w:hint="eastAsia"/>
      </w:rPr>
    </w:lvl>
    <w:lvl w:ilvl="4">
      <w:start w:val="1"/>
      <w:numFmt w:val="decimal"/>
      <w:isLgl w:val="false"/>
      <w:suff w:val="nothing"/>
      <w:lvlText w:val="%2.%3.%4.%5 "/>
      <w:lvlJc w:val="left"/>
      <w:pPr>
        <w:pStyle w:val="637"/>
        <w:ind w:left="0" w:firstLine="0"/>
      </w:pPr>
      <w:rPr>
        <w:rFonts w:hint="eastAsia"/>
      </w:rPr>
    </w:lvl>
    <w:lvl w:ilvl="5">
      <w:start w:val="1"/>
      <w:numFmt w:val="decimal"/>
      <w:pStyle w:val="643"/>
      <w:isLgl w:val="false"/>
      <w:suff w:val="nothing"/>
      <w:lvlText w:val=""/>
      <w:lvlJc w:val="left"/>
      <w:pPr>
        <w:pStyle w:val="637"/>
        <w:ind w:left="0" w:firstLine="0"/>
      </w:pPr>
      <w:rPr>
        <w:rFonts w:hint="eastAsia"/>
      </w:rPr>
    </w:lvl>
    <w:lvl w:ilvl="6">
      <w:start w:val="1"/>
      <w:numFmt w:val="decimal"/>
      <w:pStyle w:val="644"/>
      <w:isLgl w:val="false"/>
      <w:suff w:val="nothing"/>
      <w:lvlText w:val=""/>
      <w:lvlJc w:val="left"/>
      <w:pPr>
        <w:pStyle w:val="637"/>
        <w:ind w:left="0" w:firstLine="0"/>
      </w:pPr>
      <w:rPr>
        <w:rFonts w:hint="eastAsia"/>
      </w:rPr>
    </w:lvl>
    <w:lvl w:ilvl="7">
      <w:start w:val="1"/>
      <w:numFmt w:val="decimal"/>
      <w:pStyle w:val="645"/>
      <w:isLgl w:val="false"/>
      <w:suff w:val="nothing"/>
      <w:lvlText w:val=""/>
      <w:lvlJc w:val="left"/>
      <w:pPr>
        <w:pStyle w:val="637"/>
        <w:ind w:left="0" w:firstLine="0"/>
      </w:pPr>
      <w:rPr>
        <w:rFonts w:hint="eastAsia"/>
      </w:rPr>
    </w:lvl>
    <w:lvl w:ilvl="8">
      <w:start w:val="1"/>
      <w:numFmt w:val="decimal"/>
      <w:pStyle w:val="646"/>
      <w:isLgl w:val="false"/>
      <w:suff w:val="nothing"/>
      <w:lvlText w:val=""/>
      <w:lvlJc w:val="left"/>
      <w:pPr>
        <w:pStyle w:val="63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3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章 "/>
      <w:lvlJc w:val="left"/>
      <w:pPr>
        <w:pStyle w:val="637"/>
        <w:ind w:left="425" w:hanging="425"/>
      </w:pPr>
      <w:rPr>
        <w:rFonts w:hint="eastAsia"/>
      </w:rPr>
    </w:lvl>
    <w:lvl w:ilvl="1">
      <w:start w:val="1"/>
      <w:numFmt w:val="decimal"/>
      <w:isLgl w:val="false"/>
      <w:suff w:val="tab"/>
      <w:lvlText w:val="%1.%2."/>
      <w:lvlJc w:val="left"/>
      <w:pPr>
        <w:pStyle w:val="637"/>
        <w:ind w:left="567" w:hanging="567"/>
      </w:pPr>
      <w:rPr>
        <w:rFonts w:hint="eastAsia"/>
      </w:rPr>
    </w:lvl>
    <w:lvl w:ilvl="2">
      <w:start w:val="1"/>
      <w:numFmt w:val="decimal"/>
      <w:isLgl w:val="false"/>
      <w:suff w:val="tab"/>
      <w:lvlText w:val="%1.%2.%3."/>
      <w:lvlJc w:val="left"/>
      <w:pPr>
        <w:pStyle w:val="637"/>
        <w:ind w:left="709" w:hanging="709"/>
      </w:pPr>
      <w:rPr>
        <w:rFonts w:hint="eastAsia"/>
      </w:rPr>
    </w:lvl>
    <w:lvl w:ilvl="3">
      <w:start w:val="1"/>
      <w:numFmt w:val="decimal"/>
      <w:isLgl w:val="false"/>
      <w:suff w:val="tab"/>
      <w:lvlText w:val="%1.%2.%3.%4."/>
      <w:lvlJc w:val="left"/>
      <w:pPr>
        <w:pStyle w:val="637"/>
        <w:ind w:left="850" w:hanging="850"/>
      </w:pPr>
      <w:rPr>
        <w:rFonts w:hint="eastAsia"/>
      </w:rPr>
    </w:lvl>
    <w:lvl w:ilvl="4">
      <w:start w:val="1"/>
      <w:numFmt w:val="decimal"/>
      <w:isLgl w:val="false"/>
      <w:suff w:val="tab"/>
      <w:lvlText w:val="%1.%2.%3.%4.%5."/>
      <w:lvlJc w:val="left"/>
      <w:pPr>
        <w:pStyle w:val="637"/>
        <w:ind w:left="991" w:hanging="991"/>
      </w:pPr>
      <w:rPr>
        <w:rFonts w:hint="eastAsia"/>
      </w:rPr>
    </w:lvl>
    <w:lvl w:ilvl="5">
      <w:start w:val="1"/>
      <w:numFmt w:val="decimal"/>
      <w:isLgl w:val="false"/>
      <w:suff w:val="tab"/>
      <w:lvlText w:val="%1.%2.%3.%4.%5.%6."/>
      <w:lvlJc w:val="left"/>
      <w:pPr>
        <w:pStyle w:val="637"/>
        <w:ind w:left="1134" w:hanging="1134"/>
      </w:pPr>
      <w:rPr>
        <w:rFonts w:hint="eastAsia"/>
      </w:rPr>
    </w:lvl>
    <w:lvl w:ilvl="6">
      <w:start w:val="1"/>
      <w:numFmt w:val="decimal"/>
      <w:isLgl w:val="false"/>
      <w:suff w:val="tab"/>
      <w:lvlText w:val="%1.%2.%3.%4.%5.%6.%7."/>
      <w:lvlJc w:val="left"/>
      <w:pPr>
        <w:pStyle w:val="637"/>
        <w:ind w:left="1275" w:hanging="1275"/>
      </w:pPr>
      <w:rPr>
        <w:rFonts w:hint="eastAsia"/>
      </w:rPr>
    </w:lvl>
    <w:lvl w:ilvl="7">
      <w:start w:val="1"/>
      <w:numFmt w:val="decimal"/>
      <w:isLgl w:val="false"/>
      <w:suff w:val="tab"/>
      <w:lvlText w:val="%1.%2.%3.%4.%5.%6.%7.%8."/>
      <w:lvlJc w:val="left"/>
      <w:pPr>
        <w:pStyle w:val="637"/>
        <w:ind w:left="1418" w:hanging="1418"/>
      </w:pPr>
      <w:rPr>
        <w:rFonts w:hint="eastAsia"/>
      </w:rPr>
    </w:lvl>
    <w:lvl w:ilvl="8">
      <w:start w:val="1"/>
      <w:numFmt w:val="decimal"/>
      <w:isLgl w:val="false"/>
      <w:suff w:val="tab"/>
      <w:lvlText w:val="%1.%2.%3.%4.%5.%6.%7.%8.%9."/>
      <w:lvlJc w:val="left"/>
      <w:pPr>
        <w:pStyle w:val="637"/>
        <w:ind w:left="1558" w:hanging="1558"/>
      </w:pPr>
      <w:rPr>
        <w:rFonts w:hint="eastAsia"/>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7"/>
    <w:next w:val="6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37"/>
    <w:link w:val="637"/>
    <w:qFormat/>
    <w:pPr>
      <w:jc w:val="both"/>
      <w:widowControl w:val="off"/>
    </w:pPr>
    <w:rPr>
      <w:sz w:val="21"/>
      <w:szCs w:val="22"/>
      <w:lang w:val="en-US" w:eastAsia="zh-CN" w:bidi="ar-SA"/>
    </w:rPr>
  </w:style>
  <w:style w:type="paragraph" w:styleId="638">
    <w:name w:val="标题 1"/>
    <w:basedOn w:val="637"/>
    <w:next w:val="637"/>
    <w:link w:val="649"/>
    <w:qFormat/>
    <w:pPr>
      <w:jc w:val="center"/>
      <w:keepNext/>
      <w:outlineLvl w:val="0"/>
    </w:pPr>
    <w:rPr>
      <w:rFonts w:ascii="楷体_GB2312" w:hAnsi="Times New Roman" w:eastAsia="楷体_GB2312" w:cs="Times New Roman"/>
      <w:sz w:val="28"/>
      <w:szCs w:val="28"/>
    </w:rPr>
  </w:style>
  <w:style w:type="paragraph" w:styleId="639">
    <w:name w:val="标题 2"/>
    <w:basedOn w:val="637"/>
    <w:next w:val="637"/>
    <w:link w:val="650"/>
    <w:qFormat/>
    <w:pPr>
      <w:jc w:val="center"/>
      <w:keepLines/>
      <w:keepNext/>
      <w:spacing w:before="260" w:after="260" w:line="416" w:lineRule="auto"/>
      <w:outlineLvl w:val="1"/>
    </w:pPr>
    <w:rPr>
      <w:rFonts w:ascii="Arial" w:hAnsi="Arial" w:eastAsia="幼圆" w:cs="Arial"/>
      <w:b/>
      <w:bCs/>
      <w:sz w:val="44"/>
      <w:szCs w:val="44"/>
    </w:rPr>
  </w:style>
  <w:style w:type="paragraph" w:styleId="640">
    <w:name w:val="标题 3"/>
    <w:basedOn w:val="638"/>
    <w:next w:val="637"/>
    <w:link w:val="651"/>
    <w:qFormat/>
    <w:pPr>
      <w:keepLines/>
      <w:keepNext/>
      <w:spacing w:before="260" w:after="260" w:line="416" w:lineRule="auto"/>
      <w:outlineLvl w:val="2"/>
    </w:pPr>
    <w:rPr>
      <w:rFonts w:ascii="Times New Roman" w:hAnsi="Times New Roman" w:eastAsia="宋体" w:cs="Times New Roman"/>
      <w:b/>
      <w:bCs/>
      <w:sz w:val="32"/>
      <w:szCs w:val="32"/>
    </w:rPr>
  </w:style>
  <w:style w:type="paragraph" w:styleId="641">
    <w:name w:val="标题 4"/>
    <w:basedOn w:val="638"/>
    <w:next w:val="637"/>
    <w:link w:val="652"/>
    <w:qFormat/>
    <w:pPr>
      <w:keepLines/>
      <w:keepNext/>
      <w:spacing w:before="280" w:after="290" w:line="376" w:lineRule="auto"/>
      <w:outlineLvl w:val="3"/>
    </w:pPr>
    <w:rPr>
      <w:rFonts w:ascii="Arial" w:hAnsi="Arial" w:eastAsia="黑体" w:cs="Arial"/>
      <w:b/>
      <w:bCs/>
      <w:sz w:val="28"/>
      <w:szCs w:val="28"/>
    </w:rPr>
  </w:style>
  <w:style w:type="paragraph" w:styleId="642">
    <w:name w:val="标题 5"/>
    <w:basedOn w:val="637"/>
    <w:next w:val="637"/>
    <w:link w:val="653"/>
    <w:qFormat/>
    <w:pPr>
      <w:keepNext/>
      <w:outlineLvl w:val="4"/>
    </w:pPr>
    <w:rPr>
      <w:rFonts w:ascii="宋体" w:hAnsi="Times New Roman" w:eastAsia="宋体" w:cs="Times New Roman"/>
      <w:color w:val="000000"/>
      <w:sz w:val="28"/>
      <w:szCs w:val="28"/>
    </w:rPr>
  </w:style>
  <w:style w:type="paragraph" w:styleId="643">
    <w:name w:val="标题 6"/>
    <w:basedOn w:val="637"/>
    <w:next w:val="637"/>
    <w:link w:val="65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44">
    <w:name w:val="标题 7"/>
    <w:basedOn w:val="637"/>
    <w:next w:val="637"/>
    <w:link w:val="65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45">
    <w:name w:val="标题 8"/>
    <w:basedOn w:val="637"/>
    <w:next w:val="637"/>
    <w:link w:val="65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46">
    <w:name w:val="标题 9"/>
    <w:basedOn w:val="637"/>
    <w:next w:val="637"/>
    <w:link w:val="657"/>
    <w:qFormat/>
    <w:pPr>
      <w:numPr>
        <w:ilvl w:val="8"/>
        <w:numId w:val="1"/>
      </w:numPr>
      <w:keepLines/>
      <w:keepNext/>
      <w:spacing w:before="240" w:after="64" w:line="320" w:lineRule="auto"/>
      <w:outlineLvl w:val="8"/>
    </w:pPr>
    <w:rPr>
      <w:rFonts w:ascii="Arial" w:hAnsi="Arial" w:eastAsia="黑体" w:cs="Times New Roman"/>
      <w:szCs w:val="21"/>
    </w:rPr>
  </w:style>
  <w:style w:type="character" w:styleId="647">
    <w:name w:val="默认段落字体"/>
    <w:next w:val="647"/>
    <w:link w:val="637"/>
    <w:uiPriority w:val="1"/>
    <w:unhideWhenUsed/>
  </w:style>
  <w:style w:type="table" w:styleId="648">
    <w:name w:val="普通表格"/>
    <w:next w:val="648"/>
    <w:link w:val="637"/>
    <w:uiPriority w:val="99"/>
    <w:unhideWhenUsed/>
    <w:tblPr/>
  </w:style>
  <w:style w:type="character" w:styleId="649">
    <w:name w:val="标题 1 Char"/>
    <w:next w:val="649"/>
    <w:link w:val="638"/>
    <w:rPr>
      <w:rFonts w:ascii="楷体_GB2312" w:hAnsi="Times New Roman" w:eastAsia="楷体_GB2312" w:cs="Times New Roman"/>
      <w:sz w:val="28"/>
      <w:szCs w:val="28"/>
    </w:rPr>
  </w:style>
  <w:style w:type="character" w:styleId="650">
    <w:name w:val="标题 2 Char"/>
    <w:next w:val="650"/>
    <w:link w:val="639"/>
    <w:rPr>
      <w:rFonts w:ascii="Arial" w:hAnsi="Arial" w:eastAsia="幼圆" w:cs="Arial"/>
      <w:b/>
      <w:bCs/>
      <w:sz w:val="44"/>
      <w:szCs w:val="44"/>
    </w:rPr>
  </w:style>
  <w:style w:type="character" w:styleId="651">
    <w:name w:val="标题 3 Char"/>
    <w:next w:val="651"/>
    <w:link w:val="640"/>
    <w:rPr>
      <w:rFonts w:ascii="Times New Roman" w:hAnsi="Times New Roman" w:eastAsia="宋体" w:cs="Times New Roman"/>
      <w:b/>
      <w:bCs/>
      <w:sz w:val="32"/>
      <w:szCs w:val="32"/>
    </w:rPr>
  </w:style>
  <w:style w:type="character" w:styleId="652">
    <w:name w:val="标题 4 Char"/>
    <w:next w:val="652"/>
    <w:link w:val="641"/>
    <w:rPr>
      <w:rFonts w:ascii="Arial" w:hAnsi="Arial" w:eastAsia="黑体" w:cs="Arial"/>
      <w:b/>
      <w:bCs/>
      <w:sz w:val="28"/>
      <w:szCs w:val="28"/>
    </w:rPr>
  </w:style>
  <w:style w:type="character" w:styleId="653">
    <w:name w:val="标题 5 Char"/>
    <w:next w:val="653"/>
    <w:link w:val="642"/>
    <w:rPr>
      <w:rFonts w:ascii="宋体" w:hAnsi="Times New Roman" w:eastAsia="宋体" w:cs="Times New Roman"/>
      <w:color w:val="000000"/>
      <w:sz w:val="28"/>
      <w:szCs w:val="28"/>
    </w:rPr>
  </w:style>
  <w:style w:type="character" w:styleId="654">
    <w:name w:val="标题 6 Char"/>
    <w:next w:val="654"/>
    <w:link w:val="643"/>
    <w:rPr>
      <w:rFonts w:ascii="Arial" w:hAnsi="Arial" w:eastAsia="黑体" w:cs="Times New Roman"/>
      <w:b/>
      <w:bCs/>
      <w:sz w:val="24"/>
      <w:szCs w:val="24"/>
    </w:rPr>
  </w:style>
  <w:style w:type="character" w:styleId="655">
    <w:name w:val="标题 7 Char"/>
    <w:next w:val="655"/>
    <w:link w:val="644"/>
    <w:rPr>
      <w:rFonts w:ascii="Times New Roman" w:hAnsi="Times New Roman" w:eastAsia="宋体" w:cs="Times New Roman"/>
      <w:b/>
      <w:bCs/>
      <w:sz w:val="24"/>
      <w:szCs w:val="24"/>
    </w:rPr>
  </w:style>
  <w:style w:type="character" w:styleId="656">
    <w:name w:val="标题 8 Char"/>
    <w:next w:val="656"/>
    <w:link w:val="645"/>
    <w:rPr>
      <w:rFonts w:ascii="Arial" w:hAnsi="Arial" w:eastAsia="黑体" w:cs="Times New Roman"/>
      <w:sz w:val="24"/>
      <w:szCs w:val="24"/>
    </w:rPr>
  </w:style>
  <w:style w:type="character" w:styleId="657">
    <w:name w:val="标题 9 Char"/>
    <w:next w:val="657"/>
    <w:link w:val="646"/>
    <w:rPr>
      <w:rFonts w:ascii="Arial" w:hAnsi="Arial" w:eastAsia="黑体" w:cs="Times New Roman"/>
      <w:szCs w:val="21"/>
    </w:rPr>
  </w:style>
  <w:style w:type="paragraph" w:styleId="658">
    <w:name w:val="列表 3"/>
    <w:basedOn w:val="637"/>
    <w:next w:val="658"/>
    <w:link w:val="637"/>
    <w:pPr>
      <w:ind w:left="100" w:hanging="200"/>
    </w:pPr>
    <w:rPr>
      <w:rFonts w:ascii="Times New Roman" w:hAnsi="Times New Roman" w:eastAsia="宋体" w:cs="Times New Roman"/>
      <w:szCs w:val="21"/>
    </w:rPr>
  </w:style>
  <w:style w:type="paragraph" w:styleId="659">
    <w:name w:val="目录 7"/>
    <w:basedOn w:val="637"/>
    <w:next w:val="637"/>
    <w:link w:val="637"/>
    <w:semiHidden/>
    <w:pPr>
      <w:ind w:left="1260"/>
      <w:jc w:val="left"/>
    </w:pPr>
    <w:rPr>
      <w:rFonts w:ascii="Times New Roman" w:hAnsi="Times New Roman" w:eastAsia="宋体" w:cs="Times New Roman"/>
      <w:szCs w:val="21"/>
    </w:rPr>
  </w:style>
  <w:style w:type="paragraph" w:styleId="660">
    <w:name w:val="正文缩进"/>
    <w:basedOn w:val="637"/>
    <w:next w:val="660"/>
    <w:link w:val="661"/>
    <w:pPr>
      <w:ind w:firstLine="420"/>
    </w:pPr>
    <w:rPr>
      <w:szCs w:val="21"/>
    </w:rPr>
  </w:style>
  <w:style w:type="character" w:styleId="661">
    <w:name w:val="正文缩进 Char"/>
    <w:next w:val="661"/>
    <w:link w:val="660"/>
    <w:rPr>
      <w:szCs w:val="21"/>
    </w:rPr>
  </w:style>
  <w:style w:type="paragraph" w:styleId="662">
    <w:name w:val="文档结构图"/>
    <w:basedOn w:val="637"/>
    <w:next w:val="662"/>
    <w:link w:val="663"/>
    <w:semiHidden/>
    <w:pPr>
      <w:shd w:val="clear" w:color="auto" w:fill="000080"/>
    </w:pPr>
    <w:rPr>
      <w:rFonts w:ascii="Times New Roman" w:hAnsi="Times New Roman" w:eastAsia="宋体" w:cs="Times New Roman"/>
      <w:szCs w:val="21"/>
    </w:rPr>
  </w:style>
  <w:style w:type="character" w:styleId="663">
    <w:name w:val="文档结构图 Char"/>
    <w:next w:val="663"/>
    <w:link w:val="662"/>
    <w:semiHidden/>
    <w:rPr>
      <w:rFonts w:ascii="Times New Roman" w:hAnsi="Times New Roman" w:eastAsia="宋体" w:cs="Times New Roman"/>
      <w:szCs w:val="21"/>
      <w:shd w:val="clear" w:color="auto" w:fill="000080"/>
    </w:rPr>
  </w:style>
  <w:style w:type="paragraph" w:styleId="664">
    <w:name w:val="批注文字"/>
    <w:basedOn w:val="637"/>
    <w:next w:val="664"/>
    <w:link w:val="665"/>
    <w:unhideWhenUsed/>
    <w:pPr>
      <w:jc w:val="left"/>
    </w:pPr>
  </w:style>
  <w:style w:type="character" w:styleId="665">
    <w:name w:val="批注文字 Char"/>
    <w:next w:val="665"/>
    <w:link w:val="664"/>
    <w:uiPriority w:val="99"/>
    <w:semiHidden/>
  </w:style>
  <w:style w:type="paragraph" w:styleId="666">
    <w:name w:val="正文文本 3"/>
    <w:basedOn w:val="637"/>
    <w:next w:val="666"/>
    <w:link w:val="667"/>
    <w:rPr>
      <w:rFonts w:ascii="仿宋_GB2312" w:hAnsi="Arial" w:eastAsia="仿宋_GB2312" w:cs="Times New Roman"/>
      <w:sz w:val="32"/>
      <w:szCs w:val="32"/>
    </w:rPr>
  </w:style>
  <w:style w:type="character" w:styleId="667">
    <w:name w:val="正文文本 3 Char"/>
    <w:next w:val="667"/>
    <w:link w:val="666"/>
    <w:rPr>
      <w:rFonts w:ascii="仿宋_GB2312" w:hAnsi="Arial" w:eastAsia="仿宋_GB2312" w:cs="Times New Roman"/>
      <w:sz w:val="32"/>
      <w:szCs w:val="32"/>
    </w:rPr>
  </w:style>
  <w:style w:type="paragraph" w:styleId="668">
    <w:name w:val="正文文本"/>
    <w:basedOn w:val="637"/>
    <w:next w:val="668"/>
    <w:link w:val="669"/>
    <w:rPr>
      <w:rFonts w:ascii="楷体_GB2312" w:hAnsi="Arial" w:eastAsia="楷体_GB2312" w:cs="Times New Roman"/>
      <w:sz w:val="28"/>
      <w:szCs w:val="28"/>
    </w:rPr>
  </w:style>
  <w:style w:type="character" w:styleId="669">
    <w:name w:val="正文文本 Char"/>
    <w:next w:val="669"/>
    <w:link w:val="668"/>
    <w:rPr>
      <w:rFonts w:ascii="楷体_GB2312" w:hAnsi="Arial" w:eastAsia="楷体_GB2312" w:cs="Times New Roman"/>
      <w:sz w:val="28"/>
      <w:szCs w:val="28"/>
    </w:rPr>
  </w:style>
  <w:style w:type="paragraph" w:styleId="670">
    <w:name w:val="正文文本缩进"/>
    <w:basedOn w:val="637"/>
    <w:next w:val="670"/>
    <w:link w:val="671"/>
    <w:unhideWhenUsed/>
    <w:pPr>
      <w:ind w:left="420"/>
      <w:spacing w:after="120"/>
    </w:pPr>
  </w:style>
  <w:style w:type="character" w:styleId="671">
    <w:name w:val="正文文本缩进 Char"/>
    <w:next w:val="671"/>
    <w:link w:val="670"/>
    <w:uiPriority w:val="99"/>
    <w:semiHidden/>
  </w:style>
  <w:style w:type="paragraph" w:styleId="672">
    <w:name w:val="列表 2"/>
    <w:basedOn w:val="637"/>
    <w:next w:val="672"/>
    <w:link w:val="637"/>
    <w:pPr>
      <w:ind w:left="100" w:hanging="200"/>
    </w:pPr>
    <w:rPr>
      <w:rFonts w:ascii="Times New Roman" w:hAnsi="Times New Roman" w:eastAsia="宋体" w:cs="Times New Roman"/>
      <w:szCs w:val="21"/>
    </w:rPr>
  </w:style>
  <w:style w:type="paragraph" w:styleId="673">
    <w:name w:val="目录 5"/>
    <w:basedOn w:val="637"/>
    <w:next w:val="637"/>
    <w:link w:val="637"/>
    <w:semiHidden/>
    <w:pPr>
      <w:ind w:left="840"/>
      <w:jc w:val="left"/>
    </w:pPr>
    <w:rPr>
      <w:rFonts w:ascii="Times New Roman" w:hAnsi="Times New Roman" w:eastAsia="宋体" w:cs="Times New Roman"/>
      <w:szCs w:val="21"/>
    </w:rPr>
  </w:style>
  <w:style w:type="paragraph" w:styleId="674">
    <w:name w:val="目录 3"/>
    <w:basedOn w:val="637"/>
    <w:next w:val="637"/>
    <w:link w:val="637"/>
    <w:semiHidden/>
    <w:pPr>
      <w:ind w:left="420"/>
      <w:jc w:val="left"/>
    </w:pPr>
    <w:rPr>
      <w:rFonts w:ascii="Times New Roman" w:hAnsi="Times New Roman" w:eastAsia="宋体" w:cs="Times New Roman"/>
      <w:i/>
      <w:iCs/>
      <w:szCs w:val="24"/>
    </w:rPr>
  </w:style>
  <w:style w:type="paragraph" w:styleId="675">
    <w:name w:val="纯文本"/>
    <w:basedOn w:val="637"/>
    <w:next w:val="675"/>
    <w:link w:val="676"/>
    <w:qFormat/>
    <w:rPr>
      <w:rFonts w:ascii="宋体" w:hAnsi="Courier New" w:eastAsia="宋体" w:cs="Courier New"/>
      <w:szCs w:val="21"/>
    </w:rPr>
  </w:style>
  <w:style w:type="character" w:styleId="676">
    <w:name w:val="纯文本 Char"/>
    <w:next w:val="676"/>
    <w:link w:val="675"/>
    <w:rPr>
      <w:rFonts w:ascii="宋体" w:hAnsi="Courier New" w:eastAsia="宋体" w:cs="Courier New"/>
      <w:szCs w:val="21"/>
    </w:rPr>
  </w:style>
  <w:style w:type="paragraph" w:styleId="677">
    <w:name w:val="目录 8"/>
    <w:basedOn w:val="637"/>
    <w:next w:val="637"/>
    <w:link w:val="637"/>
    <w:semiHidden/>
    <w:pPr>
      <w:ind w:left="1470"/>
      <w:jc w:val="left"/>
    </w:pPr>
    <w:rPr>
      <w:rFonts w:ascii="Times New Roman" w:hAnsi="Times New Roman" w:eastAsia="宋体" w:cs="Times New Roman"/>
      <w:szCs w:val="21"/>
    </w:rPr>
  </w:style>
  <w:style w:type="paragraph" w:styleId="678">
    <w:name w:val="日期"/>
    <w:basedOn w:val="637"/>
    <w:next w:val="637"/>
    <w:link w:val="679"/>
    <w:rPr>
      <w:rFonts w:ascii="Times New Roman" w:hAnsi="Times New Roman" w:eastAsia="宋体" w:cs="Times New Roman"/>
      <w:sz w:val="24"/>
      <w:szCs w:val="24"/>
    </w:rPr>
  </w:style>
  <w:style w:type="character" w:styleId="679">
    <w:name w:val="日期 Char"/>
    <w:next w:val="679"/>
    <w:link w:val="678"/>
    <w:rPr>
      <w:rFonts w:ascii="Times New Roman" w:hAnsi="Times New Roman" w:eastAsia="宋体" w:cs="Times New Roman"/>
      <w:sz w:val="24"/>
      <w:szCs w:val="24"/>
    </w:rPr>
  </w:style>
  <w:style w:type="paragraph" w:styleId="680">
    <w:name w:val="正文文本缩进 2"/>
    <w:basedOn w:val="637"/>
    <w:next w:val="680"/>
    <w:link w:val="681"/>
    <w:pPr>
      <w:ind w:left="630" w:firstLine="645"/>
    </w:pPr>
    <w:rPr>
      <w:rFonts w:ascii="Arial" w:hAnsi="Arial" w:eastAsia="仿宋_GB2312" w:cs="Arial"/>
      <w:sz w:val="32"/>
      <w:szCs w:val="32"/>
    </w:rPr>
  </w:style>
  <w:style w:type="character" w:styleId="681">
    <w:name w:val="正文文本缩进 2 Char"/>
    <w:next w:val="681"/>
    <w:link w:val="680"/>
    <w:rPr>
      <w:rFonts w:ascii="Arial" w:hAnsi="Arial" w:eastAsia="仿宋_GB2312" w:cs="Arial"/>
      <w:sz w:val="32"/>
      <w:szCs w:val="32"/>
    </w:rPr>
  </w:style>
  <w:style w:type="paragraph" w:styleId="682">
    <w:name w:val="批注框文本"/>
    <w:basedOn w:val="637"/>
    <w:next w:val="682"/>
    <w:link w:val="683"/>
    <w:semiHidden/>
    <w:rPr>
      <w:rFonts w:ascii="Times New Roman" w:hAnsi="Times New Roman" w:eastAsia="宋体" w:cs="Times New Roman"/>
      <w:sz w:val="18"/>
      <w:szCs w:val="18"/>
    </w:rPr>
  </w:style>
  <w:style w:type="character" w:styleId="683">
    <w:name w:val="批注框文本 Char"/>
    <w:next w:val="683"/>
    <w:link w:val="682"/>
    <w:semiHidden/>
    <w:rPr>
      <w:rFonts w:ascii="Times New Roman" w:hAnsi="Times New Roman" w:eastAsia="宋体" w:cs="Times New Roman"/>
      <w:sz w:val="18"/>
      <w:szCs w:val="18"/>
    </w:rPr>
  </w:style>
  <w:style w:type="paragraph" w:styleId="684">
    <w:name w:val="页脚"/>
    <w:basedOn w:val="637"/>
    <w:next w:val="684"/>
    <w:link w:val="68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685">
    <w:name w:val="页脚 Char"/>
    <w:next w:val="685"/>
    <w:link w:val="684"/>
    <w:uiPriority w:val="99"/>
    <w:rPr>
      <w:rFonts w:ascii="Times New Roman" w:hAnsi="Times New Roman" w:eastAsia="宋体" w:cs="Times New Roman"/>
      <w:sz w:val="18"/>
      <w:szCs w:val="18"/>
    </w:rPr>
  </w:style>
  <w:style w:type="paragraph" w:styleId="686">
    <w:name w:val="页眉"/>
    <w:basedOn w:val="637"/>
    <w:next w:val="686"/>
    <w:link w:val="68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687">
    <w:name w:val="页眉 Char"/>
    <w:next w:val="687"/>
    <w:link w:val="686"/>
    <w:rPr>
      <w:rFonts w:ascii="Times New Roman" w:hAnsi="Times New Roman" w:eastAsia="宋体" w:cs="Times New Roman"/>
      <w:sz w:val="18"/>
      <w:szCs w:val="18"/>
    </w:rPr>
  </w:style>
  <w:style w:type="paragraph" w:styleId="688">
    <w:name w:val="目录 1"/>
    <w:basedOn w:val="637"/>
    <w:next w:val="637"/>
    <w:link w:val="63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689">
    <w:name w:val="目录 4"/>
    <w:basedOn w:val="637"/>
    <w:next w:val="637"/>
    <w:link w:val="637"/>
    <w:semiHidden/>
    <w:pPr>
      <w:ind w:left="630"/>
      <w:jc w:val="left"/>
    </w:pPr>
    <w:rPr>
      <w:rFonts w:ascii="Times New Roman" w:hAnsi="Times New Roman" w:eastAsia="宋体" w:cs="Times New Roman"/>
      <w:szCs w:val="21"/>
    </w:rPr>
  </w:style>
  <w:style w:type="paragraph" w:styleId="690">
    <w:name w:val="列表"/>
    <w:basedOn w:val="637"/>
    <w:next w:val="690"/>
    <w:link w:val="637"/>
    <w:pPr>
      <w:ind w:left="200" w:hanging="200"/>
    </w:pPr>
    <w:rPr>
      <w:rFonts w:ascii="Times New Roman" w:hAnsi="Times New Roman" w:eastAsia="宋体" w:cs="Times New Roman"/>
      <w:szCs w:val="21"/>
    </w:rPr>
  </w:style>
  <w:style w:type="paragraph" w:styleId="691">
    <w:name w:val="目录 6"/>
    <w:basedOn w:val="637"/>
    <w:next w:val="637"/>
    <w:link w:val="637"/>
    <w:semiHidden/>
    <w:pPr>
      <w:ind w:left="1050"/>
      <w:jc w:val="left"/>
    </w:pPr>
    <w:rPr>
      <w:rFonts w:ascii="Times New Roman" w:hAnsi="Times New Roman" w:eastAsia="宋体" w:cs="Times New Roman"/>
      <w:szCs w:val="21"/>
    </w:rPr>
  </w:style>
  <w:style w:type="paragraph" w:styleId="692">
    <w:name w:val="正文文本缩进 3"/>
    <w:basedOn w:val="637"/>
    <w:next w:val="692"/>
    <w:link w:val="693"/>
    <w:pPr>
      <w:ind w:left="645" w:firstLine="645"/>
    </w:pPr>
    <w:rPr>
      <w:rFonts w:ascii="Arial" w:hAnsi="Arial" w:eastAsia="仿宋_GB2312" w:cs="Arial"/>
      <w:color w:val="ffff00"/>
      <w:sz w:val="32"/>
      <w:szCs w:val="32"/>
    </w:rPr>
  </w:style>
  <w:style w:type="character" w:styleId="693">
    <w:name w:val="正文文本缩进 3 Char"/>
    <w:next w:val="693"/>
    <w:link w:val="692"/>
    <w:rPr>
      <w:rFonts w:ascii="Arial" w:hAnsi="Arial" w:eastAsia="仿宋_GB2312" w:cs="Arial"/>
      <w:color w:val="ffff00"/>
      <w:sz w:val="32"/>
      <w:szCs w:val="32"/>
    </w:rPr>
  </w:style>
  <w:style w:type="paragraph" w:styleId="694">
    <w:name w:val="图表目录"/>
    <w:basedOn w:val="637"/>
    <w:next w:val="637"/>
    <w:link w:val="637"/>
    <w:semiHidden/>
    <w:pPr>
      <w:ind w:left="840" w:hanging="420"/>
    </w:pPr>
    <w:rPr>
      <w:rFonts w:ascii="Times New Roman" w:hAnsi="Times New Roman" w:eastAsia="宋体" w:cs="Times New Roman"/>
      <w:szCs w:val="21"/>
    </w:rPr>
  </w:style>
  <w:style w:type="paragraph" w:styleId="695">
    <w:name w:val="目录 2"/>
    <w:basedOn w:val="637"/>
    <w:next w:val="637"/>
    <w:link w:val="637"/>
    <w:semiHidden/>
    <w:pPr>
      <w:ind w:left="210"/>
      <w:jc w:val="left"/>
    </w:pPr>
    <w:rPr>
      <w:rFonts w:ascii="Times New Roman" w:hAnsi="Times New Roman" w:eastAsia="宋体" w:cs="Times New Roman"/>
      <w:smallCaps/>
      <w:szCs w:val="24"/>
    </w:rPr>
  </w:style>
  <w:style w:type="paragraph" w:styleId="696">
    <w:name w:val="目录 9"/>
    <w:basedOn w:val="637"/>
    <w:next w:val="637"/>
    <w:link w:val="637"/>
    <w:semiHidden/>
    <w:pPr>
      <w:ind w:left="1680"/>
      <w:jc w:val="left"/>
    </w:pPr>
    <w:rPr>
      <w:rFonts w:ascii="Times New Roman" w:hAnsi="Times New Roman" w:eastAsia="宋体" w:cs="Times New Roman"/>
      <w:szCs w:val="21"/>
    </w:rPr>
  </w:style>
  <w:style w:type="paragraph" w:styleId="697">
    <w:name w:val="正文文本 2"/>
    <w:basedOn w:val="637"/>
    <w:next w:val="697"/>
    <w:link w:val="698"/>
    <w:pPr>
      <w:jc w:val="center"/>
      <w:widowControl/>
    </w:pPr>
    <w:rPr>
      <w:rFonts w:ascii="楷体_GB2312" w:hAnsi="Times New Roman" w:eastAsia="楷体_GB2312" w:cs="Times New Roman"/>
      <w:sz w:val="28"/>
      <w:szCs w:val="28"/>
    </w:rPr>
  </w:style>
  <w:style w:type="character" w:styleId="698">
    <w:name w:val="正文文本 2 Char"/>
    <w:next w:val="698"/>
    <w:link w:val="697"/>
    <w:rPr>
      <w:rFonts w:ascii="楷体_GB2312" w:hAnsi="Times New Roman" w:eastAsia="楷体_GB2312" w:cs="Times New Roman"/>
      <w:sz w:val="28"/>
      <w:szCs w:val="28"/>
    </w:rPr>
  </w:style>
  <w:style w:type="paragraph" w:styleId="699">
    <w:name w:val="普通(网站)"/>
    <w:basedOn w:val="637"/>
    <w:next w:val="699"/>
    <w:link w:val="637"/>
    <w:uiPriority w:val="99"/>
    <w:pPr>
      <w:jc w:val="left"/>
      <w:spacing w:before="100" w:beforeAutospacing="1" w:after="100" w:afterAutospacing="1"/>
      <w:widowControl/>
    </w:pPr>
    <w:rPr>
      <w:rFonts w:ascii="宋体" w:hAnsi="宋体" w:eastAsia="宋体" w:cs="宋体"/>
      <w:sz w:val="24"/>
      <w:szCs w:val="24"/>
    </w:rPr>
  </w:style>
  <w:style w:type="paragraph" w:styleId="700">
    <w:name w:val="索引 1"/>
    <w:basedOn w:val="637"/>
    <w:next w:val="637"/>
    <w:link w:val="637"/>
    <w:semiHidden/>
    <w:pPr>
      <w:spacing w:line="240" w:lineRule="atLeast"/>
    </w:pPr>
    <w:rPr>
      <w:rFonts w:ascii="Times New Roman" w:hAnsi="Times New Roman" w:eastAsia="宋体" w:cs="Times New Roman"/>
      <w:b/>
      <w:bCs/>
      <w:szCs w:val="21"/>
    </w:rPr>
  </w:style>
  <w:style w:type="paragraph" w:styleId="701">
    <w:name w:val="批注主题"/>
    <w:basedOn w:val="664"/>
    <w:next w:val="664"/>
    <w:link w:val="702"/>
    <w:semiHidden/>
    <w:rPr>
      <w:rFonts w:ascii="Times New Roman" w:hAnsi="Times New Roman" w:eastAsia="宋体" w:cs="Times New Roman"/>
      <w:b/>
      <w:bCs/>
      <w:szCs w:val="21"/>
    </w:rPr>
  </w:style>
  <w:style w:type="character" w:styleId="702">
    <w:name w:val="批注主题 Char"/>
    <w:next w:val="702"/>
    <w:link w:val="701"/>
    <w:semiHidden/>
    <w:rPr>
      <w:rFonts w:ascii="Times New Roman" w:hAnsi="Times New Roman" w:eastAsia="宋体" w:cs="Times New Roman"/>
      <w:b/>
      <w:bCs/>
      <w:szCs w:val="21"/>
    </w:rPr>
  </w:style>
  <w:style w:type="paragraph" w:styleId="703">
    <w:name w:val="正文首行缩进"/>
    <w:basedOn w:val="637"/>
    <w:next w:val="703"/>
    <w:link w:val="704"/>
    <w:pPr>
      <w:ind w:firstLine="200"/>
      <w:spacing w:line="360" w:lineRule="auto"/>
    </w:pPr>
    <w:rPr>
      <w:rFonts w:ascii="仿宋_GB2312" w:hAnsi="Times New Roman" w:eastAsia="仿宋_GB2312" w:cs="Times New Roman"/>
      <w:sz w:val="30"/>
      <w:szCs w:val="30"/>
    </w:rPr>
  </w:style>
  <w:style w:type="character" w:styleId="704">
    <w:name w:val="正文首行缩进 Char"/>
    <w:next w:val="704"/>
    <w:link w:val="703"/>
    <w:rPr>
      <w:rFonts w:ascii="仿宋_GB2312" w:hAnsi="Times New Roman" w:eastAsia="仿宋_GB2312" w:cs="Times New Roman"/>
      <w:sz w:val="30"/>
      <w:szCs w:val="30"/>
    </w:rPr>
  </w:style>
  <w:style w:type="paragraph" w:styleId="705">
    <w:name w:val="正文首行缩进 2"/>
    <w:basedOn w:val="670"/>
    <w:next w:val="705"/>
    <w:link w:val="706"/>
    <w:pPr>
      <w:ind w:left="0" w:firstLine="420"/>
      <w:spacing w:after="0" w:line="360" w:lineRule="auto"/>
    </w:pPr>
    <w:rPr>
      <w:rFonts w:ascii="宋体" w:hAnsi="宋体" w:eastAsia="宋体" w:cs="Times New Roman"/>
      <w:szCs w:val="20"/>
    </w:rPr>
  </w:style>
  <w:style w:type="character" w:styleId="706">
    <w:name w:val="正文首行缩进 2 Char"/>
    <w:next w:val="706"/>
    <w:link w:val="705"/>
    <w:rPr>
      <w:rFonts w:ascii="宋体" w:hAnsi="宋体" w:eastAsia="宋体" w:cs="Times New Roman"/>
      <w:szCs w:val="20"/>
    </w:rPr>
  </w:style>
  <w:style w:type="table" w:styleId="707">
    <w:name w:val="网格型"/>
    <w:basedOn w:val="648"/>
    <w:next w:val="707"/>
    <w:link w:val="637"/>
    <w:pPr>
      <w:jc w:val="both"/>
      <w:widowControl w:val="off"/>
    </w:pPr>
    <w:rPr>
      <w:rFonts w:ascii="Times New Roman" w:hAnsi="Times New Roman" w:eastAsia="宋体" w:cs="Times New Roman"/>
      <w:sz w:val="20"/>
      <w:szCs w:val="20"/>
    </w:rPr>
    <w:tblPr/>
  </w:style>
  <w:style w:type="character" w:styleId="708">
    <w:name w:val="要点"/>
    <w:next w:val="708"/>
    <w:link w:val="637"/>
    <w:qFormat/>
    <w:rPr>
      <w:b/>
      <w:bCs/>
    </w:rPr>
  </w:style>
  <w:style w:type="character" w:styleId="709">
    <w:name w:val="页码"/>
    <w:next w:val="709"/>
    <w:link w:val="637"/>
  </w:style>
  <w:style w:type="character" w:styleId="710">
    <w:name w:val="已访问的超链接"/>
    <w:next w:val="710"/>
    <w:link w:val="637"/>
    <w:rPr>
      <w:color w:val="800080"/>
      <w:u w:val="single"/>
    </w:rPr>
  </w:style>
  <w:style w:type="character" w:styleId="711">
    <w:name w:val="超链接"/>
    <w:next w:val="711"/>
    <w:link w:val="637"/>
    <w:rPr>
      <w:color w:val="0000ff"/>
      <w:u w:val="single"/>
    </w:rPr>
  </w:style>
  <w:style w:type="character" w:styleId="712">
    <w:name w:val="批注引用"/>
    <w:next w:val="712"/>
    <w:link w:val="637"/>
    <w:semiHidden/>
    <w:rPr>
      <w:sz w:val="21"/>
      <w:szCs w:val="21"/>
    </w:rPr>
  </w:style>
  <w:style w:type="character" w:styleId="713">
    <w:name w:val="font5 Char"/>
    <w:next w:val="713"/>
    <w:link w:val="637"/>
    <w:rPr>
      <w:rFonts w:ascii="宋体" w:hAnsi="宋体" w:eastAsia="宋体"/>
      <w:sz w:val="28"/>
      <w:szCs w:val="28"/>
      <w:lang w:val="en-US" w:eastAsia="zh-CN" w:bidi="ar-SA"/>
    </w:rPr>
  </w:style>
  <w:style w:type="character" w:styleId="714">
    <w:name w:val="二级目录 Char"/>
    <w:next w:val="714"/>
    <w:link w:val="715"/>
    <w:rPr>
      <w:b/>
      <w:sz w:val="30"/>
      <w:szCs w:val="28"/>
    </w:rPr>
  </w:style>
  <w:style w:type="paragraph" w:styleId="715">
    <w:name w:val="二级目录"/>
    <w:next w:val="637"/>
    <w:link w:val="714"/>
    <w:pPr>
      <w:numPr>
        <w:ilvl w:val="0"/>
        <w:numId w:val="2"/>
      </w:numPr>
      <w:tabs>
        <w:tab w:val="left" w:pos="907" w:leader="none"/>
        <w:tab w:val="left" w:pos="1145" w:leader="none"/>
      </w:tabs>
      <w:outlineLvl w:val="1"/>
    </w:pPr>
    <w:rPr>
      <w:b/>
      <w:sz w:val="30"/>
      <w:szCs w:val="28"/>
      <w:lang w:val="en-US" w:eastAsia="zh-CN" w:bidi="ar-SA"/>
    </w:rPr>
  </w:style>
  <w:style w:type="character" w:styleId="716">
    <w:name w:val="列出段落 Char,Bullet List Char,numbered Char,FooterText Char,List Paragraph1 Char,Paragraphe de liste1 Char"/>
    <w:next w:val="716"/>
    <w:link w:val="717"/>
    <w:rPr>
      <w:rFonts w:ascii="Calibri" w:hAnsi="Calibri"/>
      <w:sz w:val="24"/>
      <w:szCs w:val="24"/>
      <w:lang w:eastAsia="en-US" w:bidi="en-US"/>
    </w:rPr>
  </w:style>
  <w:style w:type="paragraph" w:styleId="717">
    <w:name w:val="列出段落1"/>
    <w:basedOn w:val="637"/>
    <w:next w:val="717"/>
    <w:link w:val="716"/>
    <w:qFormat/>
    <w:pPr>
      <w:contextualSpacing/>
      <w:ind w:left="720"/>
      <w:jc w:val="left"/>
      <w:widowControl/>
    </w:pPr>
    <w:rPr>
      <w:rFonts w:ascii="Calibri" w:hAnsi="Calibri"/>
      <w:sz w:val="24"/>
      <w:szCs w:val="24"/>
      <w:lang w:eastAsia="en-US" w:bidi="en-US"/>
    </w:rPr>
  </w:style>
  <w:style w:type="paragraph" w:styleId="718">
    <w:name w:val="Body Text(ch)"/>
    <w:basedOn w:val="637"/>
    <w:next w:val="668"/>
    <w:link w:val="637"/>
    <w:pPr>
      <w:spacing w:after="120"/>
    </w:pPr>
    <w:rPr>
      <w:rFonts w:ascii="宋体" w:hAnsi="Arial" w:eastAsia="宋体" w:cs="Times New Roman"/>
      <w:bCs/>
      <w:iCs/>
      <w:szCs w:val="24"/>
    </w:rPr>
  </w:style>
  <w:style w:type="paragraph" w:styleId="719">
    <w:name w:val="xl27"/>
    <w:basedOn w:val="637"/>
    <w:next w:val="719"/>
    <w:link w:val="6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20">
    <w:name w:val="xl26"/>
    <w:basedOn w:val="637"/>
    <w:next w:val="720"/>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21">
    <w:name w:val="Char"/>
    <w:basedOn w:val="637"/>
    <w:next w:val="721"/>
    <w:link w:val="637"/>
    <w:pPr>
      <w:ind w:firstLine="200"/>
      <w:tabs>
        <w:tab w:val="left" w:pos="360" w:leader="none"/>
      </w:tabs>
    </w:pPr>
    <w:rPr>
      <w:rFonts w:ascii="Times New Roman" w:hAnsi="Times New Roman" w:eastAsia="宋体" w:cs="Times New Roman"/>
      <w:sz w:val="28"/>
      <w:szCs w:val="30"/>
    </w:rPr>
  </w:style>
  <w:style w:type="paragraph" w:styleId="722">
    <w:name w:val=" Char"/>
    <w:basedOn w:val="662"/>
    <w:next w:val="722"/>
    <w:link w:val="637"/>
    <w:rPr>
      <w:rFonts w:ascii="Tahoma" w:hAnsi="Tahoma"/>
      <w:sz w:val="24"/>
      <w:szCs w:val="24"/>
    </w:rPr>
  </w:style>
  <w:style w:type="paragraph" w:styleId="723">
    <w:name w:val="普通正文"/>
    <w:basedOn w:val="637"/>
    <w:next w:val="723"/>
    <w:link w:val="637"/>
    <w:pPr>
      <w:ind w:firstLine="480"/>
      <w:jc w:val="left"/>
      <w:spacing w:before="120" w:after="120" w:line="360" w:lineRule="auto"/>
    </w:pPr>
    <w:rPr>
      <w:rFonts w:ascii="Arial" w:hAnsi="Arial" w:eastAsia="宋体" w:cs="Times New Roman"/>
      <w:sz w:val="24"/>
      <w:szCs w:val="24"/>
    </w:rPr>
  </w:style>
  <w:style w:type="paragraph" w:styleId="724">
    <w:name w:val="table_lines"/>
    <w:basedOn w:val="637"/>
    <w:next w:val="724"/>
    <w:link w:val="637"/>
    <w:pPr>
      <w:jc w:val="left"/>
      <w:widowControl/>
    </w:pPr>
    <w:rPr>
      <w:rFonts w:ascii="Times New Roman" w:hAnsi="Times New Roman" w:eastAsia="宋体" w:cs="Times New Roman"/>
      <w:sz w:val="20"/>
      <w:szCs w:val="20"/>
      <w:lang w:val="de-DE" w:eastAsia="de-DE"/>
    </w:rPr>
  </w:style>
  <w:style w:type="paragraph" w:styleId="725">
    <w:name w:val="附录1"/>
    <w:next w:val="725"/>
    <w:link w:val="63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26">
    <w:name w:val="font7"/>
    <w:basedOn w:val="637"/>
    <w:next w:val="726"/>
    <w:link w:val="637"/>
    <w:pPr>
      <w:jc w:val="left"/>
      <w:spacing w:before="100" w:beforeAutospacing="1" w:after="100" w:afterAutospacing="1"/>
      <w:widowControl/>
    </w:pPr>
    <w:rPr>
      <w:rFonts w:hint="eastAsia" w:ascii="宋体" w:hAnsi="宋体" w:eastAsia="宋体" w:cs="Times New Roman"/>
      <w:sz w:val="18"/>
      <w:szCs w:val="18"/>
    </w:rPr>
  </w:style>
  <w:style w:type="paragraph" w:styleId="727">
    <w:name w:val=" Char Char Char Char"/>
    <w:basedOn w:val="662"/>
    <w:next w:val="727"/>
    <w:link w:val="637"/>
    <w:pPr>
      <w:spacing w:line="360" w:lineRule="auto"/>
    </w:pPr>
    <w:rPr>
      <w:rFonts w:ascii="Tahoma" w:hAnsi="Tahoma"/>
      <w:sz w:val="24"/>
      <w:szCs w:val="24"/>
    </w:rPr>
  </w:style>
  <w:style w:type="paragraph" w:styleId="728">
    <w:name w:val="列出段落"/>
    <w:basedOn w:val="637"/>
    <w:next w:val="728"/>
    <w:link w:val="637"/>
    <w:qFormat/>
    <w:pPr>
      <w:contextualSpacing/>
      <w:ind w:left="720"/>
      <w:jc w:val="left"/>
      <w:widowControl/>
    </w:pPr>
    <w:rPr>
      <w:rFonts w:ascii="Calibri" w:hAnsi="Calibri" w:eastAsia="宋体" w:cs="Times New Roman"/>
      <w:sz w:val="24"/>
      <w:szCs w:val="24"/>
      <w:lang w:eastAsia="en-US" w:bidi="en-US"/>
    </w:rPr>
  </w:style>
  <w:style w:type="paragraph" w:styleId="729">
    <w:name w:val="4"/>
    <w:basedOn w:val="637"/>
    <w:next w:val="692"/>
    <w:link w:val="637"/>
    <w:pPr>
      <w:ind w:firstLine="420"/>
      <w:spacing w:line="360" w:lineRule="auto"/>
    </w:pPr>
    <w:rPr>
      <w:rFonts w:ascii="Times New Roman" w:hAnsi="Times New Roman" w:eastAsia="宋体" w:cs="Times New Roman"/>
      <w:color w:val="ff0000"/>
      <w:sz w:val="24"/>
      <w:szCs w:val="24"/>
    </w:rPr>
  </w:style>
  <w:style w:type="paragraph" w:styleId="730">
    <w:name w:val="普通 (Web)"/>
    <w:basedOn w:val="637"/>
    <w:next w:val="730"/>
    <w:link w:val="637"/>
    <w:pPr>
      <w:jc w:val="left"/>
      <w:spacing w:before="100" w:beforeAutospacing="1" w:after="100" w:afterAutospacing="1"/>
      <w:widowControl/>
    </w:pPr>
    <w:rPr>
      <w:rFonts w:ascii="宋体" w:hAnsi="宋体" w:eastAsia="宋体" w:cs="Times New Roman"/>
      <w:sz w:val="24"/>
      <w:szCs w:val="24"/>
    </w:rPr>
  </w:style>
  <w:style w:type="paragraph" w:styleId="731">
    <w:name w:val=" Char Char Char Char Char Char Char Char Char Char"/>
    <w:basedOn w:val="637"/>
    <w:next w:val="731"/>
    <w:link w:val="637"/>
    <w:pPr>
      <w:spacing w:line="360" w:lineRule="auto"/>
    </w:pPr>
    <w:rPr>
      <w:rFonts w:ascii="Times New Roman" w:hAnsi="Times New Roman" w:eastAsia="宋体" w:cs="Times New Roman"/>
      <w:sz w:val="24"/>
      <w:szCs w:val="20"/>
    </w:rPr>
  </w:style>
  <w:style w:type="paragraph" w:styleId="732">
    <w:name w:val="样式1"/>
    <w:basedOn w:val="637"/>
    <w:next w:val="732"/>
    <w:link w:val="637"/>
    <w:pPr>
      <w:numPr>
        <w:ilvl w:val="0"/>
        <w:numId w:val="3"/>
      </w:numPr>
      <w:tabs>
        <w:tab w:val="left" w:pos="709" w:leader="none"/>
      </w:tabs>
    </w:pPr>
    <w:rPr>
      <w:rFonts w:ascii="宋体" w:hAnsi="宋体" w:eastAsia="宋体" w:cs="Times New Roman"/>
      <w:szCs w:val="21"/>
    </w:rPr>
  </w:style>
  <w:style w:type="paragraph" w:styleId="733">
    <w:name w:val="font6"/>
    <w:basedOn w:val="637"/>
    <w:next w:val="733"/>
    <w:link w:val="637"/>
    <w:pPr>
      <w:jc w:val="left"/>
      <w:spacing w:before="100" w:beforeAutospacing="1" w:after="100" w:afterAutospacing="1"/>
      <w:widowControl/>
    </w:pPr>
    <w:rPr>
      <w:rFonts w:hint="eastAsia" w:ascii="宋体" w:hAnsi="宋体" w:eastAsia="宋体" w:cs="Times New Roman"/>
      <w:sz w:val="28"/>
      <w:szCs w:val="28"/>
      <w:u w:val="single"/>
    </w:rPr>
  </w:style>
  <w:style w:type="paragraph" w:styleId="734">
    <w:name w:val="xl25"/>
    <w:basedOn w:val="637"/>
    <w:next w:val="734"/>
    <w:link w:val="6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35">
    <w:name w:val="图标"/>
    <w:basedOn w:val="637"/>
    <w:next w:val="637"/>
    <w:link w:val="63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36">
    <w:name w:val="标题3"/>
    <w:basedOn w:val="637"/>
    <w:next w:val="637"/>
    <w:link w:val="637"/>
    <w:pPr>
      <w:ind w:firstLine="624"/>
      <w:spacing w:line="590" w:lineRule="atLeast"/>
    </w:pPr>
    <w:rPr>
      <w:rFonts w:ascii="方正黑体_GBK" w:hAnsi="Times New Roman" w:eastAsia="方正黑体_GBK" w:cs="Times New Roman"/>
      <w:sz w:val="32"/>
      <w:szCs w:val="32"/>
    </w:rPr>
  </w:style>
  <w:style w:type="paragraph" w:styleId="737">
    <w:name w:val="xl24"/>
    <w:basedOn w:val="637"/>
    <w:next w:val="737"/>
    <w:link w:val="6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8">
    <w:name w:val="xl29"/>
    <w:basedOn w:val="637"/>
    <w:next w:val="738"/>
    <w:link w:val="63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39">
    <w:name w:val="Char Char Char Char Char Char Char Char"/>
    <w:basedOn w:val="637"/>
    <w:next w:val="739"/>
    <w:link w:val="637"/>
    <w:pPr>
      <w:jc w:val="left"/>
      <w:spacing w:after="160" w:line="240" w:lineRule="exact"/>
      <w:widowControl/>
    </w:pPr>
    <w:rPr>
      <w:rFonts w:ascii="Verdana" w:hAnsi="Verdana" w:eastAsia="宋体" w:cs="Times New Roman"/>
      <w:sz w:val="20"/>
      <w:szCs w:val="20"/>
      <w:lang w:eastAsia="en-US"/>
    </w:rPr>
  </w:style>
  <w:style w:type="paragraph" w:styleId="740">
    <w:name w:val="xl28"/>
    <w:basedOn w:val="637"/>
    <w:next w:val="740"/>
    <w:link w:val="6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41">
    <w:name w:val=" Char Char Char Char Char Char Char Char"/>
    <w:basedOn w:val="637"/>
    <w:next w:val="741"/>
    <w:link w:val="637"/>
    <w:pPr>
      <w:jc w:val="left"/>
      <w:spacing w:after="160" w:line="240" w:lineRule="exact"/>
      <w:widowControl/>
    </w:pPr>
    <w:rPr>
      <w:rFonts w:ascii="Verdana" w:hAnsi="Verdana" w:eastAsia="宋体" w:cs="Times New Roman"/>
      <w:sz w:val="20"/>
      <w:szCs w:val="20"/>
      <w:lang w:eastAsia="en-US"/>
    </w:rPr>
  </w:style>
  <w:style w:type="paragraph" w:styleId="742">
    <w:name w:val="xl30"/>
    <w:basedOn w:val="637"/>
    <w:next w:val="742"/>
    <w:link w:val="637"/>
    <w:pPr>
      <w:jc w:val="center"/>
      <w:spacing w:before="100" w:beforeAutospacing="1" w:after="100" w:afterAutospacing="1"/>
      <w:widowControl/>
    </w:pPr>
    <w:rPr>
      <w:rFonts w:ascii="宋体" w:hAnsi="宋体" w:eastAsia="宋体" w:cs="Times New Roman"/>
      <w:b/>
      <w:bCs/>
      <w:sz w:val="36"/>
      <w:szCs w:val="36"/>
    </w:rPr>
  </w:style>
  <w:style w:type="paragraph" w:styleId="743">
    <w:name w:val="Char Char Char Char"/>
    <w:basedOn w:val="662"/>
    <w:next w:val="743"/>
    <w:link w:val="637"/>
    <w:pPr>
      <w:spacing w:line="360" w:lineRule="auto"/>
    </w:pPr>
    <w:rPr>
      <w:rFonts w:ascii="Tahoma" w:hAnsi="Tahoma"/>
      <w:sz w:val="24"/>
      <w:szCs w:val="24"/>
    </w:rPr>
  </w:style>
  <w:style w:type="paragraph" w:styleId="744">
    <w:name w:val="table_1stline"/>
    <w:basedOn w:val="637"/>
    <w:next w:val="744"/>
    <w:link w:val="637"/>
    <w:pPr>
      <w:jc w:val="left"/>
      <w:spacing w:before="120"/>
      <w:widowControl/>
    </w:pPr>
    <w:rPr>
      <w:rFonts w:ascii="Times New Roman" w:hAnsi="Times New Roman" w:eastAsia="宋体" w:cs="Times New Roman"/>
      <w:bCs/>
      <w:sz w:val="20"/>
      <w:szCs w:val="20"/>
      <w:lang w:val="de-DE" w:eastAsia="de-DE"/>
    </w:rPr>
  </w:style>
  <w:style w:type="paragraph" w:styleId="745">
    <w:name w:val="font5"/>
    <w:basedOn w:val="637"/>
    <w:next w:val="745"/>
    <w:link w:val="637"/>
    <w:pPr>
      <w:jc w:val="left"/>
      <w:spacing w:before="100" w:beforeAutospacing="1" w:after="100" w:afterAutospacing="1"/>
      <w:widowControl/>
    </w:pPr>
    <w:rPr>
      <w:rFonts w:hint="eastAsia" w:ascii="宋体" w:hAnsi="宋体" w:eastAsia="宋体" w:cs="Times New Roman"/>
      <w:sz w:val="28"/>
      <w:szCs w:val="28"/>
    </w:rPr>
  </w:style>
  <w:style w:type="paragraph" w:styleId="746">
    <w:name w:val="标题1"/>
    <w:basedOn w:val="637"/>
    <w:next w:val="637"/>
    <w:link w:val="63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47">
    <w:name w:val="修订"/>
    <w:next w:val="747"/>
    <w:link w:val="637"/>
    <w:uiPriority w:val="99"/>
    <w:semiHidden/>
    <w:rPr>
      <w:rFonts w:ascii="Times New Roman" w:hAnsi="Times New Roman"/>
      <w:sz w:val="21"/>
      <w:szCs w:val="21"/>
      <w:lang w:val="en-US" w:eastAsia="zh-CN" w:bidi="ar-SA"/>
    </w:rPr>
  </w:style>
  <w:style w:type="paragraph" w:styleId="748">
    <w:name w:val="无间隔"/>
    <w:next w:val="748"/>
    <w:link w:val="637"/>
    <w:uiPriority w:val="99"/>
    <w:qFormat/>
    <w:pPr>
      <w:jc w:val="both"/>
      <w:widowControl w:val="off"/>
    </w:pPr>
    <w:rPr>
      <w:rFonts w:ascii="Times New Roman" w:hAnsi="Times New Roman"/>
      <w:sz w:val="21"/>
      <w:szCs w:val="21"/>
      <w:lang w:val="en-US" w:eastAsia="zh-CN" w:bidi="ar-SA"/>
    </w:rPr>
  </w:style>
  <w:style w:type="paragraph" w:styleId="749">
    <w:name w:val="AONormal"/>
    <w:next w:val="749"/>
    <w:link w:val="637"/>
    <w:qFormat/>
    <w:pPr>
      <w:ind w:firstLine="440"/>
      <w:spacing w:line="400" w:lineRule="exact"/>
    </w:pPr>
    <w:rPr>
      <w:rFonts w:ascii="华文楷体" w:hAnsi="华文楷体" w:eastAsia="华文楷体" w:cs="华文楷体"/>
      <w:sz w:val="22"/>
      <w:szCs w:val="21"/>
      <w:lang w:val="en-US" w:eastAsia="zh-CN" w:bidi="ar-SA"/>
    </w:rPr>
  </w:style>
  <w:style w:type="paragraph" w:styleId="750">
    <w:name w:val="普通(网站)11"/>
    <w:basedOn w:val="637"/>
    <w:next w:val="750"/>
    <w:link w:val="637"/>
    <w:uiPriority w:val="99"/>
    <w:qFormat/>
    <w:pPr>
      <w:jc w:val="left"/>
      <w:spacing w:before="100" w:beforeAutospacing="1" w:after="100" w:afterAutospacing="1"/>
      <w:widowControl/>
    </w:pPr>
    <w:rPr>
      <w:rFonts w:ascii="宋体" w:hAnsi="宋体" w:eastAsia="宋体" w:cs="宋体"/>
      <w:sz w:val="24"/>
      <w:szCs w:val="24"/>
    </w:rPr>
  </w:style>
  <w:style w:type="character" w:styleId="38523" w:default="1">
    <w:name w:val="Default Paragraph Font"/>
    <w:uiPriority w:val="1"/>
    <w:semiHidden/>
    <w:unhideWhenUsed/>
  </w:style>
  <w:style w:type="numbering" w:styleId="38524" w:default="1">
    <w:name w:val="No List"/>
    <w:uiPriority w:val="99"/>
    <w:semiHidden/>
    <w:unhideWhenUsed/>
  </w:style>
  <w:style w:type="table" w:styleId="385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4</cp:revision>
  <dcterms:created xsi:type="dcterms:W3CDTF">2023-03-27T07:28:00Z</dcterms:created>
  <dcterms:modified xsi:type="dcterms:W3CDTF">2026-07-17T08:32:32Z</dcterms:modified>
</cp:coreProperties>
</file>