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94"/>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694"/>
        <w:ind w:firstLine="1323"/>
        <w:rPr>
          <w:rFonts w:ascii="宋体" w:hAnsi="宋体" w:cs="宋体"/>
          <w:b/>
          <w:bCs/>
          <w:sz w:val="36"/>
          <w:szCs w:val="36"/>
        </w:rPr>
        <w:outlineLvl w:val="0"/>
      </w:pPr>
      <w:r>
        <w:rPr>
          <w:rFonts w:ascii="宋体" w:hAnsi="宋体" w:cs="宋体"/>
          <w:b/>
          <w:bCs/>
          <w:sz w:val="36"/>
          <w:szCs w:val="36"/>
        </w:rPr>
      </w:r>
      <w:r/>
    </w:p>
    <w:p>
      <w:pPr>
        <w:pStyle w:val="694"/>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694"/>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694"/>
        <w:ind w:left="586" w:firstLine="643"/>
        <w:spacing w:line="560" w:lineRule="exact"/>
        <w:rPr>
          <w:rFonts w:ascii="宋体" w:hAnsi="宋体" w:cs="宋体"/>
          <w:b/>
          <w:bCs/>
          <w:color w:val="000000"/>
          <w:sz w:val="32"/>
          <w:szCs w:val="32"/>
        </w:rPr>
        <w:outlineLvl w:val="0"/>
      </w:pPr>
      <w:r/>
      <w:bookmarkStart w:id="0" w:name="_Toc30403"/>
      <w:r/>
      <w:bookmarkStart w:id="1" w:name="_Toc11046"/>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rPr>
        <w:t xml:space="preserve">生态环境应急监测能力建设</w:t>
      </w:r>
      <w:r>
        <w:rPr>
          <w:rFonts w:ascii="宋体" w:hAnsi="宋体" w:cs="宋体"/>
          <w:b/>
          <w:bCs/>
          <w:color w:val="000000"/>
          <w:sz w:val="32"/>
          <w:szCs w:val="32"/>
        </w:rPr>
      </w:r>
      <w:r/>
    </w:p>
    <w:p>
      <w:pPr>
        <w:pStyle w:val="694"/>
        <w:ind w:firstLine="1176"/>
        <w:spacing w:line="560" w:lineRule="exact"/>
        <w:rPr>
          <w:rFonts w:ascii="宋体" w:hAnsi="宋体" w:cs="宋体"/>
          <w:b/>
          <w:bCs/>
          <w:color w:val="000000"/>
          <w:sz w:val="32"/>
          <w:szCs w:val="32"/>
        </w:rPr>
        <w:outlineLvl w:val="0"/>
      </w:pPr>
      <w:r/>
      <w:bookmarkStart w:id="2" w:name="_Toc9793"/>
      <w:r/>
      <w:bookmarkStart w:id="3" w:name="_Toc27556"/>
      <w:r/>
      <w:bookmarkStart w:id="4" w:name="_Toc26997"/>
      <w:r/>
      <w:bookmarkStart w:id="5" w:name="_Toc31244"/>
      <w:r>
        <w:rPr>
          <w:rFonts w:hint="eastAsia" w:ascii="宋体" w:hAnsi="宋体" w:cs="宋体"/>
          <w:b/>
          <w:bCs/>
          <w:color w:val="000000"/>
          <w:sz w:val="32"/>
          <w:szCs w:val="32"/>
        </w:rPr>
        <w:t xml:space="preserve">项目编号：</w:t>
      </w:r>
      <w:bookmarkEnd w:id="2"/>
      <w:r/>
      <w:bookmarkEnd w:id="3"/>
      <w:r/>
      <w:bookmarkEnd w:id="4"/>
      <w:r/>
      <w:bookmarkEnd w:id="5"/>
      <w:r/>
      <w:bookmarkStart w:id="6" w:name="OLE_LINK22"/>
      <w:r>
        <w:rPr>
          <w:rFonts w:hint="eastAsia" w:ascii="宋体" w:hAnsi="宋体" w:cs="宋体"/>
          <w:b/>
          <w:bCs/>
          <w:color w:val="000000"/>
          <w:sz w:val="32"/>
          <w:szCs w:val="32"/>
        </w:rPr>
        <w:t xml:space="preserve">JSZC-321281-HUAY-G2026-0005</w:t>
      </w:r>
      <w:r>
        <w:rPr>
          <w:rFonts w:ascii="宋体" w:hAnsi="宋体" w:cs="宋体"/>
          <w:b/>
          <w:bCs/>
          <w:color w:val="000000"/>
          <w:sz w:val="32"/>
          <w:szCs w:val="32"/>
        </w:rPr>
      </w:r>
      <w:r/>
    </w:p>
    <w:p>
      <w:pPr>
        <w:pStyle w:val="694"/>
        <w:ind w:firstLine="1176"/>
        <w:spacing w:line="560" w:lineRule="exact"/>
        <w:rPr>
          <w:rFonts w:ascii="宋体" w:hAnsi="宋体" w:cs="宋体"/>
          <w:b/>
          <w:bCs/>
          <w:color w:val="000000"/>
          <w:sz w:val="32"/>
          <w:szCs w:val="32"/>
        </w:rPr>
      </w:pPr>
      <w:r/>
      <w:bookmarkEnd w:id="6"/>
      <w:r>
        <w:rPr>
          <w:rFonts w:hint="eastAsia" w:ascii="宋体" w:hAnsi="宋体" w:cs="宋体"/>
          <w:b/>
          <w:bCs/>
          <w:color w:val="000000"/>
          <w:sz w:val="32"/>
          <w:szCs w:val="32"/>
        </w:rPr>
        <w:t xml:space="preserve">招 标 人：泰州市兴化生态环境局</w:t>
      </w:r>
      <w:r>
        <w:rPr>
          <w:rFonts w:ascii="宋体" w:hAnsi="宋体" w:cs="宋体"/>
          <w:b/>
          <w:bCs/>
          <w:color w:val="000000"/>
          <w:sz w:val="32"/>
          <w:szCs w:val="32"/>
        </w:rPr>
      </w:r>
      <w:r/>
    </w:p>
    <w:p>
      <w:pPr>
        <w:pStyle w:val="694"/>
        <w:jc w:val="center"/>
        <w:spacing w:before="120" w:after="120" w:line="360" w:lineRule="auto"/>
        <w:rPr>
          <w:rFonts w:hint="eastAsia" w:ascii="Arial" w:hAnsi="Arial"/>
          <w:b/>
          <w:bCs/>
          <w:color w:val="000000"/>
          <w:sz w:val="32"/>
          <w:szCs w:val="24"/>
        </w:rPr>
      </w:pPr>
      <w:r/>
      <w:bookmarkStart w:id="7" w:name="_Toc14020"/>
      <w:r/>
      <w:bookmarkStart w:id="8" w:name="_Toc23081"/>
      <w:r/>
      <w:bookmarkStart w:id="9" w:name="_Toc26482"/>
      <w:r/>
      <w:bookmarkStart w:id="10" w:name="_Toc27445"/>
      <w:r>
        <w:rPr>
          <w:rFonts w:hint="eastAsia" w:ascii="宋体" w:hAnsi="宋体" w:cs="宋体"/>
          <w:b/>
          <w:bCs/>
          <w:color w:val="000000"/>
          <w:sz w:val="32"/>
          <w:szCs w:val="32"/>
        </w:rPr>
        <w:t xml:space="preserve"> 招标代理机构：</w:t>
      </w:r>
      <w:bookmarkEnd w:id="7"/>
      <w:r/>
      <w:bookmarkEnd w:id="8"/>
      <w:r/>
      <w:bookmarkEnd w:id="9"/>
      <w:r/>
      <w:bookmarkEnd w:id="10"/>
      <w:r>
        <w:rPr>
          <w:rFonts w:hint="eastAsia" w:ascii="Arial" w:hAnsi="Arial"/>
          <w:b/>
          <w:bCs/>
          <w:color w:val="000000"/>
          <w:sz w:val="32"/>
          <w:szCs w:val="24"/>
        </w:rPr>
        <w:t xml:space="preserve">江苏华毅项目管理有限公司</w:t>
      </w:r>
      <w:r/>
    </w:p>
    <w:p>
      <w:pPr>
        <w:pStyle w:val="694"/>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694"/>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694"/>
        <w:rPr>
          <w:rFonts w:hint="eastAsia"/>
          <w:b/>
          <w:color w:val="000000"/>
          <w:sz w:val="24"/>
          <w:szCs w:val="24"/>
        </w:rPr>
      </w:pPr>
      <w:r>
        <w:rPr>
          <w:rFonts w:hint="eastAsia"/>
          <w:b/>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六</w:t>
      </w:r>
      <w:r>
        <w:rPr>
          <w:rFonts w:hint="eastAsia" w:ascii="黑体" w:eastAsia="黑体"/>
          <w:color w:val="000000"/>
          <w:sz w:val="36"/>
        </w:rPr>
        <w:t xml:space="preserve">月</w:t>
      </w:r>
      <w:r>
        <w:rPr>
          <w:rFonts w:ascii="黑体" w:eastAsia="黑体"/>
          <w:color w:val="000000"/>
          <w:sz w:val="36"/>
        </w:rPr>
      </w:r>
      <w:r/>
    </w:p>
    <w:p>
      <w:pPr>
        <w:pStyle w:val="69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9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94"/>
        <w:jc w:val="center"/>
        <w:spacing w:line="480" w:lineRule="auto"/>
        <w:rPr>
          <w:rFonts w:hint="eastAsia" w:ascii="黑体" w:hAnsi="Arial" w:eastAsia="黑体"/>
          <w:b/>
          <w:color w:val="000000"/>
          <w:sz w:val="44"/>
          <w:szCs w:val="21"/>
        </w:rPr>
        <w:outlineLvl w:val="0"/>
      </w:pPr>
      <w:r>
        <w:rPr>
          <w:color w:val="000000"/>
          <w:szCs w:val="21"/>
        </w:rPr>
        <w:br w:type="page" w:clear="all"/>
      </w:r>
      <w:bookmarkStart w:id="11" w:name="_Toc120614210"/>
      <w:r/>
      <w:bookmarkStart w:id="12" w:name="_Toc16938516"/>
      <w:r/>
      <w:bookmarkStart w:id="13" w:name="_Toc513029200"/>
      <w:r/>
      <w:bookmarkStart w:id="14" w:name="_Toc479757206"/>
      <w:r/>
      <w:bookmarkStart w:id="15" w:name="_Toc20823272"/>
      <w:r/>
      <w:bookmarkStart w:id="16" w:name="_Toc523127445"/>
      <w:r>
        <w:rPr>
          <w:rFonts w:hint="eastAsia" w:ascii="黑体" w:hAnsi="Arial" w:eastAsia="黑体"/>
          <w:b/>
          <w:color w:val="000000"/>
          <w:sz w:val="44"/>
          <w:szCs w:val="21"/>
        </w:rPr>
        <w:t xml:space="preserve">总  目  录</w:t>
      </w:r>
      <w:r/>
    </w:p>
    <w:p>
      <w:pPr>
        <w:pStyle w:val="69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94"/>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17</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33</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64</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68</w:t>
      </w:r>
      <w:r>
        <w:rPr>
          <w:rFonts w:hint="eastAsia" w:ascii="黑体" w:hAnsi="Showcard Gothic" w:eastAsia="黑体"/>
          <w:color w:val="000000"/>
          <w:sz w:val="36"/>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1"/>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泰州市兴化生态环境局</w:t>
      </w:r>
      <w:r>
        <w:rPr>
          <w:rFonts w:hint="eastAsia" w:ascii="宋体" w:hAnsi="宋体"/>
          <w:color w:val="000000"/>
          <w:sz w:val="24"/>
          <w:szCs w:val="24"/>
        </w:rPr>
        <w:t xml:space="preserve">的委托，</w:t>
      </w:r>
      <w:r>
        <w:rPr>
          <w:rFonts w:hint="eastAsia" w:ascii="宋体" w:hAnsi="宋体"/>
          <w:color w:val="000000"/>
          <w:sz w:val="24"/>
          <w:szCs w:val="24"/>
        </w:rPr>
        <w:t xml:space="preserve">江苏华毅项目管理有限公司</w:t>
      </w:r>
      <w:r>
        <w:rPr>
          <w:rFonts w:hint="eastAsia" w:ascii="宋体" w:hAnsi="宋体" w:cs="宋体"/>
          <w:sz w:val="24"/>
          <w:szCs w:val="24"/>
        </w:rPr>
        <w:t xml:space="preserve">（以下简称：江苏华毅）就</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r>
        <w:rPr>
          <w:rFonts w:ascii="宋体" w:hAnsi="宋体"/>
          <w:color w:val="000000"/>
          <w:sz w:val="24"/>
          <w:szCs w:val="24"/>
        </w:rPr>
        <w:t xml:space="preserve">JSZC-321281-HUAY-G2026-0005</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9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9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生态环境应急监测能力建设</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7</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6</w:t>
      </w:r>
      <w:r>
        <w:rPr>
          <w:rFonts w:hint="eastAsia" w:ascii="宋体" w:hAnsi="宋体"/>
          <w:bCs/>
          <w:color w:val="000000"/>
          <w:sz w:val="24"/>
          <w:szCs w:val="24"/>
          <w:u w:val="single"/>
        </w:rPr>
        <w:t xml:space="preserve">日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 </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94"/>
        <w:ind w:firstLine="436"/>
        <w:keepLines/>
        <w:keepNext/>
        <w:spacing w:before="156" w:after="156" w:line="400" w:lineRule="exact"/>
        <w:rPr>
          <w:b/>
          <w:bCs/>
          <w:color w:val="000000"/>
          <w:sz w:val="28"/>
          <w:szCs w:val="28"/>
        </w:rPr>
        <w:outlineLvl w:val="2"/>
      </w:pPr>
      <w:r/>
      <w:bookmarkStart w:id="17" w:name="_Toc35393621"/>
      <w:r/>
      <w:bookmarkStart w:id="18" w:name="_Toc28359079"/>
      <w:r/>
      <w:bookmarkStart w:id="19" w:name="_Toc28359002"/>
      <w:r/>
      <w:bookmarkStart w:id="20" w:name="_Toc35393790"/>
      <w:r/>
      <w:bookmarkStart w:id="21" w:name="_Toc38985263"/>
      <w:r/>
      <w:bookmarkStart w:id="22" w:name="_Hlk24379207"/>
      <w:r>
        <w:rPr>
          <w:rFonts w:hint="eastAsia"/>
          <w:b/>
          <w:bCs/>
          <w:color w:val="000000"/>
          <w:sz w:val="28"/>
          <w:szCs w:val="28"/>
        </w:rPr>
        <w:t xml:space="preserve">一、项目基本情况</w:t>
      </w:r>
      <w:bookmarkEnd w:id="17"/>
      <w:r/>
      <w:bookmarkEnd w:id="18"/>
      <w:r/>
      <w:bookmarkEnd w:id="19"/>
      <w:r/>
      <w:bookmarkEnd w:id="20"/>
      <w:r/>
      <w:bookmarkEnd w:id="21"/>
      <w:r>
        <w:rPr>
          <w:b/>
          <w:bCs/>
          <w:color w:val="000000"/>
          <w:sz w:val="28"/>
          <w:szCs w:val="28"/>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JSZC-321281-HUAY-G2026-0005</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w:t>
      </w:r>
      <w:r>
        <w:rPr>
          <w:rFonts w:hint="eastAsia" w:ascii="宋体" w:hAnsi="宋体"/>
          <w:color w:val="000000"/>
          <w:sz w:val="24"/>
          <w:szCs w:val="24"/>
        </w:rPr>
        <w:t xml:space="preserve">生态环境应急监测能力建设</w:t>
      </w:r>
      <w:r>
        <w:rPr>
          <w:rFonts w:ascii="宋体" w:hAnsi="宋体"/>
          <w:color w:val="000000"/>
          <w:sz w:val="24"/>
          <w:szCs w:val="24"/>
        </w:rPr>
      </w:r>
      <w:r/>
    </w:p>
    <w:p>
      <w:pPr>
        <w:pStyle w:val="694"/>
        <w:ind w:firstLine="480"/>
        <w:spacing w:line="400" w:lineRule="exact"/>
        <w:rPr>
          <w:rFonts w:ascii="宋体" w:hAnsi="宋体"/>
          <w:color w:val="000000"/>
          <w:sz w:val="24"/>
          <w:szCs w:val="24"/>
        </w:rPr>
      </w:pPr>
      <w:r/>
      <w:bookmarkEnd w:id="22"/>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59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779" w:type="dxa"/>
            <w:vAlign w:val="top"/>
            <w:textDirection w:val="lrTb"/>
            <w:noWrap w:val="false"/>
          </w:tcPr>
          <w:p>
            <w:pPr>
              <w:pStyle w:val="694"/>
              <w:jc w:val="center"/>
              <w:spacing w:line="0" w:lineRule="atLeast"/>
              <w:rPr>
                <w:rFonts w:ascii="宋体" w:hAnsi="宋体"/>
                <w:color w:val="000000"/>
                <w:sz w:val="24"/>
                <w:szCs w:val="24"/>
              </w:rPr>
            </w:pPr>
            <w:r/>
            <w:bookmarkStart w:id="23" w:name="OLE_LINK31"/>
            <w:r/>
            <w:bookmarkStart w:id="24" w:name="OLE_LINK32"/>
            <w:r/>
            <w:bookmarkStart w:id="25" w:name="_Hlk227330946"/>
            <w:r>
              <w:rPr>
                <w:rFonts w:hint="eastAsia" w:ascii="宋体" w:hAnsi="宋体"/>
                <w:color w:val="000000"/>
                <w:sz w:val="24"/>
                <w:szCs w:val="24"/>
              </w:rPr>
              <w:t xml:space="preserve">1</w:t>
            </w:r>
            <w:r>
              <w:rPr>
                <w:rFonts w:ascii="宋体" w:hAnsi="宋体"/>
                <w:color w:val="000000"/>
                <w:sz w:val="24"/>
                <w:szCs w:val="24"/>
              </w:rPr>
            </w:r>
            <w:r/>
          </w:p>
        </w:tc>
        <w:tc>
          <w:tcPr>
            <w:tcW w:w="5953"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410</w:t>
            </w:r>
            <w:r>
              <w:rPr>
                <w:rFonts w:ascii="宋体" w:hAnsi="宋体"/>
                <w:color w:val="000000"/>
                <w:sz w:val="24"/>
                <w:szCs w:val="24"/>
              </w:rPr>
            </w:r>
            <w:r/>
          </w:p>
        </w:tc>
      </w:tr>
      <w:tr>
        <w:trPr/>
        <w:tc>
          <w:tcPr>
            <w:tcW w:w="1779"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59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83.5</w:t>
            </w:r>
            <w:r>
              <w:rPr>
                <w:rFonts w:hint="eastAsia" w:ascii="宋体" w:hAnsi="宋体"/>
                <w:color w:val="000000"/>
                <w:sz w:val="24"/>
                <w:szCs w:val="24"/>
              </w:rPr>
            </w:r>
            <w:r/>
          </w:p>
        </w:tc>
      </w:tr>
      <w:tr>
        <w:trPr/>
        <w:tc>
          <w:tcPr>
            <w:tcW w:w="1779"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59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206</w:t>
            </w:r>
            <w:r>
              <w:rPr>
                <w:rFonts w:hint="eastAsia" w:ascii="宋体" w:hAnsi="宋体"/>
                <w:color w:val="000000"/>
                <w:sz w:val="24"/>
                <w:szCs w:val="24"/>
              </w:rPr>
            </w:r>
            <w:r/>
          </w:p>
        </w:tc>
      </w:tr>
    </w:tbl>
    <w:p>
      <w:pPr>
        <w:pStyle w:val="694"/>
        <w:ind w:firstLine="480"/>
        <w:spacing w:line="400" w:lineRule="exact"/>
        <w:rPr>
          <w:rFonts w:ascii="宋体" w:hAnsi="宋体"/>
          <w:color w:val="000000"/>
          <w:sz w:val="24"/>
          <w:szCs w:val="24"/>
        </w:rPr>
      </w:pPr>
      <w:r/>
      <w:bookmarkEnd w:id="23"/>
      <w:r/>
      <w:bookmarkEnd w:id="24"/>
      <w:r/>
      <w:bookmarkEnd w:id="25"/>
      <w:r>
        <w:rPr>
          <w:rFonts w:hint="eastAsia" w:ascii="宋体" w:hAnsi="宋体"/>
          <w:color w:val="000000"/>
          <w:sz w:val="24"/>
          <w:szCs w:val="24"/>
        </w:rPr>
        <w:t xml:space="preserve">4.</w:t>
      </w:r>
      <w:bookmarkStart w:id="26" w:name="OLE_LINK1"/>
      <w:r/>
      <w:bookmarkStart w:id="27" w:name="OLE_LINK2"/>
      <w:r>
        <w:rPr>
          <w:rFonts w:hint="eastAsia" w:ascii="宋体" w:hAnsi="宋体"/>
          <w:color w:val="000000"/>
          <w:sz w:val="24"/>
          <w:szCs w:val="24"/>
        </w:rPr>
        <w:t xml:space="preserve">最高</w:t>
      </w:r>
      <w:r>
        <w:rPr>
          <w:rFonts w:ascii="宋体" w:hAnsi="宋体"/>
          <w:color w:val="000000"/>
          <w:sz w:val="24"/>
          <w:szCs w:val="24"/>
        </w:rPr>
        <w:t xml:space="preserve">限价</w:t>
      </w:r>
      <w:bookmarkEnd w:id="26"/>
      <w:r/>
      <w:bookmarkEnd w:id="27"/>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2977"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40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53"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77"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402"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410</w:t>
            </w:r>
            <w:r>
              <w:rPr>
                <w:rFonts w:ascii="宋体" w:hAnsi="宋体"/>
                <w:color w:val="000000"/>
                <w:sz w:val="24"/>
                <w:szCs w:val="24"/>
              </w:rPr>
            </w:r>
            <w:r/>
          </w:p>
        </w:tc>
      </w:tr>
      <w:tr>
        <w:trPr/>
        <w:tc>
          <w:tcPr>
            <w:tcW w:w="13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977"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4"/>
                <w:szCs w:val="24"/>
              </w:rPr>
            </w:r>
            <w:r/>
          </w:p>
        </w:tc>
        <w:tc>
          <w:tcPr>
            <w:tcW w:w="340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83.5</w:t>
            </w:r>
            <w:r>
              <w:rPr>
                <w:rFonts w:hint="eastAsia" w:ascii="宋体" w:hAnsi="宋体"/>
                <w:color w:val="000000"/>
                <w:sz w:val="24"/>
                <w:szCs w:val="24"/>
              </w:rPr>
            </w:r>
            <w:r/>
          </w:p>
        </w:tc>
      </w:tr>
      <w:tr>
        <w:trPr/>
        <w:tc>
          <w:tcPr>
            <w:tcW w:w="13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977"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4"/>
                <w:szCs w:val="24"/>
              </w:rPr>
            </w:r>
            <w:r/>
          </w:p>
        </w:tc>
        <w:tc>
          <w:tcPr>
            <w:tcW w:w="340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206</w:t>
            </w:r>
            <w:r>
              <w:rPr>
                <w:rFonts w:hint="eastAsia" w:ascii="宋体" w:hAnsi="宋体"/>
                <w:color w:val="000000"/>
                <w:sz w:val="24"/>
                <w:szCs w:val="24"/>
              </w:rPr>
            </w:r>
            <w:r/>
          </w:p>
        </w:tc>
      </w:tr>
    </w:tbl>
    <w:p>
      <w:pPr>
        <w:pStyle w:val="694"/>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bookmarkStart w:id="28" w:name="OLE_LINK28"/>
      <w:r/>
      <w:bookmarkStart w:id="29" w:name="OLE_LINK29"/>
      <w:r>
        <w:rPr>
          <w:rFonts w:hint="eastAsia" w:ascii="宋体" w:hAnsi="宋体"/>
          <w:color w:val="000000"/>
          <w:sz w:val="24"/>
          <w:szCs w:val="24"/>
        </w:rPr>
        <w:t xml:space="preserve">具体内容</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见本招标文件第四章</w:t>
      </w:r>
      <w:r>
        <w:rPr>
          <w:rFonts w:hint="eastAsia" w:ascii="宋体" w:hAnsi="宋体" w:cs="宋体"/>
          <w:color w:val="000000"/>
          <w:sz w:val="24"/>
          <w:szCs w:val="24"/>
        </w:rPr>
        <w:t xml:space="preserve">项目采购</w:t>
      </w:r>
      <w:r>
        <w:rPr>
          <w:rFonts w:hint="eastAsia" w:ascii="宋体" w:hAnsi="宋体" w:cs="宋体"/>
          <w:sz w:val="24"/>
          <w:szCs w:val="24"/>
        </w:rPr>
        <w:t xml:space="preserve">需求。</w:t>
      </w:r>
      <w:r>
        <w:rPr>
          <w:rFonts w:ascii="宋体" w:hAnsi="宋体"/>
          <w:color w:val="000000"/>
          <w:sz w:val="24"/>
          <w:szCs w:val="24"/>
          <w:u w:val="single"/>
        </w:rPr>
      </w:r>
      <w:r/>
    </w:p>
    <w:p>
      <w:pPr>
        <w:pStyle w:val="694"/>
        <w:ind w:firstLine="480"/>
        <w:spacing w:line="400" w:lineRule="exact"/>
        <w:rPr>
          <w:rFonts w:hint="eastAsia" w:ascii="宋体" w:hAnsi="宋体"/>
          <w:color w:val="000000"/>
          <w:sz w:val="24"/>
          <w:szCs w:val="24"/>
        </w:rPr>
      </w:pPr>
      <w:r/>
      <w:bookmarkEnd w:id="28"/>
      <w:r/>
      <w:bookmarkEnd w:id="29"/>
      <w:r>
        <w:rPr>
          <w:rFonts w:hint="eastAsia" w:ascii="宋体" w:hAnsi="宋体"/>
          <w:color w:val="000000"/>
          <w:sz w:val="24"/>
          <w:szCs w:val="24"/>
        </w:rPr>
        <w:t xml:space="preserve">6.合同履行期限：</w:t>
      </w:r>
      <w:bookmarkStart w:id="30" w:name="_Toc35393791"/>
      <w:r/>
      <w:bookmarkStart w:id="31" w:name="_Toc35393622"/>
      <w:r/>
      <w:bookmarkStart w:id="32" w:name="_Toc28359080"/>
      <w:r/>
      <w:bookmarkStart w:id="33" w:name="_Toc38985264"/>
      <w:r/>
      <w:bookmarkStart w:id="34" w:name="_Toc28359003"/>
      <w:r>
        <w:rPr>
          <w:rFonts w:hint="eastAsia" w:ascii="宋体" w:hAnsi="宋体"/>
          <w:color w:val="000000"/>
          <w:sz w:val="24"/>
          <w:szCs w:val="24"/>
        </w:rPr>
        <w:t xml:space="preserve">1包合同签订之后90天内完成供货及安装调试，2包合同签订之后45天内完成供货及安装调试，3包合同签订之后45天内完成供货及安装调试。</w:t>
      </w:r>
      <w:r>
        <w:rPr>
          <w:rFonts w:hint="eastAsia" w:ascii="宋体" w:hAnsi="宋体"/>
          <w:color w:val="000000"/>
          <w:sz w:val="24"/>
          <w:szCs w:val="24"/>
        </w:rPr>
      </w:r>
      <w:r/>
    </w:p>
    <w:p>
      <w:pPr>
        <w:pStyle w:val="694"/>
        <w:ind w:firstLine="562"/>
        <w:spacing w:line="400" w:lineRule="exact"/>
        <w:rPr>
          <w:b/>
          <w:bCs/>
          <w:color w:val="000000"/>
          <w:sz w:val="28"/>
          <w:szCs w:val="28"/>
        </w:rPr>
      </w:pPr>
      <w:r>
        <w:rPr>
          <w:rFonts w:hint="eastAsia"/>
          <w:b/>
          <w:bCs/>
          <w:color w:val="000000"/>
          <w:sz w:val="28"/>
          <w:szCs w:val="28"/>
        </w:rPr>
        <w:t xml:space="preserve">二、申请人的资格要求</w:t>
      </w:r>
      <w:bookmarkEnd w:id="30"/>
      <w:r/>
      <w:bookmarkEnd w:id="31"/>
      <w:r/>
      <w:bookmarkEnd w:id="32"/>
      <w:r/>
      <w:bookmarkEnd w:id="33"/>
      <w:r/>
      <w:bookmarkEnd w:id="34"/>
      <w:r>
        <w:rPr>
          <w:b/>
          <w:bCs/>
          <w:color w:val="000000"/>
          <w:sz w:val="28"/>
          <w:szCs w:val="28"/>
        </w:rPr>
      </w:r>
      <w:r/>
    </w:p>
    <w:p>
      <w:pPr>
        <w:pStyle w:val="694"/>
        <w:ind w:firstLine="480"/>
        <w:spacing w:line="400" w:lineRule="exact"/>
        <w:rPr>
          <w:rFonts w:hint="eastAsia" w:ascii="宋体" w:hAnsi="宋体"/>
          <w:color w:val="000000"/>
          <w:sz w:val="24"/>
          <w:szCs w:val="24"/>
        </w:rPr>
      </w:pPr>
      <w:r/>
      <w:bookmarkStart w:id="35" w:name="_Toc35393623"/>
      <w:r/>
      <w:bookmarkStart w:id="36" w:name="_Toc35393792"/>
      <w:r/>
      <w:bookmarkStart w:id="37" w:name="_Toc28359081"/>
      <w:r/>
      <w:bookmarkStart w:id="38" w:name="_Toc28359004"/>
      <w:r/>
      <w:bookmarkStart w:id="39"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1.1 </w:t>
      </w:r>
      <w:bookmarkStart w:id="40" w:name="OLE_LINK8"/>
      <w:r/>
      <w:bookmarkStart w:id="41" w:name="OLE_LINK9"/>
      <w:r/>
      <w:bookmarkStart w:id="42" w:name="OLE_LINK33"/>
      <w:r/>
      <w:bookmarkStart w:id="43" w:name="OLE_LINK34"/>
      <w:r>
        <w:rPr>
          <w:rFonts w:hint="eastAsia" w:ascii="宋体" w:hAnsi="宋体"/>
          <w:color w:val="000000"/>
          <w:sz w:val="24"/>
          <w:szCs w:val="24"/>
        </w:rPr>
        <w:t xml:space="preserve">法人或者其他组织的营业执照等证明文件，自然人的身份证明</w:t>
      </w:r>
      <w:bookmarkEnd w:id="40"/>
      <w:r/>
      <w:bookmarkEnd w:id="41"/>
      <w:r>
        <w:rPr>
          <w:rFonts w:hint="eastAsia" w:ascii="宋体" w:hAnsi="宋体"/>
          <w:color w:val="000000"/>
          <w:sz w:val="24"/>
          <w:szCs w:val="24"/>
        </w:rPr>
        <w:t xml:space="preserve">；</w:t>
      </w:r>
      <w:bookmarkEnd w:id="42"/>
      <w:r/>
      <w:bookmarkEnd w:id="43"/>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4" w:name="OLE_LINK10"/>
      <w:r/>
      <w:bookmarkStart w:id="45" w:name="OLE_LINK13"/>
      <w:r/>
      <w:bookmarkStart w:id="46" w:name="OLE_LINK35"/>
      <w:r/>
      <w:bookmarkStart w:id="47" w:name="OLE_LINK36"/>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4"/>
      <w:r/>
      <w:bookmarkEnd w:id="45"/>
      <w:r>
        <w:rPr>
          <w:rFonts w:hint="eastAsia" w:ascii="宋体" w:hAnsi="宋体" w:cs="宋体"/>
          <w:bCs/>
          <w:color w:val="000000"/>
          <w:sz w:val="24"/>
          <w:szCs w:val="24"/>
        </w:rPr>
        <w:t xml:space="preserve">；</w:t>
      </w:r>
      <w:bookmarkEnd w:id="46"/>
      <w:r/>
      <w:bookmarkEnd w:id="47"/>
      <w:r>
        <w:rPr>
          <w:rFonts w:ascii="宋体" w:hAnsi="宋体"/>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8" w:name="OLE_LINK14"/>
      <w:r/>
      <w:bookmarkStart w:id="49" w:name="OLE_LINK15"/>
      <w:r/>
      <w:bookmarkStart w:id="50" w:name="OLE_LINK37"/>
      <w:r/>
      <w:bookmarkStart w:id="51" w:name="OLE_LINK38"/>
      <w:r>
        <w:rPr>
          <w:rFonts w:hint="eastAsia" w:ascii="宋体" w:hAnsi="宋体"/>
          <w:color w:val="000000"/>
          <w:sz w:val="24"/>
          <w:szCs w:val="24"/>
        </w:rPr>
        <w:t xml:space="preserve">依法缴纳税收和社会保障资金的相关材料：</w:t>
      </w:r>
      <w:r>
        <w:rPr>
          <w:rFonts w:hint="eastAsia" w:ascii="宋体" w:hAnsi="宋体"/>
          <w:color w:val="000000"/>
          <w:sz w:val="24"/>
          <w:szCs w:val="24"/>
        </w:rPr>
        <w:t xml:space="preserve">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w:t>
      </w:r>
      <w:r>
        <w:rPr>
          <w:rFonts w:hint="eastAsia" w:ascii="宋体" w:hAnsi="宋体"/>
          <w:color w:val="000000"/>
          <w:sz w:val="24"/>
          <w:szCs w:val="24"/>
        </w:rPr>
        <w:t xml:space="preserve">料。投标人依法享受缓缴、免缴税收、社会保障资金的提供证明材料</w:t>
      </w:r>
      <w:bookmarkEnd w:id="48"/>
      <w:r/>
      <w:bookmarkEnd w:id="49"/>
      <w:r>
        <w:rPr>
          <w:rFonts w:hint="eastAsia" w:ascii="宋体" w:hAnsi="宋体"/>
          <w:color w:val="000000"/>
          <w:sz w:val="24"/>
          <w:szCs w:val="24"/>
        </w:rPr>
        <w:t xml:space="preserve">；</w:t>
      </w:r>
      <w:bookmarkEnd w:id="50"/>
      <w:r/>
      <w:bookmarkEnd w:id="51"/>
      <w:r>
        <w:rPr>
          <w:rFonts w:hint="eastAsia"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52" w:name="OLE_LINK16"/>
      <w:r/>
      <w:bookmarkStart w:id="53" w:name="OLE_LINK17"/>
      <w:r/>
      <w:bookmarkStart w:id="54" w:name="OLE_LINK39"/>
      <w:r/>
      <w:bookmarkStart w:id="55" w:name="OLE_LINK40"/>
      <w:r>
        <w:rPr>
          <w:rFonts w:hint="eastAsia" w:ascii="宋体" w:hAnsi="宋体"/>
          <w:color w:val="000000"/>
          <w:sz w:val="24"/>
          <w:szCs w:val="24"/>
        </w:rPr>
        <w:t xml:space="preserve">具备履行合同所必需的设备和专业技术能力的书面声明</w:t>
      </w:r>
      <w:bookmarkEnd w:id="52"/>
      <w:r/>
      <w:bookmarkEnd w:id="53"/>
      <w:r>
        <w:rPr>
          <w:rFonts w:hint="eastAsia" w:ascii="宋体" w:hAnsi="宋体"/>
          <w:color w:val="000000"/>
          <w:sz w:val="24"/>
          <w:szCs w:val="24"/>
        </w:rPr>
        <w:t xml:space="preserve">；</w:t>
      </w:r>
      <w:bookmarkEnd w:id="54"/>
      <w:r/>
      <w:bookmarkEnd w:id="55"/>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6" w:name="OLE_LINK18"/>
      <w:r>
        <w:rPr>
          <w:rFonts w:hint="eastAsia" w:ascii="宋体" w:hAnsi="宋体"/>
          <w:color w:val="000000"/>
          <w:sz w:val="24"/>
          <w:szCs w:val="24"/>
        </w:rPr>
        <w:t xml:space="preserve">参加政府采购活动前3年内在经营活动中没有重大违法记录的书面声明</w:t>
      </w:r>
      <w:bookmarkEnd w:id="56"/>
      <w:r>
        <w:rPr>
          <w:rFonts w:hint="eastAsia" w:ascii="宋体" w:hAnsi="宋体"/>
          <w:color w:val="000000"/>
          <w:sz w:val="24"/>
          <w:szCs w:val="24"/>
        </w:rPr>
        <w:t xml:space="preserve">。</w:t>
      </w:r>
      <w:r>
        <w:rPr>
          <w:rFonts w:ascii="宋体" w:hAnsi="宋体"/>
          <w:color w:val="000000"/>
          <w:sz w:val="24"/>
          <w:szCs w:val="24"/>
        </w:rPr>
      </w:r>
      <w:r/>
    </w:p>
    <w:p>
      <w:pPr>
        <w:pStyle w:val="694"/>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w:t>
      </w:r>
      <w:r>
        <w:rPr>
          <w:rFonts w:hint="eastAsia" w:ascii="宋体" w:hAnsi="宋体"/>
          <w:color w:val="000000"/>
          <w:sz w:val="24"/>
          <w:szCs w:val="24"/>
        </w:rPr>
        <w:t xml:space="preserve">无</w:t>
      </w:r>
      <w:r>
        <w:rPr>
          <w:rFonts w:hint="eastAsia" w:ascii="宋体" w:hAnsi="宋体"/>
          <w:color w:val="000000"/>
          <w:sz w:val="24"/>
          <w:szCs w:val="24"/>
        </w:rPr>
        <w:t xml:space="preserve">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94"/>
        <w:ind w:firstLine="480"/>
        <w:spacing w:line="4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w:t>
      </w:r>
      <w:bookmarkStart w:id="57" w:name="OLE_LINK3"/>
      <w:r/>
      <w:bookmarkStart w:id="58" w:name="OLE_LINK4"/>
      <w:r/>
      <w:bookmarkStart w:id="59" w:name="OLE_LINK19"/>
      <w:r/>
      <w:bookmarkStart w:id="60" w:name="OLE_LINK41"/>
      <w:r>
        <w:rPr>
          <w:rFonts w:hint="eastAsia" w:ascii="宋体" w:hAnsi="宋体"/>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rPr>
      </w:r>
      <w:r/>
    </w:p>
    <w:p>
      <w:pPr>
        <w:pStyle w:val="694"/>
        <w:ind w:firstLine="480"/>
        <w:spacing w:line="360" w:lineRule="auto"/>
        <w:rPr>
          <w:rFonts w:ascii="宋体" w:hAnsi="宋体"/>
          <w:color w:val="000000"/>
          <w:sz w:val="24"/>
          <w:szCs w:val="24"/>
        </w:rPr>
      </w:pPr>
      <w:r/>
      <w:bookmarkEnd w:id="57"/>
      <w:r/>
      <w:bookmarkEnd w:id="58"/>
      <w:r/>
      <w:bookmarkEnd w:id="59"/>
      <w:r/>
      <w:bookmarkEnd w:id="60"/>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694"/>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76"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7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260"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7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260"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63"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r>
        <w:trPr/>
        <w:tc>
          <w:tcPr>
            <w:tcW w:w="1559"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6663" w:type="dxa"/>
            <w:vAlign w:val="top"/>
            <w:textDirection w:val="lrTb"/>
            <w:noWrap w:val="false"/>
          </w:tcPr>
          <w:p>
            <w:pPr>
              <w:pStyle w:val="694"/>
              <w:jc w:val="center"/>
            </w:pPr>
            <w:r>
              <w:rPr>
                <w:rFonts w:hint="eastAsia" w:ascii="宋体" w:hAnsi="宋体"/>
                <w:color w:val="000000"/>
                <w:sz w:val="24"/>
                <w:szCs w:val="24"/>
              </w:rPr>
              <w:t xml:space="preserve">无</w:t>
            </w:r>
            <w:r/>
          </w:p>
        </w:tc>
      </w:tr>
      <w:tr>
        <w:trPr/>
        <w:tc>
          <w:tcPr>
            <w:tcW w:w="1559"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6663" w:type="dxa"/>
            <w:vAlign w:val="top"/>
            <w:textDirection w:val="lrTb"/>
            <w:noWrap w:val="false"/>
          </w:tcPr>
          <w:p>
            <w:pPr>
              <w:pStyle w:val="694"/>
              <w:jc w:val="center"/>
            </w:pPr>
            <w:r>
              <w:rPr>
                <w:rFonts w:hint="eastAsia" w:ascii="宋体" w:hAnsi="宋体"/>
                <w:color w:val="000000"/>
                <w:sz w:val="24"/>
                <w:szCs w:val="24"/>
              </w:rPr>
              <w:t xml:space="preserve">无</w:t>
            </w:r>
            <w:r/>
          </w:p>
        </w:tc>
      </w:tr>
    </w:tbl>
    <w:p>
      <w:pPr>
        <w:pStyle w:val="694"/>
        <w:ind w:firstLine="436"/>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69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94"/>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94"/>
        <w:ind w:firstLine="436"/>
        <w:keepLines/>
        <w:keepNext/>
        <w:spacing w:before="156" w:after="156" w:line="400" w:lineRule="exact"/>
        <w:rPr>
          <w:b/>
          <w:bCs/>
          <w:color w:val="000000"/>
          <w:sz w:val="28"/>
          <w:szCs w:val="28"/>
        </w:rPr>
        <w:outlineLvl w:val="2"/>
      </w:pPr>
      <w:r/>
      <w:bookmarkEnd w:id="35"/>
      <w:r/>
      <w:bookmarkEnd w:id="36"/>
      <w:r/>
      <w:bookmarkEnd w:id="37"/>
      <w:r/>
      <w:bookmarkEnd w:id="38"/>
      <w:r/>
      <w:bookmarkEnd w:id="39"/>
      <w:r/>
      <w:bookmarkStart w:id="61" w:name="_Toc28359082"/>
      <w:r/>
      <w:bookmarkStart w:id="62" w:name="_Toc28359005"/>
      <w:r/>
      <w:bookmarkStart w:id="63" w:name="_Toc38985266"/>
      <w:r/>
      <w:bookmarkStart w:id="64" w:name="_Toc35393793"/>
      <w:r/>
      <w:bookmarkStart w:id="65" w:name="_Toc35393624"/>
      <w:r>
        <w:rPr>
          <w:rFonts w:hint="eastAsia"/>
          <w:b/>
          <w:bCs/>
          <w:color w:val="000000"/>
          <w:sz w:val="28"/>
          <w:szCs w:val="28"/>
        </w:rPr>
        <w:t xml:space="preserve">四、提交投标文件</w:t>
      </w:r>
      <w:bookmarkEnd w:id="61"/>
      <w:r/>
      <w:bookmarkEnd w:id="62"/>
      <w:r>
        <w:rPr>
          <w:rFonts w:hint="eastAsia"/>
          <w:b/>
          <w:bCs/>
          <w:color w:val="000000"/>
          <w:sz w:val="28"/>
          <w:szCs w:val="28"/>
        </w:rPr>
        <w:t xml:space="preserve">截止时间、开标时间和地点</w:t>
      </w:r>
      <w:bookmarkEnd w:id="63"/>
      <w:r/>
      <w:bookmarkEnd w:id="64"/>
      <w:r/>
      <w:bookmarkEnd w:id="65"/>
      <w:r>
        <w:rPr>
          <w:b/>
          <w:bCs/>
          <w:color w:val="000000"/>
          <w:sz w:val="28"/>
          <w:szCs w:val="28"/>
        </w:rPr>
      </w:r>
      <w:r/>
    </w:p>
    <w:p>
      <w:pPr>
        <w:pStyle w:val="694"/>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7</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6</w:t>
      </w:r>
      <w:r>
        <w:rPr>
          <w:rFonts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94"/>
        <w:ind w:firstLine="436"/>
        <w:keepLines/>
        <w:keepNext/>
        <w:spacing w:before="156" w:after="156" w:line="360" w:lineRule="auto"/>
        <w:rPr>
          <w:b/>
          <w:bCs/>
          <w:color w:val="000000"/>
          <w:sz w:val="28"/>
          <w:szCs w:val="28"/>
        </w:rPr>
        <w:outlineLvl w:val="2"/>
      </w:pPr>
      <w:r/>
      <w:bookmarkStart w:id="66" w:name="_Toc28359007"/>
      <w:r/>
      <w:bookmarkStart w:id="67" w:name="_Toc28359084"/>
      <w:r/>
      <w:bookmarkStart w:id="68" w:name="_Toc38985267"/>
      <w:r/>
      <w:bookmarkStart w:id="69" w:name="_Toc35393794"/>
      <w:r/>
      <w:bookmarkStart w:id="70" w:name="_Toc35393625"/>
      <w:r>
        <w:rPr>
          <w:rFonts w:hint="eastAsia"/>
          <w:b/>
          <w:bCs/>
          <w:color w:val="000000"/>
          <w:sz w:val="28"/>
          <w:szCs w:val="28"/>
        </w:rPr>
        <w:t xml:space="preserve">五、公告期限</w:t>
      </w:r>
      <w:bookmarkEnd w:id="66"/>
      <w:r/>
      <w:bookmarkEnd w:id="67"/>
      <w:r/>
      <w:bookmarkEnd w:id="68"/>
      <w:r/>
      <w:bookmarkEnd w:id="69"/>
      <w:r/>
      <w:bookmarkEnd w:id="70"/>
      <w:r>
        <w:rPr>
          <w:b/>
          <w:bCs/>
          <w:color w:val="000000"/>
          <w:sz w:val="28"/>
          <w:szCs w:val="28"/>
        </w:rPr>
      </w:r>
      <w:r/>
    </w:p>
    <w:p>
      <w:pPr>
        <w:pStyle w:val="69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694"/>
        <w:ind w:firstLine="436"/>
        <w:keepLines/>
        <w:keepNext/>
        <w:spacing w:before="156" w:after="156" w:line="400" w:lineRule="exact"/>
        <w:rPr>
          <w:b/>
          <w:bCs/>
          <w:color w:val="000000"/>
          <w:sz w:val="28"/>
          <w:szCs w:val="28"/>
        </w:rPr>
        <w:outlineLvl w:val="2"/>
      </w:pPr>
      <w:r/>
      <w:bookmarkStart w:id="71" w:name="_Toc35393795"/>
      <w:r/>
      <w:bookmarkStart w:id="72" w:name="_Toc35393626"/>
      <w:r/>
      <w:bookmarkStart w:id="73" w:name="_Toc38985268"/>
      <w:r>
        <w:rPr>
          <w:rFonts w:hint="eastAsia"/>
          <w:b/>
          <w:bCs/>
          <w:color w:val="000000"/>
          <w:sz w:val="28"/>
          <w:szCs w:val="28"/>
        </w:rPr>
        <w:t xml:space="preserve">六、其他补充事宜</w:t>
      </w:r>
      <w:bookmarkEnd w:id="71"/>
      <w:r/>
      <w:bookmarkEnd w:id="72"/>
      <w:r/>
      <w:bookmarkEnd w:id="73"/>
      <w:r>
        <w:rPr>
          <w:b/>
          <w:bCs/>
          <w:color w:val="000000"/>
          <w:sz w:val="28"/>
          <w:szCs w:val="28"/>
        </w:rPr>
      </w:r>
      <w:r/>
    </w:p>
    <w:p>
      <w:pPr>
        <w:pStyle w:val="694"/>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94"/>
        <w:ind w:firstLine="436"/>
        <w:keepLines/>
        <w:keepNext/>
        <w:spacing w:before="156" w:after="156" w:line="400" w:lineRule="exact"/>
        <w:rPr>
          <w:b/>
          <w:bCs/>
          <w:color w:val="000000"/>
          <w:sz w:val="28"/>
          <w:szCs w:val="28"/>
        </w:rPr>
        <w:outlineLvl w:val="2"/>
      </w:pPr>
      <w:r/>
      <w:bookmarkStart w:id="74" w:name="_Toc28359008"/>
      <w:r/>
      <w:bookmarkStart w:id="75" w:name="_Toc35393796"/>
      <w:r/>
      <w:bookmarkStart w:id="76" w:name="_Toc35393627"/>
      <w:r/>
      <w:bookmarkStart w:id="77" w:name="_Toc28359085"/>
      <w:r/>
      <w:bookmarkStart w:id="78" w:name="_Toc38985269"/>
      <w:r>
        <w:rPr>
          <w:rFonts w:hint="eastAsia"/>
          <w:b/>
          <w:bCs/>
          <w:color w:val="000000"/>
          <w:sz w:val="28"/>
          <w:szCs w:val="28"/>
        </w:rPr>
        <w:t xml:space="preserve">七、本次招标联系方式</w:t>
      </w:r>
      <w:bookmarkEnd w:id="74"/>
      <w:r/>
      <w:bookmarkEnd w:id="75"/>
      <w:r/>
      <w:bookmarkEnd w:id="76"/>
      <w:r/>
      <w:bookmarkEnd w:id="77"/>
      <w:r/>
      <w:bookmarkEnd w:id="78"/>
      <w:r>
        <w:rPr>
          <w:b/>
          <w:bCs/>
          <w:color w:val="000000"/>
          <w:sz w:val="28"/>
          <w:szCs w:val="28"/>
        </w:rPr>
      </w:r>
      <w:r/>
    </w:p>
    <w:p>
      <w:pPr>
        <w:pStyle w:val="694"/>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9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泰州市兴化生态环境局</w:t>
      </w:r>
      <w:r>
        <w:rPr>
          <w:rFonts w:ascii="宋体" w:hAnsi="宋体"/>
          <w:color w:val="000000"/>
          <w:sz w:val="24"/>
          <w:szCs w:val="24"/>
        </w:rPr>
      </w:r>
      <w:r/>
    </w:p>
    <w:p>
      <w:pPr>
        <w:pStyle w:val="69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兴化市九顷路6号</w:t>
      </w:r>
      <w:r>
        <w:rPr>
          <w:rFonts w:ascii="宋体" w:hAnsi="宋体"/>
          <w:color w:val="000000"/>
          <w:sz w:val="24"/>
          <w:szCs w:val="24"/>
        </w:rPr>
      </w:r>
      <w:r/>
    </w:p>
    <w:p>
      <w:pPr>
        <w:pStyle w:val="69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姚先生</w:t>
      </w:r>
      <w:r>
        <w:rPr>
          <w:rFonts w:hint="eastAsia" w:ascii="宋体" w:hAnsi="宋体"/>
          <w:color w:val="000000"/>
          <w:sz w:val="24"/>
          <w:szCs w:val="24"/>
          <w:u w:val="single"/>
        </w:rPr>
        <w:t xml:space="preserve">       </w:t>
      </w:r>
      <w:r>
        <w:rPr>
          <w:rFonts w:ascii="宋体" w:hAnsi="宋体"/>
          <w:color w:val="000000"/>
          <w:sz w:val="24"/>
          <w:szCs w:val="24"/>
        </w:rPr>
      </w:r>
      <w:r/>
    </w:p>
    <w:p>
      <w:pPr>
        <w:pStyle w:val="694"/>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79" w:name="_Toc28359086"/>
      <w:r/>
      <w:bookmarkStart w:id="80" w:name="_Toc28359009"/>
      <w:r>
        <w:rPr>
          <w:rFonts w:hint="eastAsia" w:ascii="宋体" w:hAnsi="宋体"/>
          <w:color w:val="000000"/>
          <w:sz w:val="24"/>
          <w:szCs w:val="24"/>
          <w:u w:val="single"/>
        </w:rPr>
        <w:t xml:space="preserve">13961093059</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694"/>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79"/>
      <w:r/>
      <w:bookmarkEnd w:id="80"/>
      <w:r>
        <w:rPr>
          <w:rFonts w:hint="eastAsia"/>
        </w:rPr>
        <w:t xml:space="preserve"> </w:t>
      </w:r>
      <w:bookmarkStart w:id="81" w:name="OLE_LINK11"/>
      <w:r/>
      <w:bookmarkStart w:id="82" w:name="OLE_LINK12"/>
      <w:r>
        <w:rPr>
          <w:rFonts w:hint="eastAsia" w:ascii="宋体" w:hAnsi="宋体" w:cs="宋体"/>
          <w:color w:val="000000"/>
          <w:sz w:val="24"/>
          <w:szCs w:val="24"/>
        </w:rPr>
        <w:t xml:space="preserve">江苏华毅项目管理有限公司</w:t>
      </w:r>
      <w:bookmarkEnd w:id="81"/>
      <w:r/>
      <w:bookmarkEnd w:id="82"/>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兴化市海德国际典雅居1幢沧浪西路46号</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顾女士</w:t>
      </w:r>
      <w:r>
        <w:rPr>
          <w:rFonts w:hint="eastAsia" w:ascii="宋体" w:hAnsi="宋体"/>
          <w:color w:val="000000"/>
          <w:sz w:val="24"/>
          <w:szCs w:val="24"/>
          <w:u w:val="single"/>
        </w:rPr>
        <w:t xml:space="preserve"> </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83" w:name="_Toc28359087"/>
      <w:r/>
      <w:bookmarkStart w:id="84" w:name="_Toc28359010"/>
      <w:r>
        <w:rPr>
          <w:rFonts w:hint="eastAsia" w:ascii="宋体" w:hAnsi="宋体"/>
          <w:color w:val="000000"/>
          <w:sz w:val="24"/>
          <w:szCs w:val="24"/>
          <w:u w:val="single"/>
        </w:rPr>
        <w:t xml:space="preserve">13814490520</w:t>
      </w:r>
      <w:r>
        <w:rPr>
          <w:rFonts w:ascii="宋体" w:hAnsi="宋体"/>
          <w:color w:val="000000"/>
          <w:sz w:val="24"/>
          <w:szCs w:val="24"/>
        </w:rPr>
      </w:r>
      <w:r/>
    </w:p>
    <w:p>
      <w:pPr>
        <w:pStyle w:val="694"/>
        <w:ind w:firstLine="436"/>
        <w:keepLines/>
        <w:keepNext/>
        <w:spacing w:before="156" w:after="156" w:line="360" w:lineRule="auto"/>
        <w:rPr>
          <w:b/>
          <w:bCs/>
          <w:color w:val="000000"/>
          <w:sz w:val="28"/>
          <w:szCs w:val="28"/>
        </w:rPr>
        <w:outlineLvl w:val="2"/>
      </w:pPr>
      <w:r/>
      <w:bookmarkEnd w:id="83"/>
      <w:r/>
      <w:bookmarkEnd w:id="84"/>
      <w:r>
        <w:rPr>
          <w:rFonts w:hint="eastAsia"/>
          <w:b/>
          <w:bCs/>
          <w:color w:val="000000"/>
          <w:sz w:val="28"/>
          <w:szCs w:val="28"/>
        </w:rPr>
        <w:t xml:space="preserve">八、其他</w:t>
      </w:r>
      <w:r>
        <w:rPr>
          <w:b/>
          <w:bCs/>
          <w:color w:val="000000"/>
          <w:sz w:val="28"/>
          <w:szCs w:val="28"/>
        </w:rPr>
      </w:r>
      <w:r/>
    </w:p>
    <w:p>
      <w:pPr>
        <w:pStyle w:val="694"/>
        <w:ind w:firstLine="480"/>
        <w:spacing w:line="400" w:lineRule="exact"/>
        <w:tabs>
          <w:tab w:val="left" w:pos="900" w:leader="none"/>
        </w:tabs>
        <w:rPr>
          <w:rFonts w:ascii="宋体" w:hAnsi="宋体"/>
          <w:bCs/>
          <w:color w:val="000000"/>
          <w:sz w:val="24"/>
          <w:szCs w:val="24"/>
        </w:rPr>
      </w:pPr>
      <w:r/>
      <w:bookmarkStart w:id="85"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bCs/>
          <w:color w:val="000000"/>
          <w:szCs w:val="21"/>
        </w:rPr>
        <w:t xml:space="preserve">。</w:t>
      </w:r>
      <w:r>
        <w:rPr>
          <w:rFonts w:ascii="宋体" w:hAnsi="宋体"/>
          <w:bCs/>
          <w:color w:val="000000"/>
          <w:sz w:val="24"/>
          <w:szCs w:val="24"/>
        </w:rPr>
      </w:r>
      <w:r/>
    </w:p>
    <w:p>
      <w:pPr>
        <w:pStyle w:val="694"/>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w:t>
      </w:r>
      <w:r>
        <w:rPr>
          <w:rFonts w:hint="eastAsia" w:ascii="宋体" w:hAnsi="宋体"/>
          <w:bCs/>
          <w:color w:val="000000"/>
          <w:sz w:val="24"/>
          <w:szCs w:val="24"/>
        </w:rPr>
        <w:t xml:space="preserve">泰州市医药高新区泰州大道188号公共资源交易中心（食堂旁边）一楼大厅6号窗口</w:t>
      </w:r>
      <w:r>
        <w:rPr>
          <w:rFonts w:hint="eastAsia" w:ascii="宋体" w:hAnsi="宋体"/>
          <w:bCs/>
          <w:color w:val="000000"/>
          <w:sz w:val="24"/>
          <w:szCs w:val="24"/>
        </w:rPr>
        <w:t xml:space="preserve">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9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694"/>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rPr>
        <w:t xml:space="preserve">江苏华毅</w:t>
      </w:r>
      <w:r>
        <w:rPr>
          <w:rFonts w:hint="eastAsia" w:ascii="宋体" w:hAnsi="宋体"/>
          <w:bCs/>
          <w:color w:val="000000"/>
          <w:sz w:val="24"/>
          <w:szCs w:val="24"/>
        </w:rPr>
        <w:t xml:space="preserve">在“江苏政府采购网”发布的更正公告。</w:t>
      </w:r>
      <w:r/>
    </w:p>
    <w:p>
      <w:pPr>
        <w:pStyle w:val="763"/>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p>
    <w:p>
      <w:pPr>
        <w:pStyle w:val="69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.本次招标不收取投标保证金。</w:t>
      </w:r>
      <w:bookmarkEnd w:id="85"/>
      <w:r>
        <w:rPr>
          <w:rFonts w:hint="eastAsia" w:ascii="宋体" w:hAnsi="宋体"/>
          <w:bCs/>
          <w:color w:val="000000"/>
          <w:sz w:val="24"/>
          <w:szCs w:val="24"/>
        </w:rPr>
      </w:r>
      <w:r/>
    </w:p>
    <w:p>
      <w:pPr>
        <w:pStyle w:val="694"/>
        <w:ind w:firstLine="1988"/>
        <w:keepLines/>
        <w:keepNext/>
        <w:spacing w:before="260" w:after="260" w:line="416" w:lineRule="auto"/>
        <w:rPr>
          <w:rFonts w:hint="eastAsia" w:ascii="宋体" w:hAnsi="宋体" w:cs="Arial"/>
          <w:color w:val="000000"/>
          <w:sz w:val="36"/>
          <w:szCs w:val="36"/>
        </w:rPr>
        <w:outlineLvl w:val="1"/>
      </w:pPr>
      <w:r/>
      <w:bookmarkStart w:id="86" w:name="_Toc120614211"/>
      <w:r>
        <w:rPr>
          <w:rFonts w:hint="eastAsia" w:ascii="宋体" w:hAnsi="宋体" w:cs="Arial"/>
          <w:b/>
          <w:bCs/>
          <w:color w:val="000000"/>
          <w:sz w:val="36"/>
          <w:szCs w:val="36"/>
        </w:rPr>
        <w:t xml:space="preserve">第二章  </w:t>
      </w:r>
      <w:bookmarkEnd w:id="12"/>
      <w:r/>
      <w:bookmarkEnd w:id="13"/>
      <w:r/>
      <w:bookmarkEnd w:id="14"/>
      <w:r/>
      <w:bookmarkEnd w:id="15"/>
      <w:r/>
      <w:bookmarkEnd w:id="16"/>
      <w:r/>
      <w:bookmarkEnd w:id="86"/>
      <w:r/>
      <w:bookmarkStart w:id="87" w:name="_Toc513029202"/>
      <w:r/>
      <w:bookmarkStart w:id="88" w:name="_Toc16938518"/>
      <w:r/>
      <w:bookmarkStart w:id="89" w:name="_Toc20823274"/>
      <w:r/>
      <w:bookmarkStart w:id="90" w:name="_Toc120614213"/>
      <w:r>
        <w:rPr>
          <w:rFonts w:hint="eastAsia" w:ascii="宋体" w:hAnsi="宋体" w:cs="Arial"/>
          <w:b/>
          <w:bCs/>
          <w:color w:val="000000"/>
          <w:sz w:val="36"/>
          <w:szCs w:val="36"/>
        </w:rPr>
        <w:t xml:space="preserve">投标人须知</w:t>
      </w:r>
      <w:bookmarkEnd w:id="87"/>
      <w:r/>
      <w:bookmarkEnd w:id="88"/>
      <w:r/>
      <w:bookmarkEnd w:id="89"/>
      <w:r/>
      <w:bookmarkEnd w:id="90"/>
      <w:r>
        <w:rPr>
          <w:rFonts w:hint="eastAsia" w:ascii="宋体" w:hAnsi="宋体" w:cs="Arial"/>
          <w:color w:val="000000"/>
          <w:sz w:val="36"/>
          <w:szCs w:val="36"/>
        </w:rPr>
      </w:r>
      <w:r/>
    </w:p>
    <w:p>
      <w:pPr>
        <w:pStyle w:val="694"/>
        <w:ind w:firstLine="467"/>
        <w:keepLines/>
        <w:keepNext/>
        <w:spacing w:before="156" w:after="156" w:line="400" w:lineRule="exact"/>
        <w:rPr>
          <w:rFonts w:hint="eastAsia"/>
          <w:b/>
          <w:bCs/>
          <w:color w:val="000000"/>
          <w:sz w:val="30"/>
          <w:szCs w:val="30"/>
        </w:rPr>
        <w:outlineLvl w:val="2"/>
      </w:pPr>
      <w:r/>
      <w:bookmarkStart w:id="91" w:name="_Toc20823275"/>
      <w:r/>
      <w:bookmarkStart w:id="92" w:name="_Toc513029203"/>
      <w:r/>
      <w:bookmarkStart w:id="93" w:name="_Toc16938519"/>
      <w:r/>
      <w:bookmarkStart w:id="94" w:name="_Toc120614214"/>
      <w:r>
        <w:rPr>
          <w:rFonts w:hint="eastAsia"/>
          <w:b/>
          <w:bCs/>
          <w:color w:val="000000"/>
          <w:sz w:val="30"/>
          <w:szCs w:val="30"/>
        </w:rPr>
        <w:t xml:space="preserve">一、总则</w:t>
      </w:r>
      <w:bookmarkEnd w:id="91"/>
      <w:r/>
      <w:bookmarkEnd w:id="92"/>
      <w:r/>
      <w:bookmarkEnd w:id="93"/>
      <w:r/>
      <w:bookmarkEnd w:id="94"/>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95" w:name="_Hlt16619475"/>
      <w:r/>
      <w:bookmarkEnd w:id="95"/>
      <w:r/>
      <w:bookmarkStart w:id="96" w:name="_Toc458694821"/>
      <w:r/>
      <w:bookmarkStart w:id="97" w:name="_Toc16938520"/>
      <w:r/>
      <w:bookmarkStart w:id="98" w:name="_Toc20823276"/>
      <w:r/>
      <w:bookmarkStart w:id="99" w:name="_Toc513029204"/>
      <w:r>
        <w:rPr>
          <w:rFonts w:hint="eastAsia" w:ascii="宋体" w:hAnsi="宋体" w:cs="Arial"/>
          <w:b/>
          <w:color w:val="000000"/>
          <w:sz w:val="24"/>
          <w:szCs w:val="24"/>
        </w:rPr>
        <w:t xml:space="preserve">1</w:t>
      </w:r>
      <w:bookmarkEnd w:id="96"/>
      <w:r>
        <w:rPr>
          <w:rFonts w:hint="eastAsia" w:ascii="宋体" w:hAnsi="宋体" w:cs="Arial"/>
          <w:b/>
          <w:color w:val="000000"/>
          <w:sz w:val="24"/>
          <w:szCs w:val="24"/>
        </w:rPr>
        <w:t xml:space="preserve">、招标方式</w:t>
      </w:r>
      <w:bookmarkEnd w:id="97"/>
      <w:r/>
      <w:bookmarkEnd w:id="98"/>
      <w:r/>
      <w:bookmarkEnd w:id="99"/>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694"/>
        <w:ind w:firstLine="482"/>
        <w:keepLines/>
        <w:keepNext/>
        <w:spacing w:line="400" w:lineRule="exact"/>
        <w:rPr>
          <w:rFonts w:hint="eastAsia" w:ascii="宋体" w:hAnsi="宋体" w:cs="Arial"/>
          <w:b/>
          <w:color w:val="000000"/>
          <w:sz w:val="24"/>
          <w:szCs w:val="24"/>
        </w:rPr>
        <w:outlineLvl w:val="3"/>
      </w:pPr>
      <w:r/>
      <w:bookmarkStart w:id="100" w:name="_Toc20823277"/>
      <w:r/>
      <w:bookmarkStart w:id="101" w:name="_Toc513029205"/>
      <w:r/>
      <w:bookmarkStart w:id="102" w:name="_Toc16938521"/>
      <w:r>
        <w:rPr>
          <w:rFonts w:hint="eastAsia" w:ascii="宋体" w:hAnsi="宋体" w:cs="Arial"/>
          <w:b/>
          <w:color w:val="000000"/>
          <w:sz w:val="24"/>
          <w:szCs w:val="24"/>
        </w:rPr>
        <w:t xml:space="preserve">2、合格的投标人</w:t>
      </w:r>
      <w:bookmarkEnd w:id="100"/>
      <w:r/>
      <w:bookmarkEnd w:id="101"/>
      <w:r/>
      <w:bookmarkEnd w:id="102"/>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694"/>
        <w:ind w:firstLine="482"/>
        <w:keepLines/>
        <w:keepNext/>
        <w:spacing w:line="400" w:lineRule="exact"/>
        <w:rPr>
          <w:rFonts w:hint="eastAsia" w:ascii="宋体" w:hAnsi="宋体" w:cs="Arial"/>
          <w:b/>
          <w:color w:val="000000"/>
          <w:sz w:val="24"/>
          <w:szCs w:val="24"/>
        </w:rPr>
        <w:outlineLvl w:val="3"/>
      </w:pPr>
      <w:r/>
      <w:bookmarkStart w:id="103" w:name="_Toc513029206"/>
      <w:r/>
      <w:bookmarkStart w:id="104" w:name="_Toc20823278"/>
      <w:r/>
      <w:bookmarkStart w:id="105" w:name="_Toc16938522"/>
      <w:r>
        <w:rPr>
          <w:rFonts w:hint="eastAsia" w:ascii="宋体" w:hAnsi="宋体" w:cs="Arial"/>
          <w:b/>
          <w:color w:val="000000"/>
          <w:sz w:val="24"/>
          <w:szCs w:val="24"/>
        </w:rPr>
        <w:t xml:space="preserve">3、适用法律</w:t>
      </w:r>
      <w:bookmarkEnd w:id="103"/>
      <w:r/>
      <w:bookmarkEnd w:id="104"/>
      <w:r/>
      <w:bookmarkEnd w:id="105"/>
      <w:r>
        <w:rPr>
          <w:rFonts w:hint="eastAsia" w:ascii="宋体" w:hAnsi="宋体" w:cs="Arial"/>
          <w:b/>
          <w:color w:val="000000"/>
          <w:sz w:val="24"/>
          <w:szCs w:val="24"/>
        </w:rPr>
        <w:t xml:space="preserve">和标准</w:t>
      </w:r>
      <w:r/>
    </w:p>
    <w:p>
      <w:pPr>
        <w:pStyle w:val="694"/>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694"/>
        <w:ind w:firstLine="482"/>
        <w:keepLines/>
        <w:keepNext/>
        <w:spacing w:line="400" w:lineRule="exact"/>
        <w:rPr>
          <w:rFonts w:hint="eastAsia" w:ascii="宋体" w:hAnsi="宋体" w:cs="Arial"/>
          <w:b/>
          <w:color w:val="000000"/>
          <w:sz w:val="24"/>
          <w:szCs w:val="24"/>
        </w:rPr>
        <w:outlineLvl w:val="3"/>
      </w:pPr>
      <w:r/>
      <w:bookmarkStart w:id="106" w:name="_Toc20823279"/>
      <w:r/>
      <w:bookmarkStart w:id="107" w:name="_Toc462564067"/>
      <w:r/>
      <w:bookmarkStart w:id="108" w:name="_Toc16938523"/>
      <w:r/>
      <w:bookmarkStart w:id="109" w:name="_Toc513029207"/>
      <w:r>
        <w:rPr>
          <w:rFonts w:hint="eastAsia" w:ascii="宋体" w:hAnsi="宋体" w:cs="Arial"/>
          <w:b/>
          <w:color w:val="000000"/>
          <w:sz w:val="24"/>
          <w:szCs w:val="24"/>
        </w:rPr>
        <w:t xml:space="preserve">4、投标费用</w:t>
      </w:r>
      <w:bookmarkEnd w:id="106"/>
      <w:r/>
      <w:bookmarkEnd w:id="107"/>
      <w:r/>
      <w:bookmarkEnd w:id="108"/>
      <w:r/>
      <w:bookmarkEnd w:id="109"/>
      <w:r>
        <w:rPr>
          <w:rFonts w:hint="eastAsia" w:ascii="宋体" w:hAnsi="宋体" w:cs="Arial"/>
          <w:b/>
          <w:color w:val="000000"/>
          <w:sz w:val="24"/>
          <w:szCs w:val="24"/>
        </w:rPr>
      </w:r>
      <w:r/>
    </w:p>
    <w:p>
      <w:pPr>
        <w:pStyle w:val="694"/>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采购人和采购代理机构</w:t>
      </w:r>
      <w:r>
        <w:rPr>
          <w:rFonts w:hint="eastAsia" w:ascii="宋体" w:hAnsi="宋体" w:cs="宋体"/>
          <w:color w:val="000000"/>
          <w:sz w:val="24"/>
          <w:szCs w:val="24"/>
        </w:rPr>
        <w:t xml:space="preserve">对上述费用不承担任何责任和义务。</w:t>
      </w:r>
      <w:r/>
    </w:p>
    <w:p>
      <w:pPr>
        <w:pStyle w:val="694"/>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4.2</w:t>
      </w:r>
      <w:r>
        <w:rPr>
          <w:rFonts w:hint="eastAsia" w:ascii="宋体" w:hAnsi="宋体" w:cs="宋体"/>
          <w:color w:val="000000"/>
          <w:sz w:val="24"/>
          <w:szCs w:val="24"/>
        </w:rPr>
        <w:t xml:space="preserve">采购代理机构代理费用的收取标准和方式：中标服务费由中标人（成交供应商）支付，费用包含在报价中，收费依据为《江苏省政府采购代理服务收费指导意见》的通知”（苏政采协〔2024〕20号）收费标准</w:t>
      </w:r>
      <w:r>
        <w:rPr>
          <w:rFonts w:hint="eastAsia" w:ascii="宋体" w:hAnsi="宋体" w:cs="宋体"/>
          <w:color w:val="000000"/>
          <w:sz w:val="24"/>
          <w:szCs w:val="24"/>
        </w:rPr>
        <w:t xml:space="preserve">九折收取</w:t>
      </w:r>
      <w:r>
        <w:rPr>
          <w:rFonts w:hint="eastAsia" w:ascii="宋体" w:hAnsi="宋体" w:cs="宋体"/>
          <w:color w:val="000000"/>
          <w:sz w:val="24"/>
          <w:szCs w:val="24"/>
        </w:rPr>
        <w:t xml:space="preserve">。</w:t>
      </w:r>
      <w:r/>
    </w:p>
    <w:p>
      <w:pPr>
        <w:pStyle w:val="694"/>
        <w:ind w:firstLine="482"/>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94"/>
        <w:ind w:firstLine="301"/>
        <w:keepLines/>
        <w:keepNext/>
        <w:spacing w:before="156" w:after="156" w:line="400" w:lineRule="exact"/>
        <w:rPr>
          <w:rFonts w:hint="eastAsia"/>
          <w:b/>
          <w:bCs/>
          <w:color w:val="000000"/>
          <w:sz w:val="30"/>
          <w:szCs w:val="30"/>
        </w:rPr>
        <w:outlineLvl w:val="2"/>
      </w:pPr>
      <w:r/>
      <w:bookmarkStart w:id="110" w:name="_Toc16938525"/>
      <w:r/>
      <w:bookmarkStart w:id="111" w:name="_Toc20823281"/>
      <w:r/>
      <w:bookmarkStart w:id="112" w:name="_Toc513029209"/>
      <w:r/>
      <w:bookmarkStart w:id="113" w:name="_Toc120614215"/>
      <w:r>
        <w:rPr>
          <w:rFonts w:hint="eastAsia"/>
          <w:b/>
          <w:bCs/>
          <w:color w:val="000000"/>
          <w:sz w:val="30"/>
          <w:szCs w:val="30"/>
        </w:rPr>
        <w:t xml:space="preserve">二、招标文件</w:t>
      </w:r>
      <w:bookmarkEnd w:id="110"/>
      <w:r/>
      <w:bookmarkEnd w:id="111"/>
      <w:r/>
      <w:bookmarkEnd w:id="112"/>
      <w:r/>
      <w:bookmarkEnd w:id="113"/>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14" w:name="_Toc20823282"/>
      <w:r/>
      <w:bookmarkStart w:id="115" w:name="_Toc16938526"/>
      <w:r/>
      <w:bookmarkStart w:id="116" w:name="_Toc513029210"/>
      <w:r>
        <w:rPr>
          <w:rFonts w:hint="eastAsia" w:ascii="宋体" w:hAnsi="宋体" w:cs="Arial"/>
          <w:b/>
          <w:color w:val="000000"/>
          <w:sz w:val="24"/>
          <w:szCs w:val="24"/>
        </w:rPr>
        <w:t xml:space="preserve">6、招标文件构成</w:t>
      </w:r>
      <w:bookmarkEnd w:id="114"/>
      <w:r/>
      <w:bookmarkEnd w:id="115"/>
      <w:r/>
      <w:bookmarkEnd w:id="116"/>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94"/>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江苏华毅</w:t>
      </w:r>
      <w:r>
        <w:rPr>
          <w:rFonts w:hint="eastAsia" w:ascii="宋体" w:hAnsi="宋体"/>
          <w:color w:val="000000"/>
          <w:sz w:val="24"/>
          <w:szCs w:val="21"/>
        </w:rPr>
        <w:t xml:space="preserve">联系解决。</w:t>
      </w:r>
      <w:r/>
    </w:p>
    <w:p>
      <w:pPr>
        <w:pStyle w:val="69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82"/>
        <w:keepLines/>
        <w:keepNext/>
        <w:spacing w:line="400" w:lineRule="exact"/>
        <w:rPr>
          <w:rFonts w:hint="eastAsia" w:ascii="宋体" w:hAnsi="宋体" w:cs="Arial"/>
          <w:b/>
          <w:color w:val="000000"/>
          <w:sz w:val="24"/>
          <w:szCs w:val="24"/>
        </w:rPr>
        <w:outlineLvl w:val="3"/>
      </w:pPr>
      <w:r/>
      <w:bookmarkStart w:id="117" w:name="_Toc462564071"/>
      <w:r/>
      <w:bookmarkStart w:id="118" w:name="_Toc20823284"/>
      <w:r/>
      <w:bookmarkStart w:id="119" w:name="_Toc513029212"/>
      <w:r/>
      <w:bookmarkStart w:id="120" w:name="_Toc16938528"/>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7"/>
      <w:r/>
      <w:bookmarkEnd w:id="118"/>
      <w:r/>
      <w:bookmarkEnd w:id="119"/>
      <w:r/>
      <w:bookmarkEnd w:id="120"/>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江苏华毅</w:t>
      </w:r>
      <w:r>
        <w:rPr>
          <w:rFonts w:hint="eastAsia" w:ascii="宋体" w:hAnsi="宋体"/>
          <w:color w:val="000000"/>
          <w:sz w:val="24"/>
          <w:szCs w:val="21"/>
        </w:rPr>
        <w:t xml:space="preserve">可以对招标文件进行修改。</w:t>
      </w:r>
      <w:r/>
    </w:p>
    <w:p>
      <w:pPr>
        <w:pStyle w:val="694"/>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江苏华毅</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694"/>
        <w:ind w:firstLine="452"/>
        <w:keepLines/>
        <w:keepNext/>
        <w:spacing w:before="156" w:after="156" w:line="400" w:lineRule="exact"/>
        <w:rPr>
          <w:rFonts w:hint="eastAsia"/>
          <w:b/>
          <w:bCs/>
          <w:color w:val="000000"/>
          <w:sz w:val="30"/>
          <w:szCs w:val="30"/>
        </w:rPr>
        <w:outlineLvl w:val="2"/>
      </w:pPr>
      <w:r/>
      <w:bookmarkStart w:id="121" w:name="_Toc462564072"/>
      <w:r/>
      <w:bookmarkStart w:id="122" w:name="_Toc16938529"/>
      <w:r/>
      <w:bookmarkStart w:id="123" w:name="_Toc120614216"/>
      <w:r/>
      <w:bookmarkStart w:id="124" w:name="_Toc513029213"/>
      <w:r/>
      <w:bookmarkStart w:id="125" w:name="_Toc20823285"/>
      <w:r>
        <w:rPr>
          <w:rFonts w:hint="eastAsia"/>
          <w:b/>
          <w:bCs/>
          <w:color w:val="000000"/>
          <w:sz w:val="30"/>
          <w:szCs w:val="30"/>
        </w:rPr>
        <w:t xml:space="preserve">三、投标文件的编制</w:t>
      </w:r>
      <w:bookmarkEnd w:id="121"/>
      <w:r/>
      <w:bookmarkEnd w:id="122"/>
      <w:r/>
      <w:bookmarkEnd w:id="123"/>
      <w:r/>
      <w:bookmarkEnd w:id="124"/>
      <w:r/>
      <w:bookmarkEnd w:id="125"/>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26" w:name="_Toc462564073"/>
      <w:r/>
      <w:bookmarkStart w:id="127" w:name="_Toc16938530"/>
      <w:r/>
      <w:bookmarkStart w:id="128" w:name="_Toc513029214"/>
      <w:r/>
      <w:bookmarkStart w:id="129" w:name="_Toc20823286"/>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6"/>
      <w:r/>
      <w:bookmarkEnd w:id="127"/>
      <w:r/>
      <w:bookmarkEnd w:id="128"/>
      <w:r/>
      <w:bookmarkEnd w:id="129"/>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江苏华毅</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694"/>
        <w:ind w:firstLine="482"/>
        <w:keepLines/>
        <w:keepNext/>
        <w:spacing w:line="400" w:lineRule="exact"/>
        <w:rPr>
          <w:rFonts w:hint="eastAsia" w:ascii="宋体" w:hAnsi="宋体" w:cs="Arial"/>
          <w:b/>
          <w:color w:val="000000"/>
          <w:sz w:val="24"/>
          <w:szCs w:val="24"/>
        </w:rPr>
        <w:outlineLvl w:val="3"/>
      </w:pPr>
      <w:r/>
      <w:bookmarkStart w:id="130" w:name="_Toc20823287"/>
      <w:r/>
      <w:bookmarkStart w:id="131" w:name="_Toc513029215"/>
      <w:r/>
      <w:bookmarkStart w:id="132" w:name="_Toc16938531"/>
      <w:r/>
      <w:bookmarkStart w:id="133"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30"/>
      <w:r/>
      <w:bookmarkEnd w:id="131"/>
      <w:r/>
      <w:bookmarkEnd w:id="132"/>
      <w:r/>
      <w:bookmarkEnd w:id="133"/>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694"/>
        <w:ind w:firstLine="482"/>
        <w:keepLines/>
        <w:keepNext/>
        <w:spacing w:line="400" w:lineRule="exact"/>
        <w:rPr>
          <w:rFonts w:hint="eastAsia" w:ascii="宋体" w:hAnsi="宋体" w:cs="Arial"/>
          <w:b/>
          <w:color w:val="000000"/>
          <w:sz w:val="24"/>
          <w:szCs w:val="24"/>
        </w:rPr>
        <w:outlineLvl w:val="3"/>
      </w:pPr>
      <w:r/>
      <w:bookmarkStart w:id="134" w:name="_Hlt26670360"/>
      <w:r/>
      <w:bookmarkEnd w:id="134"/>
      <w:r/>
      <w:bookmarkStart w:id="135" w:name="_Hlt26954838"/>
      <w:r/>
      <w:bookmarkEnd w:id="135"/>
      <w:r/>
      <w:bookmarkStart w:id="136" w:name="_Hlt26668975"/>
      <w:r/>
      <w:bookmarkEnd w:id="136"/>
      <w:r/>
      <w:bookmarkStart w:id="137" w:name="_Toc14577357"/>
      <w:r/>
      <w:bookmarkStart w:id="138" w:name="_Toc513029219"/>
      <w:r/>
      <w:bookmarkStart w:id="139" w:name="_Toc49090509"/>
      <w:r/>
      <w:bookmarkStart w:id="140" w:name="_Toc49090507"/>
      <w:r/>
      <w:bookmarkStart w:id="141" w:name="_Toc513029216"/>
      <w:r/>
      <w:bookmarkStart w:id="142" w:name="_Toc14577354"/>
      <w:r/>
      <w:bookmarkStart w:id="143" w:name="_Toc14577355"/>
      <w:r/>
      <w:bookmarkStart w:id="144"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7"/>
      <w:r/>
      <w:bookmarkEnd w:id="138"/>
      <w:r/>
      <w:bookmarkEnd w:id="139"/>
      <w:r>
        <w:rPr>
          <w:rFonts w:hint="eastAsia" w:ascii="宋体" w:hAnsi="宋体" w:cs="Arial"/>
          <w:b/>
          <w:color w:val="000000"/>
          <w:sz w:val="24"/>
          <w:szCs w:val="24"/>
        </w:rPr>
      </w:r>
      <w:r/>
    </w:p>
    <w:p>
      <w:pPr>
        <w:pStyle w:val="694"/>
        <w:spacing w:line="400" w:lineRule="exact"/>
        <w:rPr>
          <w:rFonts w:hint="eastAsia" w:ascii="宋体" w:hAnsi="宋体"/>
          <w:color w:val="000000"/>
          <w:sz w:val="24"/>
          <w:szCs w:val="24"/>
        </w:rPr>
      </w:pPr>
      <w:r/>
      <w:bookmarkEnd w:id="140"/>
      <w:r/>
      <w:bookmarkEnd w:id="141"/>
      <w:r/>
      <w:bookmarkEnd w:id="142"/>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694"/>
        <w:ind w:firstLine="482"/>
        <w:keepLines/>
        <w:keepNext/>
        <w:spacing w:line="400" w:lineRule="exact"/>
        <w:rPr>
          <w:rFonts w:hint="eastAsia" w:ascii="宋体" w:hAnsi="宋体" w:cs="Arial"/>
          <w:b/>
          <w:color w:val="000000"/>
          <w:sz w:val="24"/>
          <w:szCs w:val="24"/>
        </w:rPr>
        <w:outlineLvl w:val="3"/>
      </w:pPr>
      <w:r/>
      <w:bookmarkEnd w:id="143"/>
      <w:r/>
      <w:bookmarkEnd w:id="144"/>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45" w:name="_Hlt26954840"/>
      <w:r/>
      <w:bookmarkEnd w:id="145"/>
      <w:r>
        <w:rPr>
          <w:rFonts w:hint="eastAsia" w:ascii="宋体" w:hAnsi="宋体"/>
          <w:color w:val="000000"/>
          <w:sz w:val="24"/>
          <w:szCs w:val="21"/>
        </w:rPr>
        <w:t xml:space="preserve">标人按照招标文件规定格式填报投标分项报价表</w:t>
      </w:r>
      <w:bookmarkStart w:id="146" w:name="_Hlt26670399"/>
      <w:r/>
      <w:bookmarkEnd w:id="146"/>
      <w:r>
        <w:rPr>
          <w:rFonts w:hint="eastAsia" w:ascii="宋体" w:hAnsi="宋体"/>
          <w:color w:val="000000"/>
          <w:sz w:val="24"/>
          <w:szCs w:val="21"/>
        </w:rPr>
        <w:t xml:space="preserve">。</w:t>
      </w:r>
      <w:r>
        <w:rPr>
          <w:rFonts w:hint="eastAsia" w:ascii="宋体" w:hAnsi="宋体"/>
          <w:bCs/>
          <w:color w:val="000000"/>
          <w:sz w:val="24"/>
          <w:szCs w:val="21"/>
        </w:rPr>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694"/>
        <w:ind w:firstLine="482"/>
        <w:keepLines/>
        <w:keepNext/>
        <w:spacing w:line="400" w:lineRule="exact"/>
        <w:rPr>
          <w:rFonts w:hint="eastAsia" w:ascii="宋体" w:hAnsi="宋体" w:cs="Arial"/>
          <w:b/>
          <w:color w:val="000000"/>
          <w:sz w:val="24"/>
          <w:szCs w:val="24"/>
        </w:rPr>
        <w:outlineLvl w:val="3"/>
      </w:pPr>
      <w:r/>
      <w:bookmarkStart w:id="147" w:name="_Hlt26670486"/>
      <w:r/>
      <w:bookmarkEnd w:id="147"/>
      <w:r/>
      <w:bookmarkStart w:id="148" w:name="_Hlt26670482"/>
      <w:r/>
      <w:bookmarkEnd w:id="148"/>
      <w:r/>
      <w:bookmarkStart w:id="149" w:name="_Hlt26954846"/>
      <w:r/>
      <w:bookmarkEnd w:id="149"/>
      <w:r/>
      <w:bookmarkStart w:id="150" w:name="_Hlt26954848"/>
      <w:r/>
      <w:bookmarkEnd w:id="150"/>
      <w:r/>
      <w:bookmarkStart w:id="151" w:name="_Hlt26954731"/>
      <w:r/>
      <w:bookmarkEnd w:id="151"/>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p>
    <w:p>
      <w:pPr>
        <w:pStyle w:val="694"/>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694"/>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94"/>
        <w:ind w:firstLine="482"/>
        <w:keepLines/>
        <w:keepNext/>
        <w:spacing w:line="400" w:lineRule="exact"/>
        <w:rPr>
          <w:rFonts w:hint="eastAsia" w:ascii="宋体" w:hAnsi="宋体" w:cs="Arial"/>
          <w:b/>
          <w:color w:val="000000"/>
          <w:sz w:val="24"/>
          <w:szCs w:val="24"/>
        </w:rPr>
        <w:outlineLvl w:val="3"/>
      </w:pPr>
      <w:r/>
      <w:bookmarkStart w:id="152" w:name="_Toc49090510"/>
      <w:r/>
      <w:bookmarkStart w:id="153"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p>
    <w:p>
      <w:pPr>
        <w:pStyle w:val="69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694"/>
        <w:ind w:firstLine="482"/>
        <w:keepLines/>
        <w:keepNext/>
        <w:spacing w:line="400" w:lineRule="exact"/>
        <w:rPr>
          <w:rFonts w:hint="eastAsia" w:ascii="宋体" w:hAnsi="宋体" w:cs="Arial"/>
          <w:b/>
          <w:color w:val="000000"/>
          <w:sz w:val="24"/>
          <w:szCs w:val="24"/>
        </w:rPr>
        <w:outlineLvl w:val="3"/>
      </w:pPr>
      <w:r/>
      <w:bookmarkEnd w:id="152"/>
      <w:r/>
      <w:bookmarkEnd w:id="153"/>
      <w:r/>
      <w:bookmarkStart w:id="154" w:name="_Toc14577360"/>
      <w:r/>
      <w:bookmarkStart w:id="155"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54"/>
      <w:r/>
      <w:bookmarkEnd w:id="155"/>
      <w:r>
        <w:rPr>
          <w:rFonts w:hint="eastAsia" w:ascii="宋体" w:hAnsi="宋体" w:cs="Arial"/>
          <w:b/>
          <w:color w:val="000000"/>
          <w:sz w:val="24"/>
          <w:szCs w:val="24"/>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江苏华毅</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江苏华毅</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江苏华毅</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694"/>
        <w:ind w:firstLine="452"/>
        <w:keepLines/>
        <w:keepNext/>
        <w:spacing w:before="156" w:after="156" w:line="400" w:lineRule="exact"/>
        <w:rPr>
          <w:rFonts w:hint="eastAsia"/>
          <w:b/>
          <w:bCs/>
          <w:color w:val="000000"/>
          <w:sz w:val="30"/>
          <w:szCs w:val="30"/>
        </w:rPr>
        <w:outlineLvl w:val="2"/>
      </w:pPr>
      <w:r/>
      <w:bookmarkStart w:id="156" w:name="_Hlt26954739"/>
      <w:r/>
      <w:bookmarkEnd w:id="156"/>
      <w:r/>
      <w:bookmarkStart w:id="157" w:name="_Hlt26954852"/>
      <w:r/>
      <w:bookmarkEnd w:id="157"/>
      <w:r/>
      <w:bookmarkStart w:id="158" w:name="_Toc120614217"/>
      <w:r/>
      <w:bookmarkStart w:id="159" w:name="_Toc513029224"/>
      <w:r/>
      <w:bookmarkStart w:id="160" w:name="_Toc16938540"/>
      <w:r/>
      <w:bookmarkStart w:id="161" w:name="_Toc20823296"/>
      <w:r>
        <w:rPr>
          <w:rFonts w:hint="eastAsia"/>
          <w:b/>
          <w:bCs/>
          <w:color w:val="000000"/>
          <w:sz w:val="30"/>
          <w:szCs w:val="30"/>
        </w:rPr>
        <w:t xml:space="preserve">四、投标文件的递交</w:t>
      </w:r>
      <w:bookmarkEnd w:id="158"/>
      <w:r/>
      <w:bookmarkEnd w:id="159"/>
      <w:r/>
      <w:bookmarkEnd w:id="160"/>
      <w:r/>
      <w:bookmarkEnd w:id="161"/>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62" w:name="_Toc16938541"/>
      <w:r/>
      <w:bookmarkStart w:id="163" w:name="_Toc513029225"/>
      <w:r/>
      <w:bookmarkStart w:id="164" w:name="_Toc20823297"/>
      <w:r/>
      <w:bookmarkStart w:id="165" w:name="_Toc462564084"/>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62"/>
      <w:r/>
      <w:bookmarkEnd w:id="163"/>
      <w:r/>
      <w:bookmarkEnd w:id="164"/>
      <w:r/>
      <w:bookmarkEnd w:id="165"/>
      <w:r>
        <w:rPr>
          <w:rFonts w:hint="eastAsia" w:ascii="宋体" w:hAnsi="宋体" w:cs="Arial"/>
          <w:b/>
          <w:color w:val="000000"/>
          <w:sz w:val="24"/>
          <w:szCs w:val="24"/>
        </w:rPr>
        <w:t xml:space="preserve">的递交</w:t>
      </w:r>
      <w:r/>
    </w:p>
    <w:p>
      <w:pPr>
        <w:pStyle w:val="694"/>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94"/>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6" w:name="_Toc16938542"/>
      <w:r/>
      <w:bookmarkStart w:id="167" w:name="_Toc513029226"/>
      <w:r/>
      <w:bookmarkStart w:id="168" w:name="_Toc20823298"/>
      <w:r>
        <w:rPr>
          <w:rFonts w:ascii="宋体" w:hAnsi="宋体"/>
          <w:bCs/>
          <w:color w:val="000000"/>
          <w:sz w:val="24"/>
          <w:szCs w:val="21"/>
        </w:rPr>
      </w:r>
      <w:r/>
    </w:p>
    <w:p>
      <w:pPr>
        <w:pStyle w:val="694"/>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6"/>
      <w:r/>
      <w:bookmarkEnd w:id="167"/>
      <w:r/>
      <w:bookmarkEnd w:id="168"/>
      <w:r>
        <w:rPr>
          <w:rFonts w:hint="eastAsia" w:ascii="宋体" w:hAnsi="宋体" w:cs="Arial"/>
          <w:b/>
          <w:color w:val="000000"/>
          <w:sz w:val="24"/>
          <w:szCs w:val="24"/>
        </w:rPr>
      </w:r>
      <w:r/>
    </w:p>
    <w:p>
      <w:pPr>
        <w:pStyle w:val="69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69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694"/>
        <w:ind w:firstLine="482"/>
        <w:keepLines/>
        <w:keepNext/>
        <w:spacing w:line="400" w:lineRule="exact"/>
        <w:rPr>
          <w:rFonts w:hint="eastAsia" w:ascii="宋体" w:hAnsi="宋体" w:cs="Arial"/>
          <w:b/>
          <w:color w:val="000000"/>
          <w:sz w:val="24"/>
          <w:szCs w:val="24"/>
        </w:rPr>
        <w:outlineLvl w:val="3"/>
      </w:pPr>
      <w:r/>
      <w:bookmarkStart w:id="169" w:name="_Toc20823299"/>
      <w:r/>
      <w:bookmarkStart w:id="170" w:name="_Toc513029227"/>
      <w:r/>
      <w:bookmarkStart w:id="171" w:name="_Toc16938543"/>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9"/>
      <w:r/>
      <w:bookmarkEnd w:id="170"/>
      <w:r/>
      <w:bookmarkEnd w:id="171"/>
      <w:r>
        <w:rPr>
          <w:rFonts w:hint="eastAsia" w:ascii="宋体" w:hAnsi="宋体" w:cs="Arial"/>
          <w:b/>
          <w:color w:val="000000"/>
          <w:sz w:val="24"/>
          <w:szCs w:val="24"/>
        </w:rPr>
        <w:t xml:space="preserve">的拒收</w:t>
      </w:r>
      <w:r/>
    </w:p>
    <w:p>
      <w:pPr>
        <w:pStyle w:val="694"/>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江苏华毅</w:t>
      </w:r>
      <w:r>
        <w:rPr>
          <w:rFonts w:hint="eastAsia" w:ascii="宋体" w:hAnsi="宋体"/>
          <w:bCs/>
          <w:color w:val="000000"/>
          <w:sz w:val="24"/>
          <w:szCs w:val="21"/>
        </w:rPr>
        <w:t xml:space="preserve">拒绝接收在其规定的投标截止时间后上传的任何投标文件。</w:t>
      </w:r>
      <w:r/>
    </w:p>
    <w:p>
      <w:pPr>
        <w:pStyle w:val="694"/>
        <w:ind w:firstLine="482"/>
        <w:keepLines/>
        <w:keepNext/>
        <w:spacing w:line="400" w:lineRule="exact"/>
        <w:rPr>
          <w:rFonts w:hint="eastAsia" w:ascii="宋体" w:hAnsi="宋体" w:cs="Arial"/>
          <w:b/>
          <w:color w:val="000000"/>
          <w:sz w:val="24"/>
          <w:szCs w:val="24"/>
        </w:rPr>
        <w:outlineLvl w:val="3"/>
      </w:pPr>
      <w:r/>
      <w:bookmarkStart w:id="172" w:name="_Toc513029228"/>
      <w:r/>
      <w:bookmarkStart w:id="173" w:name="_Toc20823300"/>
      <w:r/>
      <w:bookmarkStart w:id="174" w:name="_Toc16938544"/>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72"/>
      <w:r/>
      <w:bookmarkEnd w:id="173"/>
      <w:r/>
      <w:bookmarkEnd w:id="174"/>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694"/>
        <w:ind w:firstLine="452"/>
        <w:keepLines/>
        <w:keepNext/>
        <w:spacing w:before="156" w:after="156" w:line="400" w:lineRule="exact"/>
        <w:rPr>
          <w:rFonts w:hint="eastAsia"/>
          <w:b/>
          <w:bCs/>
          <w:color w:val="000000"/>
          <w:sz w:val="30"/>
          <w:szCs w:val="30"/>
        </w:rPr>
        <w:outlineLvl w:val="2"/>
      </w:pPr>
      <w:r/>
      <w:bookmarkStart w:id="175" w:name="_Toc513029229"/>
      <w:r/>
      <w:bookmarkStart w:id="176" w:name="_Toc120614218"/>
      <w:r/>
      <w:bookmarkStart w:id="177" w:name="_Toc20823301"/>
      <w:r/>
      <w:bookmarkStart w:id="178" w:name="_Toc16938545"/>
      <w:r>
        <w:rPr>
          <w:rFonts w:hint="eastAsia"/>
          <w:b/>
          <w:bCs/>
          <w:color w:val="000000"/>
          <w:sz w:val="30"/>
          <w:szCs w:val="30"/>
        </w:rPr>
        <w:t xml:space="preserve">五、开标与评标</w:t>
      </w:r>
      <w:bookmarkEnd w:id="175"/>
      <w:r/>
      <w:bookmarkEnd w:id="176"/>
      <w:r/>
      <w:bookmarkEnd w:id="177"/>
      <w:r/>
      <w:bookmarkEnd w:id="178"/>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79" w:name="_Toc20823302"/>
      <w:r/>
      <w:bookmarkStart w:id="180" w:name="_Toc513029230"/>
      <w:r/>
      <w:bookmarkStart w:id="181"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9"/>
      <w:r/>
      <w:bookmarkEnd w:id="180"/>
      <w:r/>
      <w:bookmarkEnd w:id="181"/>
      <w:r>
        <w:rPr>
          <w:rFonts w:hint="eastAsia" w:ascii="宋体" w:hAnsi="宋体" w:cs="Arial"/>
          <w:b/>
          <w:color w:val="000000"/>
          <w:sz w:val="24"/>
          <w:szCs w:val="24"/>
        </w:rPr>
      </w:r>
      <w:r/>
    </w:p>
    <w:p>
      <w:pPr>
        <w:pStyle w:val="694"/>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rPr>
        <w:t xml:space="preserve">江苏华毅</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694"/>
        <w:ind w:firstLine="482"/>
        <w:keepLines/>
        <w:keepNext/>
        <w:spacing w:line="400" w:lineRule="exact"/>
        <w:rPr>
          <w:rFonts w:hint="eastAsia" w:ascii="宋体" w:hAnsi="宋体" w:cs="Arial"/>
          <w:b/>
          <w:color w:val="000000"/>
          <w:sz w:val="24"/>
          <w:szCs w:val="24"/>
        </w:rPr>
        <w:outlineLvl w:val="3"/>
      </w:pPr>
      <w:r/>
      <w:bookmarkStart w:id="182" w:name="_Toc16938547"/>
      <w:r/>
      <w:bookmarkStart w:id="183" w:name="_Toc20823303"/>
      <w:r/>
      <w:bookmarkStart w:id="184"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p>
    <w:p>
      <w:pPr>
        <w:pStyle w:val="69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江苏华毅</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69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69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p>
    <w:p>
      <w:pPr>
        <w:pStyle w:val="694"/>
        <w:ind w:firstLine="480"/>
        <w:spacing w:line="400" w:lineRule="exact"/>
        <w:rPr>
          <w:rFonts w:hint="eastAsia" w:ascii="宋体" w:hAnsi="宋体"/>
          <w:bCs/>
          <w:color w:val="000000"/>
          <w:sz w:val="24"/>
          <w:szCs w:val="21"/>
        </w:rPr>
      </w:pPr>
      <w:r/>
      <w:bookmarkEnd w:id="182"/>
      <w:r/>
      <w:bookmarkEnd w:id="183"/>
      <w:r/>
      <w:bookmarkEnd w:id="184"/>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江苏华毅</w:t>
      </w:r>
      <w:r>
        <w:rPr>
          <w:rFonts w:hint="eastAsia" w:ascii="宋体" w:hAnsi="宋体"/>
          <w:bCs/>
          <w:color w:val="000000"/>
          <w:sz w:val="24"/>
          <w:szCs w:val="21"/>
        </w:rPr>
        <w:t xml:space="preserve">均不得向投标人或与评标无关的其他人员透露。</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江苏华毅</w:t>
      </w:r>
      <w:r>
        <w:rPr>
          <w:rFonts w:hint="eastAsia" w:ascii="宋体" w:hAnsi="宋体"/>
          <w:color w:val="000000"/>
          <w:sz w:val="24"/>
          <w:szCs w:val="24"/>
        </w:rPr>
        <w:t xml:space="preserve">和评标委员会不向未中标的投标人解释未中标原因，也不公布评标过程中的相关细节。</w:t>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94"/>
        <w:ind w:firstLine="482"/>
        <w:spacing w:line="400" w:lineRule="exact"/>
        <w:rPr>
          <w:rFonts w:hint="eastAsia" w:ascii="宋体" w:hAnsi="宋体"/>
          <w:b/>
          <w:color w:val="000000"/>
          <w:sz w:val="24"/>
          <w:szCs w:val="21"/>
        </w:rPr>
      </w:pPr>
      <w:r/>
      <w:bookmarkStart w:id="185" w:name="_Toc20823304"/>
      <w:r/>
      <w:bookmarkStart w:id="186" w:name="_Toc16938548"/>
      <w:r/>
      <w:bookmarkStart w:id="187" w:name="_Toc513029232"/>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85"/>
      <w:r/>
      <w:bookmarkEnd w:id="186"/>
      <w:r/>
      <w:bookmarkEnd w:id="187"/>
      <w:r>
        <w:rPr>
          <w:rFonts w:hint="eastAsia" w:ascii="宋体" w:hAnsi="宋体"/>
          <w:b/>
          <w:color w:val="000000"/>
          <w:sz w:val="24"/>
          <w:szCs w:val="21"/>
        </w:rPr>
      </w:r>
      <w:r/>
    </w:p>
    <w:p>
      <w:pPr>
        <w:pStyle w:val="694"/>
        <w:ind w:firstLine="480"/>
        <w:spacing w:line="400" w:lineRule="exact"/>
        <w:rPr>
          <w:rFonts w:ascii="宋体" w:hAnsi="宋体"/>
          <w:color w:val="000000"/>
          <w:sz w:val="24"/>
          <w:szCs w:val="24"/>
        </w:rPr>
      </w:pPr>
      <w:r/>
      <w:bookmarkStart w:id="188" w:name="_Toc513029233"/>
      <w:r/>
      <w:bookmarkStart w:id="189" w:name="_Toc20823305"/>
      <w:r/>
      <w:bookmarkStart w:id="190"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694"/>
        <w:ind w:firstLine="482"/>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8"/>
      <w:r/>
      <w:bookmarkEnd w:id="189"/>
      <w:r/>
      <w:bookmarkEnd w:id="190"/>
      <w:r>
        <w:rPr>
          <w:rFonts w:hint="eastAsia" w:ascii="Arial" w:hAnsi="Arial" w:eastAsia="黑体" w:cs="Arial"/>
          <w:b/>
          <w:color w:val="000000"/>
          <w:sz w:val="24"/>
          <w:szCs w:val="24"/>
        </w:rPr>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将不再告知未通过资格审查或符合性审查的原因。</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w:t>
      </w:r>
      <w:r>
        <w:rPr>
          <w:rFonts w:hint="eastAsia" w:ascii="宋体" w:hAnsi="宋体"/>
          <w:color w:val="000000"/>
          <w:sz w:val="24"/>
          <w:szCs w:val="24"/>
        </w:rPr>
        <w:t xml:space="preserve">审查每份投标文件是否实质性响应了招标文件的要求。实质性响应的投标应该是与招标文件要求的全部条款、条件和规格相符，没有重大偏离或保留的投标。</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江苏华毅</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694"/>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94"/>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94"/>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694"/>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94"/>
        <w:ind w:firstLine="480"/>
        <w:spacing w:line="400" w:lineRule="exact"/>
        <w:rPr>
          <w:rFonts w:ascii="宋体" w:hAnsi="宋体"/>
          <w:color w:val="000000"/>
          <w:sz w:val="24"/>
          <w:szCs w:val="21"/>
        </w:rPr>
      </w:pPr>
      <w:r/>
      <w:bookmarkStart w:id="191" w:name="_Toc20823306"/>
      <w:r/>
      <w:bookmarkStart w:id="192" w:name="_Toc16938550"/>
      <w:r/>
      <w:bookmarkStart w:id="193"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694"/>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694"/>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94"/>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rPr>
        <w:t xml:space="preserve">江苏华毅</w:t>
      </w:r>
      <w:r>
        <w:rPr>
          <w:rFonts w:hint="eastAsia" w:ascii="宋体" w:hAnsi="宋体"/>
          <w:color w:val="000000"/>
          <w:sz w:val="24"/>
          <w:szCs w:val="21"/>
        </w:rPr>
        <w:t xml:space="preserve">及评标委员会联系。</w:t>
      </w:r>
      <w:r>
        <w:rPr>
          <w:rFonts w:ascii="宋体" w:hAnsi="宋体"/>
          <w:color w:val="000000"/>
          <w:sz w:val="24"/>
          <w:szCs w:val="21"/>
        </w:rPr>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 异常低价投标审查</w:t>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投标（响应）报价低于采购项目最高限价45%的，即投标（响应）报价&lt;采购项目最高限价×45%；</w:t>
      </w:r>
      <w:r>
        <w:rPr>
          <w:rFonts w:ascii="Calibri" w:hAnsi="Calibri" w:cs="宋体"/>
          <w:color w:val="000000"/>
          <w:szCs w:val="21"/>
        </w:rPr>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评审委员会基于专业判断，认为供应商报价过低，有可能影响产品质量或者不能诚信履约的其他情形。</w:t>
      </w:r>
      <w:r>
        <w:rPr>
          <w:rFonts w:ascii="Calibri" w:hAnsi="Calibri" w:cs="宋体"/>
          <w:color w:val="000000"/>
          <w:szCs w:val="21"/>
        </w:rPr>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91"/>
      <w:r/>
      <w:bookmarkEnd w:id="192"/>
      <w:r/>
      <w:bookmarkEnd w:id="193"/>
      <w:r>
        <w:rPr>
          <w:rFonts w:hint="eastAsia" w:ascii="宋体" w:hAnsi="宋体" w:cs="Arial"/>
          <w:b/>
          <w:color w:val="000000"/>
          <w:sz w:val="24"/>
          <w:szCs w:val="24"/>
        </w:rPr>
        <w:t xml:space="preserve">无效投标条款和废标条款</w:t>
      </w:r>
      <w:r/>
    </w:p>
    <w:p>
      <w:pPr>
        <w:pStyle w:val="694"/>
        <w:ind w:left="479"/>
        <w:spacing w:line="400" w:lineRule="exact"/>
        <w:rPr>
          <w:rFonts w:hint="eastAsia" w:ascii="宋体" w:hAnsi="宋体"/>
          <w:bCs/>
          <w:color w:val="000000"/>
          <w:sz w:val="24"/>
          <w:szCs w:val="21"/>
        </w:rPr>
      </w:pPr>
      <w:r/>
      <w:bookmarkStart w:id="194" w:name="_Toc16938551"/>
      <w:r/>
      <w:bookmarkStart w:id="195" w:name="_Toc513029235"/>
      <w:r/>
      <w:bookmarkStart w:id="196"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694"/>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94"/>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 评标委员会按照本招标文件规定对投标人进行异常低价投标审查后，认为投标人不能证明其报价合理性的。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694"/>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94"/>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694"/>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94"/>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94"/>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94"/>
        <w:ind w:firstLine="452"/>
        <w:keepLines/>
        <w:keepNext/>
        <w:spacing w:before="156" w:after="156" w:line="400" w:lineRule="exact"/>
        <w:rPr>
          <w:rFonts w:hint="eastAsia"/>
          <w:b/>
          <w:bCs/>
          <w:color w:val="000000"/>
          <w:sz w:val="30"/>
          <w:szCs w:val="30"/>
        </w:rPr>
        <w:outlineLvl w:val="2"/>
      </w:pPr>
      <w:r/>
      <w:bookmarkStart w:id="197" w:name="_Toc120614219"/>
      <w:r>
        <w:rPr>
          <w:rFonts w:hint="eastAsia"/>
          <w:b/>
          <w:bCs/>
          <w:color w:val="000000"/>
          <w:sz w:val="30"/>
          <w:szCs w:val="30"/>
        </w:rPr>
        <w:t xml:space="preserve">六、</w:t>
      </w:r>
      <w:bookmarkEnd w:id="194"/>
      <w:r/>
      <w:bookmarkEnd w:id="195"/>
      <w:r/>
      <w:bookmarkEnd w:id="196"/>
      <w:r>
        <w:rPr>
          <w:rFonts w:hint="eastAsia"/>
          <w:b/>
          <w:bCs/>
          <w:color w:val="000000"/>
          <w:sz w:val="30"/>
          <w:szCs w:val="30"/>
        </w:rPr>
        <w:t xml:space="preserve">定标</w:t>
      </w:r>
      <w:bookmarkEnd w:id="197"/>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98" w:name="_Toc513029238"/>
      <w:r/>
      <w:bookmarkStart w:id="199" w:name="_Toc16938554"/>
      <w:r/>
      <w:bookmarkStart w:id="200"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8"/>
      <w:r>
        <w:rPr>
          <w:rFonts w:hint="eastAsia" w:ascii="宋体" w:hAnsi="宋体" w:cs="Arial"/>
          <w:b/>
          <w:color w:val="000000"/>
          <w:sz w:val="24"/>
          <w:szCs w:val="24"/>
        </w:rPr>
        <w:t xml:space="preserve">确定</w:t>
      </w:r>
      <w:bookmarkEnd w:id="199"/>
      <w:r/>
      <w:bookmarkEnd w:id="200"/>
      <w:r>
        <w:rPr>
          <w:rFonts w:hint="eastAsia" w:ascii="宋体" w:hAnsi="宋体" w:cs="Arial"/>
          <w:b/>
          <w:color w:val="000000"/>
          <w:sz w:val="24"/>
          <w:szCs w:val="24"/>
        </w:rPr>
        <w:t xml:space="preserve">中标单位</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江苏华毅</w:t>
      </w:r>
      <w:r>
        <w:rPr>
          <w:rFonts w:hint="eastAsia" w:ascii="宋体" w:hAnsi="宋体"/>
          <w:color w:val="000000"/>
          <w:sz w:val="24"/>
          <w:szCs w:val="24"/>
        </w:rPr>
        <w:t xml:space="preserve">将在“江苏政府采购网”发布中标公告，公告期限为1个工作日。</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江苏华毅</w:t>
      </w:r>
      <w:r>
        <w:rPr>
          <w:rFonts w:hint="eastAsia" w:ascii="宋体" w:hAnsi="宋体"/>
          <w:color w:val="000000"/>
          <w:sz w:val="24"/>
          <w:szCs w:val="24"/>
        </w:rPr>
        <w:t xml:space="preserve">行贿或者提供其他不正当利益的。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94"/>
        <w:ind w:firstLine="480"/>
        <w:spacing w:line="400" w:lineRule="exact"/>
        <w:rPr>
          <w:rFonts w:ascii="宋体" w:hAnsi="宋体"/>
          <w:color w:val="000000"/>
          <w:sz w:val="24"/>
          <w:szCs w:val="24"/>
        </w:rPr>
      </w:pPr>
      <w:r/>
      <w:bookmarkStart w:id="201"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4"/>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201"/>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江苏华毅</w:t>
      </w:r>
      <w:r>
        <w:rPr>
          <w:rFonts w:hint="eastAsia" w:ascii="宋体" w:hAnsi="宋体"/>
          <w:color w:val="000000"/>
          <w:sz w:val="24"/>
          <w:szCs w:val="24"/>
        </w:rPr>
        <w:t xml:space="preserve">或采购人提出质疑。上述应知其权益受到损害之日，是指：</w:t>
      </w:r>
      <w:r/>
    </w:p>
    <w:p>
      <w:pPr>
        <w:pStyle w:val="694"/>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94"/>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江苏华毅</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94"/>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江苏华毅</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江苏华毅</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江苏华毅</w:t>
      </w:r>
      <w:r>
        <w:rPr>
          <w:rFonts w:hint="eastAsia" w:ascii="宋体" w:hAnsi="宋体"/>
          <w:color w:val="000000"/>
          <w:sz w:val="24"/>
          <w:szCs w:val="24"/>
        </w:rPr>
        <w:t xml:space="preserve">质疑接收部门为质疑处理科（快递运单上的收件人填写“质疑处理科”即可），联系地址：</w:t>
      </w:r>
      <w:r>
        <w:rPr>
          <w:rFonts w:hint="eastAsia" w:ascii="宋体" w:hAnsi="宋体"/>
          <w:color w:val="000000"/>
          <w:sz w:val="24"/>
          <w:szCs w:val="24"/>
        </w:rPr>
        <w:t xml:space="preserve">兴化市海德国际典雅居1幢沧浪西路46号</w:t>
      </w:r>
      <w:r>
        <w:rPr>
          <w:rFonts w:hint="eastAsia" w:ascii="宋体" w:hAnsi="宋体"/>
          <w:color w:val="000000"/>
          <w:sz w:val="24"/>
          <w:szCs w:val="24"/>
        </w:rPr>
        <w:t xml:space="preserve">，联系电话：</w:t>
      </w:r>
      <w:r>
        <w:rPr>
          <w:rFonts w:hint="eastAsia" w:ascii="宋体" w:hAnsi="宋体"/>
          <w:color w:val="000000"/>
          <w:sz w:val="24"/>
          <w:szCs w:val="24"/>
        </w:rPr>
        <w:t xml:space="preserve">13814490520</w:t>
      </w:r>
      <w:r>
        <w:rPr>
          <w:rFonts w:hint="eastAsia" w:ascii="宋体" w:hAnsi="宋体"/>
          <w:color w:val="000000"/>
          <w:sz w:val="24"/>
          <w:szCs w:val="24"/>
        </w:rPr>
        <w:t xml:space="preserve">。</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694"/>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江苏华毅</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694"/>
        <w:ind w:firstLine="602"/>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p>
    <w:p>
      <w:pPr>
        <w:pStyle w:val="694"/>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江苏华毅</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9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94"/>
        <w:keepLines/>
        <w:keepNext/>
        <w:spacing w:before="156" w:after="156" w:line="400" w:lineRule="exact"/>
        <w:rPr>
          <w:rFonts w:hint="eastAsia"/>
          <w:b/>
          <w:bCs/>
          <w:color w:val="000000"/>
          <w:sz w:val="32"/>
          <w:szCs w:val="32"/>
        </w:rPr>
        <w:outlineLvl w:val="2"/>
      </w:pPr>
      <w:r/>
      <w:bookmarkStart w:id="202" w:name="_Toc120614220"/>
      <w:r/>
      <w:bookmarkStart w:id="203" w:name="_Toc16938552"/>
      <w:r/>
      <w:bookmarkStart w:id="204" w:name="_Toc20823308"/>
      <w:r/>
      <w:bookmarkStart w:id="205" w:name="_Toc513029236"/>
      <w:r>
        <w:rPr>
          <w:rFonts w:hint="eastAsia"/>
          <w:b/>
          <w:bCs/>
          <w:color w:val="000000"/>
          <w:sz w:val="32"/>
          <w:szCs w:val="32"/>
        </w:rPr>
        <w:t xml:space="preserve">七、授予合同</w:t>
      </w:r>
      <w:bookmarkEnd w:id="202"/>
      <w:r>
        <w:rPr>
          <w:rFonts w:hint="eastAsia"/>
          <w:b/>
          <w:bCs/>
          <w:color w:val="000000"/>
          <w:sz w:val="32"/>
          <w:szCs w:val="32"/>
        </w:rPr>
      </w:r>
      <w:r/>
    </w:p>
    <w:p>
      <w:pPr>
        <w:pStyle w:val="694"/>
        <w:ind w:firstLine="602"/>
        <w:keepLines/>
        <w:keepNext/>
        <w:spacing w:line="400" w:lineRule="exact"/>
        <w:rPr>
          <w:rFonts w:hint="eastAsia" w:ascii="宋体" w:hAnsi="宋体"/>
          <w:b/>
          <w:bCs/>
          <w:color w:val="000000"/>
          <w:sz w:val="24"/>
          <w:szCs w:val="24"/>
        </w:rPr>
        <w:outlineLvl w:val="3"/>
      </w:pPr>
      <w:r/>
      <w:bookmarkEnd w:id="203"/>
      <w:r/>
      <w:bookmarkEnd w:id="204"/>
      <w:r/>
      <w:bookmarkEnd w:id="205"/>
      <w:r/>
      <w:bookmarkStart w:id="206" w:name="_Toc513029237"/>
      <w:r/>
      <w:bookmarkStart w:id="207" w:name="_Toc20823309"/>
      <w:r/>
      <w:bookmarkStart w:id="208" w:name="_Toc16938553"/>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p>
    <w:p>
      <w:pPr>
        <w:pStyle w:val="69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69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69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94"/>
        <w:ind w:firstLine="482"/>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694"/>
        <w:ind w:firstLine="602"/>
        <w:keepLines/>
        <w:keepNext/>
        <w:spacing w:line="400" w:lineRule="exact"/>
        <w:rPr>
          <w:rFonts w:ascii="宋体" w:hAnsi="宋体"/>
          <w:b/>
          <w:bCs/>
          <w:color w:val="000000"/>
          <w:sz w:val="24"/>
          <w:szCs w:val="24"/>
        </w:rPr>
        <w:outlineLvl w:val="3"/>
      </w:pPr>
      <w:r/>
      <w:bookmarkEnd w:id="206"/>
      <w:r/>
      <w:bookmarkEnd w:id="207"/>
      <w:r/>
      <w:bookmarkEnd w:id="208"/>
      <w:r/>
      <w:bookmarkStart w:id="209" w:name="_Toc20823314"/>
      <w:r/>
      <w:bookmarkStart w:id="210" w:name="_Toc479757207"/>
      <w:r/>
      <w:bookmarkStart w:id="211" w:name="_Toc16938558"/>
      <w:r/>
      <w:bookmarkStart w:id="212" w:name="_Toc513029242"/>
      <w:r/>
      <w:bookmarkStart w:id="213"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694"/>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694"/>
        <w:ind w:firstLine="420"/>
        <w:spacing w:line="400" w:lineRule="exact"/>
        <w:rPr>
          <w:rFonts w:hint="eastAsia"/>
          <w:color w:val="000000"/>
          <w:szCs w:val="21"/>
        </w:rPr>
      </w:pPr>
      <w:r>
        <w:rPr>
          <w:rFonts w:hint="eastAsia"/>
          <w:color w:val="000000"/>
          <w:szCs w:val="21"/>
        </w:rPr>
      </w:r>
      <w:r/>
    </w:p>
    <w:p>
      <w:pPr>
        <w:pStyle w:val="69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9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94"/>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9"/>
      <w:r/>
      <w:bookmarkEnd w:id="210"/>
      <w:r/>
      <w:bookmarkEnd w:id="211"/>
      <w:r/>
      <w:bookmarkEnd w:id="212"/>
      <w:r/>
      <w:bookmarkEnd w:id="213"/>
      <w:r>
        <w:rPr>
          <w:rFonts w:hint="eastAsia" w:ascii="黑体" w:eastAsia="黑体"/>
          <w:bCs/>
          <w:color w:val="000000"/>
          <w:sz w:val="44"/>
          <w:szCs w:val="28"/>
        </w:rPr>
        <w:t xml:space="preserve">文本</w:t>
      </w:r>
      <w:r/>
    </w:p>
    <w:p>
      <w:pPr>
        <w:pStyle w:val="694"/>
        <w:spacing w:line="400" w:lineRule="exact"/>
        <w:rPr>
          <w:rFonts w:ascii="宋体" w:hAnsi="宋体"/>
          <w:bCs/>
          <w:color w:val="ff0000"/>
          <w:sz w:val="24"/>
          <w:szCs w:val="24"/>
          <w:highlight w:val="yellow"/>
        </w:rPr>
      </w:pPr>
      <w:r/>
      <w:bookmarkStart w:id="214" w:name="_Toc16938559"/>
      <w:r/>
      <w:bookmarkStart w:id="215" w:name="_Toc513029243"/>
      <w:r/>
      <w:bookmarkStart w:id="216" w:name="_Toc20823315"/>
      <w:r/>
      <w:bookmarkStart w:id="217" w:name="_Toc3995"/>
      <w:r/>
      <w:bookmarkStart w:id="218" w:name="_Hlt16619350"/>
      <w:r/>
      <w:bookmarkStart w:id="219" w:name="_Toc16938590"/>
      <w:r/>
      <w:bookmarkStart w:id="220" w:name="_Toc120614244"/>
      <w:r/>
      <w:bookmarkStart w:id="221" w:name="_Toc20823346"/>
      <w:r/>
      <w:bookmarkStart w:id="222" w:name="_Toc479757211"/>
      <w:r/>
      <w:bookmarkStart w:id="223" w:name="_Toc462564139"/>
      <w:r>
        <w:rPr>
          <w:rFonts w:ascii="宋体" w:hAnsi="宋体"/>
          <w:bCs/>
          <w:color w:val="ff0000"/>
          <w:sz w:val="24"/>
          <w:szCs w:val="24"/>
          <w:highlight w:val="yellow"/>
        </w:rPr>
      </w:r>
      <w:r/>
    </w:p>
    <w:p>
      <w:pPr>
        <w:pStyle w:val="69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26"/>
        <w:jc w:val="center"/>
        <w:rPr>
          <w:rFonts w:ascii="宋体" w:hAnsi="宋体" w:eastAsia="宋体" w:cs="宋体"/>
          <w:b/>
          <w:bCs/>
          <w:spacing w:val="-20"/>
          <w:sz w:val="32"/>
          <w:szCs w:val="32"/>
        </w:rPr>
      </w:pPr>
      <w:r/>
      <w:bookmarkEnd w:id="214"/>
      <w:r/>
      <w:bookmarkEnd w:id="215"/>
      <w:r/>
      <w:bookmarkEnd w:id="216"/>
      <w:r/>
      <w:bookmarkEnd w:id="217"/>
      <w:r>
        <w:rPr>
          <w:rFonts w:ascii="宋体" w:hAnsi="宋体" w:eastAsia="宋体" w:cs="宋体"/>
          <w:b/>
          <w:bCs/>
          <w:spacing w:val="-20"/>
          <w:sz w:val="32"/>
          <w:szCs w:val="32"/>
        </w:rPr>
      </w:r>
      <w:r/>
    </w:p>
    <w:p>
      <w:pPr>
        <w:pStyle w:val="72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26"/>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726"/>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694"/>
        <w:rPr>
          <w:rFonts w:ascii="宋体" w:hAnsi="宋体" w:cs="宋体"/>
          <w:b/>
          <w:bCs/>
          <w:color w:val="000000"/>
          <w:spacing w:val="-20"/>
          <w:sz w:val="40"/>
          <w:szCs w:val="40"/>
        </w:rPr>
      </w:pPr>
      <w:r>
        <w:rPr>
          <w:rFonts w:ascii="宋体" w:hAnsi="宋体" w:cs="宋体"/>
          <w:b/>
          <w:bCs/>
          <w:color w:val="000000"/>
          <w:spacing w:val="-20"/>
          <w:sz w:val="40"/>
          <w:szCs w:val="40"/>
        </w:rPr>
      </w:r>
      <w:r/>
    </w:p>
    <w:p>
      <w:pPr>
        <w:pStyle w:val="694"/>
        <w:rPr>
          <w:rFonts w:ascii="宋体" w:hAnsi="宋体" w:cs="宋体"/>
          <w:b/>
          <w:bCs/>
          <w:color w:val="000000"/>
          <w:spacing w:val="-20"/>
          <w:sz w:val="40"/>
          <w:szCs w:val="40"/>
        </w:rPr>
      </w:pPr>
      <w:r>
        <w:rPr>
          <w:rFonts w:ascii="宋体" w:hAnsi="宋体" w:cs="宋体"/>
          <w:b/>
          <w:bCs/>
          <w:color w:val="000000"/>
          <w:spacing w:val="-20"/>
          <w:sz w:val="40"/>
          <w:szCs w:val="40"/>
        </w:rPr>
      </w:r>
      <w:r/>
    </w:p>
    <w:p>
      <w:pPr>
        <w:pStyle w:val="694"/>
        <w:rPr>
          <w:rFonts w:ascii="宋体" w:hAnsi="宋体" w:cs="宋体"/>
          <w:b/>
          <w:bCs/>
          <w:color w:val="000000"/>
          <w:spacing w:val="-20"/>
          <w:sz w:val="40"/>
          <w:szCs w:val="40"/>
        </w:rPr>
      </w:pPr>
      <w:r>
        <w:rPr>
          <w:rFonts w:ascii="宋体" w:hAnsi="宋体" w:cs="宋体"/>
          <w:b/>
          <w:bCs/>
          <w:color w:val="000000"/>
          <w:spacing w:val="-20"/>
          <w:sz w:val="40"/>
          <w:szCs w:val="40"/>
        </w:rPr>
      </w:r>
      <w:r/>
    </w:p>
    <w:p>
      <w:pPr>
        <w:pStyle w:val="694"/>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694"/>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694"/>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694"/>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694"/>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694"/>
      </w:pPr>
      <w:r/>
      <w:r/>
    </w:p>
    <w:p>
      <w:pPr>
        <w:pStyle w:val="694"/>
        <w:rPr>
          <w:rFonts w:eastAsia="黑体"/>
          <w:sz w:val="44"/>
          <w:szCs w:val="44"/>
        </w:rPr>
      </w:pPr>
      <w:r>
        <w:rPr>
          <w:rFonts w:eastAsia="黑体"/>
          <w:sz w:val="44"/>
          <w:szCs w:val="44"/>
        </w:rPr>
      </w:r>
      <w:r/>
    </w:p>
    <w:p>
      <w:pPr>
        <w:pStyle w:val="694"/>
        <w:rPr>
          <w:rFonts w:eastAsia="黑体"/>
          <w:sz w:val="44"/>
          <w:szCs w:val="44"/>
        </w:rPr>
      </w:pPr>
      <w:r>
        <w:rPr>
          <w:rFonts w:eastAsia="黑体"/>
          <w:sz w:val="44"/>
          <w:szCs w:val="44"/>
        </w:rPr>
      </w:r>
      <w:r/>
    </w:p>
    <w:p>
      <w:pPr>
        <w:pStyle w:val="694"/>
        <w:rPr>
          <w:rFonts w:eastAsia="黑体"/>
          <w:sz w:val="44"/>
          <w:szCs w:val="44"/>
        </w:rPr>
      </w:pPr>
      <w:r>
        <w:rPr>
          <w:rFonts w:eastAsia="黑体"/>
          <w:sz w:val="44"/>
          <w:szCs w:val="44"/>
        </w:rPr>
      </w:r>
      <w:r/>
    </w:p>
    <w:p>
      <w:pPr>
        <w:pStyle w:val="694"/>
        <w:rPr>
          <w:rFonts w:hint="eastAsia" w:eastAsia="黑体"/>
          <w:sz w:val="44"/>
          <w:szCs w:val="44"/>
        </w:rPr>
      </w:pPr>
      <w:r>
        <w:rPr>
          <w:rFonts w:hint="eastAsia" w:eastAsia="黑体"/>
          <w:sz w:val="44"/>
          <w:szCs w:val="44"/>
        </w:rPr>
      </w:r>
      <w:r/>
    </w:p>
    <w:p>
      <w:pPr>
        <w:rPr>
          <w:rFonts w:eastAsia="黑体"/>
          <w:sz w:val="44"/>
          <w:szCs w:val="44"/>
        </w:rPr>
      </w:pPr>
      <w:r>
        <w:rPr>
          <w:rFonts w:eastAsia="黑体"/>
          <w:sz w:val="44"/>
          <w:szCs w:val="44"/>
        </w:rPr>
      </w:r>
      <w:r>
        <w:rPr>
          <w:rFonts w:eastAsia="黑体"/>
          <w:sz w:val="44"/>
          <w:szCs w:val="44"/>
        </w:rPr>
      </w:r>
    </w:p>
    <w:p>
      <w:pPr>
        <w:rPr>
          <w:rFonts w:eastAsia="黑体"/>
          <w:sz w:val="44"/>
          <w:szCs w:val="44"/>
        </w:rPr>
      </w:pPr>
      <w:r>
        <w:rPr>
          <w:rFonts w:eastAsia="黑体"/>
          <w:sz w:val="44"/>
          <w:szCs w:val="44"/>
        </w:rPr>
      </w:r>
      <w:r>
        <w:rPr>
          <w:rFonts w:eastAsia="黑体"/>
          <w:sz w:val="44"/>
          <w:szCs w:val="44"/>
        </w:rPr>
      </w:r>
    </w:p>
    <w:p>
      <w:pPr>
        <w:rPr>
          <w:rFonts w:eastAsia="黑体"/>
          <w:sz w:val="44"/>
          <w:szCs w:val="44"/>
        </w:rPr>
      </w:pPr>
      <w:r>
        <w:rPr>
          <w:rFonts w:eastAsia="黑体"/>
          <w:sz w:val="44"/>
          <w:szCs w:val="44"/>
        </w:rPr>
      </w:r>
      <w:r>
        <w:rPr>
          <w:rFonts w:eastAsia="黑体"/>
          <w:sz w:val="44"/>
          <w:szCs w:val="44"/>
        </w:rPr>
      </w:r>
    </w:p>
    <w:p>
      <w:pPr>
        <w:rPr>
          <w:rFonts w:eastAsia="黑体"/>
          <w:sz w:val="44"/>
          <w:szCs w:val="44"/>
        </w:rPr>
      </w:pPr>
      <w:r>
        <w:rPr>
          <w:rFonts w:eastAsia="黑体"/>
          <w:sz w:val="44"/>
          <w:szCs w:val="44"/>
        </w:rPr>
      </w:r>
      <w:r>
        <w:rPr>
          <w:rFonts w:eastAsia="黑体"/>
          <w:sz w:val="44"/>
          <w:szCs w:val="44"/>
        </w:rPr>
      </w:r>
    </w:p>
    <w:p>
      <w:pPr>
        <w:rPr>
          <w:rFonts w:eastAsia="黑体"/>
          <w:sz w:val="44"/>
          <w:szCs w:val="44"/>
        </w:rPr>
      </w:pPr>
      <w:r>
        <w:rPr>
          <w:rFonts w:eastAsia="黑体"/>
          <w:sz w:val="44"/>
          <w:szCs w:val="44"/>
        </w:rPr>
      </w:r>
      <w:r>
        <w:rPr>
          <w:rFonts w:eastAsia="黑体"/>
          <w:sz w:val="44"/>
          <w:szCs w:val="44"/>
        </w:rPr>
      </w:r>
    </w:p>
    <w:p>
      <w:pPr>
        <w:rPr>
          <w:rFonts w:eastAsia="黑体"/>
          <w:sz w:val="44"/>
          <w:szCs w:val="44"/>
        </w:rPr>
      </w:pPr>
      <w:r>
        <w:rPr>
          <w:rFonts w:eastAsia="黑体"/>
          <w:sz w:val="44"/>
          <w:szCs w:val="44"/>
        </w:rPr>
      </w:r>
      <w:r>
        <w:rPr>
          <w:rFonts w:eastAsia="黑体"/>
          <w:sz w:val="44"/>
          <w:szCs w:val="44"/>
        </w:rPr>
      </w:r>
    </w:p>
    <w:p>
      <w:pPr>
        <w:pStyle w:val="694"/>
        <w:rPr>
          <w:rFonts w:eastAsia="黑体"/>
          <w:sz w:val="44"/>
          <w:szCs w:val="44"/>
        </w:rPr>
      </w:pPr>
      <w:r>
        <w:rPr>
          <w:rFonts w:eastAsia="黑体"/>
          <w:sz w:val="44"/>
          <w:szCs w:val="44"/>
        </w:rPr>
      </w:r>
      <w:r/>
    </w:p>
    <w:p>
      <w:pPr>
        <w:pStyle w:val="694"/>
        <w:jc w:val="center"/>
        <w:rPr>
          <w:rFonts w:ascii="宋体" w:hAnsi="宋体"/>
          <w:color w:val="000000"/>
          <w:sz w:val="32"/>
          <w:szCs w:val="32"/>
        </w:rPr>
      </w:pPr>
      <w:r>
        <w:rPr>
          <w:rFonts w:hint="eastAsia" w:ascii="宋体" w:hAnsi="宋体"/>
          <w:color w:val="000000"/>
          <w:sz w:val="32"/>
          <w:szCs w:val="32"/>
        </w:rPr>
        <w:t xml:space="preserve">使 用 说 明</w:t>
      </w:r>
      <w:r>
        <w:rPr>
          <w:rFonts w:ascii="宋体" w:hAnsi="宋体"/>
          <w:color w:val="000000"/>
          <w:sz w:val="32"/>
          <w:szCs w:val="32"/>
        </w:rPr>
      </w:r>
      <w:r/>
    </w:p>
    <w:p>
      <w:pPr>
        <w:pStyle w:val="694"/>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94"/>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694"/>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694"/>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694"/>
        <w:ind w:firstLine="880"/>
        <w:rPr>
          <w:rFonts w:eastAsia="黑体"/>
          <w:sz w:val="44"/>
          <w:szCs w:val="44"/>
        </w:rPr>
        <w:sectPr>
          <w:footerReference w:type="default" r:id="rId10"/>
          <w:footnotePr/>
          <w:endnotePr/>
          <w:type w:val="nextPage"/>
          <w:pgSz w:w="11906" w:h="16838" w:orient="portrait"/>
          <w:pgMar w:top="1429" w:right="1786" w:bottom="1701" w:left="1786" w:header="851" w:footer="992" w:gutter="0"/>
          <w:pgNumType w:start="1"/>
          <w:cols w:num="1" w:sep="0" w:space="720" w:equalWidth="1"/>
          <w:docGrid w:linePitch="360"/>
        </w:sectPr>
      </w:pPr>
      <w:r>
        <w:rPr>
          <w:rFonts w:eastAsia="黑体"/>
          <w:sz w:val="44"/>
          <w:szCs w:val="44"/>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709"/>
        <w:rPr>
          <w:rFonts w:hint="eastAsia"/>
          <w:lang w:eastAsia="zh-CN"/>
        </w:rPr>
      </w:pPr>
      <w:r>
        <w:rPr>
          <w:rFonts w:hint="eastAsia"/>
          <w:lang w:eastAsia="zh-CN"/>
        </w:rPr>
      </w:r>
      <w:r/>
    </w:p>
    <w:p>
      <w:pPr>
        <w:pStyle w:val="709"/>
        <w:rPr>
          <w:rFonts w:hint="eastAsia"/>
          <w:lang w:eastAsia="zh-CN"/>
        </w:rPr>
      </w:pPr>
      <w:r>
        <w:rPr>
          <w:rFonts w:hint="eastAsia"/>
          <w:lang w:eastAsia="zh-CN"/>
        </w:rPr>
      </w:r>
      <w:r/>
    </w:p>
    <w:p>
      <w:pPr>
        <w:pStyle w:val="709"/>
        <w:rPr>
          <w:rFonts w:hint="eastAsia"/>
          <w:lang w:eastAsia="zh-CN"/>
        </w:rPr>
      </w:pPr>
      <w:r>
        <w:rPr>
          <w:rFonts w:hint="eastAsia"/>
          <w:lang w:eastAsia="zh-CN"/>
        </w:rPr>
      </w: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p>
    <w:p>
      <w:pPr>
        <w:pStyle w:val="696"/>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696"/>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694"/>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694"/>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694"/>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94"/>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94"/>
        <w:spacing w:line="400" w:lineRule="exact"/>
        <w:rPr>
          <w:color w:val="000000"/>
        </w:rPr>
      </w:pPr>
      <w:r>
        <w:rPr>
          <w:color w:val="000000"/>
        </w:rPr>
      </w:r>
      <w:r/>
    </w:p>
    <w:p>
      <w:pPr>
        <w:pStyle w:val="728"/>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728"/>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p>
    <w:p>
      <w:pPr>
        <w:pStyle w:val="728"/>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728"/>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pStyle w:val="694"/>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94"/>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694"/>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694"/>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694"/>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808"/>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808"/>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94"/>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94"/>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94"/>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94"/>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694"/>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694"/>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694"/>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694"/>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694"/>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694"/>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694"/>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808"/>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94"/>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694"/>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94"/>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694"/>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694"/>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694"/>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808"/>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808"/>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94"/>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808"/>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94"/>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694"/>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694"/>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694"/>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694"/>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694"/>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694"/>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776"/>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694"/>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694"/>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694"/>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694"/>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694"/>
        <w:numPr>
          <w:ilvl w:val="0"/>
          <w:numId w:val="5"/>
        </w:numPr>
        <w:ind w:firstLine="422"/>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694"/>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694"/>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808"/>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808"/>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pStyle w:val="808"/>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p>
    <w:p>
      <w:pPr>
        <w:pStyle w:val="808"/>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w:t>
      </w:r>
      <w:r>
        <w:rPr>
          <w:rFonts w:hint="eastAsia" w:ascii="宋体" w:hAnsi="宋体" w:eastAsia="宋体" w:cs="宋体"/>
          <w:color w:val="000000"/>
          <w:sz w:val="21"/>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694"/>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694"/>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694"/>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694"/>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694"/>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694"/>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694"/>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694"/>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694"/>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694"/>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694"/>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694"/>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694"/>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808"/>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94"/>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694"/>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776"/>
        <w:rPr>
          <w:color w:val="000000"/>
          <w:lang w:eastAsia="zh-CN"/>
        </w:rPr>
      </w:pPr>
      <w:r>
        <w:rPr>
          <w:color w:val="000000"/>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Borders>
              <w:bottom w:val="single" w:color="000000" w:sz="2" w:space="0"/>
              <w:right w:val="single" w:color="000000" w:sz="2" w:space="0"/>
            </w:tcBorders>
            <w:tcW w:w="4317" w:type="dxa"/>
            <w:vAlign w:val="center"/>
            <w:textDirection w:val="lrTb"/>
            <w:noWrap w:val="false"/>
          </w:tcPr>
          <w:p>
            <w:pPr>
              <w:pStyle w:val="694"/>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Borders>
              <w:left w:val="single" w:color="000000" w:sz="2" w:space="0"/>
              <w:bottom w:val="single" w:color="000000" w:sz="2" w:space="0"/>
            </w:tcBorders>
            <w:tcW w:w="4108" w:type="dxa"/>
            <w:vAlign w:val="center"/>
            <w:textDirection w:val="lrTb"/>
            <w:noWrap w:val="false"/>
          </w:tcPr>
          <w:p>
            <w:pPr>
              <w:pStyle w:val="694"/>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cantSplit/>
          <w:trHeight w:val="1171"/>
        </w:trPr>
        <w:tc>
          <w:tcPr>
            <w:tcBorders>
              <w:top w:val="single" w:color="000000" w:sz="2" w:space="0"/>
              <w:right w:val="single" w:color="000000" w:sz="2" w:space="0"/>
            </w:tcBorders>
            <w:tcW w:w="1897" w:type="dxa"/>
            <w:vAlign w:val="center"/>
            <w:vMerge w:val="restart"/>
            <w:textDirection w:val="lrTb"/>
            <w:noWrap w:val="false"/>
          </w:tcPr>
          <w:p>
            <w:pPr>
              <w:pStyle w:val="694"/>
              <w:jc w:val="center"/>
              <w:spacing w:line="300" w:lineRule="exact"/>
              <w:rPr>
                <w:color w:val="000000"/>
                <w:szCs w:val="21"/>
              </w:rPr>
            </w:pPr>
            <w:r>
              <w:rPr>
                <w:color w:val="000000"/>
                <w:szCs w:val="21"/>
              </w:rPr>
              <w:t xml:space="preserve">法定代表人</w:t>
            </w:r>
            <w:r/>
          </w:p>
          <w:p>
            <w:pPr>
              <w:pStyle w:val="694"/>
              <w:ind w:firstLine="1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right w:val="single" w:color="000000" w:sz="2" w:space="0"/>
            </w:tcBorders>
            <w:tcW w:w="2420" w:type="dxa"/>
            <w:vAlign w:val="center"/>
            <w:vMerge w:val="restart"/>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法定代表人</w:t>
            </w:r>
            <w:r/>
          </w:p>
          <w:p>
            <w:pPr>
              <w:pStyle w:val="694"/>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zCs w:val="21"/>
              </w:rPr>
            </w:pPr>
            <w:r>
              <w:rPr>
                <w:color w:val="000000"/>
                <w:szCs w:val="21"/>
              </w:rPr>
            </w:r>
            <w:r/>
          </w:p>
        </w:tc>
      </w:tr>
      <w:tr>
        <w:trPr>
          <w:cantSplit/>
          <w:trHeight w:val="483"/>
        </w:trPr>
        <w:tc>
          <w:tcPr>
            <w:tcBorders>
              <w:bottom w:val="single" w:color="000000" w:sz="2" w:space="0"/>
              <w:right w:val="single" w:color="000000" w:sz="2" w:space="0"/>
            </w:tcBorders>
            <w:tcW w:w="1897" w:type="dxa"/>
            <w:vAlign w:val="center"/>
            <w:vMerge w:val="continue"/>
            <w:textDirection w:val="lrTb"/>
            <w:noWrap w:val="false"/>
          </w:tcPr>
          <w:p>
            <w:pPr>
              <w:pStyle w:val="694"/>
              <w:jc w:val="center"/>
              <w:spacing w:line="300" w:lineRule="exact"/>
              <w:rPr>
                <w:color w:val="000000"/>
                <w:szCs w:val="21"/>
              </w:rPr>
            </w:pPr>
            <w:r>
              <w:rPr>
                <w:color w:val="000000"/>
                <w:szCs w:val="21"/>
              </w:rPr>
            </w:r>
            <w:r/>
          </w:p>
        </w:tc>
        <w:tc>
          <w:tcPr>
            <w:tcBorders>
              <w:left w:val="single" w:color="000000" w:sz="2" w:space="0"/>
              <w:bottom w:val="single" w:color="000000" w:sz="2" w:space="0"/>
              <w:right w:val="single" w:color="000000" w:sz="2" w:space="0"/>
            </w:tcBorders>
            <w:tcW w:w="2420" w:type="dxa"/>
            <w:vAlign w:val="center"/>
            <w:vMerge w:val="continue"/>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拥有者性别</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开户名称</w:t>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开户银行</w:t>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897"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2420" w:type="dxa"/>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985" w:type="dxa"/>
            <w:vAlign w:val="center"/>
            <w:textDirection w:val="lrTb"/>
            <w:noWrap w:val="false"/>
          </w:tcPr>
          <w:p>
            <w:pPr>
              <w:pStyle w:val="694"/>
              <w:jc w:val="center"/>
              <w:spacing w:line="300" w:lineRule="exact"/>
              <w:rPr>
                <w:color w:val="000000"/>
                <w:szCs w:val="21"/>
              </w:rPr>
            </w:pPr>
            <w:r>
              <w:rPr>
                <w:color w:val="000000"/>
                <w:szCs w:val="21"/>
              </w:rPr>
              <w:t xml:space="preserve">银行账号</w:t>
            </w:r>
            <w:r/>
          </w:p>
        </w:tc>
        <w:tc>
          <w:tcPr>
            <w:tcBorders>
              <w:top w:val="single" w:color="000000" w:sz="2" w:space="0"/>
              <w:left w:val="single" w:color="000000" w:sz="2" w:space="0"/>
              <w:bottom w:val="single" w:color="000000" w:sz="2" w:space="0"/>
            </w:tcBorders>
            <w:tcW w:w="2123" w:type="dxa"/>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586"/>
        </w:trPr>
        <w:tc>
          <w:tcPr>
            <w:gridSpan w:val="4"/>
            <w:tcBorders>
              <w:top w:val="single" w:color="000000" w:sz="2" w:space="0"/>
            </w:tcBorders>
            <w:tcW w:w="8425" w:type="dxa"/>
            <w:vAlign w:val="center"/>
            <w:textDirection w:val="lrTb"/>
            <w:noWrap w:val="false"/>
          </w:tcPr>
          <w:p>
            <w:pPr>
              <w:pStyle w:val="728"/>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696"/>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694"/>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9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9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94"/>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9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94"/>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69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94"/>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94"/>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08"/>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733"/>
        <w:ind w:firstLine="40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733"/>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694"/>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694"/>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694"/>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694"/>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694"/>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694"/>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694"/>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694"/>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808"/>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94"/>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694"/>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808"/>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808"/>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808"/>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808"/>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808"/>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94"/>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694"/>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694"/>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808"/>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694"/>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694"/>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694"/>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694"/>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cantSplit/>
          <w:trHeight w:val="667"/>
        </w:trPr>
        <w:tc>
          <w:tcPr>
            <w:tcW w:w="1607" w:type="dxa"/>
            <w:vAlign w:val="center"/>
            <w:vMerge w:val="restart"/>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cantSplit/>
          <w:trHeight w:val="667"/>
        </w:trPr>
        <w:tc>
          <w:tcPr>
            <w:tcW w:w="1607" w:type="dxa"/>
            <w:vAlign w:val="center"/>
            <w:vMerge w:val="continue"/>
            <w:textDirection w:val="lrTb"/>
            <w:noWrap w:val="false"/>
          </w:tcPr>
          <w:p>
            <w:pPr>
              <w:pStyle w:val="694"/>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trHeight w:val="772"/>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trHeight w:val="667"/>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694"/>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694"/>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808"/>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694"/>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u w:val="single"/>
              </w:rPr>
            </w:pPr>
            <w:r>
              <w:rPr>
                <w:rFonts w:ascii="宋体" w:hAnsi="宋体"/>
                <w:color w:val="000000"/>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Borders>
              <w:left w:val="single" w:color="000000" w:sz="2" w:space="0"/>
              <w:bottom w:val="single" w:color="000000" w:sz="2" w:space="0"/>
              <w:right w:val="single" w:color="000000" w:sz="2" w:space="0"/>
            </w:tcBorders>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Borders>
              <w:left w:val="single" w:color="000000" w:sz="2" w:space="0"/>
              <w:bottom w:val="single" w:color="000000" w:sz="2" w:space="0"/>
            </w:tcBorders>
            <w:tcW w:w="4282" w:type="dxa"/>
            <w:vAlign w:val="center"/>
            <w:textDirection w:val="lrTb"/>
            <w:noWrap w:val="false"/>
          </w:tcPr>
          <w:p>
            <w:pPr>
              <w:pStyle w:val="694"/>
              <w:jc w:val="left"/>
              <w:rPr>
                <w:rFonts w:ascii="宋体" w:hAnsi="宋体"/>
                <w:color w:val="000000"/>
                <w:szCs w:val="21"/>
                <w:u w:val="single"/>
              </w:rPr>
            </w:pPr>
            <w:r>
              <w:rPr>
                <w:rFonts w:ascii="宋体" w:hAnsi="宋体"/>
                <w:color w:val="000000"/>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Borders>
              <w:top w:val="single" w:color="000000" w:sz="2" w:space="0"/>
              <w:left w:val="single" w:color="000000" w:sz="2" w:space="0"/>
              <w:right w:val="single" w:color="000000" w:sz="2" w:space="0"/>
            </w:tcBorders>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Borders>
              <w:top w:val="single" w:color="000000" w:sz="2" w:space="0"/>
              <w:left w:val="single" w:color="000000" w:sz="2" w:space="0"/>
            </w:tcBorders>
            <w:tcW w:w="4282" w:type="dxa"/>
            <w:vAlign w:val="center"/>
            <w:textDirection w:val="lrTb"/>
            <w:noWrap w:val="false"/>
          </w:tcPr>
          <w:p>
            <w:pPr>
              <w:pStyle w:val="694"/>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694"/>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694"/>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bl>
    <w:p>
      <w:pPr>
        <w:pStyle w:val="72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26"/>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8"/>
      <w:r>
        <w:rPr>
          <w:rFonts w:hint="eastAsia" w:ascii="黑体" w:hAnsi="Courier New" w:eastAsia="黑体" w:cs="Courier New"/>
          <w:bCs/>
          <w:color w:val="000000"/>
          <w:sz w:val="44"/>
          <w:szCs w:val="21"/>
        </w:rPr>
        <w:t xml:space="preserve">四章 采购需求</w:t>
      </w:r>
      <w:bookmarkEnd w:id="219"/>
      <w:r/>
      <w:bookmarkEnd w:id="220"/>
      <w:r/>
      <w:bookmarkEnd w:id="221"/>
      <w:r>
        <w:rPr>
          <w:rFonts w:hint="eastAsia" w:ascii="宋体" w:hAnsi="宋体" w:cs="Courier New"/>
          <w:color w:val="000000"/>
          <w:sz w:val="24"/>
          <w:szCs w:val="24"/>
        </w:rPr>
      </w:r>
      <w:r/>
    </w:p>
    <w:p>
      <w:pPr>
        <w:pStyle w:val="694"/>
        <w:spacing w:line="0" w:lineRule="atLeast"/>
        <w:rPr>
          <w:rFonts w:ascii="宋体" w:hAnsi="宋体"/>
          <w:color w:val="000000"/>
          <w:sz w:val="24"/>
          <w:szCs w:val="24"/>
        </w:rPr>
      </w:pPr>
      <w:r/>
      <w:bookmarkStart w:id="224" w:name="_Toc26554093"/>
      <w:r/>
      <w:bookmarkStart w:id="225" w:name="_Toc49090575"/>
      <w:r>
        <w:rPr>
          <w:rFonts w:ascii="宋体" w:hAnsi="宋体"/>
          <w:color w:val="000000"/>
          <w:sz w:val="24"/>
          <w:szCs w:val="24"/>
        </w:rPr>
      </w:r>
      <w:r/>
    </w:p>
    <w:p>
      <w:pPr>
        <w:pStyle w:val="694"/>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851"/>
        <w:gridCol w:w="4394"/>
        <w:gridCol w:w="1648"/>
      </w:tblGrid>
      <w:tr>
        <w:trPr>
          <w:cantSplit/>
        </w:trPr>
        <w:tc>
          <w:tcPr>
            <w:tcW w:w="111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394"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r>
      <w:tr>
        <w:trPr>
          <w:cantSplit/>
          <w:trHeight w:val="291"/>
        </w:trPr>
        <w:tc>
          <w:tcPr>
            <w:tcW w:w="1112" w:type="dxa"/>
            <w:vAlign w:val="center"/>
            <w:vMerge w:val="restart"/>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851"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便携式气相色谱质谱联用仪</w:t>
            </w:r>
            <w:r>
              <w:rPr>
                <w:rFonts w:ascii="宋体" w:hAnsi="宋体"/>
                <w:color w:val="000000"/>
                <w:sz w:val="24"/>
                <w:szCs w:val="24"/>
              </w:rPr>
            </w:r>
            <w:r/>
          </w:p>
        </w:tc>
        <w:tc>
          <w:tcPr>
            <w:tcW w:w="1648"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35"/>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电感耦合等离子体质谱仪</w:t>
            </w:r>
            <w:r>
              <w:rPr>
                <w:rFonts w:ascii="宋体" w:hAnsi="宋体"/>
                <w:color w:val="000000"/>
                <w:sz w:val="24"/>
                <w:szCs w:val="24"/>
              </w:rPr>
            </w:r>
            <w:r/>
          </w:p>
        </w:tc>
        <w:tc>
          <w:tcPr>
            <w:tcW w:w="1648"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原子荧光分光光度计</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便携式VOC检测仪(PID)</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便携式X荧光重金属检测仪</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便携式pH计</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便携式烟尘/气浓度监测仪</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BOD培养箱</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纯水机</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hint="eastAsia" w:ascii="宋体" w:hAnsi="宋体"/>
                <w:color w:val="000000"/>
                <w:sz w:val="24"/>
                <w:szCs w:val="24"/>
              </w:rPr>
            </w:pPr>
            <w:r>
              <w:rPr>
                <w:rFonts w:hint="eastAsia" w:ascii="宋体" w:hAnsi="宋体"/>
                <w:color w:val="000000"/>
                <w:sz w:val="24"/>
                <w:szCs w:val="24"/>
              </w:rPr>
              <w:t xml:space="preserve">吹扫捕集-气相色谱质谱联用仪</w:t>
            </w:r>
            <w:r/>
          </w:p>
        </w:tc>
        <w:tc>
          <w:tcPr>
            <w:tcW w:w="1648"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hint="eastAsia" w:ascii="宋体" w:hAnsi="宋体"/>
                <w:color w:val="000000"/>
                <w:sz w:val="24"/>
                <w:szCs w:val="24"/>
              </w:rPr>
            </w:pPr>
            <w:r>
              <w:rPr>
                <w:rFonts w:hint="eastAsia" w:ascii="宋体" w:hAnsi="宋体"/>
                <w:color w:val="000000"/>
                <w:sz w:val="24"/>
                <w:szCs w:val="24"/>
              </w:rPr>
              <w:t xml:space="preserve">便携式傅里叶红外分析仪</w:t>
            </w:r>
            <w:r>
              <w:rPr>
                <w:rFonts w:hint="eastAsia" w:ascii="宋体" w:hAnsi="宋体"/>
                <w:color w:val="000000"/>
                <w:sz w:val="24"/>
                <w:szCs w:val="24"/>
              </w:rPr>
            </w:r>
            <w:r/>
          </w:p>
        </w:tc>
        <w:tc>
          <w:tcPr>
            <w:tcW w:w="1648"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实验室水电改造</w:t>
            </w:r>
            <w:r>
              <w:rPr>
                <w:rFonts w:ascii="宋体" w:hAnsi="宋体"/>
                <w:color w:val="000000"/>
                <w:sz w:val="24"/>
                <w:szCs w:val="24"/>
              </w:rPr>
            </w:r>
            <w:r/>
          </w:p>
        </w:tc>
        <w:tc>
          <w:tcPr>
            <w:tcW w:w="1648"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bl>
    <w:p>
      <w:pPr>
        <w:pStyle w:val="69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94"/>
        <w:keepLines/>
        <w:keepNext/>
        <w:spacing w:line="400" w:lineRule="exact"/>
        <w:rPr>
          <w:rFonts w:hint="eastAsia" w:ascii="宋体" w:hAnsi="宋体" w:cs="方正魏碑_GBK"/>
          <w:bCs/>
          <w:color w:val="000000"/>
          <w:sz w:val="24"/>
          <w:szCs w:val="24"/>
        </w:rPr>
        <w:outlineLvl w:val="3"/>
      </w:pPr>
      <w:r>
        <w:rPr>
          <w:rFonts w:hint="eastAsia" w:ascii="宋体" w:hAnsi="宋体" w:cs="方正魏碑_GBK"/>
          <w:bCs/>
          <w:color w:val="000000"/>
          <w:sz w:val="24"/>
          <w:szCs w:val="24"/>
        </w:rPr>
        <w:t xml:space="preserve">二、政府采购中实施本国产品标准及相关政策</w:t>
      </w:r>
      <w:r/>
    </w:p>
    <w:p>
      <w:pPr>
        <w:pStyle w:val="694"/>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p>
    <w:p>
      <w:pPr>
        <w:pStyle w:val="694"/>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4"/>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694"/>
        <w:spacing w:line="0" w:lineRule="atLeast"/>
        <w:rPr>
          <w:rFonts w:ascii="宋体" w:hAnsi="宋体"/>
          <w:b/>
          <w:color w:val="000000"/>
          <w:sz w:val="24"/>
          <w:szCs w:val="24"/>
        </w:rPr>
      </w:pPr>
      <w:r>
        <w:rPr>
          <w:rFonts w:ascii="宋体" w:hAnsi="宋体"/>
          <w:b/>
          <w:color w:val="000000"/>
          <w:sz w:val="24"/>
          <w:szCs w:val="24"/>
        </w:rPr>
      </w:r>
      <w:r/>
    </w:p>
    <w:p>
      <w:pPr>
        <w:pStyle w:val="694"/>
        <w:spacing w:line="36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694"/>
        <w:ind w:firstLine="600"/>
        <w:spacing w:line="360" w:lineRule="auto"/>
        <w:rPr>
          <w:rFonts w:hint="eastAsia" w:ascii="宋体" w:hAnsi="宋体"/>
          <w:b/>
          <w:bCs/>
          <w:color w:val="00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694"/>
        <w:jc w:val="center"/>
        <w:spacing w:line="360" w:lineRule="auto"/>
        <w:rPr>
          <w:rFonts w:hint="eastAsia"/>
          <w:b/>
          <w:bCs/>
          <w:sz w:val="36"/>
          <w:szCs w:val="40"/>
        </w:rPr>
      </w:pPr>
      <w:r>
        <w:rPr>
          <w:rFonts w:hint="eastAsia"/>
          <w:b/>
          <w:bCs/>
          <w:sz w:val="36"/>
          <w:szCs w:val="40"/>
        </w:rPr>
      </w:r>
      <w:r/>
    </w:p>
    <w:p>
      <w:pPr>
        <w:pStyle w:val="694"/>
        <w:jc w:val="center"/>
        <w:spacing w:line="360" w:lineRule="auto"/>
      </w:pPr>
      <w:r>
        <w:rPr>
          <w:rFonts w:hint="eastAsia"/>
          <w:b/>
          <w:bCs/>
          <w:sz w:val="36"/>
          <w:szCs w:val="40"/>
        </w:rPr>
        <w:t xml:space="preserve">第一包：设备</w:t>
      </w:r>
      <w:r>
        <w:rPr>
          <w:rFonts w:hint="eastAsia"/>
          <w:b/>
          <w:bCs/>
          <w:sz w:val="36"/>
          <w:szCs w:val="40"/>
        </w:rPr>
        <w:t xml:space="preserve">清单</w:t>
      </w:r>
      <w:r/>
    </w:p>
    <w:tbl>
      <w:tblPr>
        <w:tblW w:w="77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4125"/>
        <w:gridCol w:w="2037"/>
      </w:tblGrid>
      <w:tr>
        <w:trPr>
          <w:trHeight w:val="545"/>
        </w:trPr>
        <w:tc>
          <w:tcPr>
            <w:tcW w:w="161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序号</w:t>
            </w:r>
            <w:r>
              <w:rPr>
                <w:rFonts w:ascii="宋体" w:hAnsi="宋体" w:cs="仿宋"/>
                <w:b/>
                <w:sz w:val="24"/>
                <w:szCs w:val="24"/>
              </w:rPr>
            </w:r>
            <w:r/>
          </w:p>
        </w:tc>
        <w:tc>
          <w:tcPr>
            <w:tcW w:w="4125"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仪器名称</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数量（套）</w:t>
            </w:r>
            <w:r>
              <w:rPr>
                <w:rFonts w:ascii="宋体" w:hAnsi="宋体" w:cs="仿宋"/>
                <w:b/>
                <w:sz w:val="24"/>
                <w:szCs w:val="24"/>
              </w:rPr>
            </w:r>
            <w:r/>
          </w:p>
        </w:tc>
      </w:tr>
      <w:tr>
        <w:trPr>
          <w:trHeight w:val="640"/>
        </w:trPr>
        <w:tc>
          <w:tcPr>
            <w:tcW w:w="161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c>
          <w:tcPr>
            <w:tcW w:w="4125"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便携式气相色谱质谱联用仪</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r>
      <w:tr>
        <w:trPr>
          <w:trHeight w:val="693"/>
        </w:trPr>
        <w:tc>
          <w:tcPr>
            <w:tcW w:w="161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2</w:t>
            </w:r>
            <w:r>
              <w:rPr>
                <w:rFonts w:ascii="宋体" w:hAnsi="宋体" w:cs="仿宋"/>
                <w:b/>
                <w:sz w:val="24"/>
                <w:szCs w:val="24"/>
              </w:rPr>
            </w:r>
            <w:r/>
          </w:p>
        </w:tc>
        <w:tc>
          <w:tcPr>
            <w:tcW w:w="4125"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电感耦合等离子体质谱仪</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r>
    </w:tbl>
    <w:p>
      <w:pPr>
        <w:pStyle w:val="694"/>
        <w:rPr>
          <w:b/>
          <w:sz w:val="28"/>
          <w:szCs w:val="28"/>
        </w:rPr>
      </w:pPr>
      <w:r>
        <w:rPr>
          <w:rFonts w:hint="eastAsia"/>
          <w:b/>
          <w:sz w:val="28"/>
          <w:szCs w:val="28"/>
        </w:rPr>
        <w:t xml:space="preserve">参数配置：</w:t>
      </w:r>
      <w:r>
        <w:rPr>
          <w:b/>
          <w:sz w:val="28"/>
          <w:szCs w:val="28"/>
        </w:rPr>
      </w:r>
      <w:r/>
    </w:p>
    <w:p>
      <w:pPr>
        <w:pStyle w:val="694"/>
        <w:numPr>
          <w:ilvl w:val="0"/>
          <w:numId w:val="12"/>
        </w:numPr>
        <w:ind w:left="907" w:hanging="907"/>
        <w:rPr>
          <w:rFonts w:ascii="宋体" w:hAnsi="宋体" w:cs="仿宋"/>
          <w:b/>
          <w:sz w:val="24"/>
          <w:szCs w:val="24"/>
        </w:rPr>
      </w:pPr>
      <w:r>
        <w:rPr>
          <w:rFonts w:hint="eastAsia" w:ascii="宋体" w:hAnsi="宋体" w:cs="仿宋"/>
          <w:b/>
          <w:sz w:val="24"/>
          <w:szCs w:val="24"/>
        </w:rPr>
        <w:t xml:space="preserve">便携式气相色谱质谱联用仪</w:t>
      </w:r>
      <w:r>
        <w:rPr>
          <w:rFonts w:ascii="宋体" w:hAnsi="宋体" w:cs="仿宋"/>
          <w:b/>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总体要求：便携式气相色谱质谱分析仪（GC-MS）用于污染事故现场大气、水体和土壤中挥发性和半挥发性有机污染物的快速定性及定量、半定量分析。配置顶空进样器等样品前处理设备，使该仪器能够实现大气中μg/m3～mg/m3、水体中μg/L～mg/L范围内的分析对象的现场监测。便携式气相色谱质谱分析仪（GC-MS）满足或优于《环境空气 挥发性有机物的应急测定 便携式气相色谱-质谱法》（HJ 1223—2021）、《水质 挥发性有机物的应急测定 便携式顶空气相色谱-质谱法》（HJ 1227—2021）对仪器性能的要求。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2.技术参数要求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2.1气相色谱部分</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2.1.1基本操作条件：全部色谱参数和操作条件可通过触屏操作设定并能被显示出来，并可传输到数据处理系统，其色谱参数和操作条件的设定内容可被保存和复制。仪器主机与其它配置系统的联机性强，操作简便；</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2.1.2气相色谱柱：与主机相匹配的温度可编程的毛细管色谱柱，色谱柱长度不少于15米，非极性，可兼容其他毛细管色谱柱，程序升温：45-200℃；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2.1.3配置Tri-Bed三层吸附填料的捕集阱浓缩器。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2.2质谱部分</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▲2.2.1质量分析器：四级杆质量分析器，精准匹配NIST谱库；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2.2.2可分析质量范围：可覆盖41～300amu；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2.2.3分辨率：≤1amu；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2.2.4扫描方式：GC-MS联用模式及直接MS进样模式。均具有全扫描（Full Scan）和选择性离子监测（SIM）两种方式可选，扫描速率：≥1000amu/s；</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2.2.5电离模式：70eV EI（非放射性离子源）；</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2.2.6检测器：电子倍增器；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2.2.7动态范围：＞10</w:t>
      </w:r>
      <w:r>
        <w:rPr>
          <w:rFonts w:hint="eastAsia" w:ascii="宋体" w:hAnsi="宋体"/>
          <w:bCs/>
          <w:sz w:val="24"/>
          <w:szCs w:val="24"/>
          <w:vertAlign w:val="superscript"/>
        </w:rPr>
        <w:t xml:space="preserve">7</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▲2.2.8真空系统：适用于震动、颗粒物等各种恶劣环境的非机械泵真空系统(非涡轮分子泵)，真空度不低于10～5Pa；</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2.2.9检出限：ppt-ppb级。</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2.2气体采样探头</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2.3.1分析方式：采样探头内置采样泵，具有两种气体检测模式：一种方式为质谱直接进样，即气体样品不经过色谱柱分离直接进入质谱检测；另一种方式为气体样品经内置复合吸附剂的捕集阱吸附浓缩后再热解吸进入气相色谱质谱联用分析；</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2.3.2气体采样探头与主机连接线外附保温层，低温环境下仍可正常使用。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2.4便携顶空进样器（含吹扫功能）</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2.4.1配置便携顶空进样系统，系统能具备独立电源供给或由便携GC-MS主机提供现场能源供给，实现应急所必要的水、土样品处理及传输；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2.4.2顶空进样器通过控温的传输管线与GC-MS主机相连，可形成闭环系统用于检测固体或液体中的VOCs或SVOC；</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2.4.3检测浓度：ppb级浓度的挥发性有机化合物；</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2.4.4能够对样品瓶进行加热，加热范围：室温～80℃；加热位：≥5位；</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▲2.4.5能够控制样品加热平衡温度和时间并语音播报，提醒用户进行每一步操作；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▲2.4.6顶空进样也可做到质谱直接进样，从而预估样品浓度，指导用户选择合适的方法。</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ascii="宋体" w:hAnsi="宋体"/>
          <w:bCs/>
          <w:sz w:val="24"/>
          <w:szCs w:val="24"/>
        </w:rPr>
        <w:t xml:space="preserve">走航扩展模块部分（含硬件1套，及走航软件、手机APP软件各1套）</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.1</w:t>
      </w:r>
      <w:r>
        <w:rPr>
          <w:rFonts w:ascii="宋体" w:hAnsi="宋体"/>
          <w:bCs/>
          <w:sz w:val="24"/>
          <w:szCs w:val="24"/>
        </w:rPr>
        <w:t xml:space="preserve">设备用途：通过走航扩展模块与便携气质加载联用实现走航溯源及VOCs在线检测功能。秒级连续响应迅速找到VOCs污染高值点，实时获取VOCs浓度分布和变化规律，同时结合快速气质联用分析方法于现场对污染组分进行准确定性定量分析，助力 VOCs 精准溯源管控与评估监督</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.2</w:t>
      </w:r>
      <w:r>
        <w:rPr>
          <w:rFonts w:ascii="宋体" w:hAnsi="宋体"/>
          <w:bCs/>
          <w:sz w:val="24"/>
          <w:szCs w:val="24"/>
        </w:rPr>
        <w:t xml:space="preserve">重量≤20kg</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.3</w:t>
      </w:r>
      <w:r>
        <w:rPr>
          <w:rFonts w:ascii="宋体" w:hAnsi="宋体"/>
          <w:bCs/>
          <w:sz w:val="24"/>
          <w:szCs w:val="24"/>
        </w:rPr>
        <w:t xml:space="preserve">真空系统：离子泵，抽速:20L/s，真空度：优于1x10-4Pa，保证较高的灵敏度以及定性定量的准确度；并可在移动中开机和使用，适合移动监测；</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.4</w:t>
      </w:r>
      <w:r>
        <w:rPr>
          <w:rFonts w:ascii="宋体" w:hAnsi="宋体"/>
          <w:bCs/>
          <w:sz w:val="24"/>
          <w:szCs w:val="24"/>
        </w:rPr>
        <w:t xml:space="preserve">内部整机功耗：≤100瓦；</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.5</w:t>
      </w:r>
      <w:r>
        <w:rPr>
          <w:rFonts w:ascii="宋体" w:hAnsi="宋体"/>
          <w:bCs/>
          <w:sz w:val="24"/>
          <w:szCs w:val="24"/>
        </w:rPr>
        <w:t xml:space="preserve">搭配专业的走航平台软件，高速 5G 网络，可选择配置北斗或 GPS 定位系统</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.5</w:t>
      </w:r>
      <w:r>
        <w:rPr>
          <w:rFonts w:ascii="宋体" w:hAnsi="宋体"/>
          <w:bCs/>
          <w:sz w:val="24"/>
          <w:szCs w:val="24"/>
        </w:rPr>
        <w:t xml:space="preserve">可实时显示走航数据，三维模式在地图上进行实时更新，直观显示VOCs浓度，自动记录高污染点位；</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w:t>
      </w:r>
      <w:r>
        <w:rPr>
          <w:rFonts w:hint="eastAsia" w:ascii="宋体" w:hAnsi="宋体"/>
          <w:bCs/>
          <w:sz w:val="24"/>
          <w:szCs w:val="24"/>
        </w:rPr>
        <w:t xml:space="preserve">.7</w:t>
      </w:r>
      <w:r>
        <w:rPr>
          <w:rFonts w:ascii="宋体" w:hAnsi="宋体"/>
          <w:bCs/>
          <w:sz w:val="24"/>
          <w:szCs w:val="24"/>
        </w:rPr>
        <w:t xml:space="preserve">具备云平台及APP账户登陆管理功能，可实现远程查看实时及历史走航结果，编辑保存走航报告，方便用户分级查看和数据管理</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整机性能及安全性要求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.1便携式GC-MS与其内置式或外置式气体采样探头、顶空进样器等应结构紧凑、体积小、质量轻，便于装运。整机重量：≤20kg（含气体采样探头、电池、载气及真空系统），顶空进样器重量：≤12kg；</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.2便携式GC-MS（含内置式或外置式气体采样探头、顶空进样器等）应具有抗震保护装置，在复杂路况条件下远程运输过程中应不易发生损坏，保证抵达现场后正常开机运行；</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.3使用内置非涡轮分子泵，内置载气（氮气）、内标气，也可外接载气；</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.4具备自动调谐功能，开机20分钟内完成整机自动调谐，可直接调取调谐报告（投标文件中提供开机过程中正在运行调谐过程的工作照片及调谐完成后的调谐报告）；</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.5仪器主机一体化设计，内置电池、载气及内标气气罐等，禁止将上述配置外置在设备主机外部(投标文件中提供设备整体及内部照片扫描件或影印件，并在照片中清楚标注内置电池、载气及内标气气罐的位置)；</w:t>
      </w:r>
      <w:r>
        <w:rPr>
          <w:rFonts w:ascii="宋体" w:hAnsi="宋体"/>
          <w:bCs/>
          <w:sz w:val="24"/>
          <w:szCs w:val="24"/>
        </w:rPr>
      </w:r>
      <w:r/>
    </w:p>
    <w:p>
      <w:pPr>
        <w:pStyle w:val="694"/>
        <w:spacing w:line="360" w:lineRule="auto"/>
        <w:shd w:val="clear" w:color="ffffff" w:fill="ffffff"/>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.6</w:t>
      </w:r>
      <w:r>
        <w:rPr>
          <w:rFonts w:hint="eastAsia" w:ascii="宋体" w:hAnsi="宋体"/>
          <w:bCs/>
          <w:sz w:val="24"/>
          <w:szCs w:val="24"/>
        </w:rPr>
        <w:t xml:space="preserve">仪器能在移动过程中连续监测，实时准确对未知物定性定量，载气使用高纯氮气或氦气，纯度≥99.999% </w:t>
      </w:r>
      <w:r>
        <w:rPr>
          <w:rFonts w:hint="eastAsia" w:ascii="宋体" w:hAnsi="宋体"/>
          <w:bCs/>
          <w:sz w:val="24"/>
          <w:szCs w:val="24"/>
        </w:rPr>
        <w:t xml:space="preserve">(投标文件中提供内置载气、内标气的实物图片证明扫描件或影印件)；</w:t>
      </w:r>
      <w:r>
        <w:rPr>
          <w:rFonts w:hint="eastAsia"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.7控制方式：设备具备触摸屏操作和计算机软件操作两种模式，两种模式均可以进行设备所有常规功能操作。触摸屏控制可适用于穿戴手套等紧急情况下进行操作；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.8 GC-MS主机及顶空进样器均可通过220V交流电驱动，也可独立通过内置电池、外接电池驱动（投标文件中提供提供外接电池及内置电池实物图片扫描件或影印件）单内置电池连续供电时间不少于5小时；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.9仪器工作环境温度：-5～40℃，相对湿度：≤85%；</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.10防水防尘：具有计量部门出具的IP55等级防水防尘测试合格报告（投标文件中提供报告扫描件或影印件）；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6</w:t>
      </w:r>
      <w:r>
        <w:rPr>
          <w:rFonts w:hint="eastAsia" w:ascii="宋体" w:hAnsi="宋体"/>
          <w:bCs/>
          <w:sz w:val="24"/>
          <w:szCs w:val="24"/>
        </w:rPr>
        <w:t xml:space="preserve">.11主机与数据处理系统之间有线、无线传输均可，主机内置国产定位功能</w:t>
      </w:r>
      <w:r>
        <w:rPr>
          <w:rFonts w:hint="eastAsia" w:ascii="宋体" w:hAnsi="宋体" w:cs="宋体"/>
          <w:sz w:val="24"/>
        </w:rPr>
        <w:t xml:space="preserve">（需提供技术白皮书或产品说明书或宣传彩页或设备检定/校准证书或检测机构出具的检测报告证明文件</w:t>
      </w:r>
      <w:r>
        <w:rPr>
          <w:rFonts w:hint="eastAsia" w:ascii="宋体" w:hAnsi="宋体" w:cs="宋体"/>
          <w:bCs/>
          <w:sz w:val="24"/>
        </w:rPr>
        <w:t xml:space="preserve">或设备开机自检软件界面照片证明并加盖投标人公章）</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应用软件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.1所安装控制和数据处理软件可对仪器的各项操作进行编程控制。通过数据处理系统设</w:t>
      </w:r>
      <w:r>
        <w:rPr>
          <w:rFonts w:hint="eastAsia" w:ascii="宋体" w:hAnsi="宋体"/>
          <w:bCs/>
          <w:sz w:val="24"/>
          <w:szCs w:val="24"/>
        </w:rPr>
        <w:t xml:space="preserve">定各种分析条件，包括加热器的温度、气体流量、进样口压力和流量、程序升温、程序升压等参数的设定。能进行质谱仪的自动/手动调谐。具备数据采集与分析、样品定性和定量测定、报告制作、实时显示、谱库建立和检索等功能。自动记录和审核样品分析过程中的所有数据。提供功能完整的分析质量控制软件。分析过程记录是不可更改的可查询数据。应用软件可检索标准质谱图和用户自己建立的质谱图库。操作人员可设计、改进和存储自给的分析方法，可储存至少1000个分析方法，当调阅已存的方法时，所有的仪器参数和操作条件可自动调整到该方法所贮存的数值；</w:t>
      </w:r>
      <w:r>
        <w:rPr>
          <w:rFonts w:ascii="宋体" w:hAnsi="宋体"/>
          <w:bCs/>
          <w:sz w:val="24"/>
          <w:szCs w:val="24"/>
        </w:rPr>
      </w:r>
      <w:r/>
    </w:p>
    <w:p>
      <w:pPr>
        <w:pStyle w:val="694"/>
        <w:jc w:val="left"/>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.2主机和数据处理系统均内置标准谱库；自动质谱图解卷积和鉴定库；化学品安全数据库。均须为原装正版数据库，遇到数据库升级时，终身免费升级至最新原装正版版本</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.3设备在检出化合物后，点击该物质可以直接进入对应的物理化学特点说明，提供现场处置方法等详细信息。(投标文件中提供设备运行时的页面截图或照片等证明材料扫描件或影印件)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.4设备操作软件及数据处理软件均为中文版本。</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.5提供多种数据储存方式，能自动存储至少一年的测量数据。</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7</w:t>
      </w:r>
      <w:r>
        <w:rPr>
          <w:rFonts w:hint="eastAsia" w:ascii="宋体" w:hAnsi="宋体"/>
          <w:bCs/>
          <w:sz w:val="24"/>
          <w:szCs w:val="24"/>
        </w:rPr>
        <w:t xml:space="preserve">.6提供多种数据传输方式（RS232、USB、无线传输等）。</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8</w:t>
      </w:r>
      <w:r>
        <w:rPr>
          <w:rFonts w:hint="eastAsia" w:ascii="宋体" w:hAnsi="宋体"/>
          <w:bCs/>
          <w:sz w:val="24"/>
          <w:szCs w:val="24"/>
        </w:rPr>
        <w:t xml:space="preserve">数据处理系统（含硬件，1套）：内装正版操作系统和数据处理软件、设备控制和数据处理软件、国家标准与技术研究院（NIST）谱库、自动质谱图解卷积和鉴定系统（AMDIS）、职业安全与健康国立研究所（NIOSH）化学品安全数据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3.仪器配置包括但不限于以下部件：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3.1便携式气质联用仪主机（主机触屏操作，内装正版操作系统、控制和数据处理软件、最新原装正版NIST等3种谱库）包含采样探头1台；</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3.2一体式便携顶空进样器</w:t>
        <w:tab/>
        <w:t xml:space="preserve">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3.3走航模块1套；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3.4国家标准与技术研究院（NIST）谱库（数据处理系统内置，需为最新正版，终身免费升级）1套；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3.5自动质谱图解卷积和鉴定系统（AMDIS）数据处理系统内置，需为最新正版，终身免费升级1套；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3.6职业安全与健康国立研究所（NIOSH）化学品安全数据库（数据处理系统内置，需为最新正版，终身免费升级）1套；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3.7内置载气（主机全新配套）12瓶；</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3.8内标气（主机全新配套）6瓶；</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3.9内置可充电池（主机全新配套，配原装电池充电器1套，6-8小时主机续航能力）2块；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3.10数据线、电源适配器等1套；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3.11数据处理系统（含硬件，内装正版操作系统、控制和数据处理软件、最新原装正版NIST等3种谱库）1套；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 40mL顶空瓶（与动静态顶空进样器配套）100个；</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3.13小推车（与便携气质主机配套使用）1个；</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3.14文件资料：在供货时同时提供全套、完整的技术资料，包括仪器质量合格证明文件、中文仪器使用说明书、安装维护维修手册、仪器和附件装箱清单等。</w:t>
      </w:r>
      <w:r>
        <w:rPr>
          <w:rFonts w:ascii="宋体" w:hAnsi="宋体"/>
          <w:bCs/>
          <w:sz w:val="24"/>
          <w:szCs w:val="24"/>
        </w:rPr>
      </w:r>
      <w:r/>
    </w:p>
    <w:p>
      <w:pPr>
        <w:pStyle w:val="694"/>
        <w:spacing w:line="360" w:lineRule="auto"/>
        <w:shd w:val="clear" w:color="ffffff" w:fill="ffffff"/>
        <w:rPr>
          <w:rFonts w:ascii="宋体" w:hAnsi="宋体" w:cs="宋体"/>
          <w:szCs w:val="21"/>
        </w:rPr>
      </w:pPr>
      <w:r>
        <w:rPr>
          <w:rFonts w:hint="eastAsia" w:ascii="宋体" w:hAnsi="宋体"/>
          <w:bCs/>
          <w:sz w:val="24"/>
          <w:szCs w:val="24"/>
        </w:rPr>
        <w:t xml:space="preserve">▲4仪器需具备定位、授时功能；仪器需具备防篡改功能。</w:t>
      </w:r>
      <w:r>
        <w:rPr>
          <w:rFonts w:ascii="宋体" w:hAnsi="宋体" w:cs="宋体"/>
          <w:szCs w:val="21"/>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▲5仪器具备</w:t>
      </w:r>
      <w:r>
        <w:rPr>
          <w:rFonts w:ascii="宋体" w:hAnsi="宋体"/>
          <w:bCs/>
          <w:sz w:val="24"/>
          <w:szCs w:val="24"/>
        </w:rPr>
        <w:t xml:space="preserve">接入LIMS系统的接口</w:t>
      </w:r>
      <w:r>
        <w:rPr>
          <w:rFonts w:hint="eastAsia" w:ascii="宋体" w:hAnsi="宋体"/>
          <w:bCs/>
          <w:sz w:val="24"/>
          <w:szCs w:val="24"/>
        </w:rPr>
        <w:t xml:space="preserve">；如</w:t>
      </w:r>
      <w:r>
        <w:rPr>
          <w:rFonts w:ascii="宋体" w:hAnsi="宋体"/>
          <w:bCs/>
          <w:sz w:val="24"/>
          <w:szCs w:val="24"/>
        </w:rPr>
        <w:t xml:space="preserve">没有</w:t>
      </w:r>
      <w:r>
        <w:rPr>
          <w:rFonts w:hint="eastAsia" w:ascii="宋体" w:hAnsi="宋体"/>
          <w:bCs/>
          <w:sz w:val="24"/>
          <w:szCs w:val="24"/>
        </w:rPr>
        <w:t xml:space="preserve">，后期</w:t>
      </w:r>
      <w:r>
        <w:rPr>
          <w:rFonts w:ascii="宋体" w:hAnsi="宋体"/>
          <w:bCs/>
          <w:sz w:val="24"/>
          <w:szCs w:val="24"/>
        </w:rPr>
        <w:t xml:space="preserve">免费给</w:t>
      </w:r>
      <w:r>
        <w:rPr>
          <w:rFonts w:hint="eastAsia" w:ascii="宋体" w:hAnsi="宋体"/>
          <w:bCs/>
          <w:sz w:val="24"/>
          <w:szCs w:val="24"/>
        </w:rPr>
        <w:t xml:space="preserve">用户</w:t>
      </w:r>
      <w:r>
        <w:rPr>
          <w:rFonts w:ascii="宋体" w:hAnsi="宋体"/>
          <w:bCs/>
          <w:sz w:val="24"/>
          <w:szCs w:val="24"/>
        </w:rPr>
        <w:t xml:space="preserve">升级</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6培训服务：仪器验收之前，在用户单位现场安排培训至少 3 人，时间至少 3 天，要求培训人员能独立熟练使用操作该仪器。仪器使用一年后，免费提供高阶培训班，至少2人，时间至少3天，地点：厂家总部。</w:t>
      </w:r>
      <w:r>
        <w:rPr>
          <w:rFonts w:ascii="宋体" w:hAnsi="宋体"/>
          <w:bCs/>
          <w:sz w:val="24"/>
          <w:szCs w:val="24"/>
        </w:rPr>
      </w:r>
      <w:r/>
    </w:p>
    <w:p>
      <w:pPr>
        <w:pStyle w:val="694"/>
        <w:numPr>
          <w:ilvl w:val="0"/>
          <w:numId w:val="12"/>
        </w:numPr>
        <w:ind w:left="907" w:hanging="907"/>
        <w:spacing w:line="360" w:lineRule="auto"/>
        <w:shd w:val="clear" w:color="ffffff" w:fill="ffffff"/>
        <w:rPr>
          <w:rFonts w:ascii="宋体" w:hAnsi="宋体" w:cs="仿宋"/>
          <w:b/>
          <w:sz w:val="24"/>
          <w:szCs w:val="24"/>
        </w:rPr>
      </w:pPr>
      <w:r>
        <w:rPr>
          <w:rFonts w:hint="eastAsia" w:ascii="宋体" w:hAnsi="宋体" w:cs="仿宋"/>
          <w:b/>
          <w:sz w:val="24"/>
          <w:szCs w:val="24"/>
        </w:rPr>
        <w:t xml:space="preserve">电感耦合等离子体质谱仪</w:t>
      </w:r>
      <w:r>
        <w:rPr>
          <w:rFonts w:ascii="宋体" w:hAnsi="宋体" w:cs="仿宋"/>
          <w:b/>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仪器总体要求：电感耦合等离子体质谱仪（ICPMS）要求为串级四极杆质谱仪，而非普通的单四极杆质谱仪。由电感耦合等离子体离子源、四极杆离子偏转提取系统、圆柱形四极杆碰撞反应池（如果是八极杆或者非圆柱形的四极杆，需在碰撞反应池前加配具有1 amu质量数分辨率的圆柱形四极杆）、四极杆质量过滤器、离子检测系统等部分构成（需提供仪器真空部分四极杆结构图）。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2、仪器工作环境</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2.1工作环境温度：15～30℃；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2.2工作环境湿度：＜ 80%（无冷凝）；</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2.3电源：单相200-240V；50 Hz。</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3、仪器硬件与性能要求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3.1进样系统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3.1.1配置高灵敏度同心雾化器和小体积旋流雾室进样系统；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w:t>
      </w:r>
      <w:r>
        <w:rPr>
          <w:rFonts w:hint="eastAsia" w:ascii="宋体" w:hAnsi="宋体"/>
          <w:bCs/>
          <w:sz w:val="24"/>
          <w:szCs w:val="24"/>
        </w:rPr>
        <w:t xml:space="preserve">雾室与炬管之间应实现高效样品传输，无冗余死体积，确保样品记忆效应满足分析需求</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3.1.3全景式彩色等离子体观测窗，实时监测锥孔及喷射管孔样品沉积，便于维护和清洗；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3.1.4进样系统配置质子流量计等相关装置，可实现样品气体稀释，稀释倍数≥100倍；</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3.1.5进样系统配置质子流量计等相关装置，可通入氧气，实现100%有机样品的直接进样分析；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3.1.6全基体进样系统可通入氧气，实现有机样品的直接进样分析。</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3.2射频发生器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▲3.2.1高频率自激式全固态射频发生器，频率≥30 MHz；</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3.2.2采用无需屏蔽炬设计的虚拟接地技术，保证仪器最佳性能的同时减少不必要的消耗品——屏蔽炬，(对使用屏蔽炬技术的产品，需配备50套屏蔽炬以备更换)；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3.2.3等离子体工作线圈无需外部冷却水额外冷却，实现超低射频能量损耗；</w:t>
      </w:r>
      <w:r>
        <w:rPr>
          <w:rFonts w:ascii="宋体" w:hAnsi="宋体"/>
          <w:bCs/>
          <w:sz w:val="24"/>
          <w:szCs w:val="24"/>
        </w:rPr>
      </w:r>
      <w:r/>
    </w:p>
    <w:p>
      <w:pPr>
        <w:pStyle w:val="694"/>
        <w:rPr>
          <w:rFonts w:ascii="宋体" w:hAnsi="宋体"/>
          <w:color w:val="ff0000"/>
          <w:sz w:val="24"/>
          <w:szCs w:val="24"/>
        </w:rPr>
      </w:pPr>
      <w:r>
        <w:rPr>
          <w:rFonts w:hint="eastAsia" w:ascii="宋体" w:hAnsi="宋体"/>
          <w:bCs/>
          <w:sz w:val="24"/>
          <w:szCs w:val="24"/>
        </w:rPr>
        <w:t xml:space="preserve">▲3.2.4</w:t>
      </w:r>
      <w:r>
        <w:rPr>
          <w:rFonts w:hint="eastAsia" w:ascii="宋体" w:hAnsi="宋体"/>
          <w:sz w:val="24"/>
          <w:szCs w:val="24"/>
        </w:rPr>
        <w:t xml:space="preserve">射频发热元件应具备良好的散热设计,</w:t>
      </w:r>
      <w:r>
        <w:rPr>
          <w:rFonts w:hint="eastAsia" w:ascii="宋体" w:hAnsi="宋体"/>
          <w:sz w:val="24"/>
          <w:szCs w:val="24"/>
        </w:rPr>
        <w:t xml:space="preserve">确保长期运行稳定</w:t>
      </w:r>
      <w:r>
        <w:rPr>
          <w:rFonts w:hint="eastAsia" w:ascii="宋体" w:hAnsi="宋体"/>
          <w:sz w:val="24"/>
          <w:szCs w:val="24"/>
        </w:rPr>
        <w:t xml:space="preserve">。</w:t>
      </w:r>
      <w:r>
        <w:rPr>
          <w:rFonts w:ascii="宋体" w:hAnsi="宋体"/>
          <w:color w:val="ff0000"/>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3.3接口</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▲3.3.1为实现对离子射束紧凑控制，接口大于等于三个锥（采用嵌片不能作为锥，同时需提供30套嵌片作为耗材备用）；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3.3.2为保证基体耐受性，采样锥口径要求满足≥1.1mm；</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3.3.3</w:t>
      </w:r>
      <w:r>
        <w:rPr>
          <w:rFonts w:hint="eastAsia" w:ascii="宋体" w:hAnsi="宋体"/>
          <w:sz w:val="24"/>
          <w:szCs w:val="24"/>
        </w:rPr>
        <w:t xml:space="preserve">截取锥口径要求满足</w:t>
      </w:r>
      <w:r>
        <w:rPr>
          <w:rFonts w:hint="eastAsia" w:ascii="宋体" w:hAnsi="宋体"/>
          <w:b/>
          <w:bCs/>
          <w:sz w:val="24"/>
          <w:szCs w:val="24"/>
        </w:rPr>
        <w:t xml:space="preserve">≥</w:t>
      </w:r>
      <w:r>
        <w:rPr>
          <w:rFonts w:hint="eastAsia" w:ascii="宋体" w:hAnsi="宋体"/>
          <w:sz w:val="24"/>
          <w:szCs w:val="24"/>
        </w:rPr>
        <w:t xml:space="preserve">0.7mm；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w:t>
      </w:r>
      <w:r>
        <w:rPr>
          <w:rFonts w:hint="eastAsia" w:ascii="宋体" w:hAnsi="宋体"/>
          <w:bCs/>
          <w:sz w:val="24"/>
          <w:szCs w:val="24"/>
        </w:rPr>
        <w:t xml:space="preserve">4</w:t>
      </w:r>
      <w:r>
        <w:rPr>
          <w:rFonts w:hint="eastAsia" w:ascii="宋体" w:hAnsi="宋体"/>
          <w:bCs/>
          <w:sz w:val="24"/>
          <w:szCs w:val="24"/>
        </w:rPr>
        <w:t xml:space="preserve">采样锥与截取锥之间不得使用任何气体。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3.4四极杆离子偏转器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3.4.1四极杆设计，可同时进行目标离子选择和不带电物质去除；</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3.4.2 90度离子偏转技术，实现分析离子与未电离的中性粒子和光子彻底分离；</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3.4.3离子透镜彻底免维护，不得采用提取透镜。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3.5四极杆碰撞反应池</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▲3.5.1具有轴向加速的圆柱型四极杆（不是平面四平板）碰撞反应池系统（提供实物图）；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3.5.2四极杆除了低质量数切割，还能进行高质量数的切割，能进行10个质量数的区段筛选以达到更优异的干扰消除效果；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3.5.3碰撞反应池无需加热；</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3.5.4具有四极杆动态带宽调谐反应模式消除干扰。</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3.6气体控制：质量流量计控制的碰撞反应气</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（1）碰撞反应池配置质量流量计控制的氧气管路；</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（2）碰撞反应池配置质量流量计控制的甲烷管路；</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（3）碰撞反应池配置质量流量计控制的氦气管路。</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3.6单次分析中，可实现标准模式、碰撞模式和反应模式切换；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▲3.7</w:t>
      </w:r>
      <w:r>
        <w:rPr>
          <w:rFonts w:hint="eastAsia" w:ascii="宋体" w:hAnsi="宋体"/>
          <w:bCs/>
          <w:sz w:val="24"/>
          <w:szCs w:val="24"/>
        </w:rPr>
        <w:t xml:space="preserve">仪器应具备信号衰减或电子稀释功能，可在不手动稀样品的情况下直接测定高浓度基质元素(如1000 ppm 钠标准溶液)</w:t>
      </w:r>
      <w:r>
        <w:rPr>
          <w:rFonts w:hint="eastAsia" w:ascii="宋体" w:hAnsi="宋体"/>
          <w:bCs/>
          <w:sz w:val="24"/>
          <w:szCs w:val="24"/>
        </w:rPr>
        <w:t xml:space="preserve">，可对日常样品中数十ppm的常量元素和ppb级的痕量元素在脉冲模式（pulse）下（响应值&lt;200万cps）同时测定，在不损失痕量元素灵敏度的情况下对常量元素进行智能的电子稀释，实现一次进样高低含量元素同时测定而对检测器不造成损伤（需提供软件中RPA值的设置截图和实验数据等相关证明材料）；</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▲3.8四极杆最短驻留时间≤10µs（提供软件截图）。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3.9四极杆质量分析器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▲3.9.1质量范围：1～285amu；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3.9.2分辨率：0.2～2.0amu连续可调；</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3.9.3驱动频率≥2.5 MHz。</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3.10检测器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3.10.1动态线性范围10个数量级；</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3.10.2长寿命、双模（脉冲方式和模拟方式检测）同时型检测器；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▲3.10.3检测器瞬时采集速率不低于100,000数据点/秒。</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3.11真空系统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3.11.1四级真空系统；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3.11.2</w:t>
      </w:r>
      <w:r>
        <w:rPr>
          <w:rFonts w:hint="eastAsia" w:ascii="宋体" w:hAnsi="宋体"/>
          <w:sz w:val="24"/>
          <w:szCs w:val="24"/>
        </w:rPr>
        <w:t xml:space="preserve">从启动至仪器可进行调谐测试的时间≤8分钟，工作真空度≤2x10</w:t>
      </w:r>
      <w:r>
        <w:rPr>
          <w:rFonts w:hint="eastAsia" w:ascii="宋体" w:hAnsi="宋体"/>
          <w:sz w:val="24"/>
          <w:szCs w:val="24"/>
          <w:vertAlign w:val="superscript"/>
        </w:rPr>
        <w:t xml:space="preserve">-6</w:t>
      </w:r>
      <w:r>
        <w:rPr>
          <w:rFonts w:hint="eastAsia" w:ascii="宋体" w:hAnsi="宋体"/>
          <w:sz w:val="24"/>
          <w:szCs w:val="24"/>
        </w:rPr>
        <w:t xml:space="preserve">Torr；</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3.11.3前级真空泵抽力大于等于40m</w:t>
      </w:r>
      <w:r>
        <w:rPr>
          <w:rFonts w:hint="eastAsia" w:ascii="宋体" w:hAnsi="宋体"/>
          <w:bCs/>
          <w:sz w:val="24"/>
          <w:szCs w:val="24"/>
          <w:vertAlign w:val="superscript"/>
        </w:rPr>
        <w:t xml:space="preserve">3</w:t>
      </w:r>
      <w:r>
        <w:rPr>
          <w:rFonts w:hint="eastAsia" w:ascii="宋体" w:hAnsi="宋体"/>
          <w:bCs/>
          <w:sz w:val="24"/>
          <w:szCs w:val="24"/>
        </w:rPr>
        <w:t xml:space="preserve">/h。</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3.12软件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3.12.1操作系统: Microsoft® Windows 11以上操作系统；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3.12.2具有嵌入在ICP-MS软件的单颗粒分析软件模块。（需提供单颗粒分析软件模块截屏）。</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w:t>
      </w:r>
      <w:r>
        <w:rPr>
          <w:rFonts w:hint="eastAsia" w:ascii="宋体" w:hAnsi="宋体"/>
          <w:bCs/>
          <w:sz w:val="24"/>
          <w:szCs w:val="24"/>
        </w:rPr>
        <w:t xml:space="preserve">3</w:t>
      </w:r>
      <w:r>
        <w:rPr>
          <w:rFonts w:hint="eastAsia" w:ascii="宋体" w:hAnsi="宋体"/>
          <w:bCs/>
          <w:sz w:val="24"/>
          <w:szCs w:val="24"/>
        </w:rPr>
        <w:t xml:space="preserve">通过甲烷气(CH4)作反应气来消除40Ar</w:t>
      </w:r>
      <w:r>
        <w:rPr>
          <w:rFonts w:hint="eastAsia" w:ascii="宋体" w:hAnsi="宋体"/>
          <w:bCs/>
          <w:sz w:val="24"/>
          <w:szCs w:val="24"/>
          <w:vertAlign w:val="superscript"/>
        </w:rPr>
        <w:t xml:space="preserve">2+</w:t>
      </w:r>
      <w:r>
        <w:rPr>
          <w:rFonts w:hint="eastAsia" w:ascii="宋体" w:hAnsi="宋体"/>
          <w:bCs/>
          <w:sz w:val="24"/>
          <w:szCs w:val="24"/>
        </w:rPr>
        <w:t xml:space="preserve"> 对80Se的干扰，来实现水中低含量的（20～80μg/L）硒（Se）元素的测定（需提供对应文献证明）；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w:t>
      </w:r>
      <w:r>
        <w:rPr>
          <w:rFonts w:hint="eastAsia" w:ascii="宋体" w:hAnsi="宋体"/>
          <w:bCs/>
          <w:sz w:val="24"/>
          <w:szCs w:val="24"/>
        </w:rPr>
        <w:t xml:space="preserve">4</w:t>
      </w:r>
      <w:r>
        <w:rPr>
          <w:rFonts w:hint="eastAsia" w:ascii="宋体" w:hAnsi="宋体"/>
          <w:bCs/>
          <w:sz w:val="24"/>
          <w:szCs w:val="24"/>
        </w:rPr>
        <w:t xml:space="preserve">通过与氧气反应生成相应的氧化物（m/z 47 和 48 的 PO+ 和 SO+ ）将分析对象从被干扰的质量数转移开，实现了对低含量磷和硫的有效测定（需提供对应文献证明）；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w:t>
      </w:r>
      <w:r>
        <w:rPr>
          <w:rFonts w:hint="eastAsia" w:ascii="宋体" w:hAnsi="宋体"/>
          <w:bCs/>
          <w:sz w:val="24"/>
          <w:szCs w:val="24"/>
        </w:rPr>
        <w:t xml:space="preserve">5</w:t>
      </w:r>
      <w:r>
        <w:rPr>
          <w:rFonts w:hint="eastAsia" w:ascii="宋体" w:hAnsi="宋体"/>
          <w:bCs/>
          <w:sz w:val="24"/>
          <w:szCs w:val="24"/>
        </w:rPr>
        <w:t xml:space="preserve">通过高纯氧气作为反应气进行质量转移的动态反应模式（DRC）消除相应的多原子离子干扰，将75As质量转移至91AsO进行测定，从而避开 40Ar35Cl和40Ca35Cl对75As的干扰（需提供对应文献证明）；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w:t>
      </w:r>
      <w:r>
        <w:rPr>
          <w:rFonts w:hint="eastAsia" w:ascii="宋体" w:hAnsi="宋体"/>
          <w:bCs/>
          <w:sz w:val="24"/>
          <w:szCs w:val="24"/>
        </w:rPr>
        <w:t xml:space="preserve">6</w:t>
      </w:r>
      <w:r>
        <w:rPr>
          <w:rFonts w:hint="eastAsia" w:ascii="宋体" w:hAnsi="宋体"/>
          <w:bCs/>
          <w:sz w:val="24"/>
          <w:szCs w:val="24"/>
        </w:rPr>
        <w:t xml:space="preserve">使用单颗粒ICP-MS软件测量碳-13，实现微塑料检测的研究（需提供对应文献证明）；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w:t>
      </w:r>
      <w:r>
        <w:rPr>
          <w:rFonts w:hint="eastAsia" w:ascii="宋体" w:hAnsi="宋体"/>
          <w:bCs/>
          <w:sz w:val="24"/>
          <w:szCs w:val="24"/>
        </w:rPr>
        <w:t xml:space="preserve">7</w:t>
      </w:r>
      <w:r>
        <w:rPr>
          <w:rFonts w:hint="eastAsia" w:ascii="宋体" w:hAnsi="宋体"/>
          <w:bCs/>
          <w:sz w:val="24"/>
          <w:szCs w:val="24"/>
        </w:rPr>
        <w:t xml:space="preserve">具有高分辨率和标准分辨率模式，可以对不同元素进行不同分辨率的设定，要求在一次样品测试中，可以在线连续调节8种以上不同分辨率，调节范围0.2-2.0 amu。低分辨可以设置到2.0 amu，可以在一次方法分析过程中使用，以便通过变化分辨率扩大样品分析应用范围（需提供≥8个不同分辨率实时谱图）。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4.仪器整体性能</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4.1.灵敏度：</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（1）低质量数：≥50M cps/ppm；</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（2）中质量数：≥100M cps/ppm；</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（3）高质量数：≥80M cps/ppm。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4.2随机背景：＜1cps(220amu)；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4.3氧化物离子(Ce</w:t>
      </w:r>
      <w:r>
        <w:rPr>
          <w:rFonts w:hint="eastAsia" w:ascii="宋体" w:hAnsi="宋体"/>
          <w:bCs/>
          <w:sz w:val="24"/>
          <w:szCs w:val="24"/>
          <w:vertAlign w:val="superscript"/>
        </w:rPr>
        <w:t xml:space="preserve">O+</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2.5%；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4.4双电荷离子(Ce</w:t>
      </w:r>
      <w:r>
        <w:rPr>
          <w:rFonts w:hint="eastAsia" w:ascii="宋体" w:hAnsi="宋体"/>
          <w:bCs/>
          <w:sz w:val="24"/>
          <w:szCs w:val="24"/>
          <w:vertAlign w:val="superscript"/>
        </w:rPr>
        <w:t xml:space="preserve">2+</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≤3.0%；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4.5检出限：Be（9）：＜0.5 ppt；In (115)：＜0.1 ppt；U (238)：＜ 0.1 ppt</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4.6短期稳定性（RSD）：≤3%（20分钟，1ppb混合溶液、无内标、不同模式间切换），长期稳定性（RSD）：≤4%（4小时，1ppb混合溶液、无内标、不同模式间切换）；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w:t>
      </w:r>
      <w:bookmarkStart w:id="226" w:name="OLE_LINK20"/>
      <w:r/>
      <w:bookmarkStart w:id="227" w:name="OLE_LINK21"/>
      <w:r>
        <w:rPr>
          <w:rFonts w:hint="eastAsia" w:ascii="宋体" w:hAnsi="宋体"/>
          <w:bCs/>
          <w:sz w:val="24"/>
          <w:szCs w:val="24"/>
        </w:rPr>
        <w:t xml:space="preserve">7</w:t>
      </w:r>
      <w:r>
        <w:rPr>
          <w:rFonts w:hint="eastAsia" w:ascii="宋体" w:hAnsi="宋体"/>
          <w:bCs/>
          <w:sz w:val="24"/>
          <w:szCs w:val="24"/>
        </w:rPr>
        <w:t xml:space="preserve">同位素比精度:107Ag/109Ag同位素比,RSD&lt;0.1%</w:t>
      </w:r>
      <w:r>
        <w:rPr>
          <w:rFonts w:hint="eastAsia" w:ascii="宋体" w:hAnsi="宋体"/>
          <w:sz w:val="24"/>
          <w:szCs w:val="24"/>
        </w:rPr>
        <w:t xml:space="preserve">。</w:t>
      </w:r>
      <w:bookmarkEnd w:id="226"/>
      <w:r/>
      <w:bookmarkEnd w:id="227"/>
      <w:r>
        <w:rPr>
          <w:rFonts w:ascii="宋体" w:hAnsi="宋体"/>
          <w:bCs/>
          <w:sz w:val="24"/>
          <w:szCs w:val="24"/>
        </w:rPr>
      </w:r>
      <w:r/>
    </w:p>
    <w:p>
      <w:pPr>
        <w:pStyle w:val="694"/>
        <w:numPr>
          <w:ilvl w:val="0"/>
          <w:numId w:val="13"/>
        </w:numPr>
        <w:spacing w:line="360" w:lineRule="auto"/>
        <w:shd w:val="clear" w:color="ffffff" w:fill="ffffff"/>
        <w:rPr>
          <w:rFonts w:ascii="宋体" w:hAnsi="宋体"/>
          <w:bCs/>
          <w:sz w:val="24"/>
          <w:szCs w:val="24"/>
        </w:rPr>
      </w:pPr>
      <w:r>
        <w:rPr>
          <w:rFonts w:hint="eastAsia" w:ascii="宋体" w:hAnsi="宋体"/>
          <w:bCs/>
          <w:sz w:val="24"/>
          <w:szCs w:val="24"/>
        </w:rPr>
        <w:t xml:space="preserve">仪器配置要求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5.1电感耦合等离子体质谱仪主机（含大于150位自动进样器,操作软件）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5.2循环冷却水机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5.3 1升冷却剂 8瓶；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5.4仪器调试溶液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5.5两年耗材配置：</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（1）排废液管和进样泵管 各2包；</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（2）进样毛细管和内标泵管 各2包；</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（3）采样锥垫片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（4）超锥O型圈及螺丝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（5）石英矩管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（6）镍采样锥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（7）镍截取锥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（8）超截取锥1套/嵌片30套；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（9）石英喷射管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（10）内标加入器 1个；</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（11）屏蔽矩和屏蔽板(如使用此耗材的，无此结构可不配)20套。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5.6原装操作软件（至少可在个台电脑间免费拷贝）1套；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5.7处理器（i5及以上CPU/32GB内存/500G以上硬盘/21”液晶/WINDOWS 11操作系统）1套</w:t>
      </w:r>
      <w:r>
        <w:rPr>
          <w:rFonts w:ascii="宋体" w:hAnsi="宋体"/>
          <w:bCs/>
          <w:sz w:val="24"/>
          <w:szCs w:val="24"/>
        </w:rPr>
      </w:r>
      <w:r/>
    </w:p>
    <w:p>
      <w:pPr>
        <w:pStyle w:val="694"/>
        <w:spacing w:line="360" w:lineRule="auto"/>
        <w:shd w:val="clear" w:color="ffffff" w:fill="ffffff"/>
        <w:rPr>
          <w:rFonts w:ascii="宋体" w:hAnsi="宋体"/>
          <w:bCs/>
          <w:sz w:val="24"/>
          <w:szCs w:val="24"/>
        </w:rPr>
      </w:pPr>
      <w:r/>
      <w:bookmarkStart w:id="228" w:name="_Hlk16798306"/>
      <w:r>
        <w:rPr>
          <w:rFonts w:hint="eastAsia" w:ascii="宋体" w:hAnsi="宋体"/>
          <w:bCs/>
          <w:sz w:val="24"/>
          <w:szCs w:val="24"/>
        </w:rPr>
        <w:t xml:space="preserve">▲6、仪器需具备防篡改功能；同时需具备</w:t>
      </w:r>
      <w:r>
        <w:rPr>
          <w:rFonts w:ascii="宋体" w:hAnsi="宋体"/>
          <w:bCs/>
          <w:sz w:val="24"/>
          <w:szCs w:val="24"/>
        </w:rPr>
        <w:t xml:space="preserve">接入LIMS系统的接口</w:t>
      </w:r>
      <w:r>
        <w:rPr>
          <w:rFonts w:hint="eastAsia" w:ascii="宋体" w:hAnsi="宋体"/>
          <w:bCs/>
          <w:sz w:val="24"/>
          <w:szCs w:val="24"/>
        </w:rPr>
        <w:t xml:space="preserve">；如</w:t>
      </w:r>
      <w:r>
        <w:rPr>
          <w:rFonts w:ascii="宋体" w:hAnsi="宋体"/>
          <w:bCs/>
          <w:sz w:val="24"/>
          <w:szCs w:val="24"/>
        </w:rPr>
        <w:t xml:space="preserve">没有</w:t>
      </w:r>
      <w:r>
        <w:rPr>
          <w:rFonts w:hint="eastAsia" w:ascii="宋体" w:hAnsi="宋体"/>
          <w:bCs/>
          <w:sz w:val="24"/>
          <w:szCs w:val="24"/>
        </w:rPr>
        <w:t xml:space="preserve">，后期</w:t>
      </w:r>
      <w:r>
        <w:rPr>
          <w:rFonts w:ascii="宋体" w:hAnsi="宋体"/>
          <w:bCs/>
          <w:sz w:val="24"/>
          <w:szCs w:val="24"/>
        </w:rPr>
        <w:t xml:space="preserve">优先免费给</w:t>
      </w:r>
      <w:r>
        <w:rPr>
          <w:rFonts w:hint="eastAsia" w:ascii="宋体" w:hAnsi="宋体"/>
          <w:bCs/>
          <w:sz w:val="24"/>
          <w:szCs w:val="24"/>
        </w:rPr>
        <w:t xml:space="preserve">用户</w:t>
      </w:r>
      <w:r>
        <w:rPr>
          <w:rFonts w:ascii="宋体" w:hAnsi="宋体"/>
          <w:bCs/>
          <w:sz w:val="24"/>
          <w:szCs w:val="24"/>
        </w:rPr>
        <w:t xml:space="preserve">升级</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7、售后服务与培训</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7.1交货期：合同签订后90天。</w:t>
      </w:r>
      <w:bookmarkStart w:id="229" w:name="_GoBack"/>
      <w:r/>
      <w:bookmarkEnd w:id="229"/>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7.2用户培训</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投标人需提供完整的用户培训方案，包括：现场培训，在项目安装、调试时，现场培训技术人员；厂家培训，不少于6个不设限有效时间的免费厂家培训名额。</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7.3质保期：中标人提供为期1年免费质保期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7.1售后服务具体要求：维修响应时间：接到故障通知后8小时内作出答复，一般问题24小时之内解决；若采购方有需求，48小时内到达现场解决；若遇重大问题在一周内解决。</w:t>
      </w:r>
      <w:bookmarkEnd w:id="228"/>
      <w:r>
        <w:rPr>
          <w:rFonts w:ascii="宋体" w:hAnsi="宋体"/>
          <w:bCs/>
          <w:sz w:val="24"/>
          <w:szCs w:val="24"/>
        </w:rPr>
      </w:r>
      <w:r/>
    </w:p>
    <w:p>
      <w:pPr>
        <w:pStyle w:val="694"/>
        <w:jc w:val="center"/>
        <w:rPr>
          <w:rFonts w:ascii="仿宋_GB2312" w:eastAsia="仿宋_GB2312"/>
          <w:b/>
          <w:bCs/>
          <w:sz w:val="28"/>
          <w:szCs w:val="28"/>
        </w:rPr>
      </w:pPr>
      <w:r>
        <w:rPr>
          <w:rFonts w:hint="eastAsia" w:ascii="宋体" w:hAnsi="宋体" w:cs="宋体"/>
          <w:b/>
          <w:bCs/>
          <w:sz w:val="28"/>
          <w:szCs w:val="28"/>
        </w:rPr>
        <w:t xml:space="preserve">第二包：设备清单</w:t>
      </w:r>
      <w:r>
        <w:rPr>
          <w:rFonts w:ascii="仿宋_GB2312" w:eastAsia="仿宋_GB2312"/>
          <w:b/>
          <w:bCs/>
          <w:sz w:val="28"/>
          <w:szCs w:val="28"/>
        </w:rPr>
      </w:r>
      <w:r/>
    </w:p>
    <w:tbl>
      <w:tblPr>
        <w:tblW w:w="7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4536"/>
        <w:gridCol w:w="1640"/>
      </w:tblGrid>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序号</w:t>
            </w:r>
            <w:r>
              <w:rPr>
                <w:rFonts w:ascii="宋体" w:hAnsi="宋体"/>
                <w:b/>
                <w:bCs/>
                <w:sz w:val="24"/>
              </w:rPr>
            </w:r>
            <w:r/>
          </w:p>
        </w:tc>
        <w:tc>
          <w:tcPr>
            <w:tcW w:w="4536"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仪器设备（品牌）</w:t>
            </w:r>
            <w:r>
              <w:rPr>
                <w:rFonts w:ascii="宋体" w:hAnsi="宋体"/>
                <w:b/>
                <w:bCs/>
                <w:sz w:val="24"/>
              </w:rPr>
            </w:r>
            <w:r/>
          </w:p>
        </w:tc>
        <w:tc>
          <w:tcPr>
            <w:tcW w:w="1640"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数量</w:t>
            </w:r>
            <w:r>
              <w:rPr>
                <w:rFonts w:ascii="宋体" w:hAnsi="宋体"/>
                <w:b/>
                <w:bCs/>
                <w:sz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1</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原子荧光分光光度计</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2</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便携式VOC检测仪(PID)</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3</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便携式X荧光重金属检测仪</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4</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便携式pH计</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2台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5</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便携式烟尘/气浓度监测仪</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6</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BOD培养箱</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7</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纯水机</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bl>
    <w:p>
      <w:pPr>
        <w:pStyle w:val="694"/>
        <w:rPr>
          <w:b/>
          <w:bCs/>
          <w:sz w:val="24"/>
          <w:szCs w:val="24"/>
        </w:rPr>
      </w:pPr>
      <w:r>
        <w:rPr>
          <w:rFonts w:hint="eastAsia"/>
          <w:b/>
          <w:bCs/>
          <w:sz w:val="24"/>
          <w:szCs w:val="24"/>
        </w:rPr>
        <w:t xml:space="preserve">参数配置：</w:t>
      </w:r>
      <w:r>
        <w:rPr>
          <w:b/>
          <w:bCs/>
          <w:sz w:val="24"/>
          <w:szCs w:val="24"/>
        </w:rPr>
      </w:r>
      <w:r/>
    </w:p>
    <w:p>
      <w:pPr>
        <w:pStyle w:val="694"/>
        <w:rPr>
          <w:b/>
          <w:bCs/>
          <w:sz w:val="24"/>
          <w:szCs w:val="24"/>
        </w:rPr>
      </w:pPr>
      <w:r>
        <w:rPr>
          <w:rFonts w:hint="eastAsia"/>
          <w:b/>
          <w:bCs/>
          <w:sz w:val="24"/>
          <w:szCs w:val="24"/>
        </w:rPr>
        <w:t xml:space="preserve">一、</w:t>
      </w:r>
      <w:r>
        <w:rPr>
          <w:b/>
          <w:bCs/>
          <w:sz w:val="24"/>
          <w:szCs w:val="24"/>
        </w:rPr>
        <w:t xml:space="preserve">原子荧光分光光度计</w:t>
      </w:r>
      <w:r/>
    </w:p>
    <w:p>
      <w:pPr>
        <w:pStyle w:val="694"/>
        <w:jc w:val="left"/>
        <w:spacing w:line="360" w:lineRule="auto"/>
        <w:rPr>
          <w:rFonts w:ascii="宋体" w:hAnsi="宋体" w:cs="宋体"/>
          <w:sz w:val="24"/>
          <w:szCs w:val="24"/>
        </w:rPr>
      </w:pPr>
      <w:r>
        <w:rPr>
          <w:rFonts w:hint="eastAsia" w:ascii="宋体" w:hAnsi="宋体" w:cs="宋体"/>
          <w:sz w:val="24"/>
          <w:szCs w:val="24"/>
        </w:rPr>
        <w:t xml:space="preserve">1. 技术指标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1.1 需要对样品中砷、汞、硒、锡、铋、锑、铅、锗、镉、碲、锌、金等十二种元素的痕量分析测量；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1.2 漂移：≤1.0%；噪声：≤1.0%；道间干扰：≤±1.0%。</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1.3 测量重复性（RSD）：≤0.5%；线性范围：≥103。</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 技术性能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 进样系统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▲2.1.1 主机内置至少两个注射泵和一个蠕动泵结构，以支持三种进样模式：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（1）双路顺序注射泵进样模式（2）单蠕动泵进样模式（3）单注射泵+蠕动泵进样模式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（提供安装在仪器上的三个泵的实物照片和三种模式切换设定的软件界面截图）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▲2.1.2 注射泵采用高精度微升级泵体，运动行程大于60mm（提供安装在仪器上的注射泵与标准刻度尺对比，运动行程大于60mm的实物照片）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2.1.3 内置一体式蠕动泵进样并实时主动排废，六滚轴、小泵头、整体压块式设计； </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2.1.4采用碳纤骨架PTFE取样针，材质疏水不沾液，低残留，减小记忆效应，无需严格控制入液深度，彻底避免石英针易碎及金属针易腐蚀等问题；（提供碳纤骨架PTFE进样针实物照片）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 光学系统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▲2.2.1 采用平面扇形光路设计，元素灯与检测器处于同一水平面内，各通道元素灯与检测器均为45°，夹角一致，保证道间一致性。（提供光路结构实物照片）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2.2.2 具备氩氢火焰直接观察窗，可直观对火焰状态实时进行观察，避免其它观测方式因出现故障而无法对火焰状态进行监控的问题（提供氩氢火焰观察窗实物照片）；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 光源</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2.3.1 智能空心阴极灯，内置存储芯片，自动识别元素类型，支持元素灯使用计时；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2.3.2先进的空心阴极灯电源电路设计，支持双通道瞬时汞灯自动启辉，汞元素测量无需特定通道限制，灯电流实时监控并在软件监控界面中显示，直观了解元素灯工作状态；（提供灯电流软件监控截图）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 氢化物反应系统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▲2.4.1屏蔽式低温点火石英炉原子化器，可针对不同元素测量进行原子化器高度适应性调节（提供原子化器高度调节旋钮实物照片或原子化器高度设定软件截图）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▲2.4.2采用电压可调智能供电点火系统，具备炉丝电流回读监测功能。（提供智能供电点火系统监控软件界面截图）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 气路系统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2.5.1 采用阀岛阵列式结构，恒压力控制模式，自动精确控制载气和屏蔽气双路流量，具有低压报警功能；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2.5.2 采用双路MFC质量流量控制模块，高精度温度补偿型质量流量传感器，（0~1000）mL/min连续可调，流量精度±1mL/min；（提供实物图片证明文件）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2.5.3 实时监控反应入口和出口压力值，超压报警，有效缓解因样品消解不完全引入的喷液现象；</w:t>
      </w:r>
      <w:bookmarkStart w:id="230" w:name="_Hlk151652427"/>
      <w:r>
        <w:rPr>
          <w:rFonts w:hint="eastAsia" w:ascii="宋体" w:hAnsi="宋体" w:cs="宋体"/>
          <w:sz w:val="24"/>
          <w:szCs w:val="24"/>
        </w:rPr>
        <w:t xml:space="preserve">（提供出口压力异常的报警信息界面截图）</w:t>
      </w:r>
      <w:bookmarkEnd w:id="230"/>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 数据处理系统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2.6.1 可实现全面的系统自检，具备图形化的设备状态监控和参数显示（气体流量、压力、灯电流、负高压、元素信息等），实时自诊断，异常状态报警；</w:t>
      </w:r>
      <w:r>
        <w:rPr>
          <w:rFonts w:ascii="宋体" w:hAnsi="宋体" w:cs="宋体"/>
          <w:sz w:val="24"/>
          <w:szCs w:val="24"/>
        </w:rPr>
      </w:r>
      <w:r/>
    </w:p>
    <w:p>
      <w:pPr>
        <w:pStyle w:val="694"/>
        <w:jc w:val="left"/>
        <w:spacing w:line="360" w:lineRule="auto"/>
        <w:rPr>
          <w:rFonts w:ascii="宋体" w:hAnsi="宋体" w:cs="宋体"/>
          <w:sz w:val="24"/>
          <w:szCs w:val="24"/>
        </w:rPr>
      </w:pPr>
      <w:r/>
      <w:bookmarkStart w:id="231" w:name="_Hlk151652472"/>
      <w:r>
        <w:rPr>
          <w:rFonts w:hint="eastAsia" w:ascii="宋体" w:hAnsi="宋体" w:cs="宋体"/>
          <w:sz w:val="24"/>
          <w:szCs w:val="24"/>
        </w:rPr>
        <w:t xml:space="preserve">▲2.6.2 </w:t>
      </w:r>
      <w:bookmarkStart w:id="232" w:name="_Hlk165888722"/>
      <w:r>
        <w:rPr>
          <w:rFonts w:hint="eastAsia" w:ascii="宋体" w:hAnsi="宋体" w:cs="宋体"/>
          <w:sz w:val="24"/>
          <w:szCs w:val="24"/>
        </w:rPr>
        <w:t xml:space="preserve">支持WiFi、LAN、USB任意通讯方式，可实现移动端APP信息查看。不接受采用转接线进行接口转换的方式，保证通讯稳定性</w:t>
      </w:r>
      <w:bookmarkEnd w:id="232"/>
      <w:r>
        <w:rPr>
          <w:rFonts w:hint="eastAsia" w:ascii="宋体" w:hAnsi="宋体" w:cs="宋体"/>
          <w:sz w:val="24"/>
          <w:szCs w:val="24"/>
        </w:rPr>
        <w:t xml:space="preserve">；（提供包含wifi发射源，LAN、USB、RS-232等接口的设备实物照片）</w:t>
      </w:r>
      <w:r>
        <w:rPr>
          <w:rFonts w:ascii="宋体" w:hAnsi="宋体" w:cs="宋体"/>
          <w:sz w:val="24"/>
          <w:szCs w:val="24"/>
        </w:rPr>
      </w:r>
      <w:r/>
    </w:p>
    <w:p>
      <w:pPr>
        <w:pStyle w:val="694"/>
        <w:jc w:val="left"/>
        <w:spacing w:line="360" w:lineRule="auto"/>
        <w:rPr>
          <w:rFonts w:ascii="宋体" w:hAnsi="宋体" w:cs="宋体"/>
          <w:sz w:val="24"/>
          <w:szCs w:val="24"/>
        </w:rPr>
      </w:pPr>
      <w:r/>
      <w:bookmarkEnd w:id="231"/>
      <w:r>
        <w:rPr>
          <w:rFonts w:hint="eastAsia" w:ascii="宋体" w:hAnsi="宋体" w:cs="宋体"/>
          <w:sz w:val="24"/>
          <w:szCs w:val="24"/>
        </w:rPr>
        <w:t xml:space="preserve">2.6.3 具备漂移校准、QCP质控功能，支持多标曲自动检测，可自动清洗和执行维护；</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▲2.6.4 专用夜间模式，支持仪器运行结束后休眠，以及定时自动唤醒并执行预热功能；（提供自动休眠及自动唤醒设置界面截图）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2.6.5 支持间歇预热、定时预热、动态预热三种预热功能，有效减少等待时间；</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2.6.6 仪器需具备</w:t>
      </w:r>
      <w:r>
        <w:rPr>
          <w:rFonts w:ascii="宋体" w:hAnsi="宋体" w:cs="宋体"/>
          <w:sz w:val="24"/>
          <w:szCs w:val="24"/>
        </w:rPr>
        <w:t xml:space="preserve">接入LIMS系统的接口</w:t>
      </w:r>
      <w:r>
        <w:rPr>
          <w:rFonts w:hint="eastAsia" w:ascii="宋体" w:hAnsi="宋体" w:cs="宋体"/>
          <w:sz w:val="24"/>
          <w:szCs w:val="24"/>
        </w:rPr>
        <w:t xml:space="preserve">；数据需具备防篡改功能；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2.7智能监测系统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2.7.1具有全方位传感系统，数字化气路压力监测（入口和出口）、气路流量监测、炉丝电流监测、元素灯电流监测、大气压力监测、废液位监测，可升级温湿度测量、有害气体监测等；</w:t>
      </w:r>
      <w:bookmarkStart w:id="233" w:name="_Hlk151652517"/>
      <w:r>
        <w:rPr>
          <w:rFonts w:hint="eastAsia" w:ascii="宋体" w:hAnsi="宋体" w:cs="宋体"/>
          <w:sz w:val="24"/>
          <w:szCs w:val="24"/>
        </w:rPr>
        <w:t xml:space="preserve">（提供相关功能的软件界面截图）</w:t>
      </w:r>
      <w:bookmarkEnd w:id="233"/>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2.7.2 运行保护报警系统，无载气安全保护、炉丝短路断路保护、气路漏气保护、氢化物反应剧烈保护、废液位提醒；</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3配置清单</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3.1 原子荧光光度计主机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3.2 空心阴极灯-砷、汞、硒   各2个</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3.3 注射泵                  2套</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3.4 160位自动进样器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3.5 使用说明书              1本</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3.6 气液分离器              2套</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3.7 电脑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3.8 打印机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3.9 耗材                    1套</w:t>
      </w:r>
      <w:r>
        <w:rPr>
          <w:rFonts w:ascii="宋体" w:hAnsi="宋体" w:cs="宋体"/>
          <w:sz w:val="24"/>
          <w:szCs w:val="24"/>
        </w:rPr>
      </w:r>
      <w:r/>
    </w:p>
    <w:p>
      <w:pPr>
        <w:pStyle w:val="694"/>
      </w:pPr>
      <w:r/>
      <w:r/>
    </w:p>
    <w:p>
      <w:pPr>
        <w:pStyle w:val="694"/>
        <w:rPr>
          <w:b/>
          <w:bCs/>
          <w:sz w:val="24"/>
        </w:rPr>
      </w:pPr>
      <w:r>
        <w:rPr>
          <w:rFonts w:hint="eastAsia"/>
          <w:b/>
          <w:bCs/>
          <w:sz w:val="24"/>
          <w:szCs w:val="24"/>
        </w:rPr>
        <w:t xml:space="preserve">二、</w:t>
      </w:r>
      <w:r>
        <w:rPr>
          <w:b/>
          <w:bCs/>
          <w:sz w:val="24"/>
          <w:szCs w:val="24"/>
        </w:rPr>
        <w:t xml:space="preserve">便携式VOC检测仪(PID)</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1、体积小巧，操作简单，同时显示多组分测量结果；</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2、特定VOC气体检测范围1ppb—10000ppm；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3、PID传感器准确度高，响应时间&lt;20s；</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4、内设上百种VOC气体校正系数；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5、可以同时配置包括PID在内的7种气体传感器；</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6、ppm和mg/m3单位可自由切换；</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7、流量异常报警；</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8、保存数据可无线蓝牙打印；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9、气体浓度动态曲线显示，方便用户观测污染物变化；</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10、内置大容量锂电池，连续工作时间大于24小时；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11、USB数据线导出存储数据，并可以对仪器充电；</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12、提供专门的数据处理软件；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13、可同时检测可燃气、氧气、有毒气体、挥发性有机化合物；</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14、性能稳定可靠、操作使用简便；</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15、可保存16000组测量数据；</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16、选配土壤开孔器可用于土壤VOCs检测。</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17、仪器需具备定位、授时功能；数据需具备防篡改功能。</w:t>
      </w:r>
      <w:r>
        <w:rPr>
          <w:rFonts w:ascii="宋体" w:hAnsi="宋体" w:cs="宋体"/>
          <w:sz w:val="24"/>
          <w:szCs w:val="24"/>
        </w:rPr>
      </w:r>
      <w:r/>
    </w:p>
    <w:p>
      <w:pPr>
        <w:pStyle w:val="694"/>
        <w:jc w:val="left"/>
        <w:spacing w:line="360" w:lineRule="auto"/>
        <w:rPr>
          <w:rFonts w:ascii="宋体" w:hAnsi="宋体" w:cs="宋体"/>
          <w:szCs w:val="21"/>
        </w:rPr>
      </w:pPr>
      <w:r>
        <w:rPr>
          <w:rFonts w:ascii="宋体" w:hAnsi="宋体" w:cs="宋体"/>
          <w:szCs w:val="21"/>
        </w:rPr>
      </w:r>
      <w:r/>
    </w:p>
    <w:p>
      <w:pPr>
        <w:pStyle w:val="694"/>
        <w:rPr>
          <w:b/>
          <w:bCs/>
          <w:sz w:val="24"/>
        </w:rPr>
      </w:pPr>
      <w:r>
        <w:rPr>
          <w:rFonts w:hint="eastAsia"/>
          <w:b/>
          <w:bCs/>
          <w:sz w:val="24"/>
          <w:szCs w:val="24"/>
        </w:rPr>
        <w:t xml:space="preserve">三、</w:t>
      </w:r>
      <w:r>
        <w:rPr>
          <w:b/>
          <w:bCs/>
          <w:sz w:val="24"/>
          <w:szCs w:val="24"/>
        </w:rPr>
        <w:t xml:space="preserve">便携式X荧光重金属检测仪</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1.设备用途：用于土壤、污泥等介质中重金属元素含量的执法与应急监测现场分析测定，要求测试精度高。</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 技术要求：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2.1检测元素：</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K,Ca,Ti,V,Cr,Mn,Fe,Co,Ni,Cu,Zn,As,Se,Rb,Sr,Y,Zr,Nb,Mo,Ag,Cd,Sn,Sb,W,Re,Pd,Au,Hg,Pb,Bi,Cs,Ba,Th,U等34种元素或以上，并且在仪器屏幕上同时显示34种元素及其含量。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2.2可以储存和显示重金属的种类、含量和测试时间等。储存数据及图谱超过100000个。</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2.3数据传输与处理：蓝牙、USB数据线，也可外接平板电脑、手机专用APP软件连接仪器进行操作使用，方便简单。</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安全系统：设备前端有红外和可见光双探测器，硬件保护，非软件感应到X光后再关闭，测试窗口无样品时，自动关闭X射线，无需外加防辐射罩，具有散热和防辐射泄露的功能，保障使用安全（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2.5防辐射：不含放射性同位素激励源，环保性能强；X射线辐射剂量≤0.06μSV/h。</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2.6无需样品前处理，进行非破坏性分析，短时间快速分析，现场直接分析测定。</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2.7显示屏：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2.7.1屏幕尺寸：4.0-4.8英寸，高亮度彩色电阻屏，不采用直接嵌入PDA和手机的人机交互方式。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▲2.7.2屏幕与主机一体化固定角度设计，显示屏不可活动旋转，屏幕使用寿命更长，不易损坏，更适合现场应用（提供有效的带有CMA或CNAS标志的检测报告或高清图片证明）。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▲2.8操作系统：中文操作界面，专用分析级Android嵌入式实时操作系统，非Windows操作系统，运行速度更快，无病毒侵入隐患，保障数据安全（提供计算机软件类著作权登记证书或高清图片证明）。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2.9工作条件：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2.9.1激发源：高性能微型X射线管，标配银靶，最大电压≥50kV。</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2.9.2探测器: 高性能Si-pin检测器，能量分辨率≤145ev。</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2.9.3工作温度：-20℃～+50℃。</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2.9.4工作湿度：相对湿度＜95%。</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2.9.5仪器具有自动求平均值功能，方便客户现场求平均值。</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2.9.6仪器具有声音提示功能和灯光提示功能，工作时有明显灯光提示。</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2.9.7信号采集处理：光路设计，内置气压传感，根据海拔高度自动调节气压因子，轻元素激发效果相比提高40%，稀土类元素激发效果相比提高30%。</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▲2.9.8散热性：仪器除前端散热头散热以外，仪器自带散热装置提高仪器散热性能，无需频繁等待探测器冷却，提高效率（提供有效的带有CMA或CNAS标志的检测报告或高清图片证明）。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 指标要求：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2.10.1测量时间：≤30s。</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2.10.2检出限：ppm级别。</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2.10.3电池一次充电可连续工作8小时以上。</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2.10.4电池具有剩余电量显示功能，方便现场随时查看电池电量；电池不插入设备可在电池上直接查看电池电量，并且插入设备也可在电池上直接查看电池电量（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2.10.5仪器外置标准片，开机免校准。</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2.10.6仪器可建立有针对性的校正曲线。</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2.10.7全中文集成化软件,便于操作。</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2.11重量:≤1.6 Kg。</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2.12分析模式多样化：具备土壤、工业用地、农业用地等多种模式，能够依据元素结果和内置环境质量标准（可自定义）快速判断样品是否达标，当样品中某种元素测试结果超过内置标准时，软件会进行预警提示（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3仪器需具备定位、授时功能；数据需具备防篡改功能。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4.配置要求：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主机1台、电池2个、充电器1个、USB数据线1条、土壤标样2个、样品杯2盒、316标准块1个、麦拉膜1盒。</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5.售后服务要求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5.1技术人员免费上门安装培训，调试仪器到最佳状态。负责培训操作人员，培训内容为仪器原理，结构、操作、维护、保养、简单维修，软件使用、方法建立、样品测试等。</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5.2负责每台仪器向用户提供五个免费培训名额。为用户方便，培训地点设为用户项目现场,直到用户学习人员学会为止。</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5.3终身维修，如有软件升级，免费提供软件升级。</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5.4仪器设备自验收合格之日起整机保修1年。</w:t>
      </w:r>
      <w:r>
        <w:rPr>
          <w:rFonts w:ascii="宋体" w:hAnsi="宋体" w:cs="宋体"/>
          <w:sz w:val="24"/>
          <w:szCs w:val="24"/>
        </w:rPr>
      </w:r>
      <w:r/>
    </w:p>
    <w:p>
      <w:pPr>
        <w:pStyle w:val="694"/>
        <w:spacing w:line="360" w:lineRule="auto"/>
        <w:rPr>
          <w:rFonts w:ascii="宋体" w:hAnsi="宋体" w:cs="宋体"/>
          <w:sz w:val="24"/>
          <w:szCs w:val="24"/>
        </w:rPr>
      </w:pPr>
      <w:r>
        <w:rPr>
          <w:rFonts w:hint="eastAsia" w:ascii="宋体" w:hAnsi="宋体" w:cs="宋体"/>
          <w:sz w:val="24"/>
          <w:szCs w:val="24"/>
        </w:rPr>
        <w:t xml:space="preserve">5.5提供最有效的技术服务，在收到用户信息后，7*24小时响应，如有必要，24小时内派上门维修和排除故障。</w:t>
      </w:r>
      <w:r>
        <w:rPr>
          <w:rFonts w:ascii="宋体" w:hAnsi="宋体" w:cs="宋体"/>
          <w:sz w:val="24"/>
          <w:szCs w:val="24"/>
        </w:rPr>
      </w:r>
      <w:r/>
    </w:p>
    <w:p>
      <w:pPr>
        <w:pStyle w:val="694"/>
        <w:rPr>
          <w:b/>
          <w:bCs/>
          <w:sz w:val="24"/>
        </w:rPr>
      </w:pPr>
      <w:r>
        <w:rPr>
          <w:b/>
          <w:bCs/>
          <w:sz w:val="24"/>
        </w:rPr>
      </w:r>
      <w:r/>
    </w:p>
    <w:p>
      <w:pPr>
        <w:pStyle w:val="694"/>
        <w:rPr>
          <w:b/>
          <w:bCs/>
          <w:sz w:val="24"/>
        </w:rPr>
      </w:pPr>
      <w:r>
        <w:rPr>
          <w:rFonts w:hint="eastAsia"/>
          <w:b/>
          <w:bCs/>
          <w:sz w:val="24"/>
          <w:szCs w:val="24"/>
        </w:rPr>
        <w:t xml:space="preserve">四、</w:t>
      </w:r>
      <w:r>
        <w:rPr>
          <w:b/>
          <w:bCs/>
          <w:sz w:val="24"/>
          <w:szCs w:val="24"/>
        </w:rPr>
        <w:t xml:space="preserve">便携式pH计</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pH级别</w:t>
      </w:r>
      <w:r>
        <w:rPr>
          <w:rFonts w:hint="eastAsia" w:ascii="宋体" w:hAnsi="宋体" w:cs="宋体"/>
          <w:sz w:val="24"/>
          <w:szCs w:val="24"/>
        </w:rPr>
        <w:t xml:space="preserve">：</w:t>
      </w:r>
      <w:r>
        <w:rPr>
          <w:rFonts w:ascii="宋体" w:hAnsi="宋体" w:cs="宋体"/>
          <w:sz w:val="24"/>
          <w:szCs w:val="24"/>
        </w:rPr>
        <w:t xml:space="preserve">0.001级</w:t>
      </w:r>
      <w:r/>
    </w:p>
    <w:p>
      <w:pPr>
        <w:pStyle w:val="694"/>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测量参数</w:t>
      </w:r>
      <w:r>
        <w:rPr>
          <w:rFonts w:hint="eastAsia" w:ascii="宋体" w:hAnsi="宋体" w:cs="宋体"/>
          <w:sz w:val="24"/>
          <w:szCs w:val="24"/>
        </w:rPr>
        <w:t xml:space="preserve">：</w:t>
      </w:r>
      <w:r>
        <w:rPr>
          <w:rFonts w:ascii="宋体" w:hAnsi="宋体" w:cs="宋体"/>
          <w:sz w:val="24"/>
          <w:szCs w:val="24"/>
        </w:rPr>
        <w:t xml:space="preserve">pH，ORP，mV，温度</w:t>
      </w:r>
      <w:r/>
    </w:p>
    <w:p>
      <w:pPr>
        <w:pStyle w:val="694"/>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mV范围</w:t>
      </w:r>
      <w:r>
        <w:rPr>
          <w:rFonts w:hint="eastAsia" w:ascii="宋体" w:hAnsi="宋体" w:cs="宋体"/>
          <w:sz w:val="24"/>
          <w:szCs w:val="24"/>
        </w:rPr>
        <w:t xml:space="preserve">：</w:t>
      </w:r>
      <w:r>
        <w:rPr>
          <w:rFonts w:ascii="宋体" w:hAnsi="宋体" w:cs="宋体"/>
          <w:sz w:val="24"/>
          <w:szCs w:val="24"/>
        </w:rPr>
        <w:t xml:space="preserve">（-2000.00～2000.00）mV</w:t>
      </w:r>
      <w:r/>
    </w:p>
    <w:p>
      <w:pPr>
        <w:pStyle w:val="694"/>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0.01mV</w:t>
      </w:r>
      <w:r/>
    </w:p>
    <w:p>
      <w:pPr>
        <w:pStyle w:val="694"/>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±0.03%或±0.1mV</w:t>
      </w:r>
      <w:r/>
    </w:p>
    <w:p>
      <w:pPr>
        <w:pStyle w:val="694"/>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pH范围</w:t>
      </w:r>
      <w:r>
        <w:rPr>
          <w:rFonts w:hint="eastAsia" w:ascii="宋体" w:hAnsi="宋体" w:cs="宋体"/>
          <w:sz w:val="24"/>
          <w:szCs w:val="24"/>
        </w:rPr>
        <w:t xml:space="preserve">：</w:t>
      </w:r>
      <w:r>
        <w:rPr>
          <w:rFonts w:ascii="宋体" w:hAnsi="宋体" w:cs="宋体"/>
          <w:sz w:val="24"/>
          <w:szCs w:val="24"/>
        </w:rPr>
        <w:t xml:space="preserve">（-2.000～20.000）pH</w:t>
      </w:r>
      <w:r/>
    </w:p>
    <w:p>
      <w:pPr>
        <w:pStyle w:val="694"/>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0.001pH</w:t>
      </w:r>
      <w:r/>
    </w:p>
    <w:p>
      <w:pPr>
        <w:pStyle w:val="694"/>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±0.002pH</w:t>
      </w:r>
      <w:r/>
    </w:p>
    <w:p>
      <w:pPr>
        <w:pStyle w:val="694"/>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温度范围</w:t>
      </w:r>
      <w:r>
        <w:rPr>
          <w:rFonts w:hint="eastAsia" w:ascii="宋体" w:hAnsi="宋体" w:cs="宋体"/>
          <w:sz w:val="24"/>
          <w:szCs w:val="24"/>
        </w:rPr>
        <w:t xml:space="preserve">：</w:t>
      </w:r>
      <w:r>
        <w:rPr>
          <w:rFonts w:ascii="宋体" w:hAnsi="宋体" w:cs="宋体"/>
          <w:sz w:val="24"/>
          <w:szCs w:val="24"/>
        </w:rPr>
        <w:t xml:space="preserve">（-10.0～135.0）℃/（14.0～275.0） °F</w:t>
      </w:r>
      <w:r/>
    </w:p>
    <w:p>
      <w:pPr>
        <w:pStyle w:val="694"/>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0.1℃/0.1°F</w:t>
      </w:r>
      <w:r/>
    </w:p>
    <w:p>
      <w:pPr>
        <w:pStyle w:val="694"/>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±0.1℃</w:t>
      </w:r>
      <w:r/>
    </w:p>
    <w:p>
      <w:pPr>
        <w:pStyle w:val="694"/>
        <w:jc w:val="left"/>
        <w:spacing w:line="360" w:lineRule="auto"/>
        <w:rPr>
          <w:rFonts w:ascii="宋体" w:hAnsi="宋体" w:cs="宋体"/>
          <w:sz w:val="24"/>
          <w:szCs w:val="24"/>
        </w:rPr>
      </w:pPr>
      <w:r>
        <w:rPr>
          <w:rFonts w:ascii="宋体" w:hAnsi="宋体" w:cs="宋体"/>
          <w:sz w:val="24"/>
          <w:szCs w:val="24"/>
        </w:rPr>
        <w:tab/>
        <w:t xml:space="preserve">仪器示值误差</w:t>
      </w:r>
      <w:r>
        <w:rPr>
          <w:rFonts w:hint="eastAsia" w:ascii="宋体" w:hAnsi="宋体" w:cs="宋体"/>
          <w:sz w:val="24"/>
          <w:szCs w:val="24"/>
        </w:rPr>
        <w:t xml:space="preserve">：</w:t>
      </w:r>
      <w:r>
        <w:rPr>
          <w:rFonts w:ascii="宋体" w:hAnsi="宋体" w:cs="宋体"/>
          <w:sz w:val="24"/>
          <w:szCs w:val="24"/>
        </w:rPr>
        <w:t xml:space="preserve">±0.3℃（0.0℃~60.0℃），±1.0℃（其他范围）</w:t>
      </w:r>
      <w:r/>
    </w:p>
    <w:p>
      <w:pPr>
        <w:pStyle w:val="694"/>
        <w:numPr>
          <w:ilvl w:val="0"/>
          <w:numId w:val="14"/>
        </w:numPr>
        <w:ind w:left="907" w:hanging="907"/>
        <w:jc w:val="left"/>
        <w:spacing w:line="360" w:lineRule="auto"/>
        <w:rPr>
          <w:rFonts w:ascii="宋体" w:hAnsi="宋体" w:cs="宋体"/>
          <w:sz w:val="24"/>
          <w:szCs w:val="24"/>
        </w:rPr>
      </w:pPr>
      <w:r>
        <w:rPr>
          <w:rFonts w:ascii="宋体" w:hAnsi="宋体" w:cs="宋体"/>
          <w:sz w:val="24"/>
          <w:szCs w:val="24"/>
        </w:rPr>
        <w:t xml:space="preserve">电源</w:t>
      </w:r>
      <w:r>
        <w:rPr>
          <w:rFonts w:hint="eastAsia" w:ascii="宋体" w:hAnsi="宋体" w:cs="宋体"/>
          <w:sz w:val="24"/>
          <w:szCs w:val="24"/>
        </w:rPr>
        <w:t xml:space="preserve">：</w:t>
      </w:r>
      <w:r>
        <w:rPr>
          <w:rFonts w:ascii="宋体" w:hAnsi="宋体" w:cs="宋体"/>
          <w:sz w:val="24"/>
          <w:szCs w:val="24"/>
        </w:rPr>
        <w:t xml:space="preserve">可充锂电池，电源适配器（输入：AC（100~240）V，输出：DC5V）</w:t>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7、仪器需具备定位、授时功能；数据需具备防篡改功能。</w:t>
      </w:r>
      <w:r>
        <w:rPr>
          <w:rFonts w:ascii="宋体" w:hAnsi="宋体" w:cs="宋体"/>
          <w:sz w:val="24"/>
          <w:szCs w:val="24"/>
        </w:rPr>
      </w:r>
      <w:r/>
    </w:p>
    <w:p>
      <w:pPr>
        <w:pStyle w:val="694"/>
        <w:rPr>
          <w:b/>
          <w:bCs/>
          <w:sz w:val="24"/>
          <w:szCs w:val="24"/>
        </w:rPr>
      </w:pPr>
      <w:r>
        <w:rPr>
          <w:b/>
          <w:bCs/>
          <w:sz w:val="24"/>
          <w:szCs w:val="24"/>
        </w:rPr>
      </w:r>
      <w:r/>
    </w:p>
    <w:p>
      <w:pPr>
        <w:pStyle w:val="694"/>
        <w:rPr>
          <w:b/>
          <w:bCs/>
          <w:sz w:val="24"/>
          <w:szCs w:val="24"/>
        </w:rPr>
      </w:pPr>
      <w:r>
        <w:rPr>
          <w:rFonts w:hint="eastAsia"/>
          <w:b/>
          <w:bCs/>
          <w:sz w:val="24"/>
          <w:szCs w:val="24"/>
        </w:rPr>
        <w:t xml:space="preserve">五、</w:t>
      </w:r>
      <w:r>
        <w:rPr>
          <w:b/>
          <w:bCs/>
          <w:sz w:val="24"/>
          <w:szCs w:val="24"/>
        </w:rPr>
        <w:t xml:space="preserve">便携式烟尘/气浓度监测仪</w:t>
      </w:r>
      <w:r/>
    </w:p>
    <w:p>
      <w:pPr>
        <w:pStyle w:val="694"/>
        <w:jc w:val="left"/>
        <w:spacing w:line="360" w:lineRule="auto"/>
        <w:rPr>
          <w:rFonts w:ascii="宋体" w:hAnsi="宋体" w:cs="宋体"/>
          <w:sz w:val="24"/>
          <w:szCs w:val="24"/>
        </w:rPr>
      </w:pPr>
      <w:r>
        <w:rPr>
          <w:rFonts w:hint="eastAsia" w:ascii="宋体" w:hAnsi="宋体" w:cs="宋体"/>
          <w:sz w:val="24"/>
          <w:szCs w:val="24"/>
        </w:rPr>
        <w:t xml:space="preserve">▲1.采用一体化设计，集烟尘采样泵、β射线烟尘检测单元、烟气采样泵、烟气预处理单元、烟气传感器、烟温传感器、湿度传感器、S型皮托管于一体，无需外接主机，即可实现烟尘烟气以及工况同测功能。（需提供实物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2.采用低活度的14C β射线豁免源，衰变过程稳定，辐射剂量低，安全可靠。</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3.内置定电位电解式传感模块，集成智能抗干扰补偿算法，实现烟气多组分实时精准监测。</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4.内置高效烟气预处理装置，应对高湿工况，可有效去除烟气水分，提高烟气检测精度。</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5.具有定时自动排水功能，可依据预设时间间隔，自动完成排水，无需人工干预。</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6.具有烟温、流速、压力、含湿量、含氧量全工况监测功能。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▲7.配置不低于5英寸触摸手操器，可无线操控仪器，并且手操器需具备打印功能。（需提供实物照片作为证明材料）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▲8.烟气分析具有烟道内校零及清洗功能，无需将取样管取出。</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9.测量数据自动生成二维码，扫码即可实现数据导出。</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▲10.可选激光测距功能，能自动计算测点位置，可根据取样管长度等参数计算出采样头探入深度。（需提供实物及软件界面照片作为证明材料）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▲11.内置陀螺仪，具有角度检测功能，显示采样嘴偏离角度，确保采样精度。（需提供软件界面照片作为证明材料）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▲12.滤带前后位双重加热，提升滤膜烘干效率，防止烟气冷凝对测量结果造成影响。（需提供实物照片作为证明材料）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13.取样管采用对接设计，可实现快速拆装，且可多角度转动，方便运输和使用。</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14.内置式皮托管，采用模块化设计，方便拆卸和维修。</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15.烟气采样管和过滤器内置，烟尘和烟气采样管路独立设计。</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▲16.取样管与主机之间的烟气管采用对接设计，无需外接管路，避免管路外接造成的烟气冷凝。（需提供实物照片作为证明材料）</w:t>
      </w:r>
      <w:r>
        <w:rPr>
          <w:rFonts w:ascii="宋体" w:hAnsi="宋体" w:cs="宋体"/>
          <w:sz w:val="24"/>
          <w:szCs w:val="24"/>
        </w:rPr>
      </w:r>
      <w:r/>
    </w:p>
    <w:p>
      <w:pPr>
        <w:pStyle w:val="694"/>
        <w:numPr>
          <w:ilvl w:val="0"/>
          <w:numId w:val="15"/>
        </w:numPr>
        <w:jc w:val="left"/>
        <w:spacing w:line="360" w:lineRule="auto"/>
        <w:rPr>
          <w:rFonts w:ascii="宋体" w:hAnsi="宋体" w:cs="宋体"/>
          <w:sz w:val="24"/>
          <w:szCs w:val="24"/>
        </w:rPr>
      </w:pPr>
      <w:r>
        <w:rPr>
          <w:rFonts w:hint="eastAsia" w:ascii="宋体" w:hAnsi="宋体" w:cs="宋体"/>
          <w:sz w:val="24"/>
          <w:szCs w:val="24"/>
        </w:rPr>
        <w:t xml:space="preserve">内部集成阻容法湿度传感单元，可实时检测烟气含湿量。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18.仪器需具备定位、授时功能；数据需具备防篡改功能。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技术指标烟尘部分</w:t>
      </w:r>
      <w:r>
        <w:rPr>
          <w:rFonts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2550"/>
        <w:gridCol w:w="1236"/>
        <w:gridCol w:w="2959"/>
      </w:tblGrid>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主要参数</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参数范围</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分辨率</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准确度</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流量范围</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（5～60)L/min</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0.1L/min</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浓度范围</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（0～50)mg/m3</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0.01mg/m</w:t>
            </w:r>
            <w:r>
              <w:rPr>
                <w:rFonts w:hint="eastAsia" w:ascii="宋体" w:hAnsi="宋体" w:cs="宋体"/>
                <w:sz w:val="24"/>
                <w:szCs w:val="24"/>
                <w:vertAlign w:val="superscript"/>
              </w:rPr>
              <w:t xml:space="preserve">3</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不超过±20%</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取样管伴热温度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不超过±10℃</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滤膜加热温度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烟气动压</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（0～2000)Pa</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1Pa</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烟气静压</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（-30～+30)kPa</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0.01kPa</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大气压</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（50～130）kPa</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0.01kPa</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不超过±500Pa</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流量计前温度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(-55～125)℃</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烟气温度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(0～500)℃</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不超过±3%</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等速采样流速</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（5～45)m/s</w:t>
            </w:r>
            <w:r>
              <w:rPr>
                <w:sz w:val="24"/>
                <w:szCs w:val="24"/>
              </w:rPr>
            </w:r>
            <w:r/>
          </w:p>
        </w:tc>
        <w:tc>
          <w:tcPr>
            <w:tcW w:w="123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0.1m/s</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786" w:type="dxa"/>
            <w:vAlign w:val="center"/>
            <w:textDirection w:val="lrTb"/>
            <w:noWrap w:val="false"/>
          </w:tcPr>
          <w:p>
            <w:pPr>
              <w:pStyle w:val="694"/>
              <w:jc w:val="left"/>
              <w:spacing w:line="360" w:lineRule="auto"/>
              <w:rPr>
                <w:sz w:val="24"/>
                <w:szCs w:val="24"/>
              </w:rPr>
            </w:pPr>
            <w:r>
              <w:rPr>
                <w:rFonts w:hint="eastAsia" w:ascii="宋体" w:hAnsi="宋体" w:cs="宋体"/>
                <w:sz w:val="24"/>
                <w:szCs w:val="24"/>
              </w:rPr>
              <w:t xml:space="preserve">含湿量</w:t>
            </w:r>
            <w:r>
              <w:rPr>
                <w:sz w:val="24"/>
                <w:szCs w:val="24"/>
              </w:rPr>
            </w:r>
            <w:r/>
          </w:p>
        </w:tc>
        <w:tc>
          <w:tcPr>
            <w:tcW w:w="2550" w:type="dxa"/>
            <w:vAlign w:val="center"/>
            <w:textDirection w:val="lrTb"/>
            <w:noWrap w:val="false"/>
          </w:tcPr>
          <w:p>
            <w:pPr>
              <w:pStyle w:val="694"/>
              <w:jc w:val="left"/>
              <w:spacing w:line="360" w:lineRule="auto"/>
              <w:rPr>
                <w:sz w:val="24"/>
                <w:szCs w:val="24"/>
              </w:rPr>
            </w:pPr>
            <w:r>
              <w:rPr>
                <w:rFonts w:hint="eastAsia" w:ascii="宋体" w:hAnsi="宋体" w:cs="宋体"/>
                <w:sz w:val="24"/>
                <w:szCs w:val="24"/>
              </w:rPr>
              <w:t xml:space="preserve">（0～40)%</w:t>
            </w:r>
            <w:r>
              <w:rPr>
                <w:sz w:val="24"/>
                <w:szCs w:val="24"/>
              </w:rPr>
            </w:r>
            <w:r/>
          </w:p>
        </w:tc>
        <w:tc>
          <w:tcPr>
            <w:tcW w:w="1236" w:type="dxa"/>
            <w:vAlign w:val="center"/>
            <w:textDirection w:val="lrTb"/>
            <w:noWrap w:val="false"/>
          </w:tcPr>
          <w:p>
            <w:pPr>
              <w:pStyle w:val="694"/>
              <w:jc w:val="left"/>
              <w:spacing w:line="360" w:lineRule="auto"/>
              <w:rPr>
                <w:sz w:val="24"/>
                <w:szCs w:val="24"/>
              </w:rPr>
            </w:pPr>
            <w:r>
              <w:rPr>
                <w:rFonts w:hint="eastAsia" w:ascii="宋体" w:hAnsi="宋体" w:cs="宋体"/>
                <w:sz w:val="24"/>
                <w:szCs w:val="24"/>
              </w:rPr>
              <w:t xml:space="preserve">0.01%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≤5%时，绝对误差不超过±0.75%；＞5%时，相对误差不超过±15%</w:t>
            </w:r>
            <w:r>
              <w:rPr>
                <w:sz w:val="24"/>
                <w:szCs w:val="24"/>
              </w:rPr>
            </w:r>
            <w:r/>
          </w:p>
        </w:tc>
      </w:tr>
    </w:tbl>
    <w:p>
      <w:pPr>
        <w:pStyle w:val="694"/>
        <w:jc w:val="left"/>
        <w:spacing w:line="360" w:lineRule="auto"/>
        <w:rPr>
          <w:rFonts w:ascii="宋体" w:hAnsi="宋体" w:cs="宋体"/>
          <w:sz w:val="24"/>
          <w:szCs w:val="24"/>
        </w:rPr>
      </w:pPr>
      <w:r>
        <w:rPr>
          <w:rFonts w:hint="eastAsia" w:ascii="宋体" w:hAnsi="宋体" w:cs="宋体"/>
          <w:sz w:val="24"/>
          <w:szCs w:val="24"/>
        </w:rPr>
        <w:t xml:space="preserve">测孔直径要求</w:t>
        <w:tab/>
        <w:t xml:space="preserve">≥φ60mm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采样嘴型号</w:t>
        <w:tab/>
        <w:t xml:space="preserve">φ4.5、φ6、φ7、φ8、φ10、φ12</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取样管长度</w:t>
        <w:tab/>
        <w:t xml:space="preserve">总长1.5m，有效长度1.3m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皮托管系数</w:t>
        <w:tab/>
        <w:t xml:space="preserve">0.84±0.01</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滤带规格</w:t>
        <w:tab/>
        <w:t xml:space="preserve">宽30mm，长3.5m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校准方式</w:t>
        <w:tab/>
        <w:t xml:space="preserve">标准膜校准</w:t>
      </w:r>
      <w:r>
        <w:rPr>
          <w:rFonts w:ascii="宋体" w:hAnsi="宋体" w:cs="宋体"/>
          <w:sz w:val="24"/>
          <w:szCs w:val="24"/>
        </w:rPr>
      </w:r>
      <w:r/>
    </w:p>
    <w:p>
      <w:pPr>
        <w:pStyle w:val="694"/>
        <w:jc w:val="left"/>
        <w:spacing w:line="360" w:lineRule="auto"/>
        <w:rPr>
          <w:b/>
          <w:bCs/>
          <w:sz w:val="24"/>
          <w:szCs w:val="24"/>
        </w:rPr>
      </w:pPr>
      <w:r>
        <w:rPr>
          <w:rFonts w:hint="eastAsia" w:ascii="宋体" w:hAnsi="宋体" w:cs="宋体"/>
          <w:sz w:val="24"/>
          <w:szCs w:val="24"/>
        </w:rPr>
        <w:t xml:space="preserve">标准配置:主机、取样管、仪器专用包、电源适配器、手操器、三脚架。</w:t>
      </w:r>
      <w:r>
        <w:rPr>
          <w:b/>
          <w:bCs/>
          <w:sz w:val="24"/>
          <w:szCs w:val="24"/>
        </w:rPr>
      </w:r>
      <w:r/>
    </w:p>
    <w:p>
      <w:pPr>
        <w:pStyle w:val="694"/>
        <w:rPr>
          <w:b/>
          <w:bCs/>
          <w:sz w:val="24"/>
          <w:szCs w:val="24"/>
        </w:rPr>
      </w:pPr>
      <w:r>
        <w:rPr>
          <w:rFonts w:hint="eastAsia"/>
          <w:b/>
          <w:bCs/>
          <w:sz w:val="24"/>
          <w:szCs w:val="24"/>
        </w:rPr>
        <w:t xml:space="preserve">六、</w:t>
      </w:r>
      <w:r>
        <w:rPr>
          <w:b/>
          <w:bCs/>
          <w:sz w:val="24"/>
          <w:szCs w:val="24"/>
        </w:rPr>
        <w:t xml:space="preserve">BOD培养箱</w:t>
      </w:r>
      <w:r/>
    </w:p>
    <w:p>
      <w:pPr>
        <w:pStyle w:val="694"/>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材质：不锈钢</w:t>
      </w:r>
      <w:r>
        <w:rPr>
          <w:rFonts w:ascii="宋体" w:hAnsi="宋体" w:cs="宋体"/>
          <w:sz w:val="24"/>
          <w:szCs w:val="24"/>
        </w:rPr>
      </w:r>
      <w:r/>
    </w:p>
    <w:p>
      <w:pPr>
        <w:pStyle w:val="694"/>
        <w:jc w:val="left"/>
        <w:spacing w:line="360" w:lineRule="auto"/>
        <w:rPr>
          <w:rFonts w:ascii="宋体" w:hAnsi="宋体" w:cs="宋体"/>
          <w:sz w:val="24"/>
          <w:szCs w:val="24"/>
        </w:rPr>
      </w:pPr>
      <w:r>
        <w:rPr>
          <w:rFonts w:ascii="宋体" w:hAnsi="宋体" w:cs="宋体"/>
          <w:sz w:val="24"/>
          <w:szCs w:val="24"/>
        </w:rPr>
        <w:t xml:space="preserve">2.方式：强制对流、顶置匀风系统</w:t>
      </w:r>
      <w:r/>
    </w:p>
    <w:p>
      <w:pPr>
        <w:pStyle w:val="694"/>
        <w:jc w:val="left"/>
        <w:spacing w:line="360" w:lineRule="auto"/>
        <w:rPr>
          <w:rFonts w:ascii="宋体" w:hAnsi="宋体" w:cs="宋体"/>
          <w:sz w:val="24"/>
          <w:szCs w:val="24"/>
        </w:rPr>
      </w:pPr>
      <w:r>
        <w:rPr>
          <w:rFonts w:ascii="宋体" w:hAnsi="宋体" w:cs="宋体"/>
          <w:sz w:val="24"/>
          <w:szCs w:val="24"/>
        </w:rPr>
        <w:t xml:space="preserve">3.使用温度范围：0-65℃</w:t>
      </w:r>
      <w:r/>
    </w:p>
    <w:p>
      <w:pPr>
        <w:pStyle w:val="694"/>
        <w:jc w:val="left"/>
        <w:spacing w:line="360" w:lineRule="auto"/>
        <w:rPr>
          <w:rFonts w:ascii="宋体" w:hAnsi="宋体" w:cs="宋体"/>
          <w:sz w:val="24"/>
          <w:szCs w:val="24"/>
        </w:rPr>
      </w:pPr>
      <w:r>
        <w:rPr>
          <w:rFonts w:ascii="宋体" w:hAnsi="宋体" w:cs="宋体"/>
          <w:sz w:val="24"/>
          <w:szCs w:val="24"/>
        </w:rPr>
        <w:t xml:space="preserve">4.温度分辨率：0.1℃</w:t>
      </w:r>
      <w:r/>
    </w:p>
    <w:p>
      <w:pPr>
        <w:pStyle w:val="694"/>
        <w:jc w:val="left"/>
        <w:spacing w:line="360" w:lineRule="auto"/>
        <w:rPr>
          <w:rFonts w:ascii="宋体" w:hAnsi="宋体" w:cs="宋体"/>
          <w:sz w:val="24"/>
          <w:szCs w:val="24"/>
        </w:rPr>
      </w:pPr>
      <w:r>
        <w:rPr>
          <w:rFonts w:ascii="宋体" w:hAnsi="宋体" w:cs="宋体"/>
          <w:sz w:val="24"/>
          <w:szCs w:val="24"/>
        </w:rPr>
        <w:t xml:space="preserve">5.温度波动度：±0.5℃    </w:t>
      </w:r>
      <w:r/>
    </w:p>
    <w:p>
      <w:pPr>
        <w:pStyle w:val="694"/>
        <w:jc w:val="left"/>
        <w:spacing w:line="360" w:lineRule="auto"/>
        <w:rPr>
          <w:rFonts w:ascii="宋体" w:hAnsi="宋体" w:cs="宋体"/>
          <w:sz w:val="24"/>
          <w:szCs w:val="24"/>
        </w:rPr>
      </w:pPr>
      <w:r>
        <w:rPr>
          <w:rFonts w:ascii="宋体" w:hAnsi="宋体" w:cs="宋体"/>
          <w:sz w:val="24"/>
          <w:szCs w:val="24"/>
        </w:rPr>
        <w:t xml:space="preserve">6.温度分布精度：±0.8℃(测试点37℃）</w:t>
      </w:r>
      <w:r/>
    </w:p>
    <w:p>
      <w:pPr>
        <w:pStyle w:val="694"/>
        <w:jc w:val="left"/>
        <w:spacing w:line="360" w:lineRule="auto"/>
        <w:rPr>
          <w:rFonts w:ascii="宋体" w:hAnsi="宋体" w:cs="宋体"/>
          <w:sz w:val="24"/>
          <w:szCs w:val="24"/>
        </w:rPr>
      </w:pPr>
      <w:r>
        <w:rPr>
          <w:rFonts w:ascii="宋体" w:hAnsi="宋体" w:cs="宋体"/>
          <w:sz w:val="24"/>
          <w:szCs w:val="24"/>
        </w:rPr>
        <w:t xml:space="preserve">7.工作环境：室温+5~35℃</w:t>
      </w:r>
      <w:r/>
    </w:p>
    <w:p>
      <w:pPr>
        <w:pStyle w:val="694"/>
        <w:jc w:val="left"/>
        <w:spacing w:line="360" w:lineRule="auto"/>
        <w:rPr>
          <w:rFonts w:ascii="宋体" w:hAnsi="宋体" w:cs="宋体"/>
          <w:sz w:val="24"/>
          <w:szCs w:val="24"/>
        </w:rPr>
      </w:pPr>
      <w:r>
        <w:rPr>
          <w:rFonts w:ascii="宋体" w:hAnsi="宋体" w:cs="宋体"/>
          <w:sz w:val="24"/>
          <w:szCs w:val="24"/>
        </w:rPr>
        <w:t xml:space="preserve">8.内装：镜面不锈钢板</w:t>
      </w:r>
      <w:r/>
    </w:p>
    <w:p>
      <w:pPr>
        <w:pStyle w:val="694"/>
        <w:jc w:val="left"/>
        <w:spacing w:line="360" w:lineRule="auto"/>
        <w:rPr>
          <w:rFonts w:ascii="宋体" w:hAnsi="宋体" w:cs="宋体"/>
          <w:sz w:val="24"/>
          <w:szCs w:val="24"/>
        </w:rPr>
      </w:pPr>
      <w:r>
        <w:rPr>
          <w:rFonts w:ascii="宋体" w:hAnsi="宋体" w:cs="宋体"/>
          <w:sz w:val="24"/>
          <w:szCs w:val="24"/>
        </w:rPr>
        <w:t xml:space="preserve">9.外装：冷轧钢板，表面耐药品涂装</w:t>
      </w:r>
      <w:r/>
    </w:p>
    <w:p>
      <w:pPr>
        <w:pStyle w:val="694"/>
        <w:jc w:val="left"/>
        <w:spacing w:line="360" w:lineRule="auto"/>
        <w:rPr>
          <w:rFonts w:ascii="宋体" w:hAnsi="宋体" w:cs="宋体"/>
          <w:sz w:val="24"/>
          <w:szCs w:val="24"/>
        </w:rPr>
      </w:pPr>
      <w:r>
        <w:rPr>
          <w:rFonts w:ascii="宋体" w:hAnsi="宋体" w:cs="宋体"/>
          <w:sz w:val="24"/>
          <w:szCs w:val="24"/>
        </w:rPr>
        <w:t xml:space="preserve">10.断热材：橡塑海绵</w:t>
      </w:r>
      <w:r/>
    </w:p>
    <w:p>
      <w:pPr>
        <w:pStyle w:val="694"/>
        <w:jc w:val="left"/>
        <w:spacing w:line="360" w:lineRule="auto"/>
        <w:rPr>
          <w:rFonts w:ascii="宋体" w:hAnsi="宋体" w:cs="宋体"/>
          <w:sz w:val="24"/>
          <w:szCs w:val="24"/>
        </w:rPr>
      </w:pPr>
      <w:r>
        <w:rPr>
          <w:rFonts w:ascii="宋体" w:hAnsi="宋体" w:cs="宋体"/>
          <w:sz w:val="24"/>
          <w:szCs w:val="24"/>
        </w:rPr>
        <w:t xml:space="preserve">11.加热器：不锈钢加热管</w:t>
      </w:r>
      <w:r/>
    </w:p>
    <w:p>
      <w:pPr>
        <w:pStyle w:val="694"/>
        <w:jc w:val="left"/>
        <w:spacing w:line="360" w:lineRule="auto"/>
        <w:rPr>
          <w:rFonts w:ascii="宋体" w:hAnsi="宋体" w:cs="宋体"/>
          <w:sz w:val="24"/>
          <w:szCs w:val="24"/>
        </w:rPr>
      </w:pPr>
      <w:r>
        <w:rPr>
          <w:rFonts w:ascii="宋体" w:hAnsi="宋体" w:cs="宋体"/>
          <w:sz w:val="24"/>
          <w:szCs w:val="24"/>
        </w:rPr>
        <w:t xml:space="preserve">12.加热功率：600w</w:t>
      </w:r>
      <w:r/>
    </w:p>
    <w:p>
      <w:pPr>
        <w:pStyle w:val="694"/>
        <w:jc w:val="left"/>
        <w:spacing w:line="360" w:lineRule="auto"/>
        <w:rPr>
          <w:rFonts w:ascii="宋体" w:hAnsi="宋体" w:cs="宋体"/>
          <w:sz w:val="24"/>
          <w:szCs w:val="24"/>
        </w:rPr>
      </w:pPr>
      <w:r>
        <w:rPr>
          <w:rFonts w:ascii="宋体" w:hAnsi="宋体" w:cs="宋体"/>
          <w:sz w:val="24"/>
          <w:szCs w:val="24"/>
        </w:rPr>
        <w:t xml:space="preserve">13.压缩机功率：114W</w:t>
      </w:r>
      <w:r/>
    </w:p>
    <w:p>
      <w:pPr>
        <w:pStyle w:val="694"/>
        <w:jc w:val="left"/>
        <w:spacing w:line="360" w:lineRule="auto"/>
        <w:rPr>
          <w:rFonts w:ascii="宋体" w:hAnsi="宋体" w:cs="宋体"/>
          <w:sz w:val="24"/>
          <w:szCs w:val="24"/>
        </w:rPr>
      </w:pPr>
      <w:r>
        <w:rPr>
          <w:rFonts w:ascii="宋体" w:hAnsi="宋体" w:cs="宋体"/>
          <w:sz w:val="24"/>
          <w:szCs w:val="24"/>
        </w:rPr>
        <w:t xml:space="preserve">14.最大功率：800W</w:t>
      </w:r>
      <w:r/>
    </w:p>
    <w:p>
      <w:pPr>
        <w:pStyle w:val="694"/>
        <w:jc w:val="left"/>
        <w:spacing w:line="360" w:lineRule="auto"/>
        <w:rPr>
          <w:rFonts w:ascii="宋体" w:hAnsi="宋体" w:cs="宋体"/>
          <w:sz w:val="24"/>
          <w:szCs w:val="24"/>
        </w:rPr>
      </w:pPr>
      <w:r>
        <w:rPr>
          <w:rFonts w:ascii="宋体" w:hAnsi="宋体" w:cs="宋体"/>
          <w:sz w:val="24"/>
          <w:szCs w:val="24"/>
        </w:rPr>
        <w:t xml:space="preserve">15.压缩机：风冷密闭压缩机</w:t>
      </w:r>
      <w:r/>
    </w:p>
    <w:p>
      <w:pPr>
        <w:pStyle w:val="694"/>
        <w:jc w:val="left"/>
        <w:spacing w:line="360" w:lineRule="auto"/>
        <w:rPr>
          <w:rFonts w:ascii="宋体" w:hAnsi="宋体" w:cs="宋体"/>
          <w:sz w:val="24"/>
          <w:szCs w:val="24"/>
        </w:rPr>
      </w:pPr>
      <w:r>
        <w:rPr>
          <w:rFonts w:ascii="宋体" w:hAnsi="宋体" w:cs="宋体"/>
          <w:sz w:val="24"/>
          <w:szCs w:val="24"/>
        </w:rPr>
        <w:t xml:space="preserve">16.制冷剂：R134A</w:t>
      </w:r>
      <w:r/>
    </w:p>
    <w:p>
      <w:pPr>
        <w:pStyle w:val="694"/>
        <w:jc w:val="left"/>
        <w:spacing w:line="360" w:lineRule="auto"/>
        <w:rPr>
          <w:rFonts w:ascii="宋体" w:hAnsi="宋体" w:cs="宋体"/>
          <w:sz w:val="24"/>
          <w:szCs w:val="24"/>
        </w:rPr>
      </w:pPr>
      <w:r>
        <w:rPr>
          <w:rFonts w:ascii="宋体" w:hAnsi="宋体" w:cs="宋体"/>
          <w:sz w:val="24"/>
          <w:szCs w:val="24"/>
        </w:rPr>
        <w:t xml:space="preserve">17.除霜构造：自动</w:t>
      </w:r>
      <w:r/>
    </w:p>
    <w:p>
      <w:pPr>
        <w:pStyle w:val="694"/>
        <w:jc w:val="left"/>
        <w:spacing w:line="360" w:lineRule="auto"/>
        <w:rPr>
          <w:rFonts w:ascii="宋体" w:hAnsi="宋体" w:cs="宋体"/>
          <w:sz w:val="24"/>
          <w:szCs w:val="24"/>
        </w:rPr>
      </w:pPr>
      <w:r>
        <w:rPr>
          <w:rFonts w:ascii="宋体" w:hAnsi="宋体" w:cs="宋体"/>
          <w:sz w:val="24"/>
          <w:szCs w:val="24"/>
        </w:rPr>
        <w:t xml:space="preserve">18.引线孔：内径52mm一个</w:t>
      </w:r>
      <w:r/>
    </w:p>
    <w:p>
      <w:pPr>
        <w:pStyle w:val="694"/>
        <w:jc w:val="left"/>
        <w:spacing w:line="360" w:lineRule="auto"/>
        <w:rPr>
          <w:rFonts w:ascii="宋体" w:hAnsi="宋体" w:cs="宋体"/>
          <w:sz w:val="24"/>
          <w:szCs w:val="24"/>
        </w:rPr>
      </w:pPr>
      <w:r>
        <w:rPr>
          <w:rFonts w:ascii="宋体" w:hAnsi="宋体" w:cs="宋体"/>
          <w:sz w:val="24"/>
          <w:szCs w:val="24"/>
        </w:rPr>
        <w:t xml:space="preserve">19.外置电源：外置五孔插座1个</w:t>
      </w:r>
      <w:r/>
    </w:p>
    <w:p>
      <w:pPr>
        <w:pStyle w:val="694"/>
        <w:jc w:val="left"/>
        <w:spacing w:line="360" w:lineRule="auto"/>
        <w:rPr>
          <w:rFonts w:ascii="宋体" w:hAnsi="宋体" w:cs="宋体"/>
          <w:sz w:val="24"/>
          <w:szCs w:val="24"/>
        </w:rPr>
      </w:pPr>
      <w:r>
        <w:rPr>
          <w:rFonts w:ascii="宋体" w:hAnsi="宋体" w:cs="宋体"/>
          <w:sz w:val="24"/>
          <w:szCs w:val="24"/>
        </w:rPr>
        <w:t xml:space="preserve">20.温度控制方式：单段液晶定时控制 </w:t>
      </w:r>
      <w:r/>
    </w:p>
    <w:p>
      <w:pPr>
        <w:pStyle w:val="694"/>
        <w:jc w:val="left"/>
        <w:spacing w:line="360" w:lineRule="auto"/>
        <w:rPr>
          <w:rFonts w:ascii="宋体" w:hAnsi="宋体" w:cs="宋体"/>
          <w:sz w:val="24"/>
          <w:szCs w:val="24"/>
        </w:rPr>
      </w:pPr>
      <w:r>
        <w:rPr>
          <w:rFonts w:ascii="宋体" w:hAnsi="宋体" w:cs="宋体"/>
          <w:sz w:val="24"/>
          <w:szCs w:val="24"/>
        </w:rPr>
        <w:t xml:space="preserve">21.温度设定方式：轻触四按键设定</w:t>
      </w:r>
      <w:r/>
    </w:p>
    <w:p>
      <w:pPr>
        <w:pStyle w:val="694"/>
        <w:jc w:val="left"/>
        <w:spacing w:line="360" w:lineRule="auto"/>
        <w:rPr>
          <w:rFonts w:ascii="宋体" w:hAnsi="宋体" w:cs="宋体"/>
          <w:sz w:val="24"/>
          <w:szCs w:val="24"/>
        </w:rPr>
      </w:pPr>
      <w:r>
        <w:rPr>
          <w:rFonts w:ascii="宋体" w:hAnsi="宋体" w:cs="宋体"/>
          <w:sz w:val="24"/>
          <w:szCs w:val="24"/>
        </w:rPr>
        <w:t xml:space="preserve">22.温度表示方式：彩印液晶显示控制器                  </w:t>
      </w:r>
      <w:r/>
    </w:p>
    <w:p>
      <w:pPr>
        <w:pStyle w:val="694"/>
        <w:jc w:val="left"/>
        <w:spacing w:line="360" w:lineRule="auto"/>
        <w:rPr>
          <w:rFonts w:ascii="宋体" w:hAnsi="宋体" w:cs="宋体"/>
          <w:sz w:val="24"/>
          <w:szCs w:val="24"/>
        </w:rPr>
      </w:pPr>
      <w:r>
        <w:rPr>
          <w:rFonts w:ascii="宋体" w:hAnsi="宋体" w:cs="宋体"/>
          <w:sz w:val="24"/>
          <w:szCs w:val="24"/>
        </w:rPr>
        <w:t xml:space="preserve">23.定时器：0-9999（小时、分钟可切换）</w:t>
      </w:r>
      <w:r/>
    </w:p>
    <w:p>
      <w:pPr>
        <w:pStyle w:val="694"/>
        <w:jc w:val="left"/>
        <w:spacing w:line="360" w:lineRule="auto"/>
        <w:rPr>
          <w:rFonts w:ascii="宋体" w:hAnsi="宋体" w:cs="宋体"/>
          <w:sz w:val="24"/>
          <w:szCs w:val="24"/>
        </w:rPr>
      </w:pPr>
      <w:r>
        <w:rPr>
          <w:rFonts w:ascii="宋体" w:hAnsi="宋体" w:cs="宋体"/>
          <w:sz w:val="24"/>
          <w:szCs w:val="24"/>
        </w:rPr>
        <w:t xml:space="preserve">24.运行功能：定值运行、定时运行</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.附加功能：偏差修正、菜单按键锁定、停电补偿、停电记忆、定值机械式限温开关</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6</w:t>
      </w:r>
      <w:r>
        <w:rPr>
          <w:rFonts w:ascii="宋体" w:hAnsi="宋体" w:cs="宋体"/>
          <w:sz w:val="24"/>
          <w:szCs w:val="24"/>
        </w:rPr>
        <w:t xml:space="preserve">.传感器：Pt100</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7</w:t>
      </w:r>
      <w:r>
        <w:rPr>
          <w:rFonts w:ascii="宋体" w:hAnsi="宋体" w:cs="宋体"/>
          <w:sz w:val="24"/>
          <w:szCs w:val="24"/>
        </w:rPr>
        <w:t xml:space="preserve">.安全装置：过升报警、过载保护；</w:t>
      </w:r>
      <w:r/>
    </w:p>
    <w:p>
      <w:pPr>
        <w:pStyle w:val="694"/>
        <w:jc w:val="left"/>
        <w:spacing w:line="360" w:lineRule="auto"/>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t xml:space="preserve">.内容积：80L</w:t>
      </w:r>
      <w:r/>
    </w:p>
    <w:p>
      <w:pPr>
        <w:pStyle w:val="694"/>
        <w:jc w:val="left"/>
        <w:spacing w:line="360" w:lineRule="auto"/>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t xml:space="preserve">.隔板承重：15kg</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w:t>
      </w:r>
      <w:r>
        <w:rPr>
          <w:rFonts w:ascii="宋体" w:hAnsi="宋体" w:cs="宋体"/>
          <w:sz w:val="24"/>
          <w:szCs w:val="24"/>
        </w:rPr>
        <w:t xml:space="preserve">.隔板层数：10层</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1</w:t>
      </w:r>
      <w:r>
        <w:rPr>
          <w:rFonts w:ascii="宋体" w:hAnsi="宋体" w:cs="宋体"/>
          <w:sz w:val="24"/>
          <w:szCs w:val="24"/>
        </w:rPr>
        <w:t xml:space="preserve">.隔板间距：35mm</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2</w:t>
      </w:r>
      <w:r>
        <w:rPr>
          <w:rFonts w:ascii="宋体" w:hAnsi="宋体" w:cs="宋体"/>
          <w:sz w:val="24"/>
          <w:szCs w:val="24"/>
        </w:rPr>
        <w:t xml:space="preserve">.电源（50/60Hz）额定电流：AC220/3.6A</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w:t>
      </w:r>
      <w:r>
        <w:rPr>
          <w:rFonts w:ascii="宋体" w:hAnsi="宋体" w:cs="宋体"/>
          <w:sz w:val="24"/>
          <w:szCs w:val="24"/>
        </w:rPr>
        <w:t xml:space="preserve">.附属品：隔板：2件</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4</w:t>
      </w:r>
      <w:r>
        <w:rPr>
          <w:rFonts w:ascii="宋体" w:hAnsi="宋体" w:cs="宋体"/>
          <w:sz w:val="24"/>
          <w:szCs w:val="24"/>
        </w:rPr>
        <w:t xml:space="preserve">.隔板架：4件</w:t>
      </w:r>
      <w:r/>
    </w:p>
    <w:p>
      <w:pPr>
        <w:pStyle w:val="694"/>
        <w:jc w:val="left"/>
        <w:spacing w:line="360" w:lineRule="auto"/>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.可增加配置：隔板、RS485接口、打印机、记录仪、U盘数据储存、手机APP(远程控制)、可选配变频制冷系统。 </w:t>
      </w:r>
      <w:r/>
    </w:p>
    <w:p>
      <w:pPr>
        <w:pStyle w:val="694"/>
        <w:rPr>
          <w:b/>
          <w:bCs/>
          <w:sz w:val="24"/>
        </w:rPr>
      </w:pPr>
      <w:r>
        <w:rPr>
          <w:rFonts w:hint="eastAsia"/>
          <w:b/>
          <w:bCs/>
          <w:sz w:val="24"/>
          <w:szCs w:val="24"/>
        </w:rPr>
        <w:t xml:space="preserve">七、</w:t>
      </w:r>
      <w:r>
        <w:rPr>
          <w:b/>
          <w:bCs/>
          <w:sz w:val="24"/>
          <w:szCs w:val="24"/>
        </w:rPr>
        <w:t xml:space="preserve">纯水机</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以自来水为源水直接生产纯水和超纯水的一体化系统； </w:t>
      </w:r>
      <w:r/>
    </w:p>
    <w:p>
      <w:pPr>
        <w:pStyle w:val="694"/>
        <w:jc w:val="left"/>
        <w:spacing w:line="360" w:lineRule="auto"/>
        <w:rPr>
          <w:rFonts w:ascii="宋体" w:hAnsi="宋体" w:cs="宋体"/>
          <w:sz w:val="24"/>
          <w:szCs w:val="24"/>
        </w:rPr>
      </w:pPr>
      <w:r>
        <w:rPr>
          <w:rFonts w:ascii="宋体" w:hAnsi="宋体" w:cs="宋体"/>
          <w:sz w:val="24"/>
          <w:szCs w:val="24"/>
        </w:rPr>
        <w:t xml:space="preserve">产水量：</w:t>
      </w:r>
      <w:r>
        <w:rPr>
          <w:rFonts w:ascii="Arial" w:hAnsi="Arial" w:cs="Arial"/>
          <w:sz w:val="24"/>
          <w:szCs w:val="24"/>
        </w:rPr>
        <w:t xml:space="preserve">≥</w:t>
      </w:r>
      <w:r>
        <w:rPr>
          <w:rFonts w:ascii="宋体" w:hAnsi="宋体" w:cs="宋体"/>
          <w:sz w:val="24"/>
          <w:szCs w:val="24"/>
        </w:rPr>
        <w:t xml:space="preserve">20L/h；</w:t>
      </w:r>
      <w:r/>
    </w:p>
    <w:p>
      <w:pPr>
        <w:pStyle w:val="694"/>
        <w:jc w:val="left"/>
        <w:spacing w:line="360" w:lineRule="auto"/>
        <w:rPr>
          <w:rFonts w:ascii="宋体" w:hAnsi="宋体" w:cs="宋体"/>
          <w:sz w:val="24"/>
          <w:szCs w:val="24"/>
        </w:rPr>
      </w:pPr>
      <w:r>
        <w:rPr>
          <w:rFonts w:ascii="宋体" w:hAnsi="宋体" w:cs="宋体"/>
          <w:sz w:val="24"/>
          <w:szCs w:val="24"/>
        </w:rPr>
        <w:t xml:space="preserve">取水流速：1.5-2.0L/min（压力桶有水时）</w:t>
      </w:r>
      <w:r/>
    </w:p>
    <w:p>
      <w:pPr>
        <w:pStyle w:val="694"/>
        <w:jc w:val="left"/>
        <w:spacing w:line="360" w:lineRule="auto"/>
        <w:rPr>
          <w:rFonts w:ascii="宋体" w:hAnsi="宋体" w:cs="宋体"/>
          <w:sz w:val="24"/>
          <w:szCs w:val="24"/>
        </w:rPr>
      </w:pPr>
      <w:r>
        <w:rPr>
          <w:rFonts w:ascii="宋体" w:hAnsi="宋体" w:cs="宋体"/>
          <w:sz w:val="24"/>
          <w:szCs w:val="24"/>
        </w:rPr>
        <w:t xml:space="preserve">产水水质（一机同时产出两种水质）：</w:t>
      </w:r>
      <w:r/>
    </w:p>
    <w:p>
      <w:pPr>
        <w:pStyle w:val="694"/>
        <w:ind w:left="480" w:hanging="480"/>
        <w:jc w:val="left"/>
        <w:spacing w:line="360" w:lineRule="auto"/>
        <w:rPr>
          <w:rFonts w:ascii="宋体" w:hAnsi="宋体" w:cs="宋体"/>
          <w:sz w:val="24"/>
          <w:szCs w:val="24"/>
        </w:rPr>
      </w:pPr>
      <w:r>
        <w:rPr>
          <w:rFonts w:ascii="宋体" w:hAnsi="宋体" w:cs="宋体"/>
          <w:sz w:val="24"/>
          <w:szCs w:val="24"/>
        </w:rPr>
        <w:t xml:space="preserve">纯水水质：电导率≤1μs/cm25℃，水质符合国家实验室GB6682-2008规格Ⅲ级水标准； </w:t>
      </w:r>
      <w:r/>
    </w:p>
    <w:p>
      <w:pPr>
        <w:pStyle w:val="694"/>
        <w:jc w:val="left"/>
        <w:spacing w:line="360" w:lineRule="auto"/>
        <w:rPr>
          <w:rFonts w:ascii="宋体" w:hAnsi="宋体" w:cs="宋体"/>
          <w:sz w:val="24"/>
          <w:szCs w:val="24"/>
        </w:rPr>
      </w:pPr>
      <w:r>
        <w:rPr>
          <w:rFonts w:ascii="宋体" w:hAnsi="宋体" w:cs="宋体"/>
          <w:sz w:val="24"/>
          <w:szCs w:val="24"/>
        </w:rPr>
        <w:t xml:space="preserve">超纯水水质：电阻率 18.25MΩ•cm@25℃，水质优于国家实验室GB6682-2008规格Ⅰ级水标准；微生物＜0.1cfu/ml ；重金属含量(ppb.max)＜0.1ppb；吸光度(254nm,1cm)≤0.001；</w:t>
      </w:r>
      <w:r/>
    </w:p>
    <w:p>
      <w:pPr>
        <w:pStyle w:val="694"/>
        <w:jc w:val="left"/>
        <w:spacing w:line="360" w:lineRule="auto"/>
        <w:rPr>
          <w:rFonts w:ascii="宋体" w:hAnsi="宋体" w:cs="宋体"/>
          <w:sz w:val="24"/>
          <w:szCs w:val="24"/>
        </w:rPr>
      </w:pPr>
      <w:r>
        <w:rPr>
          <w:rFonts w:ascii="宋体" w:hAnsi="宋体" w:cs="宋体"/>
          <w:sz w:val="24"/>
          <w:szCs w:val="24"/>
        </w:rPr>
        <w:t xml:space="preserve">预处理单元根据进水情况（区域等）不同而不同系统配0.22µm终端过滤器；</w:t>
      </w:r>
      <w:r/>
    </w:p>
    <w:p>
      <w:pPr>
        <w:pStyle w:val="694"/>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5.0寸大屏幕液晶式显示，四位用户密码保护，全程动画菜单显示，动感直观；</w:t>
      </w:r>
      <w:r/>
    </w:p>
    <w:p>
      <w:pPr>
        <w:pStyle w:val="694"/>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多点全线监控，在线三路水质监控，实时监测源水、RO反渗透水、UP超纯水水质；水温在线检测；</w:t>
      </w:r>
      <w:r/>
    </w:p>
    <w:p>
      <w:pPr>
        <w:pStyle w:val="694"/>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完善的无水保护、高压水满系统自动停机保护，用水后系统自动开机和故障告警功能；</w:t>
      </w:r>
      <w:r/>
    </w:p>
    <w:p>
      <w:pPr>
        <w:pStyle w:val="694"/>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超纯水循环系统可自由启动、关闭，保持系统的低细菌污染水平；</w:t>
      </w:r>
      <w:r/>
    </w:p>
    <w:p>
      <w:pPr>
        <w:pStyle w:val="694"/>
        <w:jc w:val="left"/>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兼容压力水桶和液位水箱2种纯水储存方式，可直接显示水箱储水量，满足不同的应用需求；</w:t>
      </w:r>
      <w:r/>
    </w:p>
    <w:p>
      <w:pPr>
        <w:pStyle w:val="694"/>
        <w:jc w:val="left"/>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全自动RO膜防垢冲洗程序，可设置冲洗时间和冲洗间隔时间，延长RO膜使用寿命；</w:t>
      </w:r>
      <w:r/>
    </w:p>
    <w:p>
      <w:pPr>
        <w:pStyle w:val="694"/>
        <w:jc w:val="left"/>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PP滤芯、AC滤芯、RO膜、UV灯、UF膜和UP超纯化柱的滤芯寿命可设定，可显示已使用时间，到期自动提醒更换；定时、定质取水功能；UP超纯水系统内置循环设定，制备所需最佳UP超纯水水质；</w:t>
      </w:r>
      <w:r/>
    </w:p>
    <w:p>
      <w:pPr>
        <w:pStyle w:val="694"/>
        <w:jc w:val="left"/>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耗材更换时间可记录、查看，全面掌握设备维护信息；</w:t>
      </w:r>
      <w:r/>
    </w:p>
    <w:p>
      <w:pPr>
        <w:pStyle w:val="694"/>
        <w:jc w:val="left"/>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系统自带超大内存可储存一年的运行数据，可设定时间范围通过USB接口进行完整数据导出（Excel表格）；</w:t>
      </w:r>
      <w:r/>
    </w:p>
    <w:p>
      <w:pPr>
        <w:pStyle w:val="694"/>
        <w:jc w:val="left"/>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工厂、客户二级密码，系统设置均由密码保护，防止未经授权的更改；</w:t>
      </w:r>
      <w:r/>
    </w:p>
    <w:p>
      <w:pPr>
        <w:pStyle w:val="694"/>
        <w:jc w:val="left"/>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电导率仪电阻池常数：0.01cm-1，温度灵敏度±0.1℃，带温度自动补尝功能；</w:t>
      </w:r>
      <w:r/>
    </w:p>
    <w:p>
      <w:pPr>
        <w:pStyle w:val="694"/>
        <w:jc w:val="left"/>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采用低压24VDC为主电源供电，符合安全规范，ABS工程塑料机箱，水电分离结构，满足潮湿环境使用，不会对人身造成伤害，超低辐射。采用先进的电磁兼容设计，具有抗干扰能力强，噪音小等点；</w:t>
      </w:r>
      <w:r/>
    </w:p>
    <w:p>
      <w:pPr>
        <w:pStyle w:val="694"/>
        <w:jc w:val="left"/>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全身柱体采用食品级 PP 材质，热熔设备一次热熔成型，无任何粘接剂，无任何杂质析出。内装纯化精密级树脂及核子级树脂，出水水质最高可达到 18.2MΩ·cm。</w:t>
      </w:r>
      <w:r/>
    </w:p>
    <w:p>
      <w:pPr>
        <w:pStyle w:val="694"/>
        <w:jc w:val="left"/>
        <w:spacing w:line="360"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采用冷阴极紫外杀菌设备，此设备具有：</w:t>
      </w:r>
      <w:r/>
    </w:p>
    <w:p>
      <w:pPr>
        <w:pStyle w:val="694"/>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、无灯丝构造</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、ON/OFF反复开关不会影响寿命</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、寿命最长（最长寿命50、000小时）</w:t>
      </w:r>
      <w:r/>
    </w:p>
    <w:p>
      <w:pPr>
        <w:pStyle w:val="694"/>
        <w:jc w:val="left"/>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、体积最小（管径：Φ4．0mm 、管長：150mm） </w:t>
      </w:r>
      <w:r/>
    </w:p>
    <w:p>
      <w:pPr>
        <w:pStyle w:val="694"/>
        <w:jc w:val="left"/>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、双波长（185nm＆254nm）,彻底杀菌+降解TOC</w:t>
      </w:r>
      <w:r/>
    </w:p>
    <w:p>
      <w:pPr>
        <w:pStyle w:val="694"/>
        <w:jc w:val="left"/>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、有非常强的耐震性能，独特的杯状电极，不会因为受冲击而断裂，彻底杜绝因物流原因造成紫外灯灯管摔坏，机器不能正常工作的现象</w:t>
      </w:r>
      <w:r/>
    </w:p>
    <w:p>
      <w:pPr>
        <w:pStyle w:val="694"/>
        <w:jc w:val="left"/>
        <w:spacing w:line="360"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根据使用要求，取水终端有多种终端精制器可选配，有效去除特定污染物，如去除内毒素和核酸酶、超痕量有机物、内分泌干扰素 EDS、挥发性有机物VOC等，以满足不同的实验要求。</w:t>
      </w:r>
      <w:r/>
    </w:p>
    <w:p>
      <w:pPr>
        <w:pStyle w:val="694"/>
        <w:jc w:val="center"/>
        <w:rPr>
          <w:rFonts w:ascii="仿宋_GB2312" w:eastAsia="仿宋_GB2312"/>
          <w:b/>
          <w:bCs/>
          <w:sz w:val="28"/>
          <w:szCs w:val="28"/>
        </w:rPr>
      </w:pPr>
      <w:r>
        <w:rPr>
          <w:rFonts w:hint="eastAsia" w:ascii="宋体" w:hAnsi="宋体" w:cs="宋体"/>
          <w:b/>
          <w:bCs/>
          <w:sz w:val="28"/>
          <w:szCs w:val="28"/>
        </w:rPr>
        <w:t xml:space="preserve">第三包：设备清单</w:t>
      </w:r>
      <w:r>
        <w:rPr>
          <w:rFonts w:ascii="仿宋_GB2312" w:eastAsia="仿宋_GB2312"/>
          <w:b/>
          <w:bCs/>
          <w:sz w:val="28"/>
          <w:szCs w:val="28"/>
        </w:rPr>
      </w:r>
      <w:r/>
    </w:p>
    <w:tbl>
      <w:tblPr>
        <w:tblW w:w="7737" w:type="dxa"/>
        <w:jc w:val="center"/>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4655"/>
        <w:gridCol w:w="1962"/>
      </w:tblGrid>
      <w:tr>
        <w:trPr>
          <w:trHeight w:val="605"/>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4655"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仪器设备</w:t>
            </w:r>
            <w:r>
              <w:rPr>
                <w:rFonts w:ascii="宋体" w:hAnsi="宋体"/>
                <w:b/>
                <w:bCs/>
                <w:sz w:val="24"/>
                <w:szCs w:val="24"/>
              </w:rPr>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数量</w:t>
            </w:r>
            <w:r>
              <w:rPr>
                <w:rFonts w:ascii="宋体" w:hAnsi="宋体"/>
                <w:b/>
                <w:bCs/>
                <w:sz w:val="24"/>
                <w:szCs w:val="24"/>
              </w:rPr>
            </w:r>
            <w:r/>
          </w:p>
        </w:tc>
      </w:tr>
      <w:tr>
        <w:trPr>
          <w:trHeight w:val="439"/>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r>
            <w:r/>
          </w:p>
        </w:tc>
        <w:tc>
          <w:tcPr>
            <w:tcW w:w="4655" w:type="dxa"/>
            <w:vAlign w:val="center"/>
            <w:textDirection w:val="lrTb"/>
            <w:noWrap w:val="false"/>
          </w:tcPr>
          <w:p>
            <w:pPr>
              <w:pStyle w:val="694"/>
              <w:jc w:val="left"/>
              <w:spacing w:line="440" w:lineRule="exact"/>
              <w:widowControl/>
              <w:rPr>
                <w:rFonts w:hint="eastAsia" w:ascii="宋体" w:hAnsi="宋体"/>
                <w:b/>
                <w:bCs/>
                <w:sz w:val="24"/>
                <w:szCs w:val="24"/>
              </w:rPr>
            </w:pPr>
            <w:r>
              <w:rPr>
                <w:rFonts w:hint="eastAsia" w:ascii="宋体" w:hAnsi="宋体"/>
                <w:b/>
                <w:bCs/>
                <w:sz w:val="24"/>
                <w:szCs w:val="24"/>
              </w:rPr>
              <w:t xml:space="preserve">吹扫捕集-气相色谱质谱联用仪</w:t>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r>
        <w:trPr>
          <w:trHeight w:val="359"/>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r>
            <w:r/>
          </w:p>
        </w:tc>
        <w:tc>
          <w:tcPr>
            <w:tcW w:w="4655" w:type="dxa"/>
            <w:vAlign w:val="center"/>
            <w:textDirection w:val="lrTb"/>
            <w:noWrap w:val="false"/>
          </w:tcPr>
          <w:p>
            <w:pPr>
              <w:pStyle w:val="694"/>
              <w:jc w:val="left"/>
              <w:spacing w:line="440" w:lineRule="exact"/>
              <w:rPr>
                <w:rFonts w:hint="eastAsia" w:ascii="宋体" w:hAnsi="宋体"/>
                <w:b/>
                <w:bCs/>
                <w:sz w:val="24"/>
                <w:szCs w:val="24"/>
              </w:rPr>
            </w:pPr>
            <w:r>
              <w:rPr>
                <w:rFonts w:hint="eastAsia" w:ascii="宋体" w:hAnsi="宋体"/>
                <w:b/>
                <w:bCs/>
                <w:sz w:val="24"/>
                <w:szCs w:val="24"/>
              </w:rPr>
              <w:t xml:space="preserve">便携式傅里叶红外分析仪</w:t>
            </w:r>
            <w:r>
              <w:rPr>
                <w:rFonts w:hint="eastAsia" w:ascii="宋体" w:hAnsi="宋体"/>
                <w:b/>
                <w:bCs/>
                <w:sz w:val="24"/>
                <w:szCs w:val="24"/>
              </w:rPr>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r>
        <w:trPr>
          <w:trHeight w:val="322"/>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r>
            <w:r/>
          </w:p>
        </w:tc>
        <w:tc>
          <w:tcPr>
            <w:tcW w:w="4655" w:type="dxa"/>
            <w:vAlign w:val="center"/>
            <w:textDirection w:val="lrTb"/>
            <w:noWrap w:val="false"/>
          </w:tcPr>
          <w:p>
            <w:pPr>
              <w:pStyle w:val="694"/>
              <w:jc w:val="left"/>
              <w:spacing w:line="440" w:lineRule="exact"/>
              <w:rPr>
                <w:rFonts w:ascii="宋体" w:hAnsi="宋体"/>
                <w:b/>
                <w:bCs/>
                <w:sz w:val="24"/>
                <w:szCs w:val="24"/>
              </w:rPr>
            </w:pPr>
            <w:r>
              <w:rPr>
                <w:rFonts w:hint="eastAsia" w:ascii="宋体" w:hAnsi="宋体"/>
                <w:b/>
                <w:bCs/>
                <w:sz w:val="24"/>
                <w:szCs w:val="24"/>
              </w:rPr>
              <w:t xml:space="preserve">实验室水电改造</w:t>
            </w:r>
            <w:r>
              <w:rPr>
                <w:rFonts w:ascii="宋体" w:hAnsi="宋体"/>
                <w:b/>
                <w:bCs/>
                <w:sz w:val="24"/>
                <w:szCs w:val="24"/>
              </w:rPr>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bl>
    <w:p>
      <w:pPr>
        <w:pStyle w:val="694"/>
        <w:jc w:val="left"/>
        <w:rPr>
          <w:rFonts w:hint="eastAsia" w:ascii="宋体" w:hAnsi="宋体"/>
          <w:b/>
          <w:sz w:val="24"/>
          <w:szCs w:val="24"/>
        </w:rPr>
      </w:pPr>
      <w:r>
        <w:rPr>
          <w:rFonts w:hint="eastAsia" w:ascii="宋体" w:hAnsi="宋体"/>
          <w:b/>
          <w:sz w:val="24"/>
          <w:szCs w:val="24"/>
        </w:rPr>
        <w:t xml:space="preserve">参数配置：</w:t>
      </w:r>
      <w:r/>
    </w:p>
    <w:p>
      <w:pPr>
        <w:pStyle w:val="694"/>
        <w:jc w:val="left"/>
        <w:rPr>
          <w:rFonts w:ascii="宋体" w:hAnsi="宋体"/>
          <w:b/>
          <w:sz w:val="24"/>
          <w:szCs w:val="24"/>
        </w:rPr>
      </w:pPr>
      <w:r>
        <w:rPr>
          <w:rFonts w:hint="eastAsia" w:ascii="宋体" w:hAnsi="宋体"/>
          <w:b/>
          <w:sz w:val="24"/>
          <w:szCs w:val="24"/>
        </w:rPr>
        <w:t xml:space="preserve">吹扫捕集-</w:t>
      </w:r>
      <w:r>
        <w:rPr>
          <w:rFonts w:hint="eastAsia" w:ascii="宋体" w:hAnsi="宋体"/>
          <w:b/>
          <w:sz w:val="24"/>
          <w:szCs w:val="24"/>
        </w:rPr>
        <w:t xml:space="preserve">气相色谱质谱联用仪</w:t>
      </w:r>
      <w:r>
        <w:rPr>
          <w:rFonts w:ascii="宋体" w:hAnsi="宋体"/>
          <w:b/>
          <w:sz w:val="24"/>
          <w:szCs w:val="24"/>
        </w:rPr>
      </w:r>
      <w:r/>
    </w:p>
    <w:p>
      <w:pPr>
        <w:pStyle w:val="694"/>
        <w:spacing w:line="400" w:lineRule="exact"/>
        <w:rPr>
          <w:rFonts w:ascii="宋体" w:hAnsi="宋体"/>
          <w:sz w:val="24"/>
          <w:szCs w:val="24"/>
        </w:rPr>
      </w:pPr>
      <w:r>
        <w:rPr>
          <w:rFonts w:ascii="宋体" w:hAnsi="宋体"/>
          <w:sz w:val="24"/>
          <w:szCs w:val="24"/>
        </w:rPr>
        <w:t xml:space="preserve">1. 工作条件</w:t>
      </w:r>
      <w:r/>
    </w:p>
    <w:p>
      <w:pPr>
        <w:pStyle w:val="694"/>
        <w:spacing w:line="400" w:lineRule="exact"/>
        <w:rPr>
          <w:rFonts w:ascii="宋体" w:hAnsi="宋体"/>
          <w:sz w:val="24"/>
          <w:szCs w:val="24"/>
        </w:rPr>
      </w:pPr>
      <w:r>
        <w:rPr>
          <w:rFonts w:ascii="宋体" w:hAnsi="宋体"/>
          <w:sz w:val="24"/>
          <w:szCs w:val="24"/>
        </w:rPr>
        <w:t xml:space="preserve">1.1. 电源:220V，50Hz</w:t>
      </w:r>
      <w:r/>
    </w:p>
    <w:p>
      <w:pPr>
        <w:pStyle w:val="694"/>
        <w:spacing w:line="400" w:lineRule="exact"/>
        <w:rPr>
          <w:rFonts w:ascii="宋体" w:hAnsi="宋体"/>
          <w:sz w:val="24"/>
          <w:szCs w:val="24"/>
        </w:rPr>
      </w:pPr>
      <w:r>
        <w:rPr>
          <w:rFonts w:ascii="宋体" w:hAnsi="宋体"/>
          <w:sz w:val="24"/>
          <w:szCs w:val="24"/>
        </w:rPr>
        <w:t xml:space="preserve">1.2. 温度:操作环境20</w:t>
      </w:r>
      <w:r>
        <w:rPr>
          <w:sz w:val="24"/>
          <w:szCs w:val="24"/>
        </w:rPr>
        <w:t xml:space="preserve">˚</w:t>
      </w:r>
      <w:r>
        <w:rPr>
          <w:rFonts w:ascii="宋体" w:hAnsi="宋体"/>
          <w:sz w:val="24"/>
          <w:szCs w:val="24"/>
        </w:rPr>
        <w:t xml:space="preserve">C -35</w:t>
      </w:r>
      <w:r>
        <w:rPr>
          <w:sz w:val="24"/>
          <w:szCs w:val="24"/>
        </w:rPr>
        <w:t xml:space="preserve">˚</w:t>
      </w:r>
      <w:r>
        <w:rPr>
          <w:rFonts w:ascii="宋体" w:hAnsi="宋体"/>
          <w:sz w:val="24"/>
          <w:szCs w:val="24"/>
        </w:rPr>
        <w:t xml:space="preserve">C</w:t>
      </w:r>
      <w:r/>
    </w:p>
    <w:p>
      <w:pPr>
        <w:pStyle w:val="694"/>
        <w:spacing w:line="400" w:lineRule="exact"/>
        <w:rPr>
          <w:rFonts w:ascii="宋体" w:hAnsi="宋体"/>
          <w:sz w:val="24"/>
          <w:szCs w:val="24"/>
        </w:rPr>
      </w:pPr>
      <w:r>
        <w:rPr>
          <w:rFonts w:ascii="宋体" w:hAnsi="宋体"/>
          <w:sz w:val="24"/>
          <w:szCs w:val="24"/>
        </w:rPr>
        <w:t xml:space="preserve">1.3. 湿度: 操作状态25-50%，非操作状态20-80% </w:t>
      </w:r>
      <w:r/>
    </w:p>
    <w:p>
      <w:pPr>
        <w:pStyle w:val="694"/>
        <w:spacing w:line="400" w:lineRule="exact"/>
        <w:rPr>
          <w:rFonts w:ascii="宋体" w:hAnsi="宋体"/>
          <w:sz w:val="24"/>
          <w:szCs w:val="24"/>
        </w:rPr>
      </w:pPr>
      <w:r>
        <w:rPr>
          <w:rFonts w:ascii="宋体" w:hAnsi="宋体"/>
          <w:sz w:val="24"/>
          <w:szCs w:val="24"/>
        </w:rPr>
        <w:t xml:space="preserve">2. 性能指标</w:t>
      </w:r>
      <w:r/>
    </w:p>
    <w:p>
      <w:pPr>
        <w:pStyle w:val="694"/>
        <w:spacing w:line="400" w:lineRule="exact"/>
        <w:rPr>
          <w:rFonts w:ascii="宋体" w:hAnsi="宋体"/>
          <w:sz w:val="24"/>
          <w:szCs w:val="24"/>
        </w:rPr>
      </w:pPr>
      <w:r>
        <w:rPr>
          <w:rFonts w:ascii="宋体" w:hAnsi="宋体"/>
          <w:sz w:val="24"/>
          <w:szCs w:val="24"/>
        </w:rPr>
        <w:t xml:space="preserve">2.1. 气相色谱仪</w:t>
      </w:r>
      <w:r/>
    </w:p>
    <w:p>
      <w:pPr>
        <w:pStyle w:val="694"/>
        <w:spacing w:line="400" w:lineRule="exact"/>
        <w:rPr>
          <w:rFonts w:ascii="宋体" w:hAnsi="宋体"/>
          <w:sz w:val="24"/>
          <w:szCs w:val="24"/>
        </w:rPr>
      </w:pPr>
      <w:r>
        <w:rPr>
          <w:rFonts w:ascii="宋体" w:hAnsi="宋体"/>
          <w:sz w:val="24"/>
          <w:szCs w:val="24"/>
        </w:rPr>
        <w:t xml:space="preserve">2.1.1.气相色谱的控制及交互</w:t>
      </w:r>
      <w:r/>
    </w:p>
    <w:p>
      <w:pPr>
        <w:pStyle w:val="694"/>
        <w:spacing w:line="400" w:lineRule="exact"/>
        <w:rPr>
          <w:rFonts w:ascii="宋体" w:hAnsi="宋体"/>
          <w:sz w:val="24"/>
          <w:szCs w:val="24"/>
        </w:rPr>
      </w:pPr>
      <w:r>
        <w:rPr>
          <w:rFonts w:ascii="宋体" w:hAnsi="宋体"/>
          <w:sz w:val="24"/>
          <w:szCs w:val="24"/>
        </w:rPr>
        <w:t xml:space="preserve">2.1.1.1.触摸屏用户界面：采用包含玻璃界面/覆盖层的电容式触摸屏技术</w:t>
      </w:r>
      <w:r/>
    </w:p>
    <w:p>
      <w:pPr>
        <w:pStyle w:val="694"/>
        <w:spacing w:line="400" w:lineRule="exact"/>
        <w:rPr>
          <w:rFonts w:ascii="宋体" w:hAnsi="宋体"/>
          <w:sz w:val="24"/>
          <w:szCs w:val="24"/>
        </w:rPr>
      </w:pPr>
      <w:r>
        <w:rPr>
          <w:rFonts w:hint="eastAsia" w:ascii="宋体" w:hAnsi="宋体" w:cs="宋体"/>
          <w:color w:val="000000"/>
          <w:sz w:val="24"/>
          <w:szCs w:val="24"/>
        </w:rPr>
        <w:t xml:space="preserve">▲</w:t>
      </w:r>
      <w:r>
        <w:rPr>
          <w:rFonts w:ascii="宋体" w:hAnsi="宋体"/>
          <w:sz w:val="24"/>
          <w:szCs w:val="24"/>
        </w:rPr>
        <w:t xml:space="preserve">2.1.1.2.</w:t>
      </w:r>
      <w:r>
        <w:rPr>
          <w:rFonts w:hint="eastAsia" w:ascii="宋体" w:hAnsi="宋体" w:cs="宋体"/>
          <w:color w:val="000000"/>
          <w:sz w:val="24"/>
          <w:szCs w:val="24"/>
        </w:rPr>
        <w:t xml:space="preserve"> 仪器触摸屏控制面板通过WIFI连接，实现可移设备动远程联机（如手机，平板电脑），移动设备通过网络I</w:t>
      </w:r>
      <w:r>
        <w:rPr>
          <w:rFonts w:ascii="宋体" w:hAnsi="宋体" w:cs="宋体"/>
          <w:color w:val="000000"/>
          <w:sz w:val="24"/>
          <w:szCs w:val="24"/>
        </w:rPr>
        <w:t xml:space="preserve">P</w:t>
      </w:r>
      <w:r>
        <w:rPr>
          <w:rFonts w:hint="eastAsia" w:ascii="宋体" w:hAnsi="宋体" w:cs="宋体"/>
          <w:color w:val="000000"/>
          <w:sz w:val="24"/>
          <w:szCs w:val="24"/>
        </w:rPr>
        <w:t xml:space="preserve">地址登录无需软件，防止软件卡顿。（提供仪器图片和官网截图网址证明）</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2.1.1.3早期维护反馈</w:t>
      </w:r>
      <w:r>
        <w:rPr>
          <w:rFonts w:hint="eastAsia" w:ascii="宋体" w:hAnsi="宋体"/>
          <w:sz w:val="24"/>
          <w:szCs w:val="24"/>
        </w:rPr>
        <w:t xml:space="preserve">提醒功能</w:t>
      </w:r>
      <w:r>
        <w:rPr>
          <w:rFonts w:ascii="宋体" w:hAnsi="宋体"/>
          <w:sz w:val="24"/>
          <w:szCs w:val="24"/>
        </w:rPr>
        <w:t xml:space="preserve">：不少于45个计数器，以用于跟踪各种进样口、检测器和自动进样器参数以及消耗品的使用情况</w:t>
      </w:r>
      <w:r>
        <w:rPr>
          <w:rFonts w:hint="eastAsia" w:ascii="宋体" w:hAnsi="宋体"/>
          <w:sz w:val="24"/>
          <w:szCs w:val="24"/>
        </w:rPr>
        <w:t xml:space="preserve">，（需提供软件截图证明）</w:t>
      </w:r>
      <w:r>
        <w:rPr>
          <w:rFonts w:ascii="宋体" w:hAnsi="宋体"/>
          <w:sz w:val="24"/>
          <w:szCs w:val="24"/>
        </w:rPr>
        <w:t xml:space="preserve">。</w:t>
      </w:r>
      <w:r/>
    </w:p>
    <w:p>
      <w:pPr>
        <w:pStyle w:val="694"/>
        <w:spacing w:line="400" w:lineRule="exact"/>
        <w:rPr>
          <w:rFonts w:ascii="宋体" w:hAnsi="宋体"/>
          <w:b/>
          <w:bCs/>
          <w:sz w:val="24"/>
          <w:szCs w:val="24"/>
        </w:rPr>
      </w:pPr>
      <w:r>
        <w:rPr>
          <w:rFonts w:hint="eastAsia" w:ascii="宋体" w:hAnsi="宋体"/>
          <w:sz w:val="24"/>
          <w:szCs w:val="24"/>
        </w:rPr>
        <w:t xml:space="preserve">▲</w:t>
      </w:r>
      <w:r>
        <w:rPr>
          <w:rFonts w:ascii="宋体" w:hAnsi="宋体"/>
          <w:sz w:val="24"/>
          <w:szCs w:val="24"/>
        </w:rPr>
        <w:t xml:space="preserve">2.1.1.</w:t>
      </w:r>
      <w:r>
        <w:rPr>
          <w:rFonts w:hint="eastAsia" w:ascii="宋体" w:hAnsi="宋体"/>
          <w:sz w:val="24"/>
          <w:szCs w:val="24"/>
        </w:rPr>
        <w:t xml:space="preserve">4具有不低于3个色谱柱智能钥匙接口，可对色谱柱快速识别和自动记录色谱柱使用时长。</w:t>
      </w:r>
      <w:r>
        <w:rPr>
          <w:rFonts w:hint="eastAsia" w:ascii="宋体" w:hAnsi="宋体" w:cs="宋体"/>
          <w:color w:val="000000"/>
          <w:sz w:val="24"/>
          <w:szCs w:val="24"/>
        </w:rPr>
        <w:t xml:space="preserve">（提供软件截图证明） </w:t>
      </w:r>
      <w:r>
        <w:rPr>
          <w:rFonts w:ascii="宋体" w:hAnsi="宋体"/>
          <w:b/>
          <w:bCs/>
          <w:sz w:val="24"/>
          <w:szCs w:val="24"/>
        </w:rPr>
      </w:r>
      <w:r/>
    </w:p>
    <w:p>
      <w:pPr>
        <w:pStyle w:val="694"/>
        <w:spacing w:line="400" w:lineRule="exact"/>
        <w:rPr>
          <w:rFonts w:ascii="宋体" w:hAnsi="宋体"/>
          <w:sz w:val="24"/>
          <w:szCs w:val="24"/>
        </w:rPr>
      </w:pPr>
      <w:r>
        <w:rPr>
          <w:rFonts w:ascii="宋体" w:hAnsi="宋体"/>
          <w:sz w:val="24"/>
          <w:szCs w:val="24"/>
        </w:rPr>
        <w:t xml:space="preserve">2.1.2. 柱箱 </w:t>
      </w:r>
      <w:r/>
    </w:p>
    <w:p>
      <w:pPr>
        <w:pStyle w:val="694"/>
        <w:spacing w:line="400" w:lineRule="exact"/>
        <w:rPr>
          <w:rFonts w:ascii="宋体" w:hAnsi="宋体"/>
          <w:sz w:val="24"/>
          <w:szCs w:val="24"/>
        </w:rPr>
      </w:pPr>
      <w:r>
        <w:rPr>
          <w:rFonts w:ascii="宋体" w:hAnsi="宋体"/>
          <w:sz w:val="24"/>
          <w:szCs w:val="24"/>
        </w:rPr>
        <w:t xml:space="preserve">2.1.1.1 柱箱温度：室温上10</w:t>
      </w:r>
      <w:r>
        <w:rPr>
          <w:sz w:val="24"/>
          <w:szCs w:val="24"/>
        </w:rPr>
        <w:t xml:space="preserve">˚</w:t>
      </w:r>
      <w:r>
        <w:rPr>
          <w:rFonts w:ascii="宋体" w:hAnsi="宋体"/>
          <w:sz w:val="24"/>
          <w:szCs w:val="24"/>
        </w:rPr>
        <w:t xml:space="preserve">C-400 </w:t>
      </w:r>
      <w:r>
        <w:rPr>
          <w:sz w:val="24"/>
          <w:szCs w:val="24"/>
        </w:rPr>
        <w:t xml:space="preserve">˚</w:t>
      </w:r>
      <w:r>
        <w:rPr>
          <w:rFonts w:ascii="宋体" w:hAnsi="宋体"/>
          <w:sz w:val="24"/>
          <w:szCs w:val="24"/>
        </w:rPr>
        <w:t xml:space="preserve">C，19梯度/20平台程序升温</w:t>
      </w:r>
      <w:r/>
    </w:p>
    <w:p>
      <w:pPr>
        <w:pStyle w:val="694"/>
        <w:spacing w:line="400" w:lineRule="exact"/>
        <w:rPr>
          <w:rFonts w:ascii="宋体" w:hAnsi="宋体"/>
          <w:sz w:val="24"/>
          <w:szCs w:val="24"/>
        </w:rPr>
      </w:pPr>
      <w:r>
        <w:rPr>
          <w:rFonts w:ascii="宋体" w:hAnsi="宋体"/>
          <w:sz w:val="24"/>
          <w:szCs w:val="24"/>
        </w:rPr>
        <w:t xml:space="preserve">2.1.1.2 升温速率：最大升温速度70</w:t>
      </w:r>
      <w:r>
        <w:rPr>
          <w:sz w:val="24"/>
          <w:szCs w:val="24"/>
        </w:rPr>
        <w:t xml:space="preserve">˚</w:t>
      </w:r>
      <w:r>
        <w:rPr>
          <w:rFonts w:ascii="宋体" w:hAnsi="宋体"/>
          <w:sz w:val="24"/>
          <w:szCs w:val="24"/>
        </w:rPr>
        <w:t xml:space="preserve">C/min，以0.01 </w:t>
      </w:r>
      <w:r>
        <w:rPr>
          <w:sz w:val="24"/>
          <w:szCs w:val="24"/>
        </w:rPr>
        <w:t xml:space="preserve">˚</w:t>
      </w:r>
      <w:r>
        <w:rPr>
          <w:rFonts w:ascii="宋体" w:hAnsi="宋体"/>
          <w:sz w:val="24"/>
          <w:szCs w:val="24"/>
        </w:rPr>
        <w:t xml:space="preserve">C /min增加</w:t>
      </w:r>
      <w:r/>
    </w:p>
    <w:p>
      <w:pPr>
        <w:pStyle w:val="694"/>
        <w:spacing w:line="400" w:lineRule="exact"/>
        <w:rPr>
          <w:rFonts w:ascii="宋体" w:hAnsi="宋体"/>
          <w:sz w:val="24"/>
          <w:szCs w:val="24"/>
        </w:rPr>
      </w:pPr>
      <w:r>
        <w:rPr>
          <w:rFonts w:ascii="宋体" w:hAnsi="宋体"/>
          <w:sz w:val="24"/>
          <w:szCs w:val="24"/>
        </w:rPr>
        <w:t xml:space="preserve">2.1.1.3 降温速率：从300</w:t>
      </w:r>
      <w:r>
        <w:rPr>
          <w:sz w:val="24"/>
          <w:szCs w:val="24"/>
        </w:rPr>
        <w:t xml:space="preserve">˚</w:t>
      </w:r>
      <w:r>
        <w:rPr>
          <w:rFonts w:ascii="宋体" w:hAnsi="宋体"/>
          <w:sz w:val="24"/>
          <w:szCs w:val="24"/>
        </w:rPr>
        <w:t xml:space="preserve">C降至50</w:t>
      </w:r>
      <w:r>
        <w:rPr>
          <w:sz w:val="24"/>
          <w:szCs w:val="24"/>
        </w:rPr>
        <w:t xml:space="preserve">˚</w:t>
      </w:r>
      <w:r>
        <w:rPr>
          <w:rFonts w:ascii="宋体" w:hAnsi="宋体"/>
          <w:sz w:val="24"/>
          <w:szCs w:val="24"/>
        </w:rPr>
        <w:t xml:space="preserve">C&lt;350秒 </w:t>
      </w:r>
      <w:r/>
    </w:p>
    <w:p>
      <w:pPr>
        <w:pStyle w:val="694"/>
        <w:spacing w:line="400" w:lineRule="exact"/>
        <w:rPr>
          <w:rFonts w:ascii="宋体" w:hAnsi="宋体"/>
          <w:sz w:val="24"/>
          <w:szCs w:val="24"/>
        </w:rPr>
      </w:pPr>
      <w:r>
        <w:rPr>
          <w:rFonts w:ascii="宋体" w:hAnsi="宋体"/>
          <w:sz w:val="24"/>
          <w:szCs w:val="24"/>
        </w:rPr>
        <w:t xml:space="preserve">2.1.1.4 控温准确性：0.1</w:t>
      </w:r>
      <w:r>
        <w:rPr>
          <w:rFonts w:hint="eastAsia" w:ascii="宋体" w:hAnsi="宋体" w:cs="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2.1.1.5 温度稳定性: ＜0.01</w:t>
      </w:r>
      <w:r>
        <w:rPr>
          <w:sz w:val="24"/>
          <w:szCs w:val="24"/>
        </w:rPr>
        <w:t xml:space="preserve">˚</w:t>
      </w:r>
      <w:r>
        <w:rPr>
          <w:rFonts w:ascii="宋体" w:hAnsi="宋体"/>
          <w:sz w:val="24"/>
          <w:szCs w:val="24"/>
        </w:rPr>
        <w:t xml:space="preserve">C /1</w:t>
      </w:r>
      <w:r>
        <w:rPr>
          <w:sz w:val="24"/>
          <w:szCs w:val="24"/>
        </w:rPr>
        <w:t xml:space="preserve">˚</w:t>
      </w:r>
      <w:r>
        <w:rPr>
          <w:rFonts w:ascii="宋体" w:hAnsi="宋体"/>
          <w:sz w:val="24"/>
          <w:szCs w:val="24"/>
        </w:rPr>
        <w:t xml:space="preserve">C环境变化</w:t>
      </w:r>
      <w:r/>
    </w:p>
    <w:p>
      <w:pPr>
        <w:pStyle w:val="694"/>
        <w:spacing w:line="400" w:lineRule="exact"/>
        <w:rPr>
          <w:rFonts w:ascii="宋体" w:hAnsi="宋体"/>
          <w:sz w:val="24"/>
          <w:szCs w:val="24"/>
        </w:rPr>
      </w:pPr>
      <w:r>
        <w:rPr>
          <w:rFonts w:ascii="宋体" w:hAnsi="宋体"/>
          <w:sz w:val="24"/>
          <w:szCs w:val="24"/>
        </w:rPr>
        <w:t xml:space="preserve">2.1.3. 流路控制系统</w:t>
      </w:r>
      <w:r/>
    </w:p>
    <w:p>
      <w:pPr>
        <w:pStyle w:val="694"/>
        <w:spacing w:line="400" w:lineRule="exact"/>
        <w:rPr>
          <w:rFonts w:ascii="宋体" w:hAnsi="宋体"/>
          <w:sz w:val="24"/>
          <w:szCs w:val="24"/>
        </w:rPr>
      </w:pPr>
      <w:r>
        <w:rPr>
          <w:rFonts w:ascii="宋体" w:hAnsi="宋体"/>
          <w:sz w:val="24"/>
          <w:szCs w:val="24"/>
        </w:rPr>
        <w:t xml:space="preserve">2.1.2.1 最大压力设定范围：0-100 psi</w:t>
      </w:r>
      <w:r/>
    </w:p>
    <w:p>
      <w:pPr>
        <w:pStyle w:val="694"/>
        <w:spacing w:line="400" w:lineRule="exact"/>
        <w:rPr>
          <w:rFonts w:ascii="宋体" w:hAnsi="宋体"/>
          <w:sz w:val="24"/>
          <w:szCs w:val="24"/>
        </w:rPr>
      </w:pPr>
      <w:r>
        <w:rPr>
          <w:rFonts w:ascii="宋体" w:hAnsi="宋体"/>
          <w:sz w:val="24"/>
          <w:szCs w:val="24"/>
        </w:rPr>
        <w:t xml:space="preserve">2.1.2.2 压力设定精度：0.01 psi</w:t>
      </w:r>
      <w:r/>
    </w:p>
    <w:p>
      <w:pPr>
        <w:pStyle w:val="694"/>
        <w:spacing w:line="400" w:lineRule="exact"/>
        <w:rPr>
          <w:rFonts w:ascii="宋体" w:hAnsi="宋体"/>
          <w:sz w:val="24"/>
          <w:szCs w:val="24"/>
        </w:rPr>
      </w:pPr>
      <w:r>
        <w:rPr>
          <w:rFonts w:ascii="宋体" w:hAnsi="宋体"/>
          <w:sz w:val="24"/>
          <w:szCs w:val="24"/>
        </w:rPr>
        <w:t xml:space="preserve">2.1.2.3 流量设定范围：0-1000mL/min</w:t>
      </w:r>
      <w:r/>
    </w:p>
    <w:p>
      <w:pPr>
        <w:pStyle w:val="694"/>
        <w:spacing w:line="400" w:lineRule="exact"/>
        <w:rPr>
          <w:rFonts w:ascii="宋体" w:hAnsi="宋体"/>
          <w:sz w:val="24"/>
          <w:szCs w:val="24"/>
        </w:rPr>
      </w:pPr>
      <w:r>
        <w:rPr>
          <w:rFonts w:ascii="宋体" w:hAnsi="宋体"/>
          <w:sz w:val="24"/>
          <w:szCs w:val="24"/>
        </w:rPr>
        <w:t xml:space="preserve">2.1.2.4 GC气路采用基于微通道的气路设计，以微通道用作气路控制的限流器</w:t>
      </w:r>
      <w:r/>
    </w:p>
    <w:p>
      <w:pPr>
        <w:pStyle w:val="694"/>
        <w:spacing w:line="400" w:lineRule="exact"/>
        <w:rPr>
          <w:rFonts w:ascii="宋体" w:hAnsi="宋体"/>
          <w:sz w:val="24"/>
          <w:szCs w:val="24"/>
        </w:rPr>
      </w:pPr>
      <w:r>
        <w:rPr>
          <w:rFonts w:ascii="宋体" w:hAnsi="宋体"/>
          <w:sz w:val="24"/>
          <w:szCs w:val="24"/>
        </w:rPr>
        <w:t xml:space="preserve">2.1.2.5 气相色谱仪具有针对所有进样口、辅助气路、检测器的环境温度和压力补偿</w:t>
      </w:r>
      <w:r/>
    </w:p>
    <w:p>
      <w:pPr>
        <w:pStyle w:val="694"/>
        <w:spacing w:line="400" w:lineRule="exact"/>
        <w:rPr>
          <w:rFonts w:ascii="宋体" w:hAnsi="宋体"/>
          <w:sz w:val="24"/>
          <w:szCs w:val="24"/>
        </w:rPr>
      </w:pPr>
      <w:r>
        <w:rPr>
          <w:rFonts w:ascii="宋体" w:hAnsi="宋体"/>
          <w:sz w:val="24"/>
          <w:szCs w:val="24"/>
        </w:rPr>
        <w:t xml:space="preserve">2.1.2.6支持恒流，恒压，程序增加流速，程序升压等操作模式，同时具有恒线速度控制功能</w:t>
      </w:r>
      <w:r/>
    </w:p>
    <w:p>
      <w:pPr>
        <w:pStyle w:val="694"/>
        <w:spacing w:line="400" w:lineRule="exact"/>
        <w:rPr>
          <w:rFonts w:ascii="宋体" w:hAnsi="宋体"/>
          <w:sz w:val="24"/>
          <w:szCs w:val="24"/>
        </w:rPr>
      </w:pPr>
      <w:r>
        <w:rPr>
          <w:rFonts w:ascii="宋体" w:hAnsi="宋体"/>
          <w:sz w:val="24"/>
          <w:szCs w:val="24"/>
        </w:rPr>
        <w:t xml:space="preserve">2.1.4. 分流不分流进样口</w:t>
      </w:r>
      <w:r/>
    </w:p>
    <w:p>
      <w:pPr>
        <w:pStyle w:val="694"/>
        <w:spacing w:line="400" w:lineRule="exact"/>
        <w:rPr>
          <w:rFonts w:ascii="宋体" w:hAnsi="宋体"/>
          <w:sz w:val="24"/>
          <w:szCs w:val="24"/>
        </w:rPr>
      </w:pPr>
      <w:r>
        <w:rPr>
          <w:rFonts w:ascii="宋体" w:hAnsi="宋体"/>
          <w:sz w:val="24"/>
          <w:szCs w:val="24"/>
        </w:rPr>
        <w:t xml:space="preserve">2.1.3.1 可编程电子参数设定压力、流速、分流比，电子流量控制隔垫吹扫，最大压力可到100psi</w:t>
      </w:r>
      <w:r/>
    </w:p>
    <w:p>
      <w:pPr>
        <w:pStyle w:val="694"/>
        <w:spacing w:line="400" w:lineRule="exact"/>
        <w:rPr>
          <w:rFonts w:ascii="宋体" w:hAnsi="宋体"/>
          <w:sz w:val="24"/>
          <w:szCs w:val="24"/>
        </w:rPr>
      </w:pPr>
      <w:r>
        <w:rPr>
          <w:rFonts w:ascii="宋体" w:hAnsi="宋体"/>
          <w:sz w:val="24"/>
          <w:szCs w:val="24"/>
        </w:rPr>
        <w:t xml:space="preserve">2.1.3.2扳转式进样口密封系统，无需工具能够在 30 秒内快速、轻松地更换进样口衬管</w:t>
      </w:r>
      <w:r/>
    </w:p>
    <w:p>
      <w:pPr>
        <w:pStyle w:val="694"/>
        <w:spacing w:line="400" w:lineRule="exact"/>
        <w:rPr>
          <w:rFonts w:ascii="宋体" w:hAnsi="宋体"/>
          <w:sz w:val="24"/>
          <w:szCs w:val="24"/>
        </w:rPr>
      </w:pPr>
      <w:r>
        <w:rPr>
          <w:rFonts w:ascii="宋体" w:hAnsi="宋体"/>
          <w:sz w:val="24"/>
          <w:szCs w:val="24"/>
        </w:rPr>
        <w:t xml:space="preserve">2.1.3.3流量设定范围：0-1000mL/min</w:t>
      </w:r>
      <w:r/>
    </w:p>
    <w:p>
      <w:pPr>
        <w:pStyle w:val="694"/>
        <w:spacing w:line="400" w:lineRule="exact"/>
        <w:rPr>
          <w:rFonts w:ascii="宋体" w:hAnsi="宋体"/>
          <w:sz w:val="24"/>
          <w:szCs w:val="24"/>
        </w:rPr>
      </w:pPr>
      <w:r>
        <w:rPr>
          <w:rFonts w:ascii="宋体" w:hAnsi="宋体"/>
          <w:sz w:val="24"/>
          <w:szCs w:val="24"/>
        </w:rPr>
        <w:t xml:space="preserve">2.2. 质谱部分</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 质量数范围：1-1090 m/z</w:t>
      </w:r>
      <w:r>
        <w:rPr>
          <w:rFonts w:hint="eastAsia" w:ascii="宋体" w:hAnsi="宋体"/>
          <w:sz w:val="24"/>
          <w:szCs w:val="24"/>
        </w:rPr>
        <w:t xml:space="preserve">（提供软件截图）</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2.2.2. 灵敏度： 内置EI离子源：最低检测限为10 fg八氟萘（OFN），信/噪比≥4500:1，</w:t>
      </w:r>
      <w:r>
        <w:rPr>
          <w:rFonts w:hint="eastAsia" w:ascii="宋体" w:hAnsi="宋体"/>
          <w:sz w:val="24"/>
          <w:szCs w:val="24"/>
        </w:rPr>
        <w:t xml:space="preserve">（</w:t>
      </w:r>
      <w:r>
        <w:rPr>
          <w:rFonts w:ascii="宋体" w:hAnsi="宋体"/>
          <w:sz w:val="24"/>
          <w:szCs w:val="24"/>
        </w:rPr>
        <w:t xml:space="preserve">提供</w:t>
      </w:r>
      <w:r>
        <w:rPr>
          <w:rFonts w:hint="eastAsia" w:ascii="宋体" w:hAnsi="宋体"/>
          <w:sz w:val="24"/>
          <w:szCs w:val="24"/>
        </w:rPr>
        <w:t xml:space="preserve">官方</w:t>
      </w:r>
      <w:r>
        <w:rPr>
          <w:rFonts w:ascii="宋体" w:hAnsi="宋体"/>
          <w:sz w:val="24"/>
          <w:szCs w:val="24"/>
        </w:rPr>
        <w:t xml:space="preserve">技术证明材料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2.2.3. 扫描速率：最高 20000 u/s </w:t>
      </w:r>
      <w:r/>
    </w:p>
    <w:p>
      <w:pPr>
        <w:pStyle w:val="694"/>
        <w:spacing w:line="400" w:lineRule="exact"/>
        <w:rPr>
          <w:rFonts w:ascii="宋体" w:hAnsi="宋体"/>
          <w:sz w:val="24"/>
          <w:szCs w:val="24"/>
        </w:rPr>
      </w:pPr>
      <w:r>
        <w:rPr>
          <w:rFonts w:ascii="宋体" w:hAnsi="宋体"/>
          <w:sz w:val="24"/>
          <w:szCs w:val="24"/>
        </w:rPr>
        <w:t xml:space="preserve">2.2.4. 质量稳定性：优于 0.10 u/48 小时</w:t>
      </w:r>
      <w:r/>
    </w:p>
    <w:p>
      <w:pPr>
        <w:pStyle w:val="694"/>
        <w:spacing w:line="400" w:lineRule="exact"/>
        <w:rPr>
          <w:rFonts w:ascii="宋体" w:hAnsi="宋体"/>
          <w:sz w:val="24"/>
          <w:szCs w:val="24"/>
        </w:rPr>
      </w:pPr>
      <w:r>
        <w:rPr>
          <w:rFonts w:ascii="宋体" w:hAnsi="宋体"/>
          <w:sz w:val="24"/>
          <w:szCs w:val="24"/>
        </w:rPr>
        <w:t xml:space="preserve">2.2.5. 无损双灯丝设计，灯丝受长效保护，提高灯丝寿命，灯丝电流：0-310uA</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2.2.6. 最大离子化能量：240eV </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2.2.7. 离子源：配置EI源，独立控温，最高温度可到350</w:t>
      </w:r>
      <w:r>
        <w:rPr>
          <w:sz w:val="24"/>
          <w:szCs w:val="24"/>
        </w:rPr>
        <w:t xml:space="preserve">˚</w:t>
      </w:r>
      <w:r>
        <w:rPr>
          <w:rFonts w:ascii="宋体" w:hAnsi="宋体"/>
          <w:sz w:val="24"/>
          <w:szCs w:val="24"/>
        </w:rPr>
        <w:t xml:space="preserve">C  </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2.2.8. 四极杆质量分析器：石英镀金共轭双曲面四极杆，能独立温控，最高可达 190</w:t>
      </w:r>
      <w:r>
        <w:rPr>
          <w:sz w:val="24"/>
          <w:szCs w:val="24"/>
        </w:rPr>
        <w:t xml:space="preserve">˚</w:t>
      </w:r>
      <w:r>
        <w:rPr>
          <w:rFonts w:ascii="宋体" w:hAnsi="宋体"/>
          <w:sz w:val="24"/>
          <w:szCs w:val="24"/>
        </w:rPr>
        <w:t xml:space="preserve">C(非预四极杆加热) ，如不满足加热功能需免费提供4个四极杆</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和实物照片）</w:t>
      </w:r>
      <w:r>
        <w:rPr>
          <w:rFonts w:ascii="宋体" w:hAnsi="宋体"/>
          <w:sz w:val="24"/>
          <w:szCs w:val="24"/>
        </w:rPr>
        <w:t xml:space="preserve">。</w:t>
      </w:r>
      <w:r/>
    </w:p>
    <w:p>
      <w:pPr>
        <w:pStyle w:val="694"/>
        <w:spacing w:line="400" w:lineRule="exact"/>
        <w:rPr>
          <w:rFonts w:ascii="宋体" w:hAnsi="宋体"/>
          <w:sz w:val="24"/>
          <w:szCs w:val="24"/>
        </w:rPr>
      </w:pPr>
      <w:r>
        <w:rPr>
          <w:rFonts w:ascii="宋体" w:hAnsi="宋体"/>
          <w:sz w:val="24"/>
          <w:szCs w:val="24"/>
        </w:rPr>
        <w:t xml:space="preserve">2.2.9. 气质接口温度: 独立控温，最高温度可到350</w:t>
      </w:r>
      <w:r>
        <w:rPr>
          <w:sz w:val="24"/>
          <w:szCs w:val="24"/>
        </w:rPr>
        <w:t xml:space="preserve">˚</w:t>
      </w:r>
      <w:r>
        <w:rPr>
          <w:rFonts w:ascii="宋体" w:hAnsi="宋体"/>
          <w:sz w:val="24"/>
          <w:szCs w:val="24"/>
        </w:rPr>
        <w:t xml:space="preserve">C</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2.2.10. 真空系统：高性能分子涡轮泵250L/s </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2.2.11.气相色谱-质谱具有保留时间锁定功能。此功能通过软件自动调整仪器工作参数，在五个不同条件下进样，分析锁定目标化合物而实现</w:t>
      </w:r>
      <w:r>
        <w:rPr>
          <w:rFonts w:hint="eastAsia" w:ascii="宋体" w:hAnsi="宋体"/>
          <w:sz w:val="24"/>
          <w:szCs w:val="24"/>
        </w:rPr>
        <w:t xml:space="preserve">，（提供调节压力参数证明材料）。</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2.2.12.扫描功能:全扫描(Full Scan)、选择离子扫描模式(SIM)、全扫描和选择离子同时扫描（SIM/SCAN）、轮廓图扫描（Profile）</w:t>
      </w:r>
      <w:r/>
    </w:p>
    <w:p>
      <w:pPr>
        <w:pStyle w:val="694"/>
        <w:spacing w:line="400" w:lineRule="exact"/>
        <w:rPr>
          <w:rFonts w:ascii="宋体" w:hAnsi="宋体"/>
          <w:sz w:val="24"/>
          <w:szCs w:val="24"/>
        </w:rPr>
      </w:pPr>
      <w:r>
        <w:rPr>
          <w:rFonts w:ascii="宋体" w:hAnsi="宋体"/>
          <w:sz w:val="24"/>
          <w:szCs w:val="24"/>
        </w:rPr>
        <w:t xml:space="preserve">2.2.13检测器配电子倍增管，偏转透镜和转换打拿。离轴连续打拿电子倍增器可实现高动态监测范围</w:t>
      </w:r>
      <w:r/>
    </w:p>
    <w:p>
      <w:pPr>
        <w:pStyle w:val="694"/>
        <w:spacing w:line="40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w:t>
      </w:r>
      <w:r>
        <w:rPr>
          <w:rFonts w:ascii="宋体" w:hAnsi="宋体"/>
          <w:sz w:val="24"/>
          <w:szCs w:val="24"/>
        </w:rPr>
        <w:t xml:space="preserve">2.2.1</w:t>
      </w:r>
      <w:r>
        <w:rPr>
          <w:rFonts w:hint="eastAsia" w:ascii="宋体" w:hAnsi="宋体"/>
          <w:sz w:val="24"/>
          <w:szCs w:val="24"/>
        </w:rPr>
        <w:t xml:space="preserve">4</w:t>
      </w:r>
      <w:r>
        <w:rPr>
          <w:rFonts w:hint="eastAsia" w:ascii="宋体" w:hAnsi="宋体" w:cs="宋体"/>
          <w:spacing w:val="-2"/>
          <w:sz w:val="24"/>
          <w:szCs w:val="24"/>
        </w:rPr>
        <w:t xml:space="preserve">质谱工作站</w:t>
      </w:r>
      <w:r>
        <w:rPr>
          <w:rFonts w:hint="eastAsia" w:ascii="宋体" w:hAnsi="宋体" w:cs="宋体"/>
          <w:color w:val="000000"/>
          <w:spacing w:val="-2"/>
          <w:sz w:val="24"/>
          <w:szCs w:val="24"/>
        </w:rPr>
        <w:t xml:space="preserve">可一键进行自动水和空气检查，并自动生成具备漏气判定结果的检测报告，无需人工判定结果。（提供具有“水和空气检测”按键的软件视频证明）</w:t>
      </w:r>
      <w:r>
        <w:rPr>
          <w:rFonts w:ascii="宋体" w:hAnsi="宋体" w:cs="宋体"/>
          <w:color w:val="000000"/>
          <w:spacing w:val="-2"/>
          <w:sz w:val="24"/>
          <w:szCs w:val="24"/>
        </w:rPr>
      </w:r>
      <w:r/>
    </w:p>
    <w:p>
      <w:pPr>
        <w:pStyle w:val="694"/>
        <w:spacing w:line="40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w:t>
      </w:r>
      <w:r>
        <w:rPr>
          <w:rFonts w:ascii="宋体" w:hAnsi="宋体"/>
          <w:color w:val="000000"/>
          <w:sz w:val="24"/>
          <w:szCs w:val="24"/>
        </w:rPr>
        <w:t xml:space="preserve">2.2.1</w:t>
      </w:r>
      <w:r>
        <w:rPr>
          <w:rFonts w:hint="eastAsia" w:ascii="宋体" w:hAnsi="宋体"/>
          <w:color w:val="000000"/>
          <w:sz w:val="24"/>
          <w:szCs w:val="24"/>
        </w:rPr>
        <w:t xml:space="preserve">5</w:t>
      </w:r>
      <w:r>
        <w:rPr>
          <w:rFonts w:hint="eastAsia" w:ascii="宋体" w:hAnsi="宋体" w:cs="宋体"/>
          <w:color w:val="000000"/>
          <w:spacing w:val="-2"/>
          <w:sz w:val="24"/>
          <w:szCs w:val="24"/>
        </w:rPr>
        <w:t xml:space="preserve">官方中文定性分析软件标配解卷积功能，实现工作流程充分挖掘数据信息。（提供定性分析软件截图）</w:t>
      </w:r>
      <w:r>
        <w:rPr>
          <w:rFonts w:ascii="宋体" w:hAnsi="宋体" w:cs="宋体"/>
          <w:color w:val="000000"/>
          <w:spacing w:val="-2"/>
          <w:sz w:val="24"/>
          <w:szCs w:val="24"/>
        </w:rPr>
      </w:r>
      <w:r/>
    </w:p>
    <w:p>
      <w:pPr>
        <w:pStyle w:val="694"/>
        <w:spacing w:line="400" w:lineRule="exact"/>
        <w:rPr>
          <w:rFonts w:ascii="宋体" w:hAnsi="宋体" w:cs="宋体"/>
          <w:spacing w:val="-2"/>
          <w:sz w:val="24"/>
          <w:szCs w:val="24"/>
        </w:rPr>
      </w:pPr>
      <w:r>
        <w:rPr>
          <w:rFonts w:hint="eastAsia" w:ascii="宋体" w:hAnsi="宋体" w:cs="宋体"/>
          <w:color w:val="000000"/>
          <w:spacing w:val="-2"/>
          <w:sz w:val="24"/>
          <w:szCs w:val="24"/>
        </w:rPr>
        <w:t xml:space="preserve">▲</w:t>
      </w:r>
      <w:r>
        <w:rPr>
          <w:rFonts w:ascii="宋体" w:hAnsi="宋体"/>
          <w:color w:val="000000"/>
          <w:sz w:val="24"/>
          <w:szCs w:val="24"/>
        </w:rPr>
        <w:t xml:space="preserve">2.2.1</w:t>
      </w:r>
      <w:r>
        <w:rPr>
          <w:rFonts w:hint="eastAsia" w:ascii="宋体" w:hAnsi="宋体"/>
          <w:color w:val="000000"/>
          <w:sz w:val="24"/>
          <w:szCs w:val="24"/>
        </w:rPr>
        <w:t xml:space="preserve">6</w:t>
      </w:r>
      <w:r>
        <w:rPr>
          <w:rFonts w:hint="eastAsia" w:ascii="宋体" w:hAnsi="宋体" w:cs="宋体"/>
          <w:color w:val="000000"/>
          <w:spacing w:val="-2"/>
          <w:sz w:val="24"/>
          <w:szCs w:val="24"/>
        </w:rPr>
        <w:t xml:space="preserve">具有针对GB5749和GB3838，GB/T14848中有限量要求（含下列不同类型的SVOC,氯苯类化合物，农药化合物（有机氯/有机磷/菊酯），多环芳烃，多氯联苯，硝基苯类，邻苯二甲酸酯，酚类，其它化合物）气质解决方案</w:t>
      </w:r>
      <w:r>
        <w:rPr>
          <w:rFonts w:hint="eastAsia" w:ascii="宋体" w:hAnsi="宋体" w:cs="宋体"/>
          <w:spacing w:val="-2"/>
          <w:sz w:val="24"/>
          <w:szCs w:val="24"/>
        </w:rPr>
        <w:t xml:space="preserve">（</w:t>
      </w:r>
      <w:r>
        <w:rPr>
          <w:rFonts w:ascii="宋体" w:hAnsi="宋体"/>
          <w:sz w:val="24"/>
          <w:szCs w:val="24"/>
        </w:rPr>
        <w:t xml:space="preserve">提供技术证明材料</w:t>
      </w:r>
      <w:r>
        <w:rPr>
          <w:rFonts w:hint="eastAsia" w:ascii="宋体" w:hAnsi="宋体" w:cs="宋体"/>
          <w:spacing w:val="-2"/>
          <w:sz w:val="24"/>
          <w:szCs w:val="24"/>
        </w:rPr>
        <w:t xml:space="preserve">）</w:t>
      </w:r>
      <w:r>
        <w:rPr>
          <w:rFonts w:hint="eastAsia" w:ascii="宋体" w:hAnsi="宋体" w:cs="宋体"/>
          <w:color w:val="000000"/>
          <w:spacing w:val="-2"/>
          <w:sz w:val="24"/>
          <w:szCs w:val="24"/>
        </w:rPr>
        <w:t xml:space="preserve">或者提供农药残留、邻苯二甲酸酯、多环芳烃等3个版本自动创建</w:t>
      </w:r>
      <w:r>
        <w:rPr>
          <w:rFonts w:hint="eastAsia" w:ascii="宋体" w:hAnsi="宋体" w:cs="宋体"/>
          <w:spacing w:val="-2"/>
          <w:sz w:val="24"/>
          <w:szCs w:val="24"/>
        </w:rPr>
        <w:t xml:space="preserve">SIM表分析方法包，涵盖至少12个方法条件、500多种以上化合物的中英文名称。</w:t>
      </w:r>
      <w:r>
        <w:rPr>
          <w:rFonts w:ascii="宋体" w:hAnsi="宋体" w:cs="宋体"/>
          <w:spacing w:val="-2"/>
          <w:sz w:val="24"/>
          <w:szCs w:val="24"/>
        </w:rPr>
      </w:r>
      <w:r/>
    </w:p>
    <w:p>
      <w:pPr>
        <w:pStyle w:val="694"/>
        <w:spacing w:line="400" w:lineRule="exact"/>
        <w:rPr>
          <w:rFonts w:ascii="宋体" w:hAnsi="宋体"/>
          <w:sz w:val="24"/>
          <w:szCs w:val="24"/>
        </w:rPr>
      </w:pPr>
      <w:r>
        <w:rPr>
          <w:rFonts w:ascii="宋体" w:hAnsi="宋体"/>
          <w:sz w:val="24"/>
          <w:szCs w:val="24"/>
        </w:rPr>
        <w:t xml:space="preserve">2.3. 数据处理系统</w:t>
      </w:r>
      <w:r/>
    </w:p>
    <w:p>
      <w:pPr>
        <w:pStyle w:val="694"/>
        <w:spacing w:line="400" w:lineRule="exact"/>
        <w:rPr>
          <w:rFonts w:ascii="宋体" w:hAnsi="宋体"/>
          <w:sz w:val="24"/>
          <w:szCs w:val="24"/>
        </w:rPr>
      </w:pPr>
      <w:r>
        <w:rPr>
          <w:rFonts w:ascii="宋体" w:hAnsi="宋体"/>
          <w:sz w:val="24"/>
          <w:szCs w:val="24"/>
        </w:rPr>
        <w:t xml:space="preserve">2.3.1.软件：气质联用软件应该包含中文软件 </w:t>
      </w:r>
      <w:r/>
    </w:p>
    <w:p>
      <w:pPr>
        <w:pStyle w:val="694"/>
        <w:spacing w:line="400" w:lineRule="exact"/>
        <w:rPr>
          <w:rFonts w:ascii="宋体" w:hAnsi="宋体"/>
          <w:sz w:val="24"/>
          <w:szCs w:val="24"/>
        </w:rPr>
      </w:pPr>
      <w:r>
        <w:rPr>
          <w:rFonts w:ascii="宋体" w:hAnsi="宋体"/>
          <w:sz w:val="24"/>
          <w:szCs w:val="24"/>
        </w:rPr>
        <w:t xml:space="preserve">2.3.2.通用谱库: NIST20谱库</w:t>
      </w:r>
      <w:r/>
    </w:p>
    <w:p>
      <w:pPr>
        <w:pStyle w:val="694"/>
        <w:spacing w:line="400" w:lineRule="exact"/>
        <w:rPr>
          <w:rFonts w:ascii="宋体" w:hAnsi="宋体"/>
          <w:sz w:val="24"/>
          <w:szCs w:val="24"/>
        </w:rPr>
      </w:pPr>
      <w:r>
        <w:rPr>
          <w:rFonts w:ascii="宋体" w:hAnsi="宋体"/>
          <w:sz w:val="24"/>
          <w:szCs w:val="24"/>
        </w:rPr>
        <w:t xml:space="preserve">3 </w:t>
      </w:r>
      <w:r>
        <w:rPr>
          <w:rFonts w:hint="eastAsia" w:ascii="宋体" w:hAnsi="宋体"/>
          <w:sz w:val="24"/>
          <w:szCs w:val="24"/>
        </w:rPr>
        <w:t xml:space="preserve">吹扫捕集进样系统</w:t>
      </w:r>
      <w:r>
        <w:rPr>
          <w:rFonts w:ascii="宋体" w:hAnsi="宋体"/>
          <w:sz w:val="24"/>
          <w:szCs w:val="24"/>
        </w:rPr>
      </w:r>
      <w:r/>
    </w:p>
    <w:p>
      <w:pPr>
        <w:pStyle w:val="694"/>
        <w:spacing w:line="400" w:lineRule="exact"/>
        <w:rPr>
          <w:rFonts w:ascii="宋体" w:hAnsi="宋体" w:cs="宋体"/>
          <w:b/>
          <w:bCs/>
          <w:spacing w:val="-2"/>
          <w:sz w:val="24"/>
          <w:szCs w:val="24"/>
        </w:rPr>
      </w:pPr>
      <w:r>
        <w:rPr>
          <w:rFonts w:hint="eastAsia" w:ascii="宋体" w:hAnsi="宋体" w:cs="宋体"/>
          <w:spacing w:val="-2"/>
          <w:sz w:val="24"/>
          <w:szCs w:val="24"/>
        </w:rPr>
        <w:t xml:space="preserve">▲3.1吹扫捕集仪与气相色谱质谱仪连接时需在吹扫捕集仪器软件设置里直接适配，样品序列进样的控制应与气质联用仪软件联动，满足多个样本吸取样本、吹扫捕集、进样检测全流程自动化，无人值守。</w:t>
      </w:r>
      <w:r>
        <w:rPr>
          <w:rFonts w:ascii="宋体" w:hAnsi="宋体" w:cs="宋体"/>
          <w:b/>
          <w:bCs/>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3.2仪器内部所有电磁阀组安装在集中式阀体上，整体样品流路短，死体积小。（提供软件截图）</w:t>
      </w:r>
      <w:r>
        <w:rPr>
          <w:rFonts w:ascii="宋体" w:hAnsi="宋体" w:cs="宋体"/>
          <w:spacing w:val="-2"/>
          <w:sz w:val="24"/>
          <w:szCs w:val="24"/>
        </w:rPr>
      </w:r>
      <w:r/>
    </w:p>
    <w:p>
      <w:pPr>
        <w:pStyle w:val="694"/>
        <w:spacing w:line="400" w:lineRule="exact"/>
        <w:rPr>
          <w:rFonts w:hint="eastAsia" w:ascii="宋体" w:hAnsi="宋体" w:cs="宋体"/>
          <w:spacing w:val="-2"/>
          <w:sz w:val="24"/>
          <w:szCs w:val="24"/>
        </w:rPr>
      </w:pPr>
      <w:r>
        <w:rPr>
          <w:rFonts w:hint="eastAsia" w:ascii="宋体" w:hAnsi="宋体" w:cs="宋体"/>
          <w:spacing w:val="-2"/>
          <w:sz w:val="24"/>
          <w:szCs w:val="24"/>
        </w:rPr>
        <w:t xml:space="preserve">▲3.3吹扫捕集仪自动进样器与吹扫主机一体化集成设计；一套软件控制；进样位数量：自动进样器样品位数量不少于80位，适用于40ml样品瓶，可任意选择进样位。（提供实物证明）</w:t>
      </w:r>
      <w:r>
        <w:rPr>
          <w:rFonts w:hint="eastAsia"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3.4适用于样品类型包括饮用水、污水，土壤等固体样品。（提供技术证明材料）</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3.5具备甲醇萃取高浓度土壤样品（＞200ppb）功能。萃取后可按1:100或1:50的比例稀释成水样并分析；甲醇可直接加入样品瓶中，并搅拌混匀实现自动甲醇提取功能。（提供甲醇自动萃取功能设置软件截图证明文件）</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3.6采样管路采用硅钢管线、PEEK管线及硅钢接口，增强惰性，减少样品残留。</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3.7进样针需具备内置三个完全独立的通道，通过同一根针可实现蒸馏水、内标、萃取剂等直接注入到样品瓶，只有1根进样；注入系统至少有两个内标位，采用3态分流阀上配置的2通配置阀控制注入容量。</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3.8具有吹扫加热功能，温度控制范围：室温～90℃。</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3.9开机自动对整个样品流路检漏，如检漏不合格，自动分步分段检漏，确定漏点所对应子系统；配置的≥9个24VDC相互独立的电磁阀，以及加热器、泵、机械臂等每个机械部件在软件上均可独立控制，自动检测状态。</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3.10采用U型高效捕集阱，采用全包裹式加热，受热均匀无冷点，捕集阱加热范围：室温～ 350℃。</w:t>
      </w:r>
      <w:r>
        <w:rPr>
          <w:rFonts w:ascii="宋体" w:hAnsi="宋体" w:cs="宋体"/>
          <w:spacing w:val="-2"/>
          <w:sz w:val="24"/>
          <w:szCs w:val="24"/>
        </w:rPr>
      </w:r>
      <w:r/>
    </w:p>
    <w:p>
      <w:pPr>
        <w:pStyle w:val="694"/>
        <w:spacing w:line="400" w:lineRule="exact"/>
        <w:rPr>
          <w:rFonts w:ascii="宋体" w:hAnsi="宋体" w:cs="宋体"/>
          <w:b/>
          <w:bCs/>
          <w:spacing w:val="-2"/>
          <w:sz w:val="24"/>
          <w:szCs w:val="24"/>
        </w:rPr>
      </w:pPr>
      <w:r>
        <w:rPr>
          <w:rFonts w:hint="eastAsia" w:ascii="宋体" w:hAnsi="宋体" w:cs="宋体"/>
          <w:spacing w:val="-2"/>
          <w:sz w:val="24"/>
          <w:szCs w:val="24"/>
        </w:rPr>
        <w:t xml:space="preserve">3.11运用加速吹扫捕集技术，能实现≤15分钟的循环时间或≤11分钟的吹扫时间，一个系统循环时间（包含吹扫、解析、烘烤）系统至“准备就绪”状态全过程）≤20 min。</w:t>
      </w:r>
      <w:r>
        <w:rPr>
          <w:rFonts w:ascii="宋体" w:hAnsi="宋体" w:cs="宋体"/>
          <w:b/>
          <w:bCs/>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3.12气路控制采用MFC电子质量流量控制器系统，不同模式下可在50～500ml/min范围内自动改变气体流速，且可对两种不同气体进行流量曲线校准。</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▲4 仪器具备接入LIMS系统的接口；如没有，后期免费给用户升级；</w:t>
      </w:r>
      <w:r>
        <w:rPr>
          <w:rFonts w:ascii="宋体" w:hAnsi="宋体" w:cs="宋体"/>
          <w:spacing w:val="-2"/>
          <w:sz w:val="24"/>
          <w:szCs w:val="24"/>
        </w:rPr>
      </w:r>
      <w:r/>
    </w:p>
    <w:p>
      <w:pPr>
        <w:pStyle w:val="694"/>
        <w:spacing w:line="400" w:lineRule="exact"/>
        <w:rPr>
          <w:rFonts w:ascii="宋体" w:hAnsi="宋体"/>
          <w:sz w:val="24"/>
          <w:szCs w:val="24"/>
        </w:rPr>
      </w:pPr>
      <w:r>
        <w:rPr>
          <w:rFonts w:hint="eastAsia" w:ascii="宋体" w:hAnsi="宋体"/>
          <w:sz w:val="24"/>
          <w:szCs w:val="24"/>
        </w:rPr>
        <w:t xml:space="preserve">5配置清单</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 质谱仪(含EI</w:t>
      </w:r>
      <w:r>
        <w:rPr>
          <w:rFonts w:hint="eastAsia" w:ascii="宋体" w:hAnsi="宋体"/>
          <w:sz w:val="24"/>
          <w:szCs w:val="24"/>
        </w:rPr>
        <w:t xml:space="preserve">离子源2个</w:t>
      </w:r>
      <w:r>
        <w:rPr>
          <w:rFonts w:ascii="宋体" w:hAnsi="宋体"/>
          <w:sz w:val="24"/>
          <w:szCs w:val="24"/>
        </w:rPr>
        <w:t xml:space="preserve">、分子涡轮泵</w:t>
      </w:r>
      <w:r>
        <w:rPr>
          <w:rFonts w:hint="eastAsia" w:ascii="宋体" w:hAnsi="宋体"/>
          <w:sz w:val="24"/>
          <w:szCs w:val="24"/>
        </w:rPr>
        <w:t xml:space="preserve">1个</w:t>
      </w:r>
      <w:r>
        <w:rPr>
          <w:rFonts w:ascii="宋体" w:hAnsi="宋体"/>
          <w:sz w:val="24"/>
          <w:szCs w:val="24"/>
        </w:rPr>
        <w:t xml:space="preserve">) 1台</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2 气相色谱仪主机 1台</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3 分流不分流进样口 (含电子流量控制) 1个</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4 质谱接口 1个</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5 化学工作站软件 1个</w:t>
      </w:r>
      <w:r/>
    </w:p>
    <w:p>
      <w:pPr>
        <w:pStyle w:val="694"/>
        <w:spacing w:line="400" w:lineRule="exact"/>
        <w:rPr>
          <w:rFonts w:ascii="宋体" w:hAnsi="宋体"/>
          <w:sz w:val="24"/>
          <w:szCs w:val="24"/>
        </w:rPr>
      </w:pPr>
      <w:r>
        <w:rPr>
          <w:rFonts w:hint="eastAsia" w:ascii="宋体" w:hAnsi="宋体"/>
          <w:sz w:val="24"/>
          <w:szCs w:val="24"/>
        </w:rPr>
        <w:t xml:space="preserve">5.6 </w:t>
      </w:r>
      <w:r>
        <w:rPr>
          <w:rFonts w:ascii="宋体" w:hAnsi="宋体"/>
          <w:sz w:val="24"/>
          <w:szCs w:val="24"/>
        </w:rPr>
        <w:t xml:space="preserve">NIST 谱库 1套</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7 安装工具包 （不包括气体净化器） 1个</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8 大容量整合式捕集阱, 用于氦气 1根</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9 不粘连高级绿色进样口隔垫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10 石墨密封垫圈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11 分流衬管，低压降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12 不粘连衬管O型圈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13 密封垫圈，0.4 mm 内径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14 泵油  1瓶</w:t>
      </w:r>
      <w:r/>
    </w:p>
    <w:p>
      <w:pPr>
        <w:pStyle w:val="694"/>
        <w:spacing w:line="400" w:lineRule="exact"/>
        <w:rPr>
          <w:rFonts w:ascii="宋体" w:hAnsi="宋体"/>
          <w:sz w:val="24"/>
          <w:szCs w:val="24"/>
        </w:rPr>
        <w:outlineLvl w:val="0"/>
      </w:pPr>
      <w:r>
        <w:rPr>
          <w:rFonts w:hint="eastAsia" w:ascii="宋体" w:hAnsi="宋体"/>
          <w:sz w:val="24"/>
          <w:szCs w:val="24"/>
        </w:rPr>
        <w:t xml:space="preserve">5.</w:t>
      </w:r>
      <w:r>
        <w:rPr>
          <w:rFonts w:ascii="宋体" w:hAnsi="宋体"/>
          <w:sz w:val="24"/>
          <w:szCs w:val="24"/>
        </w:rPr>
        <w:t xml:space="preserve">15 色谱柱 </w:t>
      </w:r>
      <w:r>
        <w:rPr>
          <w:rFonts w:hint="eastAsia" w:ascii="宋体" w:hAnsi="宋体"/>
          <w:sz w:val="24"/>
          <w:szCs w:val="24"/>
        </w:rPr>
        <w:t xml:space="preserve">2</w:t>
      </w:r>
      <w:r>
        <w:rPr>
          <w:rFonts w:ascii="宋体" w:hAnsi="宋体"/>
          <w:sz w:val="24"/>
          <w:szCs w:val="24"/>
        </w:rPr>
        <w:t xml:space="preserve">根</w:t>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6 </w:t>
      </w:r>
      <w:r>
        <w:rPr>
          <w:rFonts w:hint="eastAsia" w:ascii="宋体" w:hAnsi="宋体"/>
          <w:sz w:val="24"/>
          <w:szCs w:val="24"/>
        </w:rPr>
        <w:t xml:space="preserve">吹扫捕集进样系统 </w:t>
      </w:r>
      <w:r>
        <w:rPr>
          <w:rFonts w:ascii="宋体" w:hAnsi="宋体"/>
          <w:sz w:val="24"/>
          <w:szCs w:val="24"/>
        </w:rPr>
        <w:t xml:space="preserve">1</w:t>
      </w:r>
      <w:r>
        <w:rPr>
          <w:rFonts w:hint="eastAsia" w:ascii="宋体" w:hAnsi="宋体"/>
          <w:sz w:val="24"/>
          <w:szCs w:val="24"/>
        </w:rPr>
        <w:t xml:space="preserve">台</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7 </w:t>
      </w:r>
      <w:r>
        <w:rPr>
          <w:rFonts w:hint="eastAsia" w:ascii="宋体" w:hAnsi="宋体"/>
          <w:sz w:val="24"/>
          <w:szCs w:val="24"/>
        </w:rPr>
        <w:t xml:space="preserve">吹扫样品瓶 1</w:t>
      </w:r>
      <w:r>
        <w:rPr>
          <w:rFonts w:ascii="宋体" w:hAnsi="宋体"/>
          <w:sz w:val="24"/>
          <w:szCs w:val="24"/>
        </w:rPr>
        <w:t xml:space="preserve">00</w:t>
      </w:r>
      <w:r>
        <w:rPr>
          <w:rFonts w:hint="eastAsia" w:ascii="宋体" w:hAnsi="宋体"/>
          <w:sz w:val="24"/>
          <w:szCs w:val="24"/>
        </w:rPr>
        <w:t xml:space="preserve">瓶</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8 </w:t>
      </w:r>
      <w:r>
        <w:rPr>
          <w:rFonts w:hint="eastAsia" w:ascii="宋体" w:hAnsi="宋体"/>
          <w:sz w:val="24"/>
          <w:szCs w:val="24"/>
        </w:rPr>
        <w:t xml:space="preserve">鼓泡管 </w:t>
      </w:r>
      <w:r>
        <w:rPr>
          <w:rFonts w:ascii="宋体" w:hAnsi="宋体"/>
          <w:sz w:val="24"/>
          <w:szCs w:val="24"/>
        </w:rPr>
        <w:t xml:space="preserve">1</w:t>
      </w:r>
      <w:r>
        <w:rPr>
          <w:rFonts w:hint="eastAsia" w:ascii="宋体" w:hAnsi="宋体"/>
          <w:sz w:val="24"/>
          <w:szCs w:val="24"/>
        </w:rPr>
        <w:t xml:space="preserve">个</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9 </w:t>
      </w:r>
      <w:r>
        <w:rPr>
          <w:rFonts w:hint="eastAsia" w:ascii="宋体" w:hAnsi="宋体"/>
          <w:sz w:val="24"/>
          <w:szCs w:val="24"/>
        </w:rPr>
        <w:t xml:space="preserve">样品瓶隔垫1包</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5.20 微型进样针 100uL 2支  50uL 2支  10uL 2支</w:t>
      </w:r>
      <w:r>
        <w:rPr>
          <w:rFonts w:ascii="宋体" w:hAnsi="宋体"/>
          <w:sz w:val="24"/>
          <w:szCs w:val="24"/>
        </w:rPr>
      </w:r>
      <w:r/>
    </w:p>
    <w:p>
      <w:pPr>
        <w:pStyle w:val="694"/>
        <w:jc w:val="left"/>
        <w:spacing w:line="400" w:lineRule="exact"/>
        <w:rPr>
          <w:rFonts w:hint="eastAsia" w:ascii="宋体" w:hAnsi="宋体"/>
          <w:b/>
          <w:sz w:val="24"/>
          <w:szCs w:val="24"/>
        </w:rPr>
        <w:outlineLvl w:val="0"/>
      </w:pPr>
      <w:r>
        <w:rPr>
          <w:rFonts w:hint="eastAsia" w:ascii="宋体" w:hAnsi="宋体"/>
          <w:b/>
          <w:sz w:val="24"/>
          <w:szCs w:val="24"/>
        </w:rPr>
      </w:r>
      <w:r/>
    </w:p>
    <w:p>
      <w:pPr>
        <w:pStyle w:val="694"/>
        <w:jc w:val="left"/>
        <w:spacing w:line="400" w:lineRule="exact"/>
        <w:rPr>
          <w:rFonts w:ascii="宋体" w:hAnsi="宋体"/>
          <w:b/>
          <w:sz w:val="24"/>
          <w:szCs w:val="24"/>
        </w:rPr>
        <w:outlineLvl w:val="0"/>
      </w:pPr>
      <w:r>
        <w:rPr>
          <w:rFonts w:hint="eastAsia" w:ascii="宋体" w:hAnsi="宋体"/>
          <w:b/>
          <w:sz w:val="24"/>
          <w:szCs w:val="24"/>
        </w:rPr>
        <w:t xml:space="preserve">便携式傅里叶红外分析仪</w:t>
      </w:r>
      <w:r>
        <w:rPr>
          <w:rFonts w:ascii="宋体" w:hAnsi="宋体"/>
          <w:b/>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1、设备用途</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应用于现场分析高温、高湿、带腐蚀性的烟气，直接采样，直接分析，能在现场进行长时间在线监测，能同时多组分定性、定量分析。同时测量并显示多种气体。</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2、技术参数要求</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2.1功能：现场分析高温、高湿、带腐蚀性的气体，直接采样、分析，能在现场进行长时间在线监测，能定性、定量分析；</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2.1.1原理：傅里叶变换红外分析原理；</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▲2.1.2</w:t>
      </w:r>
      <w:r>
        <w:rPr>
          <w:rFonts w:hint="eastAsia" w:ascii="宋体" w:hAnsi="宋体"/>
          <w:sz w:val="24"/>
          <w:szCs w:val="24"/>
        </w:rPr>
        <w:t xml:space="preserve">特点：摆臂式干涉仪、便携式，抗震性强，适于野外工作；（提供相关</w:t>
      </w:r>
      <w:r>
        <w:rPr>
          <w:rFonts w:ascii="宋体" w:hAnsi="宋体"/>
          <w:sz w:val="24"/>
          <w:szCs w:val="24"/>
        </w:rPr>
        <w:t xml:space="preserve">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2.1.3分束器：采用防潮窗口材料；</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2.1.4波长范围：900～5000cm-1。</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2.1.5检测器：Peltier制冷MCT</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2.1.6氦氖激光器，波数精度高，漂移小</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2.2样气室</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▲2.2.1气室工作温度：空气模式（50℃）和烟气模式（180℃）（提供软件截图）。</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2.2.2样气室内壁有抗腐蚀涂层。 </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2.3软件分析系统</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2.3.1出厂标定光谱库（精确定性、定量），出厂气体标定组分、量程及精度，能够进行未知气体的自动查找和判定多种分析量程进行选择，适用于不同的应用。</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▲2.3.2中文软件界面，可以实现同时多组分定量、实时监视仪器硬件状态（提供软件截图）。</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2.3.3根据测量要求可调整气体浓度单位（ppm、mg/m3）；</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2.3.4对测量结果可进行干、湿浓度的转换，显示个物质的浓度1、5、10分钟均值。利于和现场CEMS系统进行对比；</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2.3.5根据不同测量环境进行压力及湿度补偿，自动修正组分之间的干扰，保证测量精度；</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2.3.6可进行连续现场记录存储，自动存储测量光谱图，并能显示浓度-时间趋势图；</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2.3.7分析结果可存储文本格式，便于采购人编制分析报告。</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▲2.3.8可通过平板电脑进行远程诊断（提供实物照片）</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2.3.9</w:t>
      </w:r>
      <w:r>
        <w:rPr>
          <w:rFonts w:ascii="宋体" w:hAnsi="宋体"/>
          <w:sz w:val="24"/>
          <w:szCs w:val="24"/>
        </w:rPr>
        <w:t xml:space="preserve">支持用户自行添加测量组分光谱</w:t>
      </w:r>
      <w:r/>
    </w:p>
    <w:p>
      <w:pPr>
        <w:pStyle w:val="694"/>
        <w:spacing w:line="400" w:lineRule="exact"/>
        <w:rPr>
          <w:rFonts w:ascii="宋体" w:hAnsi="宋体"/>
          <w:sz w:val="24"/>
          <w:szCs w:val="24"/>
        </w:rPr>
        <w:outlineLvl w:val="0"/>
      </w:pPr>
      <w:r>
        <w:rPr>
          <w:rFonts w:hint="eastAsia" w:ascii="宋体" w:hAnsi="宋体"/>
          <w:sz w:val="24"/>
          <w:szCs w:val="24"/>
        </w:rPr>
        <w:t xml:space="preserve">2.4便携式全程加热采样系统</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2.4.1全程加热到180℃，恒温控制，全程加热包括：采样探杆、采样探头、伴热管线、高温预处理装置（含高温采样泵）；</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▲2.4.2避免采样泵的震动对傅里叶红外气体分析仪主机影响，采样泵需与主机分开。（提供实物照片）</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2.4.3采样流量：2.5~3L/min，两级过滤系统，粉尘过滤小于2µ；</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2.4.4  1.5米、1米长伴热管线各一根，加热温度：恒温180℃。</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2.5便携式加热探头：1米长加热采样探杆，前端可延长。</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▲2.6气体标定组分、量程及精度要求（投标时需提供官方彩页或设备检定/校准证书等相关证明文件扫描件）。</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（1）水蒸气</w:t>
        <w:tab/>
        <w:t xml:space="preserve">0-40%；</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（2）二氧化碳</w:t>
        <w:tab/>
        <w:t xml:space="preserve">    0-50%；</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（3）一氧化碳</w:t>
        <w:tab/>
        <w:t xml:space="preserve">    0-100-2000mg/m³；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（4）二氧化硫</w:t>
        <w:tab/>
        <w:t xml:space="preserve">    0-50-2000mg/m³；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（5）一氧化氮</w:t>
        <w:tab/>
        <w:t xml:space="preserve">    0-200-2000mg/m³；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（6）二氧化氮</w:t>
        <w:tab/>
        <w:t xml:space="preserve">    0-200-2000mg/m³；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（7）一氧化二氮</w:t>
        <w:tab/>
        <w:t xml:space="preserve"> 0-50-200mg/m³；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（8）氨气</w:t>
        <w:tab/>
        <w:t xml:space="preserve">        0-50-200mg/m³；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（9）氟化氢</w:t>
        <w:tab/>
        <w:t xml:space="preserve"> 0-20-200mg/m³；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（10）氯化氢</w:t>
        <w:tab/>
        <w:t xml:space="preserve">    0-75-200mg/m³。</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2.7测量精度：测量精度≤±5％；</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▲3、仪器需具备定位、授时功能；仪器需具备数据防篡改功能。</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4、单套配置要求</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4.1便携式傅里叶红外分析仪主机1台；</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4.2预处理装置1套；</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4.3样探头及探杆1套；</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4.4伴热管线1套；</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4.5平板电脑，配件（皮塞子、支架、网线等）1套；</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4.6便携采样探头箱：玻璃纤维滤芯5个。</w:t>
      </w:r>
      <w:r>
        <w:rPr>
          <w:rFonts w:ascii="宋体" w:hAnsi="宋体"/>
          <w:sz w:val="24"/>
          <w:szCs w:val="24"/>
        </w:rPr>
      </w:r>
      <w:r/>
    </w:p>
    <w:p>
      <w:pPr>
        <w:pStyle w:val="694"/>
        <w:jc w:val="left"/>
        <w:spacing w:line="400" w:lineRule="exact"/>
        <w:rPr>
          <w:rFonts w:hint="eastAsia" w:ascii="宋体" w:hAnsi="宋体"/>
          <w:b/>
          <w:sz w:val="24"/>
          <w:szCs w:val="24"/>
        </w:rPr>
        <w:outlineLvl w:val="0"/>
      </w:pPr>
      <w:r>
        <w:rPr>
          <w:rFonts w:hint="eastAsia" w:ascii="宋体" w:hAnsi="宋体"/>
          <w:b/>
          <w:sz w:val="24"/>
          <w:szCs w:val="24"/>
        </w:rPr>
        <w:t xml:space="preserve">实验室水电改造</w:t>
      </w:r>
      <w:r/>
    </w:p>
    <w:p>
      <w:pPr>
        <w:pStyle w:val="694"/>
        <w:spacing w:line="400" w:lineRule="exact"/>
        <w:rPr>
          <w:rFonts w:ascii="宋体" w:hAnsi="宋体"/>
          <w:sz w:val="24"/>
          <w:szCs w:val="24"/>
        </w:rPr>
        <w:outlineLvl w:val="0"/>
      </w:pPr>
      <w:r>
        <w:rPr>
          <w:rFonts w:hint="eastAsia" w:ascii="宋体" w:hAnsi="宋体"/>
          <w:sz w:val="24"/>
          <w:szCs w:val="24"/>
        </w:rPr>
        <w:t xml:space="preserve">项目要求：对实验大楼总电开关柜进行更新，对一楼、二楼电气开关柜进行更新，对一楼、二楼的水电管路进行更换或重新铺设，预计各种型号配电箱14台，桥架80M左右，中标单位负责配电箱和桥架安装，及提供符合实验室使用要求的相关配件。请各投标单位谨慎报价，具体事项可到项目实施地考察及测算；中标单位负责设计电路施工图，待采购人确认后进行施工。</w:t>
      </w:r>
      <w:r>
        <w:rPr>
          <w:rFonts w:ascii="宋体" w:hAnsi="宋体"/>
          <w:sz w:val="24"/>
          <w:szCs w:val="24"/>
        </w:rPr>
      </w:r>
      <w:r/>
    </w:p>
    <w:p>
      <w:pPr>
        <w:pStyle w:val="694"/>
        <w:spacing w:line="360" w:lineRule="auto"/>
        <w:rPr>
          <w:rFonts w:ascii="宋体" w:hAnsi="宋体"/>
          <w:b/>
          <w:bCs/>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694"/>
        <w:ind w:firstLine="480"/>
        <w:spacing w:line="360" w:lineRule="auto"/>
        <w:rPr>
          <w:rFonts w:hint="eastAsia" w:ascii="宋体" w:hAnsi="宋体"/>
          <w:b/>
          <w:bCs/>
          <w:color w:val="000000"/>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.1  合同履行期限</w:t>
      </w:r>
      <w:r>
        <w:rPr>
          <w:rFonts w:hint="eastAsia" w:ascii="宋体" w:hAnsi="宋体" w:eastAsia="宋体"/>
          <w:color w:val="000000"/>
          <w:sz w:val="24"/>
          <w:szCs w:val="24"/>
          <w:lang w:val="en-US" w:eastAsia="zh-CN"/>
        </w:rPr>
      </w:r>
      <w:r/>
    </w:p>
    <w:p>
      <w:pPr>
        <w:pStyle w:val="726"/>
        <w:ind w:left="33"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90</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，2包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，3包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eastAsia="zh-CN"/>
        </w:rPr>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.2  服务地点</w:t>
      </w:r>
      <w:r>
        <w:rPr>
          <w:rFonts w:hint="eastAsia" w:ascii="宋体" w:hAnsi="宋体" w:eastAsia="宋体"/>
          <w:color w:val="000000"/>
          <w:sz w:val="24"/>
          <w:szCs w:val="24"/>
          <w:lang w:val="en-US" w:eastAsia="zh-CN"/>
        </w:rPr>
      </w:r>
      <w:r/>
    </w:p>
    <w:p>
      <w:pPr>
        <w:pStyle w:val="726"/>
        <w:ind w:left="33"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具体交付地点由采购人指定。</w:t>
      </w:r>
      <w:r>
        <w:rPr>
          <w:rFonts w:hint="eastAsia" w:ascii="宋体" w:hAnsi="宋体" w:eastAsia="宋体"/>
          <w:color w:val="000000"/>
          <w:sz w:val="24"/>
          <w:szCs w:val="24"/>
          <w:lang w:val="en-US" w:eastAsia="zh-CN"/>
        </w:rPr>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.3  服务要求</w:t>
      </w:r>
      <w:r>
        <w:rPr>
          <w:rFonts w:hint="eastAsia" w:ascii="宋体" w:hAnsi="宋体" w:eastAsia="宋体"/>
          <w:color w:val="000000"/>
          <w:sz w:val="24"/>
          <w:szCs w:val="24"/>
          <w:lang w:val="en-US" w:eastAsia="zh-CN"/>
        </w:rPr>
      </w:r>
      <w:r/>
    </w:p>
    <w:p>
      <w:pPr>
        <w:pStyle w:val="694"/>
        <w:ind w:firstLine="482"/>
        <w:spacing w:line="500" w:lineRule="exact"/>
        <w:rPr>
          <w:rFonts w:ascii="宋体" w:hAnsi="宋体"/>
          <w:b/>
          <w:bCs/>
          <w:sz w:val="24"/>
          <w:szCs w:val="24"/>
        </w:rPr>
      </w:pPr>
      <w:r>
        <w:rPr>
          <w:rFonts w:hint="eastAsia" w:ascii="宋体" w:hAnsi="宋体"/>
          <w:b/>
          <w:bCs/>
          <w:sz w:val="24"/>
          <w:szCs w:val="24"/>
        </w:rPr>
        <w:t xml:space="preserve">（一）供货方案</w:t>
      </w:r>
      <w:r>
        <w:rPr>
          <w:rFonts w:ascii="宋体" w:hAnsi="宋体"/>
          <w:b/>
          <w:bCs/>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1.投标单位应自行到现场了解项目情况，满足采购人指定应用范围内的所有要求，与设备有关的所有配套软件、辅材和安装内容全部包含在内，在货物安装、运输过程中产生的一切安全责任事故由成交供应商承担，采购人不承担由此带来的一切经济、法律责任。投标单位不得以本清单有缺陷为由漏项，导致整个系统或某项功能不能满足要求。</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设备安装前，应告知采购人有关安装前的准备工作如：供货时间、运输方式、场地要求、电力要求、安装时间等；设备安装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并根据采购人要求免费提供并安装设备操作及应用软件。</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3.中标单位在交付设备的同时向采购人提供设备全套随机资料一套 (不限于合格证书、使用维护说明书、验收报告书、原厂保修单等) 。投标单位应保证本项目设备涉及到的知识产权和软件、技术资料是合法取得，并享有完整的知识产权或合法使用权，不会因为采购人的使用而被责令停止使用、追偿或要求赔偿损失，如出现此情况，一切经济和法律责任均由投标单位承担。</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调试验收：整机包装完整，配件数量齐全；通电开机运行检查系统性能 (功能正常，符合技术参数指标) 。设备安装后，采购人按相关标准及厂方标准进行质量验收。中标单位应向采购人提供详细的验收标准、验收手册；只有在设备完全正常运转和采购人确认后，设备的安装工作才能认为已全部完成；验收过程中确认设备有质量问题或达不到采购文件技术要求的，由中标单位负责免费维修或更换，如维修或更换后仍无法达到采购文件及响应文件承诺的技术参数，采购人有权拒收并退回设备，所有费用均由中标单位承担。</w:t>
      </w:r>
      <w:r>
        <w:rPr>
          <w:rFonts w:ascii="宋体" w:hAnsi="宋体"/>
          <w:sz w:val="24"/>
          <w:szCs w:val="24"/>
        </w:rPr>
      </w:r>
      <w:r/>
    </w:p>
    <w:p>
      <w:pPr>
        <w:pStyle w:val="694"/>
        <w:ind w:firstLine="482"/>
        <w:spacing w:line="500" w:lineRule="exact"/>
        <w:rPr>
          <w:rFonts w:ascii="宋体" w:hAnsi="宋体"/>
          <w:b/>
          <w:bCs/>
          <w:sz w:val="24"/>
          <w:szCs w:val="24"/>
        </w:rPr>
      </w:pPr>
      <w:r>
        <w:rPr>
          <w:rFonts w:hint="eastAsia" w:ascii="宋体" w:hAnsi="宋体"/>
          <w:b/>
          <w:bCs/>
          <w:sz w:val="24"/>
          <w:szCs w:val="24"/>
        </w:rPr>
        <w:t xml:space="preserve">（二）培训</w:t>
      </w:r>
      <w:r>
        <w:rPr>
          <w:rFonts w:hint="eastAsia" w:ascii="宋体" w:hAnsi="宋体"/>
          <w:b/>
          <w:bCs/>
          <w:sz w:val="24"/>
          <w:szCs w:val="24"/>
        </w:rPr>
        <w:t xml:space="preserve">方案</w:t>
      </w:r>
      <w:r>
        <w:rPr>
          <w:rFonts w:ascii="宋体" w:hAnsi="宋体"/>
          <w:b/>
          <w:bCs/>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1.设备安装调试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2.中标单位须组织采购人相关使用人员参加厂家统一组织的现场培训和进阶培训，现场培训时间不少于3 天，培训人次不低于4人次，培训地点为仪器安装现场，培训内容包含设备操作、日常维护及系统数据更新等；进阶培训不少于3 天，培训地点为生产商培训基地，培训人次不低于4人次，培训内容包含设备操作、进阶维护、软/硬件高级培训、行业应用培训, 定制化培训等，培训费用均由中标单位承担。</w:t>
      </w:r>
      <w:r>
        <w:rPr>
          <w:rFonts w:ascii="宋体" w:hAnsi="宋体"/>
          <w:sz w:val="24"/>
          <w:szCs w:val="24"/>
        </w:rPr>
      </w:r>
      <w:r/>
    </w:p>
    <w:p>
      <w:pPr>
        <w:pStyle w:val="694"/>
        <w:ind w:firstLine="482"/>
        <w:spacing w:line="500" w:lineRule="exact"/>
        <w:rPr>
          <w:rFonts w:ascii="宋体" w:hAnsi="宋体"/>
          <w:b/>
          <w:bCs/>
          <w:sz w:val="24"/>
          <w:szCs w:val="24"/>
        </w:rPr>
      </w:pPr>
      <w:r>
        <w:rPr>
          <w:rFonts w:hint="eastAsia" w:ascii="宋体" w:hAnsi="宋体"/>
          <w:b/>
          <w:bCs/>
          <w:sz w:val="24"/>
          <w:szCs w:val="24"/>
        </w:rPr>
        <w:t xml:space="preserve">（三）售后服务</w:t>
      </w:r>
      <w:r>
        <w:rPr>
          <w:rFonts w:hint="eastAsia" w:ascii="宋体" w:hAnsi="宋体"/>
          <w:b/>
          <w:bCs/>
          <w:sz w:val="24"/>
          <w:szCs w:val="24"/>
        </w:rPr>
        <w:t xml:space="preserve">具体方案</w:t>
      </w:r>
      <w:r>
        <w:rPr>
          <w:rFonts w:ascii="宋体" w:hAnsi="宋体"/>
          <w:b/>
          <w:bCs/>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1系统及设备免费质保期：一年。从验收合格交付采购人接收使用之日起计算，质保期内因货物质量问题导致的各种故障的技术服务及维修所产生的一切费用由中标单位负责承担。</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在质保期内，接到用户关于设备发生故障的通知后8小时内应答，应答后2个工作日内抵达现场，抵达现场后24小时内排除故障；如24小时内无法排除故障，在用户有需求时，中标单位能紧急调度安排备机等方式供用户应对重大保障及特殊应急状况。</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3供方承诺的服务中如涉及第三方提供的，由供方负责协调解决。本项目涉及的系统软件，应保采购方使用该系统时不侵犯第三人的知识产权。否则供应商应承担由此引起的一切法律责任及费用。</w:t>
      </w:r>
      <w:r>
        <w:rPr>
          <w:rFonts w:ascii="宋体" w:hAnsi="宋体"/>
          <w:sz w:val="24"/>
          <w:szCs w:val="24"/>
        </w:rPr>
      </w:r>
      <w:r/>
    </w:p>
    <w:p>
      <w:pPr>
        <w:pStyle w:val="694"/>
      </w:pPr>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.4  付款方式</w:t>
      </w:r>
      <w:r>
        <w:rPr>
          <w:rFonts w:hint="eastAsia" w:ascii="宋体" w:hAnsi="宋体" w:eastAsia="宋体"/>
          <w:color w:val="000000"/>
          <w:sz w:val="24"/>
          <w:szCs w:val="24"/>
          <w:lang w:val="en-US" w:eastAsia="zh-CN"/>
        </w:rPr>
      </w:r>
      <w:r/>
    </w:p>
    <w:p>
      <w:pPr>
        <w:pStyle w:val="726"/>
        <w:ind w:left="34"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rPr>
        <w:t xml:space="preserve">设备安装调试并验收合格后</w:t>
      </w:r>
      <w:r>
        <w:rPr>
          <w:rFonts w:hint="eastAsia" w:ascii="宋体" w:hAnsi="宋体" w:eastAsia="宋体"/>
          <w:color w:val="000000"/>
          <w:sz w:val="24"/>
          <w:szCs w:val="24"/>
          <w:lang w:val="en-US"/>
        </w:rPr>
        <w:t xml:space="preserve">支付合同金额的90%，验收</w:t>
      </w:r>
      <w:r>
        <w:rPr>
          <w:rFonts w:hint="eastAsia" w:ascii="宋体" w:hAnsi="宋体" w:eastAsia="宋体"/>
          <w:color w:val="000000"/>
          <w:sz w:val="24"/>
          <w:szCs w:val="24"/>
          <w:lang w:val="en-US" w:eastAsia="zh-CN"/>
        </w:rPr>
        <w:t xml:space="preserve">合格</w:t>
      </w:r>
      <w:r>
        <w:rPr>
          <w:rFonts w:hint="eastAsia" w:ascii="宋体" w:hAnsi="宋体" w:eastAsia="宋体"/>
          <w:color w:val="000000"/>
          <w:sz w:val="24"/>
          <w:szCs w:val="24"/>
          <w:lang w:val="en-US"/>
        </w:rPr>
        <w:t xml:space="preserve">一年后</w:t>
      </w:r>
      <w:r>
        <w:rPr>
          <w:rFonts w:hint="eastAsia" w:ascii="宋体" w:hAnsi="宋体" w:eastAsia="宋体"/>
          <w:color w:val="000000"/>
          <w:sz w:val="24"/>
          <w:szCs w:val="24"/>
          <w:lang w:val="en-US" w:eastAsia="zh-CN"/>
        </w:rPr>
        <w:t xml:space="preserve">无质量问题</w:t>
      </w:r>
      <w:r>
        <w:rPr>
          <w:rFonts w:hint="eastAsia" w:ascii="宋体" w:hAnsi="宋体" w:eastAsia="宋体"/>
          <w:color w:val="000000"/>
          <w:sz w:val="24"/>
          <w:szCs w:val="24"/>
          <w:lang w:val="en-US"/>
        </w:rPr>
        <w:t xml:space="preserve">付清剩余10%货款。</w:t>
      </w:r>
      <w:r>
        <w:rPr>
          <w:rFonts w:hint="eastAsia" w:ascii="宋体" w:hAnsi="宋体" w:eastAsia="宋体"/>
          <w:color w:val="000000"/>
          <w:sz w:val="24"/>
          <w:szCs w:val="24"/>
          <w:lang w:val="en-US" w:eastAsia="zh-CN"/>
        </w:rPr>
      </w:r>
      <w:r/>
    </w:p>
    <w:p>
      <w:pPr>
        <w:pStyle w:val="726"/>
        <w:ind w:left="34"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.5  验收标准</w:t>
      </w:r>
      <w:r>
        <w:rPr>
          <w:rFonts w:hint="eastAsia" w:ascii="宋体" w:hAnsi="宋体" w:eastAsia="宋体"/>
          <w:color w:val="000000"/>
          <w:sz w:val="24"/>
          <w:szCs w:val="24"/>
          <w:lang w:val="en-US" w:eastAsia="zh-CN"/>
        </w:rPr>
      </w:r>
      <w:r/>
    </w:p>
    <w:p>
      <w:pPr>
        <w:pStyle w:val="726"/>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由采购方组织、投标人配合，对项目进行验收。</w:t>
      </w:r>
      <w:r>
        <w:rPr>
          <w:rFonts w:hint="eastAsia" w:ascii="宋体" w:hAnsi="宋体" w:eastAsia="宋体"/>
          <w:color w:val="000000"/>
          <w:sz w:val="24"/>
          <w:szCs w:val="24"/>
          <w:lang w:val="en-US" w:eastAsia="zh-CN"/>
        </w:rPr>
      </w:r>
      <w:r/>
    </w:p>
    <w:p>
      <w:pPr>
        <w:pStyle w:val="694"/>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694"/>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694"/>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27"/>
      </w:tblGrid>
      <w:tr>
        <w:trPr/>
        <w:tc>
          <w:tcPr>
            <w:tcW w:w="177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t xml:space="preserve">号</w:t>
            </w:r>
            <w:r/>
          </w:p>
        </w:tc>
        <w:tc>
          <w:tcPr>
            <w:tcW w:w="3827"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核心产品</w:t>
            </w:r>
            <w:r/>
          </w:p>
        </w:tc>
      </w:tr>
      <w:tr>
        <w:trPr/>
        <w:tc>
          <w:tcPr>
            <w:tcW w:w="1779" w:type="dxa"/>
            <w:vAlign w:val="top"/>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827"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无</w:t>
            </w:r>
            <w:r/>
          </w:p>
        </w:tc>
      </w:tr>
      <w:tr>
        <w:trPr/>
        <w:tc>
          <w:tcPr>
            <w:tcW w:w="177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827" w:type="dxa"/>
            <w:vAlign w:val="top"/>
            <w:textDirection w:val="lrTb"/>
            <w:noWrap w:val="false"/>
          </w:tcPr>
          <w:p>
            <w:pPr>
              <w:pStyle w:val="694"/>
              <w:jc w:val="center"/>
            </w:pPr>
            <w:r>
              <w:rPr>
                <w:rFonts w:hint="eastAsia" w:ascii="宋体" w:hAnsi="宋体"/>
                <w:color w:val="000000"/>
                <w:sz w:val="24"/>
                <w:szCs w:val="24"/>
              </w:rPr>
              <w:t xml:space="preserve">无</w:t>
            </w:r>
            <w:r/>
          </w:p>
        </w:tc>
      </w:tr>
      <w:tr>
        <w:trPr/>
        <w:tc>
          <w:tcPr>
            <w:tcW w:w="177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827" w:type="dxa"/>
            <w:vAlign w:val="top"/>
            <w:textDirection w:val="lrTb"/>
            <w:noWrap w:val="false"/>
          </w:tcPr>
          <w:p>
            <w:pPr>
              <w:pStyle w:val="694"/>
              <w:jc w:val="center"/>
            </w:pPr>
            <w:r>
              <w:rPr>
                <w:rFonts w:hint="eastAsia" w:ascii="宋体" w:hAnsi="宋体"/>
                <w:color w:val="000000"/>
                <w:sz w:val="24"/>
                <w:szCs w:val="24"/>
              </w:rPr>
              <w:t xml:space="preserve">无</w:t>
            </w:r>
            <w:r/>
          </w:p>
        </w:tc>
      </w:tr>
    </w:tbl>
    <w:p>
      <w:pPr>
        <w:pStyle w:val="694"/>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4253"/>
      </w:tblGrid>
      <w:tr>
        <w:trPr/>
        <w:tc>
          <w:tcPr>
            <w:tcW w:w="13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42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是否接受</w:t>
            </w:r>
            <w:r>
              <w:rPr>
                <w:rFonts w:ascii="宋体" w:hAnsi="宋体"/>
                <w:color w:val="000000"/>
                <w:sz w:val="24"/>
                <w:szCs w:val="24"/>
              </w:rPr>
              <w:t xml:space="preserve">进口产品投标</w:t>
            </w:r>
            <w:r>
              <w:rPr>
                <w:rFonts w:hint="eastAsia" w:ascii="宋体" w:hAnsi="宋体"/>
                <w:color w:val="000000"/>
                <w:sz w:val="24"/>
                <w:szCs w:val="24"/>
              </w:rPr>
              <w:t xml:space="preserve">（是/否）</w:t>
            </w:r>
            <w:r/>
          </w:p>
        </w:tc>
      </w:tr>
      <w:tr>
        <w:trPr/>
        <w:tc>
          <w:tcPr>
            <w:tcW w:w="1353" w:type="dxa"/>
            <w:vAlign w:val="top"/>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2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r>
        <w:trPr/>
        <w:tc>
          <w:tcPr>
            <w:tcW w:w="1353" w:type="dxa"/>
            <w:vAlign w:val="top"/>
            <w:textDirection w:val="lrTb"/>
            <w:noWrap w:val="false"/>
          </w:tcPr>
          <w:p>
            <w:pPr>
              <w:pStyle w:val="694"/>
              <w:jc w:val="center"/>
              <w:rPr>
                <w:rFonts w:hint="eastAsia" w:ascii="宋体" w:hAnsi="宋体"/>
                <w:color w:val="000000"/>
                <w:sz w:val="24"/>
                <w:szCs w:val="24"/>
              </w:rPr>
            </w:pPr>
            <w:r/>
            <w:bookmarkStart w:id="234" w:name="_Toc120614281"/>
            <w:r>
              <w:rPr>
                <w:rFonts w:hint="eastAsia" w:ascii="宋体" w:hAnsi="宋体"/>
                <w:color w:val="000000"/>
                <w:sz w:val="24"/>
                <w:szCs w:val="24"/>
              </w:rPr>
              <w:t xml:space="preserve">2</w:t>
            </w:r>
            <w:r>
              <w:rPr>
                <w:rFonts w:hint="eastAsia" w:ascii="宋体" w:hAnsi="宋体"/>
                <w:color w:val="000000"/>
                <w:sz w:val="24"/>
                <w:szCs w:val="24"/>
              </w:rPr>
            </w:r>
            <w:r/>
          </w:p>
        </w:tc>
        <w:tc>
          <w:tcPr>
            <w:tcW w:w="4253" w:type="dxa"/>
            <w:vAlign w:val="top"/>
            <w:textDirection w:val="lrTb"/>
            <w:noWrap w:val="false"/>
          </w:tcPr>
          <w:p>
            <w:pPr>
              <w:pStyle w:val="694"/>
              <w:jc w:val="center"/>
            </w:pPr>
            <w:r>
              <w:rPr>
                <w:rFonts w:hint="eastAsia" w:ascii="宋体" w:hAnsi="宋体"/>
                <w:color w:val="000000"/>
                <w:sz w:val="24"/>
                <w:szCs w:val="24"/>
              </w:rPr>
              <w:t xml:space="preserve">否</w:t>
            </w:r>
            <w:r/>
          </w:p>
        </w:tc>
      </w:tr>
      <w:tr>
        <w:trPr/>
        <w:tc>
          <w:tcPr>
            <w:tcW w:w="13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4253" w:type="dxa"/>
            <w:vAlign w:val="top"/>
            <w:textDirection w:val="lrTb"/>
            <w:noWrap w:val="false"/>
          </w:tcPr>
          <w:p>
            <w:pPr>
              <w:pStyle w:val="694"/>
              <w:jc w:val="center"/>
            </w:pPr>
            <w:r>
              <w:rPr>
                <w:rFonts w:hint="eastAsia" w:ascii="宋体" w:hAnsi="宋体"/>
                <w:color w:val="000000"/>
                <w:sz w:val="24"/>
                <w:szCs w:val="24"/>
              </w:rPr>
              <w:t xml:space="preserve">否</w:t>
            </w:r>
            <w:r/>
          </w:p>
        </w:tc>
      </w:tr>
    </w:tbl>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94"/>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42"/>
        <w:gridCol w:w="2552"/>
        <w:gridCol w:w="4819"/>
      </w:tblGrid>
      <w:tr>
        <w:trPr/>
        <w:tc>
          <w:tcPr>
            <w:gridSpan w:val="2"/>
            <w:tcW w:w="1276"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552"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134" w:type="dxa"/>
            <w:vAlign w:val="center"/>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gridSpan w:val="2"/>
            <w:tcW w:w="2694" w:type="dxa"/>
            <w:vAlign w:val="center"/>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采购本国产品的支持政策</w:t>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694"/>
        <w:ind w:firstLine="480"/>
        <w:jc w:val="left"/>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highlight w:val="yellow"/>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 供应商需按照招标文件的要求提供《关于符合本国产品标准的声明函》（以下简称《声明函》），如不提供将不享受本国产品价格评审优惠。</w:t>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 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w:t>
      </w:r>
      <w:r>
        <w:rPr>
          <w:rFonts w:hint="eastAsia" w:ascii="宋体" w:hAnsi="宋体" w:cs="方正魏碑_GBK"/>
          <w:color w:val="ff0000"/>
          <w:sz w:val="24"/>
          <w:szCs w:val="24"/>
          <w:highlight w:val="yellow"/>
        </w:rPr>
        <w:t xml:space="preserve">《声明函》中用斜线划除的地方无需填写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 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4"/>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p>
      <w:pPr>
        <w:pStyle w:val="694"/>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1包和2包</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694"/>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0</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811"/>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694"/>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694"/>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sz w:val="24"/>
              </w:rPr>
              <w:t xml:space="preserve">设备技术参数全部满足招标要求的得满分43分；</w:t>
            </w:r>
            <w:r>
              <w:rPr>
                <w:rFonts w:hint="eastAsia" w:ascii="宋体" w:hAnsi="宋体" w:cs="宋体"/>
                <w:sz w:val="24"/>
              </w:rPr>
              <w:t xml:space="preserve">采购需求中标注“▲”的内容为重要技术参数。投标人必须在投标文件内提供相关技术支持资料（按采购需求要求提供，如果采购需求中未提及，请提供产品技术白皮书、彩页、手册或设备检测报告等），重要技术参数不能满足的视为负偏离，每项扣1分，其他非重要技术参数负偏离的，则每项扣0.5分，扣完为止。（投标人需如实填写技术条款偏离表，如有弄虚作假，由投标人承担一切法律后果。）</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694"/>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694"/>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940"/>
        </w:trPr>
        <w:tc>
          <w:tcPr>
            <w:tcW w:w="961" w:type="dxa"/>
            <w:vAlign w:val="center"/>
            <w:vMerge w:val="restart"/>
            <w:textDirection w:val="lrTb"/>
            <w:noWrap w:val="false"/>
          </w:tcPr>
          <w:p>
            <w:pPr>
              <w:pStyle w:val="694"/>
              <w:ind w:right="-134"/>
              <w:jc w:val="center"/>
              <w:rPr>
                <w:rFonts w:ascii="宋体" w:hAnsi="宋体" w:cs="宋体"/>
                <w:color w:val="000000"/>
                <w:sz w:val="24"/>
                <w:szCs w:val="24"/>
              </w:rPr>
            </w:pPr>
            <w:r>
              <w:rPr>
                <w:rFonts w:hint="eastAsia" w:ascii="宋体" w:hAnsi="宋体" w:cs="宋体"/>
                <w:color w:val="000000"/>
                <w:sz w:val="24"/>
                <w:szCs w:val="24"/>
                <w:lang w:bidi="ar"/>
              </w:rPr>
              <w:t xml:space="preserve">商务部分（</w:t>
            </w: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体系认证证书</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color w:val="000000"/>
                <w:sz w:val="24"/>
                <w:szCs w:val="24"/>
              </w:rPr>
              <w:t xml:space="preserve">投标</w:t>
            </w:r>
            <w:r>
              <w:rPr>
                <w:rFonts w:hint="eastAsia" w:ascii="宋体" w:hAnsi="宋体" w:cs="宋体"/>
                <w:color w:val="000000"/>
                <w:sz w:val="24"/>
                <w:szCs w:val="24"/>
              </w:rPr>
              <w:t xml:space="preserve">人提供在</w:t>
            </w:r>
            <w:r>
              <w:rPr>
                <w:rFonts w:hint="eastAsia" w:ascii="宋体" w:hAnsi="宋体" w:cs="宋体"/>
                <w:color w:val="000000"/>
                <w:sz w:val="24"/>
                <w:szCs w:val="24"/>
              </w:rPr>
              <w:t xml:space="preserve">有效期内的</w:t>
            </w:r>
            <w:r>
              <w:rPr>
                <w:rFonts w:ascii="宋体" w:hAnsi="宋体" w:cs="宋体"/>
                <w:color w:val="000000"/>
                <w:sz w:val="24"/>
                <w:szCs w:val="24"/>
              </w:rPr>
              <w:t xml:space="preserve">质量管理体系认证证书、环境管理体系认证证书、</w:t>
            </w:r>
            <w:r>
              <w:rPr>
                <w:rFonts w:hint="eastAsia" w:ascii="宋体" w:hAnsi="宋体" w:cs="宋体"/>
                <w:color w:val="000000"/>
                <w:sz w:val="24"/>
                <w:szCs w:val="24"/>
              </w:rPr>
              <w:t xml:space="preserve">职业健康安全管理</w:t>
            </w:r>
            <w:r>
              <w:rPr>
                <w:rFonts w:hint="eastAsia" w:ascii="宋体" w:hAnsi="宋体" w:cs="宋体"/>
                <w:color w:val="000000"/>
                <w:sz w:val="24"/>
                <w:szCs w:val="24"/>
              </w:rPr>
              <w:t xml:space="preserve">体系</w:t>
            </w:r>
            <w:r>
              <w:rPr>
                <w:rFonts w:ascii="宋体" w:hAnsi="宋体" w:cs="宋体"/>
                <w:color w:val="000000"/>
                <w:sz w:val="24"/>
                <w:szCs w:val="24"/>
              </w:rPr>
              <w:t xml:space="preserve">认证证书，每提供一个得1 分，</w:t>
            </w:r>
            <w:r>
              <w:rPr>
                <w:rFonts w:hint="eastAsia" w:ascii="宋体" w:hAnsi="宋体" w:cs="宋体"/>
                <w:color w:val="000000"/>
                <w:sz w:val="24"/>
                <w:szCs w:val="24"/>
              </w:rPr>
              <w:t xml:space="preserve">最高得3分。须提供国家认证认可监督管理委员会平台查询截屏，不提供不得分。</w:t>
            </w:r>
            <w:r>
              <w:rPr>
                <w:rFonts w:ascii="宋体" w:hAnsi="宋体" w:cs="宋体"/>
                <w:color w:val="000000"/>
                <w:sz w:val="24"/>
                <w:szCs w:val="24"/>
              </w:rPr>
            </w:r>
            <w:r/>
          </w:p>
        </w:tc>
      </w:tr>
      <w:tr>
        <w:trPr>
          <w:cantSplit/>
          <w:trHeight w:val="1021"/>
        </w:trPr>
        <w:tc>
          <w:tcPr>
            <w:tcW w:w="961" w:type="dxa"/>
            <w:vAlign w:val="center"/>
            <w:vMerge w:val="continue"/>
            <w:textDirection w:val="lrTb"/>
            <w:noWrap w:val="false"/>
          </w:tcPr>
          <w:p>
            <w:pPr>
              <w:pStyle w:val="694"/>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694"/>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694"/>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sz w:val="24"/>
              </w:rPr>
              <w:t xml:space="preserve">投标人具有2023年1月1日至今同类型产品的销售合同，每提供一份得2分</w:t>
            </w:r>
            <w:r>
              <w:rPr>
                <w:rFonts w:hint="eastAsia" w:ascii="宋体" w:hAnsi="宋体" w:cs="宋体"/>
                <w:color w:val="000000"/>
                <w:sz w:val="24"/>
                <w:szCs w:val="24"/>
              </w:rPr>
              <w:t xml:space="preserve">，</w:t>
            </w:r>
            <w:r>
              <w:rPr>
                <w:rFonts w:ascii="宋体" w:hAnsi="宋体" w:cs="宋体"/>
                <w:color w:val="000000"/>
                <w:sz w:val="24"/>
                <w:szCs w:val="24"/>
              </w:rPr>
              <w:t xml:space="preserve">本项最高得</w:t>
            </w:r>
            <w:r>
              <w:rPr>
                <w:rFonts w:hint="eastAsia" w:ascii="宋体" w:hAnsi="宋体" w:cs="宋体"/>
                <w:color w:val="000000"/>
                <w:sz w:val="24"/>
                <w:szCs w:val="24"/>
              </w:rPr>
              <w:t xml:space="preserve">6</w:t>
            </w:r>
            <w:r>
              <w:rPr>
                <w:rFonts w:ascii="宋体" w:hAnsi="宋体" w:cs="宋体"/>
                <w:color w:val="000000"/>
                <w:sz w:val="24"/>
                <w:szCs w:val="24"/>
              </w:rPr>
              <w:t xml:space="preserve"> 分。（</w:t>
            </w:r>
            <w:r>
              <w:rPr>
                <w:rFonts w:hint="eastAsia" w:ascii="宋体" w:hAnsi="宋体" w:cs="宋体"/>
                <w:sz w:val="24"/>
              </w:rPr>
              <w:t xml:space="preserve">提供合同复印件</w:t>
            </w:r>
            <w:r>
              <w:rPr>
                <w:rFonts w:hint="eastAsia" w:ascii="宋体" w:hAnsi="宋体" w:cs="宋体"/>
                <w:sz w:val="24"/>
              </w:rPr>
              <w:t xml:space="preserve">，以合同签订日期为准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694"/>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highlight w:val="yellow"/>
        </w:rPr>
      </w:r>
      <w:r/>
    </w:p>
    <w:p>
      <w:pPr>
        <w:pStyle w:val="694"/>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3包</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694"/>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lang w:bidi="ar"/>
              </w:rPr>
              <w:t xml:space="preserve">30</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811"/>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694"/>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694"/>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sz w:val="24"/>
              </w:rPr>
            </w:pPr>
            <w:r>
              <w:rPr>
                <w:rFonts w:hint="eastAsia" w:ascii="宋体" w:hAnsi="宋体" w:cs="宋体"/>
                <w:sz w:val="24"/>
              </w:rPr>
              <w:t xml:space="preserve">投标人所投产品技术参数完全满足或优于招标文件</w:t>
            </w:r>
            <w:r>
              <w:rPr>
                <w:rFonts w:hint="eastAsia" w:ascii="宋体" w:hAnsi="宋体" w:cs="宋体"/>
                <w:sz w:val="24"/>
              </w:rPr>
              <w:t xml:space="preserve">的得满分4</w:t>
            </w:r>
            <w:r>
              <w:rPr>
                <w:rFonts w:hint="eastAsia" w:ascii="宋体" w:hAnsi="宋体" w:cs="宋体"/>
                <w:sz w:val="24"/>
              </w:rPr>
              <w:t xml:space="preserve">6</w:t>
            </w:r>
            <w:r>
              <w:rPr>
                <w:rFonts w:hint="eastAsia" w:ascii="宋体" w:hAnsi="宋体" w:cs="宋体"/>
                <w:sz w:val="24"/>
              </w:rPr>
              <w:t xml:space="preserve">分；采购需求中标注“▲”的内容为重要技术参数。</w:t>
            </w:r>
            <w:r>
              <w:rPr>
                <w:rFonts w:hint="eastAsia" w:ascii="宋体" w:hAnsi="宋体" w:cs="宋体"/>
                <w:sz w:val="24"/>
              </w:rPr>
              <w:t xml:space="preserve">每有一项负偏离扣1分。</w:t>
            </w:r>
            <w:r>
              <w:rPr>
                <w:rFonts w:hint="eastAsia" w:ascii="宋体" w:hAnsi="宋体" w:cs="宋体"/>
                <w:sz w:val="24"/>
              </w:rPr>
              <w:t xml:space="preserve">其他非重要技术参数负偏离的，</w:t>
            </w:r>
            <w:r>
              <w:rPr>
                <w:rFonts w:hint="eastAsia" w:ascii="宋体" w:hAnsi="宋体" w:cs="宋体"/>
                <w:sz w:val="24"/>
              </w:rPr>
              <w:t xml:space="preserve">每有一项负偏离扣0.5分，扣完为止。不满足或未按要求提供配套证明材料均视为负偏离。</w:t>
            </w:r>
            <w:r>
              <w:rPr>
                <w:rFonts w:hint="eastAsia" w:ascii="宋体" w:hAnsi="宋体" w:cs="宋体"/>
                <w:sz w:val="24"/>
              </w:rPr>
              <w:t xml:space="preserve">（投标人需如实填写技术条款偏离表，如有弄虚作假，由投标人承担一切法律后果。）</w:t>
            </w:r>
            <w:r>
              <w:rPr>
                <w:rFonts w:ascii="宋体" w:hAnsi="宋体" w:cs="宋体"/>
                <w:sz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694"/>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694"/>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1021"/>
        </w:trPr>
        <w:tc>
          <w:tcPr>
            <w:tcW w:w="961" w:type="dxa"/>
            <w:vAlign w:val="center"/>
            <w:vMerge w:val="continue"/>
            <w:textDirection w:val="lrTb"/>
            <w:noWrap w:val="false"/>
          </w:tcPr>
          <w:p>
            <w:pPr>
              <w:pStyle w:val="694"/>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694"/>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694"/>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bCs/>
                <w:sz w:val="24"/>
              </w:rPr>
              <w:t xml:space="preserve">投标人提供2023年1月1日至今具有环境仪器设备业绩，每有一项得2分，满分6分。</w:t>
            </w:r>
            <w:r>
              <w:rPr>
                <w:rFonts w:hint="eastAsia" w:ascii="宋体" w:hAnsi="宋体" w:cs="宋体"/>
                <w:bCs/>
                <w:sz w:val="24"/>
              </w:rPr>
              <w:t xml:space="preserve">（</w:t>
            </w:r>
            <w:r>
              <w:rPr>
                <w:rFonts w:hint="eastAsia" w:ascii="宋体" w:hAnsi="宋体" w:cs="宋体"/>
                <w:sz w:val="24"/>
              </w:rPr>
              <w:t xml:space="preserve">提供合同复印件，以合同签订日期为准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694"/>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757"/>
        <w:spacing w:before="0" w:beforeAutospacing="0" w:after="0" w:afterAutospacing="0" w:line="0" w:lineRule="atLeast"/>
        <w:rPr>
          <w:rFonts w:hint="eastAsia" w:ascii="方正魏碑_GBK" w:hAnsi="方正魏碑_GBK" w:eastAsia="方正魏碑_GBK" w:cs="方正魏碑_GBK"/>
          <w:color w:val="000000"/>
          <w:sz w:val="28"/>
          <w:szCs w:val="28"/>
          <w:highlight w:val="yellow"/>
        </w:rPr>
      </w:pPr>
      <w:r>
        <w:rPr>
          <w:rFonts w:hint="eastAsia" w:ascii="方正魏碑_GBK" w:hAnsi="方正魏碑_GBK" w:eastAsia="方正魏碑_GBK" w:cs="方正魏碑_GBK"/>
          <w:color w:val="000000"/>
          <w:sz w:val="28"/>
          <w:szCs w:val="28"/>
          <w:highlight w:val="yellow"/>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rPr>
          <w:rFonts w:hint="eastAsia" w:ascii="宋体" w:hAnsi="宋体"/>
          <w:b/>
          <w:color w:val="000000"/>
          <w:sz w:val="36"/>
          <w:szCs w:val="21"/>
        </w:rPr>
      </w:pPr>
      <w:r/>
      <w:bookmarkEnd w:id="224"/>
      <w:r/>
      <w:bookmarkEnd w:id="225"/>
      <w:r/>
      <w:bookmarkEnd w:id="234"/>
      <w:r/>
      <w:bookmarkStart w:id="235" w:name="_Toc26554094"/>
      <w:r/>
      <w:bookmarkStart w:id="236" w:name="_Toc49090576"/>
      <w:r/>
      <w:bookmarkStart w:id="237" w:name="_Toc120614282"/>
      <w:r>
        <w:rPr>
          <w:rFonts w:hint="eastAsia" w:ascii="宋体" w:hAnsi="宋体"/>
          <w:b/>
          <w:color w:val="000000"/>
          <w:sz w:val="36"/>
          <w:szCs w:val="21"/>
        </w:rPr>
      </w:r>
      <w:r/>
    </w:p>
    <w:p>
      <w:pPr>
        <w:pStyle w:val="694"/>
        <w:jc w:val="center"/>
        <w:rPr>
          <w:rFonts w:hint="eastAsia" w:ascii="宋体" w:hAnsi="宋体"/>
          <w:b/>
          <w:color w:val="000000"/>
          <w:sz w:val="36"/>
          <w:szCs w:val="21"/>
        </w:rPr>
      </w:pPr>
      <w:r>
        <w:rPr>
          <w:rFonts w:hint="eastAsia" w:ascii="宋体" w:hAnsi="宋体"/>
          <w:b/>
          <w:color w:val="000000"/>
          <w:sz w:val="36"/>
          <w:szCs w:val="21"/>
        </w:rPr>
      </w:r>
      <w:r/>
    </w:p>
    <w:p>
      <w:pPr>
        <w:pStyle w:val="694"/>
        <w:jc w:val="center"/>
        <w:rPr>
          <w:rFonts w:hint="eastAsia" w:ascii="宋体" w:hAnsi="宋体"/>
          <w:b/>
          <w:color w:val="000000"/>
          <w:sz w:val="36"/>
          <w:szCs w:val="21"/>
        </w:rPr>
      </w:pPr>
      <w:r>
        <w:rPr>
          <w:rFonts w:hint="eastAsia" w:ascii="宋体" w:hAnsi="宋体"/>
          <w:b/>
          <w:color w:val="000000"/>
          <w:sz w:val="36"/>
          <w:szCs w:val="21"/>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38" w:name="_Hlt26671244"/>
      <w:r/>
      <w:bookmarkEnd w:id="238"/>
      <w:r/>
      <w:bookmarkStart w:id="239" w:name="_Hlt26955039"/>
      <w:r/>
      <w:bookmarkEnd w:id="239"/>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694"/>
        <w:ind w:firstLine="1084"/>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94"/>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694"/>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69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694"/>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694"/>
        <w:ind w:left="480"/>
        <w:spacing w:line="400" w:lineRule="exact"/>
        <w:rPr>
          <w:rFonts w:ascii="宋体" w:hAnsi="宋体"/>
          <w:color w:val="000000"/>
          <w:sz w:val="24"/>
          <w:szCs w:val="21"/>
        </w:rPr>
      </w:pPr>
      <w:r>
        <w:rPr>
          <w:rFonts w:ascii="宋体" w:hAnsi="宋体"/>
          <w:color w:val="000000"/>
          <w:sz w:val="24"/>
          <w:szCs w:val="21"/>
        </w:rPr>
        <w:t xml:space="preserve">2.</w:t>
      </w:r>
      <w:bookmarkStart w:id="240" w:name="OLE_LINK5"/>
      <w:r/>
      <w:bookmarkStart w:id="241" w:name="OLE_LINK42"/>
      <w:r/>
      <w:bookmarkStart w:id="242" w:name="OLE_LINK43"/>
      <w:r>
        <w:rPr>
          <w:rFonts w:hint="eastAsia" w:ascii="宋体" w:hAnsi="宋体"/>
          <w:color w:val="000000"/>
          <w:sz w:val="24"/>
          <w:szCs w:val="21"/>
        </w:rPr>
        <w:t xml:space="preserve">投标分项报价表</w:t>
      </w:r>
      <w:bookmarkEnd w:id="240"/>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41"/>
      <w:r/>
      <w:bookmarkEnd w:id="242"/>
      <w:r>
        <w:rPr>
          <w:rFonts w:ascii="宋体" w:hAnsi="宋体"/>
          <w:color w:val="000000"/>
          <w:sz w:val="24"/>
          <w:szCs w:val="21"/>
        </w:rPr>
      </w:r>
      <w:r/>
    </w:p>
    <w:p>
      <w:pPr>
        <w:pStyle w:val="694"/>
        <w:ind w:left="480"/>
        <w:spacing w:line="400" w:lineRule="exact"/>
        <w:rPr>
          <w:rFonts w:ascii="宋体" w:hAnsi="宋体"/>
          <w:color w:val="000000"/>
          <w:sz w:val="24"/>
          <w:szCs w:val="21"/>
        </w:rPr>
      </w:pPr>
      <w:r>
        <w:rPr>
          <w:rFonts w:ascii="宋体" w:hAnsi="宋体"/>
          <w:color w:val="000000"/>
          <w:sz w:val="24"/>
          <w:szCs w:val="21"/>
        </w:rPr>
        <w:t xml:space="preserve">3.</w:t>
      </w:r>
      <w:bookmarkStart w:id="243"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43"/>
      <w:r>
        <w:rPr>
          <w:rFonts w:ascii="宋体" w:hAnsi="宋体"/>
          <w:color w:val="000000"/>
          <w:sz w:val="24"/>
          <w:szCs w:val="21"/>
        </w:rPr>
      </w:r>
      <w:r/>
    </w:p>
    <w:p>
      <w:pPr>
        <w:pStyle w:val="694"/>
        <w:ind w:firstLine="480"/>
        <w:spacing w:line="400" w:lineRule="exact"/>
        <w:rPr>
          <w:rFonts w:ascii="宋体" w:hAnsi="宋体"/>
          <w:color w:val="000000"/>
          <w:sz w:val="24"/>
          <w:szCs w:val="21"/>
        </w:rPr>
      </w:pPr>
      <w:r>
        <w:rPr>
          <w:rFonts w:ascii="宋体" w:hAnsi="宋体"/>
          <w:color w:val="000000"/>
          <w:sz w:val="24"/>
          <w:szCs w:val="21"/>
        </w:rPr>
        <w:t xml:space="preserve">4.</w:t>
      </w:r>
      <w:bookmarkStart w:id="244" w:name="OLE_LINK6"/>
      <w:r/>
      <w:bookmarkStart w:id="245" w:name="OLE_LINK7"/>
      <w:r/>
      <w:bookmarkStart w:id="246" w:name="OLE_LINK48"/>
      <w:r/>
      <w:bookmarkStart w:id="247" w:name="OLE_LINK49"/>
      <w:r>
        <w:rPr>
          <w:rFonts w:hint="eastAsia" w:ascii="宋体" w:hAnsi="宋体"/>
          <w:color w:val="000000"/>
          <w:sz w:val="24"/>
          <w:szCs w:val="21"/>
        </w:rPr>
        <w:t xml:space="preserve">商务要求响应及偏离表</w:t>
      </w:r>
      <w:bookmarkEnd w:id="244"/>
      <w:r/>
      <w:bookmarkEnd w:id="245"/>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46"/>
      <w:r/>
      <w:bookmarkEnd w:id="247"/>
      <w:r>
        <w:rPr>
          <w:rFonts w:ascii="宋体" w:hAnsi="宋体"/>
          <w:color w:val="000000"/>
          <w:sz w:val="24"/>
          <w:szCs w:val="21"/>
        </w:rPr>
      </w:r>
      <w:r/>
    </w:p>
    <w:p>
      <w:pPr>
        <w:pStyle w:val="694"/>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694"/>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694"/>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color w:val="000000"/>
          <w:sz w:val="24"/>
          <w:szCs w:val="24"/>
        </w:rPr>
        <w:t xml:space="preserve">（成立不满一年无需提供）</w:t>
      </w:r>
      <w:r>
        <w:rPr>
          <w:rFonts w:hint="eastAsia" w:ascii="宋体" w:hAnsi="宋体" w:cs="宋体"/>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694"/>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694"/>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694"/>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pStyle w:val="694"/>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94"/>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694"/>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694"/>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694"/>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pStyle w:val="694"/>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 关于符合本国产品标准的声明函（格式见附件13）</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694"/>
        <w:ind w:left="480"/>
        <w:rPr>
          <w:rFonts w:ascii="宋体" w:hAnsi="宋体"/>
          <w:b/>
          <w:sz w:val="24"/>
          <w:szCs w:val="21"/>
        </w:rPr>
      </w:pPr>
      <w:r>
        <w:rPr>
          <w:rFonts w:ascii="宋体" w:hAnsi="宋体"/>
          <w:b/>
          <w:sz w:val="24"/>
          <w:szCs w:val="21"/>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694"/>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694"/>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694"/>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694"/>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694"/>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p>
    <w:p>
      <w:pPr>
        <w:pStyle w:val="694"/>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694"/>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tcW w:w="8494" w:type="dxa"/>
            <w:vAlign w:val="center"/>
            <w:textDirection w:val="lrTb"/>
            <w:noWrap w:val="false"/>
          </w:tcPr>
          <w:p>
            <w:pPr>
              <w:pStyle w:val="694"/>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bl>
    <w:p>
      <w:pPr>
        <w:pStyle w:val="694"/>
        <w:rPr>
          <w:rFonts w:hint="eastAsia" w:ascii="宋体" w:hAnsi="宋体"/>
          <w:b/>
          <w:sz w:val="24"/>
          <w:szCs w:val="24"/>
        </w:rPr>
      </w:pPr>
      <w:r>
        <w:rPr>
          <w:rFonts w:hint="eastAsia" w:ascii="宋体" w:hAnsi="宋体"/>
          <w:b/>
          <w:sz w:val="24"/>
          <w:szCs w:val="24"/>
        </w:rPr>
      </w:r>
      <w:r/>
    </w:p>
    <w:p>
      <w:pPr>
        <w:pStyle w:val="694"/>
        <w:jc w:val="center"/>
        <w:rPr>
          <w:rFonts w:ascii="宋体" w:hAnsi="宋体"/>
          <w:b/>
          <w:sz w:val="24"/>
          <w:szCs w:val="24"/>
        </w:rPr>
      </w:pPr>
      <w:r>
        <w:rPr>
          <w:rFonts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rPr>
          <w:rFonts w:hint="eastAsia" w:ascii="宋体" w:hAnsi="宋体"/>
          <w:b/>
          <w:sz w:val="32"/>
          <w:szCs w:val="32"/>
        </w:rPr>
      </w:pP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69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69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产品</w:t>
            </w:r>
            <w:r/>
          </w:p>
          <w:p>
            <w:pPr>
              <w:pStyle w:val="694"/>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规格</w:t>
            </w:r>
            <w:r/>
          </w:p>
          <w:p>
            <w:pPr>
              <w:pStyle w:val="694"/>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94"/>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57"/>
              <w:spacing w:before="0" w:beforeAutospacing="0" w:after="0" w:afterAutospacing="0" w:line="0" w:lineRule="atLeast"/>
              <w:rPr>
                <w:rFonts w:hint="eastAsia"/>
              </w:rPr>
            </w:pPr>
            <w:r>
              <w:rPr>
                <w:rFonts w:hint="eastAsia" w:cs="方正魏碑_GBK"/>
                <w:color w:val="ff0000"/>
              </w:rPr>
              <w:t xml:space="preserve">本采购包中提供的符合本国产品标准的产品成本之和占该采购包提供的全部产品成本之和的比例为</w:t>
            </w:r>
            <w:r>
              <w:rPr>
                <w:rFonts w:hint="eastAsia" w:cs="方正魏碑_GBK"/>
                <w:color w:val="ff0000"/>
                <w:u w:val="single"/>
              </w:rPr>
              <w:t xml:space="preserve">***</w:t>
            </w:r>
            <w:r>
              <w:rPr>
                <w:rFonts w:hint="eastAsia" w:cs="方正魏碑_GBK"/>
                <w:color w:val="ff0000"/>
              </w:rPr>
              <w:t xml:space="preserve">%。</w:t>
            </w:r>
            <w:r>
              <w:rPr>
                <w:rFonts w:hint="eastAsia"/>
              </w:rPr>
            </w:r>
            <w:r/>
          </w:p>
        </w:tc>
      </w:tr>
    </w:tbl>
    <w:p>
      <w:pPr>
        <w:pStyle w:val="763"/>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4"/>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694"/>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694"/>
        <w:ind w:firstLine="360"/>
        <w:spacing w:line="400" w:lineRule="exact"/>
        <w:rPr>
          <w:rFonts w:hint="eastAsia"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hint="eastAsia" w:ascii="宋体" w:hAnsi="宋体"/>
          <w:sz w:val="24"/>
          <w:szCs w:val="24"/>
        </w:rPr>
      </w:r>
      <w:r/>
    </w:p>
    <w:p>
      <w:pPr>
        <w:pStyle w:val="694"/>
        <w:ind w:firstLine="422"/>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p>
    <w:p>
      <w:pPr>
        <w:pStyle w:val="694"/>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32"/>
          <w:szCs w:val="32"/>
        </w:rPr>
      </w:pPr>
      <w:r>
        <w:rPr>
          <w:rFonts w:hint="eastAsia" w:ascii="宋体" w:hAnsi="宋体"/>
          <w:b/>
          <w:sz w:val="32"/>
          <w:szCs w:val="32"/>
        </w:rPr>
        <w:t xml:space="preserve">附件</w:t>
      </w:r>
      <w:r>
        <w:rPr>
          <w:rFonts w:hint="eastAsia" w:ascii="宋体" w:hAnsi="宋体"/>
          <w:b/>
          <w:sz w:val="32"/>
          <w:szCs w:val="32"/>
        </w:rPr>
        <w:t xml:space="preserve">3</w:t>
      </w:r>
      <w:r/>
    </w:p>
    <w:p>
      <w:pPr>
        <w:pStyle w:val="694"/>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bl>
    <w:p>
      <w:pPr>
        <w:pStyle w:val="69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4"/>
        <w:spacing w:line="400" w:lineRule="exact"/>
        <w:rPr>
          <w:rFonts w:ascii="宋体" w:hAnsi="宋体"/>
          <w:sz w:val="24"/>
          <w:szCs w:val="24"/>
        </w:rPr>
      </w:pP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763"/>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694"/>
        <w:jc w:val="center"/>
        <w:rPr>
          <w:rFonts w:hint="eastAsia" w:ascii="宋体" w:hAnsi="宋体"/>
          <w:b/>
          <w:sz w:val="36"/>
          <w:szCs w:val="36"/>
        </w:rPr>
      </w:pPr>
      <w:r>
        <w:rPr>
          <w:rFonts w:hint="eastAsia" w:ascii="宋体" w:hAnsi="宋体"/>
          <w:b/>
          <w:sz w:val="36"/>
          <w:szCs w:val="36"/>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bl>
    <w:p>
      <w:pPr>
        <w:pStyle w:val="69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4"/>
        <w:spacing w:line="400" w:lineRule="exact"/>
        <w:rPr>
          <w:rFonts w:ascii="宋体" w:hAnsi="宋体"/>
          <w:sz w:val="24"/>
          <w:szCs w:val="24"/>
        </w:rPr>
      </w:pP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694"/>
        <w:spacing w:line="400" w:lineRule="exact"/>
        <w:rPr>
          <w:rFonts w:hint="eastAsia" w:ascii="宋体" w:hAnsi="宋体"/>
          <w:sz w:val="24"/>
          <w:szCs w:val="24"/>
        </w:rPr>
      </w:pPr>
      <w:r>
        <w:rPr>
          <w:rFonts w:hint="eastAsia" w:ascii="宋体" w:hAnsi="宋体"/>
          <w:sz w:val="24"/>
          <w:szCs w:val="24"/>
        </w:rPr>
      </w:r>
      <w:r/>
    </w:p>
    <w:p>
      <w:pPr>
        <w:pStyle w:val="694"/>
        <w:rPr>
          <w:rFonts w:hint="eastAsia" w:ascii="宋体" w:hAnsi="宋体"/>
          <w:b/>
          <w:sz w:val="24"/>
          <w:szCs w:val="21"/>
        </w:rPr>
      </w:pPr>
      <w:r>
        <w:rPr>
          <w:rFonts w:hint="eastAsia" w:ascii="宋体" w:hAnsi="宋体"/>
          <w:b/>
          <w:sz w:val="24"/>
          <w:szCs w:val="21"/>
        </w:rPr>
      </w:r>
      <w:r/>
    </w:p>
    <w:p>
      <w:pPr>
        <w:pStyle w:val="763"/>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jc w:val="left"/>
        <w:rPr>
          <w:rFonts w:hint="eastAsia" w:ascii="宋体" w:hAnsi="宋体"/>
          <w:b/>
          <w:color w:val="000000"/>
          <w:sz w:val="30"/>
          <w:szCs w:val="30"/>
        </w:rPr>
      </w:pPr>
      <w:r>
        <w:rPr>
          <w:rFonts w:hint="eastAsia" w:ascii="宋体" w:hAnsi="宋体"/>
          <w:b/>
          <w:color w:val="000000"/>
          <w:sz w:val="30"/>
          <w:szCs w:val="30"/>
        </w:rPr>
      </w:r>
      <w:r/>
    </w:p>
    <w:p>
      <w:pPr>
        <w:pStyle w:val="694"/>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694"/>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p>
    <w:p>
      <w:pPr>
        <w:pStyle w:val="694"/>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94"/>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94"/>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694"/>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69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694"/>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rPr>
          <w:rFonts w:hint="eastAsia" w:ascii="宋体" w:hAnsi="宋体"/>
          <w:b/>
          <w:color w:val="000000"/>
          <w:sz w:val="24"/>
          <w:szCs w:val="21"/>
        </w:rPr>
      </w:pPr>
      <w:r>
        <w:rPr>
          <w:rFonts w:hint="eastAsia" w:ascii="宋体" w:hAnsi="宋体"/>
          <w:b/>
          <w:color w:val="000000"/>
          <w:sz w:val="24"/>
          <w:szCs w:val="21"/>
        </w:rPr>
      </w:r>
      <w:r/>
    </w:p>
    <w:p>
      <w:pPr>
        <w:pStyle w:val="694"/>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694"/>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p>
    <w:p>
      <w:pPr>
        <w:pStyle w:val="694"/>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35"/>
      <w:r/>
      <w:bookmarkEnd w:id="236"/>
      <w:r/>
      <w:bookmarkEnd w:id="237"/>
      <w:r/>
      <w:bookmarkStart w:id="248" w:name="_Toc120614284"/>
      <w:r>
        <w:rPr>
          <w:rFonts w:hint="eastAsia" w:ascii="宋体" w:hAnsi="宋体"/>
          <w:bCs/>
          <w:color w:val="000000"/>
          <w:sz w:val="24"/>
          <w:szCs w:val="21"/>
        </w:rPr>
      </w:r>
      <w:r/>
    </w:p>
    <w:p>
      <w:pPr>
        <w:pStyle w:val="694"/>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694"/>
        <w:spacing w:line="460" w:lineRule="exact"/>
        <w:rPr>
          <w:rFonts w:ascii="宋体" w:hAnsi="宋体" w:cs="宋体"/>
          <w:b/>
          <w:color w:val="000000"/>
          <w:sz w:val="24"/>
          <w:szCs w:val="21"/>
        </w:rPr>
      </w:pPr>
      <w:r>
        <w:rPr>
          <w:rFonts w:ascii="宋体" w:hAnsi="宋体" w:cs="宋体"/>
          <w:b/>
          <w:color w:val="000000"/>
          <w:sz w:val="24"/>
          <w:szCs w:val="21"/>
        </w:rPr>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694"/>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94"/>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ascii="宋体" w:hAnsi="宋体"/>
          <w:b/>
          <w:color w:val="000000"/>
          <w:sz w:val="24"/>
          <w:szCs w:val="21"/>
        </w:rPr>
      </w:pPr>
      <w:r>
        <w:rPr>
          <w:rFonts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jc w:val="left"/>
        <w:spacing w:line="460" w:lineRule="exac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694"/>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694"/>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69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p>
    <w:p>
      <w:pPr>
        <w:pStyle w:val="69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94"/>
        <w:spacing w:line="360" w:lineRule="auto"/>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694"/>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694"/>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694"/>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94"/>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694"/>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49" w:name="_Hlt26955070"/>
      <w:r/>
      <w:bookmarkEnd w:id="249"/>
      <w:r/>
      <w:bookmarkStart w:id="250" w:name="_Hlt26671380"/>
      <w:r/>
      <w:bookmarkEnd w:id="250"/>
      <w:r/>
      <w:bookmarkStart w:id="251" w:name="_格式3__银行出具的资信证明"/>
      <w:r/>
      <w:bookmarkEnd w:id="251"/>
      <w:r>
        <w:rPr>
          <w:rFonts w:hint="eastAsia"/>
          <w:color w:val="000000"/>
          <w:sz w:val="24"/>
          <w:szCs w:val="24"/>
          <w:u w:val="single"/>
        </w:rPr>
        <w:t xml:space="preserve">                                         </w:t>
      </w:r>
      <w:r>
        <w:rPr>
          <w:color w:val="000000"/>
          <w:sz w:val="24"/>
          <w:szCs w:val="24"/>
        </w:rPr>
      </w:r>
      <w:r/>
    </w:p>
    <w:p>
      <w:pPr>
        <w:pStyle w:val="694"/>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694"/>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694"/>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694"/>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8  </w:t>
      </w:r>
      <w:r>
        <w:rPr>
          <w:rFonts w:ascii="宋体" w:hAnsi="宋体"/>
          <w:b/>
          <w:color w:val="000000"/>
          <w:sz w:val="24"/>
          <w:szCs w:val="21"/>
        </w:rPr>
        <w:t xml:space="preserve">       </w:t>
      </w:r>
      <w:r>
        <w:rPr>
          <w:rFonts w:hint="eastAsia" w:ascii="宋体" w:hAnsi="宋体"/>
          <w:b/>
          <w:color w:val="000000"/>
          <w:sz w:val="24"/>
          <w:szCs w:val="21"/>
        </w:rPr>
      </w:r>
      <w:r/>
    </w:p>
    <w:p>
      <w:pPr>
        <w:pStyle w:val="694"/>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694"/>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江苏华毅</w:t>
      </w:r>
      <w:r>
        <w:rPr>
          <w:rFonts w:hint="eastAsia" w:ascii="宋体" w:hAnsi="宋体"/>
          <w:color w:val="000000"/>
          <w:sz w:val="24"/>
          <w:szCs w:val="21"/>
        </w:rPr>
        <w:t xml:space="preserve">项目管理有限公司</w:t>
      </w:r>
      <w:r>
        <w:rPr>
          <w:rFonts w:ascii="宋体" w:hAnsi="宋体"/>
          <w:color w:val="000000"/>
          <w:sz w:val="24"/>
          <w:szCs w:val="21"/>
        </w:rPr>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69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69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694"/>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694"/>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694"/>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94"/>
        <w:spacing w:line="560" w:lineRule="exact"/>
        <w:rPr>
          <w:rFonts w:hint="eastAsia" w:ascii="宋体" w:hAnsi="宋体"/>
          <w:b/>
          <w:sz w:val="24"/>
          <w:szCs w:val="21"/>
        </w:rPr>
      </w:pPr>
      <w:r>
        <w:rPr>
          <w:rFonts w:hint="eastAsia" w:ascii="宋体" w:hAnsi="宋体"/>
          <w:b/>
          <w:sz w:val="24"/>
          <w:szCs w:val="21"/>
        </w:rPr>
      </w:r>
      <w:r/>
    </w:p>
    <w:p>
      <w:pPr>
        <w:pStyle w:val="694"/>
        <w:ind w:firstLine="301"/>
        <w:jc w:val="left"/>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694"/>
        <w:ind w:firstLine="361"/>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p>
    <w:p>
      <w:pPr>
        <w:pStyle w:val="694"/>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江苏华毅项目管理有限公司</w:t>
      </w:r>
      <w:r>
        <w:rPr>
          <w:rFonts w:hint="eastAsia" w:ascii="宋体" w:hAnsi="宋体"/>
          <w:sz w:val="24"/>
          <w:szCs w:val="24"/>
        </w:rPr>
        <w:t xml:space="preserve">组织的采购编号为</w:t>
      </w:r>
      <w:r>
        <w:rPr>
          <w:rFonts w:hint="eastAsia" w:ascii="宋体" w:hAnsi="宋体"/>
          <w:sz w:val="24"/>
          <w:szCs w:val="24"/>
          <w:u w:val="single"/>
        </w:rPr>
        <w:t xml:space="preserve">（项目编号）</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694"/>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94"/>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94"/>
        <w:ind w:firstLine="360"/>
        <w:spacing w:line="360" w:lineRule="auto"/>
        <w:rPr>
          <w:rFonts w:hint="eastAsia" w:ascii="宋体" w:hAnsi="宋体"/>
          <w:sz w:val="24"/>
          <w:szCs w:val="24"/>
        </w:rPr>
      </w:pPr>
      <w:r>
        <w:rPr>
          <w:rFonts w:hint="eastAsia" w:ascii="宋体" w:hAnsi="宋体"/>
          <w:sz w:val="24"/>
          <w:szCs w:val="24"/>
        </w:rPr>
        <w:t xml:space="preserve">……</w:t>
      </w:r>
      <w:r/>
    </w:p>
    <w:p>
      <w:pPr>
        <w:pStyle w:val="694"/>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4"/>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4"/>
        <w:ind w:right="720"/>
        <w:spacing w:line="400" w:lineRule="exact"/>
        <w:rPr>
          <w:rFonts w:hint="eastAsia" w:ascii="宋体" w:hAnsi="宋体"/>
          <w:sz w:val="24"/>
          <w:szCs w:val="24"/>
        </w:rPr>
      </w:pPr>
      <w:r>
        <w:rPr>
          <w:rFonts w:hint="eastAsia" w:ascii="宋体" w:hAnsi="宋体"/>
          <w:sz w:val="24"/>
          <w:szCs w:val="24"/>
        </w:rPr>
      </w:r>
      <w:r/>
    </w:p>
    <w:p>
      <w:pPr>
        <w:pStyle w:val="69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94"/>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809"/>
        <w:spacing w:line="300" w:lineRule="exact"/>
        <w:rPr>
          <w:rFonts w:hint="eastAsia" w:ascii="宋体" w:hAnsi="宋体" w:cs="宋体"/>
          <w:b/>
          <w:bCs/>
          <w:szCs w:val="21"/>
        </w:rPr>
      </w:pPr>
      <w:r>
        <w:rPr>
          <w:rFonts w:hint="eastAsia" w:ascii="宋体" w:hAnsi="宋体" w:cs="宋体"/>
          <w:b/>
          <w:bCs/>
          <w:szCs w:val="21"/>
        </w:rPr>
      </w:r>
      <w:r/>
    </w:p>
    <w:p>
      <w:pPr>
        <w:pStyle w:val="809"/>
        <w:spacing w:line="300" w:lineRule="exact"/>
        <w:rPr>
          <w:rFonts w:hint="eastAsia" w:ascii="宋体" w:hAnsi="宋体" w:cs="宋体"/>
          <w:b/>
          <w:bCs/>
          <w:sz w:val="24"/>
        </w:rPr>
      </w:pPr>
      <w:r>
        <w:rPr>
          <w:rFonts w:hint="eastAsia" w:ascii="宋体" w:hAnsi="宋体" w:cs="宋体"/>
          <w:b/>
          <w:bCs/>
          <w:sz w:val="24"/>
        </w:rPr>
      </w:r>
      <w:r/>
    </w:p>
    <w:p>
      <w:pPr>
        <w:pStyle w:val="809"/>
        <w:ind w:firstLine="361"/>
        <w:spacing w:line="300" w:lineRule="exact"/>
        <w:rPr>
          <w:rFonts w:hint="eastAsia" w:ascii="宋体" w:hAnsi="宋体" w:cs="宋体"/>
          <w:b/>
          <w:bCs/>
          <w:sz w:val="24"/>
        </w:rPr>
      </w:pPr>
      <w:r>
        <w:rPr>
          <w:rFonts w:hint="eastAsia" w:ascii="宋体" w:hAnsi="宋体" w:cs="宋体"/>
          <w:b/>
          <w:bCs/>
          <w:sz w:val="24"/>
        </w:rPr>
      </w:r>
      <w:r/>
    </w:p>
    <w:p>
      <w:pPr>
        <w:pStyle w:val="809"/>
        <w:ind w:firstLine="361"/>
        <w:spacing w:line="300" w:lineRule="exact"/>
        <w:rPr>
          <w:rFonts w:hint="eastAsia" w:ascii="宋体" w:hAnsi="宋体" w:cs="宋体"/>
          <w:b/>
          <w:bCs/>
          <w:sz w:val="24"/>
        </w:rPr>
      </w:pPr>
      <w:r>
        <w:rPr>
          <w:rFonts w:hint="eastAsia" w:ascii="宋体" w:hAnsi="宋体" w:cs="宋体"/>
          <w:b/>
          <w:bCs/>
          <w:sz w:val="24"/>
        </w:rPr>
      </w:r>
      <w:r/>
    </w:p>
    <w:p>
      <w:pPr>
        <w:pStyle w:val="809"/>
        <w:ind w:firstLine="361"/>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694"/>
        <w:ind w:firstLine="482"/>
        <w:spacing w:line="400" w:lineRule="exact"/>
        <w:rPr>
          <w:rFonts w:hint="eastAsia" w:ascii="宋体" w:hAnsi="宋体"/>
          <w:b/>
          <w:sz w:val="24"/>
          <w:szCs w:val="24"/>
        </w:rPr>
      </w:pPr>
      <w:r>
        <w:rPr>
          <w:rFonts w:hint="eastAsia" w:ascii="宋体" w:hAnsi="宋体"/>
          <w:b/>
          <w:sz w:val="24"/>
          <w:szCs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694"/>
        <w:ind w:firstLine="482"/>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p>
    <w:p>
      <w:pPr>
        <w:pStyle w:val="694"/>
        <w:ind w:firstLine="482"/>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694"/>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694"/>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r>
      <w:r/>
    </w:p>
    <w:p>
      <w:pPr>
        <w:pStyle w:val="694"/>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w:t>
      </w:r>
      <w:r>
        <w:rPr>
          <w:rFonts w:hint="eastAsia" w:ascii="宋体" w:hAnsi="宋体" w:cs="宋体"/>
          <w:b/>
          <w:color w:val="000000"/>
          <w:sz w:val="24"/>
          <w:szCs w:val="24"/>
        </w:rPr>
        <w:t xml:space="preserve">中</w:t>
      </w:r>
      <w:r>
        <w:rPr>
          <w:rFonts w:hint="eastAsia" w:ascii="宋体" w:hAnsi="宋体" w:cs="宋体"/>
          <w:b/>
          <w:color w:val="000000"/>
          <w:sz w:val="24"/>
          <w:szCs w:val="24"/>
        </w:rPr>
        <w:t xml:space="preserve">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694"/>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694"/>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694"/>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694"/>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694"/>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694"/>
        <w:ind w:firstLine="480"/>
        <w:spacing w:line="360" w:lineRule="auto"/>
        <w:rPr>
          <w:rFonts w:ascii="宋体" w:hAnsi="宋体"/>
          <w:sz w:val="24"/>
          <w:szCs w:val="21"/>
        </w:rPr>
      </w:pPr>
      <w:r>
        <w:rPr>
          <w:rFonts w:ascii="宋体" w:hAnsi="宋体"/>
          <w:sz w:val="24"/>
          <w:szCs w:val="21"/>
        </w:rPr>
      </w:r>
      <w:r/>
    </w:p>
    <w:p>
      <w:pPr>
        <w:pStyle w:val="694"/>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94"/>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94"/>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94"/>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94"/>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94"/>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4"/>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spacing w:line="560" w:lineRule="exact"/>
        <w:rPr>
          <w:rFonts w:hint="eastAsia" w:ascii="黑体" w:hAnsi="黑体" w:eastAsia="黑体"/>
          <w:b/>
          <w:sz w:val="32"/>
          <w:szCs w:val="32"/>
        </w:rPr>
      </w:pPr>
      <w:r>
        <w:rPr>
          <w:rFonts w:hint="eastAsia" w:ascii="黑体" w:hAnsi="黑体" w:eastAsia="黑体"/>
          <w:b/>
          <w:sz w:val="32"/>
          <w:szCs w:val="32"/>
        </w:rPr>
      </w:r>
      <w:r/>
    </w:p>
    <w:p>
      <w:pPr>
        <w:pStyle w:val="694"/>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694"/>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694"/>
        <w:spacing w:line="360" w:lineRule="auto"/>
        <w:rPr>
          <w:rFonts w:hint="eastAsia" w:ascii="宋体" w:hAnsi="宋体"/>
          <w:sz w:val="24"/>
          <w:szCs w:val="21"/>
        </w:rPr>
      </w:pPr>
      <w:r>
        <w:rPr>
          <w:rFonts w:hint="eastAsia" w:ascii="宋体" w:hAnsi="宋体"/>
          <w:sz w:val="24"/>
          <w:szCs w:val="21"/>
        </w:rPr>
      </w:r>
      <w:r/>
    </w:p>
    <w:p>
      <w:pPr>
        <w:pStyle w:val="694"/>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4"/>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江苏华毅</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4"/>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4"/>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94"/>
        <w:ind w:firstLine="645"/>
        <w:spacing w:line="400" w:lineRule="exact"/>
        <w:rPr>
          <w:rFonts w:hint="eastAsia" w:ascii="宋体" w:hAnsi="宋体"/>
          <w:sz w:val="24"/>
          <w:szCs w:val="21"/>
        </w:rPr>
      </w:pPr>
      <w:r>
        <w:rPr>
          <w:rFonts w:hint="eastAsia" w:ascii="宋体" w:hAnsi="宋体"/>
          <w:sz w:val="24"/>
          <w:szCs w:val="21"/>
        </w:rPr>
      </w:r>
      <w:r/>
    </w:p>
    <w:p>
      <w:pPr>
        <w:pStyle w:val="69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94"/>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9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4"/>
        <w:ind w:firstLine="645"/>
        <w:spacing w:line="400" w:lineRule="exact"/>
        <w:rPr>
          <w:rFonts w:ascii="宋体" w:hAnsi="宋体"/>
          <w:sz w:val="24"/>
          <w:szCs w:val="21"/>
        </w:rPr>
      </w:pPr>
      <w:r>
        <w:rPr>
          <w:rFonts w:ascii="宋体" w:hAnsi="宋体"/>
          <w:sz w:val="24"/>
          <w:szCs w:val="21"/>
        </w:rPr>
      </w:r>
      <w:r/>
    </w:p>
    <w:p>
      <w:pPr>
        <w:pStyle w:val="694"/>
        <w:ind w:firstLine="645"/>
        <w:spacing w:line="400" w:lineRule="exact"/>
        <w:rPr>
          <w:rFonts w:ascii="宋体" w:hAnsi="宋体"/>
          <w:sz w:val="24"/>
          <w:szCs w:val="21"/>
        </w:rPr>
      </w:pPr>
      <w:r>
        <w:rPr>
          <w:rFonts w:ascii="宋体" w:hAnsi="宋体"/>
          <w:sz w:val="24"/>
          <w:szCs w:val="21"/>
        </w:rPr>
      </w:r>
      <w:r/>
    </w:p>
    <w:p>
      <w:pPr>
        <w:pStyle w:val="69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9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694"/>
        <w:jc w:val="center"/>
        <w:rPr>
          <w:rFonts w:hint="eastAsia" w:ascii="宋体" w:hAnsi="宋体"/>
          <w:b/>
          <w:sz w:val="36"/>
          <w:szCs w:val="36"/>
        </w:rPr>
      </w:pPr>
      <w:r>
        <w:rPr>
          <w:rFonts w:hint="eastAsia" w:ascii="宋体" w:hAnsi="宋体"/>
          <w:b/>
          <w:sz w:val="36"/>
          <w:szCs w:val="36"/>
        </w:rPr>
        <w:t xml:space="preserve"> </w:t>
      </w:r>
      <w:r>
        <w:rPr>
          <w:rFonts w:hint="eastAsia" w:ascii="宋体" w:hAnsi="宋体"/>
          <w:b/>
          <w:sz w:val="36"/>
          <w:szCs w:val="36"/>
        </w:rPr>
        <w:t xml:space="preserve">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bl>
    <w:p>
      <w:pPr>
        <w:pStyle w:val="69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94"/>
        <w:spacing w:line="400" w:lineRule="exact"/>
        <w:rPr>
          <w:rFonts w:ascii="宋体" w:hAnsi="宋体"/>
          <w:sz w:val="24"/>
          <w:szCs w:val="24"/>
        </w:rPr>
      </w:pP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9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jc w:val="center"/>
        <w:rPr>
          <w:rFonts w:hint="eastAsia" w:ascii="宋体" w:hAnsi="宋体"/>
          <w:sz w:val="24"/>
          <w:szCs w:val="24"/>
        </w:rPr>
      </w:pPr>
      <w:r>
        <w:rPr>
          <w:rFonts w:hint="eastAsia" w:ascii="宋体" w:hAnsi="宋体"/>
          <w:sz w:val="24"/>
          <w:szCs w:val="24"/>
        </w:rPr>
      </w:r>
      <w:r/>
    </w:p>
    <w:p>
      <w:pPr>
        <w:pStyle w:val="694"/>
        <w:jc w:val="left"/>
        <w:rPr>
          <w:rFonts w:hint="eastAsia" w:ascii="宋体" w:hAnsi="宋体" w:cs="方正魏碑_GBK"/>
          <w:b/>
          <w:color w:val="ff0000"/>
          <w:sz w:val="30"/>
          <w:szCs w:val="30"/>
        </w:rPr>
      </w:pPr>
      <w:r>
        <w:rPr>
          <w:rFonts w:hint="eastAsia" w:ascii="宋体" w:hAnsi="宋体" w:cs="方正魏碑_GBK"/>
          <w:b/>
          <w:color w:val="ff0000"/>
          <w:sz w:val="30"/>
          <w:szCs w:val="30"/>
        </w:rPr>
        <w:t xml:space="preserve">附件13  </w:t>
      </w:r>
      <w:r/>
    </w:p>
    <w:p>
      <w:pPr>
        <w:pStyle w:val="694"/>
        <w:jc w:val="center"/>
        <w:rPr>
          <w:rFonts w:hint="eastAsia" w:ascii="宋体" w:hAnsi="宋体" w:cs="方正魏碑_GBK"/>
          <w:color w:val="ff0000"/>
          <w:sz w:val="36"/>
          <w:szCs w:val="36"/>
        </w:rPr>
      </w:pPr>
      <w:r>
        <w:rPr>
          <w:rFonts w:hint="eastAsia" w:ascii="宋体" w:hAnsi="宋体" w:cs="方正魏碑_GBK"/>
          <w:b/>
          <w:color w:val="ff0000"/>
          <w:sz w:val="36"/>
          <w:szCs w:val="36"/>
        </w:rPr>
        <w:t xml:space="preserve">关于符合本国产品标准的声明函（采购包号：**）</w:t>
      </w:r>
      <w:r>
        <w:rPr>
          <w:rFonts w:hint="eastAsia" w:ascii="宋体" w:hAnsi="宋体" w:cs="方正魏碑_GBK"/>
          <w:color w:val="ff0000"/>
          <w:sz w:val="36"/>
          <w:szCs w:val="36"/>
        </w:rPr>
      </w:r>
      <w:r/>
    </w:p>
    <w:p>
      <w:pPr>
        <w:pStyle w:val="757"/>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57"/>
        <w:ind w:firstLine="420"/>
        <w:spacing w:before="0" w:beforeAutospacing="0" w:after="0" w:afterAutospacing="0" w:line="360" w:lineRule="auto"/>
        <w:rPr>
          <w:rFonts w:hint="eastAsia"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1.</w:t>
      </w:r>
      <w:r>
        <w:rPr>
          <w:rStyle w:val="769"/>
          <w:rFonts w:hint="eastAsia" w:cs="方正魏碑_GBK"/>
          <w:i w:val="0"/>
          <w:color w:val="ff0000"/>
          <w:u w:val="single"/>
          <w:shd w:val="clear" w:color="auto" w:fill="ffffff"/>
        </w:rPr>
        <w:t xml:space="preserve">（产品名称1）</w:t>
      </w:r>
      <w:r>
        <w:rPr>
          <w:rStyle w:val="769"/>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769"/>
          <w:rFonts w:hint="eastAsia" w:cs="方正魏碑_GBK"/>
          <w:i w:val="0"/>
          <w:color w:val="ff0000"/>
          <w:u w:val="single"/>
          <w:shd w:val="clear" w:color="auto" w:fill="ffffff"/>
        </w:rPr>
        <w:t xml:space="preserve">（厂名）</w:t>
      </w:r>
      <w:r>
        <w:rPr>
          <w:rStyle w:val="769"/>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769"/>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769"/>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769"/>
          <w:rFonts w:hint="eastAsia" w:cs="方正魏碑_GBK"/>
          <w:i w:val="0"/>
          <w:color w:val="ff0000"/>
          <w:u w:val="single"/>
          <w:shd w:val="clear" w:color="auto" w:fill="ffffff"/>
        </w:rPr>
        <w:t xml:space="preserve">（规定</w:t>
      </w:r>
      <w:r>
        <w:rPr>
          <w:rStyle w:val="769"/>
          <w:rFonts w:cs="方正魏碑_GBK"/>
          <w:i w:val="0"/>
          <w:color w:val="ff0000"/>
          <w:u w:val="single"/>
          <w:shd w:val="clear" w:color="auto" w:fill="ffffff"/>
        </w:rPr>
        <w:t xml:space="preserve">比例</w:t>
      </w:r>
      <w:r>
        <w:rPr>
          <w:rStyle w:val="769"/>
          <w:rFonts w:hint="eastAsia" w:cs="方正魏碑_GBK"/>
          <w:i w:val="0"/>
          <w:color w:val="ff0000"/>
          <w:u w:val="single"/>
          <w:shd w:val="clear" w:color="auto" w:fill="ffffff"/>
        </w:rPr>
        <w:t xml:space="preserve">）</w:t>
      </w:r>
      <w:r>
        <w:rPr>
          <w:rStyle w:val="769"/>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769"/>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w:t>
      </w:r>
      <w:r>
        <w:rPr>
          <w:rStyle w:val="769"/>
          <w:rFonts w:cs="方正魏碑_GBK"/>
          <w:i w:val="0"/>
          <w:color w:val="ff0000"/>
          <w:u w:val="single"/>
          <w:shd w:val="clear" w:color="auto" w:fill="ffffff"/>
        </w:rPr>
        <w:t xml:space="preserve">组件</w:t>
      </w:r>
      <w:r>
        <w:rPr>
          <w:rStyle w:val="769"/>
          <w:rFonts w:hint="eastAsia" w:cs="方正魏碑_GBK"/>
          <w:i w:val="0"/>
          <w:color w:val="ff0000"/>
          <w:u w:val="single"/>
          <w:shd w:val="clear" w:color="auto" w:fill="ffffff"/>
        </w:rPr>
        <w:t xml:space="preserve">）</w:t>
      </w:r>
      <w:r>
        <w:rPr>
          <w:rStyle w:val="769"/>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769"/>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（关键工序）</w:t>
      </w:r>
      <w:r>
        <w:rPr>
          <w:rStyle w:val="769"/>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hint="eastAsia" w:cs="方正魏碑_GBK"/>
          <w:color w:val="ff0000"/>
        </w:rPr>
      </w:r>
      <w:r/>
    </w:p>
    <w:p>
      <w:pPr>
        <w:pStyle w:val="757"/>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2.</w:t>
      </w:r>
      <w:r>
        <w:rPr>
          <w:rStyle w:val="769"/>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769"/>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769"/>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769"/>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769"/>
          <w:rFonts w:hint="eastAsia" w:cs="方正魏碑_GBK"/>
          <w:i w:val="0"/>
          <w:color w:val="ff0000"/>
          <w:u w:val="single"/>
          <w:shd w:val="clear" w:color="auto" w:fill="ffffff"/>
        </w:rPr>
        <w:t xml:space="preserve">（规定</w:t>
      </w:r>
      <w:r>
        <w:rPr>
          <w:rStyle w:val="769"/>
          <w:rFonts w:cs="方正魏碑_GBK"/>
          <w:i w:val="0"/>
          <w:color w:val="ff0000"/>
          <w:u w:val="single"/>
          <w:shd w:val="clear" w:color="auto" w:fill="ffffff"/>
        </w:rPr>
        <w:t xml:space="preserve">比例</w:t>
      </w:r>
      <w:r>
        <w:rPr>
          <w:rStyle w:val="769"/>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769"/>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w:t>
      </w:r>
      <w:r>
        <w:rPr>
          <w:rStyle w:val="769"/>
          <w:rFonts w:cs="方正魏碑_GBK"/>
          <w:i w:val="0"/>
          <w:color w:val="ff0000"/>
          <w:u w:val="single"/>
          <w:shd w:val="clear" w:color="auto" w:fill="ffffff"/>
        </w:rPr>
        <w:t xml:space="preserve">组件</w:t>
      </w:r>
      <w:r>
        <w:rPr>
          <w:rStyle w:val="769"/>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769"/>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hint="eastAsia" w:cs="方正魏碑_GBK"/>
          <w:color w:val="ff0000"/>
        </w:rPr>
      </w:r>
      <w:r/>
    </w:p>
    <w:p>
      <w:pPr>
        <w:pStyle w:val="757"/>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w:t>
      </w:r>
      <w:r>
        <w:rPr>
          <w:rFonts w:hint="eastAsia" w:cs="方正魏碑_GBK"/>
          <w:color w:val="ff0000"/>
        </w:rPr>
      </w:r>
      <w:r/>
    </w:p>
    <w:p>
      <w:pPr>
        <w:pStyle w:val="757"/>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rPr>
      </w:r>
      <w:r/>
    </w:p>
    <w:p>
      <w:pPr>
        <w:pStyle w:val="757"/>
        <w:ind w:right="480" w:firstLine="37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公司（单位）名称（盖章）：　        </w:t>
      </w:r>
      <w:r>
        <w:rPr>
          <w:rFonts w:hint="eastAsia" w:cs="方正魏碑_GBK"/>
          <w:color w:val="ff0000"/>
        </w:rPr>
      </w:r>
      <w:r/>
    </w:p>
    <w:p>
      <w:pPr>
        <w:pStyle w:val="757"/>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r>
        <w:rPr>
          <w:rFonts w:hint="eastAsia" w:cs="方正魏碑_GBK"/>
          <w:color w:val="ff0000"/>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rPr>
      </w:r>
      <w:r/>
    </w:p>
    <w:p>
      <w:pPr>
        <w:pStyle w:val="757"/>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1.产品如有型号，请在“产品名称”栏一并填写。</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4.该产品的关键组件要求实施前，“关键组件”栏可不填，下同。</w:t>
      </w:r>
      <w:r>
        <w:rPr>
          <w:rFonts w:hint="eastAsia" w:cs="方正魏碑_GBK"/>
          <w:color w:val="ff0000"/>
        </w:rPr>
      </w:r>
      <w:r/>
    </w:p>
    <w:p>
      <w:pPr>
        <w:pStyle w:val="757"/>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757"/>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keepNext/>
        <w:pageBreakBefore/>
        <w:spacing w:line="440" w:lineRule="exact"/>
        <w:tabs>
          <w:tab w:val="left" w:pos="0" w:leader="none"/>
        </w:tabs>
        <w:rPr>
          <w:rFonts w:ascii="宋体" w:hAnsi="宋体" w:cs="宋体"/>
          <w:b/>
          <w:color w:val="000000"/>
          <w:sz w:val="32"/>
          <w:szCs w:val="32"/>
        </w:rPr>
      </w:pPr>
      <w:r>
        <w:rPr>
          <w:rFonts w:hint="eastAsia" w:ascii="宋体" w:hAnsi="宋体" w:cs="宋体"/>
          <w:b/>
          <w:color w:val="000000"/>
          <w:sz w:val="32"/>
          <w:szCs w:val="32"/>
        </w:rPr>
        <w:t xml:space="preserve">附件1</w:t>
      </w:r>
      <w:r>
        <w:rPr>
          <w:rFonts w:hint="eastAsia" w:ascii="宋体" w:hAnsi="宋体" w:cs="宋体"/>
          <w:b/>
          <w:color w:val="000000"/>
          <w:sz w:val="32"/>
          <w:szCs w:val="32"/>
        </w:rPr>
        <w:t xml:space="preserve">4</w:t>
      </w:r>
      <w:r>
        <w:rPr>
          <w:rFonts w:ascii="宋体" w:hAnsi="宋体" w:cs="宋体"/>
          <w:b/>
          <w:color w:val="000000"/>
          <w:sz w:val="32"/>
          <w:szCs w:val="32"/>
        </w:rPr>
      </w:r>
      <w:r/>
    </w:p>
    <w:p>
      <w:pPr>
        <w:pStyle w:val="694"/>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694"/>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694"/>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p>
      <w:pPr>
        <w:pStyle w:val="726"/>
        <w:rPr>
          <w:rFonts w:ascii="宋体" w:hAnsi="宋体" w:eastAsia="宋体" w:cs="宋体"/>
        </w:rPr>
      </w:pPr>
      <w:r>
        <w:rPr>
          <w:rFonts w:ascii="宋体" w:hAnsi="宋体" w:eastAsia="宋体" w:cs="宋体"/>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bl>
    <w:p>
      <w:pPr>
        <w:pStyle w:val="761"/>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694"/>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694"/>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763"/>
        <w:ind w:firstLine="480"/>
        <w:rPr>
          <w:rFonts w:cs="宋体"/>
          <w:sz w:val="24"/>
          <w:lang w:eastAsia="zh-CN"/>
        </w:rPr>
      </w:pPr>
      <w:r>
        <w:rPr>
          <w:rFonts w:cs="宋体"/>
          <w:sz w:val="24"/>
          <w:lang w:eastAsia="zh-CN"/>
        </w:rPr>
      </w:r>
      <w:r/>
    </w:p>
    <w:p>
      <w:pPr>
        <w:pStyle w:val="763"/>
        <w:ind w:firstLine="480"/>
        <w:rPr>
          <w:rFonts w:cs="宋体"/>
          <w:sz w:val="24"/>
          <w:lang w:eastAsia="zh-CN"/>
        </w:rPr>
      </w:pPr>
      <w:r>
        <w:rPr>
          <w:rFonts w:cs="宋体"/>
          <w:sz w:val="24"/>
          <w:lang w:eastAsia="zh-CN"/>
        </w:rPr>
      </w:r>
      <w:r/>
    </w:p>
    <w:p>
      <w:pPr>
        <w:pStyle w:val="694"/>
        <w:ind w:firstLine="3000"/>
        <w:spacing w:line="300" w:lineRule="auto"/>
        <w:rPr>
          <w:rFonts w:ascii="宋体" w:hAnsi="宋体" w:cs="宋体"/>
          <w:sz w:val="24"/>
        </w:rPr>
      </w:pPr>
      <w:r>
        <w:rPr>
          <w:rFonts w:hint="eastAsia" w:ascii="宋体" w:hAnsi="宋体" w:cs="宋体"/>
          <w:color w:val="000000"/>
          <w:sz w:val="24"/>
          <w:szCs w:val="24"/>
        </w:rPr>
        <w:t xml:space="preserve">投标人全称（加盖CA电子公章）：</w:t>
      </w:r>
      <w:r>
        <w:rPr>
          <w:rFonts w:ascii="宋体" w:hAnsi="宋体" w:cs="宋体"/>
          <w:sz w:val="24"/>
        </w:rPr>
      </w:r>
      <w:r/>
    </w:p>
    <w:p>
      <w:pPr>
        <w:pStyle w:val="694"/>
        <w:ind w:firstLine="480"/>
        <w:spacing w:line="300" w:lineRule="auto"/>
        <w:rPr>
          <w:rFonts w:ascii="宋体" w:hAnsi="宋体" w:cs="宋体"/>
          <w:sz w:val="24"/>
        </w:rPr>
      </w:pPr>
      <w:r>
        <w:rPr>
          <w:rFonts w:ascii="宋体" w:hAnsi="宋体" w:cs="宋体"/>
          <w:sz w:val="24"/>
        </w:rPr>
      </w:r>
      <w:r/>
    </w:p>
    <w:p>
      <w:pPr>
        <w:pStyle w:val="694"/>
        <w:ind w:firstLine="3120"/>
        <w:spacing w:line="360" w:lineRule="auto"/>
        <w:rPr>
          <w:rFonts w:ascii="宋体" w:hAnsi="宋体" w:cs="宋体"/>
          <w:b/>
          <w:color w:val="000000"/>
          <w:sz w:val="24"/>
          <w:szCs w:val="21"/>
        </w:rPr>
      </w:pPr>
      <w:r>
        <w:rPr>
          <w:rFonts w:hint="eastAsia" w:ascii="宋体" w:hAnsi="宋体" w:cs="宋体"/>
          <w:sz w:val="24"/>
        </w:rPr>
        <w:t xml:space="preserve">日期：   年  月  日</w:t>
      </w:r>
      <w:r>
        <w:rPr>
          <w:rFonts w:ascii="宋体" w:hAnsi="宋体" w:cs="宋体"/>
          <w:b/>
          <w:color w:val="000000"/>
          <w:sz w:val="24"/>
          <w:szCs w:val="21"/>
        </w:rPr>
      </w: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pStyle w:val="694"/>
        <w:rPr>
          <w:rFonts w:hint="eastAsia" w:ascii="宋体" w:hAnsi="宋体" w:cs="仿宋"/>
          <w:b/>
          <w:bCs/>
          <w:color w:val="000000"/>
          <w:sz w:val="32"/>
          <w:szCs w:val="32"/>
        </w:rPr>
      </w:pPr>
      <w:r/>
      <w:bookmarkEnd w:id="222"/>
      <w:r/>
      <w:bookmarkEnd w:id="223"/>
      <w:r/>
      <w:bookmarkEnd w:id="248"/>
      <w:r>
        <w:rPr>
          <w:rFonts w:hint="eastAsia" w:ascii="宋体" w:hAnsi="宋体" w:cs="仿宋"/>
          <w:b/>
          <w:bCs/>
          <w:color w:val="000000"/>
          <w:sz w:val="32"/>
          <w:szCs w:val="32"/>
        </w:rPr>
      </w:r>
      <w:r/>
    </w:p>
    <w:p>
      <w:pPr>
        <w:pStyle w:val="694"/>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9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9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9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9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continuous"/>
      <w:pgSz w:w="11906" w:h="16838" w:orient="portrait"/>
      <w:pgMar w:top="1429" w:right="1786" w:bottom="1701" w:left="178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rPr>
        <w:lang w:val="zh-CN"/>
      </w:rPr>
      <w:t xml:space="preserve">18</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43</w:t>
    </w:r>
    <w:r>
      <w:rPr>
        <w:rFonts w:ascii="宋体" w:hAnsi="宋体"/>
      </w:rPr>
      <w:fldChar w:fldCharType="end"/>
    </w:r>
    <w:r>
      <w:rPr>
        <w:rStyle w:val="767"/>
        <w:rFonts w:ascii="宋体" w:hAnsi="宋体"/>
      </w:rPr>
    </w:r>
    <w:r/>
  </w:p>
  <w:p>
    <w:pPr>
      <w:pStyle w:val="742"/>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rPr>
        <w:rStyle w:val="767"/>
      </w:rPr>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4"/>
      <w:isLgl w:val="false"/>
      <w:suff w:val="tab"/>
      <w:lvlText w:val="附录%1."/>
      <w:lvlJc w:val="left"/>
      <w:pPr>
        <w:pStyle w:val="6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6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pStyle w:val="694"/>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1"/>
      <w:isLgl w:val="false"/>
      <w:suff w:val="tab"/>
      <w:lvlText w:val="%1."/>
      <w:lvlJc w:val="left"/>
      <w:pPr>
        <w:pStyle w:val="694"/>
        <w:ind w:left="709" w:hanging="709"/>
        <w:tabs>
          <w:tab w:val="num" w:pos="709" w:leader="none"/>
        </w:tabs>
      </w:pPr>
      <w:rPr>
        <w:rFonts w:hint="eastAsia"/>
      </w:rPr>
    </w:lvl>
    <w:lvl w:ilvl="1">
      <w:start w:val="1"/>
      <w:numFmt w:val="decimal"/>
      <w:isLgl w:val="false"/>
      <w:suff w:val="tab"/>
      <w:lvlText w:val="%1.%2"/>
      <w:lvlJc w:val="left"/>
      <w:pPr>
        <w:pStyle w:val="694"/>
        <w:ind w:left="709" w:hanging="709"/>
        <w:tabs>
          <w:tab w:val="num" w:pos="709" w:leader="none"/>
        </w:tabs>
      </w:pPr>
      <w:rPr>
        <w:rFonts w:hint="eastAsia"/>
      </w:rPr>
    </w:lvl>
    <w:lvl w:ilvl="2">
      <w:start w:val="1"/>
      <w:numFmt w:val="decimal"/>
      <w:isLgl w:val="false"/>
      <w:suff w:val="tab"/>
      <w:lvlText w:val="%1.%2.%3."/>
      <w:lvlJc w:val="left"/>
      <w:pPr>
        <w:pStyle w:val="694"/>
        <w:ind w:left="425" w:hanging="425"/>
        <w:tabs>
          <w:tab w:val="num" w:pos="425" w:leader="none"/>
        </w:tabs>
      </w:pPr>
      <w:rPr>
        <w:rFonts w:hint="eastAsia"/>
      </w:rPr>
    </w:lvl>
    <w:lvl w:ilvl="3">
      <w:start w:val="1"/>
      <w:numFmt w:val="decimal"/>
      <w:isLgl w:val="false"/>
      <w:suff w:val="tab"/>
      <w:lvlText w:val="%1.%2.%3.%4."/>
      <w:lvlJc w:val="left"/>
      <w:pPr>
        <w:pStyle w:val="694"/>
        <w:ind w:left="851" w:hanging="851"/>
        <w:tabs>
          <w:tab w:val="num" w:pos="851" w:leader="none"/>
        </w:tabs>
      </w:pPr>
      <w:rPr>
        <w:rFonts w:hint="eastAsia"/>
      </w:rPr>
    </w:lvl>
    <w:lvl w:ilvl="4">
      <w:start w:val="1"/>
      <w:numFmt w:val="decimal"/>
      <w:isLgl w:val="false"/>
      <w:suff w:val="tab"/>
      <w:lvlText w:val="%1.%2.%3.%4.%5."/>
      <w:lvlJc w:val="left"/>
      <w:pPr>
        <w:pStyle w:val="694"/>
        <w:ind w:left="992" w:hanging="992"/>
        <w:tabs>
          <w:tab w:val="num" w:pos="992" w:leader="none"/>
        </w:tabs>
      </w:pPr>
      <w:rPr>
        <w:rFonts w:hint="eastAsia"/>
      </w:rPr>
    </w:lvl>
    <w:lvl w:ilvl="5">
      <w:start w:val="1"/>
      <w:numFmt w:val="decimal"/>
      <w:isLgl w:val="false"/>
      <w:suff w:val="tab"/>
      <w:lvlText w:val="%1.%2.%3.%4.%5.%6."/>
      <w:lvlJc w:val="left"/>
      <w:pPr>
        <w:pStyle w:val="694"/>
        <w:ind w:left="1134" w:hanging="1134"/>
        <w:tabs>
          <w:tab w:val="num" w:pos="1134" w:leader="none"/>
        </w:tabs>
      </w:pPr>
      <w:rPr>
        <w:rFonts w:hint="eastAsia"/>
      </w:rPr>
    </w:lvl>
    <w:lvl w:ilvl="6">
      <w:start w:val="1"/>
      <w:numFmt w:val="decimal"/>
      <w:isLgl w:val="false"/>
      <w:suff w:val="tab"/>
      <w:lvlText w:val="%1.%2.%3.%4.%5.%6.%7."/>
      <w:lvlJc w:val="left"/>
      <w:pPr>
        <w:pStyle w:val="694"/>
        <w:ind w:left="1276" w:hanging="1276"/>
        <w:tabs>
          <w:tab w:val="num" w:pos="1276" w:leader="none"/>
        </w:tabs>
      </w:pPr>
      <w:rPr>
        <w:rFonts w:hint="eastAsia"/>
      </w:rPr>
    </w:lvl>
    <w:lvl w:ilvl="7">
      <w:start w:val="1"/>
      <w:numFmt w:val="decimal"/>
      <w:isLgl w:val="false"/>
      <w:suff w:val="tab"/>
      <w:lvlText w:val="%1.%2.%3.%4.%5.%6.%7.%8."/>
      <w:lvlJc w:val="left"/>
      <w:pPr>
        <w:pStyle w:val="694"/>
        <w:ind w:left="1418" w:hanging="1418"/>
        <w:tabs>
          <w:tab w:val="num" w:pos="1418" w:leader="none"/>
        </w:tabs>
      </w:pPr>
      <w:rPr>
        <w:rFonts w:hint="eastAsia"/>
      </w:rPr>
    </w:lvl>
    <w:lvl w:ilvl="8">
      <w:start w:val="1"/>
      <w:numFmt w:val="decimal"/>
      <w:isLgl w:val="false"/>
      <w:suff w:val="tab"/>
      <w:lvlText w:val="%1.%2.%3.%4.%5.%6.%7.%8.%9."/>
      <w:lvlJc w:val="left"/>
      <w:pPr>
        <w:pStyle w:val="694"/>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694"/>
        <w:ind w:left="0" w:firstLine="0"/>
      </w:pPr>
      <w:rPr>
        <w:rFonts w:hint="eastAsia"/>
      </w:rPr>
    </w:lvl>
    <w:lvl w:ilvl="1">
      <w:start w:val="1"/>
      <w:numFmt w:val="decimal"/>
      <w:isLgl w:val="false"/>
      <w:suff w:val="nothing"/>
      <w:lvlText w:val="%2、"/>
      <w:lvlJc w:val="left"/>
      <w:pPr>
        <w:pStyle w:val="694"/>
        <w:ind w:left="0" w:firstLine="0"/>
      </w:pPr>
      <w:rPr>
        <w:rFonts w:hint="eastAsia"/>
      </w:rPr>
    </w:lvl>
    <w:lvl w:ilvl="2">
      <w:start w:val="1"/>
      <w:numFmt w:val="decimal"/>
      <w:isLgl w:val="false"/>
      <w:suff w:val="nothing"/>
      <w:lvlText w:val="%2.%3 "/>
      <w:lvlJc w:val="left"/>
      <w:pPr>
        <w:pStyle w:val="694"/>
        <w:ind w:left="0" w:firstLine="0"/>
      </w:pPr>
      <w:rPr>
        <w:rFonts w:hint="eastAsia"/>
      </w:rPr>
    </w:lvl>
    <w:lvl w:ilvl="3">
      <w:start w:val="1"/>
      <w:numFmt w:val="decimal"/>
      <w:isLgl w:val="false"/>
      <w:suff w:val="nothing"/>
      <w:lvlText w:val="%2.%3.%4 "/>
      <w:lvlJc w:val="left"/>
      <w:pPr>
        <w:pStyle w:val="694"/>
        <w:ind w:left="0" w:firstLine="0"/>
      </w:pPr>
      <w:rPr>
        <w:rFonts w:hint="eastAsia"/>
      </w:rPr>
    </w:lvl>
    <w:lvl w:ilvl="4">
      <w:start w:val="1"/>
      <w:numFmt w:val="decimal"/>
      <w:isLgl w:val="false"/>
      <w:suff w:val="nothing"/>
      <w:lvlText w:val="%2.%3.%4.%5 "/>
      <w:lvlJc w:val="left"/>
      <w:pPr>
        <w:pStyle w:val="694"/>
        <w:ind w:left="0" w:firstLine="0"/>
      </w:pPr>
      <w:rPr>
        <w:rFonts w:hint="eastAsia"/>
      </w:rPr>
    </w:lvl>
    <w:lvl w:ilvl="5">
      <w:start w:val="1"/>
      <w:numFmt w:val="decimal"/>
      <w:pStyle w:val="700"/>
      <w:isLgl w:val="false"/>
      <w:suff w:val="nothing"/>
      <w:lvlText w:val=""/>
      <w:lvlJc w:val="left"/>
      <w:pPr>
        <w:pStyle w:val="694"/>
        <w:ind w:left="0" w:firstLine="0"/>
      </w:pPr>
      <w:rPr>
        <w:rFonts w:hint="eastAsia"/>
      </w:rPr>
    </w:lvl>
    <w:lvl w:ilvl="6">
      <w:start w:val="1"/>
      <w:numFmt w:val="decimal"/>
      <w:pStyle w:val="701"/>
      <w:isLgl w:val="false"/>
      <w:suff w:val="nothing"/>
      <w:lvlText w:val=""/>
      <w:lvlJc w:val="left"/>
      <w:pPr>
        <w:pStyle w:val="694"/>
        <w:ind w:left="0" w:firstLine="0"/>
      </w:pPr>
      <w:rPr>
        <w:rFonts w:hint="eastAsia"/>
      </w:rPr>
    </w:lvl>
    <w:lvl w:ilvl="7">
      <w:start w:val="1"/>
      <w:numFmt w:val="decimal"/>
      <w:pStyle w:val="702"/>
      <w:isLgl w:val="false"/>
      <w:suff w:val="nothing"/>
      <w:lvlText w:val=""/>
      <w:lvlJc w:val="left"/>
      <w:pPr>
        <w:pStyle w:val="694"/>
        <w:ind w:left="0" w:firstLine="0"/>
      </w:pPr>
      <w:rPr>
        <w:rFonts w:hint="eastAsia"/>
      </w:rPr>
    </w:lvl>
    <w:lvl w:ilvl="8">
      <w:start w:val="1"/>
      <w:numFmt w:val="decimal"/>
      <w:pStyle w:val="703"/>
      <w:isLgl w:val="false"/>
      <w:suff w:val="nothing"/>
      <w:lvlText w:val=""/>
      <w:lvlJc w:val="left"/>
      <w:pPr>
        <w:pStyle w:val="694"/>
        <w:ind w:left="0" w:firstLine="0"/>
      </w:pPr>
      <w:rPr>
        <w:rFonts w:hint="eastAsia"/>
      </w:rPr>
    </w:lvl>
  </w:abstractNum>
  <w:abstractNum w:abstractNumId="12">
    <w:multiLevelType w:val="hybridMultilevel"/>
    <w:lvl w:ilvl="0">
      <w:start w:val="6"/>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9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3"/>
  </w:num>
  <w:num w:numId="5">
    <w:abstractNumId w:val="14"/>
  </w:num>
  <w:num w:numId="6">
    <w:abstractNumId w:val="2"/>
  </w:num>
  <w:num w:numId="7">
    <w:abstractNumId w:val="6"/>
  </w:num>
  <w:num w:numId="8">
    <w:abstractNumId w:val="4"/>
  </w:num>
  <w:num w:numId="9">
    <w:abstractNumId w:val="3"/>
  </w:num>
  <w:num w:numId="10">
    <w:abstractNumId w:val="1"/>
  </w:num>
  <w:num w:numId="11">
    <w:abstractNumId w:val="5"/>
  </w:num>
  <w:num w:numId="12">
    <w:abstractNumId w:val="8"/>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4"/>
    <w:next w:val="6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4"/>
    <w:next w:val="694"/>
    <w:uiPriority w:val="39"/>
    <w:unhideWhenUsed/>
    <w:pPr>
      <w:ind w:left="0" w:right="0" w:firstLine="0"/>
      <w:spacing w:after="57"/>
    </w:p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694"/>
    <w:link w:val="694"/>
    <w:qFormat/>
    <w:pPr>
      <w:jc w:val="both"/>
      <w:widowControl w:val="off"/>
    </w:pPr>
    <w:rPr>
      <w:sz w:val="21"/>
      <w:szCs w:val="22"/>
      <w:lang w:val="en-US" w:eastAsia="zh-CN" w:bidi="ar-SA"/>
    </w:rPr>
  </w:style>
  <w:style w:type="paragraph" w:styleId="695">
    <w:name w:val="标题 1"/>
    <w:basedOn w:val="694"/>
    <w:next w:val="694"/>
    <w:link w:val="707"/>
    <w:qFormat/>
    <w:pPr>
      <w:jc w:val="center"/>
      <w:keepNext/>
      <w:outlineLvl w:val="0"/>
    </w:pPr>
    <w:rPr>
      <w:rFonts w:ascii="楷体_GB2312" w:eastAsia="楷体_GB2312"/>
      <w:sz w:val="28"/>
      <w:szCs w:val="28"/>
      <w:lang w:val="en-US" w:eastAsia="en-US"/>
    </w:rPr>
  </w:style>
  <w:style w:type="paragraph" w:styleId="696">
    <w:name w:val="标题 2"/>
    <w:basedOn w:val="694"/>
    <w:next w:val="709"/>
    <w:link w:val="70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97">
    <w:name w:val="标题 3"/>
    <w:basedOn w:val="694"/>
    <w:next w:val="709"/>
    <w:link w:val="711"/>
    <w:qFormat/>
    <w:pPr>
      <w:keepLines/>
      <w:keepNext/>
      <w:spacing w:before="260" w:after="260" w:line="416" w:lineRule="auto"/>
      <w:outlineLvl w:val="2"/>
    </w:pPr>
    <w:rPr>
      <w:b/>
      <w:bCs/>
      <w:sz w:val="32"/>
      <w:szCs w:val="32"/>
      <w:lang w:val="en-US" w:eastAsia="en-US"/>
    </w:rPr>
  </w:style>
  <w:style w:type="paragraph" w:styleId="698">
    <w:name w:val="标题 4"/>
    <w:basedOn w:val="694"/>
    <w:next w:val="709"/>
    <w:link w:val="712"/>
    <w:qFormat/>
    <w:pPr>
      <w:keepLines/>
      <w:keepNext/>
      <w:spacing w:before="280" w:after="290" w:line="376" w:lineRule="auto"/>
      <w:outlineLvl w:val="3"/>
    </w:pPr>
    <w:rPr>
      <w:rFonts w:ascii="Arial" w:hAnsi="Arial" w:eastAsia="黑体"/>
      <w:b/>
      <w:bCs/>
      <w:sz w:val="28"/>
      <w:szCs w:val="28"/>
      <w:lang w:val="en-US" w:eastAsia="en-US"/>
    </w:rPr>
  </w:style>
  <w:style w:type="paragraph" w:styleId="699">
    <w:name w:val="标题 5"/>
    <w:basedOn w:val="694"/>
    <w:next w:val="709"/>
    <w:link w:val="713"/>
    <w:qFormat/>
    <w:pPr>
      <w:keepNext/>
      <w:outlineLvl w:val="4"/>
    </w:pPr>
    <w:rPr>
      <w:rFonts w:ascii="宋体"/>
      <w:color w:val="000000"/>
      <w:sz w:val="28"/>
      <w:szCs w:val="28"/>
      <w:lang w:val="en-US" w:eastAsia="en-US"/>
    </w:rPr>
  </w:style>
  <w:style w:type="paragraph" w:styleId="700">
    <w:name w:val="标题 6"/>
    <w:basedOn w:val="694"/>
    <w:next w:val="694"/>
    <w:link w:val="71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01">
    <w:name w:val="标题 7"/>
    <w:basedOn w:val="694"/>
    <w:next w:val="694"/>
    <w:link w:val="715"/>
    <w:qFormat/>
    <w:pPr>
      <w:numPr>
        <w:ilvl w:val="6"/>
        <w:numId w:val="1"/>
      </w:numPr>
      <w:keepLines/>
      <w:keepNext/>
      <w:spacing w:before="240" w:after="64" w:line="320" w:lineRule="auto"/>
      <w:outlineLvl w:val="6"/>
    </w:pPr>
    <w:rPr>
      <w:b/>
      <w:bCs/>
      <w:sz w:val="24"/>
      <w:szCs w:val="24"/>
      <w:lang w:val="en-US" w:eastAsia="en-US"/>
    </w:rPr>
  </w:style>
  <w:style w:type="paragraph" w:styleId="702">
    <w:name w:val="标题 8"/>
    <w:basedOn w:val="694"/>
    <w:next w:val="694"/>
    <w:link w:val="71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03">
    <w:name w:val="标题 9"/>
    <w:basedOn w:val="694"/>
    <w:next w:val="694"/>
    <w:link w:val="717"/>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numbering" w:styleId="706">
    <w:name w:val="无列表"/>
    <w:next w:val="706"/>
    <w:link w:val="694"/>
    <w:uiPriority w:val="99"/>
    <w:semiHidden/>
    <w:unhideWhenUsed/>
  </w:style>
  <w:style w:type="character" w:styleId="707">
    <w:name w:val="标题 1 字符"/>
    <w:next w:val="707"/>
    <w:link w:val="695"/>
    <w:rPr>
      <w:rFonts w:ascii="楷体_GB2312" w:hAnsi="Times New Roman" w:eastAsia="楷体_GB2312" w:cs="Times New Roman"/>
      <w:sz w:val="28"/>
      <w:szCs w:val="28"/>
    </w:rPr>
  </w:style>
  <w:style w:type="character" w:styleId="708">
    <w:name w:val="标题 2 字符"/>
    <w:next w:val="708"/>
    <w:link w:val="696"/>
    <w:rPr>
      <w:rFonts w:ascii="Arial" w:hAnsi="Arial" w:eastAsia="幼圆" w:cs="Arial"/>
      <w:b/>
      <w:bCs/>
      <w:sz w:val="44"/>
      <w:szCs w:val="44"/>
    </w:rPr>
  </w:style>
  <w:style w:type="paragraph" w:styleId="709">
    <w:name w:val="正文缩进"/>
    <w:basedOn w:val="694"/>
    <w:next w:val="709"/>
    <w:link w:val="710"/>
    <w:pPr>
      <w:ind w:firstLine="420"/>
    </w:pPr>
    <w:rPr>
      <w:sz w:val="20"/>
      <w:szCs w:val="21"/>
      <w:lang w:val="en-US" w:eastAsia="en-US"/>
    </w:rPr>
  </w:style>
  <w:style w:type="character" w:styleId="710">
    <w:name w:val="正文缩进 字符"/>
    <w:next w:val="710"/>
    <w:link w:val="709"/>
    <w:rPr>
      <w:szCs w:val="21"/>
    </w:rPr>
  </w:style>
  <w:style w:type="character" w:styleId="711">
    <w:name w:val="标题 3 字符"/>
    <w:next w:val="711"/>
    <w:link w:val="697"/>
    <w:rPr>
      <w:rFonts w:ascii="Times New Roman" w:hAnsi="Times New Roman" w:eastAsia="宋体" w:cs="Times New Roman"/>
      <w:b/>
      <w:bCs/>
      <w:sz w:val="32"/>
      <w:szCs w:val="32"/>
    </w:rPr>
  </w:style>
  <w:style w:type="character" w:styleId="712">
    <w:name w:val="标题 4 字符"/>
    <w:next w:val="712"/>
    <w:link w:val="698"/>
    <w:rPr>
      <w:rFonts w:ascii="Arial" w:hAnsi="Arial" w:eastAsia="黑体" w:cs="Arial"/>
      <w:b/>
      <w:bCs/>
      <w:sz w:val="28"/>
      <w:szCs w:val="28"/>
    </w:rPr>
  </w:style>
  <w:style w:type="character" w:styleId="713">
    <w:name w:val="标题 5 字符"/>
    <w:next w:val="713"/>
    <w:link w:val="699"/>
    <w:rPr>
      <w:rFonts w:ascii="宋体" w:hAnsi="Times New Roman" w:eastAsia="宋体" w:cs="Times New Roman"/>
      <w:color w:val="000000"/>
      <w:sz w:val="28"/>
      <w:szCs w:val="28"/>
    </w:rPr>
  </w:style>
  <w:style w:type="character" w:styleId="714">
    <w:name w:val="标题 6 字符"/>
    <w:next w:val="714"/>
    <w:link w:val="700"/>
    <w:rPr>
      <w:rFonts w:ascii="Arial" w:hAnsi="Arial" w:eastAsia="黑体" w:cs="Times New Roman"/>
      <w:b/>
      <w:bCs/>
      <w:sz w:val="24"/>
      <w:szCs w:val="24"/>
    </w:rPr>
  </w:style>
  <w:style w:type="character" w:styleId="715">
    <w:name w:val="标题 7 字符"/>
    <w:next w:val="715"/>
    <w:link w:val="701"/>
    <w:rPr>
      <w:rFonts w:ascii="Times New Roman" w:hAnsi="Times New Roman" w:eastAsia="宋体" w:cs="Times New Roman"/>
      <w:b/>
      <w:bCs/>
      <w:sz w:val="24"/>
      <w:szCs w:val="24"/>
    </w:rPr>
  </w:style>
  <w:style w:type="character" w:styleId="716">
    <w:name w:val="标题 8 字符"/>
    <w:next w:val="716"/>
    <w:link w:val="702"/>
    <w:rPr>
      <w:rFonts w:ascii="Arial" w:hAnsi="Arial" w:eastAsia="黑体" w:cs="Times New Roman"/>
      <w:sz w:val="24"/>
      <w:szCs w:val="24"/>
    </w:rPr>
  </w:style>
  <w:style w:type="character" w:styleId="717">
    <w:name w:val="标题 9 字符"/>
    <w:next w:val="717"/>
    <w:link w:val="703"/>
    <w:rPr>
      <w:rFonts w:ascii="Arial" w:hAnsi="Arial" w:eastAsia="黑体" w:cs="Times New Roman"/>
      <w:szCs w:val="21"/>
    </w:rPr>
  </w:style>
  <w:style w:type="paragraph" w:styleId="718">
    <w:name w:val="列表 3"/>
    <w:basedOn w:val="694"/>
    <w:next w:val="718"/>
    <w:link w:val="694"/>
    <w:pPr>
      <w:ind w:left="100" w:hanging="200"/>
    </w:pPr>
    <w:rPr>
      <w:rFonts w:ascii="Times New Roman" w:hAnsi="Times New Roman" w:eastAsia="宋体" w:cs="Times New Roman"/>
      <w:szCs w:val="21"/>
    </w:rPr>
  </w:style>
  <w:style w:type="paragraph" w:styleId="719">
    <w:name w:val="目录 7"/>
    <w:basedOn w:val="694"/>
    <w:next w:val="694"/>
    <w:link w:val="694"/>
    <w:semiHidden/>
    <w:pPr>
      <w:ind w:left="1260"/>
      <w:jc w:val="left"/>
    </w:pPr>
    <w:rPr>
      <w:rFonts w:ascii="Times New Roman" w:hAnsi="Times New Roman" w:eastAsia="宋体" w:cs="Times New Roman"/>
      <w:szCs w:val="21"/>
    </w:rPr>
  </w:style>
  <w:style w:type="paragraph" w:styleId="720">
    <w:name w:val="文档结构图"/>
    <w:basedOn w:val="694"/>
    <w:next w:val="720"/>
    <w:link w:val="721"/>
    <w:semiHidden/>
    <w:pPr>
      <w:shd w:val="clear" w:color="auto" w:fill="000080"/>
    </w:pPr>
    <w:rPr>
      <w:sz w:val="20"/>
      <w:szCs w:val="21"/>
      <w:lang w:val="en-US" w:eastAsia="en-US"/>
    </w:rPr>
  </w:style>
  <w:style w:type="character" w:styleId="721">
    <w:name w:val="文档结构图 字符"/>
    <w:next w:val="721"/>
    <w:link w:val="720"/>
    <w:semiHidden/>
    <w:rPr>
      <w:rFonts w:ascii="Times New Roman" w:hAnsi="Times New Roman" w:eastAsia="宋体" w:cs="Times New Roman"/>
      <w:szCs w:val="21"/>
      <w:shd w:val="clear" w:color="auto" w:fill="000080"/>
    </w:rPr>
  </w:style>
  <w:style w:type="paragraph" w:styleId="722">
    <w:name w:val="批注文字"/>
    <w:basedOn w:val="694"/>
    <w:next w:val="722"/>
    <w:link w:val="723"/>
    <w:uiPriority w:val="99"/>
    <w:unhideWhenUsed/>
    <w:pPr>
      <w:jc w:val="left"/>
    </w:pPr>
  </w:style>
  <w:style w:type="character" w:styleId="723">
    <w:name w:val="批注文字 字符"/>
    <w:next w:val="723"/>
    <w:link w:val="722"/>
    <w:uiPriority w:val="99"/>
    <w:semiHidden/>
  </w:style>
  <w:style w:type="paragraph" w:styleId="724">
    <w:name w:val="正文文本 3"/>
    <w:basedOn w:val="694"/>
    <w:next w:val="724"/>
    <w:link w:val="725"/>
    <w:rPr>
      <w:rFonts w:ascii="仿宋_GB2312" w:hAnsi="Arial" w:eastAsia="仿宋_GB2312"/>
      <w:sz w:val="32"/>
      <w:szCs w:val="32"/>
      <w:lang w:val="en-US" w:eastAsia="en-US"/>
    </w:rPr>
  </w:style>
  <w:style w:type="character" w:styleId="725">
    <w:name w:val="正文文本 3 字符"/>
    <w:next w:val="725"/>
    <w:link w:val="724"/>
    <w:rPr>
      <w:rFonts w:ascii="仿宋_GB2312" w:hAnsi="Arial" w:eastAsia="仿宋_GB2312" w:cs="Times New Roman"/>
      <w:sz w:val="32"/>
      <w:szCs w:val="32"/>
    </w:rPr>
  </w:style>
  <w:style w:type="paragraph" w:styleId="726">
    <w:name w:val="正文文本"/>
    <w:basedOn w:val="694"/>
    <w:next w:val="726"/>
    <w:link w:val="727"/>
    <w:rPr>
      <w:rFonts w:ascii="楷体_GB2312" w:hAnsi="Arial" w:eastAsia="楷体_GB2312"/>
      <w:sz w:val="28"/>
      <w:szCs w:val="28"/>
      <w:lang w:val="en-US" w:eastAsia="en-US"/>
    </w:rPr>
  </w:style>
  <w:style w:type="character" w:styleId="727">
    <w:name w:val="正文文本 字符"/>
    <w:next w:val="727"/>
    <w:link w:val="726"/>
    <w:rPr>
      <w:rFonts w:ascii="楷体_GB2312" w:hAnsi="Arial" w:eastAsia="楷体_GB2312" w:cs="Times New Roman"/>
      <w:sz w:val="28"/>
      <w:szCs w:val="28"/>
    </w:rPr>
  </w:style>
  <w:style w:type="paragraph" w:styleId="728">
    <w:name w:val="正文文本缩进"/>
    <w:basedOn w:val="694"/>
    <w:next w:val="728"/>
    <w:link w:val="729"/>
    <w:uiPriority w:val="99"/>
    <w:unhideWhenUsed/>
    <w:pPr>
      <w:ind w:left="420"/>
      <w:spacing w:after="120"/>
    </w:pPr>
  </w:style>
  <w:style w:type="character" w:styleId="729">
    <w:name w:val="正文文本缩进 字符"/>
    <w:next w:val="729"/>
    <w:link w:val="728"/>
    <w:uiPriority w:val="99"/>
    <w:semiHidden/>
  </w:style>
  <w:style w:type="paragraph" w:styleId="730">
    <w:name w:val="列表 2"/>
    <w:basedOn w:val="694"/>
    <w:next w:val="730"/>
    <w:link w:val="694"/>
    <w:pPr>
      <w:ind w:left="100" w:hanging="200"/>
    </w:pPr>
    <w:rPr>
      <w:rFonts w:ascii="Times New Roman" w:hAnsi="Times New Roman" w:eastAsia="宋体" w:cs="Times New Roman"/>
      <w:szCs w:val="21"/>
    </w:rPr>
  </w:style>
  <w:style w:type="paragraph" w:styleId="731">
    <w:name w:val="目录 5"/>
    <w:basedOn w:val="694"/>
    <w:next w:val="694"/>
    <w:link w:val="694"/>
    <w:semiHidden/>
    <w:pPr>
      <w:ind w:left="840"/>
      <w:jc w:val="left"/>
    </w:pPr>
    <w:rPr>
      <w:rFonts w:ascii="Times New Roman" w:hAnsi="Times New Roman" w:eastAsia="宋体" w:cs="Times New Roman"/>
      <w:szCs w:val="21"/>
    </w:rPr>
  </w:style>
  <w:style w:type="paragraph" w:styleId="732">
    <w:name w:val="目录 3"/>
    <w:basedOn w:val="694"/>
    <w:next w:val="694"/>
    <w:link w:val="694"/>
    <w:semiHidden/>
    <w:pPr>
      <w:ind w:left="420"/>
      <w:jc w:val="left"/>
    </w:pPr>
    <w:rPr>
      <w:rFonts w:ascii="Times New Roman" w:hAnsi="Times New Roman" w:eastAsia="宋体" w:cs="Times New Roman"/>
      <w:i/>
      <w:iCs/>
      <w:szCs w:val="24"/>
    </w:rPr>
  </w:style>
  <w:style w:type="paragraph" w:styleId="733">
    <w:name w:val="纯文本"/>
    <w:basedOn w:val="694"/>
    <w:next w:val="733"/>
    <w:link w:val="734"/>
    <w:qFormat/>
    <w:rPr>
      <w:rFonts w:ascii="宋体" w:hAnsi="Courier New"/>
      <w:sz w:val="20"/>
      <w:szCs w:val="21"/>
      <w:lang w:val="en-US" w:eastAsia="en-US"/>
    </w:rPr>
  </w:style>
  <w:style w:type="character" w:styleId="734">
    <w:name w:val="纯文本 字符"/>
    <w:next w:val="734"/>
    <w:link w:val="733"/>
    <w:rPr>
      <w:rFonts w:ascii="宋体" w:hAnsi="Courier New" w:eastAsia="宋体" w:cs="Courier New"/>
      <w:szCs w:val="21"/>
    </w:rPr>
  </w:style>
  <w:style w:type="paragraph" w:styleId="735">
    <w:name w:val="目录 8"/>
    <w:basedOn w:val="694"/>
    <w:next w:val="694"/>
    <w:link w:val="694"/>
    <w:semiHidden/>
    <w:pPr>
      <w:ind w:left="1470"/>
      <w:jc w:val="left"/>
    </w:pPr>
    <w:rPr>
      <w:rFonts w:ascii="Times New Roman" w:hAnsi="Times New Roman" w:eastAsia="宋体" w:cs="Times New Roman"/>
      <w:szCs w:val="21"/>
    </w:rPr>
  </w:style>
  <w:style w:type="paragraph" w:styleId="736">
    <w:name w:val="日期"/>
    <w:basedOn w:val="694"/>
    <w:next w:val="694"/>
    <w:link w:val="737"/>
    <w:rPr>
      <w:sz w:val="24"/>
      <w:szCs w:val="24"/>
      <w:lang w:val="en-US" w:eastAsia="en-US"/>
    </w:rPr>
  </w:style>
  <w:style w:type="character" w:styleId="737">
    <w:name w:val="日期 字符"/>
    <w:next w:val="737"/>
    <w:link w:val="736"/>
    <w:rPr>
      <w:rFonts w:ascii="Times New Roman" w:hAnsi="Times New Roman" w:eastAsia="宋体" w:cs="Times New Roman"/>
      <w:sz w:val="24"/>
      <w:szCs w:val="24"/>
    </w:rPr>
  </w:style>
  <w:style w:type="paragraph" w:styleId="738">
    <w:name w:val="正文文本缩进 2"/>
    <w:basedOn w:val="694"/>
    <w:next w:val="738"/>
    <w:link w:val="739"/>
    <w:pPr>
      <w:ind w:left="630" w:firstLine="645"/>
    </w:pPr>
    <w:rPr>
      <w:rFonts w:ascii="Arial" w:hAnsi="Arial" w:eastAsia="仿宋_GB2312"/>
      <w:sz w:val="32"/>
      <w:szCs w:val="32"/>
      <w:lang w:val="en-US" w:eastAsia="en-US"/>
    </w:rPr>
  </w:style>
  <w:style w:type="character" w:styleId="739">
    <w:name w:val="正文文本缩进 2 字符"/>
    <w:next w:val="739"/>
    <w:link w:val="738"/>
    <w:rPr>
      <w:rFonts w:ascii="Arial" w:hAnsi="Arial" w:eastAsia="仿宋_GB2312" w:cs="Arial"/>
      <w:sz w:val="32"/>
      <w:szCs w:val="32"/>
    </w:rPr>
  </w:style>
  <w:style w:type="paragraph" w:styleId="740">
    <w:name w:val="批注框文本"/>
    <w:basedOn w:val="694"/>
    <w:next w:val="740"/>
    <w:link w:val="741"/>
    <w:semiHidden/>
    <w:rPr>
      <w:sz w:val="18"/>
      <w:szCs w:val="18"/>
      <w:lang w:val="en-US" w:eastAsia="en-US"/>
    </w:rPr>
  </w:style>
  <w:style w:type="character" w:styleId="741">
    <w:name w:val="批注框文本 字符"/>
    <w:next w:val="741"/>
    <w:link w:val="740"/>
    <w:semiHidden/>
    <w:rPr>
      <w:rFonts w:ascii="Times New Roman" w:hAnsi="Times New Roman" w:eastAsia="宋体" w:cs="Times New Roman"/>
      <w:sz w:val="18"/>
      <w:szCs w:val="18"/>
    </w:rPr>
  </w:style>
  <w:style w:type="paragraph" w:styleId="742">
    <w:name w:val="页脚"/>
    <w:basedOn w:val="694"/>
    <w:next w:val="742"/>
    <w:link w:val="743"/>
    <w:uiPriority w:val="99"/>
    <w:pPr>
      <w:jc w:val="left"/>
      <w:tabs>
        <w:tab w:val="center" w:pos="4153" w:leader="none"/>
        <w:tab w:val="right" w:pos="8306" w:leader="none"/>
      </w:tabs>
    </w:pPr>
    <w:rPr>
      <w:sz w:val="18"/>
      <w:szCs w:val="18"/>
      <w:lang w:val="en-US" w:eastAsia="en-US"/>
    </w:rPr>
  </w:style>
  <w:style w:type="character" w:styleId="743">
    <w:name w:val="页脚 字符"/>
    <w:next w:val="743"/>
    <w:link w:val="742"/>
    <w:uiPriority w:val="99"/>
    <w:rPr>
      <w:rFonts w:ascii="Times New Roman" w:hAnsi="Times New Roman" w:eastAsia="宋体" w:cs="Times New Roman"/>
      <w:sz w:val="18"/>
      <w:szCs w:val="18"/>
    </w:rPr>
  </w:style>
  <w:style w:type="paragraph" w:styleId="744">
    <w:name w:val="页眉"/>
    <w:basedOn w:val="694"/>
    <w:next w:val="744"/>
    <w:link w:val="745"/>
    <w:pPr>
      <w:jc w:val="center"/>
      <w:tabs>
        <w:tab w:val="center" w:pos="4153" w:leader="none"/>
        <w:tab w:val="right" w:pos="8306" w:leader="none"/>
      </w:tabs>
      <w:pBdr>
        <w:bottom w:val="single" w:color="000000" w:sz="6" w:space="1"/>
      </w:pBdr>
    </w:pPr>
    <w:rPr>
      <w:sz w:val="18"/>
      <w:szCs w:val="18"/>
      <w:lang w:val="en-US" w:eastAsia="en-US"/>
    </w:rPr>
  </w:style>
  <w:style w:type="character" w:styleId="745">
    <w:name w:val="页眉 字符"/>
    <w:next w:val="745"/>
    <w:link w:val="744"/>
    <w:rPr>
      <w:rFonts w:ascii="Times New Roman" w:hAnsi="Times New Roman" w:eastAsia="宋体" w:cs="Times New Roman"/>
      <w:sz w:val="18"/>
      <w:szCs w:val="18"/>
    </w:rPr>
  </w:style>
  <w:style w:type="paragraph" w:styleId="746">
    <w:name w:val="目录 1"/>
    <w:basedOn w:val="694"/>
    <w:next w:val="694"/>
    <w:link w:val="6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目录 4"/>
    <w:basedOn w:val="694"/>
    <w:next w:val="694"/>
    <w:link w:val="694"/>
    <w:semiHidden/>
    <w:pPr>
      <w:ind w:left="630"/>
      <w:jc w:val="left"/>
    </w:pPr>
    <w:rPr>
      <w:rFonts w:ascii="Times New Roman" w:hAnsi="Times New Roman" w:eastAsia="宋体" w:cs="Times New Roman"/>
      <w:szCs w:val="21"/>
    </w:rPr>
  </w:style>
  <w:style w:type="paragraph" w:styleId="748">
    <w:name w:val="列表"/>
    <w:basedOn w:val="694"/>
    <w:next w:val="748"/>
    <w:link w:val="694"/>
    <w:pPr>
      <w:ind w:left="200" w:hanging="200"/>
    </w:pPr>
    <w:rPr>
      <w:rFonts w:ascii="Times New Roman" w:hAnsi="Times New Roman" w:eastAsia="宋体" w:cs="Times New Roman"/>
      <w:szCs w:val="21"/>
    </w:rPr>
  </w:style>
  <w:style w:type="paragraph" w:styleId="749">
    <w:name w:val="目录 6"/>
    <w:basedOn w:val="694"/>
    <w:next w:val="694"/>
    <w:link w:val="694"/>
    <w:semiHidden/>
    <w:pPr>
      <w:ind w:left="1050"/>
      <w:jc w:val="left"/>
    </w:pPr>
    <w:rPr>
      <w:rFonts w:ascii="Times New Roman" w:hAnsi="Times New Roman" w:eastAsia="宋体" w:cs="Times New Roman"/>
      <w:szCs w:val="21"/>
    </w:rPr>
  </w:style>
  <w:style w:type="paragraph" w:styleId="750">
    <w:name w:val="正文文本缩进 3"/>
    <w:basedOn w:val="694"/>
    <w:next w:val="750"/>
    <w:link w:val="751"/>
    <w:pPr>
      <w:ind w:left="645" w:firstLine="645"/>
    </w:pPr>
    <w:rPr>
      <w:rFonts w:ascii="Arial" w:hAnsi="Arial" w:eastAsia="仿宋_GB2312"/>
      <w:color w:val="ffff00"/>
      <w:sz w:val="32"/>
      <w:szCs w:val="32"/>
      <w:lang w:val="en-US" w:eastAsia="en-US"/>
    </w:rPr>
  </w:style>
  <w:style w:type="character" w:styleId="751">
    <w:name w:val="正文文本缩进 3 字符"/>
    <w:next w:val="751"/>
    <w:link w:val="750"/>
    <w:rPr>
      <w:rFonts w:ascii="Arial" w:hAnsi="Arial" w:eastAsia="仿宋_GB2312" w:cs="Arial"/>
      <w:color w:val="ffff00"/>
      <w:sz w:val="32"/>
      <w:szCs w:val="32"/>
    </w:rPr>
  </w:style>
  <w:style w:type="paragraph" w:styleId="752">
    <w:name w:val="图表目录"/>
    <w:basedOn w:val="694"/>
    <w:next w:val="694"/>
    <w:link w:val="694"/>
    <w:semiHidden/>
    <w:pPr>
      <w:ind w:left="840" w:hanging="420"/>
    </w:pPr>
    <w:rPr>
      <w:rFonts w:ascii="Times New Roman" w:hAnsi="Times New Roman" w:eastAsia="宋体" w:cs="Times New Roman"/>
      <w:szCs w:val="21"/>
    </w:rPr>
  </w:style>
  <w:style w:type="paragraph" w:styleId="753">
    <w:name w:val="目录 2"/>
    <w:basedOn w:val="694"/>
    <w:next w:val="694"/>
    <w:link w:val="694"/>
    <w:semiHidden/>
    <w:pPr>
      <w:ind w:left="210"/>
      <w:jc w:val="left"/>
    </w:pPr>
    <w:rPr>
      <w:rFonts w:ascii="Times New Roman" w:hAnsi="Times New Roman" w:eastAsia="宋体" w:cs="Times New Roman"/>
      <w:smallCaps/>
      <w:szCs w:val="24"/>
    </w:rPr>
  </w:style>
  <w:style w:type="paragraph" w:styleId="754">
    <w:name w:val="目录 9"/>
    <w:basedOn w:val="694"/>
    <w:next w:val="694"/>
    <w:link w:val="694"/>
    <w:semiHidden/>
    <w:pPr>
      <w:ind w:left="1680"/>
      <w:jc w:val="left"/>
    </w:pPr>
    <w:rPr>
      <w:rFonts w:ascii="Times New Roman" w:hAnsi="Times New Roman" w:eastAsia="宋体" w:cs="Times New Roman"/>
      <w:szCs w:val="21"/>
    </w:rPr>
  </w:style>
  <w:style w:type="paragraph" w:styleId="755">
    <w:name w:val="正文文本 2"/>
    <w:basedOn w:val="694"/>
    <w:next w:val="755"/>
    <w:link w:val="756"/>
    <w:pPr>
      <w:jc w:val="center"/>
      <w:widowControl/>
    </w:pPr>
    <w:rPr>
      <w:rFonts w:ascii="楷体_GB2312" w:eastAsia="楷体_GB2312"/>
      <w:sz w:val="28"/>
      <w:szCs w:val="28"/>
      <w:lang w:val="en-US" w:eastAsia="en-US"/>
    </w:rPr>
  </w:style>
  <w:style w:type="character" w:styleId="756">
    <w:name w:val="正文文本 2 字符"/>
    <w:next w:val="756"/>
    <w:link w:val="755"/>
    <w:rPr>
      <w:rFonts w:ascii="楷体_GB2312" w:hAnsi="Times New Roman" w:eastAsia="楷体_GB2312" w:cs="Times New Roman"/>
      <w:sz w:val="28"/>
      <w:szCs w:val="28"/>
    </w:rPr>
  </w:style>
  <w:style w:type="paragraph" w:styleId="757">
    <w:name w:val="普通(网站)"/>
    <w:basedOn w:val="694"/>
    <w:next w:val="757"/>
    <w:link w:val="694"/>
    <w:uiPriority w:val="99"/>
    <w:pPr>
      <w:jc w:val="left"/>
      <w:spacing w:before="100" w:beforeAutospacing="1" w:after="100" w:afterAutospacing="1"/>
      <w:widowControl/>
    </w:pPr>
    <w:rPr>
      <w:rFonts w:ascii="宋体" w:hAnsi="宋体" w:eastAsia="宋体" w:cs="宋体"/>
      <w:sz w:val="24"/>
      <w:szCs w:val="24"/>
    </w:rPr>
  </w:style>
  <w:style w:type="paragraph" w:styleId="758">
    <w:name w:val="索引 1"/>
    <w:basedOn w:val="694"/>
    <w:next w:val="694"/>
    <w:link w:val="694"/>
    <w:semiHidden/>
    <w:pPr>
      <w:spacing w:line="240" w:lineRule="atLeast"/>
    </w:pPr>
    <w:rPr>
      <w:rFonts w:ascii="Times New Roman" w:hAnsi="Times New Roman" w:eastAsia="宋体" w:cs="Times New Roman"/>
      <w:b/>
      <w:bCs/>
      <w:szCs w:val="21"/>
    </w:rPr>
  </w:style>
  <w:style w:type="paragraph" w:styleId="759">
    <w:name w:val="批注主题"/>
    <w:basedOn w:val="722"/>
    <w:next w:val="722"/>
    <w:link w:val="760"/>
    <w:semiHidden/>
    <w:rPr>
      <w:b/>
      <w:bCs/>
      <w:sz w:val="20"/>
      <w:szCs w:val="21"/>
      <w:lang w:val="en-US" w:eastAsia="en-US"/>
    </w:rPr>
  </w:style>
  <w:style w:type="character" w:styleId="760">
    <w:name w:val="批注主题 字符"/>
    <w:next w:val="760"/>
    <w:link w:val="759"/>
    <w:semiHidden/>
    <w:rPr>
      <w:rFonts w:ascii="Times New Roman" w:hAnsi="Times New Roman" w:eastAsia="宋体" w:cs="Times New Roman"/>
      <w:b/>
      <w:bCs/>
      <w:szCs w:val="21"/>
    </w:rPr>
  </w:style>
  <w:style w:type="paragraph" w:styleId="761">
    <w:name w:val="正文首行缩进"/>
    <w:basedOn w:val="694"/>
    <w:next w:val="761"/>
    <w:link w:val="762"/>
    <w:pPr>
      <w:ind w:firstLine="200"/>
      <w:spacing w:line="360" w:lineRule="auto"/>
    </w:pPr>
    <w:rPr>
      <w:rFonts w:ascii="仿宋_GB2312" w:eastAsia="仿宋_GB2312"/>
      <w:sz w:val="30"/>
      <w:szCs w:val="30"/>
      <w:lang w:val="en-US" w:eastAsia="en-US"/>
    </w:rPr>
  </w:style>
  <w:style w:type="character" w:styleId="762">
    <w:name w:val="正文首行缩进 字符"/>
    <w:next w:val="762"/>
    <w:link w:val="761"/>
    <w:rPr>
      <w:rFonts w:ascii="仿宋_GB2312" w:hAnsi="Times New Roman" w:eastAsia="仿宋_GB2312" w:cs="Times New Roman"/>
      <w:sz w:val="30"/>
      <w:szCs w:val="30"/>
    </w:rPr>
  </w:style>
  <w:style w:type="paragraph" w:styleId="763">
    <w:name w:val="正文首行缩进 2"/>
    <w:basedOn w:val="728"/>
    <w:next w:val="763"/>
    <w:link w:val="764"/>
    <w:pPr>
      <w:ind w:left="0" w:firstLine="420"/>
      <w:spacing w:after="0" w:line="360" w:lineRule="auto"/>
    </w:pPr>
    <w:rPr>
      <w:rFonts w:ascii="宋体" w:hAnsi="宋体"/>
      <w:sz w:val="20"/>
      <w:szCs w:val="20"/>
      <w:lang w:val="en-US" w:eastAsia="en-US"/>
    </w:rPr>
  </w:style>
  <w:style w:type="character" w:styleId="764">
    <w:name w:val="正文首行缩进 2 字符"/>
    <w:next w:val="764"/>
    <w:link w:val="763"/>
    <w:rPr>
      <w:rFonts w:ascii="宋体" w:hAnsi="宋体" w:eastAsia="宋体" w:cs="Times New Roman"/>
      <w:szCs w:val="20"/>
    </w:rPr>
  </w:style>
  <w:style w:type="table" w:styleId="765">
    <w:name w:val="网格型"/>
    <w:basedOn w:val="705"/>
    <w:next w:val="765"/>
    <w:link w:val="694"/>
    <w:qFormat/>
    <w:pPr>
      <w:jc w:val="both"/>
      <w:widowControl w:val="off"/>
    </w:pPr>
    <w:rPr>
      <w:rFonts w:ascii="Times New Roman" w:hAnsi="Times New Roman" w:eastAsia="宋体" w:cs="Times New Roman"/>
      <w:sz w:val="20"/>
      <w:szCs w:val="20"/>
    </w:rPr>
    <w:tblPr/>
  </w:style>
  <w:style w:type="character" w:styleId="766">
    <w:name w:val="要点"/>
    <w:next w:val="766"/>
    <w:link w:val="694"/>
    <w:qFormat/>
    <w:rPr>
      <w:b/>
      <w:bCs/>
    </w:rPr>
  </w:style>
  <w:style w:type="character" w:styleId="767">
    <w:name w:val="页码"/>
    <w:next w:val="767"/>
    <w:link w:val="694"/>
  </w:style>
  <w:style w:type="character" w:styleId="768">
    <w:name w:val="访问过的超链接"/>
    <w:next w:val="768"/>
    <w:link w:val="694"/>
    <w:rPr>
      <w:color w:val="800080"/>
      <w:u w:val="single"/>
    </w:rPr>
  </w:style>
  <w:style w:type="character" w:styleId="769">
    <w:name w:val="强调"/>
    <w:next w:val="769"/>
    <w:link w:val="694"/>
    <w:qFormat/>
    <w:rPr>
      <w:i/>
    </w:rPr>
  </w:style>
  <w:style w:type="character" w:styleId="770">
    <w:name w:val="超链接"/>
    <w:next w:val="770"/>
    <w:link w:val="694"/>
    <w:rPr>
      <w:color w:val="0000ff"/>
      <w:u w:val="single"/>
    </w:rPr>
  </w:style>
  <w:style w:type="character" w:styleId="771">
    <w:name w:val="批注引用"/>
    <w:next w:val="771"/>
    <w:link w:val="694"/>
    <w:semiHidden/>
    <w:rPr>
      <w:sz w:val="21"/>
      <w:szCs w:val="21"/>
    </w:rPr>
  </w:style>
  <w:style w:type="character" w:styleId="772">
    <w:name w:val="font5 Char"/>
    <w:next w:val="772"/>
    <w:link w:val="694"/>
    <w:rPr>
      <w:rFonts w:ascii="宋体" w:hAnsi="宋体" w:eastAsia="宋体"/>
      <w:sz w:val="28"/>
      <w:szCs w:val="28"/>
      <w:lang w:val="en-US" w:eastAsia="zh-CN" w:bidi="ar-SA"/>
    </w:rPr>
  </w:style>
  <w:style w:type="character" w:styleId="773">
    <w:name w:val="二级目录 Char"/>
    <w:next w:val="773"/>
    <w:link w:val="774"/>
    <w:rPr>
      <w:b/>
      <w:sz w:val="30"/>
      <w:szCs w:val="28"/>
      <w:lang w:val="en-US" w:eastAsia="zh-CN" w:bidi="ar-SA"/>
    </w:rPr>
  </w:style>
  <w:style w:type="paragraph" w:styleId="774">
    <w:name w:val="二级目录"/>
    <w:next w:val="694"/>
    <w:link w:val="773"/>
    <w:pPr>
      <w:numPr>
        <w:ilvl w:val="0"/>
        <w:numId w:val="2"/>
      </w:numPr>
      <w:tabs>
        <w:tab w:val="left" w:pos="907" w:leader="none"/>
        <w:tab w:val="left" w:pos="1145" w:leader="none"/>
      </w:tabs>
      <w:outlineLvl w:val="1"/>
    </w:pPr>
    <w:rPr>
      <w:b/>
      <w:sz w:val="30"/>
      <w:szCs w:val="28"/>
      <w:lang w:val="en-US" w:eastAsia="zh-CN" w:bidi="ar-SA"/>
    </w:rPr>
  </w:style>
  <w:style w:type="character" w:styleId="775">
    <w:name w:val="列出段落 Char,Bullet List Char,numbered Char,FooterText Char,List Paragraph1 Char,Paragraphe de liste1 Char"/>
    <w:next w:val="775"/>
    <w:link w:val="776"/>
    <w:rPr>
      <w:rFonts w:ascii="Calibri" w:hAnsi="Calibri"/>
      <w:sz w:val="24"/>
      <w:szCs w:val="24"/>
      <w:lang w:eastAsia="en-US" w:bidi="en-US"/>
    </w:rPr>
  </w:style>
  <w:style w:type="paragraph" w:styleId="776">
    <w:name w:val="列出段落1"/>
    <w:basedOn w:val="694"/>
    <w:next w:val="776"/>
    <w:link w:val="775"/>
    <w:qFormat/>
    <w:pPr>
      <w:contextualSpacing/>
      <w:ind w:left="720"/>
      <w:jc w:val="left"/>
      <w:widowControl/>
    </w:pPr>
    <w:rPr>
      <w:rFonts w:ascii="Calibri" w:hAnsi="Calibri"/>
      <w:sz w:val="24"/>
      <w:szCs w:val="24"/>
      <w:lang w:val="en-US" w:eastAsia="en-US" w:bidi="en-US"/>
    </w:rPr>
  </w:style>
  <w:style w:type="paragraph" w:styleId="777">
    <w:name w:val="Body Text(ch)"/>
    <w:basedOn w:val="694"/>
    <w:next w:val="726"/>
    <w:link w:val="694"/>
    <w:pPr>
      <w:spacing w:after="120"/>
    </w:pPr>
    <w:rPr>
      <w:rFonts w:ascii="宋体" w:hAnsi="Arial" w:eastAsia="宋体" w:cs="Times New Roman"/>
      <w:bCs/>
      <w:iCs/>
      <w:szCs w:val="24"/>
    </w:rPr>
  </w:style>
  <w:style w:type="paragraph" w:styleId="778">
    <w:name w:val="xl27"/>
    <w:basedOn w:val="694"/>
    <w:next w:val="778"/>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6"/>
    <w:basedOn w:val="694"/>
    <w:next w:val="779"/>
    <w:link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Char"/>
    <w:basedOn w:val="694"/>
    <w:next w:val="780"/>
    <w:link w:val="694"/>
    <w:pPr>
      <w:ind w:firstLine="200"/>
      <w:tabs>
        <w:tab w:val="left" w:pos="360" w:leader="none"/>
      </w:tabs>
    </w:pPr>
    <w:rPr>
      <w:rFonts w:ascii="Times New Roman" w:hAnsi="Times New Roman" w:eastAsia="宋体" w:cs="Times New Roman"/>
      <w:sz w:val="28"/>
      <w:szCs w:val="30"/>
    </w:rPr>
  </w:style>
  <w:style w:type="paragraph" w:styleId="781">
    <w:name w:val=" Char"/>
    <w:basedOn w:val="720"/>
    <w:next w:val="781"/>
    <w:link w:val="694"/>
    <w:rPr>
      <w:rFonts w:ascii="Tahoma" w:hAnsi="Tahoma"/>
      <w:sz w:val="24"/>
      <w:szCs w:val="24"/>
    </w:rPr>
  </w:style>
  <w:style w:type="paragraph" w:styleId="782">
    <w:name w:val="普通正文"/>
    <w:basedOn w:val="694"/>
    <w:next w:val="782"/>
    <w:link w:val="694"/>
    <w:pPr>
      <w:ind w:firstLine="480"/>
      <w:jc w:val="left"/>
      <w:spacing w:before="120" w:after="120" w:line="360" w:lineRule="auto"/>
    </w:pPr>
    <w:rPr>
      <w:rFonts w:ascii="Arial" w:hAnsi="Arial" w:eastAsia="宋体" w:cs="Times New Roman"/>
      <w:sz w:val="24"/>
      <w:szCs w:val="24"/>
    </w:rPr>
  </w:style>
  <w:style w:type="paragraph" w:styleId="783">
    <w:name w:val="table_lines"/>
    <w:basedOn w:val="694"/>
    <w:next w:val="783"/>
    <w:link w:val="694"/>
    <w:pPr>
      <w:jc w:val="left"/>
      <w:widowControl/>
    </w:pPr>
    <w:rPr>
      <w:rFonts w:ascii="Times New Roman" w:hAnsi="Times New Roman" w:eastAsia="宋体" w:cs="Times New Roman"/>
      <w:sz w:val="20"/>
      <w:szCs w:val="20"/>
      <w:lang w:val="de-DE" w:eastAsia="de-DE"/>
    </w:rPr>
  </w:style>
  <w:style w:type="paragraph" w:styleId="784">
    <w:name w:val="附录1"/>
    <w:next w:val="784"/>
    <w:link w:val="694"/>
    <w:pPr>
      <w:numPr>
        <w:ilvl w:val="0"/>
        <w:numId w:val="2"/>
      </w:numPr>
      <w:spacing w:before="240" w:line="600" w:lineRule="atLeast"/>
      <w:tabs>
        <w:tab w:val="left" w:pos="907" w:leader="none"/>
      </w:tabs>
    </w:pPr>
    <w:rPr>
      <w:b/>
      <w:i/>
      <w:sz w:val="28"/>
      <w:lang w:val="en-US" w:eastAsia="zh-CN" w:bidi="ar-SA"/>
    </w:rPr>
  </w:style>
  <w:style w:type="paragraph" w:styleId="785">
    <w:name w:val="font7"/>
    <w:basedOn w:val="694"/>
    <w:next w:val="785"/>
    <w:link w:val="694"/>
    <w:pPr>
      <w:jc w:val="left"/>
      <w:spacing w:before="100" w:beforeAutospacing="1" w:after="100" w:afterAutospacing="1"/>
      <w:widowControl/>
    </w:pPr>
    <w:rPr>
      <w:rFonts w:hint="eastAsia" w:ascii="宋体" w:hAnsi="宋体" w:eastAsia="宋体" w:cs="Times New Roman"/>
      <w:sz w:val="18"/>
      <w:szCs w:val="18"/>
    </w:rPr>
  </w:style>
  <w:style w:type="paragraph" w:styleId="786">
    <w:name w:val=" Char Char Char Char"/>
    <w:basedOn w:val="720"/>
    <w:next w:val="786"/>
    <w:link w:val="694"/>
    <w:pPr>
      <w:spacing w:line="360" w:lineRule="auto"/>
    </w:pPr>
    <w:rPr>
      <w:rFonts w:ascii="Tahoma" w:hAnsi="Tahoma"/>
      <w:sz w:val="24"/>
      <w:szCs w:val="24"/>
    </w:rPr>
  </w:style>
  <w:style w:type="paragraph" w:styleId="787">
    <w:name w:val="列出段落"/>
    <w:basedOn w:val="694"/>
    <w:next w:val="787"/>
    <w:link w:val="694"/>
    <w:qFormat/>
    <w:pPr>
      <w:contextualSpacing/>
      <w:ind w:left="720"/>
      <w:jc w:val="left"/>
      <w:widowControl/>
    </w:pPr>
    <w:rPr>
      <w:rFonts w:ascii="Calibri" w:hAnsi="Calibri" w:eastAsia="宋体" w:cs="Times New Roman"/>
      <w:sz w:val="24"/>
      <w:szCs w:val="24"/>
      <w:lang w:eastAsia="en-US" w:bidi="en-US"/>
    </w:rPr>
  </w:style>
  <w:style w:type="paragraph" w:styleId="788">
    <w:name w:val="4"/>
    <w:basedOn w:val="694"/>
    <w:next w:val="750"/>
    <w:link w:val="694"/>
    <w:pPr>
      <w:ind w:firstLine="420"/>
      <w:spacing w:line="360" w:lineRule="auto"/>
    </w:pPr>
    <w:rPr>
      <w:rFonts w:ascii="Times New Roman" w:hAnsi="Times New Roman" w:eastAsia="宋体" w:cs="Times New Roman"/>
      <w:color w:val="ff0000"/>
      <w:sz w:val="24"/>
      <w:szCs w:val="24"/>
    </w:rPr>
  </w:style>
  <w:style w:type="paragraph" w:styleId="789">
    <w:name w:val="普通 (Web)"/>
    <w:basedOn w:val="694"/>
    <w:next w:val="789"/>
    <w:link w:val="694"/>
    <w:pPr>
      <w:jc w:val="left"/>
      <w:spacing w:before="100" w:beforeAutospacing="1" w:after="100" w:afterAutospacing="1"/>
      <w:widowControl/>
    </w:pPr>
    <w:rPr>
      <w:rFonts w:ascii="宋体" w:hAnsi="宋体" w:eastAsia="宋体" w:cs="Times New Roman"/>
      <w:sz w:val="24"/>
      <w:szCs w:val="24"/>
    </w:rPr>
  </w:style>
  <w:style w:type="paragraph" w:styleId="790">
    <w:name w:val=" Char Char Char Char Char Char Char Char Char Char"/>
    <w:basedOn w:val="694"/>
    <w:next w:val="790"/>
    <w:link w:val="694"/>
    <w:pPr>
      <w:spacing w:line="360" w:lineRule="auto"/>
    </w:pPr>
    <w:rPr>
      <w:rFonts w:ascii="Times New Roman" w:hAnsi="Times New Roman" w:eastAsia="宋体" w:cs="Times New Roman"/>
      <w:sz w:val="24"/>
      <w:szCs w:val="20"/>
    </w:rPr>
  </w:style>
  <w:style w:type="paragraph" w:styleId="791">
    <w:name w:val="样式1"/>
    <w:basedOn w:val="694"/>
    <w:next w:val="791"/>
    <w:link w:val="694"/>
    <w:pPr>
      <w:numPr>
        <w:ilvl w:val="0"/>
        <w:numId w:val="3"/>
      </w:numPr>
      <w:tabs>
        <w:tab w:val="left" w:pos="709" w:leader="none"/>
      </w:tabs>
    </w:pPr>
    <w:rPr>
      <w:rFonts w:ascii="宋体" w:hAnsi="宋体" w:eastAsia="宋体" w:cs="Times New Roman"/>
      <w:szCs w:val="21"/>
    </w:rPr>
  </w:style>
  <w:style w:type="paragraph" w:styleId="792">
    <w:name w:val="font6"/>
    <w:basedOn w:val="694"/>
    <w:next w:val="792"/>
    <w:link w:val="694"/>
    <w:pPr>
      <w:jc w:val="left"/>
      <w:spacing w:before="100" w:beforeAutospacing="1" w:after="100" w:afterAutospacing="1"/>
      <w:widowControl/>
    </w:pPr>
    <w:rPr>
      <w:rFonts w:hint="eastAsia" w:ascii="宋体" w:hAnsi="宋体" w:eastAsia="宋体" w:cs="Times New Roman"/>
      <w:sz w:val="28"/>
      <w:szCs w:val="28"/>
      <w:u w:val="single"/>
    </w:rPr>
  </w:style>
  <w:style w:type="paragraph" w:styleId="793">
    <w:name w:val="xl25"/>
    <w:basedOn w:val="694"/>
    <w:next w:val="793"/>
    <w:link w:val="6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4">
    <w:name w:val="图标"/>
    <w:basedOn w:val="694"/>
    <w:next w:val="694"/>
    <w:link w:val="6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5">
    <w:name w:val="标题3"/>
    <w:basedOn w:val="694"/>
    <w:next w:val="694"/>
    <w:link w:val="694"/>
    <w:pPr>
      <w:ind w:firstLine="624"/>
      <w:spacing w:line="590" w:lineRule="atLeast"/>
    </w:pPr>
    <w:rPr>
      <w:rFonts w:ascii="方正黑体_GBK" w:hAnsi="Times New Roman" w:eastAsia="方正黑体_GBK" w:cs="Times New Roman"/>
      <w:sz w:val="32"/>
      <w:szCs w:val="32"/>
    </w:rPr>
  </w:style>
  <w:style w:type="paragraph" w:styleId="796">
    <w:name w:val="xl24"/>
    <w:basedOn w:val="694"/>
    <w:next w:val="796"/>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xl29"/>
    <w:basedOn w:val="694"/>
    <w:next w:val="797"/>
    <w:link w:val="6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8">
    <w:name w:val="Char Char Char Char Char Char Char Char"/>
    <w:basedOn w:val="694"/>
    <w:next w:val="798"/>
    <w:link w:val="694"/>
    <w:pPr>
      <w:jc w:val="left"/>
      <w:spacing w:after="160" w:line="240" w:lineRule="exact"/>
      <w:widowControl/>
    </w:pPr>
    <w:rPr>
      <w:rFonts w:ascii="Verdana" w:hAnsi="Verdana" w:eastAsia="宋体" w:cs="Times New Roman"/>
      <w:sz w:val="20"/>
      <w:szCs w:val="20"/>
      <w:lang w:eastAsia="en-US"/>
    </w:rPr>
  </w:style>
  <w:style w:type="paragraph" w:styleId="799">
    <w:name w:val="xl28"/>
    <w:basedOn w:val="694"/>
    <w:next w:val="799"/>
    <w:link w:val="6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0">
    <w:name w:val=" Char Char Char Char Char Char Char Char"/>
    <w:basedOn w:val="694"/>
    <w:next w:val="800"/>
    <w:link w:val="694"/>
    <w:pPr>
      <w:jc w:val="left"/>
      <w:spacing w:after="160" w:line="240" w:lineRule="exact"/>
      <w:widowControl/>
    </w:pPr>
    <w:rPr>
      <w:rFonts w:ascii="Verdana" w:hAnsi="Verdana" w:eastAsia="宋体" w:cs="Times New Roman"/>
      <w:sz w:val="20"/>
      <w:szCs w:val="20"/>
      <w:lang w:eastAsia="en-US"/>
    </w:rPr>
  </w:style>
  <w:style w:type="paragraph" w:styleId="801">
    <w:name w:val="xl30"/>
    <w:basedOn w:val="694"/>
    <w:next w:val="801"/>
    <w:link w:val="694"/>
    <w:pPr>
      <w:jc w:val="center"/>
      <w:spacing w:before="100" w:beforeAutospacing="1" w:after="100" w:afterAutospacing="1"/>
      <w:widowControl/>
    </w:pPr>
    <w:rPr>
      <w:rFonts w:ascii="宋体" w:hAnsi="宋体" w:eastAsia="宋体" w:cs="Times New Roman"/>
      <w:b/>
      <w:bCs/>
      <w:sz w:val="36"/>
      <w:szCs w:val="36"/>
    </w:rPr>
  </w:style>
  <w:style w:type="paragraph" w:styleId="802">
    <w:name w:val="Char Char Char Char"/>
    <w:basedOn w:val="720"/>
    <w:next w:val="802"/>
    <w:link w:val="694"/>
    <w:pPr>
      <w:spacing w:line="360" w:lineRule="auto"/>
    </w:pPr>
    <w:rPr>
      <w:rFonts w:ascii="Tahoma" w:hAnsi="Tahoma"/>
      <w:sz w:val="24"/>
      <w:szCs w:val="24"/>
    </w:rPr>
  </w:style>
  <w:style w:type="paragraph" w:styleId="803">
    <w:name w:val="table_1stline"/>
    <w:basedOn w:val="694"/>
    <w:next w:val="803"/>
    <w:link w:val="694"/>
    <w:pPr>
      <w:jc w:val="left"/>
      <w:spacing w:before="120"/>
      <w:widowControl/>
    </w:pPr>
    <w:rPr>
      <w:rFonts w:ascii="Times New Roman" w:hAnsi="Times New Roman" w:eastAsia="宋体" w:cs="Times New Roman"/>
      <w:bCs/>
      <w:sz w:val="20"/>
      <w:szCs w:val="20"/>
      <w:lang w:val="de-DE" w:eastAsia="de-DE"/>
    </w:rPr>
  </w:style>
  <w:style w:type="paragraph" w:styleId="804">
    <w:name w:val="font5"/>
    <w:basedOn w:val="694"/>
    <w:next w:val="804"/>
    <w:link w:val="694"/>
    <w:pPr>
      <w:jc w:val="left"/>
      <w:spacing w:before="100" w:beforeAutospacing="1" w:after="100" w:afterAutospacing="1"/>
      <w:widowControl/>
    </w:pPr>
    <w:rPr>
      <w:rFonts w:hint="eastAsia" w:ascii="宋体" w:hAnsi="宋体" w:eastAsia="宋体" w:cs="Times New Roman"/>
      <w:sz w:val="28"/>
      <w:szCs w:val="28"/>
    </w:rPr>
  </w:style>
  <w:style w:type="paragraph" w:styleId="805">
    <w:name w:val="标题1"/>
    <w:basedOn w:val="694"/>
    <w:next w:val="694"/>
    <w:link w:val="6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6">
    <w:name w:val="修订"/>
    <w:next w:val="806"/>
    <w:link w:val="694"/>
    <w:uiPriority w:val="99"/>
    <w:semiHidden/>
    <w:rPr>
      <w:sz w:val="21"/>
      <w:szCs w:val="21"/>
      <w:lang w:val="en-US" w:eastAsia="zh-CN" w:bidi="ar-SA"/>
    </w:rPr>
  </w:style>
  <w:style w:type="paragraph" w:styleId="807">
    <w:name w:val="无间隔"/>
    <w:next w:val="807"/>
    <w:link w:val="694"/>
    <w:uiPriority w:val="99"/>
    <w:qFormat/>
    <w:pPr>
      <w:jc w:val="both"/>
      <w:widowControl w:val="off"/>
    </w:pPr>
    <w:rPr>
      <w:sz w:val="21"/>
      <w:szCs w:val="21"/>
      <w:lang w:val="en-US" w:eastAsia="zh-CN" w:bidi="ar-SA"/>
    </w:rPr>
  </w:style>
  <w:style w:type="paragraph" w:styleId="808">
    <w:name w:val="AONormal"/>
    <w:next w:val="808"/>
    <w:link w:val="694"/>
    <w:qFormat/>
    <w:pPr>
      <w:ind w:firstLine="440"/>
      <w:spacing w:line="400" w:lineRule="exact"/>
    </w:pPr>
    <w:rPr>
      <w:rFonts w:ascii="华文楷体" w:hAnsi="华文楷体" w:eastAsia="华文楷体" w:cs="华文楷体"/>
      <w:sz w:val="22"/>
      <w:szCs w:val="21"/>
      <w:lang w:val="en-US" w:eastAsia="zh-CN" w:bidi="ar-SA"/>
    </w:rPr>
  </w:style>
  <w:style w:type="paragraph" w:styleId="809">
    <w:name w:val="正文1"/>
    <w:basedOn w:val="694"/>
    <w:next w:val="694"/>
    <w:link w:val="694"/>
    <w:qFormat/>
    <w:rPr>
      <w:szCs w:val="24"/>
    </w:rPr>
  </w:style>
  <w:style w:type="table" w:styleId="810">
    <w:name w:val="Table Normal"/>
    <w:next w:val="810"/>
    <w:link w:val="694"/>
    <w:semiHidden/>
    <w:unhideWhenUsed/>
    <w:qFormat/>
    <w:rPr>
      <w:rFonts w:ascii="Arial" w:hAnsi="Arial" w:cs="Arial"/>
      <w:color w:val="000000"/>
      <w:sz w:val="21"/>
      <w:szCs w:val="21"/>
      <w:lang w:val="en-US" w:eastAsia="en-US" w:bidi="ar-SA"/>
    </w:rPr>
    <w:tblPr/>
  </w:style>
  <w:style w:type="paragraph" w:styleId="811">
    <w:name w:val="Table Text"/>
    <w:basedOn w:val="694"/>
    <w:next w:val="811"/>
    <w:link w:val="694"/>
    <w:semiHidden/>
    <w:qFormat/>
    <w:pPr>
      <w:jc w:val="left"/>
      <w:widowControl/>
    </w:pPr>
    <w:rPr>
      <w:rFonts w:ascii="宋体" w:hAnsi="宋体" w:eastAsia="宋体" w:cs="宋体"/>
      <w:color w:val="000000"/>
      <w:sz w:val="20"/>
      <w:szCs w:val="20"/>
      <w:lang w:eastAsia="en-US"/>
    </w:rPr>
  </w:style>
  <w:style w:type="character" w:styleId="17720" w:default="1">
    <w:name w:val="Default Paragraph Font"/>
    <w:uiPriority w:val="1"/>
    <w:semiHidden/>
    <w:unhideWhenUsed/>
  </w:style>
  <w:style w:type="numbering" w:styleId="17721" w:default="1">
    <w:name w:val="No List"/>
    <w:uiPriority w:val="99"/>
    <w:semiHidden/>
    <w:unhideWhenUsed/>
  </w:style>
  <w:style w:type="table" w:styleId="177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顾云</cp:lastModifiedBy>
  <cp:revision>8</cp:revision>
  <dcterms:created xsi:type="dcterms:W3CDTF">2026-05-26T00:10:00Z</dcterms:created>
  <dcterms:modified xsi:type="dcterms:W3CDTF">2026-06-17T03:13:09Z</dcterms:modified>
  <cp:version>786432</cp:version>
</cp:coreProperties>
</file>